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7EA" w:rsidRPr="004843E9" w:rsidRDefault="008857EA" w:rsidP="008857EA">
      <w:pPr>
        <w:pStyle w:val="1-MainHeading"/>
      </w:pPr>
      <w:r w:rsidRPr="004843E9">
        <w:rPr>
          <w:rFonts w:eastAsia="Calibri"/>
          <w:lang w:eastAsia="en-US"/>
        </w:rPr>
        <w:t>7</w:t>
      </w:r>
      <w:r w:rsidR="00BF27A0" w:rsidRPr="004843E9">
        <w:rPr>
          <w:rFonts w:eastAsia="Calibri"/>
          <w:lang w:eastAsia="en-US"/>
        </w:rPr>
        <w:t>.</w:t>
      </w:r>
      <w:r w:rsidRPr="004843E9">
        <w:rPr>
          <w:rFonts w:eastAsia="Calibri"/>
          <w:lang w:eastAsia="en-US"/>
        </w:rPr>
        <w:t>11</w:t>
      </w:r>
      <w:r w:rsidR="00BF27A0" w:rsidRPr="004843E9">
        <w:rPr>
          <w:rFonts w:eastAsia="Calibri"/>
          <w:lang w:eastAsia="en-US"/>
        </w:rPr>
        <w:tab/>
      </w:r>
      <w:r w:rsidRPr="004843E9">
        <w:t xml:space="preserve">FLUOCINOLONE ACETONIDE, </w:t>
      </w:r>
      <w:r w:rsidRPr="004843E9">
        <w:br/>
      </w:r>
      <w:proofErr w:type="spellStart"/>
      <w:r w:rsidRPr="004843E9">
        <w:t>Intravitreal</w:t>
      </w:r>
      <w:proofErr w:type="spellEnd"/>
      <w:r w:rsidRPr="004843E9">
        <w:t xml:space="preserve"> injection 190 micrograms</w:t>
      </w:r>
      <w:proofErr w:type="gramStart"/>
      <w:r w:rsidRPr="004843E9">
        <w:t>,</w:t>
      </w:r>
      <w:proofErr w:type="gramEnd"/>
      <w:r w:rsidRPr="004843E9">
        <w:br/>
      </w:r>
      <w:proofErr w:type="spellStart"/>
      <w:r w:rsidRPr="004843E9">
        <w:t>Iluvien</w:t>
      </w:r>
      <w:proofErr w:type="spellEnd"/>
      <w:r w:rsidRPr="004843E9">
        <w:rPr>
          <w:vertAlign w:val="superscript"/>
        </w:rPr>
        <w:t>®</w:t>
      </w:r>
      <w:r w:rsidRPr="004843E9">
        <w:t>,</w:t>
      </w:r>
      <w:r w:rsidRPr="004843E9">
        <w:br/>
        <w:t xml:space="preserve">Specialised Therapeutics </w:t>
      </w:r>
      <w:proofErr w:type="spellStart"/>
      <w:r w:rsidRPr="004843E9">
        <w:t>Alim</w:t>
      </w:r>
      <w:proofErr w:type="spellEnd"/>
      <w:r w:rsidRPr="004843E9">
        <w:t xml:space="preserve"> Pty Ltd. </w:t>
      </w:r>
    </w:p>
    <w:p w:rsidR="008A50F1" w:rsidRPr="004843E9" w:rsidRDefault="00CE10C4" w:rsidP="001D5429">
      <w:pPr>
        <w:pStyle w:val="2-SectionHeading"/>
      </w:pPr>
      <w:r w:rsidRPr="004843E9">
        <w:t xml:space="preserve">Purpose of </w:t>
      </w:r>
      <w:r w:rsidR="0004240E" w:rsidRPr="004843E9">
        <w:t>Application</w:t>
      </w:r>
      <w:r w:rsidR="00034905" w:rsidRPr="004843E9">
        <w:t xml:space="preserve"> </w:t>
      </w:r>
    </w:p>
    <w:p w:rsidR="00DE455A" w:rsidRPr="004843E9" w:rsidRDefault="000B5B57" w:rsidP="00A25AA4">
      <w:pPr>
        <w:pStyle w:val="3Bodytext"/>
        <w:jc w:val="both"/>
      </w:pPr>
      <w:r w:rsidRPr="004843E9">
        <w:t xml:space="preserve">At the March 2020 </w:t>
      </w:r>
      <w:r w:rsidR="005626F6" w:rsidRPr="004843E9">
        <w:t>meeting,</w:t>
      </w:r>
      <w:r w:rsidRPr="004843E9">
        <w:t xml:space="preserve"> the PBAC recommended</w:t>
      </w:r>
      <w:r w:rsidR="00DE455A" w:rsidRPr="004843E9">
        <w:t xml:space="preserve"> an Authority Required listing for </w:t>
      </w:r>
      <w:proofErr w:type="spellStart"/>
      <w:r w:rsidR="00DE455A" w:rsidRPr="004843E9">
        <w:t>fluocinolone</w:t>
      </w:r>
      <w:proofErr w:type="spellEnd"/>
      <w:r w:rsidR="00DE455A" w:rsidRPr="004843E9">
        <w:t xml:space="preserve"> </w:t>
      </w:r>
      <w:proofErr w:type="spellStart"/>
      <w:r w:rsidR="00DE455A" w:rsidRPr="004843E9">
        <w:t>acetonide</w:t>
      </w:r>
      <w:proofErr w:type="spellEnd"/>
      <w:r w:rsidR="00DE455A" w:rsidRPr="004843E9">
        <w:t xml:space="preserve"> (FA) for the treatment of diabetic macular oedema (DMO</w:t>
      </w:r>
      <w:r w:rsidR="00A60AF2">
        <w:t>)</w:t>
      </w:r>
      <w:r w:rsidR="00DE455A" w:rsidRPr="004843E9">
        <w:t xml:space="preserve"> who are unsuitable for, contraindicated to, or have failed treatment with vascular endothelial growth factor (VEGF) inhibitors. </w:t>
      </w:r>
      <w:r w:rsidRPr="004843E9">
        <w:t xml:space="preserve">The recommendation </w:t>
      </w:r>
      <w:r w:rsidR="003264F5" w:rsidRPr="004843E9">
        <w:t xml:space="preserve">was on the basis of a cost-minimisation analysis (CMA) versus dexamethasone (DEX) </w:t>
      </w:r>
      <w:proofErr w:type="spellStart"/>
      <w:r w:rsidR="003264F5" w:rsidRPr="004843E9">
        <w:t>intravitreal</w:t>
      </w:r>
      <w:proofErr w:type="spellEnd"/>
      <w:r w:rsidR="003264F5" w:rsidRPr="004843E9">
        <w:t xml:space="preserve"> implant, using clinical evidence from an indirect comparison.</w:t>
      </w:r>
    </w:p>
    <w:p w:rsidR="00D31E5D" w:rsidRPr="004843E9" w:rsidRDefault="00EF44A0" w:rsidP="00A25AA4">
      <w:pPr>
        <w:pStyle w:val="3Bodytext"/>
        <w:jc w:val="both"/>
      </w:pPr>
      <w:r w:rsidRPr="004843E9">
        <w:t>The mi</w:t>
      </w:r>
      <w:r w:rsidR="00FF2801" w:rsidRPr="004843E9">
        <w:t xml:space="preserve">nor </w:t>
      </w:r>
      <w:r w:rsidR="008857EA" w:rsidRPr="004843E9">
        <w:t>r</w:t>
      </w:r>
      <w:r w:rsidR="00CC4B99" w:rsidRPr="004843E9">
        <w:t xml:space="preserve">esubmission </w:t>
      </w:r>
      <w:r w:rsidR="008857EA" w:rsidRPr="004843E9">
        <w:t>request</w:t>
      </w:r>
      <w:r w:rsidR="00CC4B99" w:rsidRPr="004843E9">
        <w:t>ed</w:t>
      </w:r>
      <w:r w:rsidR="008857EA" w:rsidRPr="004843E9">
        <w:t xml:space="preserve"> an amendment to the PBAC’s previously</w:t>
      </w:r>
      <w:r w:rsidR="003264F5" w:rsidRPr="004843E9">
        <w:t xml:space="preserve"> </w:t>
      </w:r>
      <w:r w:rsidR="008857EA" w:rsidRPr="004843E9">
        <w:t xml:space="preserve">recommended equi-effective doses </w:t>
      </w:r>
      <w:r w:rsidR="006958BB" w:rsidRPr="004843E9">
        <w:t xml:space="preserve">of 1.3 </w:t>
      </w:r>
      <w:r w:rsidR="00507DAC" w:rsidRPr="004843E9">
        <w:t xml:space="preserve">administrations of FA </w:t>
      </w:r>
      <w:r w:rsidR="006958BB" w:rsidRPr="004843E9">
        <w:t xml:space="preserve">versus 4.1 </w:t>
      </w:r>
      <w:r w:rsidR="00507DAC" w:rsidRPr="004843E9">
        <w:t xml:space="preserve">administrations of </w:t>
      </w:r>
      <w:r w:rsidR="00DC5F7C" w:rsidRPr="004843E9">
        <w:t xml:space="preserve">DEX over 36 </w:t>
      </w:r>
      <w:r w:rsidR="00DC5F7C" w:rsidRPr="0050774C">
        <w:t>months</w:t>
      </w:r>
      <w:r w:rsidR="003264F5" w:rsidRPr="0050774C">
        <w:t xml:space="preserve"> (</w:t>
      </w:r>
      <w:r w:rsidR="0050774C" w:rsidRPr="0050774C">
        <w:t>paragraph 7.2</w:t>
      </w:r>
      <w:r w:rsidR="002F0A66" w:rsidRPr="0050774C">
        <w:t xml:space="preserve">, FA </w:t>
      </w:r>
      <w:r w:rsidR="0050774C" w:rsidRPr="0050774C">
        <w:t>Public</w:t>
      </w:r>
      <w:r w:rsidR="0050774C">
        <w:t xml:space="preserve"> Summary Document [</w:t>
      </w:r>
      <w:r w:rsidR="002F0A66">
        <w:t>PSD</w:t>
      </w:r>
      <w:r w:rsidR="0050774C">
        <w:t>]</w:t>
      </w:r>
      <w:r w:rsidR="002F0A66">
        <w:t xml:space="preserve">, </w:t>
      </w:r>
      <w:r w:rsidR="003264F5" w:rsidRPr="004843E9">
        <w:t>March 2020</w:t>
      </w:r>
      <w:r w:rsidR="002F0A66">
        <w:t>)</w:t>
      </w:r>
      <w:r w:rsidR="003264F5" w:rsidRPr="004843E9">
        <w:t>.</w:t>
      </w:r>
      <w:r w:rsidR="00DC5F7C" w:rsidRPr="004843E9">
        <w:t xml:space="preserve"> </w:t>
      </w:r>
      <w:r w:rsidR="00F77729" w:rsidRPr="004843E9">
        <w:t xml:space="preserve">Unchanged from the </w:t>
      </w:r>
      <w:r w:rsidR="00344283" w:rsidRPr="004843E9">
        <w:t xml:space="preserve">March 2020 </w:t>
      </w:r>
      <w:r w:rsidR="00F77729" w:rsidRPr="004843E9">
        <w:t>submission, t</w:t>
      </w:r>
      <w:r w:rsidR="00DC5F7C" w:rsidRPr="004843E9">
        <w:t xml:space="preserve">he </w:t>
      </w:r>
      <w:r w:rsidR="003264F5" w:rsidRPr="004843E9">
        <w:t>S</w:t>
      </w:r>
      <w:r w:rsidR="00DC5F7C" w:rsidRPr="004843E9">
        <w:t xml:space="preserve">ponsor </w:t>
      </w:r>
      <w:r w:rsidR="00F77729" w:rsidRPr="004843E9">
        <w:t>proposed</w:t>
      </w:r>
      <w:r w:rsidR="008F5CB2" w:rsidRPr="004843E9">
        <w:t xml:space="preserve"> in the </w:t>
      </w:r>
      <w:r w:rsidR="00DE455A" w:rsidRPr="004843E9">
        <w:t>re</w:t>
      </w:r>
      <w:r w:rsidR="008F5CB2" w:rsidRPr="004843E9">
        <w:t>s</w:t>
      </w:r>
      <w:r w:rsidR="00DC5F7C" w:rsidRPr="004843E9">
        <w:t xml:space="preserve">ubmission that the equi-effective dose should be 1 </w:t>
      </w:r>
      <w:r w:rsidR="00507DAC" w:rsidRPr="004843E9">
        <w:t xml:space="preserve">administration of FA </w:t>
      </w:r>
      <w:r w:rsidR="006958BB" w:rsidRPr="004843E9">
        <w:t>versus 6.48</w:t>
      </w:r>
      <w:r w:rsidR="00507DAC" w:rsidRPr="004843E9">
        <w:t xml:space="preserve"> administrations of DEX</w:t>
      </w:r>
      <w:r w:rsidR="006958BB" w:rsidRPr="004843E9">
        <w:t xml:space="preserve"> over 36 months.</w:t>
      </w:r>
    </w:p>
    <w:p w:rsidR="00A01432" w:rsidRPr="004843E9" w:rsidRDefault="00A01432" w:rsidP="00A25AA4">
      <w:pPr>
        <w:pStyle w:val="2-SectionHeading"/>
        <w:jc w:val="both"/>
      </w:pPr>
      <w:r w:rsidRPr="004843E9">
        <w:t xml:space="preserve">Background </w:t>
      </w:r>
    </w:p>
    <w:p w:rsidR="00A01432" w:rsidRPr="004843E9" w:rsidRDefault="00A01432" w:rsidP="001D5429">
      <w:pPr>
        <w:pStyle w:val="4-SubsectionHeading"/>
      </w:pPr>
      <w:r w:rsidRPr="004843E9">
        <w:t>Registration status</w:t>
      </w:r>
    </w:p>
    <w:p w:rsidR="00CC4B99" w:rsidRPr="004843E9" w:rsidRDefault="00CC4B99" w:rsidP="00A25AA4">
      <w:pPr>
        <w:pStyle w:val="3-BodyText"/>
        <w:numPr>
          <w:ilvl w:val="1"/>
          <w:numId w:val="1"/>
        </w:numPr>
      </w:pPr>
      <w:r w:rsidRPr="004843E9">
        <w:t>FA</w:t>
      </w:r>
      <w:r w:rsidR="00A01432" w:rsidRPr="004843E9">
        <w:t xml:space="preserve"> was TGA registered on </w:t>
      </w:r>
      <w:r w:rsidRPr="004843E9">
        <w:t>29 July 2019 for the treatment of DMO in patients who have been previously treated with a course of corticosteroids (CS) and did not have a clinically significant rise in intraocular pressure (IOP).</w:t>
      </w:r>
    </w:p>
    <w:p w:rsidR="00A01432" w:rsidRPr="004843E9" w:rsidRDefault="00A01432" w:rsidP="001D5429">
      <w:pPr>
        <w:pStyle w:val="4-SubsectionHeading"/>
      </w:pPr>
      <w:r w:rsidRPr="004843E9">
        <w:t xml:space="preserve">Previous PBAC consideration </w:t>
      </w:r>
    </w:p>
    <w:p w:rsidR="009F4E5E" w:rsidRPr="004843E9" w:rsidRDefault="00E67CF6" w:rsidP="00A25AA4">
      <w:pPr>
        <w:pStyle w:val="3Bodytext"/>
        <w:jc w:val="both"/>
        <w:rPr>
          <w:i/>
        </w:rPr>
      </w:pPr>
      <w:r w:rsidRPr="004843E9">
        <w:t>At its March 2020 meeting, t</w:t>
      </w:r>
      <w:r w:rsidR="00C909F9" w:rsidRPr="004843E9">
        <w:t xml:space="preserve">he </w:t>
      </w:r>
      <w:r w:rsidR="00C909F9" w:rsidRPr="004843E9">
        <w:rPr>
          <w:bCs/>
        </w:rPr>
        <w:t xml:space="preserve">PBAC recommended the </w:t>
      </w:r>
      <w:r w:rsidR="00E12017" w:rsidRPr="004843E9">
        <w:rPr>
          <w:bCs/>
        </w:rPr>
        <w:t>A</w:t>
      </w:r>
      <w:r w:rsidR="00C909F9" w:rsidRPr="004843E9">
        <w:rPr>
          <w:bCs/>
        </w:rPr>
        <w:t xml:space="preserve">uthority </w:t>
      </w:r>
      <w:proofErr w:type="gramStart"/>
      <w:r w:rsidR="00E12017" w:rsidRPr="004843E9">
        <w:rPr>
          <w:bCs/>
        </w:rPr>
        <w:t>R</w:t>
      </w:r>
      <w:r w:rsidR="00C909F9" w:rsidRPr="004843E9">
        <w:rPr>
          <w:bCs/>
        </w:rPr>
        <w:t>equired</w:t>
      </w:r>
      <w:proofErr w:type="gramEnd"/>
      <w:r w:rsidR="00C909F9" w:rsidRPr="004843E9">
        <w:rPr>
          <w:bCs/>
        </w:rPr>
        <w:t xml:space="preserve"> listing of FA</w:t>
      </w:r>
      <w:r w:rsidR="00C909F9" w:rsidRPr="004843E9">
        <w:t xml:space="preserve"> for the treatment of DMO in patients who are unsuitable for, contraindicated to, or have failed treatment with VEGF inhibitors (</w:t>
      </w:r>
      <w:r w:rsidR="007A47FD" w:rsidRPr="004843E9">
        <w:t xml:space="preserve">paragraph 7.1, </w:t>
      </w:r>
      <w:r w:rsidR="00910AC5" w:rsidRPr="004843E9">
        <w:t>FA</w:t>
      </w:r>
      <w:r w:rsidR="00C909F9" w:rsidRPr="004843E9">
        <w:t xml:space="preserve"> PSD, March 2020)</w:t>
      </w:r>
      <w:r w:rsidR="00AA2E28" w:rsidRPr="004843E9">
        <w:t>.</w:t>
      </w:r>
    </w:p>
    <w:p w:rsidR="00C909F9" w:rsidRPr="004843E9" w:rsidRDefault="009F4E5E" w:rsidP="00A25AA4">
      <w:pPr>
        <w:pStyle w:val="3Bodytext"/>
        <w:jc w:val="both"/>
        <w:rPr>
          <w:i/>
        </w:rPr>
      </w:pPr>
      <w:r w:rsidRPr="004843E9">
        <w:t xml:space="preserve">The PBAC </w:t>
      </w:r>
      <w:r w:rsidR="00921841" w:rsidRPr="004843E9">
        <w:t>recommended</w:t>
      </w:r>
      <w:r w:rsidRPr="004843E9">
        <w:t xml:space="preserve"> the equi-effective doses should be 1.3 administrations of </w:t>
      </w:r>
      <w:r w:rsidR="00921841" w:rsidRPr="004843E9">
        <w:rPr>
          <w:rFonts w:cs="Calibri"/>
        </w:rPr>
        <w:t>FA</w:t>
      </w:r>
      <w:r w:rsidRPr="004843E9">
        <w:t xml:space="preserve"> and 4.11 administrations of </w:t>
      </w:r>
      <w:r w:rsidR="00921841" w:rsidRPr="004843E9">
        <w:t>DEX</w:t>
      </w:r>
      <w:r w:rsidRPr="004843E9">
        <w:t xml:space="preserve"> over 36 months based on the mean doses in the MEAD and FAME studies</w:t>
      </w:r>
      <w:r w:rsidR="00E12017" w:rsidRPr="004843E9">
        <w:t>,</w:t>
      </w:r>
      <w:r w:rsidR="00921841" w:rsidRPr="004843E9">
        <w:t xml:space="preserve"> given the clinical claim of non-inferiority between FA and DEX was based on</w:t>
      </w:r>
      <w:r w:rsidR="00E12017" w:rsidRPr="004843E9">
        <w:t xml:space="preserve"> an</w:t>
      </w:r>
      <w:r w:rsidR="00921841" w:rsidRPr="004843E9">
        <w:t xml:space="preserve"> indirect comparison using </w:t>
      </w:r>
      <w:r w:rsidR="006958BB" w:rsidRPr="004843E9">
        <w:t>the same</w:t>
      </w:r>
      <w:r w:rsidR="00921841" w:rsidRPr="004843E9">
        <w:t xml:space="preserve"> trials</w:t>
      </w:r>
      <w:r w:rsidR="00C909F9" w:rsidRPr="004843E9">
        <w:t xml:space="preserve"> </w:t>
      </w:r>
      <w:r w:rsidR="00E93E87" w:rsidRPr="004843E9">
        <w:t xml:space="preserve">(paragraph 7.2, </w:t>
      </w:r>
      <w:r w:rsidR="00910AC5" w:rsidRPr="004843E9">
        <w:t>FA</w:t>
      </w:r>
      <w:r w:rsidR="00E93E87" w:rsidRPr="004843E9">
        <w:t xml:space="preserve"> PSD, March 2020)</w:t>
      </w:r>
      <w:r w:rsidR="00E12017" w:rsidRPr="004843E9">
        <w:t>.</w:t>
      </w:r>
    </w:p>
    <w:p w:rsidR="00A01432" w:rsidRPr="004843E9" w:rsidRDefault="001738D2" w:rsidP="00A25AA4">
      <w:pPr>
        <w:pStyle w:val="3Bodytext"/>
        <w:jc w:val="both"/>
        <w:rPr>
          <w:lang w:eastAsia="en-US"/>
        </w:rPr>
      </w:pPr>
      <w:r w:rsidRPr="004843E9">
        <w:rPr>
          <w:rFonts w:cstheme="minorHAnsi"/>
          <w:szCs w:val="24"/>
        </w:rPr>
        <w:t>Table 1 provides a summary of the key issues identified by the PBAC at the March 2020 meeting and the manner in which the minor resubmission has addressed them.</w:t>
      </w:r>
    </w:p>
    <w:p w:rsidR="00A01432" w:rsidRPr="004843E9" w:rsidRDefault="00A01432" w:rsidP="00917D69">
      <w:pPr>
        <w:pStyle w:val="Tabletitles"/>
        <w:keepNext/>
      </w:pPr>
      <w:r w:rsidRPr="004843E9">
        <w:lastRenderedPageBreak/>
        <w:t>Table</w:t>
      </w:r>
      <w:r w:rsidR="002A1EF7" w:rsidRPr="004843E9">
        <w:t xml:space="preserve"> </w:t>
      </w:r>
      <w:r w:rsidR="001738D2" w:rsidRPr="004843E9">
        <w:rPr>
          <w:rFonts w:eastAsiaTheme="majorEastAsia"/>
        </w:rPr>
        <w:t>1</w:t>
      </w:r>
      <w:r w:rsidR="002A1EF7" w:rsidRPr="004843E9">
        <w:rPr>
          <w:rFonts w:eastAsiaTheme="majorEastAsia"/>
        </w:rPr>
        <w:t>:</w:t>
      </w:r>
      <w:r w:rsidRPr="004843E9">
        <w:t xml:space="preserve"> </w:t>
      </w:r>
      <w:r w:rsidR="001738D2" w:rsidRPr="004843E9">
        <w:t xml:space="preserve">Key issues identified by the </w:t>
      </w:r>
      <w:r w:rsidRPr="004843E9">
        <w:t xml:space="preserve">PBAC in </w:t>
      </w:r>
      <w:r w:rsidR="00C92E47" w:rsidRPr="004843E9">
        <w:t>March 2020</w:t>
      </w:r>
      <w:r w:rsidR="001738D2" w:rsidRPr="004843E9">
        <w:t xml:space="preserve"> and how they were addressed in the minor resubmission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90"/>
        <w:gridCol w:w="4626"/>
      </w:tblGrid>
      <w:tr w:rsidR="00A01432" w:rsidRPr="004843E9" w:rsidTr="00A630B9">
        <w:trPr>
          <w:trHeight w:val="240"/>
        </w:trPr>
        <w:tc>
          <w:tcPr>
            <w:tcW w:w="4390" w:type="dxa"/>
            <w:tcBorders>
              <w:top w:val="single" w:sz="4" w:space="0" w:color="auto"/>
              <w:left w:val="single" w:sz="4" w:space="0" w:color="auto"/>
              <w:bottom w:val="single" w:sz="4" w:space="0" w:color="auto"/>
              <w:right w:val="single" w:sz="4" w:space="0" w:color="auto"/>
            </w:tcBorders>
            <w:hideMark/>
          </w:tcPr>
          <w:p w:rsidR="00A01432" w:rsidRPr="004843E9" w:rsidRDefault="00A01432" w:rsidP="00917D69">
            <w:pPr>
              <w:pStyle w:val="TableText0"/>
              <w:rPr>
                <w:b/>
              </w:rPr>
            </w:pPr>
            <w:r w:rsidRPr="004843E9">
              <w:rPr>
                <w:b/>
              </w:rPr>
              <w:t>Matters of concern</w:t>
            </w:r>
            <w:r w:rsidR="000A4C1B" w:rsidRPr="004843E9">
              <w:rPr>
                <w:b/>
              </w:rPr>
              <w:t xml:space="preserve"> from March 2020</w:t>
            </w:r>
          </w:p>
        </w:tc>
        <w:tc>
          <w:tcPr>
            <w:tcW w:w="4626" w:type="dxa"/>
            <w:tcBorders>
              <w:top w:val="single" w:sz="4" w:space="0" w:color="auto"/>
              <w:left w:val="single" w:sz="4" w:space="0" w:color="auto"/>
              <w:bottom w:val="single" w:sz="4" w:space="0" w:color="auto"/>
              <w:right w:val="single" w:sz="4" w:space="0" w:color="auto"/>
            </w:tcBorders>
            <w:hideMark/>
          </w:tcPr>
          <w:p w:rsidR="00A01432" w:rsidRPr="004843E9" w:rsidRDefault="00A01432" w:rsidP="00917D69">
            <w:pPr>
              <w:pStyle w:val="TableText0"/>
              <w:rPr>
                <w:b/>
              </w:rPr>
            </w:pPr>
            <w:r w:rsidRPr="004843E9">
              <w:rPr>
                <w:b/>
              </w:rPr>
              <w:t>How the</w:t>
            </w:r>
            <w:r w:rsidR="00681529" w:rsidRPr="004843E9">
              <w:rPr>
                <w:b/>
              </w:rPr>
              <w:t xml:space="preserve"> November 2020</w:t>
            </w:r>
            <w:r w:rsidRPr="004843E9">
              <w:rPr>
                <w:b/>
              </w:rPr>
              <w:t xml:space="preserve"> resubmission addresses it</w:t>
            </w:r>
          </w:p>
        </w:tc>
      </w:tr>
      <w:tr w:rsidR="00A01432" w:rsidRPr="004843E9" w:rsidTr="00A630B9">
        <w:trPr>
          <w:trHeight w:val="2128"/>
        </w:trPr>
        <w:tc>
          <w:tcPr>
            <w:tcW w:w="4390" w:type="dxa"/>
            <w:tcBorders>
              <w:top w:val="single" w:sz="4" w:space="0" w:color="auto"/>
              <w:left w:val="single" w:sz="4" w:space="0" w:color="auto"/>
              <w:bottom w:val="single" w:sz="4" w:space="0" w:color="auto"/>
              <w:right w:val="single" w:sz="4" w:space="0" w:color="auto"/>
            </w:tcBorders>
            <w:hideMark/>
          </w:tcPr>
          <w:p w:rsidR="00A01432" w:rsidRPr="004843E9" w:rsidRDefault="00A90743" w:rsidP="00917D69">
            <w:pPr>
              <w:pStyle w:val="TableText0"/>
            </w:pPr>
            <w:r w:rsidRPr="004843E9">
              <w:t>[paragraph 7.2] The PBAC noted the equi-effective doses proposed in the submission were not based on the clinical evidence presented to support the non-inferiority claim and considered this was not appropriate. The PBAC advised the equi-effective doses should be 1.3 administrations of FA and 4.11 administrations of DEX over 36 months as this reflects the mean doses in the MEAD and FAME studies presented in the submission.</w:t>
            </w:r>
          </w:p>
        </w:tc>
        <w:tc>
          <w:tcPr>
            <w:tcW w:w="4626" w:type="dxa"/>
            <w:tcBorders>
              <w:top w:val="single" w:sz="4" w:space="0" w:color="auto"/>
              <w:left w:val="single" w:sz="4" w:space="0" w:color="auto"/>
              <w:bottom w:val="single" w:sz="4" w:space="0" w:color="auto"/>
              <w:right w:val="single" w:sz="4" w:space="0" w:color="auto"/>
            </w:tcBorders>
          </w:tcPr>
          <w:p w:rsidR="00A630B9" w:rsidRPr="004843E9" w:rsidRDefault="00A630B9" w:rsidP="00917D69">
            <w:pPr>
              <w:pStyle w:val="TableText0"/>
            </w:pPr>
            <w:r w:rsidRPr="004843E9">
              <w:t>The Sponsor has stated that patients treated with FA would receive 1 implant over 36 months, which is consistent with</w:t>
            </w:r>
            <w:r w:rsidR="002974C7" w:rsidRPr="004843E9">
              <w:t xml:space="preserve"> most patients with breakthrough oedema being treated with an anti-VEGF therapy and not an additional FA implant.</w:t>
            </w:r>
          </w:p>
          <w:p w:rsidR="00A630B9" w:rsidRPr="004843E9" w:rsidRDefault="00A630B9" w:rsidP="00917D69">
            <w:pPr>
              <w:pStyle w:val="TableText0"/>
            </w:pPr>
          </w:p>
          <w:p w:rsidR="00752724" w:rsidRPr="004843E9" w:rsidRDefault="00A630B9" w:rsidP="00917D69">
            <w:pPr>
              <w:pStyle w:val="TableText0"/>
            </w:pPr>
            <w:r w:rsidRPr="004843E9">
              <w:t>The Sponsor has stated</w:t>
            </w:r>
            <w:r w:rsidR="00752724" w:rsidRPr="004843E9">
              <w:t xml:space="preserve"> that patients treated with DEX would receive 6.48 implants </w:t>
            </w:r>
            <w:r w:rsidR="00254342" w:rsidRPr="004843E9">
              <w:t>over 36-months</w:t>
            </w:r>
            <w:r w:rsidR="00752724" w:rsidRPr="004843E9">
              <w:t xml:space="preserve">, which is consistent with the PBAC’s previous recommendation regarding </w:t>
            </w:r>
            <w:proofErr w:type="spellStart"/>
            <w:r w:rsidR="00752724" w:rsidRPr="004843E9">
              <w:t>Ozurdex</w:t>
            </w:r>
            <w:proofErr w:type="spellEnd"/>
            <w:r w:rsidR="002974C7" w:rsidRPr="004843E9">
              <w:t xml:space="preserve"> (</w:t>
            </w:r>
            <w:r w:rsidR="00027ED4" w:rsidRPr="004843E9">
              <w:t xml:space="preserve">paragraph 6.34, DEX </w:t>
            </w:r>
            <w:r w:rsidR="002974C7" w:rsidRPr="004843E9">
              <w:t>PSD</w:t>
            </w:r>
            <w:r w:rsidR="00027ED4" w:rsidRPr="004843E9">
              <w:t>, March 2016</w:t>
            </w:r>
            <w:r w:rsidR="002974C7" w:rsidRPr="004843E9">
              <w:t>)</w:t>
            </w:r>
            <w:r w:rsidR="00752724" w:rsidRPr="004843E9">
              <w:t>, the clinical data presented in Section 2 and Australian clinical practice.</w:t>
            </w:r>
          </w:p>
          <w:p w:rsidR="00752724" w:rsidRPr="004843E9" w:rsidRDefault="00752724" w:rsidP="00917D69">
            <w:pPr>
              <w:pStyle w:val="TableText0"/>
            </w:pPr>
          </w:p>
          <w:p w:rsidR="00A01432" w:rsidRPr="004843E9" w:rsidRDefault="00057249" w:rsidP="00917D69">
            <w:pPr>
              <w:pStyle w:val="TableText0"/>
            </w:pPr>
            <w:r w:rsidRPr="004843E9">
              <w:t xml:space="preserve">The Sponsor has reiterated the claim from the March 2020 submission that the appropriate equi-effective dose is </w:t>
            </w:r>
            <w:r w:rsidR="00A630B9" w:rsidRPr="004843E9">
              <w:t>1 dose</w:t>
            </w:r>
            <w:r w:rsidR="00254342" w:rsidRPr="004843E9">
              <w:t xml:space="preserve"> FA</w:t>
            </w:r>
            <w:r w:rsidR="00A630B9" w:rsidRPr="004843E9">
              <w:t xml:space="preserve"> and 6.48</w:t>
            </w:r>
            <w:r w:rsidR="00254342" w:rsidRPr="004843E9">
              <w:t xml:space="preserve"> doses DEX over 36 months.</w:t>
            </w:r>
          </w:p>
        </w:tc>
      </w:tr>
      <w:tr w:rsidR="002974C7" w:rsidRPr="004843E9" w:rsidTr="00A630B9">
        <w:trPr>
          <w:trHeight w:val="788"/>
        </w:trPr>
        <w:tc>
          <w:tcPr>
            <w:tcW w:w="4390" w:type="dxa"/>
            <w:tcBorders>
              <w:top w:val="single" w:sz="4" w:space="0" w:color="auto"/>
              <w:left w:val="single" w:sz="4" w:space="0" w:color="auto"/>
              <w:bottom w:val="single" w:sz="4" w:space="0" w:color="auto"/>
              <w:right w:val="single" w:sz="4" w:space="0" w:color="auto"/>
            </w:tcBorders>
          </w:tcPr>
          <w:p w:rsidR="002974C7" w:rsidRPr="004843E9" w:rsidRDefault="002974C7" w:rsidP="00917D69">
            <w:pPr>
              <w:pStyle w:val="TableText0"/>
              <w:rPr>
                <w:highlight w:val="yellow"/>
              </w:rPr>
            </w:pPr>
            <w:r w:rsidRPr="004843E9">
              <w:t>[paragraph 6.29] The CMA assumed 11.04 ophthalmologist visits for patients treated with FA and 14.42 for patients treated with DEX over 36 months. The methodology for calculating the number of ophthalmologist visits was uncertain and the assumptions applied were not justified in the submission. The PBAC agreed with ESC that the number of ophthalmology visits over 36 months for patients receiving either FA or DEX should not be different.</w:t>
            </w:r>
          </w:p>
        </w:tc>
        <w:tc>
          <w:tcPr>
            <w:tcW w:w="4626" w:type="dxa"/>
            <w:tcBorders>
              <w:top w:val="single" w:sz="4" w:space="0" w:color="auto"/>
              <w:left w:val="single" w:sz="4" w:space="0" w:color="auto"/>
              <w:bottom w:val="single" w:sz="4" w:space="0" w:color="auto"/>
              <w:right w:val="single" w:sz="4" w:space="0" w:color="auto"/>
            </w:tcBorders>
          </w:tcPr>
          <w:p w:rsidR="002974C7" w:rsidRPr="004843E9" w:rsidRDefault="00027ED4" w:rsidP="002F4B01">
            <w:pPr>
              <w:pStyle w:val="TableText0"/>
              <w:rPr>
                <w:highlight w:val="yellow"/>
              </w:rPr>
            </w:pPr>
            <w:r w:rsidRPr="004843E9">
              <w:t xml:space="preserve">The Sponsor has </w:t>
            </w:r>
            <w:r w:rsidR="002F4B01" w:rsidRPr="004843E9">
              <w:t>specified</w:t>
            </w:r>
            <w:r w:rsidRPr="004843E9">
              <w:t xml:space="preserve"> in the CMA that FA patients will have 1 ophthalmologist visit and DEX patients will have 6.48 ophthalmologist visits over 36 months.</w:t>
            </w:r>
          </w:p>
        </w:tc>
      </w:tr>
      <w:tr w:rsidR="002974C7" w:rsidRPr="004843E9" w:rsidTr="00A630B9">
        <w:trPr>
          <w:trHeight w:val="788"/>
        </w:trPr>
        <w:tc>
          <w:tcPr>
            <w:tcW w:w="4390" w:type="dxa"/>
            <w:tcBorders>
              <w:top w:val="single" w:sz="4" w:space="0" w:color="auto"/>
              <w:left w:val="single" w:sz="4" w:space="0" w:color="auto"/>
              <w:bottom w:val="single" w:sz="4" w:space="0" w:color="auto"/>
              <w:right w:val="single" w:sz="4" w:space="0" w:color="auto"/>
            </w:tcBorders>
          </w:tcPr>
          <w:p w:rsidR="002974C7" w:rsidRPr="004843E9" w:rsidRDefault="000F3F7F" w:rsidP="00917D69">
            <w:pPr>
              <w:pStyle w:val="TableText0"/>
            </w:pPr>
            <w:r w:rsidRPr="004843E9">
              <w:t xml:space="preserve">[paragraph 6:30] The CMA included the cost of concomitant use of VEGF inhibitors and </w:t>
            </w:r>
            <w:proofErr w:type="spellStart"/>
            <w:r w:rsidRPr="004843E9">
              <w:t>intravitreal</w:t>
            </w:r>
            <w:proofErr w:type="spellEnd"/>
            <w:r w:rsidRPr="004843E9">
              <w:t xml:space="preserve"> steroids for FA and DEX. The submission applied the rates of concomitant treatment observed in the FAME studies (3.2% for VEGF inhibitors, 8.2% for </w:t>
            </w:r>
            <w:proofErr w:type="spellStart"/>
            <w:r w:rsidRPr="004843E9">
              <w:t>intravitreal</w:t>
            </w:r>
            <w:proofErr w:type="spellEnd"/>
            <w:r w:rsidRPr="004843E9">
              <w:t xml:space="preserve"> steroids) to FA and assumed a rate of treatment (2.7% for VEGF inhibitors, 6.9% for </w:t>
            </w:r>
            <w:proofErr w:type="spellStart"/>
            <w:r w:rsidRPr="004843E9">
              <w:t>intravitreal</w:t>
            </w:r>
            <w:proofErr w:type="spellEnd"/>
            <w:r w:rsidRPr="004843E9">
              <w:t xml:space="preserve"> steroids) for DEX. The ESC considered the estimated proportions of use were highly uncertain and the assumption only one injection of VEGF inhibitors or </w:t>
            </w:r>
            <w:proofErr w:type="spellStart"/>
            <w:r w:rsidRPr="004843E9">
              <w:t>intravitreal</w:t>
            </w:r>
            <w:proofErr w:type="spellEnd"/>
            <w:r w:rsidRPr="004843E9">
              <w:t xml:space="preserve"> steroids would be received per patient over the 36 month timeframe was poorly supported.</w:t>
            </w:r>
          </w:p>
        </w:tc>
        <w:tc>
          <w:tcPr>
            <w:tcW w:w="4626" w:type="dxa"/>
            <w:tcBorders>
              <w:top w:val="single" w:sz="4" w:space="0" w:color="auto"/>
              <w:left w:val="single" w:sz="4" w:space="0" w:color="auto"/>
              <w:bottom w:val="single" w:sz="4" w:space="0" w:color="auto"/>
              <w:right w:val="single" w:sz="4" w:space="0" w:color="auto"/>
            </w:tcBorders>
          </w:tcPr>
          <w:p w:rsidR="002974C7" w:rsidRPr="004843E9" w:rsidRDefault="002F4B01" w:rsidP="00917D69">
            <w:pPr>
              <w:pStyle w:val="TableText0"/>
            </w:pPr>
            <w:r w:rsidRPr="004843E9">
              <w:t xml:space="preserve">The Sponsor has specified in the CMA that </w:t>
            </w:r>
            <w:r w:rsidR="000F3F7F" w:rsidRPr="004843E9">
              <w:t xml:space="preserve">FA patients will have 1 administration of </w:t>
            </w:r>
            <w:proofErr w:type="spellStart"/>
            <w:r w:rsidR="000F3F7F" w:rsidRPr="004843E9">
              <w:t>intravitreal</w:t>
            </w:r>
            <w:proofErr w:type="spellEnd"/>
            <w:r w:rsidR="000F3F7F" w:rsidRPr="004843E9">
              <w:t xml:space="preserve"> steroids and </w:t>
            </w:r>
            <w:r w:rsidR="002923A7" w:rsidRPr="004843E9">
              <w:t xml:space="preserve">DEX patients will have 6.48 administrations of </w:t>
            </w:r>
            <w:proofErr w:type="spellStart"/>
            <w:r w:rsidR="002923A7" w:rsidRPr="004843E9">
              <w:t>intravitreal</w:t>
            </w:r>
            <w:proofErr w:type="spellEnd"/>
            <w:r w:rsidR="002923A7" w:rsidRPr="004843E9">
              <w:t xml:space="preserve"> steroids.</w:t>
            </w:r>
          </w:p>
          <w:p w:rsidR="002923A7" w:rsidRPr="004843E9" w:rsidRDefault="002923A7" w:rsidP="00917D69">
            <w:pPr>
              <w:pStyle w:val="TableText0"/>
            </w:pPr>
          </w:p>
          <w:p w:rsidR="00190497" w:rsidRPr="004843E9" w:rsidRDefault="002923A7" w:rsidP="00190497">
            <w:pPr>
              <w:pStyle w:val="TableText0"/>
            </w:pPr>
            <w:r w:rsidRPr="004843E9">
              <w:t>The Sponsor has specified in the CMA that the same proportion of patients retreated with FA in t</w:t>
            </w:r>
            <w:r w:rsidR="00874C95" w:rsidRPr="004843E9">
              <w:t xml:space="preserve">he FAME studies will instead be </w:t>
            </w:r>
            <w:r w:rsidRPr="004843E9">
              <w:t>treated with</w:t>
            </w:r>
            <w:r w:rsidR="00874C95" w:rsidRPr="004843E9">
              <w:t xml:space="preserve"> concomitant</w:t>
            </w:r>
            <w:r w:rsidRPr="004843E9">
              <w:t xml:space="preserve"> anti-VEGF therapy</w:t>
            </w:r>
            <w:r w:rsidR="00874C95" w:rsidRPr="004843E9">
              <w:t xml:space="preserve"> for breakthrough oedema within 36 months</w:t>
            </w:r>
            <w:r w:rsidRPr="004843E9">
              <w:t>, and DEX patients w</w:t>
            </w:r>
            <w:r w:rsidR="00874C95" w:rsidRPr="004843E9">
              <w:t xml:space="preserve">ill not be </w:t>
            </w:r>
            <w:r w:rsidRPr="004843E9">
              <w:t>treated</w:t>
            </w:r>
            <w:r w:rsidR="00874C95" w:rsidRPr="004843E9">
              <w:t xml:space="preserve"> with concomitant anti-VEGF therapy during the treatment period</w:t>
            </w:r>
            <w:r w:rsidRPr="004843E9">
              <w:t xml:space="preserve">. </w:t>
            </w:r>
          </w:p>
        </w:tc>
      </w:tr>
    </w:tbl>
    <w:p w:rsidR="00681529" w:rsidRPr="004843E9" w:rsidRDefault="002974C7" w:rsidP="00681529">
      <w:pPr>
        <w:pStyle w:val="TableFigureFooter"/>
        <w:keepNext/>
        <w:rPr>
          <w:lang w:eastAsia="en-US"/>
        </w:rPr>
      </w:pPr>
      <w:r w:rsidRPr="004843E9">
        <w:rPr>
          <w:lang w:eastAsia="en-US"/>
        </w:rPr>
        <w:t xml:space="preserve">CMA = cost minimisation analysis; </w:t>
      </w:r>
      <w:r w:rsidR="00681529" w:rsidRPr="004843E9">
        <w:rPr>
          <w:lang w:eastAsia="en-US"/>
        </w:rPr>
        <w:t>DE</w:t>
      </w:r>
      <w:r w:rsidR="002F4B01" w:rsidRPr="004843E9">
        <w:rPr>
          <w:lang w:eastAsia="en-US"/>
        </w:rPr>
        <w:t xml:space="preserve">X = dexamethasone; </w:t>
      </w:r>
      <w:r w:rsidR="00681529" w:rsidRPr="004843E9">
        <w:rPr>
          <w:lang w:eastAsia="en-US"/>
        </w:rPr>
        <w:t xml:space="preserve">FA = </w:t>
      </w:r>
      <w:proofErr w:type="spellStart"/>
      <w:r w:rsidR="00681529" w:rsidRPr="004843E9">
        <w:rPr>
          <w:lang w:eastAsia="en-US"/>
        </w:rPr>
        <w:t>fluocinolone</w:t>
      </w:r>
      <w:proofErr w:type="spellEnd"/>
      <w:r w:rsidR="00681529" w:rsidRPr="004843E9">
        <w:rPr>
          <w:lang w:eastAsia="en-US"/>
        </w:rPr>
        <w:t xml:space="preserve"> acetate;</w:t>
      </w:r>
      <w:r w:rsidR="00BC1D8D" w:rsidRPr="004843E9">
        <w:rPr>
          <w:lang w:eastAsia="en-US"/>
        </w:rPr>
        <w:t xml:space="preserve"> PSD = Public Summary Document;</w:t>
      </w:r>
      <w:r w:rsidR="00681529" w:rsidRPr="004843E9">
        <w:rPr>
          <w:lang w:eastAsia="en-US"/>
        </w:rPr>
        <w:t xml:space="preserve"> VEGF = </w:t>
      </w:r>
      <w:r w:rsidR="00681529" w:rsidRPr="004843E9">
        <w:rPr>
          <w:szCs w:val="18"/>
        </w:rPr>
        <w:t>vascular endothelial growth factor.</w:t>
      </w:r>
    </w:p>
    <w:p w:rsidR="00A01432" w:rsidRPr="004843E9" w:rsidRDefault="00A01432" w:rsidP="00681529">
      <w:pPr>
        <w:pStyle w:val="TableFigureFooter"/>
        <w:keepNext/>
        <w:rPr>
          <w:lang w:eastAsia="en-US"/>
        </w:rPr>
      </w:pPr>
      <w:r w:rsidRPr="004843E9">
        <w:rPr>
          <w:lang w:eastAsia="en-US"/>
        </w:rPr>
        <w:t>Source: Co</w:t>
      </w:r>
      <w:r w:rsidR="00681529" w:rsidRPr="004843E9">
        <w:rPr>
          <w:lang w:eastAsia="en-US"/>
        </w:rPr>
        <w:t xml:space="preserve">mpiled during the evaluation. Paragraph references for March 2020 refer to the </w:t>
      </w:r>
      <w:proofErr w:type="spellStart"/>
      <w:r w:rsidR="00681529" w:rsidRPr="004843E9">
        <w:rPr>
          <w:lang w:eastAsia="en-US"/>
        </w:rPr>
        <w:t>fluocinolone</w:t>
      </w:r>
      <w:proofErr w:type="spellEnd"/>
      <w:r w:rsidR="00681529" w:rsidRPr="004843E9">
        <w:rPr>
          <w:lang w:eastAsia="en-US"/>
        </w:rPr>
        <w:t xml:space="preserve"> Public Summary Document.</w:t>
      </w:r>
    </w:p>
    <w:p w:rsidR="007624DD" w:rsidRPr="004843E9" w:rsidRDefault="007624DD" w:rsidP="007624DD">
      <w:pPr>
        <w:pStyle w:val="3Bodytext"/>
        <w:numPr>
          <w:ilvl w:val="0"/>
          <w:numId w:val="0"/>
        </w:numPr>
        <w:ind w:left="720"/>
        <w:rPr>
          <w:i/>
          <w:lang w:eastAsia="en-US"/>
        </w:rPr>
      </w:pPr>
      <w:r w:rsidRPr="004843E9">
        <w:rPr>
          <w:i/>
        </w:rPr>
        <w:t xml:space="preserve">For more detail on PBAC’s view, see section </w:t>
      </w:r>
      <w:r w:rsidR="003A4FF6" w:rsidRPr="004843E9">
        <w:rPr>
          <w:i/>
        </w:rPr>
        <w:t xml:space="preserve">6 </w:t>
      </w:r>
      <w:r w:rsidRPr="004843E9">
        <w:rPr>
          <w:i/>
        </w:rPr>
        <w:t>PBAC outcome.</w:t>
      </w:r>
    </w:p>
    <w:p w:rsidR="00B17EE5" w:rsidRPr="004843E9" w:rsidRDefault="00B17EE5" w:rsidP="001D5429">
      <w:pPr>
        <w:pStyle w:val="2-SectionHeading"/>
      </w:pPr>
      <w:r w:rsidRPr="004843E9">
        <w:t>Requested listing</w:t>
      </w:r>
    </w:p>
    <w:p w:rsidR="00B17EE5" w:rsidRPr="004843E9" w:rsidRDefault="00B17EE5" w:rsidP="00A25AA4">
      <w:pPr>
        <w:pStyle w:val="3Bodytext"/>
        <w:jc w:val="both"/>
      </w:pPr>
      <w:r w:rsidRPr="004843E9">
        <w:t>The submission</w:t>
      </w:r>
      <w:r w:rsidR="00A36BCB">
        <w:t xml:space="preserve"> requested</w:t>
      </w:r>
      <w:r w:rsidRPr="004843E9">
        <w:t xml:space="preserve"> </w:t>
      </w:r>
      <w:r w:rsidR="00DC5572" w:rsidRPr="004843E9">
        <w:t xml:space="preserve">the </w:t>
      </w:r>
      <w:r w:rsidRPr="004843E9">
        <w:t>following listing</w:t>
      </w:r>
      <w:r w:rsidR="00A36BCB">
        <w:t xml:space="preserve"> in the resubmission. The Sponsor agreed to the restriction</w:t>
      </w:r>
      <w:r w:rsidR="00DC5572" w:rsidRPr="004843E9">
        <w:t xml:space="preserve"> recommended by the PBAC</w:t>
      </w:r>
      <w:r w:rsidR="00E54D3A" w:rsidRPr="004843E9">
        <w:t xml:space="preserve"> at its March 2020 meeting</w:t>
      </w:r>
      <w:r w:rsidR="00A36BCB">
        <w:t>.</w:t>
      </w:r>
    </w:p>
    <w:p w:rsidR="00870AEB" w:rsidRDefault="00870AE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986"/>
        <w:gridCol w:w="986"/>
        <w:gridCol w:w="986"/>
        <w:gridCol w:w="988"/>
        <w:gridCol w:w="846"/>
        <w:gridCol w:w="1551"/>
      </w:tblGrid>
      <w:tr w:rsidR="005C76F9" w:rsidRPr="004843E9" w:rsidTr="004514EA">
        <w:trPr>
          <w:cantSplit/>
          <w:trHeight w:val="408"/>
        </w:trPr>
        <w:tc>
          <w:tcPr>
            <w:tcW w:w="1482" w:type="pct"/>
          </w:tcPr>
          <w:p w:rsidR="005C76F9" w:rsidRPr="004843E9" w:rsidRDefault="005C76F9" w:rsidP="00E54D3A">
            <w:pPr>
              <w:rPr>
                <w:rFonts w:ascii="Arial Narrow" w:hAnsi="Arial Narrow" w:cs="Arial"/>
                <w:b/>
                <w:sz w:val="18"/>
                <w:szCs w:val="18"/>
              </w:rPr>
            </w:pPr>
            <w:r w:rsidRPr="004843E9">
              <w:rPr>
                <w:rFonts w:ascii="Arial Narrow" w:hAnsi="Arial Narrow" w:cs="Arial"/>
                <w:b/>
                <w:sz w:val="18"/>
                <w:szCs w:val="18"/>
              </w:rPr>
              <w:lastRenderedPageBreak/>
              <w:t>Name, Restriction,</w:t>
            </w:r>
          </w:p>
          <w:p w:rsidR="005C76F9" w:rsidRPr="004843E9" w:rsidRDefault="005C76F9" w:rsidP="00E54D3A">
            <w:pPr>
              <w:rPr>
                <w:rFonts w:ascii="Arial Narrow" w:hAnsi="Arial Narrow" w:cs="Arial"/>
                <w:b/>
                <w:sz w:val="18"/>
                <w:szCs w:val="18"/>
              </w:rPr>
            </w:pPr>
            <w:r w:rsidRPr="004843E9">
              <w:rPr>
                <w:rFonts w:ascii="Arial Narrow" w:hAnsi="Arial Narrow" w:cs="Arial"/>
                <w:b/>
                <w:sz w:val="18"/>
                <w:szCs w:val="18"/>
              </w:rPr>
              <w:t>Manner of administration and form</w:t>
            </w:r>
          </w:p>
        </w:tc>
        <w:tc>
          <w:tcPr>
            <w:tcW w:w="547" w:type="pct"/>
          </w:tcPr>
          <w:p w:rsidR="005C76F9" w:rsidRPr="004843E9" w:rsidRDefault="005C76F9" w:rsidP="00E54D3A">
            <w:pPr>
              <w:jc w:val="center"/>
              <w:rPr>
                <w:rFonts w:ascii="Arial Narrow" w:hAnsi="Arial Narrow" w:cs="Arial"/>
                <w:b/>
                <w:sz w:val="18"/>
                <w:szCs w:val="18"/>
              </w:rPr>
            </w:pPr>
            <w:proofErr w:type="spellStart"/>
            <w:r w:rsidRPr="004843E9">
              <w:rPr>
                <w:rFonts w:ascii="Arial Narrow" w:hAnsi="Arial Narrow" w:cs="Arial"/>
                <w:b/>
                <w:sz w:val="18"/>
                <w:szCs w:val="18"/>
              </w:rPr>
              <w:t>Max.Qty</w:t>
            </w:r>
            <w:proofErr w:type="spellEnd"/>
            <w:r w:rsidRPr="004843E9">
              <w:rPr>
                <w:rFonts w:ascii="Arial Narrow" w:hAnsi="Arial Narrow" w:cs="Arial"/>
                <w:b/>
                <w:sz w:val="18"/>
                <w:szCs w:val="18"/>
              </w:rPr>
              <w:t xml:space="preserve"> (Units)</w:t>
            </w:r>
          </w:p>
        </w:tc>
        <w:tc>
          <w:tcPr>
            <w:tcW w:w="547" w:type="pct"/>
          </w:tcPr>
          <w:p w:rsidR="005C76F9" w:rsidRPr="004843E9" w:rsidRDefault="005C76F9" w:rsidP="00E54D3A">
            <w:pPr>
              <w:jc w:val="center"/>
              <w:rPr>
                <w:rFonts w:ascii="Arial Narrow" w:hAnsi="Arial Narrow" w:cs="Arial"/>
                <w:b/>
                <w:sz w:val="18"/>
                <w:szCs w:val="18"/>
              </w:rPr>
            </w:pPr>
            <w:r w:rsidRPr="004843E9">
              <w:rPr>
                <w:rFonts w:ascii="Arial Narrow" w:hAnsi="Arial Narrow" w:cs="Arial"/>
                <w:b/>
                <w:sz w:val="18"/>
                <w:szCs w:val="18"/>
              </w:rPr>
              <w:t>Max. Qty (Packs)</w:t>
            </w:r>
          </w:p>
        </w:tc>
        <w:tc>
          <w:tcPr>
            <w:tcW w:w="547" w:type="pct"/>
          </w:tcPr>
          <w:p w:rsidR="005C76F9" w:rsidRPr="004843E9" w:rsidRDefault="005C76F9" w:rsidP="00E54D3A">
            <w:pPr>
              <w:jc w:val="center"/>
              <w:rPr>
                <w:rFonts w:ascii="Arial Narrow" w:hAnsi="Arial Narrow" w:cs="Arial"/>
                <w:b/>
                <w:sz w:val="18"/>
                <w:szCs w:val="18"/>
              </w:rPr>
            </w:pPr>
            <w:r w:rsidRPr="004843E9">
              <w:rPr>
                <w:rFonts w:ascii="Arial Narrow" w:hAnsi="Arial Narrow" w:cs="Arial"/>
                <w:b/>
                <w:sz w:val="18"/>
                <w:szCs w:val="18"/>
              </w:rPr>
              <w:t>№.of</w:t>
            </w:r>
          </w:p>
          <w:p w:rsidR="005C76F9" w:rsidRPr="004843E9" w:rsidRDefault="005C76F9" w:rsidP="00E54D3A">
            <w:pPr>
              <w:jc w:val="center"/>
              <w:rPr>
                <w:rFonts w:ascii="Arial Narrow" w:hAnsi="Arial Narrow" w:cs="Arial"/>
                <w:b/>
                <w:sz w:val="18"/>
                <w:szCs w:val="18"/>
              </w:rPr>
            </w:pPr>
            <w:proofErr w:type="spellStart"/>
            <w:r w:rsidRPr="004843E9">
              <w:rPr>
                <w:rFonts w:ascii="Arial Narrow" w:hAnsi="Arial Narrow" w:cs="Arial"/>
                <w:b/>
                <w:sz w:val="18"/>
                <w:szCs w:val="18"/>
              </w:rPr>
              <w:t>Rpts</w:t>
            </w:r>
            <w:proofErr w:type="spellEnd"/>
          </w:p>
        </w:tc>
        <w:tc>
          <w:tcPr>
            <w:tcW w:w="548" w:type="pct"/>
          </w:tcPr>
          <w:p w:rsidR="005C76F9" w:rsidRPr="004843E9" w:rsidRDefault="005C76F9" w:rsidP="005C76F9">
            <w:pPr>
              <w:jc w:val="center"/>
              <w:rPr>
                <w:rFonts w:ascii="Arial Narrow" w:hAnsi="Arial Narrow" w:cs="Arial"/>
                <w:b/>
                <w:sz w:val="18"/>
                <w:szCs w:val="18"/>
              </w:rPr>
            </w:pPr>
            <w:r w:rsidRPr="00432739">
              <w:rPr>
                <w:rFonts w:ascii="Arial Narrow" w:hAnsi="Arial Narrow"/>
                <w:b/>
                <w:sz w:val="18"/>
                <w:szCs w:val="18"/>
              </w:rPr>
              <w:t>Dispensed Price for Max. Qty</w:t>
            </w:r>
          </w:p>
        </w:tc>
        <w:tc>
          <w:tcPr>
            <w:tcW w:w="1329" w:type="pct"/>
            <w:gridSpan w:val="2"/>
          </w:tcPr>
          <w:p w:rsidR="005C76F9" w:rsidRPr="004843E9" w:rsidRDefault="005C76F9" w:rsidP="005C76F9">
            <w:pPr>
              <w:jc w:val="left"/>
              <w:rPr>
                <w:rFonts w:ascii="Arial Narrow" w:hAnsi="Arial Narrow" w:cs="Arial"/>
                <w:b/>
                <w:sz w:val="18"/>
                <w:szCs w:val="18"/>
              </w:rPr>
            </w:pPr>
            <w:r w:rsidRPr="004843E9">
              <w:rPr>
                <w:rFonts w:ascii="Arial Narrow" w:hAnsi="Arial Narrow" w:cs="Arial"/>
                <w:b/>
                <w:sz w:val="18"/>
                <w:szCs w:val="18"/>
              </w:rPr>
              <w:t>Proprietary Name and Manufacturer</w:t>
            </w:r>
          </w:p>
        </w:tc>
      </w:tr>
      <w:tr w:rsidR="005C76F9" w:rsidRPr="004843E9" w:rsidTr="004514EA">
        <w:trPr>
          <w:cantSplit/>
          <w:trHeight w:val="500"/>
        </w:trPr>
        <w:tc>
          <w:tcPr>
            <w:tcW w:w="1482" w:type="pct"/>
          </w:tcPr>
          <w:p w:rsidR="005C76F9" w:rsidRPr="004843E9" w:rsidRDefault="005C76F9" w:rsidP="005C76F9">
            <w:pPr>
              <w:jc w:val="left"/>
              <w:rPr>
                <w:rFonts w:ascii="Arial Narrow" w:hAnsi="Arial Narrow" w:cs="Arial"/>
                <w:sz w:val="18"/>
                <w:szCs w:val="18"/>
              </w:rPr>
            </w:pPr>
            <w:proofErr w:type="spellStart"/>
            <w:r w:rsidRPr="004843E9">
              <w:rPr>
                <w:rFonts w:ascii="Arial Narrow" w:hAnsi="Arial Narrow" w:cs="Arial"/>
                <w:sz w:val="18"/>
                <w:szCs w:val="18"/>
              </w:rPr>
              <w:t>Fluocinolone</w:t>
            </w:r>
            <w:proofErr w:type="spellEnd"/>
            <w:r w:rsidRPr="004843E9">
              <w:rPr>
                <w:rFonts w:ascii="Arial Narrow" w:hAnsi="Arial Narrow" w:cs="Arial"/>
                <w:sz w:val="18"/>
                <w:szCs w:val="18"/>
              </w:rPr>
              <w:t xml:space="preserve"> </w:t>
            </w:r>
            <w:proofErr w:type="spellStart"/>
            <w:r w:rsidRPr="004843E9">
              <w:rPr>
                <w:rFonts w:ascii="Arial Narrow" w:hAnsi="Arial Narrow" w:cs="Arial"/>
                <w:sz w:val="18"/>
                <w:szCs w:val="18"/>
              </w:rPr>
              <w:t>acetonide</w:t>
            </w:r>
            <w:proofErr w:type="spellEnd"/>
            <w:r w:rsidRPr="004843E9">
              <w:rPr>
                <w:rFonts w:ascii="Arial Narrow" w:hAnsi="Arial Narrow" w:cs="Arial"/>
                <w:sz w:val="18"/>
                <w:szCs w:val="18"/>
              </w:rPr>
              <w:t xml:space="preserve"> 190</w:t>
            </w:r>
            <w:r>
              <w:rPr>
                <w:rFonts w:ascii="Arial Narrow" w:hAnsi="Arial Narrow" w:cs="Arial"/>
                <w:sz w:val="18"/>
                <w:szCs w:val="18"/>
              </w:rPr>
              <w:t> </w:t>
            </w:r>
            <w:r w:rsidRPr="004843E9">
              <w:rPr>
                <w:rFonts w:ascii="Arial Narrow" w:hAnsi="Arial Narrow" w:cs="Arial"/>
                <w:sz w:val="18"/>
                <w:szCs w:val="18"/>
              </w:rPr>
              <w:t>microgram implant, 1</w:t>
            </w:r>
          </w:p>
        </w:tc>
        <w:tc>
          <w:tcPr>
            <w:tcW w:w="547" w:type="pct"/>
          </w:tcPr>
          <w:p w:rsidR="005C76F9" w:rsidRPr="004843E9" w:rsidRDefault="005C76F9" w:rsidP="00E54D3A">
            <w:pPr>
              <w:jc w:val="center"/>
              <w:rPr>
                <w:rFonts w:ascii="Arial Narrow" w:hAnsi="Arial Narrow" w:cs="Arial"/>
                <w:sz w:val="18"/>
                <w:szCs w:val="18"/>
              </w:rPr>
            </w:pPr>
            <w:r w:rsidRPr="004843E9">
              <w:rPr>
                <w:rFonts w:ascii="Arial Narrow" w:hAnsi="Arial Narrow" w:cs="Arial"/>
                <w:sz w:val="18"/>
                <w:szCs w:val="18"/>
              </w:rPr>
              <w:t>1</w:t>
            </w:r>
          </w:p>
          <w:p w:rsidR="005C76F9" w:rsidRPr="004843E9" w:rsidRDefault="005C76F9" w:rsidP="00E54D3A">
            <w:pPr>
              <w:jc w:val="center"/>
              <w:rPr>
                <w:rFonts w:ascii="Arial Narrow" w:hAnsi="Arial Narrow" w:cs="Arial"/>
                <w:sz w:val="18"/>
                <w:szCs w:val="18"/>
              </w:rPr>
            </w:pPr>
          </w:p>
        </w:tc>
        <w:tc>
          <w:tcPr>
            <w:tcW w:w="547" w:type="pct"/>
          </w:tcPr>
          <w:p w:rsidR="005C76F9" w:rsidRPr="004843E9" w:rsidRDefault="005C76F9" w:rsidP="00E54D3A">
            <w:pPr>
              <w:jc w:val="center"/>
              <w:rPr>
                <w:rFonts w:ascii="Arial Narrow" w:hAnsi="Arial Narrow" w:cs="Arial"/>
                <w:sz w:val="18"/>
                <w:szCs w:val="18"/>
              </w:rPr>
            </w:pPr>
            <w:r w:rsidRPr="004843E9">
              <w:rPr>
                <w:rFonts w:ascii="Arial Narrow" w:hAnsi="Arial Narrow" w:cs="Arial"/>
                <w:sz w:val="18"/>
                <w:szCs w:val="18"/>
              </w:rPr>
              <w:t>1</w:t>
            </w:r>
          </w:p>
        </w:tc>
        <w:tc>
          <w:tcPr>
            <w:tcW w:w="547" w:type="pct"/>
          </w:tcPr>
          <w:p w:rsidR="005C76F9" w:rsidRPr="004843E9" w:rsidRDefault="005C76F9" w:rsidP="00E54D3A">
            <w:pPr>
              <w:jc w:val="center"/>
              <w:rPr>
                <w:rFonts w:ascii="Arial Narrow" w:hAnsi="Arial Narrow" w:cs="Arial"/>
                <w:sz w:val="18"/>
                <w:szCs w:val="18"/>
              </w:rPr>
            </w:pPr>
            <w:r w:rsidRPr="004843E9">
              <w:rPr>
                <w:rFonts w:ascii="Arial Narrow" w:hAnsi="Arial Narrow" w:cs="Arial"/>
                <w:sz w:val="18"/>
                <w:szCs w:val="18"/>
              </w:rPr>
              <w:t>0</w:t>
            </w:r>
          </w:p>
        </w:tc>
        <w:tc>
          <w:tcPr>
            <w:tcW w:w="548" w:type="pct"/>
          </w:tcPr>
          <w:p w:rsidR="005C76F9" w:rsidRPr="00FC4026" w:rsidRDefault="006250D0" w:rsidP="00E54D3A">
            <w:pPr>
              <w:jc w:val="center"/>
              <w:rPr>
                <w:rFonts w:ascii="Arial Narrow" w:hAnsi="Arial Narrow" w:cs="Arial"/>
                <w:sz w:val="18"/>
                <w:szCs w:val="18"/>
              </w:rPr>
            </w:pPr>
            <w:r w:rsidRPr="006250D0">
              <w:rPr>
                <w:rFonts w:ascii="Arial Narrow" w:hAnsi="Arial Narrow"/>
                <w:sz w:val="18"/>
              </w:rPr>
              <w:t>$</w:t>
            </w:r>
            <w:r w:rsidR="00E733BF">
              <w:rPr>
                <w:rFonts w:ascii="Arial Narrow" w:hAnsi="Arial Narrow"/>
                <w:noProof/>
                <w:color w:val="000000"/>
                <w:sz w:val="18"/>
                <w:highlight w:val="black"/>
              </w:rPr>
              <w:t>''''''''''''''''''''</w:t>
            </w:r>
            <w:r w:rsidRPr="006250D0">
              <w:rPr>
                <w:rFonts w:ascii="Arial Narrow" w:hAnsi="Arial Narrow"/>
                <w:sz w:val="18"/>
              </w:rPr>
              <w:t xml:space="preserve">  </w:t>
            </w:r>
            <w:r w:rsidR="00A36BCB" w:rsidRPr="00FC4026">
              <w:rPr>
                <w:rFonts w:ascii="Arial Narrow" w:hAnsi="Arial Narrow"/>
                <w:sz w:val="18"/>
              </w:rPr>
              <w:t xml:space="preserve"> </w:t>
            </w:r>
            <w:r w:rsidR="00782A85">
              <w:rPr>
                <w:rFonts w:ascii="Arial Narrow" w:hAnsi="Arial Narrow"/>
                <w:sz w:val="18"/>
              </w:rPr>
              <w:t>(</w:t>
            </w:r>
            <w:r w:rsidR="00A36BCB" w:rsidRPr="00FC4026">
              <w:rPr>
                <w:rFonts w:ascii="Arial Narrow" w:hAnsi="Arial Narrow"/>
                <w:sz w:val="18"/>
              </w:rPr>
              <w:t>effective</w:t>
            </w:r>
            <w:r w:rsidR="00782A85">
              <w:rPr>
                <w:rFonts w:ascii="Arial Narrow" w:hAnsi="Arial Narrow"/>
                <w:sz w:val="18"/>
              </w:rPr>
              <w:t>);</w:t>
            </w:r>
          </w:p>
          <w:p w:rsidR="005C76F9" w:rsidRPr="00FC4026" w:rsidRDefault="00D51C04" w:rsidP="00A36BCB">
            <w:pPr>
              <w:jc w:val="center"/>
              <w:rPr>
                <w:rFonts w:ascii="Arial Narrow" w:hAnsi="Arial Narrow" w:cs="Arial"/>
                <w:sz w:val="18"/>
                <w:szCs w:val="18"/>
              </w:rPr>
            </w:pPr>
            <w:r w:rsidRPr="00D51C04">
              <w:rPr>
                <w:rFonts w:ascii="Arial Narrow" w:hAnsi="Arial Narrow" w:cs="Arial"/>
                <w:sz w:val="18"/>
                <w:szCs w:val="18"/>
              </w:rPr>
              <w:t>$9,449.08</w:t>
            </w:r>
          </w:p>
          <w:p w:rsidR="00A36BCB" w:rsidRPr="004843E9" w:rsidRDefault="00782A85" w:rsidP="00A36BCB">
            <w:pPr>
              <w:jc w:val="center"/>
              <w:rPr>
                <w:rFonts w:ascii="Arial Narrow" w:hAnsi="Arial Narrow" w:cs="Arial"/>
                <w:sz w:val="18"/>
                <w:szCs w:val="18"/>
              </w:rPr>
            </w:pPr>
            <w:r>
              <w:rPr>
                <w:rFonts w:ascii="Arial Narrow" w:hAnsi="Arial Narrow" w:cs="Arial"/>
                <w:sz w:val="18"/>
                <w:szCs w:val="18"/>
              </w:rPr>
              <w:t>(</w:t>
            </w:r>
            <w:r w:rsidR="00A36BCB" w:rsidRPr="00FC4026">
              <w:rPr>
                <w:rFonts w:ascii="Arial Narrow" w:hAnsi="Arial Narrow" w:cs="Arial"/>
                <w:sz w:val="18"/>
                <w:szCs w:val="18"/>
              </w:rPr>
              <w:t>published</w:t>
            </w:r>
            <w:r>
              <w:rPr>
                <w:rFonts w:ascii="Arial Narrow" w:hAnsi="Arial Narrow" w:cs="Arial"/>
                <w:sz w:val="18"/>
                <w:szCs w:val="18"/>
              </w:rPr>
              <w:t>)</w:t>
            </w:r>
          </w:p>
        </w:tc>
        <w:tc>
          <w:tcPr>
            <w:tcW w:w="469" w:type="pct"/>
          </w:tcPr>
          <w:p w:rsidR="005C76F9" w:rsidRPr="004843E9" w:rsidRDefault="005C76F9" w:rsidP="00E54D3A">
            <w:pPr>
              <w:rPr>
                <w:rFonts w:ascii="Arial Narrow" w:hAnsi="Arial Narrow" w:cs="Arial"/>
                <w:sz w:val="18"/>
                <w:szCs w:val="18"/>
              </w:rPr>
            </w:pPr>
            <w:proofErr w:type="spellStart"/>
            <w:r w:rsidRPr="004843E9">
              <w:rPr>
                <w:rFonts w:ascii="Arial Narrow" w:hAnsi="Arial Narrow" w:cs="Arial"/>
                <w:sz w:val="18"/>
                <w:szCs w:val="18"/>
              </w:rPr>
              <w:t>Iluvien</w:t>
            </w:r>
            <w:proofErr w:type="spellEnd"/>
            <w:r w:rsidRPr="004843E9">
              <w:rPr>
                <w:rFonts w:ascii="Arial Narrow" w:hAnsi="Arial Narrow" w:cs="Arial"/>
                <w:sz w:val="18"/>
                <w:szCs w:val="18"/>
                <w:vertAlign w:val="superscript"/>
              </w:rPr>
              <w:t>®</w:t>
            </w:r>
          </w:p>
        </w:tc>
        <w:tc>
          <w:tcPr>
            <w:tcW w:w="860" w:type="pct"/>
          </w:tcPr>
          <w:p w:rsidR="005C76F9" w:rsidRPr="004843E9" w:rsidRDefault="005C76F9" w:rsidP="00E54D3A">
            <w:pPr>
              <w:jc w:val="left"/>
              <w:rPr>
                <w:rFonts w:ascii="Arial Narrow" w:hAnsi="Arial Narrow" w:cs="Arial"/>
                <w:sz w:val="18"/>
                <w:szCs w:val="18"/>
              </w:rPr>
            </w:pPr>
            <w:r w:rsidRPr="004843E9">
              <w:rPr>
                <w:rFonts w:ascii="Arial Narrow" w:hAnsi="Arial Narrow" w:cs="Arial"/>
                <w:sz w:val="18"/>
                <w:szCs w:val="18"/>
              </w:rPr>
              <w:t xml:space="preserve">Specialised Therapeutics </w:t>
            </w:r>
            <w:proofErr w:type="spellStart"/>
            <w:r w:rsidRPr="004843E9">
              <w:rPr>
                <w:rFonts w:ascii="Arial Narrow" w:hAnsi="Arial Narrow" w:cs="Arial"/>
                <w:sz w:val="18"/>
                <w:szCs w:val="18"/>
              </w:rPr>
              <w:t>Alim</w:t>
            </w:r>
            <w:proofErr w:type="spellEnd"/>
            <w:r w:rsidRPr="004843E9">
              <w:rPr>
                <w:rFonts w:ascii="Arial Narrow" w:hAnsi="Arial Narrow" w:cs="Arial"/>
                <w:sz w:val="18"/>
                <w:szCs w:val="18"/>
              </w:rPr>
              <w:t xml:space="preserve"> Pty Ltd</w:t>
            </w:r>
          </w:p>
        </w:tc>
      </w:tr>
    </w:tbl>
    <w:p w:rsidR="00D51C04" w:rsidRPr="004843E9" w:rsidRDefault="00D51C04" w:rsidP="00E54D3A">
      <w:pPr>
        <w:keepNext/>
        <w:keepLines/>
        <w:rPr>
          <w:rFonts w:ascii="Arial Narrow" w:hAnsi="Arial Narrow"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E54D3A" w:rsidRPr="004843E9" w:rsidTr="004514EA">
        <w:tc>
          <w:tcPr>
            <w:tcW w:w="5000" w:type="pct"/>
          </w:tcPr>
          <w:p w:rsidR="00E54D3A" w:rsidRPr="004843E9" w:rsidRDefault="00E54D3A" w:rsidP="00E54D3A">
            <w:pPr>
              <w:keepNext/>
              <w:keepLines/>
              <w:jc w:val="left"/>
              <w:rPr>
                <w:rFonts w:ascii="Arial Narrow" w:eastAsiaTheme="majorEastAsia" w:hAnsi="Arial Narrow" w:cstheme="majorBidi"/>
                <w:sz w:val="20"/>
                <w:szCs w:val="20"/>
                <w:lang w:eastAsia="en-US" w:bidi="en-US"/>
              </w:rPr>
            </w:pPr>
            <w:r w:rsidRPr="004843E9">
              <w:rPr>
                <w:rFonts w:ascii="Arial Narrow" w:eastAsiaTheme="majorEastAsia" w:hAnsi="Arial Narrow" w:cstheme="majorBidi"/>
                <w:b/>
                <w:sz w:val="20"/>
                <w:szCs w:val="20"/>
                <w:lang w:eastAsia="en-US" w:bidi="en-US"/>
              </w:rPr>
              <w:t>Category / Program:</w:t>
            </w:r>
            <w:r w:rsidRPr="004843E9">
              <w:rPr>
                <w:rFonts w:ascii="Arial Narrow" w:eastAsiaTheme="majorEastAsia" w:hAnsi="Arial Narrow" w:cstheme="majorBidi"/>
                <w:sz w:val="20"/>
                <w:szCs w:val="20"/>
                <w:lang w:eastAsia="en-US" w:bidi="en-US"/>
              </w:rPr>
              <w:t xml:space="preserve"> General Schedule (Code GE)</w:t>
            </w:r>
          </w:p>
        </w:tc>
      </w:tr>
      <w:tr w:rsidR="00E54D3A" w:rsidRPr="004843E9" w:rsidTr="004514EA">
        <w:trPr>
          <w:trHeight w:val="192"/>
        </w:trPr>
        <w:tc>
          <w:tcPr>
            <w:tcW w:w="5000" w:type="pct"/>
          </w:tcPr>
          <w:p w:rsidR="00E54D3A" w:rsidRPr="004843E9" w:rsidRDefault="00E54D3A" w:rsidP="00E54D3A">
            <w:pPr>
              <w:keepNext/>
              <w:keepLines/>
              <w:rPr>
                <w:rFonts w:ascii="Arial Narrow" w:hAnsi="Arial Narrow" w:cs="Arial"/>
                <w:sz w:val="20"/>
                <w:szCs w:val="20"/>
              </w:rPr>
            </w:pPr>
            <w:r w:rsidRPr="004843E9">
              <w:rPr>
                <w:rFonts w:ascii="Arial Narrow" w:hAnsi="Arial Narrow" w:cs="Arial"/>
                <w:b/>
                <w:sz w:val="20"/>
                <w:szCs w:val="20"/>
              </w:rPr>
              <w:t>Prescriber type:</w:t>
            </w:r>
            <w:r w:rsidRPr="004843E9">
              <w:rPr>
                <w:rFonts w:ascii="Arial Narrow" w:hAnsi="Arial Narrow" w:cs="Arial"/>
                <w:sz w:val="20"/>
                <w:szCs w:val="20"/>
              </w:rPr>
              <w:t xml:space="preserve">    </w:t>
            </w:r>
            <w:r w:rsidRPr="004843E9">
              <w:rPr>
                <w:rFonts w:ascii="Arial Narrow" w:hAnsi="Arial Narrow" w:cs="Arial"/>
                <w:sz w:val="20"/>
                <w:szCs w:val="20"/>
              </w:rPr>
              <w:fldChar w:fldCharType="begin">
                <w:ffData>
                  <w:name w:val="Check1"/>
                  <w:enabled/>
                  <w:calcOnExit w:val="0"/>
                  <w:checkBox>
                    <w:sizeAuto/>
                    <w:default w:val="0"/>
                  </w:checkBox>
                </w:ffData>
              </w:fldChar>
            </w:r>
            <w:r w:rsidRPr="004843E9">
              <w:rPr>
                <w:rFonts w:ascii="Arial Narrow" w:hAnsi="Arial Narrow" w:cs="Arial"/>
                <w:sz w:val="20"/>
                <w:szCs w:val="20"/>
              </w:rPr>
              <w:instrText xml:space="preserve"> FORMCHECKBOX </w:instrText>
            </w:r>
            <w:r w:rsidR="00811338">
              <w:rPr>
                <w:rFonts w:ascii="Arial Narrow" w:hAnsi="Arial Narrow" w:cs="Arial"/>
                <w:sz w:val="20"/>
                <w:szCs w:val="20"/>
              </w:rPr>
            </w:r>
            <w:r w:rsidR="00811338">
              <w:rPr>
                <w:rFonts w:ascii="Arial Narrow" w:hAnsi="Arial Narrow" w:cs="Arial"/>
                <w:sz w:val="20"/>
                <w:szCs w:val="20"/>
              </w:rPr>
              <w:fldChar w:fldCharType="separate"/>
            </w:r>
            <w:r w:rsidRPr="004843E9">
              <w:rPr>
                <w:rFonts w:ascii="Arial Narrow" w:hAnsi="Arial Narrow" w:cs="Arial"/>
                <w:sz w:val="20"/>
                <w:szCs w:val="20"/>
              </w:rPr>
              <w:fldChar w:fldCharType="end"/>
            </w:r>
            <w:r w:rsidRPr="004843E9">
              <w:rPr>
                <w:rFonts w:ascii="Arial Narrow" w:hAnsi="Arial Narrow" w:cs="Arial"/>
                <w:sz w:val="20"/>
                <w:szCs w:val="20"/>
              </w:rPr>
              <w:t xml:space="preserve">Dental   </w:t>
            </w:r>
            <w:r w:rsidRPr="004843E9">
              <w:rPr>
                <w:rFonts w:ascii="Arial Narrow" w:hAnsi="Arial Narrow" w:cs="Arial"/>
                <w:sz w:val="20"/>
                <w:szCs w:val="20"/>
              </w:rPr>
              <w:fldChar w:fldCharType="begin">
                <w:ffData>
                  <w:name w:val=""/>
                  <w:enabled/>
                  <w:calcOnExit w:val="0"/>
                  <w:checkBox>
                    <w:sizeAuto/>
                    <w:default w:val="1"/>
                  </w:checkBox>
                </w:ffData>
              </w:fldChar>
            </w:r>
            <w:r w:rsidRPr="004843E9">
              <w:rPr>
                <w:rFonts w:ascii="Arial Narrow" w:hAnsi="Arial Narrow" w:cs="Arial"/>
                <w:sz w:val="20"/>
                <w:szCs w:val="20"/>
              </w:rPr>
              <w:instrText xml:space="preserve"> FORMCHECKBOX </w:instrText>
            </w:r>
            <w:r w:rsidR="00811338">
              <w:rPr>
                <w:rFonts w:ascii="Arial Narrow" w:hAnsi="Arial Narrow" w:cs="Arial"/>
                <w:sz w:val="20"/>
                <w:szCs w:val="20"/>
              </w:rPr>
            </w:r>
            <w:r w:rsidR="00811338">
              <w:rPr>
                <w:rFonts w:ascii="Arial Narrow" w:hAnsi="Arial Narrow" w:cs="Arial"/>
                <w:sz w:val="20"/>
                <w:szCs w:val="20"/>
              </w:rPr>
              <w:fldChar w:fldCharType="separate"/>
            </w:r>
            <w:r w:rsidRPr="004843E9">
              <w:rPr>
                <w:rFonts w:ascii="Arial Narrow" w:hAnsi="Arial Narrow" w:cs="Arial"/>
                <w:sz w:val="20"/>
                <w:szCs w:val="20"/>
              </w:rPr>
              <w:fldChar w:fldCharType="end"/>
            </w:r>
            <w:r w:rsidRPr="004843E9">
              <w:rPr>
                <w:rFonts w:ascii="Arial Narrow" w:hAnsi="Arial Narrow" w:cs="Arial"/>
                <w:sz w:val="20"/>
                <w:szCs w:val="20"/>
              </w:rPr>
              <w:t xml:space="preserve">Medical Practitioners    </w:t>
            </w:r>
            <w:r w:rsidRPr="004843E9">
              <w:rPr>
                <w:rFonts w:ascii="Arial Narrow" w:hAnsi="Arial Narrow" w:cs="Arial"/>
                <w:sz w:val="20"/>
                <w:szCs w:val="20"/>
              </w:rPr>
              <w:fldChar w:fldCharType="begin">
                <w:ffData>
                  <w:name w:val="Check3"/>
                  <w:enabled/>
                  <w:calcOnExit w:val="0"/>
                  <w:checkBox>
                    <w:sizeAuto/>
                    <w:default w:val="0"/>
                  </w:checkBox>
                </w:ffData>
              </w:fldChar>
            </w:r>
            <w:r w:rsidRPr="004843E9">
              <w:rPr>
                <w:rFonts w:ascii="Arial Narrow" w:hAnsi="Arial Narrow" w:cs="Arial"/>
                <w:sz w:val="20"/>
                <w:szCs w:val="20"/>
              </w:rPr>
              <w:instrText xml:space="preserve"> FORMCHECKBOX </w:instrText>
            </w:r>
            <w:r w:rsidR="00811338">
              <w:rPr>
                <w:rFonts w:ascii="Arial Narrow" w:hAnsi="Arial Narrow" w:cs="Arial"/>
                <w:sz w:val="20"/>
                <w:szCs w:val="20"/>
              </w:rPr>
            </w:r>
            <w:r w:rsidR="00811338">
              <w:rPr>
                <w:rFonts w:ascii="Arial Narrow" w:hAnsi="Arial Narrow" w:cs="Arial"/>
                <w:sz w:val="20"/>
                <w:szCs w:val="20"/>
              </w:rPr>
              <w:fldChar w:fldCharType="separate"/>
            </w:r>
            <w:r w:rsidRPr="004843E9">
              <w:rPr>
                <w:rFonts w:ascii="Arial Narrow" w:hAnsi="Arial Narrow" w:cs="Arial"/>
                <w:sz w:val="20"/>
                <w:szCs w:val="20"/>
              </w:rPr>
              <w:fldChar w:fldCharType="end"/>
            </w:r>
            <w:r w:rsidRPr="004843E9">
              <w:rPr>
                <w:rFonts w:ascii="Arial Narrow" w:hAnsi="Arial Narrow" w:cs="Arial"/>
                <w:sz w:val="20"/>
                <w:szCs w:val="20"/>
              </w:rPr>
              <w:t xml:space="preserve">Nurse practitioners  </w:t>
            </w:r>
            <w:r w:rsidRPr="004843E9">
              <w:rPr>
                <w:rFonts w:ascii="Arial Narrow" w:hAnsi="Arial Narrow" w:cs="Arial"/>
                <w:sz w:val="20"/>
                <w:szCs w:val="20"/>
              </w:rPr>
              <w:fldChar w:fldCharType="begin">
                <w:ffData>
                  <w:name w:val=""/>
                  <w:enabled/>
                  <w:calcOnExit w:val="0"/>
                  <w:checkBox>
                    <w:sizeAuto/>
                    <w:default w:val="0"/>
                  </w:checkBox>
                </w:ffData>
              </w:fldChar>
            </w:r>
            <w:r w:rsidRPr="004843E9">
              <w:rPr>
                <w:rFonts w:ascii="Arial Narrow" w:hAnsi="Arial Narrow" w:cs="Arial"/>
                <w:sz w:val="20"/>
                <w:szCs w:val="20"/>
              </w:rPr>
              <w:instrText xml:space="preserve"> FORMCHECKBOX </w:instrText>
            </w:r>
            <w:r w:rsidR="00811338">
              <w:rPr>
                <w:rFonts w:ascii="Arial Narrow" w:hAnsi="Arial Narrow" w:cs="Arial"/>
                <w:sz w:val="20"/>
                <w:szCs w:val="20"/>
              </w:rPr>
            </w:r>
            <w:r w:rsidR="00811338">
              <w:rPr>
                <w:rFonts w:ascii="Arial Narrow" w:hAnsi="Arial Narrow" w:cs="Arial"/>
                <w:sz w:val="20"/>
                <w:szCs w:val="20"/>
              </w:rPr>
              <w:fldChar w:fldCharType="separate"/>
            </w:r>
            <w:r w:rsidRPr="004843E9">
              <w:rPr>
                <w:rFonts w:ascii="Arial Narrow" w:hAnsi="Arial Narrow" w:cs="Arial"/>
                <w:sz w:val="20"/>
                <w:szCs w:val="20"/>
              </w:rPr>
              <w:fldChar w:fldCharType="end"/>
            </w:r>
            <w:r w:rsidRPr="004843E9">
              <w:rPr>
                <w:rFonts w:ascii="Arial Narrow" w:hAnsi="Arial Narrow" w:cs="Arial"/>
                <w:sz w:val="20"/>
                <w:szCs w:val="20"/>
              </w:rPr>
              <w:t xml:space="preserve">Optometrists   </w:t>
            </w:r>
            <w:r w:rsidRPr="004843E9">
              <w:rPr>
                <w:rFonts w:ascii="Arial Narrow" w:hAnsi="Arial Narrow" w:cs="Arial"/>
                <w:sz w:val="20"/>
                <w:szCs w:val="20"/>
              </w:rPr>
              <w:fldChar w:fldCharType="begin">
                <w:ffData>
                  <w:name w:val="Check5"/>
                  <w:enabled/>
                  <w:calcOnExit w:val="0"/>
                  <w:checkBox>
                    <w:sizeAuto/>
                    <w:default w:val="0"/>
                  </w:checkBox>
                </w:ffData>
              </w:fldChar>
            </w:r>
            <w:r w:rsidRPr="004843E9">
              <w:rPr>
                <w:rFonts w:ascii="Arial Narrow" w:hAnsi="Arial Narrow" w:cs="Arial"/>
                <w:sz w:val="20"/>
                <w:szCs w:val="20"/>
              </w:rPr>
              <w:instrText xml:space="preserve"> FORMCHECKBOX </w:instrText>
            </w:r>
            <w:r w:rsidR="00811338">
              <w:rPr>
                <w:rFonts w:ascii="Arial Narrow" w:hAnsi="Arial Narrow" w:cs="Arial"/>
                <w:sz w:val="20"/>
                <w:szCs w:val="20"/>
              </w:rPr>
            </w:r>
            <w:r w:rsidR="00811338">
              <w:rPr>
                <w:rFonts w:ascii="Arial Narrow" w:hAnsi="Arial Narrow" w:cs="Arial"/>
                <w:sz w:val="20"/>
                <w:szCs w:val="20"/>
              </w:rPr>
              <w:fldChar w:fldCharType="separate"/>
            </w:r>
            <w:r w:rsidRPr="004843E9">
              <w:rPr>
                <w:rFonts w:ascii="Arial Narrow" w:hAnsi="Arial Narrow" w:cs="Arial"/>
                <w:sz w:val="20"/>
                <w:szCs w:val="20"/>
              </w:rPr>
              <w:fldChar w:fldCharType="end"/>
            </w:r>
            <w:r w:rsidRPr="004843E9">
              <w:rPr>
                <w:rFonts w:ascii="Arial Narrow" w:hAnsi="Arial Narrow" w:cs="Arial"/>
                <w:sz w:val="20"/>
                <w:szCs w:val="20"/>
              </w:rPr>
              <w:t>Midwives</w:t>
            </w:r>
          </w:p>
        </w:tc>
      </w:tr>
      <w:tr w:rsidR="00E54D3A" w:rsidRPr="004843E9" w:rsidTr="004514EA">
        <w:trPr>
          <w:trHeight w:val="271"/>
        </w:trPr>
        <w:tc>
          <w:tcPr>
            <w:tcW w:w="5000" w:type="pct"/>
            <w:tcBorders>
              <w:bottom w:val="single" w:sz="4" w:space="0" w:color="auto"/>
            </w:tcBorders>
          </w:tcPr>
          <w:p w:rsidR="00E54D3A" w:rsidRPr="004843E9" w:rsidRDefault="00E54D3A" w:rsidP="00E54D3A">
            <w:pPr>
              <w:keepNext/>
              <w:keepLines/>
              <w:rPr>
                <w:rFonts w:ascii="Arial Narrow" w:hAnsi="Arial Narrow" w:cs="Arial"/>
                <w:b/>
                <w:sz w:val="20"/>
                <w:szCs w:val="20"/>
              </w:rPr>
            </w:pPr>
            <w:r w:rsidRPr="004843E9">
              <w:rPr>
                <w:rFonts w:ascii="Arial Narrow" w:hAnsi="Arial Narrow" w:cs="Arial"/>
                <w:b/>
                <w:sz w:val="20"/>
                <w:szCs w:val="20"/>
              </w:rPr>
              <w:t xml:space="preserve">Restriction Level / Method:  </w:t>
            </w:r>
            <w:r w:rsidRPr="004843E9">
              <w:rPr>
                <w:rFonts w:ascii="Arial Narrow" w:hAnsi="Arial Narrow" w:cs="Arial"/>
                <w:sz w:val="20"/>
                <w:szCs w:val="20"/>
              </w:rPr>
              <w:fldChar w:fldCharType="begin">
                <w:ffData>
                  <w:name w:val=""/>
                  <w:enabled/>
                  <w:calcOnExit w:val="0"/>
                  <w:checkBox>
                    <w:sizeAuto/>
                    <w:default w:val="1"/>
                  </w:checkBox>
                </w:ffData>
              </w:fldChar>
            </w:r>
            <w:r w:rsidRPr="004843E9">
              <w:rPr>
                <w:rFonts w:ascii="Arial Narrow" w:hAnsi="Arial Narrow" w:cs="Arial"/>
                <w:sz w:val="20"/>
                <w:szCs w:val="20"/>
              </w:rPr>
              <w:instrText xml:space="preserve"> FORMCHECKBOX </w:instrText>
            </w:r>
            <w:r w:rsidR="00811338">
              <w:rPr>
                <w:rFonts w:ascii="Arial Narrow" w:hAnsi="Arial Narrow" w:cs="Arial"/>
                <w:sz w:val="20"/>
                <w:szCs w:val="20"/>
              </w:rPr>
            </w:r>
            <w:r w:rsidR="00811338">
              <w:rPr>
                <w:rFonts w:ascii="Arial Narrow" w:hAnsi="Arial Narrow" w:cs="Arial"/>
                <w:sz w:val="20"/>
                <w:szCs w:val="20"/>
              </w:rPr>
              <w:fldChar w:fldCharType="separate"/>
            </w:r>
            <w:r w:rsidRPr="004843E9">
              <w:rPr>
                <w:rFonts w:ascii="Arial Narrow" w:hAnsi="Arial Narrow" w:cs="Arial"/>
                <w:sz w:val="20"/>
                <w:szCs w:val="20"/>
              </w:rPr>
              <w:fldChar w:fldCharType="end"/>
            </w:r>
            <w:r w:rsidRPr="004843E9">
              <w:rPr>
                <w:rFonts w:ascii="Arial Narrow" w:hAnsi="Arial Narrow" w:cs="Arial"/>
                <w:sz w:val="20"/>
                <w:szCs w:val="20"/>
              </w:rPr>
              <w:t xml:space="preserve">  Authority Required – In Writing Only</w:t>
            </w:r>
          </w:p>
        </w:tc>
      </w:tr>
      <w:tr w:rsidR="00E54D3A" w:rsidRPr="004843E9" w:rsidTr="004514EA">
        <w:tc>
          <w:tcPr>
            <w:tcW w:w="5000" w:type="pct"/>
            <w:tcBorders>
              <w:bottom w:val="nil"/>
            </w:tcBorders>
            <w:vAlign w:val="center"/>
            <w:hideMark/>
          </w:tcPr>
          <w:p w:rsidR="00E54D3A" w:rsidRPr="004843E9" w:rsidRDefault="00E54D3A" w:rsidP="00E54D3A">
            <w:pPr>
              <w:rPr>
                <w:rFonts w:ascii="Arial Narrow" w:hAnsi="Arial Narrow" w:cs="Arial"/>
                <w:color w:val="333333"/>
                <w:sz w:val="20"/>
                <w:szCs w:val="20"/>
              </w:rPr>
            </w:pPr>
            <w:r w:rsidRPr="004843E9">
              <w:rPr>
                <w:rFonts w:ascii="Arial Narrow" w:hAnsi="Arial Narrow" w:cs="Arial"/>
                <w:b/>
                <w:bCs/>
                <w:color w:val="333333"/>
                <w:sz w:val="20"/>
                <w:szCs w:val="20"/>
              </w:rPr>
              <w:t>Indication:</w:t>
            </w:r>
            <w:r w:rsidRPr="004843E9">
              <w:rPr>
                <w:rFonts w:ascii="Arial Narrow" w:hAnsi="Arial Narrow" w:cs="Arial"/>
                <w:color w:val="333333"/>
                <w:sz w:val="20"/>
                <w:szCs w:val="20"/>
              </w:rPr>
              <w:t xml:space="preserve"> Diabetic macular oedema (DMO)</w:t>
            </w:r>
          </w:p>
        </w:tc>
      </w:tr>
      <w:tr w:rsidR="00E54D3A" w:rsidRPr="004843E9" w:rsidTr="004514EA">
        <w:tc>
          <w:tcPr>
            <w:tcW w:w="5000" w:type="pct"/>
            <w:tcBorders>
              <w:top w:val="nil"/>
              <w:bottom w:val="nil"/>
            </w:tcBorders>
            <w:vAlign w:val="center"/>
            <w:hideMark/>
          </w:tcPr>
          <w:p w:rsidR="00E54D3A" w:rsidRPr="004843E9" w:rsidRDefault="00E54D3A" w:rsidP="00E54D3A">
            <w:pPr>
              <w:rPr>
                <w:rFonts w:ascii="Arial Narrow" w:hAnsi="Arial Narrow" w:cs="Arial"/>
                <w:color w:val="333333"/>
                <w:sz w:val="20"/>
                <w:szCs w:val="20"/>
              </w:rPr>
            </w:pPr>
            <w:r w:rsidRPr="004843E9">
              <w:rPr>
                <w:rFonts w:ascii="Arial Narrow" w:hAnsi="Arial Narrow" w:cs="Arial"/>
                <w:b/>
                <w:bCs/>
                <w:color w:val="333333"/>
                <w:sz w:val="20"/>
                <w:szCs w:val="20"/>
              </w:rPr>
              <w:t>Treatment Phase:</w:t>
            </w:r>
            <w:r w:rsidRPr="004843E9">
              <w:rPr>
                <w:rFonts w:ascii="Arial Narrow" w:hAnsi="Arial Narrow" w:cs="Arial"/>
                <w:color w:val="333333"/>
                <w:sz w:val="20"/>
                <w:szCs w:val="20"/>
              </w:rPr>
              <w:t xml:space="preserve"> Initial treatment</w:t>
            </w:r>
          </w:p>
        </w:tc>
      </w:tr>
      <w:tr w:rsidR="00E54D3A" w:rsidRPr="004843E9" w:rsidTr="004514EA">
        <w:tc>
          <w:tcPr>
            <w:tcW w:w="5000" w:type="pct"/>
            <w:tcBorders>
              <w:top w:val="nil"/>
              <w:bottom w:val="nil"/>
            </w:tcBorders>
            <w:vAlign w:val="center"/>
            <w:hideMark/>
          </w:tcPr>
          <w:p w:rsidR="00E54D3A" w:rsidRPr="004843E9" w:rsidRDefault="00E54D3A" w:rsidP="00E54D3A">
            <w:pPr>
              <w:rPr>
                <w:rFonts w:ascii="Arial Narrow" w:hAnsi="Arial Narrow" w:cs="Arial"/>
                <w:color w:val="333333"/>
                <w:sz w:val="20"/>
                <w:szCs w:val="20"/>
              </w:rPr>
            </w:pPr>
            <w:r w:rsidRPr="004843E9">
              <w:rPr>
                <w:rFonts w:ascii="Arial Narrow" w:hAnsi="Arial Narrow" w:cs="Arial"/>
                <w:b/>
                <w:bCs/>
                <w:color w:val="333333"/>
                <w:sz w:val="20"/>
                <w:szCs w:val="20"/>
              </w:rPr>
              <w:t>Treatment criteria:</w:t>
            </w:r>
          </w:p>
        </w:tc>
      </w:tr>
      <w:tr w:rsidR="00E54D3A" w:rsidRPr="004843E9" w:rsidTr="004514EA">
        <w:tc>
          <w:tcPr>
            <w:tcW w:w="5000" w:type="pct"/>
            <w:tcBorders>
              <w:top w:val="nil"/>
              <w:bottom w:val="nil"/>
            </w:tcBorders>
            <w:vAlign w:val="center"/>
            <w:hideMark/>
          </w:tcPr>
          <w:p w:rsidR="00E54D3A" w:rsidRPr="004843E9" w:rsidRDefault="00E54D3A" w:rsidP="00955036">
            <w:pPr>
              <w:numPr>
                <w:ilvl w:val="0"/>
                <w:numId w:val="9"/>
              </w:numPr>
              <w:rPr>
                <w:rFonts w:ascii="Arial Narrow" w:hAnsi="Arial Narrow" w:cs="Arial"/>
                <w:snapToGrid w:val="0"/>
                <w:color w:val="333333"/>
                <w:sz w:val="20"/>
                <w:szCs w:val="20"/>
              </w:rPr>
            </w:pPr>
            <w:r w:rsidRPr="004843E9">
              <w:rPr>
                <w:rFonts w:ascii="Arial Narrow" w:hAnsi="Arial Narrow" w:cs="Arial"/>
                <w:snapToGrid w:val="0"/>
                <w:color w:val="333333"/>
                <w:sz w:val="20"/>
                <w:szCs w:val="20"/>
              </w:rPr>
              <w:t>Must be treated by an ophthalmologist or in consultation with an ophthalmologist</w:t>
            </w:r>
          </w:p>
        </w:tc>
      </w:tr>
      <w:tr w:rsidR="00E54D3A" w:rsidRPr="004843E9" w:rsidTr="004514EA">
        <w:tc>
          <w:tcPr>
            <w:tcW w:w="5000" w:type="pct"/>
            <w:tcBorders>
              <w:top w:val="nil"/>
              <w:bottom w:val="nil"/>
            </w:tcBorders>
            <w:vAlign w:val="center"/>
            <w:hideMark/>
          </w:tcPr>
          <w:p w:rsidR="00E54D3A" w:rsidRPr="004843E9" w:rsidRDefault="00E54D3A" w:rsidP="00E54D3A">
            <w:pPr>
              <w:rPr>
                <w:rFonts w:ascii="Arial Narrow" w:hAnsi="Arial Narrow" w:cs="Arial"/>
                <w:color w:val="333333"/>
                <w:sz w:val="20"/>
                <w:szCs w:val="20"/>
              </w:rPr>
            </w:pPr>
            <w:r w:rsidRPr="004843E9">
              <w:rPr>
                <w:rFonts w:ascii="Arial Narrow" w:hAnsi="Arial Narrow" w:cs="Arial"/>
                <w:b/>
                <w:bCs/>
                <w:color w:val="333333"/>
                <w:sz w:val="20"/>
                <w:szCs w:val="20"/>
              </w:rPr>
              <w:t>Clinical criteria:</w:t>
            </w:r>
          </w:p>
        </w:tc>
      </w:tr>
      <w:tr w:rsidR="00E54D3A" w:rsidRPr="004843E9" w:rsidTr="004514EA">
        <w:tc>
          <w:tcPr>
            <w:tcW w:w="5000" w:type="pct"/>
            <w:tcBorders>
              <w:top w:val="nil"/>
              <w:bottom w:val="nil"/>
            </w:tcBorders>
            <w:vAlign w:val="center"/>
            <w:hideMark/>
          </w:tcPr>
          <w:p w:rsidR="00E54D3A" w:rsidRPr="004843E9" w:rsidRDefault="00E54D3A" w:rsidP="00955036">
            <w:pPr>
              <w:numPr>
                <w:ilvl w:val="0"/>
                <w:numId w:val="10"/>
              </w:numPr>
              <w:rPr>
                <w:rFonts w:ascii="Arial Narrow" w:hAnsi="Arial Narrow" w:cs="Arial"/>
                <w:snapToGrid w:val="0"/>
                <w:color w:val="333333"/>
                <w:sz w:val="20"/>
                <w:szCs w:val="20"/>
              </w:rPr>
            </w:pPr>
            <w:r w:rsidRPr="004843E9">
              <w:rPr>
                <w:rFonts w:ascii="Arial Narrow" w:hAnsi="Arial Narrow" w:cs="Arial"/>
                <w:snapToGrid w:val="0"/>
                <w:color w:val="333333"/>
                <w:sz w:val="20"/>
                <w:szCs w:val="20"/>
              </w:rPr>
              <w:t>Patient must have visual impairment due to diabetic macular oedema</w:t>
            </w:r>
          </w:p>
        </w:tc>
      </w:tr>
      <w:tr w:rsidR="00E54D3A" w:rsidRPr="004843E9" w:rsidTr="004514EA">
        <w:tc>
          <w:tcPr>
            <w:tcW w:w="5000" w:type="pct"/>
            <w:tcBorders>
              <w:top w:val="nil"/>
              <w:bottom w:val="nil"/>
            </w:tcBorders>
            <w:vAlign w:val="center"/>
          </w:tcPr>
          <w:p w:rsidR="00E54D3A" w:rsidRPr="004843E9" w:rsidRDefault="00E54D3A" w:rsidP="00E54D3A">
            <w:pPr>
              <w:ind w:left="720"/>
              <w:rPr>
                <w:rFonts w:ascii="Arial Narrow" w:hAnsi="Arial Narrow" w:cs="Arial"/>
                <w:snapToGrid w:val="0"/>
                <w:color w:val="333333"/>
                <w:sz w:val="20"/>
                <w:szCs w:val="20"/>
              </w:rPr>
            </w:pPr>
            <w:r w:rsidRPr="004843E9">
              <w:rPr>
                <w:rFonts w:ascii="Arial Narrow" w:hAnsi="Arial Narrow" w:cs="Arial"/>
                <w:b/>
                <w:bCs/>
                <w:snapToGrid w:val="0"/>
                <w:color w:val="333333"/>
                <w:sz w:val="20"/>
                <w:szCs w:val="20"/>
              </w:rPr>
              <w:t>AND</w:t>
            </w:r>
          </w:p>
        </w:tc>
      </w:tr>
      <w:tr w:rsidR="00E54D3A" w:rsidRPr="004843E9" w:rsidTr="004514EA">
        <w:tc>
          <w:tcPr>
            <w:tcW w:w="5000" w:type="pct"/>
            <w:tcBorders>
              <w:top w:val="nil"/>
              <w:bottom w:val="nil"/>
            </w:tcBorders>
            <w:vAlign w:val="center"/>
            <w:hideMark/>
          </w:tcPr>
          <w:p w:rsidR="00E54D3A" w:rsidRPr="004843E9" w:rsidRDefault="00E54D3A" w:rsidP="00955036">
            <w:pPr>
              <w:numPr>
                <w:ilvl w:val="0"/>
                <w:numId w:val="10"/>
              </w:numPr>
              <w:rPr>
                <w:rFonts w:ascii="Arial Narrow" w:hAnsi="Arial Narrow" w:cs="Arial"/>
                <w:snapToGrid w:val="0"/>
                <w:color w:val="333333"/>
                <w:sz w:val="20"/>
                <w:szCs w:val="20"/>
              </w:rPr>
            </w:pPr>
            <w:r w:rsidRPr="004843E9">
              <w:rPr>
                <w:rFonts w:ascii="Arial Narrow" w:hAnsi="Arial Narrow" w:cs="Arial"/>
                <w:snapToGrid w:val="0"/>
                <w:color w:val="333333"/>
                <w:sz w:val="20"/>
                <w:szCs w:val="20"/>
              </w:rPr>
              <w:t xml:space="preserve">Patient must have been treated with a course of topical or intra-ocular corticosteroids and did not experience a clinically significant rise in intraocular pressure </w:t>
            </w:r>
          </w:p>
        </w:tc>
      </w:tr>
      <w:tr w:rsidR="00E54D3A" w:rsidRPr="004843E9" w:rsidTr="004514EA">
        <w:tc>
          <w:tcPr>
            <w:tcW w:w="5000" w:type="pct"/>
            <w:tcBorders>
              <w:top w:val="nil"/>
              <w:bottom w:val="nil"/>
            </w:tcBorders>
            <w:vAlign w:val="center"/>
          </w:tcPr>
          <w:p w:rsidR="00E54D3A" w:rsidRPr="004843E9" w:rsidRDefault="00E54D3A" w:rsidP="00E54D3A">
            <w:pPr>
              <w:ind w:left="720"/>
              <w:rPr>
                <w:rFonts w:ascii="Arial Narrow" w:hAnsi="Arial Narrow" w:cs="Arial"/>
                <w:b/>
                <w:bCs/>
                <w:snapToGrid w:val="0"/>
                <w:color w:val="333333"/>
                <w:sz w:val="20"/>
                <w:szCs w:val="20"/>
              </w:rPr>
            </w:pPr>
            <w:r w:rsidRPr="004843E9">
              <w:rPr>
                <w:rFonts w:ascii="Arial Narrow" w:hAnsi="Arial Narrow" w:cs="Arial"/>
                <w:b/>
                <w:bCs/>
                <w:snapToGrid w:val="0"/>
                <w:color w:val="333333"/>
                <w:sz w:val="20"/>
                <w:szCs w:val="20"/>
              </w:rPr>
              <w:t>AND</w:t>
            </w:r>
          </w:p>
        </w:tc>
      </w:tr>
      <w:tr w:rsidR="00E54D3A" w:rsidRPr="004843E9" w:rsidTr="004514EA">
        <w:tc>
          <w:tcPr>
            <w:tcW w:w="5000" w:type="pct"/>
            <w:tcBorders>
              <w:top w:val="nil"/>
              <w:bottom w:val="nil"/>
            </w:tcBorders>
            <w:vAlign w:val="center"/>
            <w:hideMark/>
          </w:tcPr>
          <w:p w:rsidR="00E54D3A" w:rsidRPr="004843E9" w:rsidRDefault="00E54D3A" w:rsidP="00955036">
            <w:pPr>
              <w:numPr>
                <w:ilvl w:val="0"/>
                <w:numId w:val="10"/>
              </w:numPr>
              <w:rPr>
                <w:rFonts w:ascii="Arial Narrow" w:hAnsi="Arial Narrow" w:cs="Arial"/>
                <w:snapToGrid w:val="0"/>
                <w:color w:val="333333"/>
                <w:sz w:val="20"/>
                <w:szCs w:val="20"/>
              </w:rPr>
            </w:pPr>
            <w:r w:rsidRPr="004843E9">
              <w:rPr>
                <w:rFonts w:ascii="Arial Narrow" w:hAnsi="Arial Narrow" w:cs="Arial"/>
                <w:snapToGrid w:val="0"/>
                <w:color w:val="333333"/>
                <w:sz w:val="20"/>
                <w:szCs w:val="20"/>
              </w:rPr>
              <w:t>Patient must have documented visual impairment defined as a best corrected visual acuity score between 78 and 39 letters based on the early treatment diabetic retinopathy study chart administered at a distance of 4 metres (approximate Snellen equivalent 20/32 to 20/160), in the eye proposed for treatment</w:t>
            </w:r>
          </w:p>
        </w:tc>
      </w:tr>
      <w:tr w:rsidR="00E54D3A" w:rsidRPr="004843E9" w:rsidTr="004514EA">
        <w:tc>
          <w:tcPr>
            <w:tcW w:w="5000" w:type="pct"/>
            <w:tcBorders>
              <w:top w:val="nil"/>
              <w:bottom w:val="nil"/>
            </w:tcBorders>
            <w:vAlign w:val="center"/>
          </w:tcPr>
          <w:p w:rsidR="00E54D3A" w:rsidRPr="004843E9" w:rsidRDefault="00E54D3A" w:rsidP="00E54D3A">
            <w:pPr>
              <w:ind w:left="720"/>
              <w:rPr>
                <w:rFonts w:ascii="Arial Narrow" w:hAnsi="Arial Narrow" w:cs="Arial"/>
                <w:b/>
                <w:bCs/>
                <w:snapToGrid w:val="0"/>
                <w:color w:val="333333"/>
                <w:sz w:val="20"/>
                <w:szCs w:val="20"/>
              </w:rPr>
            </w:pPr>
            <w:r w:rsidRPr="004843E9">
              <w:rPr>
                <w:rFonts w:ascii="Arial Narrow" w:hAnsi="Arial Narrow" w:cs="Arial"/>
                <w:b/>
                <w:bCs/>
                <w:snapToGrid w:val="0"/>
                <w:color w:val="333333"/>
                <w:sz w:val="20"/>
                <w:szCs w:val="20"/>
              </w:rPr>
              <w:t>AND</w:t>
            </w:r>
          </w:p>
        </w:tc>
      </w:tr>
      <w:tr w:rsidR="00E54D3A" w:rsidRPr="004843E9" w:rsidTr="004514EA">
        <w:tc>
          <w:tcPr>
            <w:tcW w:w="5000" w:type="pct"/>
            <w:tcBorders>
              <w:top w:val="nil"/>
              <w:bottom w:val="nil"/>
            </w:tcBorders>
            <w:vAlign w:val="center"/>
            <w:hideMark/>
          </w:tcPr>
          <w:p w:rsidR="00E54D3A" w:rsidRPr="004843E9" w:rsidRDefault="00E54D3A" w:rsidP="00955036">
            <w:pPr>
              <w:numPr>
                <w:ilvl w:val="0"/>
                <w:numId w:val="10"/>
              </w:numPr>
              <w:rPr>
                <w:rFonts w:ascii="Arial Narrow" w:hAnsi="Arial Narrow" w:cs="Arial"/>
                <w:snapToGrid w:val="0"/>
                <w:color w:val="333333"/>
                <w:sz w:val="20"/>
                <w:szCs w:val="20"/>
              </w:rPr>
            </w:pPr>
            <w:r w:rsidRPr="004843E9">
              <w:rPr>
                <w:rFonts w:ascii="Arial Narrow" w:hAnsi="Arial Narrow" w:cs="Arial"/>
                <w:snapToGrid w:val="0"/>
                <w:color w:val="333333"/>
                <w:sz w:val="20"/>
                <w:szCs w:val="20"/>
              </w:rPr>
              <w:t>The condition must be diagnosed by optical coherence tomography; or</w:t>
            </w:r>
          </w:p>
        </w:tc>
      </w:tr>
      <w:tr w:rsidR="00E54D3A" w:rsidRPr="004843E9" w:rsidTr="004514EA">
        <w:tc>
          <w:tcPr>
            <w:tcW w:w="5000" w:type="pct"/>
            <w:tcBorders>
              <w:top w:val="nil"/>
              <w:bottom w:val="nil"/>
            </w:tcBorders>
            <w:vAlign w:val="center"/>
            <w:hideMark/>
          </w:tcPr>
          <w:p w:rsidR="00E54D3A" w:rsidRPr="004843E9" w:rsidRDefault="00E54D3A" w:rsidP="00955036">
            <w:pPr>
              <w:numPr>
                <w:ilvl w:val="0"/>
                <w:numId w:val="10"/>
              </w:numPr>
              <w:rPr>
                <w:rFonts w:ascii="Arial Narrow" w:hAnsi="Arial Narrow" w:cs="Arial"/>
                <w:snapToGrid w:val="0"/>
                <w:color w:val="333333"/>
                <w:sz w:val="20"/>
                <w:szCs w:val="20"/>
              </w:rPr>
            </w:pPr>
            <w:r w:rsidRPr="004843E9">
              <w:rPr>
                <w:rFonts w:ascii="Arial Narrow" w:hAnsi="Arial Narrow" w:cs="Arial"/>
                <w:snapToGrid w:val="0"/>
                <w:color w:val="333333"/>
                <w:sz w:val="20"/>
                <w:szCs w:val="20"/>
              </w:rPr>
              <w:t>The condition must be diagnosed by fluorescein angiography</w:t>
            </w:r>
          </w:p>
        </w:tc>
      </w:tr>
      <w:tr w:rsidR="00E54D3A" w:rsidRPr="004843E9" w:rsidTr="004514EA">
        <w:tc>
          <w:tcPr>
            <w:tcW w:w="5000" w:type="pct"/>
            <w:tcBorders>
              <w:top w:val="nil"/>
              <w:bottom w:val="nil"/>
            </w:tcBorders>
            <w:vAlign w:val="center"/>
            <w:hideMark/>
          </w:tcPr>
          <w:p w:rsidR="00E54D3A" w:rsidRPr="004843E9" w:rsidRDefault="00E54D3A" w:rsidP="00E54D3A">
            <w:pPr>
              <w:ind w:left="720"/>
              <w:rPr>
                <w:rFonts w:ascii="Arial Narrow" w:hAnsi="Arial Narrow" w:cs="Arial"/>
                <w:snapToGrid w:val="0"/>
                <w:color w:val="333333"/>
                <w:sz w:val="20"/>
                <w:szCs w:val="20"/>
              </w:rPr>
            </w:pPr>
            <w:r w:rsidRPr="004843E9">
              <w:rPr>
                <w:rFonts w:ascii="Arial Narrow" w:hAnsi="Arial Narrow" w:cs="Arial"/>
                <w:b/>
                <w:bCs/>
                <w:snapToGrid w:val="0"/>
                <w:color w:val="333333"/>
                <w:sz w:val="20"/>
                <w:szCs w:val="20"/>
              </w:rPr>
              <w:t>AND</w:t>
            </w:r>
          </w:p>
        </w:tc>
      </w:tr>
      <w:tr w:rsidR="00E54D3A" w:rsidRPr="004843E9" w:rsidTr="004514EA">
        <w:tc>
          <w:tcPr>
            <w:tcW w:w="5000" w:type="pct"/>
            <w:tcBorders>
              <w:top w:val="nil"/>
              <w:bottom w:val="nil"/>
            </w:tcBorders>
            <w:vAlign w:val="center"/>
            <w:hideMark/>
          </w:tcPr>
          <w:p w:rsidR="00E54D3A" w:rsidRPr="004843E9" w:rsidRDefault="00E54D3A" w:rsidP="00955036">
            <w:pPr>
              <w:numPr>
                <w:ilvl w:val="0"/>
                <w:numId w:val="10"/>
              </w:numPr>
              <w:rPr>
                <w:rFonts w:ascii="Arial Narrow" w:hAnsi="Arial Narrow" w:cs="Arial"/>
                <w:snapToGrid w:val="0"/>
                <w:color w:val="333333"/>
                <w:sz w:val="20"/>
                <w:szCs w:val="20"/>
              </w:rPr>
            </w:pPr>
            <w:r w:rsidRPr="004843E9">
              <w:rPr>
                <w:rFonts w:ascii="Arial Narrow" w:hAnsi="Arial Narrow" w:cs="Arial"/>
                <w:snapToGrid w:val="0"/>
                <w:color w:val="333333"/>
                <w:sz w:val="20"/>
                <w:szCs w:val="20"/>
              </w:rPr>
              <w:t>Patient must have a contraindication to vascular endothelial growth factor (VEGF) inhibitors; or</w:t>
            </w:r>
          </w:p>
        </w:tc>
      </w:tr>
      <w:tr w:rsidR="00E54D3A" w:rsidRPr="004843E9" w:rsidTr="004514EA">
        <w:tc>
          <w:tcPr>
            <w:tcW w:w="5000" w:type="pct"/>
            <w:tcBorders>
              <w:top w:val="nil"/>
              <w:bottom w:val="nil"/>
            </w:tcBorders>
            <w:vAlign w:val="center"/>
            <w:hideMark/>
          </w:tcPr>
          <w:p w:rsidR="00E54D3A" w:rsidRPr="004843E9" w:rsidRDefault="00E54D3A" w:rsidP="00955036">
            <w:pPr>
              <w:numPr>
                <w:ilvl w:val="0"/>
                <w:numId w:val="10"/>
              </w:numPr>
              <w:rPr>
                <w:rFonts w:ascii="Arial Narrow" w:hAnsi="Arial Narrow" w:cs="Arial"/>
                <w:snapToGrid w:val="0"/>
                <w:color w:val="333333"/>
                <w:sz w:val="20"/>
                <w:szCs w:val="20"/>
              </w:rPr>
            </w:pPr>
            <w:r w:rsidRPr="004843E9">
              <w:rPr>
                <w:rFonts w:ascii="Arial Narrow" w:hAnsi="Arial Narrow" w:cs="Arial"/>
                <w:snapToGrid w:val="0"/>
                <w:color w:val="333333"/>
                <w:sz w:val="20"/>
                <w:szCs w:val="20"/>
              </w:rPr>
              <w:t>Patient must be unsuitable for treatment with VEGF inhibitors; or</w:t>
            </w:r>
          </w:p>
        </w:tc>
      </w:tr>
      <w:tr w:rsidR="00E54D3A" w:rsidRPr="004843E9" w:rsidTr="004514EA">
        <w:tc>
          <w:tcPr>
            <w:tcW w:w="5000" w:type="pct"/>
            <w:tcBorders>
              <w:top w:val="nil"/>
              <w:bottom w:val="nil"/>
            </w:tcBorders>
            <w:vAlign w:val="center"/>
            <w:hideMark/>
          </w:tcPr>
          <w:p w:rsidR="00E54D3A" w:rsidRPr="004843E9" w:rsidRDefault="00E54D3A" w:rsidP="00955036">
            <w:pPr>
              <w:numPr>
                <w:ilvl w:val="0"/>
                <w:numId w:val="10"/>
              </w:numPr>
              <w:rPr>
                <w:rFonts w:ascii="Arial Narrow" w:hAnsi="Arial Narrow" w:cs="Arial"/>
                <w:snapToGrid w:val="0"/>
                <w:color w:val="333333"/>
                <w:sz w:val="20"/>
                <w:szCs w:val="20"/>
              </w:rPr>
            </w:pPr>
            <w:r w:rsidRPr="004843E9">
              <w:rPr>
                <w:rFonts w:ascii="Arial Narrow" w:hAnsi="Arial Narrow" w:cs="Arial"/>
                <w:snapToGrid w:val="0"/>
                <w:color w:val="333333"/>
                <w:sz w:val="20"/>
                <w:szCs w:val="20"/>
              </w:rPr>
              <w:t>Patient must have failed prior treatment with VEGF inhibitors</w:t>
            </w:r>
          </w:p>
        </w:tc>
      </w:tr>
      <w:tr w:rsidR="00E54D3A" w:rsidRPr="004843E9" w:rsidTr="004514EA">
        <w:tc>
          <w:tcPr>
            <w:tcW w:w="5000" w:type="pct"/>
            <w:tcBorders>
              <w:top w:val="nil"/>
              <w:bottom w:val="nil"/>
            </w:tcBorders>
            <w:vAlign w:val="center"/>
            <w:hideMark/>
          </w:tcPr>
          <w:p w:rsidR="00E54D3A" w:rsidRPr="004843E9" w:rsidRDefault="00E54D3A" w:rsidP="00E54D3A">
            <w:pPr>
              <w:rPr>
                <w:rFonts w:ascii="Arial Narrow" w:hAnsi="Arial Narrow" w:cs="Arial"/>
                <w:color w:val="333333"/>
                <w:sz w:val="20"/>
                <w:szCs w:val="20"/>
              </w:rPr>
            </w:pPr>
            <w:r w:rsidRPr="004843E9">
              <w:rPr>
                <w:rFonts w:ascii="Arial Narrow" w:hAnsi="Arial Narrow" w:cs="Arial"/>
                <w:b/>
                <w:bCs/>
                <w:color w:val="333333"/>
                <w:sz w:val="20"/>
                <w:szCs w:val="20"/>
              </w:rPr>
              <w:t>Population criteria:</w:t>
            </w:r>
          </w:p>
        </w:tc>
      </w:tr>
      <w:tr w:rsidR="00E54D3A" w:rsidRPr="004843E9" w:rsidTr="004514EA">
        <w:tc>
          <w:tcPr>
            <w:tcW w:w="5000" w:type="pct"/>
            <w:tcBorders>
              <w:top w:val="nil"/>
              <w:bottom w:val="nil"/>
            </w:tcBorders>
            <w:vAlign w:val="center"/>
            <w:hideMark/>
          </w:tcPr>
          <w:p w:rsidR="00E54D3A" w:rsidRPr="004843E9" w:rsidRDefault="00E54D3A" w:rsidP="00955036">
            <w:pPr>
              <w:numPr>
                <w:ilvl w:val="0"/>
                <w:numId w:val="11"/>
              </w:numPr>
              <w:rPr>
                <w:rFonts w:ascii="Arial Narrow" w:hAnsi="Arial Narrow" w:cs="Arial"/>
                <w:snapToGrid w:val="0"/>
                <w:color w:val="333333"/>
                <w:sz w:val="20"/>
                <w:szCs w:val="20"/>
              </w:rPr>
            </w:pPr>
            <w:r w:rsidRPr="004843E9">
              <w:rPr>
                <w:rFonts w:ascii="Arial Narrow" w:hAnsi="Arial Narrow" w:cs="Arial"/>
                <w:snapToGrid w:val="0"/>
                <w:color w:val="333333"/>
                <w:sz w:val="20"/>
                <w:szCs w:val="20"/>
              </w:rPr>
              <w:t>Patient must have had a cataract removed in the treated eye; or</w:t>
            </w:r>
          </w:p>
        </w:tc>
      </w:tr>
      <w:tr w:rsidR="00E54D3A" w:rsidRPr="004843E9" w:rsidTr="004514EA">
        <w:tc>
          <w:tcPr>
            <w:tcW w:w="5000" w:type="pct"/>
            <w:tcBorders>
              <w:top w:val="nil"/>
            </w:tcBorders>
            <w:vAlign w:val="center"/>
            <w:hideMark/>
          </w:tcPr>
          <w:p w:rsidR="00E54D3A" w:rsidRPr="004843E9" w:rsidRDefault="00E54D3A" w:rsidP="00955036">
            <w:pPr>
              <w:numPr>
                <w:ilvl w:val="0"/>
                <w:numId w:val="11"/>
              </w:numPr>
              <w:rPr>
                <w:rFonts w:ascii="Arial Narrow" w:hAnsi="Arial Narrow" w:cs="Arial"/>
                <w:snapToGrid w:val="0"/>
                <w:color w:val="333333"/>
                <w:sz w:val="20"/>
                <w:szCs w:val="20"/>
              </w:rPr>
            </w:pPr>
            <w:r w:rsidRPr="004843E9">
              <w:rPr>
                <w:rFonts w:ascii="Arial Narrow" w:hAnsi="Arial Narrow" w:cs="Arial"/>
                <w:snapToGrid w:val="0"/>
                <w:color w:val="333333"/>
                <w:sz w:val="20"/>
                <w:szCs w:val="20"/>
              </w:rPr>
              <w:t>Patient must be scheduled for cataract surgery in the treated eye</w:t>
            </w:r>
          </w:p>
        </w:tc>
      </w:tr>
      <w:tr w:rsidR="00E54D3A" w:rsidRPr="004843E9" w:rsidTr="004514EA">
        <w:trPr>
          <w:trHeight w:val="3023"/>
        </w:trPr>
        <w:tc>
          <w:tcPr>
            <w:tcW w:w="5000" w:type="pct"/>
            <w:vAlign w:val="center"/>
            <w:hideMark/>
          </w:tcPr>
          <w:p w:rsidR="00E54D3A" w:rsidRPr="004843E9" w:rsidRDefault="00E54D3A" w:rsidP="00E54D3A">
            <w:pPr>
              <w:rPr>
                <w:rFonts w:ascii="Arial Narrow" w:hAnsi="Arial Narrow" w:cs="Arial"/>
                <w:color w:val="333333"/>
                <w:sz w:val="20"/>
                <w:szCs w:val="20"/>
              </w:rPr>
            </w:pPr>
            <w:r w:rsidRPr="004843E9">
              <w:rPr>
                <w:rFonts w:ascii="Arial Narrow" w:hAnsi="Arial Narrow" w:cs="Arial"/>
                <w:b/>
                <w:bCs/>
                <w:color w:val="333333"/>
                <w:sz w:val="20"/>
                <w:szCs w:val="20"/>
              </w:rPr>
              <w:t>Prescribing Instructions:</w:t>
            </w:r>
          </w:p>
          <w:p w:rsidR="00E54D3A" w:rsidRPr="004843E9" w:rsidRDefault="00E54D3A" w:rsidP="00E54D3A">
            <w:pPr>
              <w:rPr>
                <w:rFonts w:ascii="Arial Narrow" w:hAnsi="Arial Narrow" w:cs="Arial"/>
                <w:color w:val="333333"/>
                <w:sz w:val="20"/>
                <w:szCs w:val="20"/>
              </w:rPr>
            </w:pPr>
            <w:r w:rsidRPr="004843E9">
              <w:rPr>
                <w:rFonts w:ascii="Arial Narrow" w:hAnsi="Arial Narrow" w:cs="Arial"/>
                <w:color w:val="333333"/>
                <w:sz w:val="20"/>
                <w:szCs w:val="20"/>
              </w:rPr>
              <w:t>Authority approval for initial treatment of each eye must be sought.</w:t>
            </w:r>
          </w:p>
          <w:p w:rsidR="00E54D3A" w:rsidRPr="004843E9" w:rsidRDefault="00E54D3A" w:rsidP="00E54D3A">
            <w:pPr>
              <w:rPr>
                <w:rFonts w:ascii="Arial Narrow" w:hAnsi="Arial Narrow" w:cs="Arial"/>
                <w:color w:val="333333"/>
                <w:sz w:val="20"/>
                <w:szCs w:val="20"/>
              </w:rPr>
            </w:pPr>
            <w:r w:rsidRPr="004843E9">
              <w:rPr>
                <w:rFonts w:ascii="Arial Narrow" w:hAnsi="Arial Narrow" w:cs="Arial"/>
                <w:color w:val="333333"/>
                <w:sz w:val="20"/>
                <w:szCs w:val="20"/>
              </w:rPr>
              <w:t>The first authority application for each eye must be made in writing or by telephone.</w:t>
            </w:r>
          </w:p>
          <w:p w:rsidR="00E54D3A" w:rsidRPr="004843E9" w:rsidRDefault="00E54D3A" w:rsidP="00E54D3A">
            <w:pPr>
              <w:rPr>
                <w:rFonts w:ascii="Arial Narrow" w:hAnsi="Arial Narrow" w:cs="Arial"/>
                <w:color w:val="333333"/>
                <w:sz w:val="20"/>
                <w:szCs w:val="20"/>
              </w:rPr>
            </w:pPr>
            <w:r w:rsidRPr="004843E9">
              <w:rPr>
                <w:rFonts w:ascii="Arial Narrow" w:hAnsi="Arial Narrow" w:cs="Arial"/>
                <w:color w:val="333333"/>
                <w:sz w:val="20"/>
                <w:szCs w:val="20"/>
              </w:rPr>
              <w:t>A written application must include:</w:t>
            </w:r>
          </w:p>
          <w:p w:rsidR="00E54D3A" w:rsidRPr="004843E9" w:rsidRDefault="00E54D3A" w:rsidP="00E54D3A">
            <w:pPr>
              <w:rPr>
                <w:rFonts w:ascii="Arial Narrow" w:hAnsi="Arial Narrow" w:cs="Arial"/>
                <w:color w:val="333333"/>
                <w:sz w:val="20"/>
                <w:szCs w:val="20"/>
              </w:rPr>
            </w:pPr>
            <w:r w:rsidRPr="004843E9">
              <w:rPr>
                <w:rFonts w:ascii="Arial Narrow" w:hAnsi="Arial Narrow" w:cs="Arial"/>
                <w:color w:val="333333"/>
                <w:sz w:val="20"/>
                <w:szCs w:val="20"/>
              </w:rPr>
              <w:t>a) a completed authority prescription form;</w:t>
            </w:r>
          </w:p>
          <w:p w:rsidR="00E54D3A" w:rsidRPr="004843E9" w:rsidRDefault="00E54D3A" w:rsidP="00E54D3A">
            <w:pPr>
              <w:rPr>
                <w:rFonts w:ascii="Arial Narrow" w:hAnsi="Arial Narrow" w:cs="Arial"/>
                <w:color w:val="333333"/>
                <w:sz w:val="20"/>
                <w:szCs w:val="20"/>
              </w:rPr>
            </w:pPr>
            <w:r w:rsidRPr="004843E9">
              <w:rPr>
                <w:rFonts w:ascii="Arial Narrow" w:hAnsi="Arial Narrow" w:cs="Arial"/>
                <w:color w:val="333333"/>
                <w:sz w:val="20"/>
                <w:szCs w:val="20"/>
              </w:rPr>
              <w:t>b) a completed Diabetic Macular Oedema (DMO) - PBS Supporting Information Form; and</w:t>
            </w:r>
          </w:p>
          <w:p w:rsidR="00E54D3A" w:rsidRPr="004843E9" w:rsidRDefault="00E54D3A" w:rsidP="00E54D3A">
            <w:pPr>
              <w:rPr>
                <w:rFonts w:ascii="Arial Narrow" w:hAnsi="Arial Narrow" w:cs="Arial"/>
                <w:color w:val="333333"/>
                <w:sz w:val="20"/>
                <w:szCs w:val="20"/>
              </w:rPr>
            </w:pPr>
            <w:r w:rsidRPr="004843E9">
              <w:rPr>
                <w:rFonts w:ascii="Arial Narrow" w:hAnsi="Arial Narrow" w:cs="Arial"/>
                <w:color w:val="333333"/>
                <w:sz w:val="20"/>
                <w:szCs w:val="20"/>
              </w:rPr>
              <w:t xml:space="preserve">c) </w:t>
            </w:r>
            <w:proofErr w:type="gramStart"/>
            <w:r w:rsidRPr="004843E9">
              <w:rPr>
                <w:rFonts w:ascii="Arial Narrow" w:hAnsi="Arial Narrow" w:cs="Arial"/>
                <w:color w:val="333333"/>
                <w:sz w:val="20"/>
                <w:szCs w:val="20"/>
              </w:rPr>
              <w:t>a</w:t>
            </w:r>
            <w:proofErr w:type="gramEnd"/>
            <w:r w:rsidRPr="004843E9">
              <w:rPr>
                <w:rFonts w:ascii="Arial Narrow" w:hAnsi="Arial Narrow" w:cs="Arial"/>
                <w:color w:val="333333"/>
                <w:sz w:val="20"/>
                <w:szCs w:val="20"/>
              </w:rPr>
              <w:t xml:space="preserve"> copy of the optical coherence tomography or fluorescein angiogram report.</w:t>
            </w:r>
          </w:p>
          <w:p w:rsidR="00E54D3A" w:rsidRPr="004843E9" w:rsidRDefault="00E54D3A" w:rsidP="00E54D3A">
            <w:pPr>
              <w:rPr>
                <w:rFonts w:ascii="Arial Narrow" w:hAnsi="Arial Narrow" w:cs="Arial"/>
                <w:color w:val="333333"/>
                <w:sz w:val="20"/>
                <w:szCs w:val="20"/>
              </w:rPr>
            </w:pPr>
          </w:p>
          <w:p w:rsidR="00E54D3A" w:rsidRPr="004843E9" w:rsidRDefault="00E54D3A" w:rsidP="00E54D3A">
            <w:pPr>
              <w:rPr>
                <w:rFonts w:ascii="Arial Narrow" w:hAnsi="Arial Narrow" w:cs="Arial"/>
                <w:color w:val="333333"/>
                <w:sz w:val="20"/>
                <w:szCs w:val="20"/>
              </w:rPr>
            </w:pPr>
            <w:r w:rsidRPr="004843E9">
              <w:rPr>
                <w:rFonts w:ascii="Arial Narrow" w:hAnsi="Arial Narrow" w:cs="Arial"/>
                <w:color w:val="333333"/>
                <w:sz w:val="20"/>
                <w:szCs w:val="20"/>
              </w:rPr>
              <w:t>A telephone application must be made following submission by facsimile of a copy of a completed Diabetic Macular Oedema (DMO) - PBS Supporting Information Form and a copy of the optical coherence tomography or fluorescein angiogram report.</w:t>
            </w:r>
          </w:p>
          <w:p w:rsidR="00E54D3A" w:rsidRPr="004843E9" w:rsidRDefault="00E54D3A" w:rsidP="00E54D3A">
            <w:pPr>
              <w:rPr>
                <w:rFonts w:ascii="Arial Narrow" w:hAnsi="Arial Narrow" w:cs="Arial"/>
                <w:color w:val="333333"/>
                <w:sz w:val="20"/>
                <w:szCs w:val="20"/>
              </w:rPr>
            </w:pPr>
          </w:p>
          <w:p w:rsidR="00E54D3A" w:rsidRPr="004843E9" w:rsidRDefault="00E54D3A" w:rsidP="00E54D3A">
            <w:pPr>
              <w:rPr>
                <w:rFonts w:ascii="Arial Narrow" w:hAnsi="Arial Narrow" w:cs="Arial"/>
                <w:color w:val="333333"/>
                <w:sz w:val="20"/>
                <w:szCs w:val="20"/>
              </w:rPr>
            </w:pPr>
            <w:r w:rsidRPr="004843E9">
              <w:rPr>
                <w:rFonts w:ascii="Arial Narrow" w:hAnsi="Arial Narrow" w:cs="Arial"/>
                <w:color w:val="333333"/>
                <w:sz w:val="20"/>
                <w:szCs w:val="20"/>
              </w:rPr>
              <w:t>Authority applications for the same eye will be limited to 1 application per 36 month period.</w:t>
            </w:r>
          </w:p>
        </w:tc>
      </w:tr>
      <w:tr w:rsidR="00E54D3A" w:rsidRPr="004843E9" w:rsidTr="004514EA">
        <w:trPr>
          <w:trHeight w:val="3752"/>
        </w:trPr>
        <w:tc>
          <w:tcPr>
            <w:tcW w:w="5000" w:type="pct"/>
            <w:vAlign w:val="center"/>
            <w:hideMark/>
          </w:tcPr>
          <w:p w:rsidR="00E54D3A" w:rsidRPr="004843E9" w:rsidRDefault="00E54D3A" w:rsidP="00E54D3A">
            <w:pPr>
              <w:rPr>
                <w:rFonts w:ascii="Arial Narrow" w:hAnsi="Arial Narrow" w:cs="Arial"/>
                <w:color w:val="333333"/>
                <w:sz w:val="20"/>
                <w:szCs w:val="20"/>
              </w:rPr>
            </w:pPr>
            <w:r w:rsidRPr="004843E9">
              <w:rPr>
                <w:rFonts w:ascii="Arial Narrow" w:hAnsi="Arial Narrow" w:cs="Arial"/>
                <w:b/>
                <w:bCs/>
                <w:color w:val="333333"/>
                <w:sz w:val="20"/>
                <w:szCs w:val="20"/>
              </w:rPr>
              <w:lastRenderedPageBreak/>
              <w:t>Administrative Advice:</w:t>
            </w:r>
          </w:p>
          <w:p w:rsidR="00E54D3A" w:rsidRPr="004843E9" w:rsidRDefault="00E54D3A" w:rsidP="00E54D3A">
            <w:pPr>
              <w:rPr>
                <w:rFonts w:ascii="Arial Narrow" w:hAnsi="Arial Narrow" w:cs="Arial"/>
                <w:color w:val="333333"/>
                <w:sz w:val="20"/>
                <w:szCs w:val="20"/>
              </w:rPr>
            </w:pPr>
            <w:r w:rsidRPr="004843E9">
              <w:rPr>
                <w:rFonts w:ascii="Arial Narrow" w:hAnsi="Arial Narrow" w:cs="Arial"/>
                <w:color w:val="333333"/>
                <w:sz w:val="20"/>
                <w:szCs w:val="20"/>
              </w:rPr>
              <w:t>Any queries concerning the arrangements to prescribe may be directed to the Department of Human Services on 1800 700 270 (hours of operation 8 a.m. to 5 p.m. EST Monday to Friday).</w:t>
            </w:r>
          </w:p>
          <w:p w:rsidR="00E54D3A" w:rsidRPr="004843E9" w:rsidRDefault="00E54D3A" w:rsidP="00E54D3A">
            <w:pPr>
              <w:rPr>
                <w:rFonts w:ascii="Arial Narrow" w:hAnsi="Arial Narrow" w:cs="Arial"/>
                <w:color w:val="333333"/>
                <w:sz w:val="20"/>
                <w:szCs w:val="20"/>
              </w:rPr>
            </w:pPr>
          </w:p>
          <w:p w:rsidR="00E54D3A" w:rsidRPr="004843E9" w:rsidRDefault="00E54D3A" w:rsidP="00E54D3A">
            <w:pPr>
              <w:rPr>
                <w:rFonts w:ascii="Arial Narrow" w:hAnsi="Arial Narrow" w:cs="Arial"/>
                <w:color w:val="333333"/>
                <w:sz w:val="20"/>
                <w:szCs w:val="20"/>
              </w:rPr>
            </w:pPr>
            <w:r w:rsidRPr="004843E9">
              <w:rPr>
                <w:rFonts w:ascii="Arial Narrow" w:hAnsi="Arial Narrow" w:cs="Arial"/>
                <w:color w:val="333333"/>
                <w:sz w:val="20"/>
                <w:szCs w:val="20"/>
              </w:rPr>
              <w:t>Prescribing information (including Authority Application forms and other relevant documentation as applicable) is available on the Department of Human Services website at www.humanservices.gov.au</w:t>
            </w:r>
          </w:p>
          <w:p w:rsidR="00E54D3A" w:rsidRPr="004843E9" w:rsidRDefault="00E54D3A" w:rsidP="00E54D3A">
            <w:pPr>
              <w:rPr>
                <w:rFonts w:ascii="Arial Narrow" w:hAnsi="Arial Narrow" w:cs="Arial"/>
                <w:color w:val="333333"/>
                <w:sz w:val="20"/>
                <w:szCs w:val="20"/>
              </w:rPr>
            </w:pPr>
          </w:p>
          <w:p w:rsidR="00E54D3A" w:rsidRPr="004843E9" w:rsidRDefault="00E54D3A" w:rsidP="00E54D3A">
            <w:pPr>
              <w:rPr>
                <w:rFonts w:ascii="Arial Narrow" w:hAnsi="Arial Narrow" w:cs="Arial"/>
                <w:color w:val="333333"/>
                <w:sz w:val="20"/>
                <w:szCs w:val="20"/>
              </w:rPr>
            </w:pPr>
            <w:r w:rsidRPr="004843E9">
              <w:rPr>
                <w:rFonts w:ascii="Arial Narrow" w:hAnsi="Arial Narrow" w:cs="Arial"/>
                <w:color w:val="333333"/>
                <w:sz w:val="20"/>
                <w:szCs w:val="20"/>
              </w:rPr>
              <w:t xml:space="preserve">Applications for authority to prescribe should be forwarded to: </w:t>
            </w:r>
          </w:p>
          <w:p w:rsidR="00E54D3A" w:rsidRPr="004843E9" w:rsidRDefault="00E54D3A" w:rsidP="00E54D3A">
            <w:pPr>
              <w:rPr>
                <w:rFonts w:ascii="Arial Narrow" w:hAnsi="Arial Narrow" w:cs="Arial"/>
                <w:color w:val="333333"/>
                <w:sz w:val="20"/>
                <w:szCs w:val="20"/>
              </w:rPr>
            </w:pPr>
            <w:r w:rsidRPr="004843E9">
              <w:rPr>
                <w:rFonts w:ascii="Arial Narrow" w:hAnsi="Arial Narrow" w:cs="Arial"/>
                <w:color w:val="333333"/>
                <w:sz w:val="20"/>
                <w:szCs w:val="20"/>
              </w:rPr>
              <w:t>Department of Human Services</w:t>
            </w:r>
          </w:p>
          <w:p w:rsidR="00E54D3A" w:rsidRPr="004843E9" w:rsidRDefault="00E54D3A" w:rsidP="00E54D3A">
            <w:pPr>
              <w:rPr>
                <w:rFonts w:ascii="Arial Narrow" w:hAnsi="Arial Narrow" w:cs="Arial"/>
                <w:color w:val="333333"/>
                <w:sz w:val="20"/>
                <w:szCs w:val="20"/>
              </w:rPr>
            </w:pPr>
            <w:r w:rsidRPr="004843E9">
              <w:rPr>
                <w:rFonts w:ascii="Arial Narrow" w:hAnsi="Arial Narrow" w:cs="Arial"/>
                <w:color w:val="333333"/>
                <w:sz w:val="20"/>
                <w:szCs w:val="20"/>
              </w:rPr>
              <w:t xml:space="preserve">Complex Drugs </w:t>
            </w:r>
          </w:p>
          <w:p w:rsidR="00E54D3A" w:rsidRPr="004843E9" w:rsidRDefault="00E54D3A" w:rsidP="00E54D3A">
            <w:pPr>
              <w:rPr>
                <w:rFonts w:ascii="Arial Narrow" w:hAnsi="Arial Narrow" w:cs="Arial"/>
                <w:color w:val="333333"/>
                <w:sz w:val="20"/>
                <w:szCs w:val="20"/>
              </w:rPr>
            </w:pPr>
            <w:r w:rsidRPr="004843E9">
              <w:rPr>
                <w:rFonts w:ascii="Arial Narrow" w:hAnsi="Arial Narrow" w:cs="Arial"/>
                <w:color w:val="333333"/>
                <w:sz w:val="20"/>
                <w:szCs w:val="20"/>
              </w:rPr>
              <w:t xml:space="preserve">Reply Paid 9826 </w:t>
            </w:r>
          </w:p>
          <w:p w:rsidR="00E54D3A" w:rsidRPr="004843E9" w:rsidRDefault="00E54D3A" w:rsidP="00E54D3A">
            <w:pPr>
              <w:rPr>
                <w:rFonts w:ascii="Arial Narrow" w:hAnsi="Arial Narrow" w:cs="Arial"/>
                <w:color w:val="333333"/>
                <w:sz w:val="20"/>
                <w:szCs w:val="20"/>
              </w:rPr>
            </w:pPr>
            <w:r w:rsidRPr="004843E9">
              <w:rPr>
                <w:rFonts w:ascii="Arial Narrow" w:hAnsi="Arial Narrow" w:cs="Arial"/>
                <w:color w:val="333333"/>
                <w:sz w:val="20"/>
                <w:szCs w:val="20"/>
              </w:rPr>
              <w:t>HOBART TAS 7001</w:t>
            </w:r>
          </w:p>
          <w:p w:rsidR="00E54D3A" w:rsidRPr="004843E9" w:rsidRDefault="00E54D3A" w:rsidP="00E54D3A">
            <w:pPr>
              <w:rPr>
                <w:rFonts w:ascii="Arial Narrow" w:hAnsi="Arial Narrow" w:cs="Arial"/>
                <w:color w:val="333333"/>
                <w:sz w:val="20"/>
                <w:szCs w:val="20"/>
              </w:rPr>
            </w:pPr>
          </w:p>
          <w:p w:rsidR="00E54D3A" w:rsidRPr="004843E9" w:rsidRDefault="00E54D3A" w:rsidP="00E54D3A">
            <w:pPr>
              <w:rPr>
                <w:rFonts w:ascii="Arial Narrow" w:hAnsi="Arial Narrow" w:cs="Arial"/>
                <w:color w:val="333333"/>
                <w:sz w:val="20"/>
                <w:szCs w:val="20"/>
              </w:rPr>
            </w:pPr>
            <w:r w:rsidRPr="004843E9">
              <w:rPr>
                <w:rFonts w:ascii="Arial Narrow" w:hAnsi="Arial Narrow" w:cs="Arial"/>
                <w:color w:val="333333"/>
                <w:sz w:val="20"/>
                <w:szCs w:val="20"/>
              </w:rPr>
              <w:t>The first authority application may be faxed to the Department of Human Services on 1300 093 177 (hours of operation 8 a.m. to 5 p.m. EST Monday to Friday). The Department will then contact the prescriber by telephone.</w:t>
            </w:r>
          </w:p>
          <w:p w:rsidR="00E54D3A" w:rsidRPr="004843E9" w:rsidRDefault="00E54D3A" w:rsidP="00E54D3A">
            <w:pPr>
              <w:rPr>
                <w:rFonts w:ascii="Arial Narrow" w:hAnsi="Arial Narrow" w:cs="Arial"/>
                <w:color w:val="333333"/>
                <w:sz w:val="20"/>
                <w:szCs w:val="20"/>
              </w:rPr>
            </w:pPr>
          </w:p>
          <w:p w:rsidR="00E54D3A" w:rsidRPr="004843E9" w:rsidRDefault="00E54D3A" w:rsidP="00E54D3A">
            <w:pPr>
              <w:rPr>
                <w:rFonts w:ascii="Arial Narrow" w:hAnsi="Arial Narrow" w:cs="Arial"/>
                <w:color w:val="333333"/>
                <w:sz w:val="20"/>
                <w:szCs w:val="20"/>
              </w:rPr>
            </w:pPr>
            <w:r w:rsidRPr="004843E9">
              <w:rPr>
                <w:rFonts w:ascii="Arial Narrow" w:hAnsi="Arial Narrow" w:cs="Arial"/>
                <w:color w:val="333333"/>
                <w:sz w:val="20"/>
                <w:szCs w:val="20"/>
              </w:rPr>
              <w:t>Special Pricing Arrangements apply.</w:t>
            </w:r>
          </w:p>
        </w:tc>
      </w:tr>
    </w:tbl>
    <w:p w:rsidR="00E54D3A" w:rsidRPr="004843E9" w:rsidRDefault="00E54D3A" w:rsidP="00E54D3A">
      <w:pPr>
        <w:rPr>
          <w:rFonts w:ascii="Arial Narrow" w:hAnsi="Arial Narrow"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E54D3A" w:rsidRPr="004843E9" w:rsidTr="004514EA">
        <w:tc>
          <w:tcPr>
            <w:tcW w:w="5000" w:type="pct"/>
          </w:tcPr>
          <w:p w:rsidR="00E54D3A" w:rsidRPr="004843E9" w:rsidRDefault="00E54D3A" w:rsidP="00E54D3A">
            <w:pPr>
              <w:rPr>
                <w:rFonts w:ascii="Arial Narrow" w:hAnsi="Arial Narrow" w:cs="Arial"/>
                <w:b/>
                <w:bCs/>
                <w:color w:val="333333"/>
                <w:sz w:val="20"/>
                <w:szCs w:val="20"/>
              </w:rPr>
            </w:pPr>
            <w:r w:rsidRPr="004843E9">
              <w:rPr>
                <w:rFonts w:ascii="Arial Narrow" w:hAnsi="Arial Narrow" w:cs="Arial"/>
                <w:b/>
                <w:sz w:val="20"/>
                <w:szCs w:val="20"/>
              </w:rPr>
              <w:t>Category / Program:</w:t>
            </w:r>
            <w:r w:rsidRPr="004843E9">
              <w:rPr>
                <w:rFonts w:ascii="Arial Narrow" w:hAnsi="Arial Narrow" w:cs="Arial"/>
                <w:sz w:val="20"/>
                <w:szCs w:val="20"/>
              </w:rPr>
              <w:t xml:space="preserve"> General Schedule (Code GE)</w:t>
            </w:r>
          </w:p>
        </w:tc>
      </w:tr>
      <w:tr w:rsidR="00E54D3A" w:rsidRPr="004843E9" w:rsidTr="004514EA">
        <w:tc>
          <w:tcPr>
            <w:tcW w:w="5000" w:type="pct"/>
          </w:tcPr>
          <w:p w:rsidR="00E54D3A" w:rsidRPr="004843E9" w:rsidRDefault="00E54D3A" w:rsidP="00E54D3A">
            <w:pPr>
              <w:rPr>
                <w:rFonts w:ascii="Arial Narrow" w:hAnsi="Arial Narrow" w:cs="Arial"/>
                <w:b/>
                <w:bCs/>
                <w:color w:val="333333"/>
                <w:sz w:val="20"/>
                <w:szCs w:val="20"/>
              </w:rPr>
            </w:pPr>
            <w:r w:rsidRPr="004843E9">
              <w:rPr>
                <w:rFonts w:ascii="Arial Narrow" w:hAnsi="Arial Narrow" w:cs="Arial"/>
                <w:b/>
                <w:sz w:val="20"/>
                <w:szCs w:val="20"/>
              </w:rPr>
              <w:t>Prescriber type:</w:t>
            </w:r>
            <w:r w:rsidRPr="004843E9">
              <w:rPr>
                <w:rFonts w:ascii="Arial Narrow" w:hAnsi="Arial Narrow" w:cs="Arial"/>
                <w:sz w:val="20"/>
                <w:szCs w:val="20"/>
              </w:rPr>
              <w:t xml:space="preserve">    </w:t>
            </w:r>
            <w:r w:rsidRPr="004843E9">
              <w:rPr>
                <w:rFonts w:ascii="Arial Narrow" w:hAnsi="Arial Narrow" w:cs="Arial"/>
                <w:sz w:val="20"/>
                <w:szCs w:val="20"/>
              </w:rPr>
              <w:fldChar w:fldCharType="begin">
                <w:ffData>
                  <w:name w:val="Check1"/>
                  <w:enabled/>
                  <w:calcOnExit w:val="0"/>
                  <w:checkBox>
                    <w:sizeAuto/>
                    <w:default w:val="0"/>
                  </w:checkBox>
                </w:ffData>
              </w:fldChar>
            </w:r>
            <w:r w:rsidRPr="004843E9">
              <w:rPr>
                <w:rFonts w:ascii="Arial Narrow" w:hAnsi="Arial Narrow" w:cs="Arial"/>
                <w:sz w:val="20"/>
                <w:szCs w:val="20"/>
              </w:rPr>
              <w:instrText xml:space="preserve"> FORMCHECKBOX </w:instrText>
            </w:r>
            <w:r w:rsidR="00811338">
              <w:rPr>
                <w:rFonts w:ascii="Arial Narrow" w:hAnsi="Arial Narrow" w:cs="Arial"/>
                <w:sz w:val="20"/>
                <w:szCs w:val="20"/>
              </w:rPr>
            </w:r>
            <w:r w:rsidR="00811338">
              <w:rPr>
                <w:rFonts w:ascii="Arial Narrow" w:hAnsi="Arial Narrow" w:cs="Arial"/>
                <w:sz w:val="20"/>
                <w:szCs w:val="20"/>
              </w:rPr>
              <w:fldChar w:fldCharType="separate"/>
            </w:r>
            <w:r w:rsidRPr="004843E9">
              <w:rPr>
                <w:rFonts w:ascii="Arial Narrow" w:hAnsi="Arial Narrow" w:cs="Arial"/>
                <w:sz w:val="20"/>
                <w:szCs w:val="20"/>
              </w:rPr>
              <w:fldChar w:fldCharType="end"/>
            </w:r>
            <w:r w:rsidRPr="004843E9">
              <w:rPr>
                <w:rFonts w:ascii="Arial Narrow" w:hAnsi="Arial Narrow" w:cs="Arial"/>
                <w:sz w:val="20"/>
                <w:szCs w:val="20"/>
              </w:rPr>
              <w:t xml:space="preserve">Dental   </w:t>
            </w:r>
            <w:r w:rsidRPr="004843E9">
              <w:rPr>
                <w:rFonts w:ascii="Arial Narrow" w:hAnsi="Arial Narrow" w:cs="Arial"/>
                <w:sz w:val="20"/>
                <w:szCs w:val="20"/>
              </w:rPr>
              <w:fldChar w:fldCharType="begin">
                <w:ffData>
                  <w:name w:val=""/>
                  <w:enabled/>
                  <w:calcOnExit w:val="0"/>
                  <w:checkBox>
                    <w:sizeAuto/>
                    <w:default w:val="1"/>
                  </w:checkBox>
                </w:ffData>
              </w:fldChar>
            </w:r>
            <w:r w:rsidRPr="004843E9">
              <w:rPr>
                <w:rFonts w:ascii="Arial Narrow" w:hAnsi="Arial Narrow" w:cs="Arial"/>
                <w:sz w:val="20"/>
                <w:szCs w:val="20"/>
              </w:rPr>
              <w:instrText xml:space="preserve"> FORMCHECKBOX </w:instrText>
            </w:r>
            <w:r w:rsidR="00811338">
              <w:rPr>
                <w:rFonts w:ascii="Arial Narrow" w:hAnsi="Arial Narrow" w:cs="Arial"/>
                <w:sz w:val="20"/>
                <w:szCs w:val="20"/>
              </w:rPr>
            </w:r>
            <w:r w:rsidR="00811338">
              <w:rPr>
                <w:rFonts w:ascii="Arial Narrow" w:hAnsi="Arial Narrow" w:cs="Arial"/>
                <w:sz w:val="20"/>
                <w:szCs w:val="20"/>
              </w:rPr>
              <w:fldChar w:fldCharType="separate"/>
            </w:r>
            <w:r w:rsidRPr="004843E9">
              <w:rPr>
                <w:rFonts w:ascii="Arial Narrow" w:hAnsi="Arial Narrow" w:cs="Arial"/>
                <w:sz w:val="20"/>
                <w:szCs w:val="20"/>
              </w:rPr>
              <w:fldChar w:fldCharType="end"/>
            </w:r>
            <w:r w:rsidRPr="004843E9">
              <w:rPr>
                <w:rFonts w:ascii="Arial Narrow" w:hAnsi="Arial Narrow" w:cs="Arial"/>
                <w:sz w:val="20"/>
                <w:szCs w:val="20"/>
              </w:rPr>
              <w:t xml:space="preserve">  Medical Practitioners    </w:t>
            </w:r>
            <w:r w:rsidRPr="004843E9">
              <w:rPr>
                <w:rFonts w:ascii="Arial Narrow" w:hAnsi="Arial Narrow" w:cs="Arial"/>
                <w:sz w:val="20"/>
                <w:szCs w:val="20"/>
              </w:rPr>
              <w:fldChar w:fldCharType="begin">
                <w:ffData>
                  <w:name w:val="Check3"/>
                  <w:enabled/>
                  <w:calcOnExit w:val="0"/>
                  <w:checkBox>
                    <w:sizeAuto/>
                    <w:default w:val="0"/>
                  </w:checkBox>
                </w:ffData>
              </w:fldChar>
            </w:r>
            <w:r w:rsidRPr="004843E9">
              <w:rPr>
                <w:rFonts w:ascii="Arial Narrow" w:hAnsi="Arial Narrow" w:cs="Arial"/>
                <w:sz w:val="20"/>
                <w:szCs w:val="20"/>
              </w:rPr>
              <w:instrText xml:space="preserve"> FORMCHECKBOX </w:instrText>
            </w:r>
            <w:r w:rsidR="00811338">
              <w:rPr>
                <w:rFonts w:ascii="Arial Narrow" w:hAnsi="Arial Narrow" w:cs="Arial"/>
                <w:sz w:val="20"/>
                <w:szCs w:val="20"/>
              </w:rPr>
            </w:r>
            <w:r w:rsidR="00811338">
              <w:rPr>
                <w:rFonts w:ascii="Arial Narrow" w:hAnsi="Arial Narrow" w:cs="Arial"/>
                <w:sz w:val="20"/>
                <w:szCs w:val="20"/>
              </w:rPr>
              <w:fldChar w:fldCharType="separate"/>
            </w:r>
            <w:r w:rsidRPr="004843E9">
              <w:rPr>
                <w:rFonts w:ascii="Arial Narrow" w:hAnsi="Arial Narrow" w:cs="Arial"/>
                <w:sz w:val="20"/>
                <w:szCs w:val="20"/>
              </w:rPr>
              <w:fldChar w:fldCharType="end"/>
            </w:r>
            <w:r w:rsidRPr="004843E9">
              <w:rPr>
                <w:rFonts w:ascii="Arial Narrow" w:hAnsi="Arial Narrow" w:cs="Arial"/>
                <w:sz w:val="20"/>
                <w:szCs w:val="20"/>
              </w:rPr>
              <w:t xml:space="preserve">Nurse practitioners  </w:t>
            </w:r>
            <w:r w:rsidRPr="004843E9">
              <w:rPr>
                <w:rFonts w:ascii="Arial Narrow" w:hAnsi="Arial Narrow" w:cs="Arial"/>
                <w:sz w:val="20"/>
                <w:szCs w:val="20"/>
              </w:rPr>
              <w:fldChar w:fldCharType="begin">
                <w:ffData>
                  <w:name w:val=""/>
                  <w:enabled/>
                  <w:calcOnExit w:val="0"/>
                  <w:checkBox>
                    <w:sizeAuto/>
                    <w:default w:val="0"/>
                  </w:checkBox>
                </w:ffData>
              </w:fldChar>
            </w:r>
            <w:r w:rsidRPr="004843E9">
              <w:rPr>
                <w:rFonts w:ascii="Arial Narrow" w:hAnsi="Arial Narrow" w:cs="Arial"/>
                <w:sz w:val="20"/>
                <w:szCs w:val="20"/>
              </w:rPr>
              <w:instrText xml:space="preserve"> FORMCHECKBOX </w:instrText>
            </w:r>
            <w:r w:rsidR="00811338">
              <w:rPr>
                <w:rFonts w:ascii="Arial Narrow" w:hAnsi="Arial Narrow" w:cs="Arial"/>
                <w:sz w:val="20"/>
                <w:szCs w:val="20"/>
              </w:rPr>
            </w:r>
            <w:r w:rsidR="00811338">
              <w:rPr>
                <w:rFonts w:ascii="Arial Narrow" w:hAnsi="Arial Narrow" w:cs="Arial"/>
                <w:sz w:val="20"/>
                <w:szCs w:val="20"/>
              </w:rPr>
              <w:fldChar w:fldCharType="separate"/>
            </w:r>
            <w:r w:rsidRPr="004843E9">
              <w:rPr>
                <w:rFonts w:ascii="Arial Narrow" w:hAnsi="Arial Narrow" w:cs="Arial"/>
                <w:sz w:val="20"/>
                <w:szCs w:val="20"/>
              </w:rPr>
              <w:fldChar w:fldCharType="end"/>
            </w:r>
            <w:r w:rsidRPr="004843E9">
              <w:rPr>
                <w:rFonts w:ascii="Arial Narrow" w:hAnsi="Arial Narrow" w:cs="Arial"/>
                <w:sz w:val="20"/>
                <w:szCs w:val="20"/>
              </w:rPr>
              <w:t xml:space="preserve">Optometrists   </w:t>
            </w:r>
            <w:r w:rsidRPr="004843E9">
              <w:rPr>
                <w:rFonts w:ascii="Arial Narrow" w:hAnsi="Arial Narrow" w:cs="Arial"/>
                <w:sz w:val="20"/>
                <w:szCs w:val="20"/>
              </w:rPr>
              <w:fldChar w:fldCharType="begin">
                <w:ffData>
                  <w:name w:val="Check5"/>
                  <w:enabled/>
                  <w:calcOnExit w:val="0"/>
                  <w:checkBox>
                    <w:sizeAuto/>
                    <w:default w:val="0"/>
                  </w:checkBox>
                </w:ffData>
              </w:fldChar>
            </w:r>
            <w:r w:rsidRPr="004843E9">
              <w:rPr>
                <w:rFonts w:ascii="Arial Narrow" w:hAnsi="Arial Narrow" w:cs="Arial"/>
                <w:sz w:val="20"/>
                <w:szCs w:val="20"/>
              </w:rPr>
              <w:instrText xml:space="preserve"> FORMCHECKBOX </w:instrText>
            </w:r>
            <w:r w:rsidR="00811338">
              <w:rPr>
                <w:rFonts w:ascii="Arial Narrow" w:hAnsi="Arial Narrow" w:cs="Arial"/>
                <w:sz w:val="20"/>
                <w:szCs w:val="20"/>
              </w:rPr>
            </w:r>
            <w:r w:rsidR="00811338">
              <w:rPr>
                <w:rFonts w:ascii="Arial Narrow" w:hAnsi="Arial Narrow" w:cs="Arial"/>
                <w:sz w:val="20"/>
                <w:szCs w:val="20"/>
              </w:rPr>
              <w:fldChar w:fldCharType="separate"/>
            </w:r>
            <w:r w:rsidRPr="004843E9">
              <w:rPr>
                <w:rFonts w:ascii="Arial Narrow" w:hAnsi="Arial Narrow" w:cs="Arial"/>
                <w:sz w:val="20"/>
                <w:szCs w:val="20"/>
              </w:rPr>
              <w:fldChar w:fldCharType="end"/>
            </w:r>
            <w:r w:rsidRPr="004843E9">
              <w:rPr>
                <w:rFonts w:ascii="Arial Narrow" w:hAnsi="Arial Narrow" w:cs="Arial"/>
                <w:sz w:val="20"/>
                <w:szCs w:val="20"/>
              </w:rPr>
              <w:t>Midwives</w:t>
            </w:r>
          </w:p>
        </w:tc>
      </w:tr>
      <w:tr w:rsidR="00E54D3A" w:rsidRPr="004843E9" w:rsidTr="004514EA">
        <w:tc>
          <w:tcPr>
            <w:tcW w:w="5000" w:type="pct"/>
            <w:tcBorders>
              <w:bottom w:val="single" w:sz="4" w:space="0" w:color="auto"/>
            </w:tcBorders>
          </w:tcPr>
          <w:p w:rsidR="00E54D3A" w:rsidRPr="004843E9" w:rsidRDefault="00E54D3A" w:rsidP="00E54D3A">
            <w:pPr>
              <w:rPr>
                <w:rFonts w:ascii="Arial Narrow" w:hAnsi="Arial Narrow" w:cs="Arial"/>
                <w:b/>
                <w:sz w:val="20"/>
                <w:szCs w:val="20"/>
              </w:rPr>
            </w:pPr>
            <w:r w:rsidRPr="004843E9">
              <w:rPr>
                <w:rFonts w:ascii="Arial Narrow" w:hAnsi="Arial Narrow" w:cs="Arial"/>
                <w:b/>
                <w:sz w:val="20"/>
                <w:szCs w:val="20"/>
              </w:rPr>
              <w:t xml:space="preserve">Restriction Level / Method:  </w:t>
            </w:r>
            <w:r w:rsidRPr="004843E9">
              <w:rPr>
                <w:rFonts w:ascii="Arial Narrow" w:hAnsi="Arial Narrow" w:cs="Arial"/>
                <w:sz w:val="20"/>
                <w:szCs w:val="20"/>
              </w:rPr>
              <w:fldChar w:fldCharType="begin">
                <w:ffData>
                  <w:name w:val="Check3"/>
                  <w:enabled/>
                  <w:calcOnExit w:val="0"/>
                  <w:checkBox>
                    <w:sizeAuto/>
                    <w:default w:val="1"/>
                  </w:checkBox>
                </w:ffData>
              </w:fldChar>
            </w:r>
            <w:bookmarkStart w:id="0" w:name="Check3"/>
            <w:r w:rsidRPr="004843E9">
              <w:rPr>
                <w:rFonts w:ascii="Arial Narrow" w:hAnsi="Arial Narrow" w:cs="Arial"/>
                <w:sz w:val="20"/>
                <w:szCs w:val="20"/>
              </w:rPr>
              <w:instrText xml:space="preserve"> FORMCHECKBOX </w:instrText>
            </w:r>
            <w:r w:rsidR="00811338">
              <w:rPr>
                <w:rFonts w:ascii="Arial Narrow" w:hAnsi="Arial Narrow" w:cs="Arial"/>
                <w:sz w:val="20"/>
                <w:szCs w:val="20"/>
              </w:rPr>
            </w:r>
            <w:r w:rsidR="00811338">
              <w:rPr>
                <w:rFonts w:ascii="Arial Narrow" w:hAnsi="Arial Narrow" w:cs="Arial"/>
                <w:sz w:val="20"/>
                <w:szCs w:val="20"/>
              </w:rPr>
              <w:fldChar w:fldCharType="separate"/>
            </w:r>
            <w:r w:rsidRPr="004843E9">
              <w:rPr>
                <w:rFonts w:ascii="Arial Narrow" w:hAnsi="Arial Narrow" w:cs="Arial"/>
                <w:sz w:val="20"/>
                <w:szCs w:val="20"/>
              </w:rPr>
              <w:fldChar w:fldCharType="end"/>
            </w:r>
            <w:bookmarkEnd w:id="0"/>
            <w:r w:rsidRPr="004843E9">
              <w:rPr>
                <w:rFonts w:ascii="Arial Narrow" w:hAnsi="Arial Narrow" w:cs="Arial"/>
                <w:sz w:val="20"/>
                <w:szCs w:val="20"/>
              </w:rPr>
              <w:t xml:space="preserve">  Authority Required – Telephone/Electronic/Emergency</w:t>
            </w:r>
          </w:p>
        </w:tc>
      </w:tr>
      <w:tr w:rsidR="00E54D3A" w:rsidRPr="004843E9" w:rsidTr="004514EA">
        <w:tc>
          <w:tcPr>
            <w:tcW w:w="5000" w:type="pct"/>
            <w:tcBorders>
              <w:bottom w:val="nil"/>
            </w:tcBorders>
            <w:vAlign w:val="center"/>
            <w:hideMark/>
          </w:tcPr>
          <w:p w:rsidR="00E54D3A" w:rsidRPr="004843E9" w:rsidRDefault="00E54D3A" w:rsidP="00E54D3A">
            <w:pPr>
              <w:rPr>
                <w:rFonts w:ascii="Arial Narrow" w:hAnsi="Arial Narrow" w:cs="Arial"/>
                <w:color w:val="333333"/>
                <w:sz w:val="20"/>
                <w:szCs w:val="20"/>
              </w:rPr>
            </w:pPr>
            <w:r w:rsidRPr="004843E9">
              <w:rPr>
                <w:rFonts w:ascii="Arial Narrow" w:hAnsi="Arial Narrow" w:cs="Arial"/>
                <w:b/>
                <w:bCs/>
                <w:color w:val="333333"/>
                <w:sz w:val="20"/>
                <w:szCs w:val="20"/>
              </w:rPr>
              <w:t>Indication:</w:t>
            </w:r>
            <w:r w:rsidRPr="004843E9">
              <w:rPr>
                <w:rFonts w:ascii="Arial Narrow" w:hAnsi="Arial Narrow" w:cs="Arial"/>
                <w:color w:val="333333"/>
                <w:sz w:val="20"/>
                <w:szCs w:val="20"/>
              </w:rPr>
              <w:t xml:space="preserve"> Diabetic macular oedema (DMO)</w:t>
            </w:r>
          </w:p>
        </w:tc>
      </w:tr>
      <w:tr w:rsidR="00E54D3A" w:rsidRPr="004843E9" w:rsidTr="004514EA">
        <w:tc>
          <w:tcPr>
            <w:tcW w:w="5000" w:type="pct"/>
            <w:tcBorders>
              <w:top w:val="nil"/>
              <w:bottom w:val="nil"/>
            </w:tcBorders>
            <w:vAlign w:val="center"/>
            <w:hideMark/>
          </w:tcPr>
          <w:p w:rsidR="00E54D3A" w:rsidRPr="004843E9" w:rsidRDefault="00E54D3A" w:rsidP="00E54D3A">
            <w:pPr>
              <w:rPr>
                <w:rFonts w:ascii="Arial Narrow" w:hAnsi="Arial Narrow" w:cs="Arial"/>
                <w:color w:val="333333"/>
                <w:sz w:val="20"/>
                <w:szCs w:val="20"/>
              </w:rPr>
            </w:pPr>
            <w:r w:rsidRPr="004843E9">
              <w:rPr>
                <w:rFonts w:ascii="Arial Narrow" w:hAnsi="Arial Narrow" w:cs="Arial"/>
                <w:b/>
                <w:bCs/>
                <w:color w:val="333333"/>
                <w:sz w:val="20"/>
                <w:szCs w:val="20"/>
              </w:rPr>
              <w:t>Treatment Phase:</w:t>
            </w:r>
            <w:r w:rsidRPr="004843E9">
              <w:rPr>
                <w:rFonts w:ascii="Arial Narrow" w:hAnsi="Arial Narrow" w:cs="Arial"/>
                <w:color w:val="333333"/>
                <w:sz w:val="20"/>
                <w:szCs w:val="20"/>
              </w:rPr>
              <w:t xml:space="preserve"> Continuing treatment</w:t>
            </w:r>
          </w:p>
        </w:tc>
      </w:tr>
      <w:tr w:rsidR="00E54D3A" w:rsidRPr="004843E9" w:rsidTr="004514EA">
        <w:tc>
          <w:tcPr>
            <w:tcW w:w="5000" w:type="pct"/>
            <w:tcBorders>
              <w:top w:val="nil"/>
              <w:bottom w:val="nil"/>
            </w:tcBorders>
            <w:vAlign w:val="center"/>
            <w:hideMark/>
          </w:tcPr>
          <w:p w:rsidR="00E54D3A" w:rsidRPr="004843E9" w:rsidRDefault="00E54D3A" w:rsidP="00E54D3A">
            <w:pPr>
              <w:rPr>
                <w:rFonts w:ascii="Arial Narrow" w:hAnsi="Arial Narrow" w:cs="Arial"/>
                <w:color w:val="333333"/>
                <w:sz w:val="20"/>
                <w:szCs w:val="20"/>
              </w:rPr>
            </w:pPr>
            <w:r w:rsidRPr="004843E9">
              <w:rPr>
                <w:rFonts w:ascii="Arial Narrow" w:hAnsi="Arial Narrow" w:cs="Arial"/>
                <w:b/>
                <w:bCs/>
                <w:color w:val="333333"/>
                <w:sz w:val="20"/>
                <w:szCs w:val="20"/>
              </w:rPr>
              <w:t>Treatment criteria:</w:t>
            </w:r>
          </w:p>
        </w:tc>
      </w:tr>
      <w:tr w:rsidR="00E54D3A" w:rsidRPr="004843E9" w:rsidTr="004514EA">
        <w:tc>
          <w:tcPr>
            <w:tcW w:w="5000" w:type="pct"/>
            <w:tcBorders>
              <w:top w:val="nil"/>
              <w:bottom w:val="nil"/>
            </w:tcBorders>
            <w:vAlign w:val="center"/>
            <w:hideMark/>
          </w:tcPr>
          <w:p w:rsidR="00E54D3A" w:rsidRPr="004843E9" w:rsidRDefault="00E54D3A" w:rsidP="00955036">
            <w:pPr>
              <w:numPr>
                <w:ilvl w:val="0"/>
                <w:numId w:val="12"/>
              </w:numPr>
              <w:rPr>
                <w:rFonts w:ascii="Arial Narrow" w:hAnsi="Arial Narrow" w:cs="Arial"/>
                <w:snapToGrid w:val="0"/>
                <w:color w:val="333333"/>
                <w:sz w:val="20"/>
                <w:szCs w:val="20"/>
              </w:rPr>
            </w:pPr>
            <w:r w:rsidRPr="004843E9">
              <w:rPr>
                <w:rFonts w:ascii="Arial Narrow" w:hAnsi="Arial Narrow" w:cs="Arial"/>
                <w:snapToGrid w:val="0"/>
                <w:color w:val="333333"/>
                <w:sz w:val="20"/>
                <w:szCs w:val="20"/>
              </w:rPr>
              <w:t>Must be treated by an ophthalmologist or in consultation with an ophthalmologist</w:t>
            </w:r>
          </w:p>
        </w:tc>
      </w:tr>
      <w:tr w:rsidR="00E54D3A" w:rsidRPr="004843E9" w:rsidTr="004514EA">
        <w:tc>
          <w:tcPr>
            <w:tcW w:w="5000" w:type="pct"/>
            <w:tcBorders>
              <w:top w:val="nil"/>
              <w:bottom w:val="nil"/>
            </w:tcBorders>
            <w:vAlign w:val="center"/>
            <w:hideMark/>
          </w:tcPr>
          <w:p w:rsidR="00E54D3A" w:rsidRPr="004843E9" w:rsidRDefault="00E54D3A" w:rsidP="00E54D3A">
            <w:pPr>
              <w:rPr>
                <w:rFonts w:ascii="Arial Narrow" w:hAnsi="Arial Narrow" w:cs="Arial"/>
                <w:color w:val="333333"/>
                <w:sz w:val="20"/>
                <w:szCs w:val="20"/>
              </w:rPr>
            </w:pPr>
            <w:r w:rsidRPr="004843E9">
              <w:rPr>
                <w:rFonts w:ascii="Arial Narrow" w:hAnsi="Arial Narrow" w:cs="Arial"/>
                <w:b/>
                <w:bCs/>
                <w:color w:val="333333"/>
                <w:sz w:val="20"/>
                <w:szCs w:val="20"/>
              </w:rPr>
              <w:t>Clinical criteria:</w:t>
            </w:r>
          </w:p>
        </w:tc>
      </w:tr>
      <w:tr w:rsidR="00E54D3A" w:rsidRPr="004843E9" w:rsidTr="004514EA">
        <w:tc>
          <w:tcPr>
            <w:tcW w:w="5000" w:type="pct"/>
            <w:tcBorders>
              <w:top w:val="nil"/>
            </w:tcBorders>
            <w:vAlign w:val="center"/>
            <w:hideMark/>
          </w:tcPr>
          <w:p w:rsidR="00E54D3A" w:rsidRPr="004843E9" w:rsidRDefault="00E54D3A" w:rsidP="00955036">
            <w:pPr>
              <w:numPr>
                <w:ilvl w:val="0"/>
                <w:numId w:val="12"/>
              </w:numPr>
              <w:rPr>
                <w:rFonts w:ascii="Arial Narrow" w:hAnsi="Arial Narrow" w:cs="Arial"/>
                <w:snapToGrid w:val="0"/>
                <w:color w:val="333333"/>
                <w:sz w:val="20"/>
                <w:szCs w:val="20"/>
              </w:rPr>
            </w:pPr>
            <w:r w:rsidRPr="004843E9">
              <w:rPr>
                <w:rFonts w:ascii="Arial Narrow" w:hAnsi="Arial Narrow" w:cs="Arial"/>
                <w:snapToGrid w:val="0"/>
                <w:color w:val="333333"/>
                <w:sz w:val="20"/>
                <w:szCs w:val="20"/>
              </w:rPr>
              <w:t>Patient must have previously been issued with an authority prescription for this drug for the same eye</w:t>
            </w:r>
          </w:p>
        </w:tc>
      </w:tr>
      <w:tr w:rsidR="00E54D3A" w:rsidRPr="004843E9" w:rsidTr="004514EA">
        <w:tc>
          <w:tcPr>
            <w:tcW w:w="5000" w:type="pct"/>
            <w:vAlign w:val="center"/>
          </w:tcPr>
          <w:p w:rsidR="00E54D3A" w:rsidRPr="004843E9" w:rsidRDefault="00E54D3A" w:rsidP="00E54D3A">
            <w:pPr>
              <w:rPr>
                <w:rFonts w:ascii="Arial Narrow" w:hAnsi="Arial Narrow" w:cs="Arial"/>
                <w:b/>
                <w:bCs/>
                <w:color w:val="333333"/>
                <w:sz w:val="20"/>
                <w:szCs w:val="20"/>
              </w:rPr>
            </w:pPr>
            <w:r w:rsidRPr="004843E9">
              <w:rPr>
                <w:rFonts w:ascii="Arial Narrow" w:hAnsi="Arial Narrow" w:cs="Arial"/>
                <w:b/>
                <w:bCs/>
                <w:color w:val="333333"/>
                <w:sz w:val="20"/>
                <w:szCs w:val="20"/>
              </w:rPr>
              <w:t>Prescribing Instructions:</w:t>
            </w:r>
          </w:p>
          <w:p w:rsidR="00E54D3A" w:rsidRPr="004843E9" w:rsidRDefault="00E54D3A" w:rsidP="00E54D3A">
            <w:pPr>
              <w:rPr>
                <w:rFonts w:ascii="Arial Narrow" w:hAnsi="Arial Narrow" w:cs="Arial"/>
                <w:color w:val="333333"/>
                <w:sz w:val="20"/>
                <w:szCs w:val="20"/>
              </w:rPr>
            </w:pPr>
            <w:r w:rsidRPr="004843E9">
              <w:rPr>
                <w:rFonts w:ascii="Arial Narrow" w:hAnsi="Arial Narrow" w:cs="Arial"/>
                <w:color w:val="333333"/>
                <w:sz w:val="20"/>
                <w:szCs w:val="20"/>
              </w:rPr>
              <w:t>Authority applications for the same eye will be limited to 1 application per 36 month period.</w:t>
            </w:r>
          </w:p>
        </w:tc>
      </w:tr>
      <w:tr w:rsidR="00E54D3A" w:rsidRPr="004843E9" w:rsidTr="004514EA">
        <w:trPr>
          <w:trHeight w:val="958"/>
        </w:trPr>
        <w:tc>
          <w:tcPr>
            <w:tcW w:w="5000" w:type="pct"/>
            <w:vAlign w:val="center"/>
            <w:hideMark/>
          </w:tcPr>
          <w:p w:rsidR="00E54D3A" w:rsidRPr="004843E9" w:rsidRDefault="00E54D3A" w:rsidP="00E54D3A">
            <w:pPr>
              <w:rPr>
                <w:rFonts w:ascii="Arial Narrow" w:hAnsi="Arial Narrow" w:cs="Arial"/>
                <w:color w:val="333333"/>
                <w:sz w:val="20"/>
                <w:szCs w:val="20"/>
              </w:rPr>
            </w:pPr>
            <w:r w:rsidRPr="004843E9">
              <w:rPr>
                <w:rFonts w:ascii="Arial Narrow" w:hAnsi="Arial Narrow" w:cs="Arial"/>
                <w:b/>
                <w:bCs/>
                <w:color w:val="333333"/>
                <w:sz w:val="20"/>
                <w:szCs w:val="20"/>
              </w:rPr>
              <w:t>Administrative Advice:</w:t>
            </w:r>
          </w:p>
          <w:p w:rsidR="00E54D3A" w:rsidRPr="004843E9" w:rsidRDefault="00E54D3A" w:rsidP="00E54D3A">
            <w:pPr>
              <w:rPr>
                <w:rFonts w:ascii="Arial Narrow" w:hAnsi="Arial Narrow" w:cs="Arial"/>
                <w:color w:val="333333"/>
                <w:sz w:val="20"/>
                <w:szCs w:val="20"/>
              </w:rPr>
            </w:pPr>
            <w:r w:rsidRPr="004843E9">
              <w:rPr>
                <w:rFonts w:ascii="Arial Narrow" w:hAnsi="Arial Narrow" w:cs="Arial"/>
                <w:color w:val="333333"/>
                <w:sz w:val="20"/>
                <w:szCs w:val="20"/>
              </w:rPr>
              <w:t>Authority applications for continuing treatment in the same eye may be made by telephone on 1800 700 270 (hours of operation 8 a.m. to 5 p.m. EST Monday to Friday).</w:t>
            </w:r>
          </w:p>
          <w:p w:rsidR="00E54D3A" w:rsidRPr="004843E9" w:rsidRDefault="00E54D3A" w:rsidP="00E54D3A">
            <w:pPr>
              <w:rPr>
                <w:rFonts w:ascii="Arial Narrow" w:hAnsi="Arial Narrow" w:cs="Arial"/>
                <w:color w:val="333333"/>
                <w:sz w:val="20"/>
                <w:szCs w:val="20"/>
              </w:rPr>
            </w:pPr>
          </w:p>
          <w:p w:rsidR="00E54D3A" w:rsidRPr="004843E9" w:rsidRDefault="00E54D3A" w:rsidP="00E54D3A">
            <w:pPr>
              <w:rPr>
                <w:rFonts w:ascii="Arial Narrow" w:hAnsi="Arial Narrow" w:cs="Arial"/>
                <w:color w:val="333333"/>
                <w:sz w:val="20"/>
                <w:szCs w:val="20"/>
              </w:rPr>
            </w:pPr>
            <w:r w:rsidRPr="004843E9">
              <w:rPr>
                <w:rFonts w:ascii="Arial Narrow" w:hAnsi="Arial Narrow" w:cs="Arial"/>
                <w:color w:val="333333"/>
                <w:sz w:val="20"/>
                <w:szCs w:val="20"/>
              </w:rPr>
              <w:t>Special Pricing Arrangements apply.</w:t>
            </w:r>
          </w:p>
        </w:tc>
      </w:tr>
    </w:tbl>
    <w:p w:rsidR="005A3173" w:rsidRPr="004843E9" w:rsidRDefault="005A3173" w:rsidP="001D5429">
      <w:pPr>
        <w:pStyle w:val="2-SectionHeading"/>
        <w:rPr>
          <w:color w:val="FF0000"/>
        </w:rPr>
      </w:pPr>
      <w:r w:rsidRPr="004843E9">
        <w:t>Comparator</w:t>
      </w:r>
    </w:p>
    <w:p w:rsidR="00180713" w:rsidRPr="004843E9" w:rsidRDefault="00180713" w:rsidP="00ED6E32">
      <w:pPr>
        <w:pStyle w:val="3Bodytext"/>
        <w:jc w:val="both"/>
      </w:pPr>
      <w:r w:rsidRPr="004843E9">
        <w:t xml:space="preserve">The </w:t>
      </w:r>
      <w:r w:rsidR="00F34345" w:rsidRPr="004843E9">
        <w:t xml:space="preserve">March 2020 </w:t>
      </w:r>
      <w:r w:rsidRPr="004843E9">
        <w:t>submission</w:t>
      </w:r>
      <w:r w:rsidR="00F34345" w:rsidRPr="004843E9">
        <w:t xml:space="preserve"> </w:t>
      </w:r>
      <w:r w:rsidRPr="004843E9">
        <w:t xml:space="preserve">nominated </w:t>
      </w:r>
      <w:r w:rsidR="00E54D3A" w:rsidRPr="004843E9">
        <w:t>DEX</w:t>
      </w:r>
      <w:r w:rsidR="00F34345" w:rsidRPr="004843E9">
        <w:t xml:space="preserve"> as the comparator (paragraph 5.1, FA PSD, March 2020), as it is currently PBS listed for the treatment of DMO in patients who have a contraindication, have failed or are unsuitable for VEGF inhibitors</w:t>
      </w:r>
      <w:r w:rsidR="00E54D3A" w:rsidRPr="004843E9">
        <w:t>.</w:t>
      </w:r>
      <w:r w:rsidR="004F3FDA" w:rsidRPr="004843E9">
        <w:t xml:space="preserve"> The minor resubmission did not update the proposed comparator</w:t>
      </w:r>
      <w:r w:rsidR="004843E9">
        <w:t xml:space="preserve">. </w:t>
      </w:r>
    </w:p>
    <w:p w:rsidR="000B558D" w:rsidRPr="004843E9" w:rsidRDefault="008D7A41" w:rsidP="00C32888">
      <w:pPr>
        <w:pStyle w:val="2-SectionHeading"/>
      </w:pPr>
      <w:r w:rsidRPr="004843E9">
        <w:t>C</w:t>
      </w:r>
      <w:r w:rsidR="00D84934" w:rsidRPr="004843E9">
        <w:t>onsideration of the evidence</w:t>
      </w:r>
    </w:p>
    <w:p w:rsidR="001C3D16" w:rsidRPr="004843E9" w:rsidRDefault="001C3D16" w:rsidP="001C3D16">
      <w:pPr>
        <w:pStyle w:val="4-SubsectionHeading"/>
        <w:rPr>
          <w:snapToGrid w:val="0"/>
        </w:rPr>
      </w:pPr>
      <w:r w:rsidRPr="004843E9">
        <w:rPr>
          <w:snapToGrid w:val="0"/>
        </w:rPr>
        <w:t>Sponsor hearing</w:t>
      </w:r>
    </w:p>
    <w:p w:rsidR="001C3D16" w:rsidRPr="004843E9" w:rsidRDefault="001C3D16" w:rsidP="001C3D16">
      <w:pPr>
        <w:widowControl w:val="0"/>
        <w:numPr>
          <w:ilvl w:val="1"/>
          <w:numId w:val="1"/>
        </w:numPr>
        <w:spacing w:after="120"/>
        <w:rPr>
          <w:rFonts w:asciiTheme="minorHAnsi" w:hAnsiTheme="minorHAnsi" w:cs="Arial"/>
          <w:bCs/>
          <w:snapToGrid w:val="0"/>
        </w:rPr>
      </w:pPr>
      <w:r w:rsidRPr="004843E9">
        <w:rPr>
          <w:rFonts w:asciiTheme="minorHAnsi" w:hAnsiTheme="minorHAnsi" w:cs="Arial"/>
          <w:bCs/>
          <w:snapToGrid w:val="0"/>
        </w:rPr>
        <w:t>There was no hearing for this ite</w:t>
      </w:r>
      <w:r w:rsidR="00561E86" w:rsidRPr="004843E9">
        <w:rPr>
          <w:rFonts w:asciiTheme="minorHAnsi" w:hAnsiTheme="minorHAnsi" w:cs="Arial"/>
          <w:bCs/>
          <w:snapToGrid w:val="0"/>
        </w:rPr>
        <w:t>m as it was a minor submission.</w:t>
      </w:r>
    </w:p>
    <w:p w:rsidR="001C3D16" w:rsidRPr="004843E9" w:rsidRDefault="001C3D16" w:rsidP="001C3D16">
      <w:pPr>
        <w:pStyle w:val="4-SubsectionHeading"/>
        <w:rPr>
          <w:snapToGrid w:val="0"/>
        </w:rPr>
      </w:pPr>
      <w:r w:rsidRPr="004843E9">
        <w:rPr>
          <w:snapToGrid w:val="0"/>
        </w:rPr>
        <w:t>Consumer comments</w:t>
      </w:r>
    </w:p>
    <w:p w:rsidR="001C3D16" w:rsidRPr="004843E9" w:rsidRDefault="001C3D16" w:rsidP="000E2099">
      <w:pPr>
        <w:widowControl w:val="0"/>
        <w:numPr>
          <w:ilvl w:val="1"/>
          <w:numId w:val="1"/>
        </w:numPr>
        <w:spacing w:after="120"/>
        <w:rPr>
          <w:rFonts w:cs="Arial"/>
          <w:bCs/>
          <w:snapToGrid w:val="0"/>
        </w:rPr>
      </w:pPr>
      <w:r w:rsidRPr="004843E9">
        <w:rPr>
          <w:rFonts w:asciiTheme="minorHAnsi" w:hAnsiTheme="minorHAnsi" w:cs="Arial"/>
          <w:bCs/>
          <w:snapToGrid w:val="0"/>
        </w:rPr>
        <w:t xml:space="preserve">The PBAC noted and welcomed the input from </w:t>
      </w:r>
      <w:r w:rsidR="00F24278" w:rsidRPr="004843E9">
        <w:rPr>
          <w:rFonts w:asciiTheme="minorHAnsi" w:hAnsiTheme="minorHAnsi" w:cs="Arial"/>
          <w:bCs/>
          <w:snapToGrid w:val="0"/>
        </w:rPr>
        <w:t>3 health care professionals (HCPs)</w:t>
      </w:r>
      <w:r w:rsidRPr="004843E9">
        <w:rPr>
          <w:rFonts w:asciiTheme="minorHAnsi" w:hAnsiTheme="minorHAnsi" w:cs="Arial"/>
          <w:bCs/>
          <w:snapToGrid w:val="0"/>
        </w:rPr>
        <w:t xml:space="preserve"> via </w:t>
      </w:r>
      <w:r w:rsidRPr="004843E9">
        <w:rPr>
          <w:rFonts w:asciiTheme="minorHAnsi" w:hAnsiTheme="minorHAnsi" w:cs="Arial"/>
          <w:bCs/>
          <w:snapToGrid w:val="0"/>
        </w:rPr>
        <w:lastRenderedPageBreak/>
        <w:t>the Consumer Commen</w:t>
      </w:r>
      <w:r w:rsidR="00D70326" w:rsidRPr="004843E9">
        <w:rPr>
          <w:rFonts w:asciiTheme="minorHAnsi" w:hAnsiTheme="minorHAnsi" w:cs="Arial"/>
          <w:bCs/>
          <w:snapToGrid w:val="0"/>
        </w:rPr>
        <w:t>ts facility on the PBS website.</w:t>
      </w:r>
      <w:r w:rsidRPr="004843E9">
        <w:rPr>
          <w:rFonts w:asciiTheme="minorHAnsi" w:hAnsiTheme="minorHAnsi" w:cs="Arial"/>
          <w:bCs/>
          <w:snapToGrid w:val="0"/>
        </w:rPr>
        <w:t xml:space="preserve"> The comments described a range of benefits of treatment with </w:t>
      </w:r>
      <w:r w:rsidR="00F24278" w:rsidRPr="004843E9">
        <w:rPr>
          <w:rFonts w:asciiTheme="minorHAnsi" w:hAnsiTheme="minorHAnsi" w:cs="Arial"/>
          <w:bCs/>
          <w:snapToGrid w:val="0"/>
        </w:rPr>
        <w:t>FA,</w:t>
      </w:r>
      <w:r w:rsidRPr="004843E9">
        <w:rPr>
          <w:rFonts w:asciiTheme="minorHAnsi" w:hAnsiTheme="minorHAnsi" w:cs="Arial"/>
          <w:bCs/>
          <w:snapToGrid w:val="0"/>
        </w:rPr>
        <w:t xml:space="preserve"> </w:t>
      </w:r>
      <w:r w:rsidR="00906FFB" w:rsidRPr="004843E9">
        <w:rPr>
          <w:rFonts w:asciiTheme="minorHAnsi" w:hAnsiTheme="minorHAnsi" w:cs="Arial"/>
          <w:bCs/>
          <w:snapToGrid w:val="0"/>
        </w:rPr>
        <w:t xml:space="preserve">including </w:t>
      </w:r>
      <w:r w:rsidR="00906FFB" w:rsidRPr="004843E9">
        <w:rPr>
          <w:rFonts w:cs="Arial"/>
          <w:bCs/>
          <w:snapToGrid w:val="0"/>
        </w:rPr>
        <w:t xml:space="preserve">access for suitable patients who are recalcitrant to other forms of treatment. The HCPs commented that FA reduces burden of treatment and frequency of </w:t>
      </w:r>
      <w:proofErr w:type="spellStart"/>
      <w:r w:rsidR="00906FFB" w:rsidRPr="004843E9">
        <w:rPr>
          <w:rFonts w:cs="Arial"/>
          <w:bCs/>
          <w:snapToGrid w:val="0"/>
        </w:rPr>
        <w:t>intravitreal</w:t>
      </w:r>
      <w:proofErr w:type="spellEnd"/>
      <w:r w:rsidR="00906FFB" w:rsidRPr="004843E9">
        <w:rPr>
          <w:rFonts w:cs="Arial"/>
          <w:bCs/>
          <w:snapToGrid w:val="0"/>
        </w:rPr>
        <w:t xml:space="preserve"> injections, as well as the risk of infection, and that it has associated productivity and efficiency gains. They stated that a longer lasting injection would be of benefit to patients, especially those who currently have to come every month for an injection, and that they have been waiting for it to be available in Australia after seeing its success in the United States.</w:t>
      </w:r>
    </w:p>
    <w:p w:rsidR="00D84934" w:rsidRPr="004843E9" w:rsidRDefault="00D84934" w:rsidP="001D5429">
      <w:pPr>
        <w:pStyle w:val="4-SubsectionHeading"/>
      </w:pPr>
      <w:r w:rsidRPr="004843E9">
        <w:t>Clinical trials</w:t>
      </w:r>
      <w:r w:rsidR="0099465B" w:rsidRPr="004843E9">
        <w:t xml:space="preserve"> </w:t>
      </w:r>
    </w:p>
    <w:p w:rsidR="007F35CE" w:rsidRPr="004843E9" w:rsidRDefault="0031578F" w:rsidP="007F35CE">
      <w:pPr>
        <w:pStyle w:val="3Bodytext"/>
        <w:jc w:val="both"/>
      </w:pPr>
      <w:r w:rsidRPr="004843E9">
        <w:t xml:space="preserve">The March 2020 submission </w:t>
      </w:r>
      <w:r w:rsidR="002B1322" w:rsidRPr="004843E9">
        <w:t>was based on an indirect comparison of four randomised trials</w:t>
      </w:r>
      <w:r w:rsidR="00C117FE" w:rsidRPr="004843E9">
        <w:t xml:space="preserve"> (RCTs)</w:t>
      </w:r>
      <w:r w:rsidR="002B1322" w:rsidRPr="004843E9">
        <w:t xml:space="preserve">: a pooled analysis of two identical trials comparing FA to sham injection </w:t>
      </w:r>
      <w:r w:rsidR="00D40CA9" w:rsidRPr="004843E9">
        <w:t>(FAME</w:t>
      </w:r>
      <w:r w:rsidR="00D40CA9" w:rsidRPr="004843E9">
        <w:noBreakHyphen/>
      </w:r>
      <w:r w:rsidR="002B1322" w:rsidRPr="004843E9">
        <w:t>001a; N=</w:t>
      </w:r>
      <w:r w:rsidR="00AC5D34" w:rsidRPr="004843E9">
        <w:t>190</w:t>
      </w:r>
      <w:r w:rsidR="002B1322" w:rsidRPr="004843E9">
        <w:t xml:space="preserve"> and FAME-001b; N=</w:t>
      </w:r>
      <w:r w:rsidR="00AC5D34" w:rsidRPr="004843E9">
        <w:t>186</w:t>
      </w:r>
      <w:r w:rsidR="002B1322" w:rsidRPr="004843E9">
        <w:t>) and a pooled analysis of two identical trials comparing DEX to sham injection (MEAD-010; N=</w:t>
      </w:r>
      <w:r w:rsidR="00AC5D34" w:rsidRPr="004843E9">
        <w:t>163</w:t>
      </w:r>
      <w:r w:rsidR="002B1322" w:rsidRPr="004843E9">
        <w:t xml:space="preserve"> and MEAD-011; N=</w:t>
      </w:r>
      <w:r w:rsidR="00AC5D34" w:rsidRPr="004843E9">
        <w:t>188</w:t>
      </w:r>
      <w:r w:rsidR="002B1322" w:rsidRPr="004843E9">
        <w:t xml:space="preserve">), in patients with </w:t>
      </w:r>
      <w:r w:rsidR="00AC5D34" w:rsidRPr="004843E9">
        <w:t>DMO</w:t>
      </w:r>
      <w:r w:rsidR="002B1322" w:rsidRPr="004843E9">
        <w:t xml:space="preserve">. No new clinical evidence was presented in the minor resubmission. </w:t>
      </w:r>
      <w:r w:rsidR="002B1322" w:rsidRPr="004843E9">
        <w:rPr>
          <w:rFonts w:cstheme="minorHAnsi"/>
        </w:rPr>
        <w:t>Details of the trials presented in the March 2020 submission</w:t>
      </w:r>
      <w:r w:rsidR="00987767">
        <w:rPr>
          <w:rFonts w:cstheme="minorHAnsi"/>
        </w:rPr>
        <w:t xml:space="preserve"> can be found in Table 2, FA PSD, </w:t>
      </w:r>
      <w:proofErr w:type="gramStart"/>
      <w:r w:rsidR="00987767">
        <w:rPr>
          <w:rFonts w:cstheme="minorHAnsi"/>
        </w:rPr>
        <w:t>March</w:t>
      </w:r>
      <w:proofErr w:type="gramEnd"/>
      <w:r w:rsidR="00987767">
        <w:rPr>
          <w:rFonts w:cstheme="minorHAnsi"/>
        </w:rPr>
        <w:t xml:space="preserve"> 2020.</w:t>
      </w:r>
    </w:p>
    <w:p w:rsidR="003C2FB5" w:rsidRPr="004843E9" w:rsidRDefault="005A3173" w:rsidP="001D5429">
      <w:pPr>
        <w:pStyle w:val="4-SubsectionHeading"/>
      </w:pPr>
      <w:r w:rsidRPr="004843E9">
        <w:t>Clinical claim</w:t>
      </w:r>
    </w:p>
    <w:p w:rsidR="00CD0CE8" w:rsidRPr="004843E9" w:rsidRDefault="001C51E9" w:rsidP="001C51E9">
      <w:pPr>
        <w:pStyle w:val="ListParagraph"/>
        <w:numPr>
          <w:ilvl w:val="1"/>
          <w:numId w:val="1"/>
        </w:numPr>
        <w:jc w:val="both"/>
        <w:rPr>
          <w:rFonts w:eastAsiaTheme="minorHAnsi" w:cstheme="minorBidi"/>
          <w:snapToGrid/>
          <w:szCs w:val="22"/>
        </w:rPr>
      </w:pPr>
      <w:r w:rsidRPr="004843E9">
        <w:t>The</w:t>
      </w:r>
      <w:r w:rsidR="007109FC" w:rsidRPr="004843E9">
        <w:t xml:space="preserve"> March 2020</w:t>
      </w:r>
      <w:r w:rsidRPr="004843E9">
        <w:t xml:space="preserve"> submission described </w:t>
      </w:r>
      <w:r w:rsidR="007109FC" w:rsidRPr="004843E9">
        <w:t>FA</w:t>
      </w:r>
      <w:r w:rsidRPr="004843E9">
        <w:t xml:space="preserve"> as non-inferior in terms of effectiv</w:t>
      </w:r>
      <w:r w:rsidR="007109FC" w:rsidRPr="004843E9">
        <w:t>eness and</w:t>
      </w:r>
      <w:r w:rsidRPr="004843E9">
        <w:t xml:space="preserve"> safety compared with </w:t>
      </w:r>
      <w:r w:rsidR="007109FC" w:rsidRPr="004843E9">
        <w:t>DEX</w:t>
      </w:r>
      <w:r w:rsidRPr="004843E9">
        <w:t>. The minor resubmission did not update the clinical claim.</w:t>
      </w:r>
    </w:p>
    <w:p w:rsidR="001C51E9" w:rsidRPr="004843E9" w:rsidRDefault="00CD0CE8" w:rsidP="001C51E9">
      <w:pPr>
        <w:pStyle w:val="ListParagraph"/>
        <w:numPr>
          <w:ilvl w:val="1"/>
          <w:numId w:val="1"/>
        </w:numPr>
        <w:jc w:val="both"/>
        <w:rPr>
          <w:rFonts w:eastAsiaTheme="minorHAnsi" w:cstheme="minorBidi"/>
          <w:snapToGrid/>
          <w:szCs w:val="22"/>
        </w:rPr>
      </w:pPr>
      <w:r w:rsidRPr="004843E9">
        <w:rPr>
          <w:rFonts w:eastAsiaTheme="minorHAnsi" w:cstheme="minorBidi"/>
          <w:snapToGrid/>
          <w:szCs w:val="22"/>
        </w:rPr>
        <w:t xml:space="preserve">The PBAC previously considered that </w:t>
      </w:r>
      <w:r w:rsidRPr="004843E9">
        <w:t xml:space="preserve">FA was </w:t>
      </w:r>
      <w:r w:rsidRPr="004843E9">
        <w:rPr>
          <w:bCs/>
        </w:rPr>
        <w:t xml:space="preserve">non-inferior in terms of comparative efficacy to DEX, based on the </w:t>
      </w:r>
      <w:r w:rsidRPr="004843E9">
        <w:t>indirect comparison of two pooled randomised studies for each product using sham injection as a common treatment arm</w:t>
      </w:r>
      <w:r w:rsidRPr="004843E9">
        <w:rPr>
          <w:bCs/>
        </w:rPr>
        <w:t xml:space="preserve"> </w:t>
      </w:r>
      <w:r w:rsidRPr="004843E9">
        <w:t>(paragraph 7.4, FA PSD, March 2020)</w:t>
      </w:r>
      <w:r w:rsidRPr="004843E9">
        <w:rPr>
          <w:bCs/>
        </w:rPr>
        <w:t xml:space="preserve">. </w:t>
      </w:r>
      <w:r w:rsidRPr="004843E9">
        <w:t>The PBAC considered that while there were transitivity and applicability issues with the indirect comparison, on balance, the claim of non-inferior effectiveness was supported</w:t>
      </w:r>
      <w:r w:rsidR="004843E9">
        <w:t xml:space="preserve">. </w:t>
      </w:r>
    </w:p>
    <w:p w:rsidR="00CD0CE8" w:rsidRPr="004843E9" w:rsidRDefault="00CD0CE8" w:rsidP="00CD0CE8">
      <w:pPr>
        <w:pStyle w:val="3Bodytext"/>
        <w:jc w:val="both"/>
      </w:pPr>
      <w:r w:rsidRPr="004843E9">
        <w:t xml:space="preserve">The PBAC previously considered that FA was </w:t>
      </w:r>
      <w:r w:rsidRPr="004843E9">
        <w:rPr>
          <w:bCs/>
        </w:rPr>
        <w:t>non-inferior in terms of comparative safety to DEX (</w:t>
      </w:r>
      <w:r w:rsidRPr="004843E9">
        <w:t>paragraph 7.5, FA PSD, March 2020</w:t>
      </w:r>
      <w:r w:rsidRPr="004843E9">
        <w:rPr>
          <w:bCs/>
        </w:rPr>
        <w:t xml:space="preserve">). While </w:t>
      </w:r>
      <w:r w:rsidRPr="004843E9">
        <w:t>there were differences in the safety profile between the two populations in the trials, the PBAC acknowledged FA and DEX were likely to have a similar safety profile in the proposed PBS population and accepted the claim of non-inferior safety.</w:t>
      </w:r>
    </w:p>
    <w:p w:rsidR="00CD0CE8" w:rsidRPr="004843E9" w:rsidRDefault="00CD0CE8" w:rsidP="001D5429">
      <w:pPr>
        <w:pStyle w:val="4-SubsectionHeading"/>
      </w:pPr>
      <w:r w:rsidRPr="004843E9">
        <w:t>Equi-effective doses</w:t>
      </w:r>
    </w:p>
    <w:p w:rsidR="001C51E9" w:rsidRPr="004843E9" w:rsidRDefault="001C51E9" w:rsidP="001C51E9">
      <w:pPr>
        <w:pStyle w:val="3Bodytext"/>
        <w:jc w:val="both"/>
      </w:pPr>
      <w:r w:rsidRPr="004843E9">
        <w:t xml:space="preserve">The </w:t>
      </w:r>
      <w:r w:rsidR="0096037D" w:rsidRPr="004843E9">
        <w:t>March 2020</w:t>
      </w:r>
      <w:r w:rsidRPr="004843E9">
        <w:t xml:space="preserve"> submission claimed that </w:t>
      </w:r>
      <w:r w:rsidR="0096037D" w:rsidRPr="004843E9">
        <w:t>1 dose of FA would replace 6.48 doses of DEX over 36 months</w:t>
      </w:r>
      <w:r w:rsidRPr="004843E9">
        <w:t xml:space="preserve">, while maintaining the same efficacy. The PBAC </w:t>
      </w:r>
      <w:r w:rsidR="0096037D" w:rsidRPr="004843E9">
        <w:t>advised the equi-effective doses should be 1.3 administrations of FA and 4.11 administrations of DEX over 36 months, as this reflects the mean doses in the MEAD and FAME studies presented in the submission</w:t>
      </w:r>
      <w:r w:rsidR="00316B19" w:rsidRPr="004843E9">
        <w:t xml:space="preserve"> </w:t>
      </w:r>
      <w:r w:rsidRPr="004843E9">
        <w:t>(paragra</w:t>
      </w:r>
      <w:r w:rsidR="00316B19" w:rsidRPr="004843E9">
        <w:t>ph 7.2</w:t>
      </w:r>
      <w:r w:rsidRPr="004843E9">
        <w:t xml:space="preserve">, </w:t>
      </w:r>
      <w:r w:rsidR="00316B19" w:rsidRPr="004843E9">
        <w:t>FA</w:t>
      </w:r>
      <w:r w:rsidRPr="004843E9">
        <w:t xml:space="preserve"> </w:t>
      </w:r>
      <w:r w:rsidR="00316B19" w:rsidRPr="004843E9">
        <w:t>PSD</w:t>
      </w:r>
      <w:r w:rsidRPr="004843E9">
        <w:t xml:space="preserve">, </w:t>
      </w:r>
      <w:r w:rsidR="00316B19" w:rsidRPr="004843E9">
        <w:t>March 2020</w:t>
      </w:r>
      <w:r w:rsidRPr="004843E9">
        <w:t>).</w:t>
      </w:r>
    </w:p>
    <w:p w:rsidR="002B1322" w:rsidRPr="004843E9" w:rsidRDefault="002B1322" w:rsidP="002B1322">
      <w:pPr>
        <w:pStyle w:val="3Bodytext"/>
        <w:jc w:val="both"/>
      </w:pPr>
      <w:r w:rsidRPr="004843E9">
        <w:t>The Sponsor presented the following rationale</w:t>
      </w:r>
      <w:r w:rsidR="0096037D" w:rsidRPr="004843E9">
        <w:t xml:space="preserve"> in the minor resubmission</w:t>
      </w:r>
      <w:r w:rsidRPr="004843E9">
        <w:t xml:space="preserve"> for requesting the PBAC to reconsider the equi-effective doses of FA and DEX:</w:t>
      </w:r>
    </w:p>
    <w:p w:rsidR="002B1322" w:rsidRPr="004843E9" w:rsidRDefault="002B1322" w:rsidP="002B1322">
      <w:pPr>
        <w:pStyle w:val="3Bodytext"/>
        <w:numPr>
          <w:ilvl w:val="0"/>
          <w:numId w:val="13"/>
        </w:numPr>
        <w:jc w:val="both"/>
      </w:pPr>
      <w:r w:rsidRPr="004843E9">
        <w:t>Retreatment</w:t>
      </w:r>
      <w:r w:rsidR="00E57E2E" w:rsidRPr="004843E9">
        <w:t xml:space="preserve"> with FA</w:t>
      </w:r>
      <w:r w:rsidRPr="004843E9">
        <w:t xml:space="preserve"> in the FAME studies does not reflect clinical practice: </w:t>
      </w:r>
    </w:p>
    <w:p w:rsidR="002B1322" w:rsidRPr="004843E9" w:rsidRDefault="002B1322" w:rsidP="00193A42">
      <w:pPr>
        <w:pStyle w:val="3Bodytext"/>
        <w:numPr>
          <w:ilvl w:val="1"/>
          <w:numId w:val="13"/>
        </w:numPr>
        <w:jc w:val="both"/>
        <w:rPr>
          <w:rFonts w:cstheme="minorHAnsi"/>
          <w:szCs w:val="24"/>
        </w:rPr>
      </w:pPr>
      <w:r w:rsidRPr="004843E9">
        <w:lastRenderedPageBreak/>
        <w:t>FA patients who experience breakthrough oedema would be treated with anti-VEGF therapy in clinical practice, not another FA implant</w:t>
      </w:r>
      <w:r w:rsidR="00CC3F69" w:rsidRPr="004843E9">
        <w:t xml:space="preserve">. </w:t>
      </w:r>
      <w:r w:rsidRPr="004843E9">
        <w:t>The proposed restriction for FA prohibits retreatment within 36 months.</w:t>
      </w:r>
      <w:r w:rsidR="003C3BDD" w:rsidRPr="004843E9">
        <w:rPr>
          <w:rFonts w:cstheme="minorHAnsi"/>
          <w:szCs w:val="24"/>
        </w:rPr>
        <w:t xml:space="preserve"> </w:t>
      </w:r>
      <w:r w:rsidR="00B1752C" w:rsidRPr="00B1752C">
        <w:rPr>
          <w:rFonts w:cstheme="minorHAnsi"/>
          <w:szCs w:val="24"/>
        </w:rPr>
        <w:t>The Secretariat noted that t</w:t>
      </w:r>
      <w:r w:rsidR="003C3BDD" w:rsidRPr="00B1752C">
        <w:rPr>
          <w:rFonts w:cstheme="minorHAnsi"/>
          <w:szCs w:val="24"/>
        </w:rPr>
        <w:t>he approved Product Information</w:t>
      </w:r>
      <w:r w:rsidR="00BB147B" w:rsidRPr="00B1752C">
        <w:rPr>
          <w:rFonts w:cstheme="minorHAnsi"/>
          <w:szCs w:val="24"/>
        </w:rPr>
        <w:t xml:space="preserve"> (PI)</w:t>
      </w:r>
      <w:r w:rsidR="003C3BDD" w:rsidRPr="00B1752C">
        <w:rPr>
          <w:rFonts w:cstheme="minorHAnsi"/>
          <w:szCs w:val="24"/>
        </w:rPr>
        <w:t xml:space="preserve"> for FA states in the Dose and Method of Administration section</w:t>
      </w:r>
      <w:r w:rsidR="00BB147B" w:rsidRPr="00B1752C">
        <w:rPr>
          <w:rFonts w:cstheme="minorHAnsi"/>
          <w:szCs w:val="24"/>
        </w:rPr>
        <w:t>,</w:t>
      </w:r>
      <w:r w:rsidR="00F740BE" w:rsidRPr="00B1752C">
        <w:rPr>
          <w:rFonts w:cstheme="minorHAnsi"/>
          <w:szCs w:val="24"/>
        </w:rPr>
        <w:t xml:space="preserve"> “An additional implant may be administered after 12 months if the patient experiences decreased vision or an increase in retinal thickness secondary to recurrent or worsening diabetic macular oedema</w:t>
      </w:r>
      <w:r w:rsidR="00CC3F69" w:rsidRPr="00B1752C">
        <w:rPr>
          <w:rFonts w:cstheme="minorHAnsi"/>
          <w:szCs w:val="24"/>
        </w:rPr>
        <w:t>.</w:t>
      </w:r>
      <w:r w:rsidR="00F740BE" w:rsidRPr="00B1752C">
        <w:rPr>
          <w:rFonts w:cstheme="minorHAnsi"/>
          <w:szCs w:val="24"/>
        </w:rPr>
        <w:t>”</w:t>
      </w:r>
      <w:r w:rsidR="00CC3F69" w:rsidRPr="00B1752C">
        <w:rPr>
          <w:rFonts w:cstheme="minorHAnsi"/>
          <w:szCs w:val="24"/>
        </w:rPr>
        <w:t xml:space="preserve"> </w:t>
      </w:r>
      <w:r w:rsidR="00BB147B" w:rsidRPr="00B1752C">
        <w:rPr>
          <w:rFonts w:cstheme="minorHAnsi"/>
          <w:szCs w:val="24"/>
        </w:rPr>
        <w:t>The</w:t>
      </w:r>
      <w:r w:rsidR="00811293" w:rsidRPr="00B1752C">
        <w:rPr>
          <w:rFonts w:cstheme="minorHAnsi"/>
          <w:szCs w:val="24"/>
        </w:rPr>
        <w:t xml:space="preserve"> dosing of FA described in the</w:t>
      </w:r>
      <w:r w:rsidR="00BB147B" w:rsidRPr="00B1752C">
        <w:rPr>
          <w:rFonts w:cstheme="minorHAnsi"/>
          <w:szCs w:val="24"/>
        </w:rPr>
        <w:t xml:space="preserve"> PI is </w:t>
      </w:r>
      <w:r w:rsidR="00F740BE" w:rsidRPr="00B1752C">
        <w:rPr>
          <w:rFonts w:cstheme="minorHAnsi"/>
          <w:szCs w:val="24"/>
        </w:rPr>
        <w:t>consistent with the FAME trials</w:t>
      </w:r>
      <w:r w:rsidR="00811293" w:rsidRPr="00B1752C">
        <w:rPr>
          <w:rFonts w:cstheme="minorHAnsi"/>
          <w:szCs w:val="24"/>
        </w:rPr>
        <w:t xml:space="preserve"> (1.3 doses over </w:t>
      </w:r>
      <w:r w:rsidR="0025462E" w:rsidRPr="00B1752C">
        <w:rPr>
          <w:rFonts w:cstheme="minorHAnsi"/>
          <w:szCs w:val="24"/>
        </w:rPr>
        <w:t>36 months</w:t>
      </w:r>
      <w:r w:rsidR="00811293" w:rsidRPr="00B1752C">
        <w:rPr>
          <w:rFonts w:cstheme="minorHAnsi"/>
          <w:szCs w:val="24"/>
        </w:rPr>
        <w:t xml:space="preserve">). </w:t>
      </w:r>
      <w:r w:rsidR="004757F5" w:rsidRPr="00B1752C">
        <w:rPr>
          <w:rFonts w:cstheme="minorHAnsi"/>
          <w:szCs w:val="24"/>
        </w:rPr>
        <w:t>The PI</w:t>
      </w:r>
      <w:r w:rsidR="00357E73" w:rsidRPr="00B1752C">
        <w:rPr>
          <w:rFonts w:cstheme="minorHAnsi"/>
          <w:szCs w:val="24"/>
        </w:rPr>
        <w:t xml:space="preserve"> is</w:t>
      </w:r>
      <w:r w:rsidR="00F740BE" w:rsidRPr="00B1752C">
        <w:rPr>
          <w:rFonts w:cstheme="minorHAnsi"/>
          <w:szCs w:val="24"/>
        </w:rPr>
        <w:t xml:space="preserve"> also consistent with</w:t>
      </w:r>
      <w:r w:rsidR="006D188B" w:rsidRPr="00B1752C">
        <w:rPr>
          <w:rFonts w:cstheme="minorHAnsi"/>
          <w:szCs w:val="24"/>
        </w:rPr>
        <w:t xml:space="preserve"> less frequent dosing </w:t>
      </w:r>
      <w:r w:rsidR="00310EDD" w:rsidRPr="00B1752C">
        <w:rPr>
          <w:rFonts w:cstheme="minorHAnsi"/>
          <w:szCs w:val="24"/>
        </w:rPr>
        <w:t>in</w:t>
      </w:r>
      <w:r w:rsidR="00811293" w:rsidRPr="00B1752C">
        <w:rPr>
          <w:rFonts w:cstheme="minorHAnsi"/>
          <w:szCs w:val="24"/>
        </w:rPr>
        <w:t xml:space="preserve"> accordance with</w:t>
      </w:r>
      <w:r w:rsidR="006D188B" w:rsidRPr="00B1752C">
        <w:rPr>
          <w:rFonts w:cstheme="minorHAnsi"/>
          <w:szCs w:val="24"/>
        </w:rPr>
        <w:t xml:space="preserve"> the equi-effective dose</w:t>
      </w:r>
      <w:r w:rsidR="00310EDD" w:rsidRPr="00B1752C">
        <w:rPr>
          <w:rFonts w:cstheme="minorHAnsi"/>
          <w:szCs w:val="24"/>
        </w:rPr>
        <w:t xml:space="preserve"> requested</w:t>
      </w:r>
      <w:r w:rsidR="006D188B" w:rsidRPr="00B1752C">
        <w:rPr>
          <w:rFonts w:cstheme="minorHAnsi"/>
          <w:szCs w:val="24"/>
        </w:rPr>
        <w:t xml:space="preserve"> by </w:t>
      </w:r>
      <w:r w:rsidR="00811293" w:rsidRPr="00B1752C">
        <w:rPr>
          <w:rFonts w:cstheme="minorHAnsi"/>
          <w:szCs w:val="24"/>
        </w:rPr>
        <w:t xml:space="preserve">the </w:t>
      </w:r>
      <w:r w:rsidR="006D188B" w:rsidRPr="00B1752C">
        <w:rPr>
          <w:rFonts w:cstheme="minorHAnsi"/>
          <w:szCs w:val="24"/>
        </w:rPr>
        <w:t>Sponsor</w:t>
      </w:r>
      <w:r w:rsidR="00F740BE" w:rsidRPr="00B1752C">
        <w:rPr>
          <w:rFonts w:cstheme="minorHAnsi"/>
          <w:szCs w:val="24"/>
        </w:rPr>
        <w:t xml:space="preserve"> </w:t>
      </w:r>
      <w:r w:rsidR="006D188B" w:rsidRPr="00B1752C">
        <w:rPr>
          <w:rFonts w:cstheme="minorHAnsi"/>
          <w:szCs w:val="24"/>
        </w:rPr>
        <w:t xml:space="preserve">(1 dose over </w:t>
      </w:r>
      <w:r w:rsidR="0025462E" w:rsidRPr="00B1752C">
        <w:rPr>
          <w:rFonts w:cstheme="minorHAnsi"/>
          <w:szCs w:val="24"/>
        </w:rPr>
        <w:t>36 months</w:t>
      </w:r>
      <w:r w:rsidR="00310EDD" w:rsidRPr="00B1752C">
        <w:rPr>
          <w:rFonts w:cstheme="minorHAnsi"/>
          <w:szCs w:val="24"/>
        </w:rPr>
        <w:t xml:space="preserve">), but the </w:t>
      </w:r>
      <w:r w:rsidR="00811293" w:rsidRPr="00B1752C">
        <w:rPr>
          <w:rFonts w:cstheme="minorHAnsi"/>
          <w:szCs w:val="24"/>
        </w:rPr>
        <w:t>Sponsor’s request</w:t>
      </w:r>
      <w:r w:rsidR="00F740BE" w:rsidRPr="00B1752C">
        <w:rPr>
          <w:rFonts w:cstheme="minorHAnsi"/>
          <w:szCs w:val="24"/>
        </w:rPr>
        <w:t xml:space="preserve"> is not supported by relevant clinical trial results.</w:t>
      </w:r>
    </w:p>
    <w:p w:rsidR="002B1322" w:rsidRPr="004843E9" w:rsidRDefault="002B1322" w:rsidP="002B1322">
      <w:pPr>
        <w:pStyle w:val="3Bodytext"/>
        <w:numPr>
          <w:ilvl w:val="0"/>
          <w:numId w:val="13"/>
        </w:numPr>
        <w:jc w:val="both"/>
      </w:pPr>
      <w:r w:rsidRPr="004843E9">
        <w:t>Retreatment</w:t>
      </w:r>
      <w:r w:rsidR="00E57E2E" w:rsidRPr="004843E9">
        <w:t xml:space="preserve"> with DEX</w:t>
      </w:r>
      <w:r w:rsidRPr="004843E9">
        <w:t xml:space="preserve"> in the MEAD studies does not reflect clinical practice:</w:t>
      </w:r>
    </w:p>
    <w:p w:rsidR="002B1322" w:rsidRPr="00B1752C" w:rsidRDefault="002B1322" w:rsidP="002B1322">
      <w:pPr>
        <w:pStyle w:val="3Bodytext"/>
        <w:numPr>
          <w:ilvl w:val="1"/>
          <w:numId w:val="13"/>
        </w:numPr>
        <w:jc w:val="both"/>
      </w:pPr>
      <w:r w:rsidRPr="004843E9">
        <w:t>Australian retinal experts state that the duration of effect for DEX is 3 to 4 months, as reflected in the BEVO</w:t>
      </w:r>
      <w:r w:rsidR="00C117FE" w:rsidRPr="004843E9">
        <w:t xml:space="preserve">RDEX trial. </w:t>
      </w:r>
      <w:r w:rsidR="00B1752C">
        <w:t xml:space="preserve">The Secretariat noted that </w:t>
      </w:r>
      <w:r w:rsidR="00B1752C" w:rsidRPr="00B1752C">
        <w:t>t</w:t>
      </w:r>
      <w:r w:rsidR="00C117FE" w:rsidRPr="00B1752C">
        <w:t>he BEVORDEX trial was designed for patients to receive bevacizumab every 4 weeks vs DEX every 4 months (</w:t>
      </w:r>
      <w:r w:rsidR="005626F6" w:rsidRPr="00B1752C">
        <w:t>i.e.</w:t>
      </w:r>
      <w:r w:rsidR="00C117FE" w:rsidRPr="00B1752C">
        <w:t xml:space="preserve"> the BEVORDEX trial design stipulated more frequent DEX dosing compared to the MEAD trials). The Sponsor has not presented any additional RCTs to support increased DEX dosing in the context of an indirect comparison against FA using sham injection as a common reference.</w:t>
      </w:r>
    </w:p>
    <w:p w:rsidR="002B1322" w:rsidRPr="004843E9" w:rsidRDefault="002B1322" w:rsidP="002B1322">
      <w:pPr>
        <w:pStyle w:val="3Bodytext"/>
        <w:numPr>
          <w:ilvl w:val="1"/>
          <w:numId w:val="13"/>
        </w:numPr>
        <w:jc w:val="both"/>
        <w:rPr>
          <w:i/>
        </w:rPr>
      </w:pPr>
      <w:r w:rsidRPr="004843E9">
        <w:t>PBS use of DEX post listing is higher than the number of treatments in the MEAD trial, where retreatment within 6 months was not allowed and patients requiring additional therapies were withdrawn.</w:t>
      </w:r>
      <w:r w:rsidR="00C472FB" w:rsidRPr="004843E9">
        <w:t xml:space="preserve"> </w:t>
      </w:r>
      <w:r w:rsidR="00B1752C">
        <w:t xml:space="preserve">The Secretariat noted </w:t>
      </w:r>
      <w:r w:rsidR="00B1752C" w:rsidRPr="00B1752C">
        <w:t>that t</w:t>
      </w:r>
      <w:r w:rsidR="007F1945" w:rsidRPr="00B1752C">
        <w:t xml:space="preserve">he approved </w:t>
      </w:r>
      <w:r w:rsidR="00BB147B" w:rsidRPr="00B1752C">
        <w:t>PI</w:t>
      </w:r>
      <w:r w:rsidR="00C472FB" w:rsidRPr="00B1752C">
        <w:t xml:space="preserve"> for DEX</w:t>
      </w:r>
      <w:r w:rsidR="00BB147B" w:rsidRPr="00B1752C">
        <w:t xml:space="preserve"> </w:t>
      </w:r>
      <w:r w:rsidR="00C472FB" w:rsidRPr="00B1752C">
        <w:t>states in the Dose and Method of Administration section, “</w:t>
      </w:r>
      <w:r w:rsidR="006449BA" w:rsidRPr="00B1752C">
        <w:t xml:space="preserve">In clinical trials, the majority of retreatments were administered between 5 and 7 months after a prior treatment. </w:t>
      </w:r>
      <w:r w:rsidR="00C472FB" w:rsidRPr="00B1752C">
        <w:t>Patients in the OZURDEX® arm of the pivotal trials received an average of 4 implants over 3 years. The protocol in the pivotal trials specified a 6-monthly dosing interval.”</w:t>
      </w:r>
      <w:r w:rsidR="006449BA" w:rsidRPr="00B1752C">
        <w:t xml:space="preserve"> </w:t>
      </w:r>
      <w:r w:rsidR="0092525D" w:rsidRPr="00B1752C">
        <w:t>The PI</w:t>
      </w:r>
      <w:r w:rsidR="006449BA" w:rsidRPr="00B1752C">
        <w:t xml:space="preserve"> is consistent with the MEAD trials</w:t>
      </w:r>
      <w:r w:rsidR="0092525D" w:rsidRPr="00B1752C">
        <w:t xml:space="preserve"> (4.11 doses over </w:t>
      </w:r>
      <w:r w:rsidR="0025462E" w:rsidRPr="00B1752C">
        <w:rPr>
          <w:rFonts w:cstheme="minorHAnsi"/>
          <w:szCs w:val="24"/>
        </w:rPr>
        <w:t>36 months</w:t>
      </w:r>
      <w:r w:rsidR="0092525D" w:rsidRPr="00B1752C">
        <w:t>)</w:t>
      </w:r>
      <w:r w:rsidR="00CC3F69" w:rsidRPr="00B1752C">
        <w:t>, and inconsistent with</w:t>
      </w:r>
      <w:r w:rsidR="0092525D" w:rsidRPr="00B1752C">
        <w:t xml:space="preserve"> the Sponsor’s request for</w:t>
      </w:r>
      <w:r w:rsidR="006D188B" w:rsidRPr="00B1752C">
        <w:t xml:space="preserve"> more frequent</w:t>
      </w:r>
      <w:r w:rsidR="00CC3F69" w:rsidRPr="00B1752C">
        <w:t xml:space="preserve"> dosing </w:t>
      </w:r>
      <w:r w:rsidR="0092525D" w:rsidRPr="00B1752C">
        <w:t xml:space="preserve">(6.48 doses over </w:t>
      </w:r>
      <w:r w:rsidR="0025462E" w:rsidRPr="00B1752C">
        <w:rPr>
          <w:rFonts w:cstheme="minorHAnsi"/>
          <w:szCs w:val="24"/>
        </w:rPr>
        <w:t>36 months</w:t>
      </w:r>
      <w:r w:rsidR="0092525D" w:rsidRPr="00B1752C">
        <w:t>)</w:t>
      </w:r>
      <w:r w:rsidR="006449BA" w:rsidRPr="00B1752C">
        <w:t>.</w:t>
      </w:r>
    </w:p>
    <w:p w:rsidR="002B1322" w:rsidRPr="004843E9" w:rsidRDefault="002B1322" w:rsidP="00E85D98">
      <w:pPr>
        <w:pStyle w:val="3Bodytext"/>
        <w:numPr>
          <w:ilvl w:val="0"/>
          <w:numId w:val="13"/>
        </w:numPr>
        <w:jc w:val="both"/>
      </w:pPr>
      <w:r w:rsidRPr="004843E9">
        <w:t xml:space="preserve">The results of the indirect comparison between FA and DEX suggest that FA had a greater and consistent improvement with respect to mean change in </w:t>
      </w:r>
      <w:r w:rsidR="005626F6" w:rsidRPr="004843E9">
        <w:t>best-corrected</w:t>
      </w:r>
      <w:r w:rsidRPr="004843E9">
        <w:t xml:space="preserve"> visual acuity (BCVA).</w:t>
      </w:r>
      <w:r w:rsidR="00A528FD" w:rsidRPr="004843E9">
        <w:t xml:space="preserve"> </w:t>
      </w:r>
      <w:r w:rsidR="005854EF" w:rsidRPr="004843E9">
        <w:t>Also, i</w:t>
      </w:r>
      <w:r w:rsidRPr="004843E9">
        <w:t>ntermittent dosing with DEX, as used in the MEAD study, results in clinical fluctuations and anatomical fluctuations (centre point thickness) that are not seen with FA.</w:t>
      </w:r>
      <w:r w:rsidR="00C117FE" w:rsidRPr="004843E9">
        <w:t xml:space="preserve"> </w:t>
      </w:r>
      <w:r w:rsidR="00B1752C">
        <w:t xml:space="preserve">The Secretariat noted </w:t>
      </w:r>
      <w:r w:rsidR="00B1752C" w:rsidRPr="00B1752C">
        <w:t>t</w:t>
      </w:r>
      <w:r w:rsidR="00C117FE" w:rsidRPr="00B1752C">
        <w:t>he PBAC accepted</w:t>
      </w:r>
      <w:r w:rsidR="001633D6" w:rsidRPr="00B1752C">
        <w:t xml:space="preserve"> in March 2020</w:t>
      </w:r>
      <w:r w:rsidR="00C117FE" w:rsidRPr="00B1752C">
        <w:t xml:space="preserve"> that FA is non-inferior to DEX,</w:t>
      </w:r>
      <w:r w:rsidR="001633D6" w:rsidRPr="00B1752C">
        <w:t xml:space="preserve"> consistent with the Sponsor’s clinical claim</w:t>
      </w:r>
      <w:r w:rsidR="00C117FE" w:rsidRPr="00B1752C">
        <w:t>.</w:t>
      </w:r>
      <w:r w:rsidR="00E85D98" w:rsidRPr="00B1752C">
        <w:t xml:space="preserve"> </w:t>
      </w:r>
      <w:r w:rsidR="0003597E" w:rsidRPr="00B1752C">
        <w:t>While t</w:t>
      </w:r>
      <w:r w:rsidR="00E85D98" w:rsidRPr="00B1752C">
        <w:t>he PBAC considered the benefit was modest in terms of effectiveness for both DEX and FA</w:t>
      </w:r>
      <w:r w:rsidR="0003597E" w:rsidRPr="00B1752C">
        <w:t xml:space="preserve">, it </w:t>
      </w:r>
      <w:r w:rsidR="00E85D98" w:rsidRPr="00B1752C">
        <w:lastRenderedPageBreak/>
        <w:t>considered the claim of non-inferior comparative effectiveness was reasonable (paragraph 6.23</w:t>
      </w:r>
      <w:r w:rsidR="00DE70D1" w:rsidRPr="00B1752C">
        <w:t>,</w:t>
      </w:r>
      <w:r w:rsidR="00E85D98" w:rsidRPr="00B1752C">
        <w:t xml:space="preserve"> </w:t>
      </w:r>
      <w:r w:rsidR="00E57E2E" w:rsidRPr="00B1752C">
        <w:t>FA</w:t>
      </w:r>
      <w:r w:rsidR="00E85D98" w:rsidRPr="00B1752C">
        <w:t xml:space="preserve"> PSD, March 2020).</w:t>
      </w:r>
      <w:r w:rsidR="005854EF" w:rsidRPr="004843E9">
        <w:t xml:space="preserve"> </w:t>
      </w:r>
    </w:p>
    <w:p w:rsidR="002B1322" w:rsidRPr="004843E9" w:rsidRDefault="002B1322" w:rsidP="002B1322">
      <w:pPr>
        <w:pStyle w:val="3Bodytext"/>
        <w:numPr>
          <w:ilvl w:val="0"/>
          <w:numId w:val="13"/>
        </w:numPr>
        <w:jc w:val="both"/>
      </w:pPr>
      <w:r w:rsidRPr="004843E9">
        <w:t>Patients with DMO have a high risk of non-adherence, which is eliminated by the longer acting FA implant.</w:t>
      </w:r>
    </w:p>
    <w:p w:rsidR="002B1322" w:rsidRPr="004843E9" w:rsidRDefault="002B1322" w:rsidP="002B1322">
      <w:pPr>
        <w:pStyle w:val="3Bodytext"/>
        <w:numPr>
          <w:ilvl w:val="0"/>
          <w:numId w:val="13"/>
        </w:numPr>
        <w:jc w:val="both"/>
      </w:pPr>
      <w:r w:rsidRPr="004843E9">
        <w:t>Aboriginal and Torres Strait Islander</w:t>
      </w:r>
      <w:r w:rsidR="001E42CB">
        <w:t xml:space="preserve"> peoples</w:t>
      </w:r>
      <w:r w:rsidRPr="004843E9">
        <w:t xml:space="preserve"> will experience a reduced burden with FA with respect to accessing clinical services, especially in remote areas.</w:t>
      </w:r>
    </w:p>
    <w:p w:rsidR="00414A5F" w:rsidRPr="004843E9" w:rsidRDefault="00316B19" w:rsidP="00E85D98">
      <w:pPr>
        <w:pStyle w:val="3Bodytext"/>
        <w:jc w:val="both"/>
      </w:pPr>
      <w:r w:rsidRPr="004843E9">
        <w:t xml:space="preserve">The Sponsor presented the following sources of evidence and </w:t>
      </w:r>
      <w:r w:rsidR="0081342F" w:rsidRPr="004843E9">
        <w:t xml:space="preserve">retrospective </w:t>
      </w:r>
      <w:r w:rsidRPr="004843E9">
        <w:t xml:space="preserve">clinical data in the minor resubmission </w:t>
      </w:r>
      <w:r w:rsidR="001C7E2A" w:rsidRPr="004843E9">
        <w:t>to support the claim that DEX is used more frequently than every 6 months in clinical practice</w:t>
      </w:r>
      <w:r w:rsidR="00414A5F" w:rsidRPr="004843E9">
        <w:t>:</w:t>
      </w:r>
    </w:p>
    <w:p w:rsidR="00414A5F" w:rsidRPr="004843E9" w:rsidRDefault="00414A5F" w:rsidP="000936CC">
      <w:pPr>
        <w:pStyle w:val="3Bodytext"/>
        <w:numPr>
          <w:ilvl w:val="0"/>
          <w:numId w:val="14"/>
        </w:numPr>
        <w:jc w:val="both"/>
      </w:pPr>
      <w:r w:rsidRPr="004843E9">
        <w:t xml:space="preserve">Patients treated with DEX would receive 6.48 implants over 36-months, which is consistent with the PBAC’s previous recommendation regarding </w:t>
      </w:r>
      <w:r w:rsidR="00C150D7" w:rsidRPr="004843E9">
        <w:t xml:space="preserve">DEX </w:t>
      </w:r>
      <w:r w:rsidRPr="004843E9">
        <w:t>(paragraph 6.34, DEX PSD, March 2016).</w:t>
      </w:r>
      <w:r w:rsidR="008C3B37" w:rsidRPr="004843E9">
        <w:t xml:space="preserve"> </w:t>
      </w:r>
      <w:r w:rsidR="00B1752C">
        <w:t xml:space="preserve">The </w:t>
      </w:r>
      <w:r w:rsidR="00B1752C" w:rsidRPr="00B1752C">
        <w:t>Secretariat noted that t</w:t>
      </w:r>
      <w:r w:rsidR="008C3B37" w:rsidRPr="00B1752C">
        <w:t xml:space="preserve">his recommendation was associated with clinical trial evidence from DEX, </w:t>
      </w:r>
      <w:proofErr w:type="spellStart"/>
      <w:r w:rsidR="008C3B37" w:rsidRPr="00B1752C">
        <w:t>ranibizumab</w:t>
      </w:r>
      <w:proofErr w:type="spellEnd"/>
      <w:r w:rsidR="008C3B37" w:rsidRPr="00B1752C">
        <w:t xml:space="preserve">, </w:t>
      </w:r>
      <w:proofErr w:type="spellStart"/>
      <w:r w:rsidR="008C3B37" w:rsidRPr="00B1752C">
        <w:t>aflibercept</w:t>
      </w:r>
      <w:proofErr w:type="spellEnd"/>
      <w:r w:rsidR="008C3B37" w:rsidRPr="00B1752C">
        <w:t xml:space="preserve">, </w:t>
      </w:r>
      <w:proofErr w:type="gramStart"/>
      <w:r w:rsidR="008C3B37" w:rsidRPr="00B1752C">
        <w:t>sham</w:t>
      </w:r>
      <w:proofErr w:type="gramEnd"/>
      <w:r w:rsidR="008C3B37" w:rsidRPr="00B1752C">
        <w:t xml:space="preserve"> injection, bevacizumab and laser photocoagulation.</w:t>
      </w:r>
      <w:r w:rsidR="000936CC" w:rsidRPr="00B1752C">
        <w:t xml:space="preserve"> The equi-effective dose was ultimately derived from </w:t>
      </w:r>
      <w:r w:rsidR="00E22B29" w:rsidRPr="00B1752C">
        <w:t>DEX and</w:t>
      </w:r>
      <w:r w:rsidR="000936CC" w:rsidRPr="00B1752C">
        <w:t xml:space="preserve"> </w:t>
      </w:r>
      <w:proofErr w:type="spellStart"/>
      <w:r w:rsidR="000936CC" w:rsidRPr="00B1752C">
        <w:t>ranibizumab</w:t>
      </w:r>
      <w:proofErr w:type="spellEnd"/>
      <w:r w:rsidR="000936CC" w:rsidRPr="00B1752C">
        <w:t>/</w:t>
      </w:r>
      <w:proofErr w:type="spellStart"/>
      <w:r w:rsidR="000936CC" w:rsidRPr="00B1752C">
        <w:t>aflibercept</w:t>
      </w:r>
      <w:proofErr w:type="spellEnd"/>
      <w:r w:rsidR="000936CC" w:rsidRPr="00B1752C">
        <w:t>, with the price of DEX determined to be lower than the cost of the cheapest PBS-listed VEGF inhibitor treatment over 36 months.</w:t>
      </w:r>
      <w:r w:rsidR="008C3B37" w:rsidRPr="00B1752C">
        <w:t xml:space="preserve"> </w:t>
      </w:r>
      <w:r w:rsidR="00917023" w:rsidRPr="00B1752C">
        <w:t>This comparison</w:t>
      </w:r>
      <w:r w:rsidR="008C3B37" w:rsidRPr="00B1752C">
        <w:t xml:space="preserve"> is not applicable to an equi-effective dose derived from RCT evidence of DEX versus</w:t>
      </w:r>
      <w:r w:rsidR="00977E1A" w:rsidRPr="00B1752C">
        <w:t xml:space="preserve"> FA using sham injection as a common reference</w:t>
      </w:r>
      <w:r w:rsidR="008C3B37" w:rsidRPr="00B1752C">
        <w:t>.</w:t>
      </w:r>
      <w:r w:rsidR="008C3B37" w:rsidRPr="004843E9">
        <w:t xml:space="preserve"> </w:t>
      </w:r>
    </w:p>
    <w:p w:rsidR="004D3D48" w:rsidRPr="004843E9" w:rsidRDefault="00912C95" w:rsidP="00414A5F">
      <w:pPr>
        <w:pStyle w:val="3Bodytext"/>
        <w:numPr>
          <w:ilvl w:val="0"/>
          <w:numId w:val="14"/>
        </w:numPr>
        <w:jc w:val="both"/>
      </w:pPr>
      <w:r w:rsidRPr="004843E9">
        <w:t xml:space="preserve">Drug Utilisation Sub-Committee (DUSC) review of </w:t>
      </w:r>
      <w:proofErr w:type="spellStart"/>
      <w:r w:rsidRPr="004843E9">
        <w:t>ranibizumab</w:t>
      </w:r>
      <w:proofErr w:type="spellEnd"/>
      <w:r w:rsidRPr="004843E9">
        <w:t xml:space="preserve"> and </w:t>
      </w:r>
      <w:proofErr w:type="spellStart"/>
      <w:r w:rsidRPr="004843E9">
        <w:t>aflibercept</w:t>
      </w:r>
      <w:proofErr w:type="spellEnd"/>
      <w:r w:rsidR="0016613D" w:rsidRPr="004843E9">
        <w:t xml:space="preserve"> (May 2018)</w:t>
      </w:r>
      <w:r w:rsidRPr="004843E9">
        <w:t>.</w:t>
      </w:r>
      <w:r w:rsidR="0037529D" w:rsidRPr="004843E9">
        <w:t xml:space="preserve"> This review calculated the average</w:t>
      </w:r>
      <w:r w:rsidR="00F05BD1" w:rsidRPr="004843E9">
        <w:t xml:space="preserve"> number of DEX</w:t>
      </w:r>
      <w:r w:rsidR="0037529D" w:rsidRPr="004843E9">
        <w:t xml:space="preserve"> injections</w:t>
      </w:r>
      <w:r w:rsidR="00F05BD1" w:rsidRPr="004843E9">
        <w:t xml:space="preserve"> for DMO</w:t>
      </w:r>
      <w:r w:rsidR="0037529D" w:rsidRPr="004843E9">
        <w:t xml:space="preserve"> per prevalent patient in 2017 was 2.21</w:t>
      </w:r>
      <w:r w:rsidR="0016613D" w:rsidRPr="004843E9">
        <w:t xml:space="preserve"> over 12 months</w:t>
      </w:r>
      <w:r w:rsidR="0037529D" w:rsidRPr="004843E9">
        <w:t>.</w:t>
      </w:r>
    </w:p>
    <w:p w:rsidR="00912C95" w:rsidRPr="004843E9" w:rsidRDefault="006032E0" w:rsidP="00414A5F">
      <w:pPr>
        <w:pStyle w:val="3Bodytext"/>
        <w:numPr>
          <w:ilvl w:val="0"/>
          <w:numId w:val="14"/>
        </w:numPr>
        <w:jc w:val="both"/>
      </w:pPr>
      <w:r w:rsidRPr="004843E9">
        <w:t>Prescription data using a 10% PBS sample (update of DUSC review</w:t>
      </w:r>
      <w:r w:rsidR="002B43EA" w:rsidRPr="004843E9">
        <w:t xml:space="preserve"> by HI Connections</w:t>
      </w:r>
      <w:r w:rsidRPr="004843E9">
        <w:t>).</w:t>
      </w:r>
      <w:r w:rsidR="0037529D" w:rsidRPr="004843E9">
        <w:t xml:space="preserve"> This analysis found 2.4</w:t>
      </w:r>
      <w:r w:rsidR="002B43EA" w:rsidRPr="004843E9">
        <w:t xml:space="preserve"> DEX</w:t>
      </w:r>
      <w:r w:rsidR="0037529D" w:rsidRPr="004843E9">
        <w:t xml:space="preserve"> injections per prevalent patient</w:t>
      </w:r>
      <w:r w:rsidR="002B43EA" w:rsidRPr="004843E9">
        <w:t xml:space="preserve"> over 12 months</w:t>
      </w:r>
      <w:r w:rsidR="0037529D" w:rsidRPr="004843E9">
        <w:t>.</w:t>
      </w:r>
    </w:p>
    <w:p w:rsidR="006032E0" w:rsidRPr="004843E9" w:rsidRDefault="006032E0" w:rsidP="00414A5F">
      <w:pPr>
        <w:pStyle w:val="3Bodytext"/>
        <w:numPr>
          <w:ilvl w:val="0"/>
          <w:numId w:val="14"/>
        </w:numPr>
        <w:jc w:val="both"/>
      </w:pPr>
      <w:r w:rsidRPr="004843E9">
        <w:t>Audit of Australian Pharmacy Database (</w:t>
      </w:r>
      <w:proofErr w:type="spellStart"/>
      <w:r w:rsidRPr="004843E9">
        <w:t>iCare</w:t>
      </w:r>
      <w:proofErr w:type="spellEnd"/>
      <w:r w:rsidRPr="004843E9">
        <w:t xml:space="preserve"> Pharmacy) of all eyes treated with </w:t>
      </w:r>
      <w:r w:rsidR="00C150D7" w:rsidRPr="004843E9">
        <w:t xml:space="preserve">DEX </w:t>
      </w:r>
      <w:r w:rsidR="008A3C89" w:rsidRPr="004843E9">
        <w:t>for DMO only</w:t>
      </w:r>
      <w:r w:rsidRPr="004843E9">
        <w:t>.</w:t>
      </w:r>
      <w:r w:rsidR="0037529D" w:rsidRPr="004843E9">
        <w:t xml:space="preserve"> This source reported the mean </w:t>
      </w:r>
      <w:r w:rsidR="002B43EA" w:rsidRPr="004843E9">
        <w:t>DEX</w:t>
      </w:r>
      <w:r w:rsidR="0037529D" w:rsidRPr="004843E9">
        <w:t xml:space="preserve"> use was 2.3</w:t>
      </w:r>
      <w:r w:rsidR="002B43EA" w:rsidRPr="004843E9">
        <w:t xml:space="preserve"> injections over</w:t>
      </w:r>
      <w:r w:rsidR="0037529D" w:rsidRPr="004843E9">
        <w:t xml:space="preserve"> 12 months</w:t>
      </w:r>
      <w:r w:rsidR="00293A0B" w:rsidRPr="004843E9">
        <w:t xml:space="preserve">. For continuing therapy only, the mean </w:t>
      </w:r>
      <w:r w:rsidR="002B43EA" w:rsidRPr="004843E9">
        <w:t>DEX</w:t>
      </w:r>
      <w:r w:rsidR="00293A0B" w:rsidRPr="004843E9">
        <w:t xml:space="preserve"> use was 2.6</w:t>
      </w:r>
      <w:r w:rsidR="002B43EA" w:rsidRPr="004843E9">
        <w:t xml:space="preserve"> injections</w:t>
      </w:r>
      <w:r w:rsidR="00293A0B" w:rsidRPr="004843E9">
        <w:t xml:space="preserve"> </w:t>
      </w:r>
      <w:r w:rsidR="002B43EA" w:rsidRPr="004843E9">
        <w:t>over</w:t>
      </w:r>
      <w:r w:rsidR="00293A0B" w:rsidRPr="004843E9">
        <w:t xml:space="preserve"> 12 months.</w:t>
      </w:r>
    </w:p>
    <w:p w:rsidR="006032E0" w:rsidRPr="004843E9" w:rsidRDefault="006032E0" w:rsidP="00414A5F">
      <w:pPr>
        <w:pStyle w:val="3Bodytext"/>
        <w:numPr>
          <w:ilvl w:val="0"/>
          <w:numId w:val="14"/>
        </w:numPr>
        <w:jc w:val="both"/>
      </w:pPr>
      <w:r w:rsidRPr="004843E9">
        <w:t>AUSSIEDEX Phase IV study of DEX implants in Australia.</w:t>
      </w:r>
      <w:r w:rsidR="0037529D" w:rsidRPr="004843E9">
        <w:t xml:space="preserve"> Th</w:t>
      </w:r>
      <w:r w:rsidR="008A3C89" w:rsidRPr="004843E9">
        <w:t>is</w:t>
      </w:r>
      <w:r w:rsidR="0037529D" w:rsidRPr="004843E9">
        <w:t xml:space="preserve"> study </w:t>
      </w:r>
      <w:r w:rsidR="002F18F8" w:rsidRPr="004843E9">
        <w:t>reported</w:t>
      </w:r>
      <w:r w:rsidR="0037529D" w:rsidRPr="004843E9">
        <w:t xml:space="preserve"> 2.3 </w:t>
      </w:r>
      <w:r w:rsidR="002F18F8" w:rsidRPr="004843E9">
        <w:t>injections</w:t>
      </w:r>
      <w:r w:rsidR="0037529D" w:rsidRPr="004843E9">
        <w:t xml:space="preserve"> </w:t>
      </w:r>
      <w:r w:rsidR="00293A0B" w:rsidRPr="004843E9">
        <w:t xml:space="preserve">of DEX </w:t>
      </w:r>
      <w:r w:rsidR="008A3C89" w:rsidRPr="004843E9">
        <w:t>over</w:t>
      </w:r>
      <w:r w:rsidR="0037529D" w:rsidRPr="004843E9">
        <w:t xml:space="preserve"> 12 months.</w:t>
      </w:r>
    </w:p>
    <w:p w:rsidR="0069255F" w:rsidRPr="004843E9" w:rsidRDefault="00912C95" w:rsidP="00854B42">
      <w:pPr>
        <w:pStyle w:val="3Bodytext"/>
        <w:jc w:val="both"/>
        <w:rPr>
          <w:rFonts w:cstheme="minorHAnsi"/>
          <w:szCs w:val="24"/>
        </w:rPr>
      </w:pPr>
      <w:r w:rsidRPr="004843E9">
        <w:t>T</w:t>
      </w:r>
      <w:r w:rsidR="004D3D48" w:rsidRPr="004843E9">
        <w:t xml:space="preserve">he </w:t>
      </w:r>
      <w:r w:rsidR="0069255F" w:rsidRPr="004843E9">
        <w:t xml:space="preserve">PBAC Guidelines (version 5.0, 2016) state in Section 3B.2 </w:t>
      </w:r>
      <w:r w:rsidR="00764CC2" w:rsidRPr="004843E9">
        <w:t>‘</w:t>
      </w:r>
      <w:r w:rsidR="0069255F" w:rsidRPr="004843E9">
        <w:t>Estimation of equi-effective doses</w:t>
      </w:r>
      <w:r w:rsidR="00764CC2" w:rsidRPr="004843E9">
        <w:t>’</w:t>
      </w:r>
      <w:r w:rsidR="0069255F" w:rsidRPr="004843E9">
        <w:rPr>
          <w:rStyle w:val="FootnoteReference"/>
        </w:rPr>
        <w:footnoteReference w:id="1"/>
      </w:r>
      <w:r w:rsidR="0069255F" w:rsidRPr="004843E9">
        <w:t xml:space="preserve"> that the following </w:t>
      </w:r>
      <w:r w:rsidR="0069255F" w:rsidRPr="004843E9">
        <w:rPr>
          <w:rFonts w:cstheme="minorHAnsi"/>
          <w:szCs w:val="24"/>
        </w:rPr>
        <w:t>sources of evidence should be used</w:t>
      </w:r>
      <w:r w:rsidR="00764CC2" w:rsidRPr="004843E9">
        <w:rPr>
          <w:rFonts w:cstheme="minorHAnsi"/>
          <w:szCs w:val="24"/>
        </w:rPr>
        <w:t xml:space="preserve"> </w:t>
      </w:r>
      <w:r w:rsidR="00764CC2" w:rsidRPr="004843E9">
        <w:rPr>
          <w:rFonts w:cstheme="minorHAnsi"/>
          <w:szCs w:val="24"/>
          <w:shd w:val="clear" w:color="auto" w:fill="FFFFFF"/>
        </w:rPr>
        <w:t>(presented in order of preference)</w:t>
      </w:r>
      <w:r w:rsidR="0069255F" w:rsidRPr="004843E9">
        <w:rPr>
          <w:rFonts w:cstheme="minorHAnsi"/>
          <w:szCs w:val="24"/>
        </w:rPr>
        <w:t>:</w:t>
      </w:r>
    </w:p>
    <w:p w:rsidR="0069255F" w:rsidRPr="004843E9" w:rsidRDefault="0069255F" w:rsidP="00854B42">
      <w:pPr>
        <w:pStyle w:val="3Bodytext"/>
        <w:numPr>
          <w:ilvl w:val="0"/>
          <w:numId w:val="19"/>
        </w:numPr>
        <w:jc w:val="both"/>
      </w:pPr>
      <w:r w:rsidRPr="004843E9">
        <w:lastRenderedPageBreak/>
        <w:t>Direct randomised trials where doses of both medicines are titrated against a response, or where doses of both medicines are fixed if the medicines are given in regular clinical practice according to a fixed protocol used in the trials;</w:t>
      </w:r>
    </w:p>
    <w:p w:rsidR="0069255F" w:rsidRPr="004843E9" w:rsidRDefault="00764CC2" w:rsidP="00854B42">
      <w:pPr>
        <w:pStyle w:val="3Bodytext"/>
        <w:numPr>
          <w:ilvl w:val="0"/>
          <w:numId w:val="19"/>
        </w:numPr>
        <w:jc w:val="both"/>
      </w:pPr>
      <w:r w:rsidRPr="004843E9">
        <w:t>Direct randomised trials where doses of one or both medicines are arbitrarily fixed in a way that does not reflect regular clinical practice. …;</w:t>
      </w:r>
    </w:p>
    <w:p w:rsidR="00764CC2" w:rsidRPr="004843E9" w:rsidRDefault="00764CC2" w:rsidP="00854B42">
      <w:pPr>
        <w:pStyle w:val="3Bodytext"/>
        <w:numPr>
          <w:ilvl w:val="0"/>
          <w:numId w:val="19"/>
        </w:numPr>
        <w:jc w:val="both"/>
      </w:pPr>
      <w:r w:rsidRPr="004843E9">
        <w:t>Indirect comparisons of two or more sets of randomised trials involving one or more common references;</w:t>
      </w:r>
    </w:p>
    <w:p w:rsidR="00764CC2" w:rsidRPr="004843E9" w:rsidRDefault="00764CC2" w:rsidP="00854B42">
      <w:pPr>
        <w:pStyle w:val="3Bodytext"/>
        <w:numPr>
          <w:ilvl w:val="0"/>
          <w:numId w:val="19"/>
        </w:numPr>
        <w:jc w:val="both"/>
      </w:pPr>
      <w:r w:rsidRPr="004843E9">
        <w:t>Nonrandomised studies where both dose and effect are measured;</w:t>
      </w:r>
    </w:p>
    <w:p w:rsidR="00764CC2" w:rsidRPr="004843E9" w:rsidRDefault="00764CC2" w:rsidP="00854B42">
      <w:pPr>
        <w:pStyle w:val="3Bodytext"/>
        <w:numPr>
          <w:ilvl w:val="0"/>
          <w:numId w:val="19"/>
        </w:numPr>
        <w:jc w:val="both"/>
      </w:pPr>
      <w:r w:rsidRPr="004843E9">
        <w:t>Nonrandomised studies (including market research data) where dose, but not effect, is measured. This source of evidence is the least preferred. It may be preferable to calculate doses from prescribing or dispensing data, such as the PBS prescription dataset, rather than using market research data.</w:t>
      </w:r>
    </w:p>
    <w:p w:rsidR="0069255F" w:rsidRPr="004843E9" w:rsidRDefault="00173FF4" w:rsidP="00A017F7">
      <w:pPr>
        <w:pStyle w:val="3Bodytext"/>
        <w:jc w:val="both"/>
      </w:pPr>
      <w:r w:rsidRPr="004843E9">
        <w:t xml:space="preserve">The Sponsor </w:t>
      </w:r>
      <w:r w:rsidR="00C774DA" w:rsidRPr="004843E9">
        <w:t xml:space="preserve">acknowledged </w:t>
      </w:r>
      <w:r w:rsidRPr="004843E9">
        <w:t>in their pre-PBAC response the PBAC’s preference for an indirect comparison using randomised trials (FAME and MEAD) over evidence from nonrandomised studies for the calculation of equi-effective doses</w:t>
      </w:r>
      <w:r w:rsidR="007A1914" w:rsidRPr="004843E9">
        <w:t>; h</w:t>
      </w:r>
      <w:r w:rsidR="00C774DA" w:rsidRPr="004843E9">
        <w:t xml:space="preserve">owever, the Sponsor </w:t>
      </w:r>
      <w:r w:rsidR="007A1914" w:rsidRPr="004843E9">
        <w:t xml:space="preserve">reiterated that </w:t>
      </w:r>
      <w:r w:rsidR="00D04C29" w:rsidRPr="004843E9">
        <w:t>the trial doses are</w:t>
      </w:r>
      <w:r w:rsidRPr="004843E9">
        <w:t xml:space="preserve"> not representative of</w:t>
      </w:r>
      <w:r w:rsidR="00C774DA" w:rsidRPr="004843E9">
        <w:t xml:space="preserve"> Australian and global</w:t>
      </w:r>
      <w:r w:rsidRPr="004843E9">
        <w:t xml:space="preserve"> clinical practice</w:t>
      </w:r>
      <w:r w:rsidR="00621C5F" w:rsidRPr="004843E9">
        <w:t>. The Sponsor</w:t>
      </w:r>
      <w:r w:rsidR="006F4265" w:rsidRPr="004843E9">
        <w:t xml:space="preserve"> also</w:t>
      </w:r>
      <w:r w:rsidR="00621C5F" w:rsidRPr="004843E9">
        <w:t xml:space="preserve"> restated</w:t>
      </w:r>
      <w:r w:rsidR="00E01A62" w:rsidRPr="004843E9">
        <w:t xml:space="preserve"> in the pre-PBAC response</w:t>
      </w:r>
      <w:r w:rsidR="00621C5F" w:rsidRPr="004843E9">
        <w:t xml:space="preserve"> that</w:t>
      </w:r>
      <w:r w:rsidRPr="004843E9">
        <w:t xml:space="preserve"> the results of the indirect comparison suggest that patients treated with the FA implant had</w:t>
      </w:r>
      <w:r w:rsidR="00C774DA" w:rsidRPr="004843E9">
        <w:t xml:space="preserve"> a greater improvement in </w:t>
      </w:r>
      <w:r w:rsidRPr="004843E9">
        <w:t xml:space="preserve">BCVA compared with the </w:t>
      </w:r>
      <w:r w:rsidR="00C774DA" w:rsidRPr="004843E9">
        <w:t>DEX</w:t>
      </w:r>
      <w:r w:rsidRPr="004843E9">
        <w:t xml:space="preserve"> implant</w:t>
      </w:r>
      <w:r w:rsidR="00C774DA" w:rsidRPr="004843E9">
        <w:t xml:space="preserve">. </w:t>
      </w:r>
    </w:p>
    <w:p w:rsidR="005A3173" w:rsidRPr="004843E9" w:rsidRDefault="005A3173" w:rsidP="00917D69">
      <w:pPr>
        <w:pStyle w:val="4-SubsectionHeading"/>
        <w:rPr>
          <w:lang w:eastAsia="en-US"/>
        </w:rPr>
      </w:pPr>
      <w:r w:rsidRPr="004843E9">
        <w:rPr>
          <w:lang w:eastAsia="en-US"/>
        </w:rPr>
        <w:t>Economic analysis</w:t>
      </w:r>
      <w:r w:rsidR="009803E4" w:rsidRPr="004843E9">
        <w:rPr>
          <w:lang w:eastAsia="en-US"/>
        </w:rPr>
        <w:t xml:space="preserve"> </w:t>
      </w:r>
    </w:p>
    <w:p w:rsidR="00E132B3" w:rsidRPr="004843E9" w:rsidRDefault="00E132B3" w:rsidP="00E132B3">
      <w:pPr>
        <w:pStyle w:val="ListParagraph"/>
        <w:numPr>
          <w:ilvl w:val="1"/>
          <w:numId w:val="1"/>
        </w:numPr>
        <w:jc w:val="both"/>
      </w:pPr>
      <w:r w:rsidRPr="004843E9">
        <w:t xml:space="preserve">The March 2020 submission presented a CMA of FA to DEX based on an indirect comparison using the randomised trials FAME and MEAD. The equi-effective doses were estimated by the Sponsor as FA 190 </w:t>
      </w:r>
      <w:r w:rsidRPr="004843E9">
        <w:rPr>
          <w:rFonts w:ascii="Symbol" w:hAnsi="Symbol"/>
        </w:rPr>
        <w:t></w:t>
      </w:r>
      <w:r w:rsidRPr="004843E9">
        <w:t>g 1 administration per 36 months and DEX</w:t>
      </w:r>
      <w:r w:rsidR="002572B7" w:rsidRPr="004843E9">
        <w:t xml:space="preserve"> 700 </w:t>
      </w:r>
      <w:r w:rsidR="002572B7" w:rsidRPr="004843E9">
        <w:rPr>
          <w:rFonts w:ascii="Symbol" w:hAnsi="Symbol"/>
        </w:rPr>
        <w:t></w:t>
      </w:r>
      <w:r w:rsidR="002572B7" w:rsidRPr="004843E9">
        <w:t>g</w:t>
      </w:r>
      <w:r w:rsidRPr="004843E9">
        <w:t xml:space="preserve"> 6.48 administrations over 36 months.</w:t>
      </w:r>
      <w:r w:rsidR="002572B7" w:rsidRPr="004843E9">
        <w:t xml:space="preserve"> The PBAC considered this dose relativity to be inappropriate because it did not reflect the clinical trial data provided in the submission. The PBAC noted the equi-effective doses were 1.3 administrations for FA and 4.11 administrations of DEX over 36 months based on the clinical trial data that supported the claim of non-inferiority (paragraph 6.27, FA PSD, March 2020).</w:t>
      </w:r>
    </w:p>
    <w:p w:rsidR="002572B7" w:rsidRPr="004843E9" w:rsidRDefault="002572B7" w:rsidP="00E132B3">
      <w:pPr>
        <w:pStyle w:val="ListParagraph"/>
        <w:numPr>
          <w:ilvl w:val="1"/>
          <w:numId w:val="1"/>
        </w:numPr>
        <w:jc w:val="both"/>
      </w:pPr>
      <w:r w:rsidRPr="004843E9">
        <w:t xml:space="preserve">The March 2020 submission </w:t>
      </w:r>
      <w:r w:rsidR="001A062E" w:rsidRPr="004843E9">
        <w:t>claimed that patients would receive VEGF inhibitors rather than another FA implant if they require retreatment. The CMA assumed only one VEGF inhibitor injection would be received per patient (i.e. one month of treatment), which the PBAC considered may not be reasonable (paragraph 6.28, FA PSD, March 2020).</w:t>
      </w:r>
    </w:p>
    <w:p w:rsidR="00C532BE" w:rsidRPr="004843E9" w:rsidRDefault="00441B10" w:rsidP="00C532BE">
      <w:pPr>
        <w:pStyle w:val="ListParagraph"/>
        <w:numPr>
          <w:ilvl w:val="1"/>
          <w:numId w:val="1"/>
        </w:numPr>
        <w:jc w:val="both"/>
      </w:pPr>
      <w:r w:rsidRPr="004843E9">
        <w:t>The March 2020 submission assumed 11.04 ophthalmologist visits for patients treated with FA and 14.42 for patients treated with DEX over 36 months. The PBAC agreed with ESC that the number of ophthalmology visits over 36 months for patients receiving either FA or DEX should not be different (paragraph 6.29, FA PSD, March 2020).</w:t>
      </w:r>
    </w:p>
    <w:p w:rsidR="00DB2618" w:rsidRPr="004843E9" w:rsidRDefault="00DB2618" w:rsidP="002934F2">
      <w:pPr>
        <w:pStyle w:val="ListParagraph"/>
        <w:numPr>
          <w:ilvl w:val="1"/>
          <w:numId w:val="1"/>
        </w:numPr>
        <w:jc w:val="both"/>
      </w:pPr>
      <w:r w:rsidRPr="004843E9">
        <w:lastRenderedPageBreak/>
        <w:t>The PBAC advised in March 2020 that the CMA should only include the cost of drug and the cost of administering the implants. The PBAC considered all other costs were highly uncertain, not well justified in the submission and should not be included in the CMA (paragraph</w:t>
      </w:r>
      <w:r w:rsidR="006864E6" w:rsidRPr="004843E9">
        <w:t xml:space="preserve"> </w:t>
      </w:r>
      <w:r w:rsidRPr="004843E9">
        <w:t>7.7, FA PSD, March 2020).</w:t>
      </w:r>
    </w:p>
    <w:p w:rsidR="002934F2" w:rsidRPr="004843E9" w:rsidRDefault="00E132B3" w:rsidP="00191CD1">
      <w:pPr>
        <w:pStyle w:val="ListParagraph"/>
        <w:numPr>
          <w:ilvl w:val="1"/>
          <w:numId w:val="1"/>
        </w:numPr>
        <w:jc w:val="both"/>
      </w:pPr>
      <w:r w:rsidRPr="004843E9">
        <w:t>The minor resubmission</w:t>
      </w:r>
      <w:r w:rsidR="00C532BE" w:rsidRPr="004843E9">
        <w:t xml:space="preserve"> presented a CMA that the Sponsor states is consistent with the approach used in the March 2020 submission, using only drug costs and the costs associated with administration. </w:t>
      </w:r>
      <w:r w:rsidR="002934F2" w:rsidRPr="004843E9">
        <w:t>Results of the CMA based on effective</w:t>
      </w:r>
      <w:r w:rsidR="00522D0F" w:rsidRPr="004843E9">
        <w:rPr>
          <w:rStyle w:val="FootnoteReference"/>
        </w:rPr>
        <w:footnoteReference w:id="2"/>
      </w:r>
      <w:r w:rsidR="00E86843">
        <w:t xml:space="preserve"> prices are shown in Table 2</w:t>
      </w:r>
      <w:r w:rsidR="002934F2" w:rsidRPr="004843E9">
        <w:t xml:space="preserve">. </w:t>
      </w:r>
    </w:p>
    <w:p w:rsidR="008619CB" w:rsidRDefault="008619CB">
      <w:pPr>
        <w:jc w:val="left"/>
        <w:rPr>
          <w:rStyle w:val="CommentReference"/>
          <w:rFonts w:ascii="Arial Narrow" w:eastAsiaTheme="majorEastAsia" w:hAnsi="Arial Narrow" w:cstheme="majorBidi"/>
          <w:b/>
          <w:bCs/>
          <w:sz w:val="20"/>
          <w:szCs w:val="20"/>
        </w:rPr>
      </w:pPr>
    </w:p>
    <w:p w:rsidR="002934F2" w:rsidRPr="004843E9" w:rsidRDefault="00E86843" w:rsidP="002934F2">
      <w:pPr>
        <w:pStyle w:val="TableFigureHeading"/>
        <w:rPr>
          <w:szCs w:val="20"/>
        </w:rPr>
      </w:pPr>
      <w:r>
        <w:rPr>
          <w:rStyle w:val="CommentReference"/>
          <w:sz w:val="20"/>
          <w:szCs w:val="20"/>
        </w:rPr>
        <w:t>Table 2</w:t>
      </w:r>
      <w:r w:rsidR="002934F2" w:rsidRPr="004843E9">
        <w:rPr>
          <w:rStyle w:val="CommentReference"/>
          <w:sz w:val="20"/>
          <w:szCs w:val="20"/>
        </w:rPr>
        <w:t>: Results of the cost minimisation analysis conducted by the minor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71"/>
        <w:gridCol w:w="1874"/>
        <w:gridCol w:w="1518"/>
        <w:gridCol w:w="1491"/>
        <w:gridCol w:w="3662"/>
      </w:tblGrid>
      <w:tr w:rsidR="0059516F" w:rsidRPr="004843E9" w:rsidTr="00A659D1">
        <w:trPr>
          <w:cantSplit/>
          <w:tblHeader/>
        </w:trPr>
        <w:tc>
          <w:tcPr>
            <w:tcW w:w="1300" w:type="pct"/>
            <w:gridSpan w:val="2"/>
            <w:tcBorders>
              <w:top w:val="single" w:sz="4" w:space="0" w:color="auto"/>
              <w:left w:val="single" w:sz="4" w:space="0" w:color="auto"/>
              <w:bottom w:val="single" w:sz="4" w:space="0" w:color="auto"/>
              <w:right w:val="single" w:sz="4" w:space="0" w:color="auto"/>
            </w:tcBorders>
            <w:shd w:val="clear" w:color="auto" w:fill="FFFFFF"/>
          </w:tcPr>
          <w:p w:rsidR="0059516F" w:rsidRPr="004843E9" w:rsidRDefault="0059516F" w:rsidP="0059516F">
            <w:pPr>
              <w:pStyle w:val="In-tableHeading"/>
              <w:jc w:val="center"/>
              <w:rPr>
                <w:lang w:val="en-AU"/>
              </w:rPr>
            </w:pP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59516F" w:rsidRPr="004843E9" w:rsidRDefault="009A3627" w:rsidP="0059516F">
            <w:pPr>
              <w:pStyle w:val="In-tableHeading"/>
              <w:jc w:val="center"/>
              <w:rPr>
                <w:lang w:val="en-AU"/>
              </w:rPr>
            </w:pPr>
            <w:r w:rsidRPr="004843E9">
              <w:rPr>
                <w:lang w:val="en-AU"/>
              </w:rPr>
              <w:t>DEX</w:t>
            </w:r>
          </w:p>
        </w:tc>
        <w:tc>
          <w:tcPr>
            <w:tcW w:w="827" w:type="pct"/>
            <w:tcBorders>
              <w:top w:val="single" w:sz="4" w:space="0" w:color="auto"/>
              <w:left w:val="single" w:sz="4" w:space="0" w:color="auto"/>
              <w:bottom w:val="single" w:sz="4" w:space="0" w:color="auto"/>
              <w:right w:val="single" w:sz="4" w:space="0" w:color="auto"/>
            </w:tcBorders>
            <w:shd w:val="clear" w:color="auto" w:fill="FFFFFF"/>
          </w:tcPr>
          <w:p w:rsidR="0059516F" w:rsidRPr="004843E9" w:rsidRDefault="009A3627" w:rsidP="0059516F">
            <w:pPr>
              <w:pStyle w:val="In-tableHeading"/>
              <w:jc w:val="center"/>
              <w:rPr>
                <w:lang w:val="en-AU"/>
              </w:rPr>
            </w:pPr>
            <w:r w:rsidRPr="004843E9">
              <w:rPr>
                <w:lang w:val="en-AU"/>
              </w:rPr>
              <w:t>FA</w:t>
            </w:r>
          </w:p>
        </w:tc>
        <w:tc>
          <w:tcPr>
            <w:tcW w:w="2032" w:type="pct"/>
            <w:tcBorders>
              <w:top w:val="single" w:sz="4" w:space="0" w:color="auto"/>
              <w:left w:val="single" w:sz="4" w:space="0" w:color="auto"/>
              <w:bottom w:val="single" w:sz="4" w:space="0" w:color="auto"/>
              <w:right w:val="single" w:sz="4" w:space="0" w:color="auto"/>
            </w:tcBorders>
            <w:shd w:val="clear" w:color="auto" w:fill="FFFFFF"/>
          </w:tcPr>
          <w:p w:rsidR="0059516F" w:rsidRPr="004843E9" w:rsidRDefault="00522D0F" w:rsidP="0059516F">
            <w:pPr>
              <w:pStyle w:val="In-tableHeading"/>
              <w:jc w:val="center"/>
              <w:rPr>
                <w:lang w:val="en-AU"/>
              </w:rPr>
            </w:pPr>
            <w:r w:rsidRPr="004843E9">
              <w:rPr>
                <w:lang w:val="en-AU"/>
              </w:rPr>
              <w:t>Source/calculation</w:t>
            </w:r>
          </w:p>
        </w:tc>
      </w:tr>
      <w:tr w:rsidR="009A3627" w:rsidRPr="004843E9" w:rsidTr="00A659D1">
        <w:trPr>
          <w:cantSplit/>
        </w:trPr>
        <w:tc>
          <w:tcPr>
            <w:tcW w:w="261" w:type="pct"/>
            <w:tcBorders>
              <w:top w:val="single" w:sz="4" w:space="0" w:color="auto"/>
              <w:left w:val="single" w:sz="4" w:space="0" w:color="auto"/>
              <w:bottom w:val="single" w:sz="4" w:space="0" w:color="auto"/>
              <w:right w:val="single" w:sz="4" w:space="0" w:color="auto"/>
            </w:tcBorders>
          </w:tcPr>
          <w:p w:rsidR="009A3627" w:rsidRPr="004843E9" w:rsidRDefault="009A3627" w:rsidP="0059516F">
            <w:pPr>
              <w:pStyle w:val="TableText0"/>
            </w:pPr>
            <w:r w:rsidRPr="004843E9">
              <w:t>A</w:t>
            </w:r>
          </w:p>
        </w:tc>
        <w:tc>
          <w:tcPr>
            <w:tcW w:w="1039" w:type="pct"/>
            <w:tcBorders>
              <w:top w:val="single" w:sz="4" w:space="0" w:color="auto"/>
              <w:left w:val="single" w:sz="4" w:space="0" w:color="auto"/>
              <w:bottom w:val="single" w:sz="4" w:space="0" w:color="auto"/>
              <w:right w:val="single" w:sz="4" w:space="0" w:color="auto"/>
            </w:tcBorders>
            <w:shd w:val="clear" w:color="auto" w:fill="auto"/>
          </w:tcPr>
          <w:p w:rsidR="009A3627" w:rsidRPr="004843E9" w:rsidRDefault="009A3627" w:rsidP="0059516F">
            <w:pPr>
              <w:pStyle w:val="TableText0"/>
            </w:pPr>
            <w:r w:rsidRPr="004843E9">
              <w:t>Ex-manufacturer price (effective)</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9A3627" w:rsidRPr="004843E9" w:rsidRDefault="009A3627" w:rsidP="0059516F">
            <w:pPr>
              <w:pStyle w:val="TableText0"/>
              <w:jc w:val="center"/>
              <w:rPr>
                <w:iCs/>
              </w:rPr>
            </w:pPr>
            <w:r w:rsidRPr="004843E9">
              <w:rPr>
                <w:iCs/>
              </w:rPr>
              <w:t>$</w:t>
            </w:r>
            <w:r w:rsidR="00E733BF">
              <w:rPr>
                <w:iCs/>
                <w:noProof/>
                <w:color w:val="000000"/>
                <w:highlight w:val="black"/>
              </w:rPr>
              <w:t>''''''''''''''''''</w:t>
            </w: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9A3627" w:rsidRPr="004843E9" w:rsidRDefault="009A3627" w:rsidP="0059516F">
            <w:pPr>
              <w:pStyle w:val="TableText0"/>
              <w:jc w:val="center"/>
              <w:rPr>
                <w:iCs/>
              </w:rPr>
            </w:pPr>
            <w:r w:rsidRPr="004843E9">
              <w:rPr>
                <w:iCs/>
              </w:rPr>
              <w:t>$</w:t>
            </w:r>
            <w:r w:rsidR="00E733BF">
              <w:rPr>
                <w:iCs/>
                <w:noProof/>
                <w:color w:val="000000"/>
                <w:highlight w:val="black"/>
              </w:rPr>
              <w:t>'''''''''''''''''''</w:t>
            </w:r>
          </w:p>
        </w:tc>
        <w:tc>
          <w:tcPr>
            <w:tcW w:w="2032" w:type="pct"/>
            <w:tcBorders>
              <w:top w:val="single" w:sz="4" w:space="0" w:color="auto"/>
              <w:left w:val="single" w:sz="4" w:space="0" w:color="auto"/>
              <w:bottom w:val="single" w:sz="4" w:space="0" w:color="auto"/>
              <w:right w:val="single" w:sz="4" w:space="0" w:color="auto"/>
            </w:tcBorders>
          </w:tcPr>
          <w:p w:rsidR="009A3627" w:rsidRPr="004843E9" w:rsidRDefault="009A3627" w:rsidP="009A3627">
            <w:pPr>
              <w:pStyle w:val="TableText0"/>
              <w:rPr>
                <w:iCs/>
              </w:rPr>
            </w:pPr>
            <w:r w:rsidRPr="004843E9">
              <w:rPr>
                <w:iCs/>
              </w:rPr>
              <w:t>DEX = ex-manufacturer price</w:t>
            </w:r>
          </w:p>
          <w:p w:rsidR="009A3627" w:rsidRPr="004843E9" w:rsidRDefault="009A3627" w:rsidP="009A3627">
            <w:pPr>
              <w:pStyle w:val="TableText0"/>
              <w:rPr>
                <w:iCs/>
              </w:rPr>
            </w:pPr>
            <w:r w:rsidRPr="004843E9">
              <w:rPr>
                <w:iCs/>
              </w:rPr>
              <w:t>FA =</w:t>
            </w:r>
            <w:r w:rsidR="00017238" w:rsidRPr="004843E9">
              <w:rPr>
                <w:iCs/>
              </w:rPr>
              <w:t xml:space="preserve"> C / B</w:t>
            </w:r>
          </w:p>
        </w:tc>
      </w:tr>
      <w:tr w:rsidR="0059516F" w:rsidRPr="004843E9" w:rsidTr="00A659D1">
        <w:trPr>
          <w:cantSplit/>
        </w:trPr>
        <w:tc>
          <w:tcPr>
            <w:tcW w:w="261" w:type="pct"/>
            <w:tcBorders>
              <w:top w:val="single" w:sz="4" w:space="0" w:color="auto"/>
              <w:left w:val="single" w:sz="4" w:space="0" w:color="auto"/>
              <w:bottom w:val="single" w:sz="4" w:space="0" w:color="auto"/>
              <w:right w:val="single" w:sz="4" w:space="0" w:color="auto"/>
            </w:tcBorders>
          </w:tcPr>
          <w:p w:rsidR="0059516F" w:rsidRPr="004843E9" w:rsidRDefault="0059516F" w:rsidP="0059516F">
            <w:pPr>
              <w:pStyle w:val="TableText0"/>
            </w:pPr>
            <w:r w:rsidRPr="004843E9">
              <w:t>B</w:t>
            </w:r>
          </w:p>
        </w:tc>
        <w:tc>
          <w:tcPr>
            <w:tcW w:w="1039" w:type="pct"/>
            <w:tcBorders>
              <w:top w:val="single" w:sz="4" w:space="0" w:color="auto"/>
              <w:left w:val="single" w:sz="4" w:space="0" w:color="auto"/>
              <w:bottom w:val="single" w:sz="4" w:space="0" w:color="auto"/>
              <w:right w:val="single" w:sz="4" w:space="0" w:color="auto"/>
            </w:tcBorders>
            <w:shd w:val="clear" w:color="auto" w:fill="auto"/>
          </w:tcPr>
          <w:p w:rsidR="0059516F" w:rsidRPr="004843E9" w:rsidRDefault="0059516F" w:rsidP="0059516F">
            <w:pPr>
              <w:pStyle w:val="TableText0"/>
            </w:pPr>
            <w:r w:rsidRPr="004843E9">
              <w:t>Injections</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59516F" w:rsidRPr="004843E9" w:rsidRDefault="0059516F" w:rsidP="0059516F">
            <w:pPr>
              <w:pStyle w:val="TableText0"/>
              <w:jc w:val="center"/>
              <w:rPr>
                <w:iCs/>
              </w:rPr>
            </w:pPr>
            <w:r w:rsidRPr="004843E9">
              <w:rPr>
                <w:iCs/>
              </w:rPr>
              <w:t>6.48</w:t>
            </w: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59516F" w:rsidRPr="004843E9" w:rsidRDefault="0059516F" w:rsidP="0059516F">
            <w:pPr>
              <w:pStyle w:val="TableText0"/>
              <w:jc w:val="center"/>
              <w:rPr>
                <w:iCs/>
              </w:rPr>
            </w:pPr>
            <w:r w:rsidRPr="004843E9">
              <w:rPr>
                <w:iCs/>
              </w:rPr>
              <w:t>1</w:t>
            </w:r>
          </w:p>
        </w:tc>
        <w:tc>
          <w:tcPr>
            <w:tcW w:w="2032" w:type="pct"/>
            <w:tcBorders>
              <w:top w:val="single" w:sz="4" w:space="0" w:color="auto"/>
              <w:left w:val="single" w:sz="4" w:space="0" w:color="auto"/>
              <w:bottom w:val="single" w:sz="4" w:space="0" w:color="auto"/>
              <w:right w:val="single" w:sz="4" w:space="0" w:color="auto"/>
            </w:tcBorders>
          </w:tcPr>
          <w:p w:rsidR="0059516F" w:rsidRPr="004843E9" w:rsidRDefault="00017238" w:rsidP="00522D0F">
            <w:pPr>
              <w:pStyle w:val="TableText0"/>
            </w:pPr>
            <w:r w:rsidRPr="004843E9">
              <w:rPr>
                <w:iCs/>
              </w:rPr>
              <w:t xml:space="preserve">DEX = </w:t>
            </w:r>
            <w:r w:rsidRPr="004843E9">
              <w:t>DEX PSD, March 2016</w:t>
            </w:r>
          </w:p>
          <w:p w:rsidR="00017238" w:rsidRPr="004843E9" w:rsidRDefault="00017238" w:rsidP="00017238">
            <w:pPr>
              <w:pStyle w:val="TableText0"/>
              <w:rPr>
                <w:iCs/>
              </w:rPr>
            </w:pPr>
            <w:r w:rsidRPr="004843E9">
              <w:t xml:space="preserve">FA = </w:t>
            </w:r>
            <w:proofErr w:type="spellStart"/>
            <w:r w:rsidRPr="004843E9">
              <w:t>Assumption</w:t>
            </w:r>
            <w:r w:rsidR="0085208A" w:rsidRPr="004843E9">
              <w:rPr>
                <w:vertAlign w:val="superscript"/>
              </w:rPr>
              <w:t>a</w:t>
            </w:r>
            <w:proofErr w:type="spellEnd"/>
          </w:p>
        </w:tc>
      </w:tr>
      <w:tr w:rsidR="009A3627" w:rsidRPr="004843E9" w:rsidTr="00A659D1">
        <w:trPr>
          <w:cantSplit/>
        </w:trPr>
        <w:tc>
          <w:tcPr>
            <w:tcW w:w="261" w:type="pct"/>
            <w:tcBorders>
              <w:top w:val="single" w:sz="4" w:space="0" w:color="auto"/>
              <w:left w:val="single" w:sz="4" w:space="0" w:color="auto"/>
              <w:bottom w:val="single" w:sz="4" w:space="0" w:color="auto"/>
              <w:right w:val="single" w:sz="4" w:space="0" w:color="auto"/>
            </w:tcBorders>
          </w:tcPr>
          <w:p w:rsidR="009A3627" w:rsidRPr="004843E9" w:rsidRDefault="009A3627" w:rsidP="009A3627">
            <w:pPr>
              <w:pStyle w:val="TableText0"/>
            </w:pPr>
            <w:r w:rsidRPr="004843E9">
              <w:t>C</w:t>
            </w:r>
          </w:p>
        </w:tc>
        <w:tc>
          <w:tcPr>
            <w:tcW w:w="1039" w:type="pct"/>
            <w:tcBorders>
              <w:top w:val="single" w:sz="4" w:space="0" w:color="auto"/>
              <w:left w:val="single" w:sz="4" w:space="0" w:color="auto"/>
              <w:bottom w:val="single" w:sz="4" w:space="0" w:color="auto"/>
              <w:right w:val="single" w:sz="4" w:space="0" w:color="auto"/>
            </w:tcBorders>
            <w:shd w:val="clear" w:color="auto" w:fill="auto"/>
          </w:tcPr>
          <w:p w:rsidR="009A3627" w:rsidRPr="004843E9" w:rsidRDefault="009A3627" w:rsidP="009A3627">
            <w:pPr>
              <w:pStyle w:val="TableText0"/>
            </w:pPr>
            <w:r w:rsidRPr="004843E9">
              <w:t>Drug costs</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9A3627" w:rsidRPr="004843E9" w:rsidRDefault="009A3627" w:rsidP="009A3627">
            <w:pPr>
              <w:pStyle w:val="TableText0"/>
              <w:jc w:val="center"/>
              <w:rPr>
                <w:iCs/>
              </w:rPr>
            </w:pPr>
            <w:r w:rsidRPr="004843E9">
              <w:rPr>
                <w:iCs/>
              </w:rPr>
              <w:t>$</w:t>
            </w:r>
            <w:r w:rsidR="00E733BF">
              <w:rPr>
                <w:iCs/>
                <w:noProof/>
                <w:color w:val="000000"/>
                <w:highlight w:val="black"/>
              </w:rPr>
              <w:t>'''''''''''''''''''''''</w:t>
            </w: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9A3627" w:rsidRPr="004843E9" w:rsidRDefault="009A3627" w:rsidP="009A3627">
            <w:pPr>
              <w:pStyle w:val="TableText0"/>
              <w:jc w:val="center"/>
              <w:rPr>
                <w:iCs/>
              </w:rPr>
            </w:pPr>
            <w:r w:rsidRPr="004843E9">
              <w:rPr>
                <w:iCs/>
              </w:rPr>
              <w:t>$</w:t>
            </w:r>
            <w:r w:rsidR="00E733BF">
              <w:rPr>
                <w:iCs/>
                <w:noProof/>
                <w:color w:val="000000"/>
                <w:highlight w:val="black"/>
              </w:rPr>
              <w:t>'''''''''''''''''''''''</w:t>
            </w:r>
          </w:p>
        </w:tc>
        <w:tc>
          <w:tcPr>
            <w:tcW w:w="2032" w:type="pct"/>
            <w:tcBorders>
              <w:top w:val="single" w:sz="4" w:space="0" w:color="auto"/>
              <w:left w:val="single" w:sz="4" w:space="0" w:color="auto"/>
              <w:bottom w:val="single" w:sz="4" w:space="0" w:color="auto"/>
              <w:right w:val="single" w:sz="4" w:space="0" w:color="auto"/>
            </w:tcBorders>
          </w:tcPr>
          <w:p w:rsidR="009A3627" w:rsidRPr="004843E9" w:rsidRDefault="00F35F11" w:rsidP="009A3627">
            <w:pPr>
              <w:pStyle w:val="TableText0"/>
              <w:rPr>
                <w:iCs/>
              </w:rPr>
            </w:pPr>
            <w:r w:rsidRPr="004843E9">
              <w:rPr>
                <w:iCs/>
              </w:rPr>
              <w:t>DEX = A * B</w:t>
            </w:r>
          </w:p>
          <w:p w:rsidR="00F35F11" w:rsidRPr="004843E9" w:rsidRDefault="00F35F11" w:rsidP="009A3627">
            <w:pPr>
              <w:pStyle w:val="TableText0"/>
              <w:rPr>
                <w:iCs/>
              </w:rPr>
            </w:pPr>
            <w:r w:rsidRPr="004843E9">
              <w:rPr>
                <w:iCs/>
              </w:rPr>
              <w:t>FA = E – (D + E + F)</w:t>
            </w:r>
          </w:p>
        </w:tc>
      </w:tr>
      <w:tr w:rsidR="00F35F11" w:rsidRPr="004843E9" w:rsidTr="00A659D1">
        <w:trPr>
          <w:cantSplit/>
        </w:trPr>
        <w:tc>
          <w:tcPr>
            <w:tcW w:w="261" w:type="pct"/>
            <w:tcBorders>
              <w:top w:val="single" w:sz="4" w:space="0" w:color="auto"/>
              <w:left w:val="single" w:sz="4" w:space="0" w:color="auto"/>
              <w:bottom w:val="single" w:sz="4" w:space="0" w:color="auto"/>
              <w:right w:val="single" w:sz="4" w:space="0" w:color="auto"/>
            </w:tcBorders>
          </w:tcPr>
          <w:p w:rsidR="0059516F" w:rsidRPr="004843E9" w:rsidRDefault="0059516F" w:rsidP="00F35F11">
            <w:pPr>
              <w:pStyle w:val="TableText0"/>
            </w:pPr>
          </w:p>
          <w:p w:rsidR="0059516F" w:rsidRPr="004843E9" w:rsidRDefault="009A3627" w:rsidP="00F35F11">
            <w:pPr>
              <w:pStyle w:val="TableText0"/>
            </w:pPr>
            <w:r w:rsidRPr="004843E9">
              <w:t>D</w:t>
            </w:r>
          </w:p>
          <w:p w:rsidR="0059516F" w:rsidRPr="004843E9" w:rsidRDefault="009A3627" w:rsidP="00F35F11">
            <w:pPr>
              <w:pStyle w:val="TableText0"/>
            </w:pPr>
            <w:r w:rsidRPr="004843E9">
              <w:t>E</w:t>
            </w:r>
          </w:p>
        </w:tc>
        <w:tc>
          <w:tcPr>
            <w:tcW w:w="1039" w:type="pct"/>
            <w:tcBorders>
              <w:top w:val="single" w:sz="4" w:space="0" w:color="auto"/>
              <w:left w:val="single" w:sz="4" w:space="0" w:color="auto"/>
              <w:bottom w:val="single" w:sz="4" w:space="0" w:color="auto"/>
              <w:right w:val="single" w:sz="4" w:space="0" w:color="auto"/>
            </w:tcBorders>
            <w:shd w:val="clear" w:color="auto" w:fill="auto"/>
          </w:tcPr>
          <w:p w:rsidR="0059516F" w:rsidRPr="004843E9" w:rsidRDefault="0059516F" w:rsidP="00F35F11">
            <w:pPr>
              <w:pStyle w:val="TableText0"/>
            </w:pPr>
            <w:r w:rsidRPr="004843E9">
              <w:t xml:space="preserve">Administration </w:t>
            </w:r>
            <w:proofErr w:type="spellStart"/>
            <w:r w:rsidRPr="004843E9">
              <w:t>costs:</w:t>
            </w:r>
            <w:r w:rsidR="00181DC0" w:rsidRPr="004843E9">
              <w:rPr>
                <w:vertAlign w:val="superscript"/>
              </w:rPr>
              <w:t>b</w:t>
            </w:r>
            <w:proofErr w:type="spellEnd"/>
          </w:p>
          <w:p w:rsidR="00F35F11" w:rsidRPr="004843E9" w:rsidRDefault="0059516F" w:rsidP="00F35F11">
            <w:pPr>
              <w:pStyle w:val="TableText0"/>
            </w:pPr>
            <w:r w:rsidRPr="004843E9">
              <w:t>Ophthalmologist visit</w:t>
            </w:r>
            <w:r w:rsidR="005D0D1F" w:rsidRPr="004843E9">
              <w:t>s</w:t>
            </w:r>
          </w:p>
          <w:p w:rsidR="00F35F11" w:rsidRPr="004843E9" w:rsidRDefault="0059516F" w:rsidP="00F35F11">
            <w:pPr>
              <w:pStyle w:val="TableText0"/>
            </w:pPr>
            <w:r w:rsidRPr="004843E9">
              <w:t>Steroid administration</w:t>
            </w:r>
          </w:p>
        </w:tc>
        <w:tc>
          <w:tcPr>
            <w:tcW w:w="842" w:type="pct"/>
            <w:tcBorders>
              <w:top w:val="single" w:sz="4" w:space="0" w:color="auto"/>
              <w:left w:val="single" w:sz="4" w:space="0" w:color="auto"/>
              <w:bottom w:val="single" w:sz="4" w:space="0" w:color="auto"/>
              <w:right w:val="single" w:sz="4" w:space="0" w:color="auto"/>
            </w:tcBorders>
          </w:tcPr>
          <w:p w:rsidR="0059516F" w:rsidRPr="004843E9" w:rsidRDefault="0059516F" w:rsidP="00F35F11">
            <w:pPr>
              <w:pStyle w:val="TableText0"/>
              <w:jc w:val="center"/>
            </w:pPr>
          </w:p>
          <w:p w:rsidR="00F35F11" w:rsidRPr="004843E9" w:rsidRDefault="002F4756" w:rsidP="00F35F11">
            <w:pPr>
              <w:pStyle w:val="TableText0"/>
              <w:jc w:val="center"/>
            </w:pPr>
            <w:r w:rsidRPr="004843E9">
              <w:t>$247.86</w:t>
            </w:r>
          </w:p>
          <w:p w:rsidR="00F35F11" w:rsidRPr="004843E9" w:rsidRDefault="00614CE0" w:rsidP="00F35F11">
            <w:pPr>
              <w:pStyle w:val="TableText0"/>
              <w:jc w:val="center"/>
            </w:pPr>
            <w:r w:rsidRPr="004843E9">
              <w:t>$1,708.45</w:t>
            </w:r>
          </w:p>
        </w:tc>
        <w:tc>
          <w:tcPr>
            <w:tcW w:w="827" w:type="pct"/>
            <w:tcBorders>
              <w:top w:val="single" w:sz="4" w:space="0" w:color="auto"/>
              <w:left w:val="single" w:sz="4" w:space="0" w:color="auto"/>
              <w:bottom w:val="single" w:sz="4" w:space="0" w:color="auto"/>
              <w:right w:val="single" w:sz="4" w:space="0" w:color="auto"/>
            </w:tcBorders>
          </w:tcPr>
          <w:p w:rsidR="0059516F" w:rsidRPr="004843E9" w:rsidRDefault="0059516F" w:rsidP="00F35F11">
            <w:pPr>
              <w:pStyle w:val="TableText0"/>
              <w:jc w:val="center"/>
            </w:pPr>
          </w:p>
          <w:p w:rsidR="00F35F11" w:rsidRPr="004843E9" w:rsidRDefault="002F4756" w:rsidP="00F35F11">
            <w:pPr>
              <w:pStyle w:val="TableText0"/>
              <w:jc w:val="center"/>
            </w:pPr>
            <w:r w:rsidRPr="004843E9">
              <w:t>$38.25</w:t>
            </w:r>
          </w:p>
          <w:p w:rsidR="00F35F11" w:rsidRPr="004843E9" w:rsidRDefault="00614CE0" w:rsidP="00F35F11">
            <w:pPr>
              <w:pStyle w:val="TableText0"/>
              <w:jc w:val="center"/>
            </w:pPr>
            <w:r w:rsidRPr="004843E9">
              <w:t>$263.65</w:t>
            </w:r>
          </w:p>
        </w:tc>
        <w:tc>
          <w:tcPr>
            <w:tcW w:w="2032" w:type="pct"/>
            <w:tcBorders>
              <w:top w:val="single" w:sz="4" w:space="0" w:color="auto"/>
              <w:left w:val="single" w:sz="4" w:space="0" w:color="auto"/>
              <w:bottom w:val="single" w:sz="4" w:space="0" w:color="auto"/>
              <w:right w:val="single" w:sz="4" w:space="0" w:color="auto"/>
            </w:tcBorders>
          </w:tcPr>
          <w:p w:rsidR="00F35F11" w:rsidRPr="004843E9" w:rsidRDefault="00F35F11" w:rsidP="00522D0F">
            <w:pPr>
              <w:pStyle w:val="TableText0"/>
            </w:pPr>
          </w:p>
          <w:p w:rsidR="00F35F11" w:rsidRPr="004843E9" w:rsidRDefault="00DC5022" w:rsidP="00522D0F">
            <w:pPr>
              <w:pStyle w:val="TableText0"/>
            </w:pPr>
            <w:r w:rsidRPr="004843E9">
              <w:t>FA and DEX</w:t>
            </w:r>
            <w:r w:rsidR="00F35F11" w:rsidRPr="004843E9">
              <w:t xml:space="preserve"> = B * $38.25 (MBS Item 105)</w:t>
            </w:r>
          </w:p>
          <w:p w:rsidR="00F35F11" w:rsidRPr="004843E9" w:rsidRDefault="00DC5022" w:rsidP="00522D0F">
            <w:pPr>
              <w:pStyle w:val="TableText0"/>
            </w:pPr>
            <w:r w:rsidRPr="004843E9">
              <w:t>FA and DEX</w:t>
            </w:r>
            <w:r w:rsidR="00F35F11" w:rsidRPr="004843E9">
              <w:t xml:space="preserve"> = B * $263.65 (MBS Item 42740) </w:t>
            </w:r>
          </w:p>
        </w:tc>
      </w:tr>
      <w:tr w:rsidR="00F35F11" w:rsidRPr="004843E9" w:rsidTr="00A659D1">
        <w:trPr>
          <w:cantSplit/>
        </w:trPr>
        <w:tc>
          <w:tcPr>
            <w:tcW w:w="261" w:type="pct"/>
            <w:tcBorders>
              <w:top w:val="single" w:sz="4" w:space="0" w:color="auto"/>
              <w:left w:val="single" w:sz="4" w:space="0" w:color="auto"/>
              <w:bottom w:val="single" w:sz="4" w:space="0" w:color="auto"/>
              <w:right w:val="single" w:sz="4" w:space="0" w:color="auto"/>
            </w:tcBorders>
          </w:tcPr>
          <w:p w:rsidR="0059516F" w:rsidRPr="004843E9" w:rsidRDefault="0059516F" w:rsidP="00F35F11">
            <w:pPr>
              <w:pStyle w:val="TableText0"/>
            </w:pPr>
          </w:p>
          <w:p w:rsidR="0059516F" w:rsidRPr="004843E9" w:rsidRDefault="009A3627" w:rsidP="00F35F11">
            <w:pPr>
              <w:pStyle w:val="TableText0"/>
            </w:pPr>
            <w:r w:rsidRPr="004843E9">
              <w:t>F</w:t>
            </w:r>
          </w:p>
        </w:tc>
        <w:tc>
          <w:tcPr>
            <w:tcW w:w="1039" w:type="pct"/>
            <w:tcBorders>
              <w:top w:val="single" w:sz="4" w:space="0" w:color="auto"/>
              <w:left w:val="single" w:sz="4" w:space="0" w:color="auto"/>
              <w:bottom w:val="single" w:sz="4" w:space="0" w:color="auto"/>
              <w:right w:val="single" w:sz="4" w:space="0" w:color="auto"/>
            </w:tcBorders>
            <w:shd w:val="clear" w:color="auto" w:fill="auto"/>
          </w:tcPr>
          <w:p w:rsidR="0059516F" w:rsidRPr="004843E9" w:rsidRDefault="0059516F" w:rsidP="00F35F11">
            <w:pPr>
              <w:pStyle w:val="TableText0"/>
            </w:pPr>
            <w:r w:rsidRPr="004843E9">
              <w:t xml:space="preserve">Other therapies: </w:t>
            </w:r>
          </w:p>
          <w:p w:rsidR="0059516F" w:rsidRPr="004843E9" w:rsidRDefault="00614CE0" w:rsidP="00F35F11">
            <w:pPr>
              <w:pStyle w:val="TableText0"/>
            </w:pPr>
            <w:r w:rsidRPr="004843E9">
              <w:t>Anti-VEGF</w:t>
            </w:r>
          </w:p>
        </w:tc>
        <w:tc>
          <w:tcPr>
            <w:tcW w:w="842" w:type="pct"/>
            <w:tcBorders>
              <w:top w:val="single" w:sz="4" w:space="0" w:color="auto"/>
              <w:left w:val="single" w:sz="4" w:space="0" w:color="auto"/>
              <w:bottom w:val="single" w:sz="4" w:space="0" w:color="auto"/>
              <w:right w:val="single" w:sz="4" w:space="0" w:color="auto"/>
            </w:tcBorders>
          </w:tcPr>
          <w:p w:rsidR="0059516F" w:rsidRPr="004843E9" w:rsidRDefault="0059516F" w:rsidP="00F35F11">
            <w:pPr>
              <w:pStyle w:val="TableText0"/>
              <w:jc w:val="center"/>
            </w:pPr>
          </w:p>
          <w:p w:rsidR="0059516F" w:rsidRPr="004843E9" w:rsidDel="004352D4" w:rsidRDefault="00FF4CE9" w:rsidP="00F35F11">
            <w:pPr>
              <w:pStyle w:val="TableText0"/>
              <w:jc w:val="center"/>
            </w:pPr>
            <w:r w:rsidRPr="004843E9">
              <w:t>-</w:t>
            </w:r>
          </w:p>
        </w:tc>
        <w:tc>
          <w:tcPr>
            <w:tcW w:w="827" w:type="pct"/>
            <w:tcBorders>
              <w:top w:val="single" w:sz="4" w:space="0" w:color="auto"/>
              <w:left w:val="single" w:sz="4" w:space="0" w:color="auto"/>
              <w:bottom w:val="single" w:sz="4" w:space="0" w:color="auto"/>
              <w:right w:val="single" w:sz="4" w:space="0" w:color="auto"/>
            </w:tcBorders>
          </w:tcPr>
          <w:p w:rsidR="0059516F" w:rsidRPr="004843E9" w:rsidRDefault="0059516F" w:rsidP="00F35F11">
            <w:pPr>
              <w:pStyle w:val="TableText0"/>
              <w:jc w:val="center"/>
            </w:pPr>
          </w:p>
          <w:p w:rsidR="0059516F" w:rsidRPr="004843E9" w:rsidRDefault="00FF4CE9" w:rsidP="00F35F11">
            <w:pPr>
              <w:pStyle w:val="TableText0"/>
              <w:jc w:val="center"/>
            </w:pPr>
            <w:r w:rsidRPr="004843E9">
              <w:t>$381.27</w:t>
            </w:r>
          </w:p>
        </w:tc>
        <w:tc>
          <w:tcPr>
            <w:tcW w:w="2032" w:type="pct"/>
            <w:tcBorders>
              <w:top w:val="single" w:sz="4" w:space="0" w:color="auto"/>
              <w:left w:val="single" w:sz="4" w:space="0" w:color="auto"/>
              <w:bottom w:val="single" w:sz="4" w:space="0" w:color="auto"/>
              <w:right w:val="single" w:sz="4" w:space="0" w:color="auto"/>
            </w:tcBorders>
          </w:tcPr>
          <w:p w:rsidR="0059516F" w:rsidRPr="004843E9" w:rsidRDefault="0059516F" w:rsidP="00522D0F">
            <w:pPr>
              <w:pStyle w:val="TableText0"/>
            </w:pPr>
          </w:p>
          <w:p w:rsidR="00DC5022" w:rsidRPr="004843E9" w:rsidRDefault="00DC5022" w:rsidP="00522D0F">
            <w:pPr>
              <w:pStyle w:val="TableText0"/>
            </w:pPr>
            <w:r w:rsidRPr="004843E9">
              <w:t>Not stated</w:t>
            </w:r>
          </w:p>
        </w:tc>
      </w:tr>
      <w:tr w:rsidR="00F35F11" w:rsidRPr="004843E9" w:rsidTr="00A659D1">
        <w:trPr>
          <w:cantSplit/>
        </w:trPr>
        <w:tc>
          <w:tcPr>
            <w:tcW w:w="261" w:type="pct"/>
            <w:tcBorders>
              <w:top w:val="single" w:sz="4" w:space="0" w:color="auto"/>
              <w:left w:val="single" w:sz="4" w:space="0" w:color="auto"/>
              <w:bottom w:val="single" w:sz="4" w:space="0" w:color="auto"/>
              <w:right w:val="single" w:sz="4" w:space="0" w:color="auto"/>
            </w:tcBorders>
          </w:tcPr>
          <w:p w:rsidR="0059516F" w:rsidRPr="004843E9" w:rsidRDefault="009A3627" w:rsidP="00F35F11">
            <w:pPr>
              <w:pStyle w:val="TableText0"/>
            </w:pPr>
            <w:r w:rsidRPr="004843E9">
              <w:t>G</w:t>
            </w:r>
          </w:p>
        </w:tc>
        <w:tc>
          <w:tcPr>
            <w:tcW w:w="1039" w:type="pct"/>
            <w:tcBorders>
              <w:top w:val="single" w:sz="4" w:space="0" w:color="auto"/>
              <w:left w:val="single" w:sz="4" w:space="0" w:color="auto"/>
              <w:bottom w:val="single" w:sz="4" w:space="0" w:color="auto"/>
              <w:right w:val="single" w:sz="4" w:space="0" w:color="auto"/>
            </w:tcBorders>
            <w:shd w:val="clear" w:color="auto" w:fill="auto"/>
          </w:tcPr>
          <w:p w:rsidR="0059516F" w:rsidRPr="004843E9" w:rsidRDefault="0059516F" w:rsidP="00F35F11">
            <w:pPr>
              <w:pStyle w:val="TableText0"/>
            </w:pPr>
            <w:r w:rsidRPr="004843E9">
              <w:t>Total cost</w:t>
            </w:r>
          </w:p>
        </w:tc>
        <w:tc>
          <w:tcPr>
            <w:tcW w:w="842" w:type="pct"/>
            <w:tcBorders>
              <w:top w:val="single" w:sz="4" w:space="0" w:color="auto"/>
              <w:left w:val="single" w:sz="4" w:space="0" w:color="auto"/>
              <w:bottom w:val="single" w:sz="4" w:space="0" w:color="auto"/>
              <w:right w:val="single" w:sz="4" w:space="0" w:color="auto"/>
            </w:tcBorders>
          </w:tcPr>
          <w:p w:rsidR="0059516F" w:rsidRPr="004843E9" w:rsidRDefault="0059516F" w:rsidP="00F35F11">
            <w:pPr>
              <w:pStyle w:val="TableFooter"/>
              <w:jc w:val="center"/>
              <w:rPr>
                <w:sz w:val="20"/>
                <w:szCs w:val="20"/>
              </w:rPr>
            </w:pPr>
            <w:r w:rsidRPr="004843E9">
              <w:rPr>
                <w:sz w:val="20"/>
                <w:szCs w:val="20"/>
              </w:rPr>
              <w:t>$</w:t>
            </w:r>
            <w:r w:rsidR="00E733BF">
              <w:rPr>
                <w:noProof/>
                <w:color w:val="000000"/>
                <w:sz w:val="20"/>
                <w:szCs w:val="20"/>
                <w:highlight w:val="black"/>
              </w:rPr>
              <w:t>''''''''''''''''''''</w:t>
            </w:r>
          </w:p>
        </w:tc>
        <w:tc>
          <w:tcPr>
            <w:tcW w:w="827" w:type="pct"/>
            <w:tcBorders>
              <w:top w:val="single" w:sz="4" w:space="0" w:color="auto"/>
              <w:left w:val="single" w:sz="4" w:space="0" w:color="auto"/>
              <w:bottom w:val="single" w:sz="4" w:space="0" w:color="auto"/>
              <w:right w:val="single" w:sz="4" w:space="0" w:color="auto"/>
            </w:tcBorders>
          </w:tcPr>
          <w:p w:rsidR="0059516F" w:rsidRPr="004843E9" w:rsidRDefault="0059516F" w:rsidP="00F35F11">
            <w:pPr>
              <w:pStyle w:val="TableFooter"/>
              <w:jc w:val="center"/>
              <w:rPr>
                <w:sz w:val="20"/>
                <w:szCs w:val="20"/>
              </w:rPr>
            </w:pPr>
            <w:r w:rsidRPr="004843E9">
              <w:rPr>
                <w:sz w:val="20"/>
                <w:szCs w:val="20"/>
              </w:rPr>
              <w:t>$</w:t>
            </w:r>
            <w:r w:rsidR="00E733BF">
              <w:rPr>
                <w:noProof/>
                <w:color w:val="000000"/>
                <w:sz w:val="20"/>
                <w:szCs w:val="20"/>
                <w:highlight w:val="black"/>
              </w:rPr>
              <w:t>'''''''''''''''''''''</w:t>
            </w:r>
          </w:p>
        </w:tc>
        <w:tc>
          <w:tcPr>
            <w:tcW w:w="2032" w:type="pct"/>
            <w:tcBorders>
              <w:top w:val="single" w:sz="4" w:space="0" w:color="auto"/>
              <w:left w:val="single" w:sz="4" w:space="0" w:color="auto"/>
              <w:bottom w:val="single" w:sz="4" w:space="0" w:color="auto"/>
              <w:right w:val="single" w:sz="4" w:space="0" w:color="auto"/>
            </w:tcBorders>
          </w:tcPr>
          <w:p w:rsidR="0059516F" w:rsidRPr="004843E9" w:rsidRDefault="0024683F" w:rsidP="00522D0F">
            <w:pPr>
              <w:pStyle w:val="TableFooter"/>
              <w:jc w:val="left"/>
              <w:rPr>
                <w:sz w:val="20"/>
                <w:szCs w:val="20"/>
              </w:rPr>
            </w:pPr>
            <w:r w:rsidRPr="004843E9">
              <w:rPr>
                <w:sz w:val="20"/>
                <w:szCs w:val="20"/>
              </w:rPr>
              <w:t>DEX = C + D + E + F</w:t>
            </w:r>
          </w:p>
          <w:p w:rsidR="0024683F" w:rsidRPr="004843E9" w:rsidRDefault="0024683F" w:rsidP="00522D0F">
            <w:pPr>
              <w:pStyle w:val="TableFooter"/>
              <w:jc w:val="left"/>
              <w:rPr>
                <w:sz w:val="20"/>
                <w:szCs w:val="20"/>
              </w:rPr>
            </w:pPr>
            <w:r w:rsidRPr="004843E9">
              <w:rPr>
                <w:sz w:val="20"/>
                <w:szCs w:val="20"/>
              </w:rPr>
              <w:t>FA = assumed equal to DEX</w:t>
            </w:r>
          </w:p>
        </w:tc>
      </w:tr>
    </w:tbl>
    <w:p w:rsidR="002934F2" w:rsidRPr="004843E9" w:rsidRDefault="002934F2" w:rsidP="002934F2">
      <w:pPr>
        <w:pStyle w:val="TableFooter"/>
      </w:pPr>
      <w:r w:rsidRPr="004843E9">
        <w:t>Source: Table 10, p26 of the minor resubmission.</w:t>
      </w:r>
    </w:p>
    <w:p w:rsidR="001316B7" w:rsidRPr="004843E9" w:rsidRDefault="001316B7" w:rsidP="002934F2">
      <w:pPr>
        <w:pStyle w:val="TableFooter"/>
      </w:pPr>
      <w:r w:rsidRPr="004843E9">
        <w:t>DEX = dexamethasone; FA</w:t>
      </w:r>
      <w:r w:rsidR="00BE5AB3" w:rsidRPr="004843E9">
        <w:t xml:space="preserve"> </w:t>
      </w:r>
      <w:r w:rsidRPr="004843E9">
        <w:t xml:space="preserve">= </w:t>
      </w:r>
      <w:proofErr w:type="spellStart"/>
      <w:r w:rsidRPr="004843E9">
        <w:t>fluocinolone</w:t>
      </w:r>
      <w:proofErr w:type="spellEnd"/>
      <w:r w:rsidRPr="004843E9">
        <w:t xml:space="preserve"> </w:t>
      </w:r>
      <w:proofErr w:type="spellStart"/>
      <w:r w:rsidRPr="004843E9">
        <w:t>acetonide</w:t>
      </w:r>
      <w:proofErr w:type="spellEnd"/>
      <w:r w:rsidRPr="004843E9">
        <w:t xml:space="preserve">; </w:t>
      </w:r>
      <w:r w:rsidR="00BE5AB3" w:rsidRPr="004843E9">
        <w:t xml:space="preserve">MBS = Medical Benefits Schedule; </w:t>
      </w:r>
      <w:r w:rsidR="00333F98" w:rsidRPr="004843E9">
        <w:t xml:space="preserve">PSD = Public Summary Document; </w:t>
      </w:r>
      <w:r w:rsidRPr="004843E9">
        <w:t xml:space="preserve">VEGF = </w:t>
      </w:r>
      <w:r w:rsidR="00BE5AB3" w:rsidRPr="004843E9">
        <w:t>vascular endothelial growth factor.</w:t>
      </w:r>
    </w:p>
    <w:p w:rsidR="00017238" w:rsidRPr="004843E9" w:rsidRDefault="0085208A" w:rsidP="002934F2">
      <w:pPr>
        <w:pStyle w:val="TableFooter"/>
      </w:pPr>
      <w:proofErr w:type="spellStart"/>
      <w:proofErr w:type="gramStart"/>
      <w:r w:rsidRPr="004843E9">
        <w:rPr>
          <w:vertAlign w:val="superscript"/>
        </w:rPr>
        <w:t>a</w:t>
      </w:r>
      <w:proofErr w:type="spellEnd"/>
      <w:proofErr w:type="gramEnd"/>
      <w:r w:rsidR="00017238" w:rsidRPr="004843E9">
        <w:t xml:space="preserve"> Assumes that FA patients who experience breakthrough oedema would be treated with anti-VEGF therapy, not another FA implant.</w:t>
      </w:r>
    </w:p>
    <w:p w:rsidR="00181DC0" w:rsidRPr="004843E9" w:rsidRDefault="00181DC0" w:rsidP="002934F2">
      <w:pPr>
        <w:pStyle w:val="TableFooter"/>
      </w:pPr>
      <w:proofErr w:type="gramStart"/>
      <w:r w:rsidRPr="004843E9">
        <w:rPr>
          <w:vertAlign w:val="superscript"/>
        </w:rPr>
        <w:t>b</w:t>
      </w:r>
      <w:proofErr w:type="gramEnd"/>
      <w:r w:rsidRPr="004843E9">
        <w:t xml:space="preserve"> The Sponsor has used 85% cost of MBS Items 105 and 42740. The economic evaluation should use 100% of</w:t>
      </w:r>
      <w:r w:rsidR="0042001A" w:rsidRPr="004843E9">
        <w:t xml:space="preserve"> the MBS schedule fee.</w:t>
      </w:r>
      <w:r w:rsidRPr="004843E9">
        <w:t xml:space="preserve"> This is consistent with the PBAC Guidelines (Table 3A.6.1, p84) and the Manual of Resource Items and Associated Unit Costs (December 2016) which states “The unit costs to be used for medical services in an economic evaluation are the Schedule Fees as presen</w:t>
      </w:r>
      <w:r w:rsidR="00D4551A" w:rsidRPr="004843E9">
        <w:t>ted in the MBS”) (Section 5, p</w:t>
      </w:r>
      <w:r w:rsidRPr="004843E9">
        <w:t>12).</w:t>
      </w:r>
    </w:p>
    <w:p w:rsidR="00E132B3" w:rsidRPr="004843E9" w:rsidRDefault="00E132B3" w:rsidP="009A3627">
      <w:pPr>
        <w:rPr>
          <w:highlight w:val="lightGray"/>
        </w:rPr>
      </w:pPr>
    </w:p>
    <w:p w:rsidR="00191CD1" w:rsidRPr="004843E9" w:rsidRDefault="00191CD1" w:rsidP="00A25AA4">
      <w:pPr>
        <w:pStyle w:val="3-BodyText"/>
        <w:numPr>
          <w:ilvl w:val="1"/>
          <w:numId w:val="1"/>
        </w:numPr>
      </w:pPr>
      <w:r w:rsidRPr="004843E9">
        <w:t xml:space="preserve">The CMA in the minor resubmission maintained </w:t>
      </w:r>
      <w:r w:rsidR="00874F93" w:rsidRPr="004843E9">
        <w:t xml:space="preserve">that the equi-effective doses are 1 FA implant versus 6.48 DEX implants over 36 months. </w:t>
      </w:r>
    </w:p>
    <w:p w:rsidR="00874F93" w:rsidRPr="004843E9" w:rsidRDefault="00874F93" w:rsidP="00A25AA4">
      <w:pPr>
        <w:pStyle w:val="3-BodyText"/>
        <w:numPr>
          <w:ilvl w:val="1"/>
          <w:numId w:val="1"/>
        </w:numPr>
      </w:pPr>
      <w:r w:rsidRPr="004843E9">
        <w:t>The CMA in the minor resubmission assumed that patients treated with the FA implant who experience breakthrough oedema would be treated with anti-VEGF</w:t>
      </w:r>
      <w:r w:rsidR="00D75824" w:rsidRPr="004843E9">
        <w:t xml:space="preserve"> agent</w:t>
      </w:r>
      <w:r w:rsidRPr="004843E9">
        <w:t>s.</w:t>
      </w:r>
      <w:r w:rsidR="008E1F83">
        <w:t xml:space="preserve"> A</w:t>
      </w:r>
      <w:r w:rsidR="00B93FCF" w:rsidRPr="004843E9">
        <w:t>ccording to the</w:t>
      </w:r>
      <w:r w:rsidR="00874C95" w:rsidRPr="004843E9">
        <w:t xml:space="preserve"> proposed</w:t>
      </w:r>
      <w:r w:rsidR="00B93FCF" w:rsidRPr="004843E9">
        <w:t xml:space="preserve"> restriction criteria for</w:t>
      </w:r>
      <w:r w:rsidR="0025462E" w:rsidRPr="004843E9">
        <w:t xml:space="preserve"> FA, patients treated with FA must have a contraindication to or be unsuitable for anti-VEGF therapy, or have failed prior treatment with VEGF inhibitors.</w:t>
      </w:r>
    </w:p>
    <w:p w:rsidR="00DB2618" w:rsidRPr="004843E9" w:rsidRDefault="00EF7998" w:rsidP="00A25AA4">
      <w:pPr>
        <w:pStyle w:val="3-BodyText"/>
        <w:numPr>
          <w:ilvl w:val="1"/>
          <w:numId w:val="1"/>
        </w:numPr>
      </w:pPr>
      <w:r w:rsidRPr="004843E9">
        <w:t>The CMA</w:t>
      </w:r>
      <w:r w:rsidR="00DB2618" w:rsidRPr="004843E9">
        <w:t xml:space="preserve"> in the minor resubmission</w:t>
      </w:r>
      <w:r w:rsidRPr="004843E9">
        <w:t xml:space="preserve"> assumed 1 ophthalmologist visit for patients treated with FA and 6.</w:t>
      </w:r>
      <w:r w:rsidR="006F15BD" w:rsidRPr="004843E9">
        <w:t>4</w:t>
      </w:r>
      <w:r w:rsidRPr="004843E9">
        <w:t>8 for patients treated with DEX over 36 months. The methodology for calculating the number of ophthalmologist visits corresponds to the relative equi-effective</w:t>
      </w:r>
      <w:r w:rsidR="002154C6" w:rsidRPr="004843E9">
        <w:t xml:space="preserve"> doses proposed by the S</w:t>
      </w:r>
      <w:r w:rsidR="008E1F83">
        <w:t>ponsor.</w:t>
      </w:r>
    </w:p>
    <w:p w:rsidR="00212688" w:rsidRPr="004843E9" w:rsidRDefault="00191CD1" w:rsidP="00874F93">
      <w:pPr>
        <w:pStyle w:val="3-BodyText"/>
        <w:numPr>
          <w:ilvl w:val="1"/>
          <w:numId w:val="1"/>
        </w:numPr>
      </w:pPr>
      <w:r w:rsidRPr="004843E9">
        <w:lastRenderedPageBreak/>
        <w:t>The CMA in the minor resubmission assumed 1 steroid administration for patients treated with FA and 6.48 for patients treated with DEX over 36 months. T</w:t>
      </w:r>
      <w:r w:rsidR="00DB2618" w:rsidRPr="004843E9">
        <w:t>he methodology for calculating the number of steroid administrations corresponds to the relative equi-effective</w:t>
      </w:r>
      <w:r w:rsidR="008E1F83">
        <w:t xml:space="preserve"> doses proposed by the Sponsor.</w:t>
      </w:r>
    </w:p>
    <w:p w:rsidR="007E2D14" w:rsidRPr="004843E9" w:rsidRDefault="007E2D14" w:rsidP="00E56632">
      <w:pPr>
        <w:pStyle w:val="3-BodyText"/>
        <w:numPr>
          <w:ilvl w:val="1"/>
          <w:numId w:val="1"/>
        </w:numPr>
      </w:pPr>
      <w:r w:rsidRPr="004843E9">
        <w:t>In consideration of the minor resubmission, the PBAC reaffirmed</w:t>
      </w:r>
      <w:r w:rsidR="00A017F7" w:rsidRPr="004843E9">
        <w:t xml:space="preserve"> its view</w:t>
      </w:r>
      <w:r w:rsidRPr="004843E9">
        <w:t xml:space="preserve"> from March 2020 that</w:t>
      </w:r>
      <w:r w:rsidR="006C6ED0" w:rsidRPr="004843E9">
        <w:t xml:space="preserve"> the cost minimised price of FA should be cost neutral to Government, based on the following criteria</w:t>
      </w:r>
      <w:r w:rsidRPr="004843E9">
        <w:t>:</w:t>
      </w:r>
    </w:p>
    <w:p w:rsidR="007E2D14" w:rsidRPr="004843E9" w:rsidRDefault="007E2D14" w:rsidP="007E2D14">
      <w:pPr>
        <w:pStyle w:val="3-BodyText"/>
        <w:numPr>
          <w:ilvl w:val="0"/>
          <w:numId w:val="29"/>
        </w:numPr>
      </w:pPr>
      <w:r w:rsidRPr="004843E9">
        <w:t>The equi-effective doses should be 1.3 administrations for FA and 4.11 administrations of DEX over 36 months</w:t>
      </w:r>
      <w:r w:rsidR="001E0DE8">
        <w:t xml:space="preserve"> (paragraph 5.12)</w:t>
      </w:r>
      <w:r w:rsidRPr="004843E9">
        <w:t>;</w:t>
      </w:r>
    </w:p>
    <w:p w:rsidR="007E2D14" w:rsidRPr="004843E9" w:rsidRDefault="007E2D14" w:rsidP="007E2D14">
      <w:pPr>
        <w:pStyle w:val="3-BodyText"/>
        <w:numPr>
          <w:ilvl w:val="0"/>
          <w:numId w:val="29"/>
        </w:numPr>
      </w:pPr>
      <w:r w:rsidRPr="004843E9">
        <w:t>Anti-VEGF injections for breakthrough oedema in FA patients should not be included in the CMA</w:t>
      </w:r>
      <w:r w:rsidR="008E1F83">
        <w:t xml:space="preserve"> (paragraphs 5.13 and 5.15)</w:t>
      </w:r>
      <w:r w:rsidRPr="004843E9">
        <w:t>;</w:t>
      </w:r>
    </w:p>
    <w:p w:rsidR="007E2D14" w:rsidRPr="004843E9" w:rsidRDefault="007E2D14" w:rsidP="007E2D14">
      <w:pPr>
        <w:pStyle w:val="3-BodyText"/>
        <w:numPr>
          <w:ilvl w:val="0"/>
          <w:numId w:val="29"/>
        </w:numPr>
      </w:pPr>
      <w:r w:rsidRPr="004843E9">
        <w:t>Ophthalmologist visits for FA and DEX patients should not be different and therefore do not need to be included in the CMA</w:t>
      </w:r>
      <w:r w:rsidR="008E1F83">
        <w:t xml:space="preserve"> (paragraph 5.14)</w:t>
      </w:r>
      <w:r w:rsidRPr="004843E9">
        <w:t>;</w:t>
      </w:r>
    </w:p>
    <w:p w:rsidR="006C6ED0" w:rsidRPr="004843E9" w:rsidRDefault="008E1F83" w:rsidP="006C6ED0">
      <w:pPr>
        <w:pStyle w:val="3-BodyText"/>
        <w:numPr>
          <w:ilvl w:val="0"/>
          <w:numId w:val="29"/>
        </w:numPr>
      </w:pPr>
      <w:r>
        <w:t>I</w:t>
      </w:r>
      <w:r w:rsidRPr="004843E9">
        <w:t>nclusion of the cost of administering the implants in the CMA was reasonable (paragraph 5.15)</w:t>
      </w:r>
      <w:r>
        <w:t>, and t</w:t>
      </w:r>
      <w:r w:rsidR="006C6ED0" w:rsidRPr="004843E9">
        <w:t>he relative number of FA and DEX administrations should correspond with the equi-effective doses</w:t>
      </w:r>
      <w:r>
        <w:t xml:space="preserve"> (1.3 FA</w:t>
      </w:r>
      <w:proofErr w:type="gramStart"/>
      <w:r>
        <w:t>:4.11</w:t>
      </w:r>
      <w:proofErr w:type="gramEnd"/>
      <w:r>
        <w:t xml:space="preserve"> DEX)</w:t>
      </w:r>
      <w:r w:rsidR="006C6ED0" w:rsidRPr="004843E9">
        <w:t>.</w:t>
      </w:r>
    </w:p>
    <w:p w:rsidR="003C2FB5" w:rsidRPr="004843E9" w:rsidRDefault="00C92E47" w:rsidP="00917D69">
      <w:pPr>
        <w:pStyle w:val="4-SubsectionHeading"/>
        <w:rPr>
          <w:lang w:eastAsia="en-US"/>
        </w:rPr>
      </w:pPr>
      <w:r w:rsidRPr="004843E9">
        <w:rPr>
          <w:lang w:eastAsia="en-US"/>
        </w:rPr>
        <w:t>Drug cost/patient</w:t>
      </w:r>
      <w:r w:rsidR="00C83409" w:rsidRPr="004843E9">
        <w:rPr>
          <w:lang w:eastAsia="en-US"/>
        </w:rPr>
        <w:t>/</w:t>
      </w:r>
      <w:r w:rsidR="00020EC8" w:rsidRPr="004843E9">
        <w:rPr>
          <w:lang w:eastAsia="en-US"/>
        </w:rPr>
        <w:t>administration</w:t>
      </w:r>
      <w:r w:rsidRPr="004843E9">
        <w:rPr>
          <w:lang w:eastAsia="en-US"/>
        </w:rPr>
        <w:t xml:space="preserve">: </w:t>
      </w:r>
      <w:r w:rsidRPr="00782A85">
        <w:rPr>
          <w:lang w:eastAsia="en-US"/>
        </w:rPr>
        <w:t>$</w:t>
      </w:r>
      <w:r w:rsidR="00E733BF">
        <w:rPr>
          <w:noProof/>
          <w:color w:val="000000"/>
          <w:highlight w:val="black"/>
          <w:lang w:eastAsia="en-US"/>
        </w:rPr>
        <w:t>''''''''''</w:t>
      </w:r>
    </w:p>
    <w:p w:rsidR="001316B7" w:rsidRPr="004843E9" w:rsidRDefault="001316B7" w:rsidP="001316B7">
      <w:pPr>
        <w:pStyle w:val="3-BodyText"/>
        <w:numPr>
          <w:ilvl w:val="1"/>
          <w:numId w:val="1"/>
        </w:numPr>
        <w:rPr>
          <w:rFonts w:ascii="Calibri" w:hAnsi="Calibri"/>
          <w:lang w:eastAsia="en-US"/>
        </w:rPr>
      </w:pPr>
      <w:r w:rsidRPr="004843E9">
        <w:rPr>
          <w:rFonts w:ascii="Calibri" w:hAnsi="Calibri"/>
          <w:lang w:eastAsia="en-US"/>
        </w:rPr>
        <w:t>The cost per patient over 36 months (based on the effective DPMQ) for FA</w:t>
      </w:r>
      <w:r w:rsidR="00E86843">
        <w:rPr>
          <w:rFonts w:ascii="Calibri" w:hAnsi="Calibri"/>
          <w:lang w:eastAsia="en-US"/>
        </w:rPr>
        <w:t xml:space="preserve"> and DEX is presented in Table 3</w:t>
      </w:r>
      <w:r w:rsidRPr="004843E9">
        <w:rPr>
          <w:rFonts w:ascii="Calibri" w:hAnsi="Calibri"/>
          <w:lang w:eastAsia="en-US"/>
        </w:rPr>
        <w:t xml:space="preserve">. </w:t>
      </w:r>
    </w:p>
    <w:p w:rsidR="001316B7" w:rsidRPr="004843E9" w:rsidRDefault="00E86843" w:rsidP="001316B7">
      <w:pPr>
        <w:keepNext/>
        <w:rPr>
          <w:rFonts w:ascii="Arial Narrow" w:hAnsi="Arial Narrow"/>
          <w:b/>
          <w:sz w:val="20"/>
          <w:szCs w:val="16"/>
        </w:rPr>
      </w:pPr>
      <w:r>
        <w:rPr>
          <w:rFonts w:ascii="Arial Narrow" w:hAnsi="Arial Narrow"/>
          <w:b/>
          <w:sz w:val="20"/>
          <w:szCs w:val="16"/>
        </w:rPr>
        <w:t>Table 3</w:t>
      </w:r>
      <w:r w:rsidR="001316B7" w:rsidRPr="004843E9">
        <w:rPr>
          <w:rFonts w:ascii="Arial Narrow" w:hAnsi="Arial Narrow"/>
          <w:b/>
          <w:sz w:val="20"/>
          <w:szCs w:val="16"/>
        </w:rPr>
        <w:t>: Drug cost per patient for proposed and comparator drugs (effective DPMQ)</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7"/>
        <w:gridCol w:w="1843"/>
        <w:gridCol w:w="1702"/>
        <w:gridCol w:w="1843"/>
        <w:gridCol w:w="1791"/>
      </w:tblGrid>
      <w:tr w:rsidR="001316B7" w:rsidRPr="004843E9" w:rsidTr="00D4551A">
        <w:trPr>
          <w:trHeight w:val="60"/>
          <w:jc w:val="center"/>
        </w:trPr>
        <w:tc>
          <w:tcPr>
            <w:tcW w:w="1019" w:type="pct"/>
            <w:vMerge w:val="restart"/>
            <w:tcBorders>
              <w:top w:val="single" w:sz="4" w:space="0" w:color="auto"/>
              <w:left w:val="single" w:sz="4" w:space="0" w:color="auto"/>
              <w:right w:val="single" w:sz="4" w:space="0" w:color="auto"/>
            </w:tcBorders>
            <w:vAlign w:val="center"/>
          </w:tcPr>
          <w:p w:rsidR="001316B7" w:rsidRPr="004843E9" w:rsidRDefault="001316B7" w:rsidP="00B66395">
            <w:pPr>
              <w:keepNext/>
              <w:spacing w:line="256" w:lineRule="auto"/>
              <w:jc w:val="left"/>
              <w:rPr>
                <w:szCs w:val="20"/>
              </w:rPr>
            </w:pPr>
          </w:p>
        </w:tc>
        <w:tc>
          <w:tcPr>
            <w:tcW w:w="1966" w:type="pct"/>
            <w:gridSpan w:val="2"/>
            <w:tcBorders>
              <w:top w:val="single" w:sz="4" w:space="0" w:color="auto"/>
              <w:left w:val="single" w:sz="4" w:space="0" w:color="auto"/>
              <w:right w:val="single" w:sz="4" w:space="0" w:color="auto"/>
            </w:tcBorders>
            <w:vAlign w:val="center"/>
            <w:hideMark/>
          </w:tcPr>
          <w:p w:rsidR="001316B7" w:rsidRPr="004843E9" w:rsidRDefault="001316B7" w:rsidP="00B66395">
            <w:pPr>
              <w:keepNext/>
              <w:spacing w:line="256" w:lineRule="auto"/>
              <w:jc w:val="center"/>
              <w:rPr>
                <w:rFonts w:ascii="Arial Narrow" w:hAnsi="Arial Narrow"/>
                <w:b/>
                <w:sz w:val="20"/>
              </w:rPr>
            </w:pPr>
            <w:r w:rsidRPr="004843E9">
              <w:rPr>
                <w:rFonts w:ascii="Arial Narrow" w:hAnsi="Arial Narrow"/>
                <w:b/>
                <w:sz w:val="20"/>
              </w:rPr>
              <w:t>FA</w:t>
            </w:r>
          </w:p>
        </w:tc>
        <w:tc>
          <w:tcPr>
            <w:tcW w:w="2015" w:type="pct"/>
            <w:gridSpan w:val="2"/>
            <w:tcBorders>
              <w:top w:val="single" w:sz="4" w:space="0" w:color="auto"/>
              <w:left w:val="single" w:sz="4" w:space="0" w:color="auto"/>
              <w:right w:val="single" w:sz="4" w:space="0" w:color="auto"/>
            </w:tcBorders>
            <w:vAlign w:val="center"/>
            <w:hideMark/>
          </w:tcPr>
          <w:p w:rsidR="001316B7" w:rsidRPr="004843E9" w:rsidRDefault="001316B7" w:rsidP="00B66395">
            <w:pPr>
              <w:keepNext/>
              <w:spacing w:line="256" w:lineRule="auto"/>
              <w:jc w:val="center"/>
              <w:rPr>
                <w:rFonts w:ascii="Arial Narrow" w:hAnsi="Arial Narrow"/>
                <w:b/>
                <w:sz w:val="20"/>
              </w:rPr>
            </w:pPr>
            <w:r w:rsidRPr="004843E9">
              <w:rPr>
                <w:rFonts w:ascii="Arial Narrow" w:hAnsi="Arial Narrow"/>
                <w:b/>
                <w:sz w:val="20"/>
              </w:rPr>
              <w:t>DEX</w:t>
            </w:r>
          </w:p>
        </w:tc>
      </w:tr>
      <w:tr w:rsidR="002C65B5" w:rsidRPr="004843E9" w:rsidTr="00D4551A">
        <w:trPr>
          <w:trHeight w:val="407"/>
          <w:jc w:val="center"/>
        </w:trPr>
        <w:tc>
          <w:tcPr>
            <w:tcW w:w="1019" w:type="pct"/>
            <w:vMerge/>
            <w:tcBorders>
              <w:left w:val="single" w:sz="4" w:space="0" w:color="auto"/>
              <w:bottom w:val="single" w:sz="4" w:space="0" w:color="auto"/>
              <w:right w:val="single" w:sz="4" w:space="0" w:color="auto"/>
            </w:tcBorders>
            <w:vAlign w:val="center"/>
          </w:tcPr>
          <w:p w:rsidR="001316B7" w:rsidRPr="004843E9" w:rsidRDefault="001316B7" w:rsidP="00B66395">
            <w:pPr>
              <w:keepNext/>
              <w:spacing w:line="256" w:lineRule="auto"/>
              <w:jc w:val="left"/>
              <w:rPr>
                <w:szCs w:val="20"/>
              </w:rPr>
            </w:pPr>
          </w:p>
        </w:tc>
        <w:tc>
          <w:tcPr>
            <w:tcW w:w="1022" w:type="pct"/>
            <w:tcBorders>
              <w:left w:val="single" w:sz="4" w:space="0" w:color="auto"/>
              <w:bottom w:val="single" w:sz="4" w:space="0" w:color="auto"/>
              <w:right w:val="single" w:sz="4" w:space="0" w:color="auto"/>
            </w:tcBorders>
            <w:vAlign w:val="center"/>
          </w:tcPr>
          <w:p w:rsidR="001316B7" w:rsidRPr="004843E9" w:rsidRDefault="001316B7" w:rsidP="00B66395">
            <w:pPr>
              <w:keepNext/>
              <w:spacing w:line="256" w:lineRule="auto"/>
              <w:jc w:val="center"/>
              <w:rPr>
                <w:rFonts w:ascii="Arial Narrow" w:hAnsi="Arial Narrow"/>
                <w:b/>
                <w:sz w:val="20"/>
              </w:rPr>
            </w:pPr>
            <w:r w:rsidRPr="004843E9">
              <w:rPr>
                <w:rFonts w:ascii="Arial Narrow" w:hAnsi="Arial Narrow"/>
                <w:b/>
                <w:sz w:val="20"/>
              </w:rPr>
              <w:t>Trial dose and duration</w:t>
            </w:r>
          </w:p>
        </w:tc>
        <w:tc>
          <w:tcPr>
            <w:tcW w:w="944" w:type="pct"/>
            <w:tcBorders>
              <w:top w:val="single" w:sz="4" w:space="0" w:color="auto"/>
              <w:left w:val="single" w:sz="4" w:space="0" w:color="auto"/>
              <w:bottom w:val="single" w:sz="4" w:space="0" w:color="auto"/>
              <w:right w:val="single" w:sz="4" w:space="0" w:color="auto"/>
            </w:tcBorders>
            <w:vAlign w:val="center"/>
          </w:tcPr>
          <w:p w:rsidR="001316B7" w:rsidRPr="004843E9" w:rsidRDefault="001316B7" w:rsidP="00B66395">
            <w:pPr>
              <w:keepNext/>
              <w:spacing w:line="256" w:lineRule="auto"/>
              <w:jc w:val="center"/>
              <w:rPr>
                <w:rFonts w:ascii="Arial Narrow" w:hAnsi="Arial Narrow"/>
                <w:b/>
                <w:sz w:val="20"/>
              </w:rPr>
            </w:pPr>
            <w:r w:rsidRPr="004843E9">
              <w:rPr>
                <w:rFonts w:ascii="Arial Narrow" w:hAnsi="Arial Narrow"/>
                <w:b/>
                <w:sz w:val="20"/>
              </w:rPr>
              <w:t xml:space="preserve">CMA and </w:t>
            </w:r>
          </w:p>
          <w:p w:rsidR="001316B7" w:rsidRPr="004843E9" w:rsidRDefault="001316B7" w:rsidP="00B66395">
            <w:pPr>
              <w:keepNext/>
              <w:spacing w:line="256" w:lineRule="auto"/>
              <w:jc w:val="center"/>
              <w:rPr>
                <w:rFonts w:ascii="Arial Narrow" w:hAnsi="Arial Narrow"/>
                <w:b/>
                <w:sz w:val="20"/>
              </w:rPr>
            </w:pPr>
            <w:r w:rsidRPr="004843E9">
              <w:rPr>
                <w:rFonts w:ascii="Arial Narrow" w:hAnsi="Arial Narrow"/>
                <w:b/>
                <w:sz w:val="20"/>
              </w:rPr>
              <w:t>financial estimates</w:t>
            </w:r>
          </w:p>
        </w:tc>
        <w:tc>
          <w:tcPr>
            <w:tcW w:w="1022" w:type="pct"/>
            <w:tcBorders>
              <w:left w:val="single" w:sz="4" w:space="0" w:color="auto"/>
              <w:bottom w:val="single" w:sz="4" w:space="0" w:color="auto"/>
              <w:right w:val="single" w:sz="4" w:space="0" w:color="auto"/>
            </w:tcBorders>
            <w:vAlign w:val="center"/>
          </w:tcPr>
          <w:p w:rsidR="001316B7" w:rsidRPr="004843E9" w:rsidRDefault="001316B7" w:rsidP="00B66395">
            <w:pPr>
              <w:keepNext/>
              <w:spacing w:line="256" w:lineRule="auto"/>
              <w:jc w:val="center"/>
              <w:rPr>
                <w:rFonts w:ascii="Arial Narrow" w:hAnsi="Arial Narrow"/>
                <w:b/>
                <w:sz w:val="20"/>
              </w:rPr>
            </w:pPr>
            <w:r w:rsidRPr="004843E9">
              <w:rPr>
                <w:rFonts w:ascii="Arial Narrow" w:hAnsi="Arial Narrow"/>
                <w:b/>
                <w:sz w:val="20"/>
              </w:rPr>
              <w:t>Trial dose and duration</w:t>
            </w:r>
          </w:p>
        </w:tc>
        <w:tc>
          <w:tcPr>
            <w:tcW w:w="993" w:type="pct"/>
            <w:tcBorders>
              <w:left w:val="single" w:sz="4" w:space="0" w:color="auto"/>
              <w:bottom w:val="single" w:sz="4" w:space="0" w:color="auto"/>
              <w:right w:val="single" w:sz="4" w:space="0" w:color="auto"/>
            </w:tcBorders>
            <w:vAlign w:val="center"/>
          </w:tcPr>
          <w:p w:rsidR="001316B7" w:rsidRPr="004843E9" w:rsidRDefault="001316B7" w:rsidP="00B66395">
            <w:pPr>
              <w:keepNext/>
              <w:spacing w:line="256" w:lineRule="auto"/>
              <w:jc w:val="center"/>
              <w:rPr>
                <w:rFonts w:ascii="Arial Narrow" w:hAnsi="Arial Narrow"/>
                <w:b/>
                <w:sz w:val="20"/>
              </w:rPr>
            </w:pPr>
            <w:r w:rsidRPr="004843E9">
              <w:rPr>
                <w:rFonts w:ascii="Arial Narrow" w:hAnsi="Arial Narrow"/>
                <w:b/>
                <w:sz w:val="20"/>
              </w:rPr>
              <w:t xml:space="preserve">CMA and </w:t>
            </w:r>
          </w:p>
          <w:p w:rsidR="001316B7" w:rsidRPr="004843E9" w:rsidRDefault="001316B7" w:rsidP="00B66395">
            <w:pPr>
              <w:keepNext/>
              <w:spacing w:line="256" w:lineRule="auto"/>
              <w:jc w:val="center"/>
              <w:rPr>
                <w:rFonts w:ascii="Arial Narrow" w:hAnsi="Arial Narrow"/>
                <w:b/>
                <w:sz w:val="20"/>
              </w:rPr>
            </w:pPr>
            <w:r w:rsidRPr="004843E9">
              <w:rPr>
                <w:rFonts w:ascii="Arial Narrow" w:hAnsi="Arial Narrow"/>
                <w:b/>
                <w:sz w:val="20"/>
              </w:rPr>
              <w:t>financial estimates</w:t>
            </w:r>
          </w:p>
        </w:tc>
      </w:tr>
      <w:tr w:rsidR="001316B7" w:rsidRPr="004843E9" w:rsidTr="00D4551A">
        <w:trPr>
          <w:jc w:val="center"/>
        </w:trPr>
        <w:tc>
          <w:tcPr>
            <w:tcW w:w="1019" w:type="pct"/>
            <w:tcBorders>
              <w:top w:val="single" w:sz="4" w:space="0" w:color="auto"/>
              <w:left w:val="single" w:sz="4" w:space="0" w:color="auto"/>
              <w:bottom w:val="single" w:sz="4" w:space="0" w:color="auto"/>
              <w:right w:val="single" w:sz="4" w:space="0" w:color="auto"/>
            </w:tcBorders>
            <w:vAlign w:val="center"/>
            <w:hideMark/>
          </w:tcPr>
          <w:p w:rsidR="001316B7" w:rsidRPr="004843E9" w:rsidRDefault="001316B7" w:rsidP="00B66395">
            <w:pPr>
              <w:keepNext/>
              <w:spacing w:line="256" w:lineRule="auto"/>
              <w:jc w:val="left"/>
              <w:rPr>
                <w:rFonts w:ascii="Arial Narrow" w:hAnsi="Arial Narrow"/>
                <w:sz w:val="20"/>
              </w:rPr>
            </w:pPr>
            <w:r w:rsidRPr="004843E9">
              <w:rPr>
                <w:rFonts w:ascii="Arial Narrow" w:hAnsi="Arial Narrow"/>
                <w:sz w:val="20"/>
              </w:rPr>
              <w:t xml:space="preserve"> Dose per implant </w:t>
            </w:r>
          </w:p>
        </w:tc>
        <w:tc>
          <w:tcPr>
            <w:tcW w:w="1966" w:type="pct"/>
            <w:gridSpan w:val="2"/>
            <w:tcBorders>
              <w:top w:val="single" w:sz="4" w:space="0" w:color="auto"/>
              <w:left w:val="single" w:sz="4" w:space="0" w:color="auto"/>
              <w:bottom w:val="single" w:sz="4" w:space="0" w:color="auto"/>
              <w:right w:val="single" w:sz="4" w:space="0" w:color="auto"/>
            </w:tcBorders>
            <w:vAlign w:val="center"/>
          </w:tcPr>
          <w:p w:rsidR="001316B7" w:rsidRPr="004843E9" w:rsidRDefault="001316B7" w:rsidP="00B66395">
            <w:pPr>
              <w:keepNext/>
              <w:spacing w:line="256" w:lineRule="auto"/>
              <w:jc w:val="center"/>
              <w:rPr>
                <w:rFonts w:ascii="Arial Narrow" w:hAnsi="Arial Narrow"/>
                <w:sz w:val="20"/>
              </w:rPr>
            </w:pPr>
            <w:r w:rsidRPr="004843E9">
              <w:rPr>
                <w:rFonts w:ascii="Arial Narrow" w:hAnsi="Arial Narrow"/>
                <w:sz w:val="20"/>
              </w:rPr>
              <w:t xml:space="preserve">190 </w:t>
            </w:r>
            <w:proofErr w:type="spellStart"/>
            <w:r w:rsidRPr="004843E9">
              <w:rPr>
                <w:rFonts w:ascii="Arial Narrow" w:hAnsi="Arial Narrow"/>
                <w:sz w:val="20"/>
              </w:rPr>
              <w:t>μg</w:t>
            </w:r>
            <w:proofErr w:type="spellEnd"/>
          </w:p>
        </w:tc>
        <w:tc>
          <w:tcPr>
            <w:tcW w:w="2015" w:type="pct"/>
            <w:gridSpan w:val="2"/>
            <w:tcBorders>
              <w:top w:val="single" w:sz="4" w:space="0" w:color="auto"/>
              <w:left w:val="single" w:sz="4" w:space="0" w:color="auto"/>
              <w:bottom w:val="single" w:sz="4" w:space="0" w:color="auto"/>
              <w:right w:val="single" w:sz="4" w:space="0" w:color="auto"/>
            </w:tcBorders>
            <w:vAlign w:val="center"/>
          </w:tcPr>
          <w:p w:rsidR="001316B7" w:rsidRPr="004843E9" w:rsidRDefault="001316B7" w:rsidP="00B66395">
            <w:pPr>
              <w:keepNext/>
              <w:spacing w:line="256" w:lineRule="auto"/>
              <w:jc w:val="center"/>
              <w:rPr>
                <w:rFonts w:ascii="Arial Narrow" w:hAnsi="Arial Narrow"/>
                <w:sz w:val="20"/>
              </w:rPr>
            </w:pPr>
            <w:r w:rsidRPr="004843E9">
              <w:rPr>
                <w:rFonts w:ascii="Arial Narrow" w:hAnsi="Arial Narrow"/>
                <w:sz w:val="20"/>
              </w:rPr>
              <w:t xml:space="preserve">700 </w:t>
            </w:r>
            <w:proofErr w:type="spellStart"/>
            <w:r w:rsidRPr="004843E9">
              <w:rPr>
                <w:rFonts w:ascii="Arial Narrow" w:hAnsi="Arial Narrow"/>
                <w:sz w:val="20"/>
              </w:rPr>
              <w:t>μg</w:t>
            </w:r>
            <w:proofErr w:type="spellEnd"/>
          </w:p>
        </w:tc>
      </w:tr>
      <w:tr w:rsidR="002C65B5" w:rsidRPr="004843E9" w:rsidTr="00D4551A">
        <w:trPr>
          <w:jc w:val="center"/>
        </w:trPr>
        <w:tc>
          <w:tcPr>
            <w:tcW w:w="1019" w:type="pct"/>
            <w:tcBorders>
              <w:top w:val="single" w:sz="4" w:space="0" w:color="auto"/>
              <w:left w:val="single" w:sz="4" w:space="0" w:color="auto"/>
              <w:bottom w:val="single" w:sz="4" w:space="0" w:color="auto"/>
              <w:right w:val="single" w:sz="4" w:space="0" w:color="auto"/>
            </w:tcBorders>
            <w:vAlign w:val="center"/>
            <w:hideMark/>
          </w:tcPr>
          <w:p w:rsidR="001316B7" w:rsidRPr="004843E9" w:rsidRDefault="001316B7" w:rsidP="00B66395">
            <w:pPr>
              <w:keepNext/>
              <w:spacing w:line="256" w:lineRule="auto"/>
              <w:jc w:val="left"/>
              <w:rPr>
                <w:rFonts w:ascii="Arial Narrow" w:hAnsi="Arial Narrow"/>
                <w:sz w:val="20"/>
              </w:rPr>
            </w:pPr>
            <w:r w:rsidRPr="004843E9">
              <w:rPr>
                <w:rFonts w:ascii="Arial Narrow" w:hAnsi="Arial Narrow"/>
                <w:sz w:val="20"/>
              </w:rPr>
              <w:t>Average number of implants (36 months)</w:t>
            </w:r>
          </w:p>
        </w:tc>
        <w:tc>
          <w:tcPr>
            <w:tcW w:w="1022" w:type="pct"/>
            <w:tcBorders>
              <w:top w:val="single" w:sz="4" w:space="0" w:color="auto"/>
              <w:left w:val="single" w:sz="4" w:space="0" w:color="auto"/>
              <w:bottom w:val="single" w:sz="4" w:space="0" w:color="auto"/>
              <w:right w:val="single" w:sz="4" w:space="0" w:color="auto"/>
            </w:tcBorders>
            <w:vAlign w:val="center"/>
            <w:hideMark/>
          </w:tcPr>
          <w:p w:rsidR="001316B7" w:rsidRPr="004843E9" w:rsidRDefault="001316B7" w:rsidP="00B66395">
            <w:pPr>
              <w:keepNext/>
              <w:jc w:val="center"/>
              <w:rPr>
                <w:rFonts w:ascii="Arial Narrow" w:hAnsi="Arial Narrow"/>
                <w:sz w:val="20"/>
              </w:rPr>
            </w:pPr>
            <w:r w:rsidRPr="004843E9">
              <w:rPr>
                <w:rFonts w:ascii="Arial Narrow" w:hAnsi="Arial Narrow"/>
                <w:sz w:val="20"/>
              </w:rPr>
              <w:t>1.3</w:t>
            </w:r>
            <w:r w:rsidRPr="004843E9">
              <w:rPr>
                <w:rFonts w:ascii="Arial Narrow" w:hAnsi="Arial Narrow"/>
                <w:sz w:val="20"/>
                <w:vertAlign w:val="superscript"/>
              </w:rPr>
              <w:t>a</w:t>
            </w:r>
          </w:p>
        </w:tc>
        <w:tc>
          <w:tcPr>
            <w:tcW w:w="944" w:type="pct"/>
            <w:tcBorders>
              <w:top w:val="single" w:sz="4" w:space="0" w:color="auto"/>
              <w:left w:val="single" w:sz="4" w:space="0" w:color="auto"/>
              <w:bottom w:val="single" w:sz="4" w:space="0" w:color="auto"/>
              <w:right w:val="single" w:sz="4" w:space="0" w:color="auto"/>
            </w:tcBorders>
            <w:vAlign w:val="center"/>
            <w:hideMark/>
          </w:tcPr>
          <w:p w:rsidR="001316B7" w:rsidRPr="004843E9" w:rsidRDefault="001316B7" w:rsidP="00B66395">
            <w:pPr>
              <w:keepNext/>
              <w:jc w:val="center"/>
              <w:rPr>
                <w:rFonts w:ascii="Arial Narrow" w:hAnsi="Arial Narrow"/>
                <w:sz w:val="20"/>
              </w:rPr>
            </w:pPr>
            <w:r w:rsidRPr="004843E9">
              <w:rPr>
                <w:rFonts w:ascii="Arial Narrow" w:hAnsi="Arial Narrow"/>
                <w:sz w:val="20"/>
              </w:rPr>
              <w:t>1</w:t>
            </w:r>
          </w:p>
        </w:tc>
        <w:tc>
          <w:tcPr>
            <w:tcW w:w="1022" w:type="pct"/>
            <w:tcBorders>
              <w:top w:val="single" w:sz="4" w:space="0" w:color="auto"/>
              <w:left w:val="single" w:sz="4" w:space="0" w:color="auto"/>
              <w:bottom w:val="single" w:sz="4" w:space="0" w:color="auto"/>
              <w:right w:val="single" w:sz="4" w:space="0" w:color="auto"/>
            </w:tcBorders>
            <w:vAlign w:val="center"/>
          </w:tcPr>
          <w:p w:rsidR="00E843E2" w:rsidRPr="004843E9" w:rsidRDefault="001316B7" w:rsidP="00D4551A">
            <w:pPr>
              <w:keepNext/>
              <w:jc w:val="center"/>
              <w:rPr>
                <w:rFonts w:ascii="Arial Narrow" w:hAnsi="Arial Narrow"/>
                <w:sz w:val="20"/>
              </w:rPr>
            </w:pPr>
            <w:r w:rsidRPr="004843E9">
              <w:rPr>
                <w:rFonts w:ascii="Arial Narrow" w:hAnsi="Arial Narrow"/>
                <w:sz w:val="20"/>
              </w:rPr>
              <w:t>4.11</w:t>
            </w:r>
            <w:r w:rsidRPr="004843E9">
              <w:rPr>
                <w:rFonts w:ascii="Arial Narrow" w:hAnsi="Arial Narrow"/>
                <w:sz w:val="20"/>
                <w:vertAlign w:val="superscript"/>
              </w:rPr>
              <w:t>b</w:t>
            </w:r>
          </w:p>
        </w:tc>
        <w:tc>
          <w:tcPr>
            <w:tcW w:w="993" w:type="pct"/>
            <w:tcBorders>
              <w:top w:val="single" w:sz="4" w:space="0" w:color="auto"/>
              <w:left w:val="single" w:sz="4" w:space="0" w:color="auto"/>
              <w:bottom w:val="single" w:sz="4" w:space="0" w:color="auto"/>
              <w:right w:val="single" w:sz="4" w:space="0" w:color="auto"/>
            </w:tcBorders>
            <w:vAlign w:val="center"/>
          </w:tcPr>
          <w:p w:rsidR="00E843E2" w:rsidRPr="004843E9" w:rsidRDefault="001316B7" w:rsidP="00D4551A">
            <w:pPr>
              <w:keepNext/>
              <w:jc w:val="center"/>
              <w:rPr>
                <w:rFonts w:ascii="Arial Narrow" w:hAnsi="Arial Narrow"/>
                <w:sz w:val="20"/>
              </w:rPr>
            </w:pPr>
            <w:r w:rsidRPr="004843E9">
              <w:rPr>
                <w:rFonts w:ascii="Arial Narrow" w:hAnsi="Arial Narrow"/>
                <w:sz w:val="20"/>
              </w:rPr>
              <w:t>6.48</w:t>
            </w:r>
          </w:p>
        </w:tc>
      </w:tr>
      <w:tr w:rsidR="002C65B5" w:rsidRPr="006250D0" w:rsidTr="00D4551A">
        <w:trPr>
          <w:jc w:val="center"/>
        </w:trPr>
        <w:tc>
          <w:tcPr>
            <w:tcW w:w="1019" w:type="pct"/>
            <w:tcBorders>
              <w:top w:val="single" w:sz="4" w:space="0" w:color="auto"/>
              <w:left w:val="single" w:sz="4" w:space="0" w:color="auto"/>
              <w:bottom w:val="single" w:sz="4" w:space="0" w:color="auto"/>
              <w:right w:val="single" w:sz="4" w:space="0" w:color="auto"/>
            </w:tcBorders>
            <w:vAlign w:val="center"/>
          </w:tcPr>
          <w:p w:rsidR="00C24307" w:rsidRPr="006250D0" w:rsidRDefault="00C24307" w:rsidP="00C24307">
            <w:pPr>
              <w:keepNext/>
              <w:spacing w:line="256" w:lineRule="auto"/>
              <w:jc w:val="left"/>
              <w:rPr>
                <w:rFonts w:ascii="Arial Narrow" w:hAnsi="Arial Narrow"/>
                <w:sz w:val="20"/>
              </w:rPr>
            </w:pPr>
            <w:r w:rsidRPr="006250D0">
              <w:rPr>
                <w:rFonts w:ascii="Arial Narrow" w:hAnsi="Arial Narrow"/>
                <w:sz w:val="20"/>
              </w:rPr>
              <w:t>Drug cost/</w:t>
            </w:r>
            <w:proofErr w:type="spellStart"/>
            <w:r w:rsidRPr="006250D0">
              <w:rPr>
                <w:rFonts w:ascii="Arial Narrow" w:hAnsi="Arial Narrow"/>
                <w:sz w:val="20"/>
              </w:rPr>
              <w:t>patient</w:t>
            </w:r>
            <w:r w:rsidR="00511E2F" w:rsidRPr="006250D0">
              <w:rPr>
                <w:rFonts w:ascii="Arial Narrow" w:hAnsi="Arial Narrow"/>
                <w:sz w:val="20"/>
                <w:vertAlign w:val="superscript"/>
              </w:rPr>
              <w:t>c</w:t>
            </w:r>
            <w:proofErr w:type="spellEnd"/>
          </w:p>
        </w:tc>
        <w:tc>
          <w:tcPr>
            <w:tcW w:w="1022" w:type="pct"/>
            <w:tcBorders>
              <w:top w:val="single" w:sz="4" w:space="0" w:color="auto"/>
              <w:left w:val="single" w:sz="4" w:space="0" w:color="auto"/>
              <w:bottom w:val="single" w:sz="4" w:space="0" w:color="auto"/>
              <w:right w:val="single" w:sz="4" w:space="0" w:color="auto"/>
            </w:tcBorders>
            <w:vAlign w:val="center"/>
          </w:tcPr>
          <w:p w:rsidR="00EE0BD5" w:rsidRPr="006250D0" w:rsidRDefault="00980251" w:rsidP="00D4551A">
            <w:pPr>
              <w:keepNext/>
              <w:jc w:val="center"/>
              <w:rPr>
                <w:rFonts w:ascii="Arial Narrow" w:hAnsi="Arial Narrow"/>
                <w:sz w:val="20"/>
              </w:rPr>
            </w:pPr>
            <w:r w:rsidRPr="006250D0">
              <w:rPr>
                <w:rFonts w:ascii="Arial Narrow" w:hAnsi="Arial Narrow"/>
                <w:sz w:val="20"/>
              </w:rPr>
              <w:t>$</w:t>
            </w:r>
            <w:r w:rsidR="00E733BF">
              <w:rPr>
                <w:rFonts w:ascii="Arial Narrow" w:hAnsi="Arial Narrow"/>
                <w:noProof/>
                <w:color w:val="000000"/>
                <w:sz w:val="20"/>
                <w:highlight w:val="black"/>
              </w:rPr>
              <w:t>''''''''''''</w:t>
            </w:r>
          </w:p>
        </w:tc>
        <w:tc>
          <w:tcPr>
            <w:tcW w:w="944" w:type="pct"/>
            <w:tcBorders>
              <w:top w:val="single" w:sz="4" w:space="0" w:color="auto"/>
              <w:left w:val="single" w:sz="4" w:space="0" w:color="auto"/>
              <w:bottom w:val="single" w:sz="4" w:space="0" w:color="auto"/>
              <w:right w:val="single" w:sz="4" w:space="0" w:color="auto"/>
            </w:tcBorders>
            <w:vAlign w:val="center"/>
          </w:tcPr>
          <w:p w:rsidR="00E843E2" w:rsidRPr="006250D0" w:rsidRDefault="00B91183" w:rsidP="00D4551A">
            <w:pPr>
              <w:keepNext/>
              <w:jc w:val="center"/>
              <w:rPr>
                <w:rFonts w:ascii="Arial Narrow" w:hAnsi="Arial Narrow"/>
                <w:sz w:val="20"/>
              </w:rPr>
            </w:pPr>
            <w:r w:rsidRPr="006250D0">
              <w:rPr>
                <w:rFonts w:ascii="Arial Narrow" w:hAnsi="Arial Narrow"/>
                <w:sz w:val="20"/>
              </w:rPr>
              <w:t>$</w:t>
            </w:r>
            <w:r w:rsidR="00E733BF">
              <w:rPr>
                <w:rFonts w:ascii="Arial Narrow" w:hAnsi="Arial Narrow"/>
                <w:noProof/>
                <w:color w:val="000000"/>
                <w:sz w:val="20"/>
                <w:highlight w:val="black"/>
              </w:rPr>
              <w:t>''''''''''''</w:t>
            </w:r>
          </w:p>
        </w:tc>
        <w:tc>
          <w:tcPr>
            <w:tcW w:w="1022" w:type="pct"/>
            <w:tcBorders>
              <w:top w:val="single" w:sz="4" w:space="0" w:color="auto"/>
              <w:left w:val="single" w:sz="4" w:space="0" w:color="auto"/>
              <w:bottom w:val="single" w:sz="4" w:space="0" w:color="auto"/>
              <w:right w:val="single" w:sz="4" w:space="0" w:color="auto"/>
            </w:tcBorders>
            <w:vAlign w:val="center"/>
          </w:tcPr>
          <w:p w:rsidR="00E843E2" w:rsidRPr="006250D0" w:rsidRDefault="006079E8" w:rsidP="00D4551A">
            <w:pPr>
              <w:keepNext/>
              <w:jc w:val="center"/>
              <w:rPr>
                <w:rFonts w:ascii="Arial Narrow" w:hAnsi="Arial Narrow"/>
                <w:sz w:val="20"/>
              </w:rPr>
            </w:pPr>
            <w:r w:rsidRPr="006250D0">
              <w:rPr>
                <w:rFonts w:ascii="Arial Narrow" w:hAnsi="Arial Narrow"/>
                <w:sz w:val="20"/>
              </w:rPr>
              <w:t>$</w:t>
            </w:r>
            <w:r w:rsidR="00E733BF">
              <w:rPr>
                <w:rFonts w:ascii="Arial Narrow" w:hAnsi="Arial Narrow"/>
                <w:noProof/>
                <w:color w:val="000000"/>
                <w:sz w:val="20"/>
                <w:highlight w:val="black"/>
              </w:rPr>
              <w:t>'''''''''''''''</w:t>
            </w:r>
          </w:p>
        </w:tc>
        <w:tc>
          <w:tcPr>
            <w:tcW w:w="993" w:type="pct"/>
            <w:tcBorders>
              <w:top w:val="single" w:sz="4" w:space="0" w:color="auto"/>
              <w:left w:val="single" w:sz="4" w:space="0" w:color="auto"/>
              <w:bottom w:val="single" w:sz="4" w:space="0" w:color="auto"/>
              <w:right w:val="single" w:sz="4" w:space="0" w:color="auto"/>
            </w:tcBorders>
            <w:vAlign w:val="center"/>
          </w:tcPr>
          <w:p w:rsidR="00E843E2" w:rsidRPr="006250D0" w:rsidRDefault="006079E8" w:rsidP="00D4551A">
            <w:pPr>
              <w:keepNext/>
              <w:jc w:val="center"/>
              <w:rPr>
                <w:rFonts w:ascii="Arial Narrow" w:hAnsi="Arial Narrow"/>
                <w:sz w:val="20"/>
              </w:rPr>
            </w:pPr>
            <w:r w:rsidRPr="006250D0">
              <w:rPr>
                <w:rFonts w:ascii="Arial Narrow" w:hAnsi="Arial Narrow"/>
                <w:sz w:val="20"/>
              </w:rPr>
              <w:t>$</w:t>
            </w:r>
            <w:r w:rsidR="00E733BF">
              <w:rPr>
                <w:rFonts w:ascii="Arial Narrow" w:hAnsi="Arial Narrow"/>
                <w:noProof/>
                <w:color w:val="000000"/>
                <w:sz w:val="20"/>
                <w:highlight w:val="black"/>
              </w:rPr>
              <w:t>'''''''''''''</w:t>
            </w:r>
          </w:p>
        </w:tc>
      </w:tr>
      <w:tr w:rsidR="002C65B5" w:rsidRPr="006250D0" w:rsidTr="00D4551A">
        <w:trPr>
          <w:jc w:val="center"/>
        </w:trPr>
        <w:tc>
          <w:tcPr>
            <w:tcW w:w="1019" w:type="pct"/>
            <w:tcBorders>
              <w:top w:val="single" w:sz="4" w:space="0" w:color="auto"/>
              <w:left w:val="single" w:sz="4" w:space="0" w:color="auto"/>
              <w:bottom w:val="single" w:sz="4" w:space="0" w:color="auto"/>
              <w:right w:val="single" w:sz="4" w:space="0" w:color="auto"/>
            </w:tcBorders>
            <w:vAlign w:val="center"/>
          </w:tcPr>
          <w:p w:rsidR="00C24307" w:rsidRPr="006250D0" w:rsidRDefault="00C24307" w:rsidP="00C24307">
            <w:pPr>
              <w:keepNext/>
              <w:spacing w:line="256" w:lineRule="auto"/>
              <w:jc w:val="left"/>
              <w:rPr>
                <w:rFonts w:ascii="Arial Narrow" w:hAnsi="Arial Narrow"/>
                <w:sz w:val="20"/>
              </w:rPr>
            </w:pPr>
            <w:r w:rsidRPr="006250D0">
              <w:rPr>
                <w:rFonts w:ascii="Arial Narrow" w:hAnsi="Arial Narrow"/>
                <w:sz w:val="20"/>
              </w:rPr>
              <w:t xml:space="preserve">Cost/patient including administration </w:t>
            </w:r>
            <w:proofErr w:type="spellStart"/>
            <w:r w:rsidRPr="006250D0">
              <w:rPr>
                <w:rFonts w:ascii="Arial Narrow" w:hAnsi="Arial Narrow"/>
                <w:sz w:val="20"/>
              </w:rPr>
              <w:t>cost</w:t>
            </w:r>
            <w:r w:rsidR="00511E2F" w:rsidRPr="006250D0">
              <w:rPr>
                <w:rFonts w:ascii="Arial Narrow" w:hAnsi="Arial Narrow"/>
                <w:sz w:val="20"/>
                <w:vertAlign w:val="superscript"/>
              </w:rPr>
              <w:t>d</w:t>
            </w:r>
            <w:proofErr w:type="spellEnd"/>
          </w:p>
        </w:tc>
        <w:tc>
          <w:tcPr>
            <w:tcW w:w="1022" w:type="pct"/>
            <w:tcBorders>
              <w:top w:val="single" w:sz="4" w:space="0" w:color="auto"/>
              <w:left w:val="single" w:sz="4" w:space="0" w:color="auto"/>
              <w:bottom w:val="single" w:sz="4" w:space="0" w:color="auto"/>
              <w:right w:val="single" w:sz="4" w:space="0" w:color="auto"/>
            </w:tcBorders>
            <w:vAlign w:val="center"/>
          </w:tcPr>
          <w:p w:rsidR="00E843E2" w:rsidRPr="006250D0" w:rsidRDefault="00C24307" w:rsidP="00D4551A">
            <w:pPr>
              <w:keepNext/>
              <w:jc w:val="center"/>
              <w:rPr>
                <w:rFonts w:ascii="Arial Narrow" w:hAnsi="Arial Narrow"/>
                <w:sz w:val="20"/>
              </w:rPr>
            </w:pPr>
            <w:r w:rsidRPr="006250D0">
              <w:rPr>
                <w:rFonts w:ascii="Arial Narrow" w:hAnsi="Arial Narrow"/>
                <w:sz w:val="20"/>
              </w:rPr>
              <w:t>$</w:t>
            </w:r>
            <w:r w:rsidR="00E733BF">
              <w:rPr>
                <w:rFonts w:ascii="Arial Narrow" w:hAnsi="Arial Narrow"/>
                <w:noProof/>
                <w:color w:val="000000"/>
                <w:sz w:val="20"/>
                <w:highlight w:val="black"/>
              </w:rPr>
              <w:t>''''''''''''''</w:t>
            </w:r>
          </w:p>
        </w:tc>
        <w:tc>
          <w:tcPr>
            <w:tcW w:w="944" w:type="pct"/>
            <w:tcBorders>
              <w:top w:val="single" w:sz="4" w:space="0" w:color="auto"/>
              <w:left w:val="single" w:sz="4" w:space="0" w:color="auto"/>
              <w:bottom w:val="single" w:sz="4" w:space="0" w:color="auto"/>
              <w:right w:val="single" w:sz="4" w:space="0" w:color="auto"/>
            </w:tcBorders>
            <w:vAlign w:val="center"/>
          </w:tcPr>
          <w:p w:rsidR="00E72316" w:rsidRPr="006250D0" w:rsidRDefault="00C24307" w:rsidP="00D4551A">
            <w:pPr>
              <w:keepNext/>
              <w:jc w:val="center"/>
              <w:rPr>
                <w:rFonts w:ascii="Arial Narrow" w:hAnsi="Arial Narrow"/>
                <w:sz w:val="20"/>
              </w:rPr>
            </w:pPr>
            <w:r w:rsidRPr="006250D0">
              <w:rPr>
                <w:rFonts w:ascii="Arial Narrow" w:hAnsi="Arial Narrow"/>
                <w:sz w:val="20"/>
              </w:rPr>
              <w:t>$</w:t>
            </w:r>
            <w:r w:rsidR="00E733BF">
              <w:rPr>
                <w:rFonts w:ascii="Arial Narrow" w:hAnsi="Arial Narrow"/>
                <w:noProof/>
                <w:color w:val="000000"/>
                <w:sz w:val="20"/>
                <w:highlight w:val="black"/>
              </w:rPr>
              <w:t>''''''''''''</w:t>
            </w:r>
          </w:p>
        </w:tc>
        <w:tc>
          <w:tcPr>
            <w:tcW w:w="1022" w:type="pct"/>
            <w:tcBorders>
              <w:top w:val="single" w:sz="4" w:space="0" w:color="auto"/>
              <w:left w:val="single" w:sz="4" w:space="0" w:color="auto"/>
              <w:bottom w:val="single" w:sz="4" w:space="0" w:color="auto"/>
              <w:right w:val="single" w:sz="4" w:space="0" w:color="auto"/>
            </w:tcBorders>
            <w:vAlign w:val="center"/>
          </w:tcPr>
          <w:p w:rsidR="00E72316" w:rsidRPr="006250D0" w:rsidRDefault="00C24307" w:rsidP="00D4551A">
            <w:pPr>
              <w:keepNext/>
              <w:jc w:val="center"/>
              <w:rPr>
                <w:rFonts w:ascii="Arial Narrow" w:hAnsi="Arial Narrow"/>
                <w:sz w:val="20"/>
              </w:rPr>
            </w:pPr>
            <w:r w:rsidRPr="006250D0">
              <w:rPr>
                <w:rFonts w:ascii="Arial Narrow" w:hAnsi="Arial Narrow"/>
                <w:sz w:val="20"/>
              </w:rPr>
              <w:t>$</w:t>
            </w:r>
            <w:r w:rsidR="00E733BF">
              <w:rPr>
                <w:rFonts w:ascii="Arial Narrow" w:hAnsi="Arial Narrow"/>
                <w:noProof/>
                <w:color w:val="000000"/>
                <w:sz w:val="20"/>
                <w:highlight w:val="black"/>
              </w:rPr>
              <w:t>''''''''''''</w:t>
            </w:r>
          </w:p>
        </w:tc>
        <w:tc>
          <w:tcPr>
            <w:tcW w:w="993" w:type="pct"/>
            <w:tcBorders>
              <w:top w:val="single" w:sz="4" w:space="0" w:color="auto"/>
              <w:left w:val="single" w:sz="4" w:space="0" w:color="auto"/>
              <w:bottom w:val="single" w:sz="4" w:space="0" w:color="auto"/>
              <w:right w:val="single" w:sz="4" w:space="0" w:color="auto"/>
            </w:tcBorders>
            <w:vAlign w:val="center"/>
          </w:tcPr>
          <w:p w:rsidR="00341690" w:rsidRPr="006250D0" w:rsidRDefault="00DE1685" w:rsidP="00D4551A">
            <w:pPr>
              <w:keepNext/>
              <w:jc w:val="center"/>
              <w:rPr>
                <w:rFonts w:ascii="Arial Narrow" w:hAnsi="Arial Narrow"/>
                <w:sz w:val="20"/>
              </w:rPr>
            </w:pPr>
            <w:r w:rsidRPr="006250D0">
              <w:rPr>
                <w:rFonts w:ascii="Arial Narrow" w:hAnsi="Arial Narrow"/>
                <w:sz w:val="20"/>
              </w:rPr>
              <w:t>$</w:t>
            </w:r>
            <w:r w:rsidR="00E733BF">
              <w:rPr>
                <w:rFonts w:ascii="Arial Narrow" w:hAnsi="Arial Narrow"/>
                <w:noProof/>
                <w:color w:val="000000"/>
                <w:sz w:val="20"/>
                <w:highlight w:val="black"/>
              </w:rPr>
              <w:t>'''''''''''''</w:t>
            </w:r>
          </w:p>
        </w:tc>
      </w:tr>
    </w:tbl>
    <w:p w:rsidR="001316B7" w:rsidRPr="006250D0" w:rsidRDefault="001316B7" w:rsidP="00D24AF0">
      <w:pPr>
        <w:rPr>
          <w:rFonts w:ascii="Arial Narrow" w:hAnsi="Arial Narrow"/>
          <w:sz w:val="18"/>
        </w:rPr>
      </w:pPr>
      <w:r w:rsidRPr="006250D0">
        <w:rPr>
          <w:rFonts w:ascii="Arial Narrow" w:hAnsi="Arial Narrow"/>
          <w:sz w:val="18"/>
        </w:rPr>
        <w:t xml:space="preserve">Source: Table 39, p81 of the submission, Table 40 p82 of the submission. </w:t>
      </w:r>
    </w:p>
    <w:p w:rsidR="001316B7" w:rsidRPr="006250D0" w:rsidRDefault="001316B7">
      <w:pPr>
        <w:rPr>
          <w:rFonts w:ascii="Arial Narrow" w:hAnsi="Arial Narrow"/>
          <w:sz w:val="18"/>
        </w:rPr>
      </w:pPr>
      <w:r w:rsidRPr="006250D0">
        <w:rPr>
          <w:rFonts w:ascii="Arial Narrow" w:hAnsi="Arial Narrow"/>
          <w:sz w:val="18"/>
        </w:rPr>
        <w:t>CMA = cost minimisation analysis; DEX = dexamethasone; DPMQ = dispensed price for maximum quantity; FA</w:t>
      </w:r>
      <w:r w:rsidR="00871FE3" w:rsidRPr="006250D0">
        <w:rPr>
          <w:rFonts w:ascii="Arial Narrow" w:hAnsi="Arial Narrow"/>
          <w:sz w:val="18"/>
        </w:rPr>
        <w:t xml:space="preserve"> </w:t>
      </w:r>
      <w:r w:rsidRPr="006250D0">
        <w:rPr>
          <w:rFonts w:ascii="Arial Narrow" w:hAnsi="Arial Narrow"/>
          <w:sz w:val="18"/>
        </w:rPr>
        <w:t xml:space="preserve">= </w:t>
      </w:r>
      <w:proofErr w:type="spellStart"/>
      <w:r w:rsidRPr="006250D0">
        <w:rPr>
          <w:rFonts w:ascii="Arial Narrow" w:hAnsi="Arial Narrow"/>
          <w:sz w:val="18"/>
        </w:rPr>
        <w:t>fluocinolone</w:t>
      </w:r>
      <w:proofErr w:type="spellEnd"/>
      <w:r w:rsidRPr="006250D0">
        <w:rPr>
          <w:rFonts w:ascii="Arial Narrow" w:hAnsi="Arial Narrow"/>
          <w:sz w:val="18"/>
        </w:rPr>
        <w:t xml:space="preserve"> </w:t>
      </w:r>
      <w:proofErr w:type="spellStart"/>
      <w:r w:rsidRPr="006250D0">
        <w:rPr>
          <w:rFonts w:ascii="Arial Narrow" w:hAnsi="Arial Narrow"/>
          <w:sz w:val="18"/>
        </w:rPr>
        <w:t>acetonide</w:t>
      </w:r>
      <w:proofErr w:type="spellEnd"/>
      <w:r w:rsidR="00333F98" w:rsidRPr="006250D0">
        <w:rPr>
          <w:rFonts w:ascii="Arial Narrow" w:hAnsi="Arial Narrow"/>
          <w:sz w:val="18"/>
        </w:rPr>
        <w:t>.</w:t>
      </w:r>
    </w:p>
    <w:p w:rsidR="001316B7" w:rsidRPr="006250D0" w:rsidRDefault="001316B7">
      <w:pPr>
        <w:rPr>
          <w:rFonts w:ascii="Arial Narrow" w:hAnsi="Arial Narrow"/>
          <w:sz w:val="18"/>
        </w:rPr>
      </w:pPr>
      <w:proofErr w:type="gramStart"/>
      <w:r w:rsidRPr="006250D0">
        <w:rPr>
          <w:rFonts w:ascii="Arial Narrow" w:hAnsi="Arial Narrow"/>
          <w:sz w:val="18"/>
          <w:vertAlign w:val="superscript"/>
        </w:rPr>
        <w:t>a</w:t>
      </w:r>
      <w:proofErr w:type="gramEnd"/>
      <w:r w:rsidRPr="006250D0">
        <w:rPr>
          <w:rFonts w:ascii="Arial Narrow" w:hAnsi="Arial Narrow"/>
          <w:sz w:val="18"/>
          <w:vertAlign w:val="superscript"/>
        </w:rPr>
        <w:t xml:space="preserve"> </w:t>
      </w:r>
      <w:r w:rsidRPr="006250D0">
        <w:rPr>
          <w:rFonts w:ascii="Arial Narrow" w:hAnsi="Arial Narrow"/>
          <w:sz w:val="18"/>
        </w:rPr>
        <w:t>total tr</w:t>
      </w:r>
      <w:r w:rsidR="00B66395" w:rsidRPr="006250D0">
        <w:rPr>
          <w:rFonts w:ascii="Arial Narrow" w:hAnsi="Arial Narrow"/>
          <w:sz w:val="18"/>
        </w:rPr>
        <w:t>eatments/n=489/376 = 1.30 FA</w:t>
      </w:r>
      <w:r w:rsidR="006C27A2" w:rsidRPr="006250D0">
        <w:rPr>
          <w:rFonts w:ascii="Arial Narrow" w:hAnsi="Arial Narrow"/>
          <w:sz w:val="18"/>
        </w:rPr>
        <w:t>.</w:t>
      </w:r>
    </w:p>
    <w:p w:rsidR="001316B7" w:rsidRPr="006250D0" w:rsidRDefault="001316B7">
      <w:pPr>
        <w:rPr>
          <w:rFonts w:ascii="Arial Narrow" w:hAnsi="Arial Narrow"/>
          <w:sz w:val="18"/>
        </w:rPr>
      </w:pPr>
      <w:proofErr w:type="gramStart"/>
      <w:r w:rsidRPr="006250D0">
        <w:rPr>
          <w:rFonts w:ascii="Arial Narrow" w:hAnsi="Arial Narrow"/>
          <w:sz w:val="18"/>
          <w:vertAlign w:val="superscript"/>
        </w:rPr>
        <w:t>b</w:t>
      </w:r>
      <w:proofErr w:type="gramEnd"/>
      <w:r w:rsidRPr="006250D0">
        <w:rPr>
          <w:rFonts w:ascii="Arial Narrow" w:hAnsi="Arial Narrow"/>
          <w:sz w:val="18"/>
          <w:vertAlign w:val="superscript"/>
        </w:rPr>
        <w:t xml:space="preserve"> </w:t>
      </w:r>
      <w:r w:rsidRPr="006250D0">
        <w:rPr>
          <w:rFonts w:ascii="Arial Narrow" w:hAnsi="Arial Narrow"/>
          <w:sz w:val="18"/>
        </w:rPr>
        <w:t xml:space="preserve">total treatments/n=1427/347 = </w:t>
      </w:r>
      <w:r w:rsidRPr="006250D0">
        <w:rPr>
          <w:rFonts w:ascii="Arial Narrow" w:hAnsi="Arial Narrow"/>
          <w:sz w:val="18"/>
          <w:szCs w:val="18"/>
        </w:rPr>
        <w:t>4.11</w:t>
      </w:r>
      <w:r w:rsidRPr="006250D0">
        <w:rPr>
          <w:rFonts w:ascii="Arial Narrow" w:hAnsi="Arial Narrow"/>
          <w:sz w:val="18"/>
        </w:rPr>
        <w:t xml:space="preserve"> DEX</w:t>
      </w:r>
      <w:r w:rsidR="006C27A2" w:rsidRPr="006250D0">
        <w:rPr>
          <w:rFonts w:ascii="Arial Narrow" w:hAnsi="Arial Narrow"/>
          <w:sz w:val="18"/>
        </w:rPr>
        <w:t>.</w:t>
      </w:r>
    </w:p>
    <w:p w:rsidR="00511E2F" w:rsidRPr="00E733BF" w:rsidRDefault="00511E2F">
      <w:pPr>
        <w:rPr>
          <w:rFonts w:ascii="Arial Narrow" w:hAnsi="Arial Narrow"/>
          <w:sz w:val="18"/>
        </w:rPr>
      </w:pPr>
      <w:r w:rsidRPr="006250D0">
        <w:rPr>
          <w:rFonts w:ascii="Arial Narrow" w:hAnsi="Arial Narrow"/>
          <w:sz w:val="18"/>
          <w:vertAlign w:val="superscript"/>
        </w:rPr>
        <w:t>c</w:t>
      </w:r>
      <w:r w:rsidRPr="006250D0">
        <w:rPr>
          <w:rFonts w:ascii="Arial Narrow" w:hAnsi="Arial Narrow"/>
          <w:sz w:val="18"/>
        </w:rPr>
        <w:t xml:space="preserve"> </w:t>
      </w:r>
      <w:r w:rsidR="00232CB7" w:rsidRPr="006250D0">
        <w:rPr>
          <w:rFonts w:ascii="Arial Narrow" w:hAnsi="Arial Narrow"/>
          <w:sz w:val="18"/>
        </w:rPr>
        <w:t>E</w:t>
      </w:r>
      <w:r w:rsidRPr="006250D0">
        <w:rPr>
          <w:rFonts w:ascii="Arial Narrow" w:hAnsi="Arial Narrow"/>
          <w:sz w:val="18"/>
        </w:rPr>
        <w:t>ffective DPMQ for FA</w:t>
      </w:r>
      <w:r w:rsidR="00232CB7" w:rsidRPr="006250D0">
        <w:rPr>
          <w:rFonts w:ascii="Arial Narrow" w:hAnsi="Arial Narrow"/>
          <w:sz w:val="18"/>
        </w:rPr>
        <w:t xml:space="preserve"> is $</w:t>
      </w:r>
      <w:proofErr w:type="gramStart"/>
      <w:r w:rsidR="00E733BF">
        <w:rPr>
          <w:rFonts w:ascii="Arial Narrow" w:hAnsi="Arial Narrow"/>
          <w:noProof/>
          <w:color w:val="000000"/>
          <w:sz w:val="18"/>
          <w:highlight w:val="black"/>
        </w:rPr>
        <w:t>'''''''''''''''''''''</w:t>
      </w:r>
      <w:r w:rsidR="00232CB7" w:rsidRPr="006250D0">
        <w:rPr>
          <w:rFonts w:ascii="Arial Narrow" w:hAnsi="Arial Narrow"/>
          <w:sz w:val="18"/>
        </w:rPr>
        <w:t xml:space="preserve"> </w:t>
      </w:r>
      <w:r w:rsidRPr="006250D0">
        <w:rPr>
          <w:rFonts w:ascii="Arial Narrow" w:hAnsi="Arial Narrow"/>
          <w:sz w:val="18"/>
        </w:rPr>
        <w:t xml:space="preserve"> and</w:t>
      </w:r>
      <w:proofErr w:type="gramEnd"/>
      <w:r w:rsidR="00232CB7" w:rsidRPr="006250D0">
        <w:rPr>
          <w:rFonts w:ascii="Arial Narrow" w:hAnsi="Arial Narrow"/>
          <w:sz w:val="18"/>
        </w:rPr>
        <w:t xml:space="preserve"> for</w:t>
      </w:r>
      <w:r w:rsidRPr="006250D0">
        <w:rPr>
          <w:rFonts w:ascii="Arial Narrow" w:hAnsi="Arial Narrow"/>
          <w:sz w:val="18"/>
        </w:rPr>
        <w:t xml:space="preserve"> DEX </w:t>
      </w:r>
      <w:r w:rsidR="00232CB7" w:rsidRPr="006250D0">
        <w:rPr>
          <w:rFonts w:ascii="Arial Narrow" w:hAnsi="Arial Narrow"/>
          <w:sz w:val="18"/>
        </w:rPr>
        <w:t>is $</w:t>
      </w:r>
      <w:r w:rsidR="00E733BF">
        <w:rPr>
          <w:rFonts w:ascii="Arial Narrow" w:hAnsi="Arial Narrow"/>
          <w:noProof/>
          <w:color w:val="000000"/>
          <w:sz w:val="18"/>
          <w:highlight w:val="black"/>
        </w:rPr>
        <w:t>'''''''''''''''''''</w:t>
      </w:r>
    </w:p>
    <w:p w:rsidR="001316B7" w:rsidRPr="004843E9" w:rsidRDefault="00511E2F" w:rsidP="00D24AF0">
      <w:pPr>
        <w:pStyle w:val="Table"/>
        <w:jc w:val="both"/>
        <w:rPr>
          <w:sz w:val="18"/>
        </w:rPr>
      </w:pPr>
      <w:proofErr w:type="gramStart"/>
      <w:r w:rsidRPr="004843E9">
        <w:rPr>
          <w:sz w:val="18"/>
          <w:vertAlign w:val="superscript"/>
        </w:rPr>
        <w:t>d</w:t>
      </w:r>
      <w:proofErr w:type="gramEnd"/>
      <w:r w:rsidR="001316B7" w:rsidRPr="004843E9">
        <w:rPr>
          <w:sz w:val="18"/>
        </w:rPr>
        <w:t xml:space="preserve"> $</w:t>
      </w:r>
      <w:r w:rsidR="00575414" w:rsidRPr="004843E9">
        <w:rPr>
          <w:sz w:val="18"/>
        </w:rPr>
        <w:t>263.65</w:t>
      </w:r>
      <w:r w:rsidR="001316B7" w:rsidRPr="004843E9">
        <w:rPr>
          <w:sz w:val="18"/>
        </w:rPr>
        <w:t xml:space="preserve"> per administration</w:t>
      </w:r>
      <w:r w:rsidR="00B66395" w:rsidRPr="004843E9">
        <w:rPr>
          <w:sz w:val="18"/>
        </w:rPr>
        <w:t xml:space="preserve"> (</w:t>
      </w:r>
      <w:r w:rsidR="00575414" w:rsidRPr="004843E9">
        <w:rPr>
          <w:sz w:val="18"/>
        </w:rPr>
        <w:t>85</w:t>
      </w:r>
      <w:r w:rsidR="00B66395" w:rsidRPr="004843E9">
        <w:rPr>
          <w:sz w:val="18"/>
        </w:rPr>
        <w:t>% MBS Item 42740)</w:t>
      </w:r>
      <w:r w:rsidR="006C27A2" w:rsidRPr="004843E9">
        <w:rPr>
          <w:sz w:val="18"/>
        </w:rPr>
        <w:t>.</w:t>
      </w:r>
    </w:p>
    <w:p w:rsidR="00E56632" w:rsidRPr="004843E9" w:rsidRDefault="00E56632" w:rsidP="00D24AF0">
      <w:pPr>
        <w:pStyle w:val="Table"/>
        <w:jc w:val="both"/>
      </w:pPr>
    </w:p>
    <w:p w:rsidR="00A127B2" w:rsidRPr="004843E9" w:rsidRDefault="00E56632" w:rsidP="00E56632">
      <w:pPr>
        <w:pStyle w:val="3Bodytext"/>
        <w:jc w:val="both"/>
        <w:rPr>
          <w:lang w:eastAsia="en-US"/>
        </w:rPr>
      </w:pPr>
      <w:r w:rsidRPr="004843E9">
        <w:t xml:space="preserve">The PBAC considered in March 2020 that given the non-inferiority claims have been accepted by the PBAC, the cost per patient for treatment with FA should be no more than the cost per patient of DEX (paragraph 6.32, FA PSD, March 2020). The cost per patient takes into account the mean equi-effective doses of the new intervention and the alternative therapy. Where these cost per patient calculations are uncertain, the guiding principle is that the Australian Government should not bear the financial risk of this uncertainty because the Australian population already has access to therapy </w:t>
      </w:r>
      <w:r w:rsidRPr="004843E9">
        <w:lastRenderedPageBreak/>
        <w:t xml:space="preserve">that is at least as effective and safe. The PBAC reiterated this principle with reference to the minor </w:t>
      </w:r>
      <w:r w:rsidR="008B0EF6" w:rsidRPr="004843E9">
        <w:t>resubmission</w:t>
      </w:r>
      <w:r w:rsidRPr="004843E9">
        <w:t>.</w:t>
      </w:r>
    </w:p>
    <w:p w:rsidR="005A3173" w:rsidRPr="004843E9" w:rsidRDefault="005A3173" w:rsidP="00917D69">
      <w:pPr>
        <w:pStyle w:val="4-SubsectionHeading"/>
        <w:rPr>
          <w:lang w:eastAsia="en-US"/>
        </w:rPr>
      </w:pPr>
      <w:r w:rsidRPr="004843E9">
        <w:rPr>
          <w:lang w:eastAsia="en-US"/>
        </w:rPr>
        <w:t>Estimated PBS usage &amp; financial implications</w:t>
      </w:r>
    </w:p>
    <w:p w:rsidR="002D2484" w:rsidRPr="004843E9" w:rsidRDefault="002D2484" w:rsidP="008B0EF6">
      <w:pPr>
        <w:pStyle w:val="3-BodyText"/>
        <w:numPr>
          <w:ilvl w:val="1"/>
          <w:numId w:val="1"/>
        </w:numPr>
      </w:pPr>
      <w:r w:rsidRPr="004843E9">
        <w:rPr>
          <w:iCs/>
        </w:rPr>
        <w:t>The March 2020 submission</w:t>
      </w:r>
      <w:r w:rsidR="0090235E" w:rsidRPr="004843E9">
        <w:rPr>
          <w:iCs/>
        </w:rPr>
        <w:t xml:space="preserve"> </w:t>
      </w:r>
      <w:r w:rsidR="0090235E" w:rsidRPr="004843E9">
        <w:t>used an epidemiological approach to estimate the financial implications of listing FA; however, t</w:t>
      </w:r>
      <w:r w:rsidRPr="004843E9">
        <w:rPr>
          <w:iCs/>
        </w:rPr>
        <w:t xml:space="preserve">he </w:t>
      </w:r>
      <w:r w:rsidRPr="004843E9">
        <w:t>PBAC considered the financial estimates provided in the submission were unreliable</w:t>
      </w:r>
      <w:r w:rsidR="0090235E" w:rsidRPr="004843E9">
        <w:t xml:space="preserve"> (paragraph 7.8, FA PSD, March 2020</w:t>
      </w:r>
      <w:r w:rsidRPr="004843E9">
        <w:t>). The PBAC considered that a market share approach would have been more appropriate to estimate the use of this medicine. The PBAC considered there was a low clinical need and listing FA on the PBS was unlikely to substantially grow the market. The PBAC considered that listing FA for DMO on a cost minimisation basis with DEX using effective prices and the equi-effective dose</w:t>
      </w:r>
      <w:r w:rsidR="0090235E" w:rsidRPr="004843E9">
        <w:t>s recommended</w:t>
      </w:r>
      <w:r w:rsidRPr="004843E9">
        <w:t xml:space="preserve"> w</w:t>
      </w:r>
      <w:r w:rsidR="001F6B65" w:rsidRPr="004843E9">
        <w:t>ould be cost-neutral to the PBS.</w:t>
      </w:r>
    </w:p>
    <w:p w:rsidR="000123D9" w:rsidRPr="004843E9" w:rsidRDefault="00C44E92" w:rsidP="00A25AA4">
      <w:pPr>
        <w:pStyle w:val="3Bodytext"/>
        <w:jc w:val="both"/>
      </w:pPr>
      <w:r w:rsidRPr="004843E9">
        <w:t>The</w:t>
      </w:r>
      <w:r w:rsidR="009723B9" w:rsidRPr="004843E9">
        <w:t xml:space="preserve"> minor</w:t>
      </w:r>
      <w:r w:rsidRPr="004843E9">
        <w:t xml:space="preserve"> resubmission </w:t>
      </w:r>
      <w:r w:rsidR="009723B9" w:rsidRPr="004843E9">
        <w:t>retained</w:t>
      </w:r>
      <w:r w:rsidRPr="004843E9">
        <w:t xml:space="preserve"> an epidemiological approach for the estimation of PBS usage and financial implications.</w:t>
      </w:r>
      <w:r w:rsidR="000123D9" w:rsidRPr="004843E9">
        <w:t xml:space="preserve"> The resubmission stated the following issues</w:t>
      </w:r>
      <w:r w:rsidR="00DE1471" w:rsidRPr="004843E9">
        <w:t xml:space="preserve"> were addressed from the March 2020 meeting</w:t>
      </w:r>
      <w:r w:rsidR="000123D9" w:rsidRPr="004843E9">
        <w:t>:</w:t>
      </w:r>
    </w:p>
    <w:p w:rsidR="00323F6F" w:rsidRPr="004843E9" w:rsidRDefault="00323F6F" w:rsidP="00323F6F">
      <w:pPr>
        <w:pStyle w:val="3Bodytext"/>
        <w:numPr>
          <w:ilvl w:val="0"/>
          <w:numId w:val="17"/>
        </w:numPr>
        <w:jc w:val="both"/>
      </w:pPr>
      <w:r w:rsidRPr="004843E9">
        <w:t>The PBAC considered that the prevalence of diabetes (4.9%) was likely overestimated because it was applied to the total population rather than the adult population. The resubmission addressed this issue by applying the prevalence to the adult population only.</w:t>
      </w:r>
    </w:p>
    <w:p w:rsidR="00771DA4" w:rsidRPr="004843E9" w:rsidRDefault="00DA735D" w:rsidP="00771DA4">
      <w:pPr>
        <w:pStyle w:val="3Bodytext"/>
        <w:numPr>
          <w:ilvl w:val="0"/>
          <w:numId w:val="17"/>
        </w:numPr>
        <w:jc w:val="both"/>
      </w:pPr>
      <w:r w:rsidRPr="004843E9">
        <w:t>T</w:t>
      </w:r>
      <w:r w:rsidR="00C44E92" w:rsidRPr="004843E9">
        <w:t>he PBAC considered that the number of patients with DMO was likely overestimated due to double counting</w:t>
      </w:r>
      <w:r w:rsidR="009723B9" w:rsidRPr="004843E9">
        <w:t>,</w:t>
      </w:r>
      <w:r w:rsidR="00C44E92" w:rsidRPr="004843E9">
        <w:t xml:space="preserve"> with the incident population</w:t>
      </w:r>
      <w:r w:rsidR="00323F6F" w:rsidRPr="004843E9">
        <w:t xml:space="preserve"> (0.25%)</w:t>
      </w:r>
      <w:r w:rsidR="00C44E92" w:rsidRPr="004843E9">
        <w:t xml:space="preserve"> added to the prevalent population</w:t>
      </w:r>
      <w:r w:rsidR="00323F6F" w:rsidRPr="004843E9">
        <w:t xml:space="preserve"> (2.77%)</w:t>
      </w:r>
      <w:r w:rsidR="00C44E92" w:rsidRPr="004843E9">
        <w:t xml:space="preserve">. The </w:t>
      </w:r>
      <w:r w:rsidR="000123D9" w:rsidRPr="004843E9">
        <w:t>re</w:t>
      </w:r>
      <w:r w:rsidR="00C44E92" w:rsidRPr="004843E9">
        <w:t>submission addressed this issue by only includ</w:t>
      </w:r>
      <w:r w:rsidR="000123D9" w:rsidRPr="004843E9">
        <w:t>ing</w:t>
      </w:r>
      <w:r w:rsidR="00C44E92" w:rsidRPr="004843E9">
        <w:t xml:space="preserve"> the prevalent population for</w:t>
      </w:r>
      <w:r w:rsidRPr="004843E9">
        <w:t xml:space="preserve"> the</w:t>
      </w:r>
      <w:r w:rsidR="00C44E92" w:rsidRPr="004843E9">
        <w:t xml:space="preserve"> first year of listing and only includ</w:t>
      </w:r>
      <w:r w:rsidR="000123D9" w:rsidRPr="004843E9">
        <w:t>ing</w:t>
      </w:r>
      <w:r w:rsidR="00C44E92" w:rsidRPr="004843E9">
        <w:t xml:space="preserve"> incident patients</w:t>
      </w:r>
      <w:r w:rsidR="000123D9" w:rsidRPr="004843E9">
        <w:t xml:space="preserve"> for subsequent years</w:t>
      </w:r>
      <w:r w:rsidR="00C44E92" w:rsidRPr="004843E9">
        <w:t>.</w:t>
      </w:r>
    </w:p>
    <w:p w:rsidR="00771DA4" w:rsidRPr="004843E9" w:rsidRDefault="00881629" w:rsidP="00771DA4">
      <w:pPr>
        <w:pStyle w:val="3Bodytext"/>
        <w:numPr>
          <w:ilvl w:val="0"/>
          <w:numId w:val="17"/>
        </w:numPr>
        <w:jc w:val="both"/>
      </w:pPr>
      <w:r w:rsidRPr="004843E9">
        <w:t>The PBAC considered that retreatment at 36 months was likely overestimated due to double counting. The resubmission addressed this issue by setting the retreatment rate to zero, and stating that the retreatment rate was already accounted for in the estimate of patient numbers.</w:t>
      </w:r>
    </w:p>
    <w:p w:rsidR="00A127B2" w:rsidRPr="004843E9" w:rsidRDefault="00771DA4" w:rsidP="006D1813">
      <w:pPr>
        <w:pStyle w:val="3Bodytext"/>
        <w:numPr>
          <w:ilvl w:val="0"/>
          <w:numId w:val="0"/>
        </w:numPr>
        <w:ind w:left="709"/>
        <w:jc w:val="both"/>
      </w:pPr>
      <w:r w:rsidRPr="004843E9">
        <w:t>Although the PBAC indicated in March 2020 that the FA uptake rate was likely overestimated (20%–70% over Years 1–6 of listing)</w:t>
      </w:r>
      <w:r w:rsidR="006D1813" w:rsidRPr="004843E9">
        <w:t>, the Sponsor retained this uptake rate in the minor resubmission.</w:t>
      </w:r>
      <w:r w:rsidR="001B066B" w:rsidRPr="004843E9">
        <w:t xml:space="preserve"> The Sponsor also retained the assumption of 30% of patients receiving an implant in both eyes.</w:t>
      </w:r>
    </w:p>
    <w:p w:rsidR="008619CB" w:rsidRPr="00811338" w:rsidRDefault="00A127B2" w:rsidP="00811338">
      <w:pPr>
        <w:pStyle w:val="3Bodytext"/>
        <w:jc w:val="both"/>
        <w:rPr>
          <w:rStyle w:val="CommentReference"/>
          <w:sz w:val="24"/>
          <w:szCs w:val="22"/>
        </w:rPr>
      </w:pPr>
      <w:r w:rsidRPr="004843E9">
        <w:t>The re</w:t>
      </w:r>
      <w:r w:rsidR="00FF2801" w:rsidRPr="004843E9">
        <w:t>submission estimated</w:t>
      </w:r>
      <w:r w:rsidR="00C00DA7" w:rsidRPr="004843E9">
        <w:t xml:space="preserve"> a net </w:t>
      </w:r>
      <w:r w:rsidR="006405EA" w:rsidRPr="004843E9">
        <w:t>cost</w:t>
      </w:r>
      <w:r w:rsidR="00C00DA7" w:rsidRPr="004843E9">
        <w:t xml:space="preserve"> to the PBS</w:t>
      </w:r>
      <w:r w:rsidR="00BC2AC0" w:rsidRPr="004843E9">
        <w:t>/RPBS</w:t>
      </w:r>
      <w:r w:rsidR="00C00DA7" w:rsidRPr="004843E9">
        <w:t xml:space="preserve"> of </w:t>
      </w:r>
      <w:r w:rsidR="00344D3D" w:rsidRPr="004843E9">
        <w:t>approximately $</w:t>
      </w:r>
      <w:r w:rsidR="0097097E">
        <w:t>0 to &lt;$10M</w:t>
      </w:r>
      <w:r w:rsidR="00C00DA7" w:rsidRPr="004843E9">
        <w:t xml:space="preserve"> in Year</w:t>
      </w:r>
      <w:r w:rsidR="00BC2AC0" w:rsidRPr="004843E9">
        <w:t> </w:t>
      </w:r>
      <w:r w:rsidR="00977BF3" w:rsidRPr="004843E9">
        <w:t>6</w:t>
      </w:r>
      <w:r w:rsidR="00C00DA7" w:rsidRPr="004843E9">
        <w:t xml:space="preserve"> of listing,</w:t>
      </w:r>
      <w:r w:rsidR="00D0152C" w:rsidRPr="004843E9">
        <w:t xml:space="preserve"> using effective prices of FA and DEX and published prices of </w:t>
      </w:r>
      <w:proofErr w:type="spellStart"/>
      <w:r w:rsidR="00D0152C" w:rsidRPr="004843E9">
        <w:t>aflibercept</w:t>
      </w:r>
      <w:proofErr w:type="spellEnd"/>
      <w:r w:rsidR="00D0152C" w:rsidRPr="004843E9">
        <w:t xml:space="preserve"> and </w:t>
      </w:r>
      <w:proofErr w:type="spellStart"/>
      <w:r w:rsidR="00D0152C" w:rsidRPr="004843E9">
        <w:t>ranibizumab</w:t>
      </w:r>
      <w:proofErr w:type="spellEnd"/>
      <w:r w:rsidR="00D0152C" w:rsidRPr="004843E9">
        <w:t>,</w:t>
      </w:r>
      <w:r w:rsidR="00C00DA7" w:rsidRPr="004843E9">
        <w:t xml:space="preserve"> with a total net cost to the PBS</w:t>
      </w:r>
      <w:r w:rsidR="0033593D" w:rsidRPr="004843E9">
        <w:t>/RPBS</w:t>
      </w:r>
      <w:r w:rsidR="00C00DA7" w:rsidRPr="004843E9">
        <w:t xml:space="preserve"> of </w:t>
      </w:r>
      <w:r w:rsidR="00344D3D" w:rsidRPr="004843E9">
        <w:t>$</w:t>
      </w:r>
      <w:r w:rsidR="0097097E">
        <w:t>0 to &lt;$10M</w:t>
      </w:r>
      <w:r w:rsidR="00344D3D" w:rsidRPr="004843E9">
        <w:t xml:space="preserve"> </w:t>
      </w:r>
      <w:r w:rsidR="00C00DA7" w:rsidRPr="004843E9">
        <w:t>ove</w:t>
      </w:r>
      <w:r w:rsidR="00C7409E" w:rsidRPr="004843E9">
        <w:t xml:space="preserve">r the first </w:t>
      </w:r>
      <w:r w:rsidR="00977BF3" w:rsidRPr="004843E9">
        <w:t>6</w:t>
      </w:r>
      <w:r w:rsidR="00C7409E" w:rsidRPr="004843E9">
        <w:t xml:space="preserve"> years of listing. </w:t>
      </w:r>
      <w:r w:rsidR="00C00DA7" w:rsidRPr="004843E9">
        <w:t xml:space="preserve">This is summarised in </w:t>
      </w:r>
      <w:r w:rsidR="00E86843">
        <w:t>Table 4</w:t>
      </w:r>
      <w:r w:rsidR="00D0152C" w:rsidRPr="004843E9">
        <w:t>, along with</w:t>
      </w:r>
      <w:r w:rsidR="00977BF3" w:rsidRPr="004843E9">
        <w:t xml:space="preserve"> the expected patient and </w:t>
      </w:r>
      <w:r w:rsidR="00C00DA7" w:rsidRPr="004843E9">
        <w:t xml:space="preserve">prescription numbers. </w:t>
      </w:r>
      <w:r w:rsidR="00E86843">
        <w:t>The summary in Table 4</w:t>
      </w:r>
      <w:r w:rsidR="00D0152C" w:rsidRPr="004843E9">
        <w:t xml:space="preserve"> is based on the Excel utilisation spreadsheet accompanying the submission, </w:t>
      </w:r>
      <w:r w:rsidR="008179EF" w:rsidRPr="004843E9">
        <w:t>which</w:t>
      </w:r>
      <w:r w:rsidR="00D0152C" w:rsidRPr="004843E9">
        <w:t xml:space="preserve"> does not match the summary tables provided by the Sponsor in the Word document.</w:t>
      </w:r>
      <w:r w:rsidR="00E75660" w:rsidRPr="004843E9">
        <w:t xml:space="preserve"> There were also some minor inconsistencies noted in the spreadsheet.</w:t>
      </w:r>
      <w:bookmarkStart w:id="1" w:name="_GoBack"/>
      <w:bookmarkEnd w:id="1"/>
    </w:p>
    <w:p w:rsidR="00C7409E" w:rsidRPr="004843E9" w:rsidRDefault="00C7409E" w:rsidP="002F3C4D">
      <w:pPr>
        <w:pStyle w:val="Tabletitles"/>
      </w:pPr>
      <w:r w:rsidRPr="004843E9">
        <w:rPr>
          <w:rStyle w:val="CommentReference"/>
          <w:sz w:val="20"/>
          <w:szCs w:val="22"/>
        </w:rPr>
        <w:lastRenderedPageBreak/>
        <w:t>Table</w:t>
      </w:r>
      <w:r w:rsidR="00C92E47" w:rsidRPr="004843E9">
        <w:rPr>
          <w:rFonts w:eastAsiaTheme="majorEastAsia"/>
        </w:rPr>
        <w:t xml:space="preserve"> </w:t>
      </w:r>
      <w:r w:rsidR="00E86843">
        <w:rPr>
          <w:rFonts w:eastAsiaTheme="majorEastAsia"/>
        </w:rPr>
        <w:t>4</w:t>
      </w:r>
      <w:r w:rsidR="00EE31A2" w:rsidRPr="004843E9">
        <w:rPr>
          <w:rFonts w:eastAsiaTheme="majorEastAsia"/>
        </w:rPr>
        <w:t xml:space="preserve">: </w:t>
      </w:r>
      <w:r w:rsidRPr="004843E9">
        <w:rPr>
          <w:rStyle w:val="CommentReference"/>
          <w:sz w:val="20"/>
          <w:szCs w:val="22"/>
        </w:rPr>
        <w:t>Estimate</w:t>
      </w:r>
      <w:r w:rsidR="00367038" w:rsidRPr="004843E9">
        <w:rPr>
          <w:rStyle w:val="CommentReference"/>
          <w:sz w:val="20"/>
          <w:szCs w:val="22"/>
        </w:rPr>
        <w:t xml:space="preserve">d use and financial implications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54"/>
        <w:gridCol w:w="1194"/>
        <w:gridCol w:w="1194"/>
        <w:gridCol w:w="1194"/>
        <w:gridCol w:w="1194"/>
        <w:gridCol w:w="1194"/>
        <w:gridCol w:w="1192"/>
      </w:tblGrid>
      <w:tr w:rsidR="00A07CEA" w:rsidRPr="004843E9" w:rsidTr="002F3C4D">
        <w:trPr>
          <w:tblHeader/>
        </w:trPr>
        <w:tc>
          <w:tcPr>
            <w:tcW w:w="1029" w:type="pct"/>
            <w:shd w:val="clear" w:color="auto" w:fill="auto"/>
            <w:vAlign w:val="center"/>
          </w:tcPr>
          <w:p w:rsidR="00C7409E" w:rsidRPr="004843E9" w:rsidRDefault="00C7409E" w:rsidP="002F3C4D">
            <w:pPr>
              <w:pStyle w:val="TableText0"/>
              <w:keepNext w:val="0"/>
            </w:pPr>
          </w:p>
        </w:tc>
        <w:tc>
          <w:tcPr>
            <w:tcW w:w="662" w:type="pct"/>
            <w:shd w:val="clear" w:color="auto" w:fill="auto"/>
            <w:vAlign w:val="center"/>
          </w:tcPr>
          <w:p w:rsidR="00C7409E" w:rsidRPr="004843E9" w:rsidRDefault="00C7409E" w:rsidP="002F3C4D">
            <w:pPr>
              <w:pStyle w:val="TableText0"/>
              <w:keepNext w:val="0"/>
              <w:jc w:val="center"/>
              <w:rPr>
                <w:b/>
              </w:rPr>
            </w:pPr>
            <w:r w:rsidRPr="004843E9">
              <w:rPr>
                <w:b/>
              </w:rPr>
              <w:t>Year 1</w:t>
            </w:r>
          </w:p>
        </w:tc>
        <w:tc>
          <w:tcPr>
            <w:tcW w:w="662" w:type="pct"/>
            <w:shd w:val="clear" w:color="auto" w:fill="auto"/>
            <w:vAlign w:val="center"/>
          </w:tcPr>
          <w:p w:rsidR="00C7409E" w:rsidRPr="004843E9" w:rsidRDefault="00C7409E" w:rsidP="002F3C4D">
            <w:pPr>
              <w:pStyle w:val="TableText0"/>
              <w:keepNext w:val="0"/>
              <w:jc w:val="center"/>
              <w:rPr>
                <w:b/>
              </w:rPr>
            </w:pPr>
            <w:r w:rsidRPr="004843E9">
              <w:rPr>
                <w:b/>
              </w:rPr>
              <w:t>Year 2</w:t>
            </w:r>
          </w:p>
        </w:tc>
        <w:tc>
          <w:tcPr>
            <w:tcW w:w="662" w:type="pct"/>
            <w:shd w:val="clear" w:color="auto" w:fill="auto"/>
            <w:vAlign w:val="center"/>
          </w:tcPr>
          <w:p w:rsidR="00C7409E" w:rsidRPr="004843E9" w:rsidRDefault="00C7409E" w:rsidP="002F3C4D">
            <w:pPr>
              <w:pStyle w:val="TableText0"/>
              <w:keepNext w:val="0"/>
              <w:jc w:val="center"/>
              <w:rPr>
                <w:b/>
              </w:rPr>
            </w:pPr>
            <w:r w:rsidRPr="004843E9">
              <w:rPr>
                <w:b/>
              </w:rPr>
              <w:t>Year 3</w:t>
            </w:r>
          </w:p>
        </w:tc>
        <w:tc>
          <w:tcPr>
            <w:tcW w:w="662" w:type="pct"/>
            <w:shd w:val="clear" w:color="auto" w:fill="auto"/>
            <w:vAlign w:val="center"/>
          </w:tcPr>
          <w:p w:rsidR="00C7409E" w:rsidRPr="004843E9" w:rsidRDefault="00C7409E" w:rsidP="002F3C4D">
            <w:pPr>
              <w:pStyle w:val="TableText0"/>
              <w:keepNext w:val="0"/>
              <w:jc w:val="center"/>
              <w:rPr>
                <w:b/>
              </w:rPr>
            </w:pPr>
            <w:r w:rsidRPr="004843E9">
              <w:rPr>
                <w:b/>
              </w:rPr>
              <w:t>Year 4</w:t>
            </w:r>
          </w:p>
        </w:tc>
        <w:tc>
          <w:tcPr>
            <w:tcW w:w="662" w:type="pct"/>
            <w:shd w:val="clear" w:color="auto" w:fill="auto"/>
            <w:vAlign w:val="center"/>
          </w:tcPr>
          <w:p w:rsidR="00C7409E" w:rsidRPr="004843E9" w:rsidRDefault="00C7409E" w:rsidP="002F3C4D">
            <w:pPr>
              <w:pStyle w:val="TableText0"/>
              <w:keepNext w:val="0"/>
              <w:jc w:val="center"/>
              <w:rPr>
                <w:b/>
              </w:rPr>
            </w:pPr>
            <w:r w:rsidRPr="004843E9">
              <w:rPr>
                <w:b/>
              </w:rPr>
              <w:t>Year 5</w:t>
            </w:r>
          </w:p>
        </w:tc>
        <w:tc>
          <w:tcPr>
            <w:tcW w:w="660" w:type="pct"/>
          </w:tcPr>
          <w:p w:rsidR="00C7409E" w:rsidRPr="004843E9" w:rsidRDefault="00C7409E" w:rsidP="002F3C4D">
            <w:pPr>
              <w:pStyle w:val="TableText0"/>
              <w:keepNext w:val="0"/>
              <w:jc w:val="center"/>
              <w:rPr>
                <w:b/>
              </w:rPr>
            </w:pPr>
            <w:r w:rsidRPr="004843E9">
              <w:rPr>
                <w:b/>
              </w:rPr>
              <w:t>Year 6</w:t>
            </w:r>
          </w:p>
        </w:tc>
      </w:tr>
      <w:tr w:rsidR="00C7409E" w:rsidRPr="004843E9" w:rsidTr="00B03EDB">
        <w:tc>
          <w:tcPr>
            <w:tcW w:w="5000" w:type="pct"/>
            <w:gridSpan w:val="7"/>
            <w:shd w:val="clear" w:color="auto" w:fill="auto"/>
            <w:vAlign w:val="center"/>
          </w:tcPr>
          <w:p w:rsidR="00C7409E" w:rsidRPr="004843E9" w:rsidRDefault="00C7409E" w:rsidP="002F3C4D">
            <w:pPr>
              <w:pStyle w:val="TableText0"/>
              <w:keepNext w:val="0"/>
              <w:rPr>
                <w:b/>
                <w:color w:val="000000"/>
              </w:rPr>
            </w:pPr>
            <w:r w:rsidRPr="004843E9">
              <w:rPr>
                <w:b/>
                <w:color w:val="000000"/>
              </w:rPr>
              <w:t>Estimated extent of use</w:t>
            </w:r>
          </w:p>
        </w:tc>
      </w:tr>
      <w:tr w:rsidR="00A07CEA" w:rsidRPr="004843E9" w:rsidTr="002F3C4D">
        <w:tc>
          <w:tcPr>
            <w:tcW w:w="1029" w:type="pct"/>
            <w:shd w:val="clear" w:color="auto" w:fill="auto"/>
            <w:vAlign w:val="center"/>
          </w:tcPr>
          <w:p w:rsidR="009B4B10" w:rsidRPr="004843E9" w:rsidRDefault="009B4B10" w:rsidP="002F3C4D">
            <w:pPr>
              <w:pStyle w:val="TableText0"/>
              <w:keepNext w:val="0"/>
            </w:pPr>
            <w:r w:rsidRPr="004843E9">
              <w:t>Number of patients treated</w:t>
            </w:r>
          </w:p>
        </w:tc>
        <w:tc>
          <w:tcPr>
            <w:tcW w:w="662" w:type="pct"/>
            <w:shd w:val="clear" w:color="auto" w:fill="auto"/>
            <w:vAlign w:val="center"/>
          </w:tcPr>
          <w:p w:rsidR="009B4B10" w:rsidRPr="006721E7" w:rsidRDefault="00E733BF" w:rsidP="002F3C4D">
            <w:pPr>
              <w:pStyle w:val="TableText0"/>
              <w:keepNext w:val="0"/>
              <w:jc w:val="center"/>
              <w:rPr>
                <w:color w:val="000000"/>
                <w:vertAlign w:val="superscript"/>
              </w:rPr>
            </w:pPr>
            <w:r>
              <w:rPr>
                <w:noProof/>
                <w:color w:val="000000"/>
                <w:highlight w:val="black"/>
              </w:rPr>
              <w:t>''''''''''</w:t>
            </w:r>
            <w:r w:rsidR="003D17AF">
              <w:rPr>
                <w:vertAlign w:val="superscript"/>
              </w:rPr>
              <w:t>1</w:t>
            </w:r>
          </w:p>
        </w:tc>
        <w:tc>
          <w:tcPr>
            <w:tcW w:w="662" w:type="pct"/>
            <w:shd w:val="clear" w:color="auto" w:fill="auto"/>
            <w:vAlign w:val="center"/>
          </w:tcPr>
          <w:p w:rsidR="009B4B10" w:rsidRPr="006721E7" w:rsidRDefault="00E733BF" w:rsidP="002F3C4D">
            <w:pPr>
              <w:pStyle w:val="TableText0"/>
              <w:keepNext w:val="0"/>
              <w:jc w:val="center"/>
              <w:rPr>
                <w:color w:val="000000"/>
                <w:vertAlign w:val="superscript"/>
              </w:rPr>
            </w:pPr>
            <w:r>
              <w:rPr>
                <w:noProof/>
                <w:color w:val="000000"/>
                <w:highlight w:val="black"/>
              </w:rPr>
              <w:t>''''''''</w:t>
            </w:r>
            <w:r w:rsidR="003D17AF">
              <w:rPr>
                <w:vertAlign w:val="superscript"/>
              </w:rPr>
              <w:t>1</w:t>
            </w:r>
          </w:p>
        </w:tc>
        <w:tc>
          <w:tcPr>
            <w:tcW w:w="662" w:type="pct"/>
            <w:shd w:val="clear" w:color="auto" w:fill="auto"/>
            <w:vAlign w:val="center"/>
          </w:tcPr>
          <w:p w:rsidR="009B4B10" w:rsidRPr="006721E7" w:rsidRDefault="00E733BF" w:rsidP="002F3C4D">
            <w:pPr>
              <w:pStyle w:val="TableText0"/>
              <w:keepNext w:val="0"/>
              <w:jc w:val="center"/>
              <w:rPr>
                <w:color w:val="000000"/>
                <w:vertAlign w:val="superscript"/>
              </w:rPr>
            </w:pPr>
            <w:r>
              <w:rPr>
                <w:noProof/>
                <w:color w:val="000000"/>
                <w:highlight w:val="black"/>
              </w:rPr>
              <w:t>''''''''</w:t>
            </w:r>
            <w:r w:rsidR="003D17AF">
              <w:rPr>
                <w:vertAlign w:val="superscript"/>
              </w:rPr>
              <w:t>1</w:t>
            </w:r>
          </w:p>
        </w:tc>
        <w:tc>
          <w:tcPr>
            <w:tcW w:w="662" w:type="pct"/>
            <w:shd w:val="clear" w:color="auto" w:fill="auto"/>
            <w:vAlign w:val="center"/>
          </w:tcPr>
          <w:p w:rsidR="009B4B10" w:rsidRPr="006721E7" w:rsidRDefault="00E733BF" w:rsidP="002F3C4D">
            <w:pPr>
              <w:pStyle w:val="TableText0"/>
              <w:keepNext w:val="0"/>
              <w:jc w:val="center"/>
              <w:rPr>
                <w:color w:val="000000"/>
                <w:vertAlign w:val="superscript"/>
              </w:rPr>
            </w:pPr>
            <w:r>
              <w:rPr>
                <w:noProof/>
                <w:color w:val="000000"/>
                <w:highlight w:val="black"/>
              </w:rPr>
              <w:t>'''''''''</w:t>
            </w:r>
            <w:r w:rsidR="003D17AF">
              <w:rPr>
                <w:vertAlign w:val="superscript"/>
              </w:rPr>
              <w:t>2</w:t>
            </w:r>
          </w:p>
        </w:tc>
        <w:tc>
          <w:tcPr>
            <w:tcW w:w="662" w:type="pct"/>
            <w:shd w:val="clear" w:color="auto" w:fill="auto"/>
            <w:vAlign w:val="center"/>
          </w:tcPr>
          <w:p w:rsidR="009B4B10" w:rsidRPr="006721E7" w:rsidRDefault="00E733BF" w:rsidP="002F3C4D">
            <w:pPr>
              <w:pStyle w:val="TableText0"/>
              <w:keepNext w:val="0"/>
              <w:jc w:val="center"/>
              <w:rPr>
                <w:color w:val="000000"/>
                <w:vertAlign w:val="superscript"/>
              </w:rPr>
            </w:pPr>
            <w:r>
              <w:rPr>
                <w:noProof/>
                <w:color w:val="000000"/>
                <w:highlight w:val="black"/>
              </w:rPr>
              <w:t>'''''''''</w:t>
            </w:r>
            <w:r w:rsidR="003D17AF">
              <w:rPr>
                <w:vertAlign w:val="superscript"/>
              </w:rPr>
              <w:t>2</w:t>
            </w:r>
          </w:p>
        </w:tc>
        <w:tc>
          <w:tcPr>
            <w:tcW w:w="660" w:type="pct"/>
            <w:vAlign w:val="center"/>
          </w:tcPr>
          <w:p w:rsidR="009B4B10" w:rsidRPr="006721E7" w:rsidRDefault="00E733BF" w:rsidP="002F3C4D">
            <w:pPr>
              <w:pStyle w:val="TableText0"/>
              <w:keepNext w:val="0"/>
              <w:jc w:val="center"/>
              <w:rPr>
                <w:color w:val="000000"/>
                <w:vertAlign w:val="superscript"/>
              </w:rPr>
            </w:pPr>
            <w:r>
              <w:rPr>
                <w:noProof/>
                <w:color w:val="000000"/>
                <w:highlight w:val="black"/>
              </w:rPr>
              <w:t>''''''''</w:t>
            </w:r>
            <w:r w:rsidR="003D17AF">
              <w:rPr>
                <w:vertAlign w:val="superscript"/>
              </w:rPr>
              <w:t>2</w:t>
            </w:r>
          </w:p>
        </w:tc>
      </w:tr>
      <w:tr w:rsidR="00A07CEA" w:rsidRPr="004843E9" w:rsidTr="002F3C4D">
        <w:tc>
          <w:tcPr>
            <w:tcW w:w="1029" w:type="pct"/>
            <w:shd w:val="clear" w:color="auto" w:fill="auto"/>
            <w:vAlign w:val="center"/>
          </w:tcPr>
          <w:p w:rsidR="009B4B10" w:rsidRPr="004843E9" w:rsidRDefault="009B4B10" w:rsidP="002F3C4D">
            <w:pPr>
              <w:pStyle w:val="TableText0"/>
              <w:keepNext w:val="0"/>
            </w:pPr>
            <w:r w:rsidRPr="004843E9">
              <w:t xml:space="preserve">Number of scripts </w:t>
            </w:r>
            <w:proofErr w:type="spellStart"/>
            <w:r w:rsidRPr="004843E9">
              <w:t>dispensed</w:t>
            </w:r>
            <w:r w:rsidRPr="004843E9">
              <w:rPr>
                <w:vertAlign w:val="superscript"/>
              </w:rPr>
              <w:t>a</w:t>
            </w:r>
            <w:proofErr w:type="spellEnd"/>
          </w:p>
        </w:tc>
        <w:tc>
          <w:tcPr>
            <w:tcW w:w="662" w:type="pct"/>
            <w:shd w:val="clear" w:color="auto" w:fill="auto"/>
            <w:vAlign w:val="center"/>
          </w:tcPr>
          <w:p w:rsidR="009B4B10" w:rsidRPr="004843E9" w:rsidRDefault="00E733BF" w:rsidP="002F3C4D">
            <w:pPr>
              <w:pStyle w:val="TableText0"/>
              <w:keepNext w:val="0"/>
              <w:jc w:val="center"/>
              <w:rPr>
                <w:color w:val="000000"/>
              </w:rPr>
            </w:pPr>
            <w:r>
              <w:rPr>
                <w:noProof/>
                <w:color w:val="000000"/>
                <w:highlight w:val="black"/>
              </w:rPr>
              <w:t>''''''''</w:t>
            </w:r>
            <w:r w:rsidR="003D17AF">
              <w:rPr>
                <w:vertAlign w:val="superscript"/>
              </w:rPr>
              <w:t>2</w:t>
            </w:r>
          </w:p>
        </w:tc>
        <w:tc>
          <w:tcPr>
            <w:tcW w:w="662" w:type="pct"/>
            <w:shd w:val="clear" w:color="auto" w:fill="auto"/>
            <w:vAlign w:val="center"/>
          </w:tcPr>
          <w:p w:rsidR="009B4B10" w:rsidRPr="004843E9" w:rsidRDefault="00E733BF" w:rsidP="002F3C4D">
            <w:pPr>
              <w:pStyle w:val="TableText0"/>
              <w:keepNext w:val="0"/>
              <w:jc w:val="center"/>
              <w:rPr>
                <w:color w:val="000000"/>
              </w:rPr>
            </w:pPr>
            <w:r>
              <w:rPr>
                <w:noProof/>
                <w:color w:val="000000"/>
                <w:highlight w:val="black"/>
              </w:rPr>
              <w:t>'''''''''</w:t>
            </w:r>
            <w:r w:rsidR="003D17AF">
              <w:rPr>
                <w:vertAlign w:val="superscript"/>
              </w:rPr>
              <w:t>2</w:t>
            </w:r>
          </w:p>
        </w:tc>
        <w:tc>
          <w:tcPr>
            <w:tcW w:w="662" w:type="pct"/>
            <w:shd w:val="clear" w:color="auto" w:fill="auto"/>
            <w:vAlign w:val="center"/>
          </w:tcPr>
          <w:p w:rsidR="009B4B10" w:rsidRPr="004843E9" w:rsidRDefault="00E733BF" w:rsidP="002F3C4D">
            <w:pPr>
              <w:pStyle w:val="TableText0"/>
              <w:keepNext w:val="0"/>
              <w:jc w:val="center"/>
              <w:rPr>
                <w:color w:val="000000"/>
              </w:rPr>
            </w:pPr>
            <w:r>
              <w:rPr>
                <w:noProof/>
                <w:color w:val="000000"/>
                <w:highlight w:val="black"/>
              </w:rPr>
              <w:t>'''''''''</w:t>
            </w:r>
            <w:r w:rsidR="003D17AF">
              <w:rPr>
                <w:vertAlign w:val="superscript"/>
              </w:rPr>
              <w:t>2</w:t>
            </w:r>
          </w:p>
        </w:tc>
        <w:tc>
          <w:tcPr>
            <w:tcW w:w="662" w:type="pct"/>
            <w:shd w:val="clear" w:color="auto" w:fill="auto"/>
            <w:vAlign w:val="center"/>
          </w:tcPr>
          <w:p w:rsidR="009B4B10" w:rsidRPr="004843E9" w:rsidRDefault="00E733BF" w:rsidP="002F3C4D">
            <w:pPr>
              <w:pStyle w:val="TableText0"/>
              <w:keepNext w:val="0"/>
              <w:jc w:val="center"/>
              <w:rPr>
                <w:color w:val="000000"/>
              </w:rPr>
            </w:pPr>
            <w:r>
              <w:rPr>
                <w:noProof/>
                <w:color w:val="000000"/>
                <w:highlight w:val="black"/>
              </w:rPr>
              <w:t>''''''''</w:t>
            </w:r>
            <w:r w:rsidR="003D17AF">
              <w:rPr>
                <w:vertAlign w:val="superscript"/>
              </w:rPr>
              <w:t>2</w:t>
            </w:r>
          </w:p>
        </w:tc>
        <w:tc>
          <w:tcPr>
            <w:tcW w:w="662" w:type="pct"/>
            <w:shd w:val="clear" w:color="auto" w:fill="auto"/>
            <w:vAlign w:val="center"/>
          </w:tcPr>
          <w:p w:rsidR="009B4B10" w:rsidRPr="004843E9" w:rsidRDefault="00E733BF" w:rsidP="002F3C4D">
            <w:pPr>
              <w:pStyle w:val="TableText0"/>
              <w:keepNext w:val="0"/>
              <w:jc w:val="center"/>
              <w:rPr>
                <w:color w:val="000000"/>
              </w:rPr>
            </w:pPr>
            <w:r>
              <w:rPr>
                <w:noProof/>
                <w:color w:val="000000"/>
                <w:highlight w:val="black"/>
              </w:rPr>
              <w:t>''''''''</w:t>
            </w:r>
            <w:r w:rsidR="003D17AF">
              <w:rPr>
                <w:vertAlign w:val="superscript"/>
              </w:rPr>
              <w:t>2</w:t>
            </w:r>
          </w:p>
        </w:tc>
        <w:tc>
          <w:tcPr>
            <w:tcW w:w="660" w:type="pct"/>
            <w:vAlign w:val="center"/>
          </w:tcPr>
          <w:p w:rsidR="009B4B10" w:rsidRPr="004843E9" w:rsidRDefault="00E733BF" w:rsidP="002F3C4D">
            <w:pPr>
              <w:pStyle w:val="TableText0"/>
              <w:keepNext w:val="0"/>
              <w:jc w:val="center"/>
              <w:rPr>
                <w:color w:val="000000"/>
              </w:rPr>
            </w:pPr>
            <w:r>
              <w:rPr>
                <w:noProof/>
                <w:color w:val="000000"/>
                <w:highlight w:val="black"/>
              </w:rPr>
              <w:t>'''''''''</w:t>
            </w:r>
            <w:r w:rsidR="003D17AF">
              <w:rPr>
                <w:vertAlign w:val="superscript"/>
              </w:rPr>
              <w:t>2</w:t>
            </w:r>
          </w:p>
        </w:tc>
      </w:tr>
      <w:tr w:rsidR="00871FE3" w:rsidRPr="004843E9" w:rsidTr="00B03EDB">
        <w:tc>
          <w:tcPr>
            <w:tcW w:w="5000" w:type="pct"/>
            <w:gridSpan w:val="7"/>
            <w:shd w:val="clear" w:color="auto" w:fill="auto"/>
            <w:vAlign w:val="center"/>
          </w:tcPr>
          <w:p w:rsidR="00871FE3" w:rsidRPr="004843E9" w:rsidRDefault="00871FE3" w:rsidP="002F3C4D">
            <w:pPr>
              <w:pStyle w:val="TableText0"/>
              <w:keepNext w:val="0"/>
              <w:rPr>
                <w:rFonts w:cs="Arial"/>
                <w:b/>
                <w:color w:val="000000"/>
                <w:szCs w:val="20"/>
                <w:highlight w:val="yellow"/>
              </w:rPr>
            </w:pPr>
            <w:r w:rsidRPr="004843E9">
              <w:rPr>
                <w:b/>
              </w:rPr>
              <w:t>Estimated financial implications of FA</w:t>
            </w:r>
            <w:r w:rsidR="00A07CEA" w:rsidRPr="004843E9">
              <w:rPr>
                <w:b/>
              </w:rPr>
              <w:t xml:space="preserve"> using effective prices of FA and DEX</w:t>
            </w:r>
          </w:p>
        </w:tc>
      </w:tr>
      <w:tr w:rsidR="00A07CEA" w:rsidRPr="004843E9" w:rsidTr="002F3C4D">
        <w:tc>
          <w:tcPr>
            <w:tcW w:w="1029" w:type="pct"/>
            <w:shd w:val="clear" w:color="auto" w:fill="auto"/>
            <w:vAlign w:val="center"/>
          </w:tcPr>
          <w:p w:rsidR="004962EB" w:rsidRPr="004843E9" w:rsidRDefault="004962EB" w:rsidP="002F3C4D">
            <w:pPr>
              <w:pStyle w:val="TableText0"/>
              <w:keepNext w:val="0"/>
              <w:rPr>
                <w:highlight w:val="yellow"/>
              </w:rPr>
            </w:pPr>
            <w:r w:rsidRPr="004843E9">
              <w:t xml:space="preserve">Cost to PBS/RPBS less </w:t>
            </w:r>
            <w:r w:rsidR="00870AEB" w:rsidRPr="004843E9">
              <w:t>co-payments</w:t>
            </w:r>
          </w:p>
        </w:tc>
        <w:tc>
          <w:tcPr>
            <w:tcW w:w="662" w:type="pct"/>
            <w:shd w:val="clear" w:color="auto" w:fill="auto"/>
          </w:tcPr>
          <w:p w:rsidR="004962EB" w:rsidRPr="006721E7" w:rsidRDefault="004962EB" w:rsidP="002F3C4D">
            <w:pPr>
              <w:pStyle w:val="TableText0"/>
              <w:keepNext w:val="0"/>
              <w:jc w:val="center"/>
              <w:rPr>
                <w:rFonts w:cs="Arial"/>
                <w:color w:val="000000"/>
                <w:szCs w:val="20"/>
                <w:highlight w:val="yellow"/>
                <w:vertAlign w:val="superscript"/>
              </w:rPr>
            </w:pPr>
            <w:r w:rsidRPr="004843E9">
              <w:t>$</w:t>
            </w:r>
            <w:r w:rsidR="00E733BF">
              <w:rPr>
                <w:noProof/>
                <w:color w:val="000000"/>
                <w:highlight w:val="black"/>
              </w:rPr>
              <w:t>'''''''''''''''''''''''</w:t>
            </w:r>
            <w:r w:rsidR="003D17AF">
              <w:rPr>
                <w:vertAlign w:val="superscript"/>
              </w:rPr>
              <w:t>3</w:t>
            </w:r>
          </w:p>
        </w:tc>
        <w:tc>
          <w:tcPr>
            <w:tcW w:w="662" w:type="pct"/>
            <w:shd w:val="clear" w:color="auto" w:fill="auto"/>
          </w:tcPr>
          <w:p w:rsidR="004962EB" w:rsidRPr="004843E9" w:rsidRDefault="004962EB" w:rsidP="002F3C4D">
            <w:pPr>
              <w:pStyle w:val="TableText0"/>
              <w:keepNext w:val="0"/>
              <w:jc w:val="center"/>
              <w:rPr>
                <w:rFonts w:cs="Arial"/>
                <w:color w:val="000000"/>
                <w:szCs w:val="20"/>
                <w:highlight w:val="yellow"/>
              </w:rPr>
            </w:pPr>
            <w:r w:rsidRPr="004843E9">
              <w:t>$</w:t>
            </w:r>
            <w:r w:rsidR="00E733BF">
              <w:rPr>
                <w:noProof/>
                <w:color w:val="000000"/>
                <w:highlight w:val="black"/>
              </w:rPr>
              <w:t>'''''''''''''''''''''''</w:t>
            </w:r>
            <w:r w:rsidR="003D17AF">
              <w:rPr>
                <w:vertAlign w:val="superscript"/>
              </w:rPr>
              <w:t>3</w:t>
            </w:r>
          </w:p>
        </w:tc>
        <w:tc>
          <w:tcPr>
            <w:tcW w:w="662" w:type="pct"/>
            <w:shd w:val="clear" w:color="auto" w:fill="auto"/>
          </w:tcPr>
          <w:p w:rsidR="004962EB" w:rsidRPr="004843E9" w:rsidRDefault="004962EB" w:rsidP="002F3C4D">
            <w:pPr>
              <w:pStyle w:val="TableText0"/>
              <w:keepNext w:val="0"/>
              <w:jc w:val="center"/>
              <w:rPr>
                <w:rFonts w:cs="Arial"/>
                <w:color w:val="000000"/>
                <w:szCs w:val="20"/>
                <w:highlight w:val="yellow"/>
              </w:rPr>
            </w:pPr>
            <w:r w:rsidRPr="004843E9">
              <w:t>$</w:t>
            </w:r>
            <w:r w:rsidR="00E733BF">
              <w:rPr>
                <w:noProof/>
                <w:color w:val="000000"/>
                <w:highlight w:val="black"/>
              </w:rPr>
              <w:t>''''''''''''''''''''''''</w:t>
            </w:r>
            <w:r w:rsidR="003D17AF">
              <w:rPr>
                <w:vertAlign w:val="superscript"/>
              </w:rPr>
              <w:t>3</w:t>
            </w:r>
          </w:p>
        </w:tc>
        <w:tc>
          <w:tcPr>
            <w:tcW w:w="662" w:type="pct"/>
            <w:shd w:val="clear" w:color="auto" w:fill="auto"/>
          </w:tcPr>
          <w:p w:rsidR="004962EB" w:rsidRPr="004843E9" w:rsidRDefault="004962EB" w:rsidP="002F3C4D">
            <w:pPr>
              <w:pStyle w:val="TableText0"/>
              <w:keepNext w:val="0"/>
              <w:jc w:val="center"/>
              <w:rPr>
                <w:rFonts w:cs="Arial"/>
                <w:color w:val="000000"/>
                <w:szCs w:val="20"/>
                <w:highlight w:val="yellow"/>
              </w:rPr>
            </w:pPr>
            <w:r w:rsidRPr="004843E9">
              <w:t>$</w:t>
            </w:r>
            <w:r w:rsidR="00E733BF">
              <w:rPr>
                <w:noProof/>
                <w:color w:val="000000"/>
                <w:highlight w:val="black"/>
              </w:rPr>
              <w:t>'''''''''''''''''''''''</w:t>
            </w:r>
            <w:r w:rsidR="003D17AF">
              <w:rPr>
                <w:vertAlign w:val="superscript"/>
              </w:rPr>
              <w:t>3</w:t>
            </w:r>
          </w:p>
        </w:tc>
        <w:tc>
          <w:tcPr>
            <w:tcW w:w="662" w:type="pct"/>
            <w:shd w:val="clear" w:color="auto" w:fill="auto"/>
          </w:tcPr>
          <w:p w:rsidR="004962EB" w:rsidRPr="004843E9" w:rsidRDefault="004962EB" w:rsidP="002F3C4D">
            <w:pPr>
              <w:pStyle w:val="TableText0"/>
              <w:keepNext w:val="0"/>
              <w:jc w:val="center"/>
              <w:rPr>
                <w:rFonts w:cs="Arial"/>
                <w:color w:val="000000"/>
                <w:szCs w:val="20"/>
                <w:highlight w:val="yellow"/>
              </w:rPr>
            </w:pPr>
            <w:r w:rsidRPr="004843E9">
              <w:t>$</w:t>
            </w:r>
            <w:r w:rsidR="00E733BF">
              <w:rPr>
                <w:noProof/>
                <w:color w:val="000000"/>
                <w:highlight w:val="black"/>
              </w:rPr>
              <w:t>'''''''''''''''''''''''''</w:t>
            </w:r>
            <w:r w:rsidR="003D17AF">
              <w:rPr>
                <w:vertAlign w:val="superscript"/>
              </w:rPr>
              <w:t>3</w:t>
            </w:r>
          </w:p>
        </w:tc>
        <w:tc>
          <w:tcPr>
            <w:tcW w:w="660" w:type="pct"/>
          </w:tcPr>
          <w:p w:rsidR="004962EB" w:rsidRPr="004843E9" w:rsidRDefault="004962EB" w:rsidP="002F3C4D">
            <w:pPr>
              <w:pStyle w:val="TableText0"/>
              <w:keepNext w:val="0"/>
              <w:jc w:val="center"/>
              <w:rPr>
                <w:rFonts w:cs="Arial"/>
                <w:color w:val="000000"/>
                <w:szCs w:val="20"/>
                <w:highlight w:val="yellow"/>
              </w:rPr>
            </w:pPr>
            <w:r w:rsidRPr="004843E9">
              <w:t>$</w:t>
            </w:r>
            <w:r w:rsidR="00E733BF">
              <w:rPr>
                <w:noProof/>
                <w:color w:val="000000"/>
                <w:highlight w:val="black"/>
              </w:rPr>
              <w:t>''''''''''''''''''''''''</w:t>
            </w:r>
            <w:r w:rsidR="003D17AF">
              <w:rPr>
                <w:vertAlign w:val="superscript"/>
              </w:rPr>
              <w:t>3</w:t>
            </w:r>
          </w:p>
        </w:tc>
      </w:tr>
      <w:tr w:rsidR="00A07CEA" w:rsidRPr="004843E9" w:rsidTr="002F3C4D">
        <w:tc>
          <w:tcPr>
            <w:tcW w:w="1029" w:type="pct"/>
            <w:shd w:val="clear" w:color="auto" w:fill="auto"/>
            <w:vAlign w:val="center"/>
          </w:tcPr>
          <w:p w:rsidR="00F57A81" w:rsidRPr="004843E9" w:rsidRDefault="00F57A81" w:rsidP="002F3C4D">
            <w:pPr>
              <w:pStyle w:val="TableText0"/>
              <w:keepNext w:val="0"/>
              <w:rPr>
                <w:highlight w:val="yellow"/>
              </w:rPr>
            </w:pPr>
            <w:r w:rsidRPr="004843E9">
              <w:t>Net cost of displaced drugs to PBS/RPBS</w:t>
            </w:r>
          </w:p>
        </w:tc>
        <w:tc>
          <w:tcPr>
            <w:tcW w:w="662" w:type="pct"/>
            <w:shd w:val="clear" w:color="auto" w:fill="auto"/>
          </w:tcPr>
          <w:p w:rsidR="00F57A81" w:rsidRPr="004843E9" w:rsidRDefault="00F57A81" w:rsidP="002F3C4D">
            <w:pPr>
              <w:pStyle w:val="TableText0"/>
              <w:keepNext w:val="0"/>
              <w:jc w:val="center"/>
              <w:rPr>
                <w:rFonts w:cs="Arial"/>
                <w:color w:val="000000"/>
                <w:szCs w:val="20"/>
                <w:highlight w:val="yellow"/>
              </w:rPr>
            </w:pPr>
            <w:r w:rsidRPr="004843E9">
              <w:t>-$</w:t>
            </w:r>
            <w:r w:rsidR="00E733BF">
              <w:rPr>
                <w:noProof/>
                <w:color w:val="000000"/>
                <w:highlight w:val="black"/>
              </w:rPr>
              <w:t>'''''''''''''''''''''</w:t>
            </w:r>
            <w:r w:rsidR="003D17AF">
              <w:rPr>
                <w:vertAlign w:val="superscript"/>
              </w:rPr>
              <w:t>3</w:t>
            </w:r>
          </w:p>
        </w:tc>
        <w:tc>
          <w:tcPr>
            <w:tcW w:w="662" w:type="pct"/>
            <w:shd w:val="clear" w:color="auto" w:fill="auto"/>
          </w:tcPr>
          <w:p w:rsidR="00F57A81" w:rsidRPr="004843E9" w:rsidRDefault="00F57A81" w:rsidP="002F3C4D">
            <w:pPr>
              <w:pStyle w:val="TableText0"/>
              <w:keepNext w:val="0"/>
              <w:jc w:val="center"/>
              <w:rPr>
                <w:rFonts w:cs="Arial"/>
                <w:color w:val="000000"/>
                <w:szCs w:val="20"/>
                <w:highlight w:val="yellow"/>
              </w:rPr>
            </w:pPr>
            <w:r w:rsidRPr="004843E9">
              <w:t>-$</w:t>
            </w:r>
            <w:r w:rsidR="00E733BF">
              <w:rPr>
                <w:noProof/>
                <w:color w:val="000000"/>
                <w:highlight w:val="black"/>
              </w:rPr>
              <w:t>''''''''''''''''''''''''''</w:t>
            </w:r>
            <w:r w:rsidR="003D17AF">
              <w:rPr>
                <w:vertAlign w:val="superscript"/>
              </w:rPr>
              <w:t>3</w:t>
            </w:r>
          </w:p>
        </w:tc>
        <w:tc>
          <w:tcPr>
            <w:tcW w:w="662" w:type="pct"/>
            <w:shd w:val="clear" w:color="auto" w:fill="auto"/>
          </w:tcPr>
          <w:p w:rsidR="00F57A81" w:rsidRPr="004843E9" w:rsidRDefault="00F57A81" w:rsidP="002F3C4D">
            <w:pPr>
              <w:pStyle w:val="TableText0"/>
              <w:keepNext w:val="0"/>
              <w:jc w:val="center"/>
              <w:rPr>
                <w:rFonts w:cs="Arial"/>
                <w:color w:val="000000"/>
                <w:szCs w:val="20"/>
                <w:highlight w:val="yellow"/>
              </w:rPr>
            </w:pPr>
            <w:r w:rsidRPr="004843E9">
              <w:t>-$</w:t>
            </w:r>
            <w:r w:rsidR="00E733BF">
              <w:rPr>
                <w:noProof/>
                <w:color w:val="000000"/>
                <w:highlight w:val="black"/>
              </w:rPr>
              <w:t>'''''''''''''''''''''''''</w:t>
            </w:r>
            <w:r w:rsidR="003D17AF">
              <w:rPr>
                <w:vertAlign w:val="superscript"/>
              </w:rPr>
              <w:t>3</w:t>
            </w:r>
          </w:p>
        </w:tc>
        <w:tc>
          <w:tcPr>
            <w:tcW w:w="662" w:type="pct"/>
            <w:shd w:val="clear" w:color="auto" w:fill="auto"/>
          </w:tcPr>
          <w:p w:rsidR="00F57A81" w:rsidRPr="004843E9" w:rsidRDefault="00F57A81" w:rsidP="002F3C4D">
            <w:pPr>
              <w:pStyle w:val="TableText0"/>
              <w:keepNext w:val="0"/>
              <w:jc w:val="center"/>
              <w:rPr>
                <w:rFonts w:cs="Arial"/>
                <w:color w:val="000000"/>
                <w:szCs w:val="20"/>
                <w:highlight w:val="yellow"/>
              </w:rPr>
            </w:pPr>
            <w:r w:rsidRPr="004843E9">
              <w:t>-$</w:t>
            </w:r>
            <w:r w:rsidR="00E733BF">
              <w:rPr>
                <w:noProof/>
                <w:color w:val="000000"/>
                <w:highlight w:val="black"/>
              </w:rPr>
              <w:t>'''''''''''''''''''''''''</w:t>
            </w:r>
            <w:r w:rsidR="003D17AF">
              <w:rPr>
                <w:vertAlign w:val="superscript"/>
              </w:rPr>
              <w:t>3</w:t>
            </w:r>
          </w:p>
        </w:tc>
        <w:tc>
          <w:tcPr>
            <w:tcW w:w="662" w:type="pct"/>
            <w:shd w:val="clear" w:color="auto" w:fill="auto"/>
          </w:tcPr>
          <w:p w:rsidR="00F57A81" w:rsidRPr="004843E9" w:rsidRDefault="00F57A81" w:rsidP="002F3C4D">
            <w:pPr>
              <w:pStyle w:val="TableText0"/>
              <w:keepNext w:val="0"/>
              <w:jc w:val="center"/>
              <w:rPr>
                <w:rFonts w:cs="Arial"/>
                <w:color w:val="000000"/>
                <w:szCs w:val="20"/>
                <w:highlight w:val="yellow"/>
              </w:rPr>
            </w:pPr>
            <w:r w:rsidRPr="004843E9">
              <w:t>-$</w:t>
            </w:r>
            <w:r w:rsidR="00E733BF">
              <w:rPr>
                <w:noProof/>
                <w:color w:val="000000"/>
                <w:highlight w:val="black"/>
              </w:rPr>
              <w:t>''''''''''''''''''''''</w:t>
            </w:r>
            <w:r w:rsidR="003D17AF">
              <w:rPr>
                <w:vertAlign w:val="superscript"/>
              </w:rPr>
              <w:t>3</w:t>
            </w:r>
          </w:p>
        </w:tc>
        <w:tc>
          <w:tcPr>
            <w:tcW w:w="660" w:type="pct"/>
          </w:tcPr>
          <w:p w:rsidR="00F57A81" w:rsidRPr="004843E9" w:rsidRDefault="00F57A81" w:rsidP="002F3C4D">
            <w:pPr>
              <w:pStyle w:val="TableText0"/>
              <w:keepNext w:val="0"/>
              <w:jc w:val="center"/>
              <w:rPr>
                <w:rFonts w:cs="Arial"/>
                <w:color w:val="000000"/>
                <w:szCs w:val="20"/>
                <w:highlight w:val="yellow"/>
              </w:rPr>
            </w:pPr>
            <w:r w:rsidRPr="004843E9">
              <w:t>-$</w:t>
            </w:r>
            <w:r w:rsidR="00E733BF">
              <w:rPr>
                <w:noProof/>
                <w:color w:val="000000"/>
                <w:highlight w:val="black"/>
              </w:rPr>
              <w:t>''''''''''''''''''''''''</w:t>
            </w:r>
            <w:r w:rsidR="003D17AF">
              <w:rPr>
                <w:vertAlign w:val="superscript"/>
              </w:rPr>
              <w:t>3</w:t>
            </w:r>
          </w:p>
        </w:tc>
      </w:tr>
      <w:tr w:rsidR="00A07CEA" w:rsidRPr="004843E9" w:rsidTr="002F3C4D">
        <w:tc>
          <w:tcPr>
            <w:tcW w:w="1029" w:type="pct"/>
            <w:shd w:val="clear" w:color="auto" w:fill="auto"/>
            <w:vAlign w:val="center"/>
          </w:tcPr>
          <w:p w:rsidR="009B61B5" w:rsidRPr="004843E9" w:rsidRDefault="009B61B5" w:rsidP="002F3C4D">
            <w:pPr>
              <w:pStyle w:val="TableText0"/>
              <w:keepNext w:val="0"/>
            </w:pPr>
            <w:r w:rsidRPr="004843E9">
              <w:t>Net cost to PBS/RPB</w:t>
            </w:r>
            <w:r w:rsidRPr="004843E9">
              <w:rPr>
                <w:color w:val="000000" w:themeColor="text1"/>
              </w:rPr>
              <w:t>S</w:t>
            </w:r>
          </w:p>
        </w:tc>
        <w:tc>
          <w:tcPr>
            <w:tcW w:w="662" w:type="pct"/>
            <w:shd w:val="clear" w:color="auto" w:fill="auto"/>
          </w:tcPr>
          <w:p w:rsidR="009B61B5" w:rsidRPr="004843E9" w:rsidRDefault="009B61B5" w:rsidP="002F3C4D">
            <w:pPr>
              <w:pStyle w:val="TableText0"/>
              <w:keepNext w:val="0"/>
              <w:jc w:val="center"/>
              <w:rPr>
                <w:rFonts w:cs="Arial"/>
                <w:color w:val="000000"/>
                <w:szCs w:val="20"/>
                <w:highlight w:val="yellow"/>
              </w:rPr>
            </w:pPr>
            <w:r w:rsidRPr="004843E9">
              <w:t>$</w:t>
            </w:r>
            <w:r w:rsidR="00E733BF">
              <w:rPr>
                <w:noProof/>
                <w:color w:val="000000"/>
                <w:highlight w:val="black"/>
              </w:rPr>
              <w:t>'''''''''''''''''''''</w:t>
            </w:r>
            <w:r w:rsidR="003D17AF">
              <w:rPr>
                <w:vertAlign w:val="superscript"/>
              </w:rPr>
              <w:t>3</w:t>
            </w:r>
          </w:p>
        </w:tc>
        <w:tc>
          <w:tcPr>
            <w:tcW w:w="662" w:type="pct"/>
            <w:shd w:val="clear" w:color="auto" w:fill="auto"/>
          </w:tcPr>
          <w:p w:rsidR="009B61B5" w:rsidRPr="004843E9" w:rsidRDefault="009B61B5" w:rsidP="002F3C4D">
            <w:pPr>
              <w:pStyle w:val="TableText0"/>
              <w:keepNext w:val="0"/>
              <w:jc w:val="center"/>
              <w:rPr>
                <w:rFonts w:cs="Arial"/>
                <w:color w:val="000000"/>
                <w:szCs w:val="20"/>
                <w:highlight w:val="yellow"/>
              </w:rPr>
            </w:pPr>
            <w:r w:rsidRPr="004843E9">
              <w:t>$</w:t>
            </w:r>
            <w:r w:rsidR="00E733BF">
              <w:rPr>
                <w:noProof/>
                <w:color w:val="000000"/>
                <w:highlight w:val="black"/>
              </w:rPr>
              <w:t>'''''''''''''''''</w:t>
            </w:r>
            <w:r w:rsidR="003D17AF">
              <w:rPr>
                <w:vertAlign w:val="superscript"/>
              </w:rPr>
              <w:t>3</w:t>
            </w:r>
          </w:p>
        </w:tc>
        <w:tc>
          <w:tcPr>
            <w:tcW w:w="662" w:type="pct"/>
            <w:shd w:val="clear" w:color="auto" w:fill="auto"/>
          </w:tcPr>
          <w:p w:rsidR="009B61B5" w:rsidRPr="004843E9" w:rsidRDefault="009B61B5" w:rsidP="002F3C4D">
            <w:pPr>
              <w:pStyle w:val="TableText0"/>
              <w:keepNext w:val="0"/>
              <w:jc w:val="center"/>
              <w:rPr>
                <w:rFonts w:cs="Arial"/>
                <w:color w:val="000000"/>
                <w:szCs w:val="20"/>
                <w:highlight w:val="yellow"/>
              </w:rPr>
            </w:pPr>
            <w:r w:rsidRPr="004843E9">
              <w:t>$</w:t>
            </w:r>
            <w:r w:rsidR="00E733BF">
              <w:rPr>
                <w:noProof/>
                <w:color w:val="000000"/>
                <w:highlight w:val="black"/>
              </w:rPr>
              <w:t>'''''''''''''''''''</w:t>
            </w:r>
            <w:r w:rsidR="003D17AF">
              <w:rPr>
                <w:vertAlign w:val="superscript"/>
              </w:rPr>
              <w:t>3</w:t>
            </w:r>
          </w:p>
        </w:tc>
        <w:tc>
          <w:tcPr>
            <w:tcW w:w="662" w:type="pct"/>
            <w:shd w:val="clear" w:color="auto" w:fill="auto"/>
          </w:tcPr>
          <w:p w:rsidR="009B61B5" w:rsidRPr="004843E9" w:rsidRDefault="009B61B5" w:rsidP="002F3C4D">
            <w:pPr>
              <w:pStyle w:val="TableText0"/>
              <w:keepNext w:val="0"/>
              <w:jc w:val="center"/>
              <w:rPr>
                <w:rFonts w:cs="Arial"/>
                <w:color w:val="000000"/>
                <w:szCs w:val="20"/>
                <w:highlight w:val="yellow"/>
              </w:rPr>
            </w:pPr>
            <w:r w:rsidRPr="004843E9">
              <w:t>$</w:t>
            </w:r>
            <w:r w:rsidR="00E733BF">
              <w:rPr>
                <w:noProof/>
                <w:color w:val="000000"/>
                <w:highlight w:val="black"/>
              </w:rPr>
              <w:t>''''''''''''''''''''''''''</w:t>
            </w:r>
            <w:r w:rsidR="003D17AF">
              <w:rPr>
                <w:vertAlign w:val="superscript"/>
              </w:rPr>
              <w:t>3</w:t>
            </w:r>
          </w:p>
        </w:tc>
        <w:tc>
          <w:tcPr>
            <w:tcW w:w="662" w:type="pct"/>
            <w:shd w:val="clear" w:color="auto" w:fill="auto"/>
          </w:tcPr>
          <w:p w:rsidR="009B61B5" w:rsidRPr="004843E9" w:rsidRDefault="009B61B5" w:rsidP="002F3C4D">
            <w:pPr>
              <w:pStyle w:val="TableText0"/>
              <w:keepNext w:val="0"/>
              <w:jc w:val="center"/>
              <w:rPr>
                <w:rFonts w:cs="Arial"/>
                <w:color w:val="000000"/>
                <w:szCs w:val="20"/>
                <w:highlight w:val="yellow"/>
              </w:rPr>
            </w:pPr>
            <w:r w:rsidRPr="004843E9">
              <w:t>$</w:t>
            </w:r>
            <w:r w:rsidR="00E733BF">
              <w:rPr>
                <w:noProof/>
                <w:color w:val="000000"/>
                <w:highlight w:val="black"/>
              </w:rPr>
              <w:t>'''''''''''''''''''</w:t>
            </w:r>
            <w:r w:rsidR="003D17AF">
              <w:rPr>
                <w:vertAlign w:val="superscript"/>
              </w:rPr>
              <w:t>3</w:t>
            </w:r>
          </w:p>
        </w:tc>
        <w:tc>
          <w:tcPr>
            <w:tcW w:w="660" w:type="pct"/>
          </w:tcPr>
          <w:p w:rsidR="009B61B5" w:rsidRPr="004843E9" w:rsidRDefault="009B61B5" w:rsidP="002F3C4D">
            <w:pPr>
              <w:pStyle w:val="TableText0"/>
              <w:keepNext w:val="0"/>
              <w:jc w:val="center"/>
              <w:rPr>
                <w:rFonts w:cs="Arial"/>
                <w:color w:val="000000"/>
                <w:szCs w:val="20"/>
                <w:highlight w:val="yellow"/>
              </w:rPr>
            </w:pPr>
            <w:r w:rsidRPr="00730995">
              <w:t>$</w:t>
            </w:r>
            <w:r w:rsidR="00E733BF">
              <w:rPr>
                <w:noProof/>
                <w:color w:val="000000"/>
                <w:highlight w:val="black"/>
              </w:rPr>
              <w:t>'''''''''''''''''''''''''</w:t>
            </w:r>
            <w:r w:rsidR="003D17AF">
              <w:rPr>
                <w:vertAlign w:val="superscript"/>
              </w:rPr>
              <w:t>3</w:t>
            </w:r>
          </w:p>
        </w:tc>
      </w:tr>
      <w:tr w:rsidR="00A07CEA" w:rsidRPr="004843E9" w:rsidTr="002F3C4D">
        <w:tc>
          <w:tcPr>
            <w:tcW w:w="1029" w:type="pct"/>
            <w:shd w:val="clear" w:color="auto" w:fill="auto"/>
            <w:vAlign w:val="center"/>
          </w:tcPr>
          <w:p w:rsidR="00A07CEA" w:rsidRPr="004843E9" w:rsidRDefault="00A07CEA" w:rsidP="002F3C4D">
            <w:pPr>
              <w:pStyle w:val="TableText0"/>
              <w:keepNext w:val="0"/>
            </w:pPr>
            <w:r w:rsidRPr="004843E9">
              <w:t>Net cost to (MBS/DHS/other)</w:t>
            </w:r>
          </w:p>
        </w:tc>
        <w:tc>
          <w:tcPr>
            <w:tcW w:w="662" w:type="pct"/>
            <w:shd w:val="clear" w:color="auto" w:fill="auto"/>
            <w:vAlign w:val="center"/>
          </w:tcPr>
          <w:p w:rsidR="00A07CEA" w:rsidRPr="004843E9" w:rsidRDefault="00A07CEA" w:rsidP="002F3C4D">
            <w:pPr>
              <w:pStyle w:val="TableText0"/>
              <w:keepNext w:val="0"/>
              <w:jc w:val="center"/>
              <w:rPr>
                <w:highlight w:val="yellow"/>
              </w:rPr>
            </w:pPr>
            <w:r w:rsidRPr="004843E9">
              <w:rPr>
                <w:rFonts w:cs="Arial"/>
                <w:szCs w:val="20"/>
              </w:rPr>
              <w:t>-$</w:t>
            </w:r>
            <w:r w:rsidR="00E733BF">
              <w:rPr>
                <w:rFonts w:cs="Arial"/>
                <w:noProof/>
                <w:color w:val="000000"/>
                <w:szCs w:val="20"/>
                <w:highlight w:val="black"/>
              </w:rPr>
              <w:t>''''''''''''''''''''</w:t>
            </w:r>
            <w:r w:rsidR="003D17AF">
              <w:rPr>
                <w:vertAlign w:val="superscript"/>
              </w:rPr>
              <w:t>3</w:t>
            </w:r>
          </w:p>
        </w:tc>
        <w:tc>
          <w:tcPr>
            <w:tcW w:w="662" w:type="pct"/>
            <w:shd w:val="clear" w:color="auto" w:fill="auto"/>
            <w:vAlign w:val="center"/>
          </w:tcPr>
          <w:p w:rsidR="00A07CEA" w:rsidRPr="004843E9" w:rsidRDefault="00A07CEA" w:rsidP="002F3C4D">
            <w:pPr>
              <w:pStyle w:val="TableText0"/>
              <w:keepNext w:val="0"/>
              <w:jc w:val="center"/>
              <w:rPr>
                <w:highlight w:val="yellow"/>
              </w:rPr>
            </w:pPr>
            <w:r w:rsidRPr="004843E9">
              <w:rPr>
                <w:rFonts w:cs="Arial"/>
                <w:szCs w:val="20"/>
              </w:rPr>
              <w:t>-$</w:t>
            </w:r>
            <w:r w:rsidR="00E733BF">
              <w:rPr>
                <w:rFonts w:cs="Arial"/>
                <w:noProof/>
                <w:color w:val="000000"/>
                <w:szCs w:val="20"/>
                <w:highlight w:val="black"/>
              </w:rPr>
              <w:t>''''''''''''''''''''</w:t>
            </w:r>
            <w:r w:rsidR="003D17AF">
              <w:rPr>
                <w:vertAlign w:val="superscript"/>
              </w:rPr>
              <w:t>3</w:t>
            </w:r>
          </w:p>
        </w:tc>
        <w:tc>
          <w:tcPr>
            <w:tcW w:w="662" w:type="pct"/>
            <w:shd w:val="clear" w:color="auto" w:fill="auto"/>
            <w:vAlign w:val="center"/>
          </w:tcPr>
          <w:p w:rsidR="00A07CEA" w:rsidRPr="004843E9" w:rsidRDefault="00A07CEA" w:rsidP="002F3C4D">
            <w:pPr>
              <w:pStyle w:val="TableText0"/>
              <w:keepNext w:val="0"/>
              <w:jc w:val="center"/>
              <w:rPr>
                <w:highlight w:val="yellow"/>
              </w:rPr>
            </w:pPr>
            <w:r w:rsidRPr="004843E9">
              <w:rPr>
                <w:rFonts w:cs="Arial"/>
                <w:szCs w:val="20"/>
              </w:rPr>
              <w:t>-$</w:t>
            </w:r>
            <w:r w:rsidR="00E733BF">
              <w:rPr>
                <w:rFonts w:cs="Arial"/>
                <w:noProof/>
                <w:color w:val="000000"/>
                <w:szCs w:val="20"/>
                <w:highlight w:val="black"/>
              </w:rPr>
              <w:t>'''''''''''''''''''</w:t>
            </w:r>
            <w:r w:rsidR="003D17AF">
              <w:rPr>
                <w:vertAlign w:val="superscript"/>
              </w:rPr>
              <w:t>3</w:t>
            </w:r>
          </w:p>
        </w:tc>
        <w:tc>
          <w:tcPr>
            <w:tcW w:w="662" w:type="pct"/>
            <w:shd w:val="clear" w:color="auto" w:fill="auto"/>
            <w:vAlign w:val="center"/>
          </w:tcPr>
          <w:p w:rsidR="00A07CEA" w:rsidRPr="004843E9" w:rsidRDefault="00A07CEA" w:rsidP="002F3C4D">
            <w:pPr>
              <w:pStyle w:val="TableText0"/>
              <w:keepNext w:val="0"/>
              <w:jc w:val="center"/>
              <w:rPr>
                <w:highlight w:val="yellow"/>
              </w:rPr>
            </w:pPr>
            <w:r w:rsidRPr="004843E9">
              <w:rPr>
                <w:rFonts w:cs="Arial"/>
                <w:szCs w:val="20"/>
              </w:rPr>
              <w:t>-$</w:t>
            </w:r>
            <w:r w:rsidR="00E733BF">
              <w:rPr>
                <w:rFonts w:cs="Arial"/>
                <w:noProof/>
                <w:color w:val="000000"/>
                <w:szCs w:val="20"/>
                <w:highlight w:val="black"/>
              </w:rPr>
              <w:t>'''''''''''''''''''</w:t>
            </w:r>
            <w:r w:rsidR="003D17AF">
              <w:rPr>
                <w:vertAlign w:val="superscript"/>
              </w:rPr>
              <w:t>3</w:t>
            </w:r>
          </w:p>
        </w:tc>
        <w:tc>
          <w:tcPr>
            <w:tcW w:w="662" w:type="pct"/>
            <w:shd w:val="clear" w:color="auto" w:fill="auto"/>
            <w:vAlign w:val="center"/>
          </w:tcPr>
          <w:p w:rsidR="00A07CEA" w:rsidRPr="004843E9" w:rsidRDefault="00A07CEA" w:rsidP="002F3C4D">
            <w:pPr>
              <w:pStyle w:val="TableText0"/>
              <w:keepNext w:val="0"/>
              <w:jc w:val="center"/>
              <w:rPr>
                <w:highlight w:val="yellow"/>
              </w:rPr>
            </w:pPr>
            <w:r w:rsidRPr="004843E9">
              <w:rPr>
                <w:rFonts w:cs="Arial"/>
                <w:szCs w:val="20"/>
              </w:rPr>
              <w:t>-$</w:t>
            </w:r>
            <w:r w:rsidR="00E733BF">
              <w:rPr>
                <w:rFonts w:cs="Arial"/>
                <w:noProof/>
                <w:color w:val="000000"/>
                <w:szCs w:val="20"/>
                <w:highlight w:val="black"/>
              </w:rPr>
              <w:t>'''''''''''''''''''</w:t>
            </w:r>
            <w:r w:rsidR="003D17AF">
              <w:rPr>
                <w:vertAlign w:val="superscript"/>
              </w:rPr>
              <w:t>3</w:t>
            </w:r>
          </w:p>
        </w:tc>
        <w:tc>
          <w:tcPr>
            <w:tcW w:w="660" w:type="pct"/>
            <w:vAlign w:val="center"/>
          </w:tcPr>
          <w:p w:rsidR="00A07CEA" w:rsidRPr="004843E9" w:rsidRDefault="00A07CEA" w:rsidP="002F3C4D">
            <w:pPr>
              <w:pStyle w:val="TableText0"/>
              <w:keepNext w:val="0"/>
              <w:jc w:val="center"/>
              <w:rPr>
                <w:highlight w:val="yellow"/>
              </w:rPr>
            </w:pPr>
            <w:r w:rsidRPr="004843E9">
              <w:rPr>
                <w:rFonts w:cs="Arial"/>
                <w:szCs w:val="20"/>
              </w:rPr>
              <w:t>-$</w:t>
            </w:r>
            <w:r w:rsidR="00E733BF">
              <w:rPr>
                <w:rFonts w:cs="Arial"/>
                <w:noProof/>
                <w:color w:val="000000"/>
                <w:szCs w:val="20"/>
                <w:highlight w:val="black"/>
              </w:rPr>
              <w:t>''''''''''''''''''</w:t>
            </w:r>
            <w:r w:rsidR="003D17AF">
              <w:rPr>
                <w:vertAlign w:val="superscript"/>
              </w:rPr>
              <w:t>3</w:t>
            </w:r>
          </w:p>
        </w:tc>
      </w:tr>
      <w:tr w:rsidR="00A07CEA" w:rsidRPr="004843E9" w:rsidTr="002F3C4D">
        <w:tc>
          <w:tcPr>
            <w:tcW w:w="1029" w:type="pct"/>
            <w:shd w:val="clear" w:color="auto" w:fill="auto"/>
            <w:vAlign w:val="center"/>
          </w:tcPr>
          <w:p w:rsidR="00A07CEA" w:rsidRPr="004843E9" w:rsidRDefault="00A07CEA" w:rsidP="002F3C4D">
            <w:pPr>
              <w:pStyle w:val="TableText0"/>
              <w:keepNext w:val="0"/>
            </w:pPr>
            <w:r w:rsidRPr="004843E9">
              <w:t>Net cost to (PBS/RPBS/MBS/DHS)</w:t>
            </w:r>
          </w:p>
        </w:tc>
        <w:tc>
          <w:tcPr>
            <w:tcW w:w="662" w:type="pct"/>
            <w:shd w:val="clear" w:color="auto" w:fill="auto"/>
            <w:vAlign w:val="center"/>
          </w:tcPr>
          <w:p w:rsidR="00A07CEA" w:rsidRPr="004843E9" w:rsidRDefault="00A07CEA" w:rsidP="002F3C4D">
            <w:pPr>
              <w:pStyle w:val="TableText0"/>
              <w:keepNext w:val="0"/>
              <w:jc w:val="center"/>
              <w:rPr>
                <w:highlight w:val="yellow"/>
              </w:rPr>
            </w:pPr>
            <w:r w:rsidRPr="004843E9">
              <w:rPr>
                <w:rFonts w:cs="Arial"/>
                <w:bCs w:val="0"/>
                <w:szCs w:val="20"/>
              </w:rPr>
              <w:t>$</w:t>
            </w:r>
            <w:r w:rsidR="00E733BF">
              <w:rPr>
                <w:rFonts w:cs="Arial"/>
                <w:bCs w:val="0"/>
                <w:noProof/>
                <w:color w:val="000000"/>
                <w:szCs w:val="20"/>
                <w:highlight w:val="black"/>
              </w:rPr>
              <w:t>'''''''''''''''''''''''</w:t>
            </w:r>
            <w:r w:rsidR="003D17AF">
              <w:rPr>
                <w:vertAlign w:val="superscript"/>
              </w:rPr>
              <w:t>3</w:t>
            </w:r>
          </w:p>
        </w:tc>
        <w:tc>
          <w:tcPr>
            <w:tcW w:w="662" w:type="pct"/>
            <w:shd w:val="clear" w:color="auto" w:fill="auto"/>
            <w:vAlign w:val="center"/>
          </w:tcPr>
          <w:p w:rsidR="00A07CEA" w:rsidRPr="004843E9" w:rsidRDefault="00A07CEA" w:rsidP="002F3C4D">
            <w:pPr>
              <w:pStyle w:val="TableText0"/>
              <w:keepNext w:val="0"/>
              <w:jc w:val="center"/>
              <w:rPr>
                <w:highlight w:val="yellow"/>
              </w:rPr>
            </w:pPr>
            <w:r w:rsidRPr="004843E9">
              <w:rPr>
                <w:rFonts w:cs="Arial"/>
                <w:bCs w:val="0"/>
                <w:szCs w:val="20"/>
              </w:rPr>
              <w:t>-$</w:t>
            </w:r>
            <w:r w:rsidR="00E733BF">
              <w:rPr>
                <w:rFonts w:cs="Arial"/>
                <w:bCs w:val="0"/>
                <w:noProof/>
                <w:color w:val="000000"/>
                <w:szCs w:val="20"/>
                <w:highlight w:val="black"/>
              </w:rPr>
              <w:t>''''''''''''''''''</w:t>
            </w:r>
            <w:r w:rsidR="003D17AF">
              <w:rPr>
                <w:vertAlign w:val="superscript"/>
              </w:rPr>
              <w:t>3</w:t>
            </w:r>
          </w:p>
        </w:tc>
        <w:tc>
          <w:tcPr>
            <w:tcW w:w="662" w:type="pct"/>
            <w:shd w:val="clear" w:color="auto" w:fill="auto"/>
            <w:vAlign w:val="center"/>
          </w:tcPr>
          <w:p w:rsidR="00A07CEA" w:rsidRPr="004843E9" w:rsidRDefault="00A07CEA" w:rsidP="002F3C4D">
            <w:pPr>
              <w:pStyle w:val="TableText0"/>
              <w:keepNext w:val="0"/>
              <w:jc w:val="center"/>
              <w:rPr>
                <w:highlight w:val="yellow"/>
              </w:rPr>
            </w:pPr>
            <w:r w:rsidRPr="004843E9">
              <w:rPr>
                <w:rFonts w:cs="Arial"/>
                <w:bCs w:val="0"/>
                <w:szCs w:val="20"/>
              </w:rPr>
              <w:t>-$</w:t>
            </w:r>
            <w:r w:rsidR="00E733BF">
              <w:rPr>
                <w:rFonts w:cs="Arial"/>
                <w:bCs w:val="0"/>
                <w:noProof/>
                <w:color w:val="000000"/>
                <w:szCs w:val="20"/>
                <w:highlight w:val="black"/>
              </w:rPr>
              <w:t>'''''''''''''''''</w:t>
            </w:r>
            <w:r w:rsidR="003D17AF">
              <w:rPr>
                <w:vertAlign w:val="superscript"/>
              </w:rPr>
              <w:t>3</w:t>
            </w:r>
          </w:p>
        </w:tc>
        <w:tc>
          <w:tcPr>
            <w:tcW w:w="662" w:type="pct"/>
            <w:shd w:val="clear" w:color="auto" w:fill="auto"/>
            <w:vAlign w:val="center"/>
          </w:tcPr>
          <w:p w:rsidR="00A07CEA" w:rsidRPr="004843E9" w:rsidRDefault="00A07CEA" w:rsidP="002F3C4D">
            <w:pPr>
              <w:pStyle w:val="TableText0"/>
              <w:keepNext w:val="0"/>
              <w:jc w:val="center"/>
              <w:rPr>
                <w:highlight w:val="yellow"/>
              </w:rPr>
            </w:pPr>
            <w:r w:rsidRPr="004843E9">
              <w:rPr>
                <w:rFonts w:cs="Arial"/>
                <w:bCs w:val="0"/>
                <w:szCs w:val="20"/>
              </w:rPr>
              <w:t>$</w:t>
            </w:r>
            <w:r w:rsidR="00E733BF">
              <w:rPr>
                <w:rFonts w:cs="Arial"/>
                <w:bCs w:val="0"/>
                <w:noProof/>
                <w:color w:val="000000"/>
                <w:szCs w:val="20"/>
                <w:highlight w:val="black"/>
              </w:rPr>
              <w:t>''''''''''''''''''''</w:t>
            </w:r>
            <w:r w:rsidR="003D17AF">
              <w:rPr>
                <w:vertAlign w:val="superscript"/>
              </w:rPr>
              <w:t>3</w:t>
            </w:r>
          </w:p>
        </w:tc>
        <w:tc>
          <w:tcPr>
            <w:tcW w:w="662" w:type="pct"/>
            <w:shd w:val="clear" w:color="auto" w:fill="auto"/>
            <w:vAlign w:val="center"/>
          </w:tcPr>
          <w:p w:rsidR="00A07CEA" w:rsidRPr="004843E9" w:rsidRDefault="00A07CEA" w:rsidP="002F3C4D">
            <w:pPr>
              <w:pStyle w:val="TableText0"/>
              <w:keepNext w:val="0"/>
              <w:jc w:val="center"/>
              <w:rPr>
                <w:highlight w:val="yellow"/>
              </w:rPr>
            </w:pPr>
            <w:r w:rsidRPr="004843E9">
              <w:rPr>
                <w:rFonts w:cs="Arial"/>
                <w:bCs w:val="0"/>
                <w:szCs w:val="20"/>
              </w:rPr>
              <w:t>$</w:t>
            </w:r>
            <w:r w:rsidR="00E733BF">
              <w:rPr>
                <w:rFonts w:cs="Arial"/>
                <w:bCs w:val="0"/>
                <w:noProof/>
                <w:color w:val="000000"/>
                <w:szCs w:val="20"/>
                <w:highlight w:val="black"/>
              </w:rPr>
              <w:t>'''''''''''''''''''</w:t>
            </w:r>
            <w:r w:rsidR="003D17AF">
              <w:rPr>
                <w:vertAlign w:val="superscript"/>
              </w:rPr>
              <w:t>3</w:t>
            </w:r>
          </w:p>
        </w:tc>
        <w:tc>
          <w:tcPr>
            <w:tcW w:w="660" w:type="pct"/>
            <w:vAlign w:val="center"/>
          </w:tcPr>
          <w:p w:rsidR="00A07CEA" w:rsidRPr="004843E9" w:rsidRDefault="00A07CEA" w:rsidP="002F3C4D">
            <w:pPr>
              <w:pStyle w:val="TableText0"/>
              <w:keepNext w:val="0"/>
              <w:jc w:val="center"/>
              <w:rPr>
                <w:highlight w:val="yellow"/>
              </w:rPr>
            </w:pPr>
            <w:r w:rsidRPr="004843E9">
              <w:rPr>
                <w:rFonts w:cs="Arial"/>
                <w:bCs w:val="0"/>
                <w:szCs w:val="20"/>
              </w:rPr>
              <w:t>$</w:t>
            </w:r>
            <w:r w:rsidR="00E733BF">
              <w:rPr>
                <w:rFonts w:cs="Arial"/>
                <w:bCs w:val="0"/>
                <w:noProof/>
                <w:color w:val="000000"/>
                <w:szCs w:val="20"/>
                <w:highlight w:val="black"/>
              </w:rPr>
              <w:t>'''''''''''''''''''</w:t>
            </w:r>
            <w:r w:rsidR="003D17AF">
              <w:rPr>
                <w:vertAlign w:val="superscript"/>
              </w:rPr>
              <w:t>3</w:t>
            </w:r>
          </w:p>
        </w:tc>
      </w:tr>
    </w:tbl>
    <w:p w:rsidR="00BC2AC0" w:rsidRPr="004843E9" w:rsidRDefault="00BC2AC0" w:rsidP="002F3C4D">
      <w:pPr>
        <w:pStyle w:val="TableFigureFooter"/>
      </w:pPr>
      <w:r w:rsidRPr="004843E9">
        <w:t xml:space="preserve">Source: </w:t>
      </w:r>
      <w:r w:rsidR="00B11AA6" w:rsidRPr="004843E9">
        <w:t>Sponsor’s Excel utilisation spreadsheet</w:t>
      </w:r>
      <w:r w:rsidR="00A07CEA" w:rsidRPr="004843E9">
        <w:t>:</w:t>
      </w:r>
      <w:r w:rsidR="00CD31FA" w:rsidRPr="004843E9">
        <w:t xml:space="preserve"> ‘2. Patients’, ‘3a. Scripts – new’ and</w:t>
      </w:r>
      <w:r w:rsidR="00A07CEA" w:rsidRPr="004843E9">
        <w:t xml:space="preserve"> ‘7. Net changes – MBS’ sheets</w:t>
      </w:r>
      <w:r w:rsidRPr="004843E9">
        <w:t>.</w:t>
      </w:r>
    </w:p>
    <w:p w:rsidR="00BC2AC0" w:rsidRPr="004843E9" w:rsidRDefault="00BC2AC0" w:rsidP="002F3C4D">
      <w:pPr>
        <w:pStyle w:val="TableFigureFooter"/>
      </w:pPr>
      <w:r w:rsidRPr="004843E9">
        <w:t xml:space="preserve">DEX = dexamethasone; </w:t>
      </w:r>
      <w:r w:rsidR="00F57D70" w:rsidRPr="004843E9">
        <w:t xml:space="preserve">DHS = Department of Human Services; </w:t>
      </w:r>
      <w:r w:rsidRPr="004843E9">
        <w:t>DPMQ = dispensed price for maximum quantity; FA</w:t>
      </w:r>
      <w:r w:rsidR="00871FE3" w:rsidRPr="004843E9">
        <w:t xml:space="preserve"> </w:t>
      </w:r>
      <w:r w:rsidRPr="004843E9">
        <w:t xml:space="preserve">= </w:t>
      </w:r>
      <w:proofErr w:type="spellStart"/>
      <w:r w:rsidRPr="004843E9">
        <w:t>fluocinolone</w:t>
      </w:r>
      <w:proofErr w:type="spellEnd"/>
      <w:r w:rsidRPr="004843E9">
        <w:t xml:space="preserve"> </w:t>
      </w:r>
      <w:proofErr w:type="spellStart"/>
      <w:r w:rsidRPr="004843E9">
        <w:t>acetonide</w:t>
      </w:r>
      <w:proofErr w:type="spellEnd"/>
      <w:r w:rsidR="00F57D70" w:rsidRPr="004843E9">
        <w:t xml:space="preserve">; </w:t>
      </w:r>
      <w:r w:rsidR="00F57D70" w:rsidRPr="004843E9">
        <w:rPr>
          <w:szCs w:val="18"/>
        </w:rPr>
        <w:t>MBS = Medicare Benefits; PBS = Pharmaceutical Benefits Scheme; RPBS = Repatriation Pharmaceutical Benefits Scheme.</w:t>
      </w:r>
    </w:p>
    <w:p w:rsidR="0019451C" w:rsidRDefault="00C7409E" w:rsidP="002F3C4D">
      <w:pPr>
        <w:pStyle w:val="TableFigureFooter"/>
      </w:pPr>
      <w:proofErr w:type="spellStart"/>
      <w:proofErr w:type="gramStart"/>
      <w:r w:rsidRPr="004843E9">
        <w:rPr>
          <w:vertAlign w:val="superscript"/>
        </w:rPr>
        <w:t>a</w:t>
      </w:r>
      <w:proofErr w:type="spellEnd"/>
      <w:proofErr w:type="gramEnd"/>
      <w:r w:rsidR="00EE31A2" w:rsidRPr="004843E9">
        <w:t xml:space="preserve"> </w:t>
      </w:r>
      <w:r w:rsidRPr="004843E9">
        <w:t xml:space="preserve">Assuming </w:t>
      </w:r>
      <w:r w:rsidR="00EE1777" w:rsidRPr="004843E9">
        <w:t xml:space="preserve">1.3 </w:t>
      </w:r>
      <w:r w:rsidRPr="004843E9">
        <w:t>scripts per</w:t>
      </w:r>
      <w:r w:rsidR="00977BF3" w:rsidRPr="004843E9">
        <w:t xml:space="preserve"> patient per</w:t>
      </w:r>
      <w:r w:rsidRPr="004843E9">
        <w:t xml:space="preserve"> year as estimated by the submission</w:t>
      </w:r>
      <w:r w:rsidR="009503C3" w:rsidRPr="004843E9">
        <w:t>, to account for 30% of patients receiving an implant in both eyes</w:t>
      </w:r>
      <w:r w:rsidRPr="004843E9">
        <w:t>.</w:t>
      </w:r>
    </w:p>
    <w:p w:rsidR="003D17AF" w:rsidRPr="006721E7" w:rsidRDefault="003D17AF" w:rsidP="002F3C4D">
      <w:pPr>
        <w:pStyle w:val="TableFigureFooter"/>
        <w:rPr>
          <w:i/>
        </w:rPr>
      </w:pPr>
      <w:r w:rsidRPr="006721E7">
        <w:rPr>
          <w:i/>
        </w:rPr>
        <w:t>The redacted values correspond to the following ranges:</w:t>
      </w:r>
    </w:p>
    <w:p w:rsidR="003D17AF" w:rsidRPr="006721E7" w:rsidRDefault="003D17AF" w:rsidP="002F3C4D">
      <w:pPr>
        <w:pStyle w:val="TableFigureFooter"/>
        <w:rPr>
          <w:i/>
        </w:rPr>
      </w:pPr>
      <w:r w:rsidRPr="006721E7">
        <w:rPr>
          <w:i/>
          <w:vertAlign w:val="superscript"/>
        </w:rPr>
        <w:t>1</w:t>
      </w:r>
      <w:r w:rsidRPr="006721E7">
        <w:rPr>
          <w:i/>
        </w:rPr>
        <w:t>&lt;500</w:t>
      </w:r>
    </w:p>
    <w:p w:rsidR="003D17AF" w:rsidRPr="006721E7" w:rsidRDefault="003D17AF" w:rsidP="002F3C4D">
      <w:pPr>
        <w:pStyle w:val="TableFigureFooter"/>
        <w:rPr>
          <w:i/>
        </w:rPr>
      </w:pPr>
      <w:r w:rsidRPr="006721E7">
        <w:rPr>
          <w:i/>
          <w:vertAlign w:val="superscript"/>
        </w:rPr>
        <w:t>2</w:t>
      </w:r>
      <w:r w:rsidRPr="006721E7">
        <w:rPr>
          <w:i/>
        </w:rPr>
        <w:t>500 to &lt;5,000</w:t>
      </w:r>
    </w:p>
    <w:p w:rsidR="003D17AF" w:rsidRPr="006721E7" w:rsidRDefault="003D17AF" w:rsidP="002F3C4D">
      <w:pPr>
        <w:pStyle w:val="TableFigureFooter"/>
        <w:rPr>
          <w:i/>
        </w:rPr>
      </w:pPr>
      <w:r w:rsidRPr="006721E7">
        <w:rPr>
          <w:i/>
          <w:vertAlign w:val="superscript"/>
        </w:rPr>
        <w:t>3</w:t>
      </w:r>
      <w:r w:rsidRPr="006721E7">
        <w:rPr>
          <w:i/>
        </w:rPr>
        <w:t>$0 million to &lt;$10 million</w:t>
      </w:r>
    </w:p>
    <w:p w:rsidR="00BF27A0" w:rsidRPr="004843E9" w:rsidRDefault="00BA347C" w:rsidP="002F3C4D">
      <w:pPr>
        <w:pStyle w:val="3Bodytext"/>
        <w:jc w:val="both"/>
        <w:rPr>
          <w:rFonts w:cstheme="minorHAnsi"/>
          <w:snapToGrid w:val="0"/>
          <w:color w:val="365F91" w:themeColor="accent1" w:themeShade="BF"/>
          <w:lang w:eastAsia="en-US"/>
        </w:rPr>
      </w:pPr>
      <w:r w:rsidRPr="004843E9">
        <w:t>As a minor submission, the financial estimates have not been independently evaluated.</w:t>
      </w:r>
    </w:p>
    <w:p w:rsidR="00C32888" w:rsidRPr="004843E9" w:rsidRDefault="004F6C96" w:rsidP="002F3C4D">
      <w:pPr>
        <w:pStyle w:val="4-SubsectionHeading"/>
        <w:keepNext w:val="0"/>
      </w:pPr>
      <w:r w:rsidRPr="004843E9">
        <w:t>Financial Management – Risk Sharing Arrangements</w:t>
      </w:r>
    </w:p>
    <w:p w:rsidR="004F6C96" w:rsidRPr="004843E9" w:rsidRDefault="008B0EF6" w:rsidP="002F3C4D">
      <w:pPr>
        <w:pStyle w:val="3Bodytext"/>
        <w:jc w:val="both"/>
      </w:pPr>
      <w:r w:rsidRPr="004843E9">
        <w:t>In March 2020, the PBAC noted DEX has a</w:t>
      </w:r>
      <w:r w:rsidR="00072037" w:rsidRPr="004843E9">
        <w:t xml:space="preserve"> risk sharing arrangement</w:t>
      </w:r>
      <w:r w:rsidRPr="004843E9">
        <w:t xml:space="preserve"> </w:t>
      </w:r>
      <w:r w:rsidR="00072037" w:rsidRPr="004843E9">
        <w:t>(</w:t>
      </w:r>
      <w:r w:rsidRPr="004843E9">
        <w:t>RSA</w:t>
      </w:r>
      <w:r w:rsidR="00072037" w:rsidRPr="004843E9">
        <w:t>)</w:t>
      </w:r>
      <w:r w:rsidRPr="004843E9">
        <w:t xml:space="preserve"> with a rebate in place to account for use beyond the utilisation estimates presented in the DEX submission (paragraph 7.9, DEX PSD, March 2016). The PBAC advised that FA would be required to join the DEX RSA with no changes to the expenditure caps in order to manage any residual uncertainty regarding the financial estimates. The Sponsor stated in the minor resubmission that they are willing to agree with this condition.</w:t>
      </w:r>
    </w:p>
    <w:p w:rsidR="00A017F7" w:rsidRPr="004843E9" w:rsidRDefault="00A017F7" w:rsidP="002F3C4D">
      <w:pPr>
        <w:pStyle w:val="3Bodytext"/>
        <w:numPr>
          <w:ilvl w:val="0"/>
          <w:numId w:val="0"/>
        </w:numPr>
        <w:ind w:left="720"/>
        <w:jc w:val="both"/>
      </w:pPr>
      <w:r w:rsidRPr="004843E9">
        <w:rPr>
          <w:i/>
        </w:rPr>
        <w:t xml:space="preserve">For more detail on PBAC’s view, see section </w:t>
      </w:r>
      <w:r w:rsidR="0016028B" w:rsidRPr="004843E9">
        <w:rPr>
          <w:i/>
        </w:rPr>
        <w:t xml:space="preserve">6 </w:t>
      </w:r>
      <w:r w:rsidRPr="004843E9">
        <w:rPr>
          <w:i/>
        </w:rPr>
        <w:t>PBAC outcome.</w:t>
      </w:r>
    </w:p>
    <w:p w:rsidR="00C32888" w:rsidRPr="004843E9" w:rsidRDefault="00C32888" w:rsidP="002F3C4D">
      <w:pPr>
        <w:pStyle w:val="2-SectionHeading"/>
        <w:keepNext w:val="0"/>
      </w:pPr>
      <w:r w:rsidRPr="004843E9">
        <w:t>PBAC Outcome</w:t>
      </w:r>
    </w:p>
    <w:p w:rsidR="00C32888" w:rsidRPr="004843E9" w:rsidRDefault="00B75EFD" w:rsidP="002F3C4D">
      <w:pPr>
        <w:pStyle w:val="3Bodytext"/>
        <w:jc w:val="both"/>
        <w:rPr>
          <w:snapToGrid w:val="0"/>
        </w:rPr>
      </w:pPr>
      <w:r w:rsidRPr="004843E9">
        <w:rPr>
          <w:snapToGrid w:val="0"/>
        </w:rPr>
        <w:t xml:space="preserve">The PBAC reaffirmed its previous recommendation from March 2020 for the Authority Required listing of </w:t>
      </w:r>
      <w:proofErr w:type="spellStart"/>
      <w:r w:rsidR="004F341A">
        <w:rPr>
          <w:snapToGrid w:val="0"/>
        </w:rPr>
        <w:t>fluocinolone</w:t>
      </w:r>
      <w:proofErr w:type="spellEnd"/>
      <w:r w:rsidR="004F341A">
        <w:rPr>
          <w:snapToGrid w:val="0"/>
        </w:rPr>
        <w:t xml:space="preserve"> </w:t>
      </w:r>
      <w:proofErr w:type="spellStart"/>
      <w:r w:rsidR="004F341A">
        <w:rPr>
          <w:snapToGrid w:val="0"/>
        </w:rPr>
        <w:t>acetonide</w:t>
      </w:r>
      <w:proofErr w:type="spellEnd"/>
      <w:r w:rsidR="00B1752C">
        <w:rPr>
          <w:snapToGrid w:val="0"/>
        </w:rPr>
        <w:t xml:space="preserve"> (FA)</w:t>
      </w:r>
      <w:r w:rsidRPr="004843E9">
        <w:rPr>
          <w:snapToGrid w:val="0"/>
        </w:rPr>
        <w:t xml:space="preserve"> </w:t>
      </w:r>
      <w:r w:rsidRPr="004843E9">
        <w:t xml:space="preserve">for the treatment of diabetic macular oedema (DMO) in patients who are unsuitable for, contraindicated to, or have failed treatment with </w:t>
      </w:r>
      <w:r w:rsidRPr="004843E9">
        <w:rPr>
          <w:rFonts w:ascii="Calibri" w:eastAsia="Times New Roman" w:hAnsi="Calibri" w:cs="Times New Roman"/>
          <w:szCs w:val="24"/>
        </w:rPr>
        <w:t>vascular endothelial growth factor (</w:t>
      </w:r>
      <w:r w:rsidRPr="004843E9">
        <w:t>VEGF) inhibitors</w:t>
      </w:r>
      <w:r w:rsidR="00422420" w:rsidRPr="004843E9">
        <w:t xml:space="preserve">. The PBAC made this recommendation </w:t>
      </w:r>
      <w:r w:rsidRPr="004843E9">
        <w:rPr>
          <w:snapToGrid w:val="0"/>
        </w:rPr>
        <w:t>on a cost minimisation basis against dexamethasone (DEX)</w:t>
      </w:r>
      <w:r w:rsidR="00F46488" w:rsidRPr="004843E9">
        <w:rPr>
          <w:snapToGrid w:val="0"/>
        </w:rPr>
        <w:t>, at a dose relativity of 1.3</w:t>
      </w:r>
      <w:r w:rsidR="00C01E68" w:rsidRPr="004843E9">
        <w:rPr>
          <w:snapToGrid w:val="0"/>
        </w:rPr>
        <w:t xml:space="preserve"> FA</w:t>
      </w:r>
      <w:r w:rsidR="00F46488" w:rsidRPr="004843E9">
        <w:rPr>
          <w:snapToGrid w:val="0"/>
        </w:rPr>
        <w:t xml:space="preserve"> </w:t>
      </w:r>
      <w:r w:rsidR="00853EE4" w:rsidRPr="004843E9">
        <w:rPr>
          <w:snapToGrid w:val="0"/>
        </w:rPr>
        <w:t>administrations</w:t>
      </w:r>
      <w:r w:rsidR="00F46488" w:rsidRPr="004843E9">
        <w:rPr>
          <w:snapToGrid w:val="0"/>
        </w:rPr>
        <w:t xml:space="preserve"> versus 4.11 </w:t>
      </w:r>
      <w:r w:rsidR="00C01E68" w:rsidRPr="004843E9">
        <w:rPr>
          <w:snapToGrid w:val="0"/>
        </w:rPr>
        <w:t xml:space="preserve">DEX </w:t>
      </w:r>
      <w:r w:rsidR="00853EE4" w:rsidRPr="004843E9">
        <w:rPr>
          <w:snapToGrid w:val="0"/>
        </w:rPr>
        <w:t>administrations</w:t>
      </w:r>
      <w:r w:rsidR="00F46488" w:rsidRPr="004843E9">
        <w:rPr>
          <w:snapToGrid w:val="0"/>
        </w:rPr>
        <w:t xml:space="preserve"> over 36 months</w:t>
      </w:r>
      <w:r w:rsidRPr="004843E9">
        <w:rPr>
          <w:snapToGrid w:val="0"/>
        </w:rPr>
        <w:t>.</w:t>
      </w:r>
    </w:p>
    <w:p w:rsidR="009C70E2" w:rsidRPr="004843E9" w:rsidRDefault="00691726" w:rsidP="002F3C4D">
      <w:pPr>
        <w:pStyle w:val="3Bodytext"/>
        <w:jc w:val="both"/>
        <w:rPr>
          <w:snapToGrid w:val="0"/>
        </w:rPr>
      </w:pPr>
      <w:r w:rsidRPr="004843E9">
        <w:rPr>
          <w:rFonts w:cs="Arial"/>
          <w:bCs/>
          <w:snapToGrid w:val="0"/>
        </w:rPr>
        <w:t xml:space="preserve">The PBAC noted the input from the Consumer Comments facility on the PBS website, describing a range of benefits with FA </w:t>
      </w:r>
      <w:r w:rsidR="00856082" w:rsidRPr="004843E9">
        <w:rPr>
          <w:rFonts w:cs="Arial"/>
          <w:bCs/>
          <w:snapToGrid w:val="0"/>
        </w:rPr>
        <w:t xml:space="preserve">including access for suitable patients who are </w:t>
      </w:r>
      <w:r w:rsidR="00856082" w:rsidRPr="004843E9">
        <w:rPr>
          <w:rFonts w:cs="Arial"/>
          <w:bCs/>
          <w:snapToGrid w:val="0"/>
        </w:rPr>
        <w:lastRenderedPageBreak/>
        <w:t>recalcitrant to other forms of treatment</w:t>
      </w:r>
      <w:r w:rsidRPr="004843E9">
        <w:rPr>
          <w:rFonts w:cs="Arial"/>
          <w:bCs/>
          <w:snapToGrid w:val="0"/>
        </w:rPr>
        <w:t xml:space="preserve"> and a reduction in the </w:t>
      </w:r>
      <w:r w:rsidR="00856082" w:rsidRPr="004843E9">
        <w:rPr>
          <w:rFonts w:cs="Arial"/>
          <w:bCs/>
          <w:snapToGrid w:val="0"/>
        </w:rPr>
        <w:t xml:space="preserve">frequency of </w:t>
      </w:r>
      <w:proofErr w:type="spellStart"/>
      <w:r w:rsidR="00856082" w:rsidRPr="004843E9">
        <w:rPr>
          <w:rFonts w:cs="Arial"/>
          <w:bCs/>
          <w:snapToGrid w:val="0"/>
        </w:rPr>
        <w:t>intravitreal</w:t>
      </w:r>
      <w:proofErr w:type="spellEnd"/>
      <w:r w:rsidR="00856082" w:rsidRPr="004843E9">
        <w:rPr>
          <w:rFonts w:cs="Arial"/>
          <w:bCs/>
          <w:snapToGrid w:val="0"/>
        </w:rPr>
        <w:t xml:space="preserve"> injections.</w:t>
      </w:r>
    </w:p>
    <w:p w:rsidR="009C70E2" w:rsidRPr="004843E9" w:rsidRDefault="009C70E2" w:rsidP="00B75EFD">
      <w:pPr>
        <w:pStyle w:val="3Bodytext"/>
        <w:jc w:val="both"/>
        <w:rPr>
          <w:snapToGrid w:val="0"/>
        </w:rPr>
      </w:pPr>
      <w:r w:rsidRPr="004843E9">
        <w:rPr>
          <w:snapToGrid w:val="0"/>
        </w:rPr>
        <w:t>The PBAC recalled</w:t>
      </w:r>
      <w:r w:rsidR="00853EE4" w:rsidRPr="004843E9">
        <w:rPr>
          <w:snapToGrid w:val="0"/>
        </w:rPr>
        <w:t xml:space="preserve"> </w:t>
      </w:r>
      <w:r w:rsidR="00853EE4" w:rsidRPr="004843E9">
        <w:rPr>
          <w:rFonts w:cs="Arial"/>
          <w:bCs/>
          <w:snapToGrid w:val="0"/>
        </w:rPr>
        <w:t>that in March 2020, it had considered that a comparison</w:t>
      </w:r>
      <w:r w:rsidR="000246A0" w:rsidRPr="004843E9">
        <w:rPr>
          <w:rFonts w:cs="Arial"/>
          <w:bCs/>
          <w:snapToGrid w:val="0"/>
        </w:rPr>
        <w:t xml:space="preserve"> of FA</w:t>
      </w:r>
      <w:r w:rsidR="00853EE4" w:rsidRPr="004843E9">
        <w:rPr>
          <w:rFonts w:cs="Arial"/>
          <w:bCs/>
          <w:snapToGrid w:val="0"/>
        </w:rPr>
        <w:t xml:space="preserve"> against DEX was appropriate; however, it did not agree that the calculation of the</w:t>
      </w:r>
      <w:r w:rsidR="00FE1E82" w:rsidRPr="004843E9">
        <w:rPr>
          <w:rFonts w:cs="Arial"/>
          <w:bCs/>
          <w:snapToGrid w:val="0"/>
        </w:rPr>
        <w:t xml:space="preserve"> FA</w:t>
      </w:r>
      <w:r w:rsidR="00853EE4" w:rsidRPr="004843E9">
        <w:rPr>
          <w:rFonts w:cs="Arial"/>
          <w:bCs/>
          <w:snapToGrid w:val="0"/>
        </w:rPr>
        <w:t xml:space="preserve"> price presented in the submission</w:t>
      </w:r>
      <w:r w:rsidR="00FE1E82" w:rsidRPr="004843E9">
        <w:rPr>
          <w:rFonts w:cs="Arial"/>
          <w:bCs/>
          <w:snapToGrid w:val="0"/>
        </w:rPr>
        <w:t>,</w:t>
      </w:r>
      <w:r w:rsidR="00853EE4" w:rsidRPr="004843E9">
        <w:rPr>
          <w:rFonts w:cs="Arial"/>
          <w:bCs/>
          <w:snapToGrid w:val="0"/>
        </w:rPr>
        <w:t xml:space="preserve"> using a dose relativity of 1 administration FA to 6.48 administrations DEX over 36 months</w:t>
      </w:r>
      <w:r w:rsidR="00FE1E82" w:rsidRPr="004843E9">
        <w:rPr>
          <w:rFonts w:cs="Arial"/>
          <w:bCs/>
          <w:snapToGrid w:val="0"/>
        </w:rPr>
        <w:t>,</w:t>
      </w:r>
      <w:r w:rsidR="00853EE4" w:rsidRPr="004843E9">
        <w:rPr>
          <w:rFonts w:cs="Arial"/>
          <w:bCs/>
          <w:snapToGrid w:val="0"/>
        </w:rPr>
        <w:t xml:space="preserve"> was appropriate.</w:t>
      </w:r>
    </w:p>
    <w:p w:rsidR="00D04C29" w:rsidRPr="004843E9" w:rsidRDefault="00D04C29" w:rsidP="006F4265">
      <w:pPr>
        <w:widowControl w:val="0"/>
        <w:numPr>
          <w:ilvl w:val="1"/>
          <w:numId w:val="1"/>
        </w:numPr>
        <w:spacing w:after="120"/>
        <w:rPr>
          <w:rFonts w:asciiTheme="minorHAnsi" w:hAnsiTheme="minorHAnsi" w:cs="Arial"/>
          <w:bCs/>
          <w:snapToGrid w:val="0"/>
        </w:rPr>
      </w:pPr>
      <w:r w:rsidRPr="004843E9">
        <w:t>While the Sponsor</w:t>
      </w:r>
      <w:r w:rsidR="000E05D9" w:rsidRPr="004843E9">
        <w:t xml:space="preserve"> did not update the clinical claim from the March 2020 submission, that FA is non-inferior to DEX for both comparative effectiveness and safety, they</w:t>
      </w:r>
      <w:r w:rsidRPr="004843E9">
        <w:t xml:space="preserve"> </w:t>
      </w:r>
      <w:r w:rsidR="000E05D9" w:rsidRPr="004843E9">
        <w:t>asserted</w:t>
      </w:r>
      <w:r w:rsidR="007A49A5" w:rsidRPr="004843E9">
        <w:t xml:space="preserve"> in the resubmission</w:t>
      </w:r>
      <w:r w:rsidR="000E05D9" w:rsidRPr="004843E9">
        <w:t xml:space="preserve"> </w:t>
      </w:r>
      <w:r w:rsidRPr="004843E9">
        <w:t>that patients treated with FA had a greater improvement in BCVA compared with DEX,</w:t>
      </w:r>
      <w:r w:rsidR="00016111" w:rsidRPr="004843E9">
        <w:t xml:space="preserve"> and that clinical and anatomical fluctuations associated with DEX are not seen with FA.</w:t>
      </w:r>
      <w:r w:rsidRPr="004843E9">
        <w:t xml:space="preserve"> </w:t>
      </w:r>
      <w:r w:rsidR="000246A0" w:rsidRPr="004843E9">
        <w:t>T</w:t>
      </w:r>
      <w:r w:rsidRPr="004843E9">
        <w:t>he PBAC maintained its view from March 2020 that a claim of non-inferior comparative effectiveness of FA and DEX was reasonable (</w:t>
      </w:r>
      <w:r w:rsidR="000246A0" w:rsidRPr="004843E9">
        <w:t>paragraph 5.5</w:t>
      </w:r>
      <w:r w:rsidRPr="004843E9">
        <w:t xml:space="preserve">) and that the effectiveness of both DEX and FA was modest (paragraph 6.23, FA PSD, March 2020). </w:t>
      </w:r>
    </w:p>
    <w:p w:rsidR="00D04C29" w:rsidRPr="004843E9" w:rsidRDefault="000D5BA0" w:rsidP="000D5BA0">
      <w:pPr>
        <w:pStyle w:val="3Bodytext"/>
        <w:jc w:val="both"/>
        <w:rPr>
          <w:rFonts w:cs="Arial"/>
          <w:bCs/>
          <w:snapToGrid w:val="0"/>
        </w:rPr>
      </w:pPr>
      <w:r w:rsidRPr="004843E9">
        <w:t>The Sponsor claimed that the FAME and MEAD trial doses are not representative of Australian and global clinical practice</w:t>
      </w:r>
      <w:r w:rsidR="00231656" w:rsidRPr="004843E9">
        <w:t>, and the trials should therefore not be used to indicate the equi-effective doses</w:t>
      </w:r>
      <w:r w:rsidR="00C821BE" w:rsidRPr="004843E9">
        <w:t xml:space="preserve"> of FA and DEX</w:t>
      </w:r>
      <w:r w:rsidR="00C34A0D" w:rsidRPr="004843E9">
        <w:t>.</w:t>
      </w:r>
      <w:r w:rsidR="00231656" w:rsidRPr="004843E9">
        <w:t xml:space="preserve"> </w:t>
      </w:r>
      <w:r w:rsidR="0016028B" w:rsidRPr="004843E9">
        <w:t>T</w:t>
      </w:r>
      <w:r w:rsidR="00D04C29" w:rsidRPr="004843E9">
        <w:t xml:space="preserve">he PBAC </w:t>
      </w:r>
      <w:r w:rsidR="00231656" w:rsidRPr="004843E9">
        <w:t>advised</w:t>
      </w:r>
      <w:r w:rsidR="00D04C29" w:rsidRPr="004843E9">
        <w:t xml:space="preserve"> that the equi-effective doses should be derived from an indirect comparison using randomised trials </w:t>
      </w:r>
      <w:r w:rsidR="00D906CB" w:rsidRPr="004843E9">
        <w:t>in preference to</w:t>
      </w:r>
      <w:r w:rsidR="00D04C29" w:rsidRPr="004843E9">
        <w:t xml:space="preserve"> evidence from nonrandomised studies, in line with PBAC Guidelines.</w:t>
      </w:r>
      <w:r w:rsidR="00422420" w:rsidRPr="004843E9">
        <w:t xml:space="preserve"> </w:t>
      </w:r>
      <w:r w:rsidR="00934EED" w:rsidRPr="004843E9">
        <w:t xml:space="preserve">The PBAC </w:t>
      </w:r>
      <w:r w:rsidR="00C34A0D" w:rsidRPr="004843E9">
        <w:t>considered</w:t>
      </w:r>
      <w:r w:rsidR="00934EED" w:rsidRPr="004843E9">
        <w:t xml:space="preserve"> that </w:t>
      </w:r>
      <w:r w:rsidR="000246A0" w:rsidRPr="004843E9">
        <w:t>non-inferiority had</w:t>
      </w:r>
      <w:r w:rsidR="00F60B58" w:rsidRPr="004843E9">
        <w:t xml:space="preserve"> only been reasonably established at the dose frequencies used in the MEAD and FAME trials,</w:t>
      </w:r>
      <w:r w:rsidR="00F60B58" w:rsidRPr="004843E9" w:rsidDel="00F60B58">
        <w:rPr>
          <w:rFonts w:ascii="Calibri" w:eastAsia="Times New Roman" w:hAnsi="Calibri" w:cs="Times New Roman"/>
          <w:szCs w:val="24"/>
        </w:rPr>
        <w:t xml:space="preserve"> </w:t>
      </w:r>
      <w:r w:rsidR="000246A0" w:rsidRPr="004843E9">
        <w:rPr>
          <w:rFonts w:ascii="Calibri" w:eastAsia="Times New Roman" w:hAnsi="Calibri" w:cs="Times New Roman"/>
          <w:szCs w:val="24"/>
        </w:rPr>
        <w:t xml:space="preserve">and that </w:t>
      </w:r>
      <w:r w:rsidR="00AA481F" w:rsidRPr="004843E9">
        <w:rPr>
          <w:rFonts w:ascii="Calibri" w:eastAsia="Times New Roman" w:hAnsi="Calibri" w:cs="Times New Roman"/>
          <w:szCs w:val="24"/>
        </w:rPr>
        <w:t>while it is possible that</w:t>
      </w:r>
      <w:r w:rsidR="00422420" w:rsidRPr="004843E9">
        <w:rPr>
          <w:rFonts w:ascii="Calibri" w:eastAsia="Times New Roman" w:hAnsi="Calibri" w:cs="Times New Roman"/>
          <w:szCs w:val="24"/>
        </w:rPr>
        <w:t xml:space="preserve"> </w:t>
      </w:r>
      <w:r w:rsidR="00F60B58" w:rsidRPr="004843E9">
        <w:rPr>
          <w:rFonts w:ascii="Calibri" w:eastAsia="Times New Roman" w:hAnsi="Calibri" w:cs="Times New Roman"/>
          <w:szCs w:val="24"/>
        </w:rPr>
        <w:t>the pattern of use of FA and DEX in clinical practice is different from</w:t>
      </w:r>
      <w:r w:rsidR="00AA481F" w:rsidRPr="004843E9">
        <w:rPr>
          <w:rFonts w:ascii="Calibri" w:eastAsia="Times New Roman" w:hAnsi="Calibri" w:cs="Times New Roman"/>
          <w:szCs w:val="24"/>
        </w:rPr>
        <w:t xml:space="preserve"> the</w:t>
      </w:r>
      <w:r w:rsidR="00F60B58" w:rsidRPr="004843E9">
        <w:rPr>
          <w:rFonts w:ascii="Calibri" w:eastAsia="Times New Roman" w:hAnsi="Calibri" w:cs="Times New Roman"/>
          <w:szCs w:val="24"/>
        </w:rPr>
        <w:t xml:space="preserve"> trials</w:t>
      </w:r>
      <w:r w:rsidR="00AA481F" w:rsidRPr="004843E9">
        <w:rPr>
          <w:rFonts w:ascii="Calibri" w:eastAsia="Times New Roman" w:hAnsi="Calibri" w:cs="Times New Roman"/>
          <w:szCs w:val="24"/>
        </w:rPr>
        <w:t>,</w:t>
      </w:r>
      <w:r w:rsidR="00422420" w:rsidRPr="004843E9">
        <w:rPr>
          <w:rFonts w:ascii="Calibri" w:eastAsia="Times New Roman" w:hAnsi="Calibri" w:cs="Times New Roman"/>
          <w:szCs w:val="24"/>
        </w:rPr>
        <w:t xml:space="preserve"> there is a significant risk that</w:t>
      </w:r>
      <w:r w:rsidR="00F60B58" w:rsidRPr="004843E9">
        <w:rPr>
          <w:rFonts w:ascii="Calibri" w:eastAsia="Times New Roman" w:hAnsi="Calibri" w:cs="Times New Roman"/>
          <w:szCs w:val="24"/>
        </w:rPr>
        <w:t xml:space="preserve"> </w:t>
      </w:r>
      <w:r w:rsidR="00F60B58" w:rsidRPr="004843E9">
        <w:t>FA is inferior to DEX at a ratio of 1 FA</w:t>
      </w:r>
      <w:proofErr w:type="gramStart"/>
      <w:r w:rsidR="00F60B58" w:rsidRPr="004843E9">
        <w:t>:6.48</w:t>
      </w:r>
      <w:proofErr w:type="gramEnd"/>
      <w:r w:rsidR="00F60B58" w:rsidRPr="004843E9">
        <w:t xml:space="preserve"> DEX administrations</w:t>
      </w:r>
      <w:r w:rsidR="00F60B58" w:rsidRPr="004843E9">
        <w:rPr>
          <w:rFonts w:ascii="Calibri" w:eastAsia="Times New Roman" w:hAnsi="Calibri" w:cs="Times New Roman"/>
          <w:szCs w:val="24"/>
        </w:rPr>
        <w:t xml:space="preserve">. </w:t>
      </w:r>
      <w:r w:rsidR="00E01A62" w:rsidRPr="004843E9">
        <w:rPr>
          <w:rFonts w:ascii="Calibri" w:eastAsia="Times New Roman" w:hAnsi="Calibri" w:cs="Times New Roman"/>
          <w:szCs w:val="24"/>
        </w:rPr>
        <w:t xml:space="preserve">The PBAC advised that the original dose relativity from the March 2020 PBAC consideration should be maintained </w:t>
      </w:r>
      <w:r w:rsidR="00E01A62" w:rsidRPr="004843E9">
        <w:t xml:space="preserve">(1.3 FA </w:t>
      </w:r>
      <w:r w:rsidR="00F60B58" w:rsidRPr="004843E9">
        <w:t>administrations</w:t>
      </w:r>
      <w:r w:rsidR="00E01A62" w:rsidRPr="004843E9">
        <w:t xml:space="preserve"> versus 4.11 DEX </w:t>
      </w:r>
      <w:r w:rsidR="00F60B58" w:rsidRPr="004843E9">
        <w:t xml:space="preserve">administrations </w:t>
      </w:r>
      <w:r w:rsidR="00E01A62" w:rsidRPr="004843E9">
        <w:t>over 36 months).</w:t>
      </w:r>
    </w:p>
    <w:p w:rsidR="003B5570" w:rsidRPr="004843E9" w:rsidRDefault="007C126E" w:rsidP="00E72E35">
      <w:pPr>
        <w:pStyle w:val="3Bodytext"/>
        <w:jc w:val="both"/>
        <w:rPr>
          <w:rFonts w:cs="Arial"/>
          <w:bCs/>
          <w:snapToGrid w:val="0"/>
        </w:rPr>
      </w:pPr>
      <w:r w:rsidRPr="004843E9">
        <w:t>T</w:t>
      </w:r>
      <w:r w:rsidR="003C1A97" w:rsidRPr="004843E9">
        <w:t xml:space="preserve">he </w:t>
      </w:r>
      <w:r w:rsidRPr="004843E9">
        <w:t>cost-minimisation analysis in the resubmission</w:t>
      </w:r>
      <w:r w:rsidR="003C1A97" w:rsidRPr="004843E9">
        <w:t xml:space="preserve"> </w:t>
      </w:r>
      <w:r w:rsidR="00C440B7" w:rsidRPr="004843E9">
        <w:t>assumed 1</w:t>
      </w:r>
      <w:r w:rsidR="00AA481F" w:rsidRPr="004843E9">
        <w:t> </w:t>
      </w:r>
      <w:r w:rsidR="00C440B7" w:rsidRPr="004843E9">
        <w:t>ophthalmologist visit for patients treated with FA and 6.48</w:t>
      </w:r>
      <w:r w:rsidR="00AA481F" w:rsidRPr="004843E9">
        <w:t xml:space="preserve"> visits</w:t>
      </w:r>
      <w:r w:rsidR="00C440B7" w:rsidRPr="004843E9">
        <w:t xml:space="preserve"> for patients treated with DEX over 36 months, </w:t>
      </w:r>
      <w:r w:rsidR="00D75824" w:rsidRPr="004843E9">
        <w:t>and</w:t>
      </w:r>
      <w:r w:rsidRPr="004843E9">
        <w:t xml:space="preserve"> specified</w:t>
      </w:r>
      <w:r w:rsidR="00D75824" w:rsidRPr="004843E9">
        <w:t xml:space="preserve"> that FA patients with breakthrough oedema would be treated with anti-VEGF agents.</w:t>
      </w:r>
      <w:r w:rsidR="00C440B7" w:rsidRPr="004843E9">
        <w:t xml:space="preserve"> </w:t>
      </w:r>
      <w:r w:rsidR="00D84451" w:rsidRPr="004843E9">
        <w:t>T</w:t>
      </w:r>
      <w:r w:rsidR="003C1A97" w:rsidRPr="004843E9">
        <w:t xml:space="preserve">he PBAC reiterated </w:t>
      </w:r>
      <w:r w:rsidR="00B57668" w:rsidRPr="004843E9">
        <w:t>its</w:t>
      </w:r>
      <w:r w:rsidR="003C1A97" w:rsidRPr="004843E9">
        <w:t xml:space="preserve"> recommendation from March 2020 that the CMA should only include the cost of drug and the cost of administering the implants</w:t>
      </w:r>
      <w:r w:rsidR="00AA481F" w:rsidRPr="004843E9">
        <w:t xml:space="preserve">. The PBAC </w:t>
      </w:r>
      <w:r w:rsidR="00D84451" w:rsidRPr="004843E9">
        <w:t>noted that it previously considered the number of oph</w:t>
      </w:r>
      <w:r w:rsidR="00D75824" w:rsidRPr="004843E9">
        <w:t xml:space="preserve">thalmology visits </w:t>
      </w:r>
      <w:r w:rsidR="00D84451" w:rsidRPr="004843E9">
        <w:t>should not be different</w:t>
      </w:r>
      <w:r w:rsidR="00D75824" w:rsidRPr="004843E9">
        <w:t xml:space="preserve"> for FA and DEX</w:t>
      </w:r>
      <w:r w:rsidR="00D84451" w:rsidRPr="004843E9">
        <w:t xml:space="preserve"> (paragraph 6.29, FA PSD, March 2020)</w:t>
      </w:r>
      <w:r w:rsidR="00AA481F" w:rsidRPr="004843E9">
        <w:t>, and that the proportionate use of concomitant anti-VEGF agents in FA patients was poorly supported (paragraph 6.30, FA PSD, March 2020).</w:t>
      </w:r>
      <w:r w:rsidR="003C1A97" w:rsidRPr="004843E9">
        <w:t xml:space="preserve"> The PBAC considered </w:t>
      </w:r>
      <w:r w:rsidR="00D75824" w:rsidRPr="004843E9">
        <w:t>these</w:t>
      </w:r>
      <w:r w:rsidR="003C1A97" w:rsidRPr="004843E9">
        <w:t xml:space="preserve"> costs were highly uncertain, not well justified in the </w:t>
      </w:r>
      <w:r w:rsidR="00F22FC3" w:rsidRPr="004843E9">
        <w:t xml:space="preserve">March 2020 </w:t>
      </w:r>
      <w:r w:rsidR="003C1A97" w:rsidRPr="004843E9">
        <w:t>sub</w:t>
      </w:r>
      <w:r w:rsidR="00E95477" w:rsidRPr="004843E9">
        <w:t>mission</w:t>
      </w:r>
      <w:r w:rsidR="00F22FC3" w:rsidRPr="004843E9">
        <w:t xml:space="preserve"> or the resubmission,</w:t>
      </w:r>
      <w:r w:rsidR="003C1A97" w:rsidRPr="004843E9">
        <w:t xml:space="preserve"> and should not be included in the CMA.</w:t>
      </w:r>
      <w:r w:rsidR="00E72E35" w:rsidRPr="004843E9">
        <w:rPr>
          <w:rFonts w:cs="Arial"/>
          <w:bCs/>
          <w:snapToGrid w:val="0"/>
        </w:rPr>
        <w:t xml:space="preserve"> </w:t>
      </w:r>
    </w:p>
    <w:p w:rsidR="008619CB" w:rsidRDefault="004F6C96" w:rsidP="00E72E35">
      <w:pPr>
        <w:pStyle w:val="3Bodytext"/>
        <w:jc w:val="both"/>
      </w:pPr>
      <w:r w:rsidRPr="004843E9">
        <w:t>The PBAC emphasised that</w:t>
      </w:r>
      <w:r w:rsidR="00E72E35" w:rsidRPr="004843E9">
        <w:t xml:space="preserve"> the PBS listing of FA should be cost neutral to the Government, as the</w:t>
      </w:r>
      <w:r w:rsidR="00A40B03" w:rsidRPr="004843E9">
        <w:t xml:space="preserve"> Australian population already has access to therapy that is at least as effective and safe.</w:t>
      </w:r>
    </w:p>
    <w:p w:rsidR="003B5570" w:rsidRPr="004843E9" w:rsidRDefault="003B5570" w:rsidP="00E72E35">
      <w:pPr>
        <w:pStyle w:val="3Bodytext"/>
        <w:jc w:val="both"/>
        <w:rPr>
          <w:rFonts w:cs="Arial"/>
          <w:bCs/>
          <w:snapToGrid w:val="0"/>
        </w:rPr>
      </w:pPr>
      <w:r w:rsidRPr="004843E9">
        <w:rPr>
          <w:rFonts w:cs="Arial"/>
          <w:bCs/>
          <w:snapToGrid w:val="0"/>
        </w:rPr>
        <w:t>The PBAC noted that this submission is eligible for an Independent Review.</w:t>
      </w:r>
    </w:p>
    <w:p w:rsidR="00C32888" w:rsidRPr="004843E9" w:rsidRDefault="00C32888" w:rsidP="00C32888">
      <w:pPr>
        <w:spacing w:before="240"/>
        <w:rPr>
          <w:rFonts w:asciiTheme="minorHAnsi" w:hAnsiTheme="minorHAnsi" w:cs="Arial"/>
          <w:b/>
          <w:bCs/>
          <w:snapToGrid w:val="0"/>
        </w:rPr>
      </w:pPr>
      <w:r w:rsidRPr="004843E9">
        <w:rPr>
          <w:rFonts w:asciiTheme="minorHAnsi" w:hAnsiTheme="minorHAnsi" w:cs="Arial"/>
          <w:b/>
          <w:bCs/>
          <w:snapToGrid w:val="0"/>
        </w:rPr>
        <w:lastRenderedPageBreak/>
        <w:t>Outcome:</w:t>
      </w:r>
    </w:p>
    <w:p w:rsidR="00C32888" w:rsidRDefault="00C32888" w:rsidP="00C32888">
      <w:pPr>
        <w:rPr>
          <w:rFonts w:asciiTheme="minorHAnsi" w:hAnsiTheme="minorHAnsi" w:cs="Arial"/>
          <w:bCs/>
          <w:snapToGrid w:val="0"/>
        </w:rPr>
      </w:pPr>
      <w:r w:rsidRPr="004843E9">
        <w:rPr>
          <w:rFonts w:asciiTheme="minorHAnsi" w:hAnsiTheme="minorHAnsi" w:cs="Arial"/>
          <w:bCs/>
          <w:snapToGrid w:val="0"/>
        </w:rPr>
        <w:t>Reje</w:t>
      </w:r>
      <w:r w:rsidR="000E5370" w:rsidRPr="004843E9">
        <w:rPr>
          <w:rFonts w:asciiTheme="minorHAnsi" w:hAnsiTheme="minorHAnsi" w:cs="Arial"/>
          <w:bCs/>
          <w:snapToGrid w:val="0"/>
        </w:rPr>
        <w:t>cted</w:t>
      </w:r>
    </w:p>
    <w:p w:rsidR="00CE51C1" w:rsidRDefault="00CE51C1" w:rsidP="00C32888">
      <w:pPr>
        <w:rPr>
          <w:rFonts w:asciiTheme="minorHAnsi" w:hAnsiTheme="minorHAnsi" w:cs="Arial"/>
          <w:bCs/>
          <w:snapToGrid w:val="0"/>
        </w:rPr>
      </w:pPr>
    </w:p>
    <w:p w:rsidR="00CE51C1" w:rsidRPr="006721E7" w:rsidRDefault="00CE51C1" w:rsidP="006721E7">
      <w:pPr>
        <w:pStyle w:val="2-SectionHeading"/>
      </w:pPr>
      <w:r w:rsidRPr="00C07617">
        <w:t>Context for Decision</w:t>
      </w:r>
    </w:p>
    <w:p w:rsidR="00CE51C1" w:rsidRPr="006721E7" w:rsidRDefault="00CE51C1" w:rsidP="006721E7">
      <w:pPr>
        <w:pStyle w:val="3Bodytext"/>
        <w:numPr>
          <w:ilvl w:val="0"/>
          <w:numId w:val="0"/>
        </w:numPr>
        <w:ind w:left="720"/>
        <w:jc w:val="both"/>
        <w:rPr>
          <w:snapToGrid w:val="0"/>
        </w:rPr>
      </w:pPr>
      <w:r w:rsidRPr="006721E7">
        <w:rPr>
          <w:snapToGrid w:val="0"/>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CE51C1" w:rsidRPr="006721E7" w:rsidRDefault="00CE51C1" w:rsidP="006721E7">
      <w:pPr>
        <w:pStyle w:val="2-SectionHeading"/>
        <w:rPr>
          <w:b w:val="0"/>
        </w:rPr>
      </w:pPr>
      <w:r>
        <w:t>Sponsor’s Comment</w:t>
      </w:r>
    </w:p>
    <w:p w:rsidR="002D1BBB" w:rsidRPr="006721E7" w:rsidRDefault="002D1BBB" w:rsidP="006721E7">
      <w:pPr>
        <w:pStyle w:val="3Bodytext"/>
        <w:numPr>
          <w:ilvl w:val="0"/>
          <w:numId w:val="0"/>
        </w:numPr>
        <w:ind w:left="720"/>
        <w:jc w:val="both"/>
        <w:rPr>
          <w:snapToGrid w:val="0"/>
        </w:rPr>
      </w:pPr>
      <w:r w:rsidRPr="006721E7">
        <w:t xml:space="preserve">It is very disappointing that the original PBAC conditional recommendation, and subsequent minor application, has been unsuccessful in achieving a price that is similar to reimbursed prices in Europe and the UK. While the proposed Risk Share terms were acceptable, the ex-manufacture net price offered is less than half the global average reimbursed price for </w:t>
      </w:r>
      <w:proofErr w:type="spellStart"/>
      <w:r w:rsidRPr="006721E7">
        <w:t>Iluvien</w:t>
      </w:r>
      <w:proofErr w:type="spellEnd"/>
      <w:r w:rsidRPr="006721E7">
        <w:t xml:space="preserve">. Given the acquisition cost from the drug developer </w:t>
      </w:r>
      <w:proofErr w:type="spellStart"/>
      <w:r w:rsidRPr="006721E7">
        <w:t>Alimera</w:t>
      </w:r>
      <w:proofErr w:type="spellEnd"/>
      <w:r w:rsidRPr="006721E7">
        <w:t xml:space="preserve"> is greater than the proposed PBS price, and the impact such a low price, if accepted, would have on </w:t>
      </w:r>
      <w:proofErr w:type="spellStart"/>
      <w:r w:rsidRPr="006721E7">
        <w:t>Alimera's</w:t>
      </w:r>
      <w:proofErr w:type="spellEnd"/>
      <w:r w:rsidRPr="006721E7">
        <w:t xml:space="preserve"> existing reimbursed global pricing, Specialised Therapeutics cannot proceed with </w:t>
      </w:r>
      <w:proofErr w:type="spellStart"/>
      <w:r w:rsidRPr="006721E7">
        <w:t>Iluvien's</w:t>
      </w:r>
      <w:proofErr w:type="spellEnd"/>
      <w:r w:rsidRPr="006721E7">
        <w:t xml:space="preserve"> listing on the PBS</w:t>
      </w:r>
      <w:r w:rsidR="006721E7">
        <w:t>.</w:t>
      </w:r>
    </w:p>
    <w:p w:rsidR="00CE51C1" w:rsidRPr="004843E9" w:rsidRDefault="00CE51C1" w:rsidP="00C32888">
      <w:pPr>
        <w:rPr>
          <w:rFonts w:asciiTheme="minorHAnsi" w:hAnsiTheme="minorHAnsi" w:cs="Arial"/>
          <w:bCs/>
          <w:snapToGrid w:val="0"/>
        </w:rPr>
      </w:pPr>
    </w:p>
    <w:sectPr w:rsidR="00CE51C1" w:rsidRPr="004843E9"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3BF" w:rsidRDefault="00E733BF">
      <w:r>
        <w:separator/>
      </w:r>
    </w:p>
    <w:p w:rsidR="00E733BF" w:rsidRDefault="00E733BF"/>
  </w:endnote>
  <w:endnote w:type="continuationSeparator" w:id="0">
    <w:p w:rsidR="00E733BF" w:rsidRDefault="00E733BF">
      <w:r>
        <w:continuationSeparator/>
      </w:r>
    </w:p>
    <w:p w:rsidR="00E733BF" w:rsidRDefault="00E73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CE0F34" w:rsidTr="005A3173">
      <w:trPr>
        <w:trHeight w:val="151"/>
      </w:trPr>
      <w:tc>
        <w:tcPr>
          <w:tcW w:w="2250" w:type="pct"/>
          <w:tcBorders>
            <w:top w:val="nil"/>
            <w:left w:val="nil"/>
            <w:bottom w:val="single" w:sz="4" w:space="0" w:color="4F81BD"/>
            <w:right w:val="nil"/>
          </w:tcBorders>
        </w:tcPr>
        <w:p w:rsidR="00CE0F34" w:rsidRPr="005A3173" w:rsidRDefault="00CE0F34" w:rsidP="005A3173">
          <w:pPr>
            <w:pStyle w:val="Header"/>
            <w:spacing w:line="276" w:lineRule="auto"/>
            <w:rPr>
              <w:rFonts w:eastAsia="MS Gothic"/>
              <w:b/>
              <w:bCs/>
              <w:color w:val="4F81BD"/>
            </w:rPr>
          </w:pPr>
        </w:p>
      </w:tc>
      <w:tc>
        <w:tcPr>
          <w:tcW w:w="500" w:type="pct"/>
          <w:vMerge w:val="restart"/>
          <w:noWrap/>
          <w:vAlign w:val="center"/>
          <w:hideMark/>
        </w:tcPr>
        <w:p w:rsidR="00CE0F34" w:rsidRPr="005A3173" w:rsidRDefault="00CE0F3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E0F34" w:rsidRPr="005A3173" w:rsidRDefault="00CE0F34" w:rsidP="005A3173">
          <w:pPr>
            <w:pStyle w:val="Header"/>
            <w:spacing w:line="276" w:lineRule="auto"/>
            <w:rPr>
              <w:rFonts w:eastAsia="MS Gothic"/>
              <w:b/>
              <w:bCs/>
              <w:color w:val="4F81BD"/>
            </w:rPr>
          </w:pPr>
        </w:p>
      </w:tc>
    </w:tr>
    <w:tr w:rsidR="00CE0F34" w:rsidTr="005A3173">
      <w:trPr>
        <w:trHeight w:val="150"/>
      </w:trPr>
      <w:tc>
        <w:tcPr>
          <w:tcW w:w="2250" w:type="pct"/>
          <w:tcBorders>
            <w:top w:val="single" w:sz="4" w:space="0" w:color="4F81BD"/>
            <w:left w:val="nil"/>
            <w:bottom w:val="nil"/>
            <w:right w:val="nil"/>
          </w:tcBorders>
        </w:tcPr>
        <w:p w:rsidR="00CE0F34" w:rsidRPr="005A3173" w:rsidRDefault="00CE0F34" w:rsidP="005A3173">
          <w:pPr>
            <w:pStyle w:val="Header"/>
            <w:spacing w:line="276" w:lineRule="auto"/>
            <w:rPr>
              <w:rFonts w:eastAsia="MS Gothic"/>
              <w:b/>
              <w:bCs/>
              <w:color w:val="4F81BD"/>
            </w:rPr>
          </w:pPr>
        </w:p>
      </w:tc>
      <w:tc>
        <w:tcPr>
          <w:tcW w:w="0" w:type="auto"/>
          <w:vMerge/>
          <w:vAlign w:val="center"/>
          <w:hideMark/>
        </w:tcPr>
        <w:p w:rsidR="00CE0F34" w:rsidRPr="005A3173" w:rsidRDefault="00CE0F34" w:rsidP="005A3173">
          <w:pPr>
            <w:rPr>
              <w:color w:val="365F91"/>
              <w:sz w:val="22"/>
              <w:szCs w:val="22"/>
            </w:rPr>
          </w:pPr>
        </w:p>
      </w:tc>
      <w:tc>
        <w:tcPr>
          <w:tcW w:w="2250" w:type="pct"/>
          <w:tcBorders>
            <w:top w:val="single" w:sz="4" w:space="0" w:color="4F81BD"/>
            <w:left w:val="nil"/>
            <w:bottom w:val="nil"/>
            <w:right w:val="nil"/>
          </w:tcBorders>
        </w:tcPr>
        <w:p w:rsidR="00CE0F34" w:rsidRPr="005A3173" w:rsidRDefault="00CE0F34" w:rsidP="005A3173">
          <w:pPr>
            <w:pStyle w:val="Header"/>
            <w:spacing w:line="276" w:lineRule="auto"/>
            <w:rPr>
              <w:rFonts w:eastAsia="MS Gothic"/>
              <w:b/>
              <w:bCs/>
              <w:color w:val="4F81BD"/>
            </w:rPr>
          </w:pPr>
        </w:p>
      </w:tc>
    </w:tr>
  </w:tbl>
  <w:p w:rsidR="00CE0F34" w:rsidRDefault="00CE0F34"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0F34" w:rsidRDefault="00CE0F34">
    <w:pPr>
      <w:pStyle w:val="Footer"/>
    </w:pPr>
  </w:p>
  <w:p w:rsidR="00CE0F34" w:rsidRDefault="00CE0F3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34" w:rsidRDefault="00CE0F34">
    <w:pPr>
      <w:pStyle w:val="Footer"/>
      <w:jc w:val="center"/>
    </w:pPr>
  </w:p>
  <w:p w:rsidR="00CE0F34" w:rsidRPr="007B387F" w:rsidRDefault="00811338" w:rsidP="007B387F">
    <w:pPr>
      <w:pStyle w:val="Footer"/>
      <w:jc w:val="center"/>
    </w:pPr>
    <w:sdt>
      <w:sdtPr>
        <w:id w:val="-138347648"/>
        <w:docPartObj>
          <w:docPartGallery w:val="Page Numbers (Bottom of Page)"/>
          <w:docPartUnique/>
        </w:docPartObj>
      </w:sdtPr>
      <w:sdtEndPr>
        <w:rPr>
          <w:noProof/>
        </w:rPr>
      </w:sdtEndPr>
      <w:sdtContent>
        <w:r w:rsidR="00CE0F34" w:rsidRPr="00490A1C">
          <w:rPr>
            <w:b/>
          </w:rPr>
          <w:fldChar w:fldCharType="begin"/>
        </w:r>
        <w:r w:rsidR="00CE0F34" w:rsidRPr="00490A1C">
          <w:rPr>
            <w:b/>
          </w:rPr>
          <w:instrText xml:space="preserve"> PAGE   \* MERGEFORMAT </w:instrText>
        </w:r>
        <w:r w:rsidR="00CE0F34" w:rsidRPr="00490A1C">
          <w:rPr>
            <w:b/>
          </w:rPr>
          <w:fldChar w:fldCharType="separate"/>
        </w:r>
        <w:r>
          <w:rPr>
            <w:b/>
            <w:noProof/>
          </w:rPr>
          <w:t>14</w:t>
        </w:r>
        <w:r w:rsidR="00CE0F34" w:rsidRPr="00490A1C">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CE0F34" w:rsidTr="005A3173">
      <w:trPr>
        <w:trHeight w:val="151"/>
      </w:trPr>
      <w:tc>
        <w:tcPr>
          <w:tcW w:w="2250" w:type="pct"/>
          <w:tcBorders>
            <w:top w:val="nil"/>
            <w:left w:val="nil"/>
            <w:bottom w:val="single" w:sz="4" w:space="0" w:color="4F81BD"/>
            <w:right w:val="nil"/>
          </w:tcBorders>
        </w:tcPr>
        <w:p w:rsidR="00CE0F34" w:rsidRPr="005A3173" w:rsidRDefault="00CE0F34" w:rsidP="005A3173">
          <w:pPr>
            <w:pStyle w:val="Header"/>
            <w:spacing w:line="276" w:lineRule="auto"/>
            <w:rPr>
              <w:rFonts w:eastAsia="MS Gothic"/>
              <w:b/>
              <w:bCs/>
              <w:color w:val="4F81BD"/>
            </w:rPr>
          </w:pPr>
        </w:p>
      </w:tc>
      <w:tc>
        <w:tcPr>
          <w:tcW w:w="500" w:type="pct"/>
          <w:vMerge w:val="restart"/>
          <w:noWrap/>
          <w:vAlign w:val="center"/>
          <w:hideMark/>
        </w:tcPr>
        <w:p w:rsidR="00CE0F34" w:rsidRPr="005A3173" w:rsidRDefault="00CE0F3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E0F34" w:rsidRPr="005A3173" w:rsidRDefault="00CE0F34" w:rsidP="005A3173">
          <w:pPr>
            <w:pStyle w:val="Header"/>
            <w:spacing w:line="276" w:lineRule="auto"/>
            <w:rPr>
              <w:rFonts w:eastAsia="MS Gothic"/>
              <w:b/>
              <w:bCs/>
              <w:color w:val="4F81BD"/>
            </w:rPr>
          </w:pPr>
        </w:p>
      </w:tc>
    </w:tr>
    <w:tr w:rsidR="00CE0F34" w:rsidTr="005A3173">
      <w:trPr>
        <w:trHeight w:val="150"/>
      </w:trPr>
      <w:tc>
        <w:tcPr>
          <w:tcW w:w="2250" w:type="pct"/>
          <w:tcBorders>
            <w:top w:val="single" w:sz="4" w:space="0" w:color="4F81BD"/>
            <w:left w:val="nil"/>
            <w:bottom w:val="nil"/>
            <w:right w:val="nil"/>
          </w:tcBorders>
        </w:tcPr>
        <w:p w:rsidR="00CE0F34" w:rsidRPr="005A3173" w:rsidRDefault="00CE0F34" w:rsidP="005A3173">
          <w:pPr>
            <w:pStyle w:val="Header"/>
            <w:spacing w:line="276" w:lineRule="auto"/>
            <w:rPr>
              <w:rFonts w:eastAsia="MS Gothic"/>
              <w:b/>
              <w:bCs/>
              <w:color w:val="4F81BD"/>
            </w:rPr>
          </w:pPr>
        </w:p>
      </w:tc>
      <w:tc>
        <w:tcPr>
          <w:tcW w:w="0" w:type="auto"/>
          <w:vMerge/>
          <w:vAlign w:val="center"/>
          <w:hideMark/>
        </w:tcPr>
        <w:p w:rsidR="00CE0F34" w:rsidRPr="005A3173" w:rsidRDefault="00CE0F34" w:rsidP="005A3173">
          <w:pPr>
            <w:rPr>
              <w:color w:val="365F91"/>
              <w:sz w:val="22"/>
              <w:szCs w:val="22"/>
            </w:rPr>
          </w:pPr>
        </w:p>
      </w:tc>
      <w:tc>
        <w:tcPr>
          <w:tcW w:w="2250" w:type="pct"/>
          <w:tcBorders>
            <w:top w:val="single" w:sz="4" w:space="0" w:color="4F81BD"/>
            <w:left w:val="nil"/>
            <w:bottom w:val="nil"/>
            <w:right w:val="nil"/>
          </w:tcBorders>
        </w:tcPr>
        <w:p w:rsidR="00CE0F34" w:rsidRPr="005A3173" w:rsidRDefault="00CE0F34"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CE0F34" w:rsidTr="005A3173">
      <w:trPr>
        <w:trHeight w:val="151"/>
      </w:trPr>
      <w:tc>
        <w:tcPr>
          <w:tcW w:w="2250" w:type="pct"/>
          <w:tcBorders>
            <w:top w:val="nil"/>
            <w:left w:val="nil"/>
            <w:bottom w:val="single" w:sz="4" w:space="0" w:color="4F81BD"/>
            <w:right w:val="nil"/>
          </w:tcBorders>
        </w:tcPr>
        <w:p w:rsidR="00CE0F34" w:rsidRPr="005A3173" w:rsidRDefault="00CE0F34" w:rsidP="005A3173">
          <w:pPr>
            <w:pStyle w:val="Header"/>
            <w:spacing w:line="276" w:lineRule="auto"/>
            <w:rPr>
              <w:rFonts w:eastAsia="MS Gothic"/>
              <w:b/>
              <w:bCs/>
              <w:color w:val="4F81BD"/>
            </w:rPr>
          </w:pPr>
        </w:p>
      </w:tc>
      <w:tc>
        <w:tcPr>
          <w:tcW w:w="500" w:type="pct"/>
          <w:vMerge w:val="restart"/>
          <w:noWrap/>
          <w:vAlign w:val="center"/>
          <w:hideMark/>
        </w:tcPr>
        <w:p w:rsidR="00CE0F34" w:rsidRPr="005A3173" w:rsidRDefault="00CE0F3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E0F34" w:rsidRPr="005A3173" w:rsidRDefault="00CE0F34" w:rsidP="005A3173">
          <w:pPr>
            <w:pStyle w:val="Header"/>
            <w:spacing w:line="276" w:lineRule="auto"/>
            <w:rPr>
              <w:rFonts w:eastAsia="MS Gothic"/>
              <w:b/>
              <w:bCs/>
              <w:color w:val="4F81BD"/>
            </w:rPr>
          </w:pPr>
        </w:p>
      </w:tc>
    </w:tr>
    <w:tr w:rsidR="00CE0F34" w:rsidTr="005A3173">
      <w:trPr>
        <w:trHeight w:val="150"/>
      </w:trPr>
      <w:tc>
        <w:tcPr>
          <w:tcW w:w="2250" w:type="pct"/>
          <w:tcBorders>
            <w:top w:val="single" w:sz="4" w:space="0" w:color="4F81BD"/>
            <w:left w:val="nil"/>
            <w:bottom w:val="nil"/>
            <w:right w:val="nil"/>
          </w:tcBorders>
        </w:tcPr>
        <w:p w:rsidR="00CE0F34" w:rsidRPr="005A3173" w:rsidRDefault="00CE0F34" w:rsidP="005A3173">
          <w:pPr>
            <w:pStyle w:val="Header"/>
            <w:spacing w:line="276" w:lineRule="auto"/>
            <w:rPr>
              <w:rFonts w:eastAsia="MS Gothic"/>
              <w:b/>
              <w:bCs/>
              <w:color w:val="4F81BD"/>
            </w:rPr>
          </w:pPr>
        </w:p>
      </w:tc>
      <w:tc>
        <w:tcPr>
          <w:tcW w:w="0" w:type="auto"/>
          <w:vMerge/>
          <w:vAlign w:val="center"/>
          <w:hideMark/>
        </w:tcPr>
        <w:p w:rsidR="00CE0F34" w:rsidRPr="005A3173" w:rsidRDefault="00CE0F34" w:rsidP="005A3173">
          <w:pPr>
            <w:rPr>
              <w:color w:val="365F91"/>
              <w:sz w:val="22"/>
              <w:szCs w:val="22"/>
            </w:rPr>
          </w:pPr>
        </w:p>
      </w:tc>
      <w:tc>
        <w:tcPr>
          <w:tcW w:w="2250" w:type="pct"/>
          <w:tcBorders>
            <w:top w:val="single" w:sz="4" w:space="0" w:color="4F81BD"/>
            <w:left w:val="nil"/>
            <w:bottom w:val="nil"/>
            <w:right w:val="nil"/>
          </w:tcBorders>
        </w:tcPr>
        <w:p w:rsidR="00CE0F34" w:rsidRPr="005A3173" w:rsidRDefault="00CE0F34" w:rsidP="005A3173">
          <w:pPr>
            <w:pStyle w:val="Header"/>
            <w:spacing w:line="276" w:lineRule="auto"/>
            <w:rPr>
              <w:rFonts w:eastAsia="MS Gothic"/>
              <w:b/>
              <w:bCs/>
              <w:color w:val="4F81BD"/>
            </w:rPr>
          </w:pPr>
        </w:p>
      </w:tc>
    </w:tr>
  </w:tbl>
  <w:p w:rsidR="00CE0F34" w:rsidRPr="007C0F57" w:rsidRDefault="00CE0F34"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sidR="00321E87">
      <w:rPr>
        <w:rStyle w:val="PageNumber"/>
        <w:noProof/>
      </w:rPr>
      <w:t>1</w:t>
    </w:r>
    <w:r>
      <w:rPr>
        <w:rStyle w:val="PageNumber"/>
      </w:rPr>
      <w:fldChar w:fldCharType="end"/>
    </w:r>
    <w:r w:rsidRPr="007C0F57">
      <w:rPr>
        <w:b/>
        <w:i/>
        <w:sz w:val="20"/>
        <w:szCs w:val="20"/>
      </w:rPr>
      <w:t>BAC Meeting</w:t>
    </w:r>
  </w:p>
  <w:p w:rsidR="00CE0F34" w:rsidRPr="007C0F57" w:rsidRDefault="00CE0F34" w:rsidP="007C0F57">
    <w:pPr>
      <w:pStyle w:val="Footer"/>
      <w:jc w:val="center"/>
      <w:rPr>
        <w:b/>
        <w:i/>
        <w:sz w:val="20"/>
        <w:szCs w:val="20"/>
      </w:rPr>
    </w:pPr>
    <w:r w:rsidRPr="007C0F57">
      <w:rPr>
        <w:b/>
        <w:i/>
        <w:sz w:val="20"/>
        <w:szCs w:val="20"/>
      </w:rPr>
      <w:t>Commercial-in-Confidence</w:t>
    </w:r>
  </w:p>
  <w:p w:rsidR="00CE0F34" w:rsidRDefault="00CE0F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3BF" w:rsidRDefault="00E733BF">
      <w:r>
        <w:separator/>
      </w:r>
    </w:p>
    <w:p w:rsidR="00E733BF" w:rsidRDefault="00E733BF"/>
  </w:footnote>
  <w:footnote w:type="continuationSeparator" w:id="0">
    <w:p w:rsidR="00E733BF" w:rsidRDefault="00E733BF">
      <w:r>
        <w:continuationSeparator/>
      </w:r>
    </w:p>
    <w:p w:rsidR="00E733BF" w:rsidRDefault="00E733BF"/>
  </w:footnote>
  <w:footnote w:id="1">
    <w:p w:rsidR="00CE0F34" w:rsidRPr="0069255F" w:rsidRDefault="00CE0F34">
      <w:pPr>
        <w:pStyle w:val="FootnoteText"/>
        <w:rPr>
          <w:rFonts w:ascii="Arial Narrow" w:hAnsi="Arial Narrow"/>
          <w:sz w:val="18"/>
          <w:szCs w:val="18"/>
        </w:rPr>
      </w:pPr>
      <w:r w:rsidRPr="0069255F">
        <w:rPr>
          <w:rStyle w:val="FootnoteReference"/>
          <w:rFonts w:ascii="Arial Narrow" w:hAnsi="Arial Narrow"/>
          <w:sz w:val="18"/>
          <w:szCs w:val="18"/>
        </w:rPr>
        <w:footnoteRef/>
      </w:r>
      <w:r w:rsidRPr="0069255F">
        <w:rPr>
          <w:rFonts w:ascii="Arial Narrow" w:hAnsi="Arial Narrow"/>
          <w:sz w:val="18"/>
          <w:szCs w:val="18"/>
        </w:rPr>
        <w:t xml:space="preserve"> </w:t>
      </w:r>
      <w:hyperlink r:id="rId1" w:history="1">
        <w:r w:rsidRPr="0069255F">
          <w:rPr>
            <w:rStyle w:val="Hyperlink"/>
            <w:rFonts w:ascii="Arial Narrow" w:hAnsi="Arial Narrow"/>
            <w:sz w:val="18"/>
            <w:szCs w:val="18"/>
          </w:rPr>
          <w:t>https://pbac.pbs.gov.au/section-3b/3b-2-estimation-of-equi-effective-doses.html</w:t>
        </w:r>
      </w:hyperlink>
      <w:r w:rsidRPr="0069255F">
        <w:rPr>
          <w:rFonts w:ascii="Arial Narrow" w:hAnsi="Arial Narrow"/>
          <w:sz w:val="18"/>
          <w:szCs w:val="18"/>
        </w:rPr>
        <w:t xml:space="preserve"> </w:t>
      </w:r>
    </w:p>
  </w:footnote>
  <w:footnote w:id="2">
    <w:p w:rsidR="00CE0F34" w:rsidRPr="00522D0F" w:rsidRDefault="00CE0F34">
      <w:pPr>
        <w:pStyle w:val="FootnoteText"/>
        <w:rPr>
          <w:rFonts w:ascii="Arial Narrow" w:hAnsi="Arial Narrow"/>
          <w:sz w:val="18"/>
          <w:szCs w:val="18"/>
        </w:rPr>
      </w:pPr>
      <w:r w:rsidRPr="00522D0F">
        <w:rPr>
          <w:rStyle w:val="FootnoteReference"/>
          <w:rFonts w:ascii="Arial Narrow" w:hAnsi="Arial Narrow"/>
          <w:sz w:val="18"/>
          <w:szCs w:val="18"/>
        </w:rPr>
        <w:footnoteRef/>
      </w:r>
      <w:r w:rsidRPr="00522D0F">
        <w:rPr>
          <w:rFonts w:ascii="Arial Narrow" w:hAnsi="Arial Narrow"/>
          <w:sz w:val="18"/>
          <w:szCs w:val="18"/>
        </w:rPr>
        <w:t xml:space="preserve"> Si</w:t>
      </w:r>
      <w:r>
        <w:rPr>
          <w:rFonts w:ascii="Arial Narrow" w:hAnsi="Arial Narrow"/>
          <w:sz w:val="18"/>
          <w:szCs w:val="18"/>
        </w:rPr>
        <w:t>nce FA received a positive recommendation at the March 2020 PBAC meeting, the effective price of DEX is known by the Sponsor.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CE0F34" w:rsidRPr="008E0D90" w:rsidTr="00A06225">
      <w:trPr>
        <w:trHeight w:val="151"/>
      </w:trPr>
      <w:tc>
        <w:tcPr>
          <w:tcW w:w="2389" w:type="pct"/>
          <w:tcBorders>
            <w:top w:val="nil"/>
            <w:left w:val="nil"/>
            <w:bottom w:val="single" w:sz="4" w:space="0" w:color="4F81BD"/>
            <w:right w:val="nil"/>
          </w:tcBorders>
        </w:tcPr>
        <w:p w:rsidR="00CE0F34" w:rsidRPr="00A06225" w:rsidRDefault="00CE0F34">
          <w:pPr>
            <w:pStyle w:val="Header"/>
            <w:spacing w:line="276" w:lineRule="auto"/>
            <w:rPr>
              <w:rFonts w:ascii="Cambria" w:eastAsia="MS Gothic" w:hAnsi="Cambria"/>
              <w:b/>
              <w:bCs/>
              <w:color w:val="4F81BD"/>
            </w:rPr>
          </w:pPr>
        </w:p>
      </w:tc>
      <w:tc>
        <w:tcPr>
          <w:tcW w:w="333" w:type="pct"/>
          <w:vMerge w:val="restart"/>
          <w:noWrap/>
          <w:vAlign w:val="center"/>
          <w:hideMark/>
        </w:tcPr>
        <w:p w:rsidR="00CE0F34" w:rsidRPr="00A06225" w:rsidRDefault="00CE0F34"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CE0F34" w:rsidRPr="00A06225" w:rsidRDefault="00CE0F34">
          <w:pPr>
            <w:pStyle w:val="Header"/>
            <w:spacing w:line="276" w:lineRule="auto"/>
            <w:rPr>
              <w:rFonts w:ascii="Cambria" w:eastAsia="MS Gothic" w:hAnsi="Cambria"/>
              <w:b/>
              <w:bCs/>
              <w:color w:val="4F81BD"/>
            </w:rPr>
          </w:pPr>
        </w:p>
      </w:tc>
    </w:tr>
    <w:tr w:rsidR="00CE0F34" w:rsidRPr="008E0D90" w:rsidTr="00A06225">
      <w:trPr>
        <w:trHeight w:val="150"/>
      </w:trPr>
      <w:tc>
        <w:tcPr>
          <w:tcW w:w="2389" w:type="pct"/>
          <w:tcBorders>
            <w:top w:val="single" w:sz="4" w:space="0" w:color="4F81BD"/>
            <w:left w:val="nil"/>
            <w:bottom w:val="nil"/>
            <w:right w:val="nil"/>
          </w:tcBorders>
        </w:tcPr>
        <w:p w:rsidR="00CE0F34" w:rsidRPr="00A06225" w:rsidRDefault="00CE0F34">
          <w:pPr>
            <w:pStyle w:val="Header"/>
            <w:spacing w:line="276" w:lineRule="auto"/>
            <w:rPr>
              <w:rFonts w:ascii="Cambria" w:eastAsia="MS Gothic" w:hAnsi="Cambria"/>
              <w:b/>
              <w:bCs/>
              <w:color w:val="4F81BD"/>
            </w:rPr>
          </w:pPr>
        </w:p>
      </w:tc>
      <w:tc>
        <w:tcPr>
          <w:tcW w:w="0" w:type="auto"/>
          <w:vMerge/>
          <w:vAlign w:val="center"/>
          <w:hideMark/>
        </w:tcPr>
        <w:p w:rsidR="00CE0F34" w:rsidRPr="00A06225" w:rsidRDefault="00CE0F34">
          <w:pPr>
            <w:rPr>
              <w:rFonts w:ascii="Cambria" w:hAnsi="Cambria"/>
              <w:color w:val="4F81BD"/>
              <w:sz w:val="22"/>
              <w:szCs w:val="22"/>
            </w:rPr>
          </w:pPr>
        </w:p>
      </w:tc>
      <w:tc>
        <w:tcPr>
          <w:tcW w:w="2278" w:type="pct"/>
          <w:tcBorders>
            <w:top w:val="single" w:sz="4" w:space="0" w:color="4F81BD"/>
            <w:left w:val="nil"/>
            <w:bottom w:val="nil"/>
            <w:right w:val="nil"/>
          </w:tcBorders>
        </w:tcPr>
        <w:p w:rsidR="00CE0F34" w:rsidRPr="00A06225" w:rsidRDefault="00CE0F34">
          <w:pPr>
            <w:pStyle w:val="Header"/>
            <w:spacing w:line="276" w:lineRule="auto"/>
            <w:rPr>
              <w:rFonts w:ascii="Cambria" w:eastAsia="MS Gothic" w:hAnsi="Cambria"/>
              <w:b/>
              <w:bCs/>
              <w:color w:val="4F81BD"/>
            </w:rPr>
          </w:pPr>
        </w:p>
      </w:tc>
    </w:tr>
  </w:tbl>
  <w:p w:rsidR="00CE0F34" w:rsidRDefault="00CE0F34">
    <w:pPr>
      <w:pStyle w:val="Header"/>
    </w:pPr>
  </w:p>
  <w:p w:rsidR="00CE0F34" w:rsidRDefault="00CE0F3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34" w:rsidRPr="00490A1C" w:rsidRDefault="00CE51C1" w:rsidP="00490A1C">
    <w:pPr>
      <w:pStyle w:val="Header"/>
      <w:ind w:left="360"/>
      <w:rPr>
        <w:rFonts w:asciiTheme="minorHAnsi" w:hAnsiTheme="minorHAnsi" w:cs="Arial"/>
        <w:i/>
      </w:rPr>
    </w:pPr>
    <w:r>
      <w:rPr>
        <w:rFonts w:asciiTheme="minorHAnsi" w:hAnsiTheme="minorHAnsi" w:cs="Arial"/>
        <w:i/>
      </w:rPr>
      <w:t>Public Summary Document</w:t>
    </w:r>
    <w:r w:rsidR="00CE0F34" w:rsidRPr="00490A1C">
      <w:rPr>
        <w:rFonts w:asciiTheme="minorHAnsi" w:hAnsiTheme="minorHAnsi" w:cs="Arial"/>
        <w:i/>
      </w:rPr>
      <w:t xml:space="preserve"> – </w:t>
    </w:r>
    <w:r w:rsidR="00CE0F34">
      <w:rPr>
        <w:rFonts w:asciiTheme="minorHAnsi" w:hAnsiTheme="minorHAnsi" w:cs="Arial"/>
        <w:i/>
      </w:rPr>
      <w:t>November 2020</w:t>
    </w:r>
    <w:r w:rsidR="00CE0F34" w:rsidRPr="00490A1C">
      <w:rPr>
        <w:rFonts w:asciiTheme="minorHAnsi" w:hAnsiTheme="minorHAnsi" w:cs="Arial"/>
        <w:i/>
      </w:rPr>
      <w:t xml:space="preserve"> PBAC Meeting</w:t>
    </w:r>
  </w:p>
  <w:p w:rsidR="00CE0F34" w:rsidRDefault="00CE0F34"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E87" w:rsidRDefault="00321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98E4CF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0015B3"/>
    <w:multiLevelType w:val="hybridMultilevel"/>
    <w:tmpl w:val="0786D91A"/>
    <w:lvl w:ilvl="0" w:tplc="18143B82">
      <w:start w:val="1"/>
      <w:numFmt w:val="bullet"/>
      <w:lvlText w:val=""/>
      <w:lvlJc w:val="left"/>
      <w:pPr>
        <w:tabs>
          <w:tab w:val="num" w:pos="720"/>
        </w:tabs>
        <w:ind w:left="720" w:hanging="360"/>
      </w:pPr>
      <w:rPr>
        <w:rFonts w:ascii="Symbol" w:hAnsi="Symbol" w:hint="default"/>
      </w:rPr>
    </w:lvl>
    <w:lvl w:ilvl="1" w:tplc="3BB87880">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053F11"/>
    <w:multiLevelType w:val="multilevel"/>
    <w:tmpl w:val="31DE9CAC"/>
    <w:styleLink w:val="NumberBullet"/>
    <w:lvl w:ilvl="0">
      <w:start w:val="1"/>
      <w:numFmt w:val="decimal"/>
      <w:pStyle w:val="Numberbullet0"/>
      <w:lvlText w:val="%1."/>
      <w:lvlJc w:val="left"/>
      <w:pPr>
        <w:ind w:left="425" w:hanging="425"/>
      </w:pPr>
      <w:rPr>
        <w:rFonts w:ascii="Cambria" w:hAnsi="Cambria"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7" w15:restartNumberingAfterBreak="0">
    <w:nsid w:val="1E55641E"/>
    <w:multiLevelType w:val="hybridMultilevel"/>
    <w:tmpl w:val="62F4C8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536238"/>
    <w:multiLevelType w:val="hybridMultilevel"/>
    <w:tmpl w:val="B94C20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6D47DC"/>
    <w:multiLevelType w:val="hybridMultilevel"/>
    <w:tmpl w:val="2424D2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F50FFE"/>
    <w:multiLevelType w:val="hybridMultilevel"/>
    <w:tmpl w:val="9154D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A8B5CC3"/>
    <w:multiLevelType w:val="hybridMultilevel"/>
    <w:tmpl w:val="CC4E687C"/>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14"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3E331F"/>
    <w:multiLevelType w:val="hybridMultilevel"/>
    <w:tmpl w:val="BCEACDBA"/>
    <w:lvl w:ilvl="0" w:tplc="E6A83D22">
      <w:start w:val="1"/>
      <w:numFmt w:val="bullet"/>
      <w:lvlText w:val="•"/>
      <w:lvlJc w:val="left"/>
      <w:pPr>
        <w:tabs>
          <w:tab w:val="num" w:pos="720"/>
        </w:tabs>
        <w:ind w:left="720" w:hanging="360"/>
      </w:pPr>
      <w:rPr>
        <w:rFonts w:ascii="Arial" w:hAnsi="Arial" w:hint="default"/>
      </w:rPr>
    </w:lvl>
    <w:lvl w:ilvl="1" w:tplc="BA1C3DE0">
      <w:start w:val="183"/>
      <w:numFmt w:val="bullet"/>
      <w:lvlText w:val="•"/>
      <w:lvlJc w:val="left"/>
      <w:pPr>
        <w:tabs>
          <w:tab w:val="num" w:pos="1440"/>
        </w:tabs>
        <w:ind w:left="1440" w:hanging="360"/>
      </w:pPr>
      <w:rPr>
        <w:rFonts w:ascii="Arial" w:hAnsi="Arial" w:hint="default"/>
      </w:rPr>
    </w:lvl>
    <w:lvl w:ilvl="2" w:tplc="2258FFA0" w:tentative="1">
      <w:start w:val="1"/>
      <w:numFmt w:val="bullet"/>
      <w:lvlText w:val="•"/>
      <w:lvlJc w:val="left"/>
      <w:pPr>
        <w:tabs>
          <w:tab w:val="num" w:pos="2160"/>
        </w:tabs>
        <w:ind w:left="2160" w:hanging="360"/>
      </w:pPr>
      <w:rPr>
        <w:rFonts w:ascii="Arial" w:hAnsi="Arial" w:hint="default"/>
      </w:rPr>
    </w:lvl>
    <w:lvl w:ilvl="3" w:tplc="52307756" w:tentative="1">
      <w:start w:val="1"/>
      <w:numFmt w:val="bullet"/>
      <w:lvlText w:val="•"/>
      <w:lvlJc w:val="left"/>
      <w:pPr>
        <w:tabs>
          <w:tab w:val="num" w:pos="2880"/>
        </w:tabs>
        <w:ind w:left="2880" w:hanging="360"/>
      </w:pPr>
      <w:rPr>
        <w:rFonts w:ascii="Arial" w:hAnsi="Arial" w:hint="default"/>
      </w:rPr>
    </w:lvl>
    <w:lvl w:ilvl="4" w:tplc="AC084C6C" w:tentative="1">
      <w:start w:val="1"/>
      <w:numFmt w:val="bullet"/>
      <w:lvlText w:val="•"/>
      <w:lvlJc w:val="left"/>
      <w:pPr>
        <w:tabs>
          <w:tab w:val="num" w:pos="3600"/>
        </w:tabs>
        <w:ind w:left="3600" w:hanging="360"/>
      </w:pPr>
      <w:rPr>
        <w:rFonts w:ascii="Arial" w:hAnsi="Arial" w:hint="default"/>
      </w:rPr>
    </w:lvl>
    <w:lvl w:ilvl="5" w:tplc="54F4A93C" w:tentative="1">
      <w:start w:val="1"/>
      <w:numFmt w:val="bullet"/>
      <w:lvlText w:val="•"/>
      <w:lvlJc w:val="left"/>
      <w:pPr>
        <w:tabs>
          <w:tab w:val="num" w:pos="4320"/>
        </w:tabs>
        <w:ind w:left="4320" w:hanging="360"/>
      </w:pPr>
      <w:rPr>
        <w:rFonts w:ascii="Arial" w:hAnsi="Arial" w:hint="default"/>
      </w:rPr>
    </w:lvl>
    <w:lvl w:ilvl="6" w:tplc="FB6ACC92" w:tentative="1">
      <w:start w:val="1"/>
      <w:numFmt w:val="bullet"/>
      <w:lvlText w:val="•"/>
      <w:lvlJc w:val="left"/>
      <w:pPr>
        <w:tabs>
          <w:tab w:val="num" w:pos="5040"/>
        </w:tabs>
        <w:ind w:left="5040" w:hanging="360"/>
      </w:pPr>
      <w:rPr>
        <w:rFonts w:ascii="Arial" w:hAnsi="Arial" w:hint="default"/>
      </w:rPr>
    </w:lvl>
    <w:lvl w:ilvl="7" w:tplc="B53C3F7C" w:tentative="1">
      <w:start w:val="1"/>
      <w:numFmt w:val="bullet"/>
      <w:lvlText w:val="•"/>
      <w:lvlJc w:val="left"/>
      <w:pPr>
        <w:tabs>
          <w:tab w:val="num" w:pos="5760"/>
        </w:tabs>
        <w:ind w:left="5760" w:hanging="360"/>
      </w:pPr>
      <w:rPr>
        <w:rFonts w:ascii="Arial" w:hAnsi="Arial" w:hint="default"/>
      </w:rPr>
    </w:lvl>
    <w:lvl w:ilvl="8" w:tplc="07360B2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7" w15:restartNumberingAfterBreak="0">
    <w:nsid w:val="409F546F"/>
    <w:multiLevelType w:val="hybridMultilevel"/>
    <w:tmpl w:val="BDD2A2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933D41"/>
    <w:multiLevelType w:val="hybridMultilevel"/>
    <w:tmpl w:val="743CC5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6575A44"/>
    <w:multiLevelType w:val="hybridMultilevel"/>
    <w:tmpl w:val="64A80B64"/>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751B4D2B"/>
    <w:multiLevelType w:val="hybridMultilevel"/>
    <w:tmpl w:val="7B4201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5EC1DDC"/>
    <w:multiLevelType w:val="hybridMultilevel"/>
    <w:tmpl w:val="4DE48DF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66377CF"/>
    <w:multiLevelType w:val="multilevel"/>
    <w:tmpl w:val="185E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4D033C"/>
    <w:multiLevelType w:val="multilevel"/>
    <w:tmpl w:val="5D4218E8"/>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hint="default"/>
        <w:b w:val="0"/>
        <w:i w:val="0"/>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EC272B"/>
    <w:multiLevelType w:val="hybridMultilevel"/>
    <w:tmpl w:val="4FD635F0"/>
    <w:lvl w:ilvl="0" w:tplc="971A315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25"/>
  </w:num>
  <w:num w:numId="4">
    <w:abstractNumId w:val="20"/>
  </w:num>
  <w:num w:numId="5">
    <w:abstractNumId w:val="16"/>
  </w:num>
  <w:num w:numId="6">
    <w:abstractNumId w:val="1"/>
  </w:num>
  <w:num w:numId="7">
    <w:abstractNumId w:val="26"/>
  </w:num>
  <w:num w:numId="8">
    <w:abstractNumId w:val="25"/>
  </w:num>
  <w:num w:numId="9">
    <w:abstractNumId w:val="19"/>
  </w:num>
  <w:num w:numId="10">
    <w:abstractNumId w:val="10"/>
  </w:num>
  <w:num w:numId="11">
    <w:abstractNumId w:val="11"/>
  </w:num>
  <w:num w:numId="12">
    <w:abstractNumId w:val="7"/>
  </w:num>
  <w:num w:numId="13">
    <w:abstractNumId w:val="23"/>
  </w:num>
  <w:num w:numId="14">
    <w:abstractNumId w:val="17"/>
  </w:num>
  <w:num w:numId="15">
    <w:abstractNumId w:val="5"/>
  </w:num>
  <w:num w:numId="16">
    <w:abstractNumId w:val="6"/>
  </w:num>
  <w:num w:numId="17">
    <w:abstractNumId w:val="12"/>
  </w:num>
  <w:num w:numId="18">
    <w:abstractNumId w:val="24"/>
  </w:num>
  <w:num w:numId="19">
    <w:abstractNumId w:val="13"/>
  </w:num>
  <w:num w:numId="20">
    <w:abstractNumId w:val="3"/>
  </w:num>
  <w:num w:numId="21">
    <w:abstractNumId w:val="21"/>
  </w:num>
  <w:num w:numId="22">
    <w:abstractNumId w:val="18"/>
  </w:num>
  <w:num w:numId="23">
    <w:abstractNumId w:val="4"/>
  </w:num>
  <w:num w:numId="24">
    <w:abstractNumId w:val="2"/>
  </w:num>
  <w:num w:numId="25">
    <w:abstractNumId w:val="9"/>
  </w:num>
  <w:num w:numId="26">
    <w:abstractNumId w:val="14"/>
  </w:num>
  <w:num w:numId="27">
    <w:abstractNumId w:val="8"/>
  </w:num>
  <w:num w:numId="28">
    <w:abstractNumId w:val="15"/>
  </w:num>
  <w:num w:numId="29">
    <w:abstractNumId w:val="22"/>
  </w:num>
  <w:num w:numId="30">
    <w:abstractNumId w:val="25"/>
  </w:num>
  <w:num w:numId="31">
    <w:abstractNumId w:val="25"/>
  </w:num>
  <w:num w:numId="32">
    <w:abstractNumId w:val="25"/>
  </w:num>
  <w:num w:numId="33">
    <w:abstractNumId w:val="25"/>
  </w:num>
  <w:num w:numId="34">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11A59"/>
    <w:rsid w:val="000123D9"/>
    <w:rsid w:val="00016111"/>
    <w:rsid w:val="00016A41"/>
    <w:rsid w:val="00017238"/>
    <w:rsid w:val="000202CA"/>
    <w:rsid w:val="00020EC8"/>
    <w:rsid w:val="000214D1"/>
    <w:rsid w:val="0002208C"/>
    <w:rsid w:val="0002241E"/>
    <w:rsid w:val="0002464A"/>
    <w:rsid w:val="000246A0"/>
    <w:rsid w:val="00027ED4"/>
    <w:rsid w:val="0003106B"/>
    <w:rsid w:val="000325B9"/>
    <w:rsid w:val="00034905"/>
    <w:rsid w:val="0003597E"/>
    <w:rsid w:val="000421A1"/>
    <w:rsid w:val="0004240E"/>
    <w:rsid w:val="0004400C"/>
    <w:rsid w:val="00045E26"/>
    <w:rsid w:val="00047059"/>
    <w:rsid w:val="000514B5"/>
    <w:rsid w:val="00057249"/>
    <w:rsid w:val="000607B1"/>
    <w:rsid w:val="00060A35"/>
    <w:rsid w:val="00060E64"/>
    <w:rsid w:val="00066755"/>
    <w:rsid w:val="00072037"/>
    <w:rsid w:val="0007231F"/>
    <w:rsid w:val="00072625"/>
    <w:rsid w:val="00074386"/>
    <w:rsid w:val="00075479"/>
    <w:rsid w:val="000763D5"/>
    <w:rsid w:val="00077143"/>
    <w:rsid w:val="00082169"/>
    <w:rsid w:val="00083866"/>
    <w:rsid w:val="00085927"/>
    <w:rsid w:val="000918CB"/>
    <w:rsid w:val="00091B06"/>
    <w:rsid w:val="000936CC"/>
    <w:rsid w:val="000951C4"/>
    <w:rsid w:val="00095ADA"/>
    <w:rsid w:val="000969AD"/>
    <w:rsid w:val="000A0464"/>
    <w:rsid w:val="000A3AA2"/>
    <w:rsid w:val="000A44B2"/>
    <w:rsid w:val="000A4C1B"/>
    <w:rsid w:val="000A52F6"/>
    <w:rsid w:val="000B2893"/>
    <w:rsid w:val="000B44C3"/>
    <w:rsid w:val="000B558D"/>
    <w:rsid w:val="000B5B57"/>
    <w:rsid w:val="000C3D99"/>
    <w:rsid w:val="000C5F95"/>
    <w:rsid w:val="000C6996"/>
    <w:rsid w:val="000D09E9"/>
    <w:rsid w:val="000D113F"/>
    <w:rsid w:val="000D23BA"/>
    <w:rsid w:val="000D5BA0"/>
    <w:rsid w:val="000D6B2B"/>
    <w:rsid w:val="000D6B83"/>
    <w:rsid w:val="000E05D9"/>
    <w:rsid w:val="000E18E2"/>
    <w:rsid w:val="000E2099"/>
    <w:rsid w:val="000E5370"/>
    <w:rsid w:val="000E5EA1"/>
    <w:rsid w:val="000E681E"/>
    <w:rsid w:val="000F0003"/>
    <w:rsid w:val="000F17DE"/>
    <w:rsid w:val="000F3384"/>
    <w:rsid w:val="000F3F7F"/>
    <w:rsid w:val="000F4E6A"/>
    <w:rsid w:val="000F7354"/>
    <w:rsid w:val="00101ABE"/>
    <w:rsid w:val="00102202"/>
    <w:rsid w:val="00102CCB"/>
    <w:rsid w:val="00104227"/>
    <w:rsid w:val="001071EA"/>
    <w:rsid w:val="001107BF"/>
    <w:rsid w:val="00113649"/>
    <w:rsid w:val="0012417C"/>
    <w:rsid w:val="0012749D"/>
    <w:rsid w:val="001274BC"/>
    <w:rsid w:val="001316B7"/>
    <w:rsid w:val="00142395"/>
    <w:rsid w:val="00142714"/>
    <w:rsid w:val="001452ED"/>
    <w:rsid w:val="00147D84"/>
    <w:rsid w:val="001549C1"/>
    <w:rsid w:val="0015618E"/>
    <w:rsid w:val="001577AD"/>
    <w:rsid w:val="0016028B"/>
    <w:rsid w:val="00162A92"/>
    <w:rsid w:val="00162BDD"/>
    <w:rsid w:val="00162D4E"/>
    <w:rsid w:val="00163329"/>
    <w:rsid w:val="001633D6"/>
    <w:rsid w:val="00164623"/>
    <w:rsid w:val="001652DE"/>
    <w:rsid w:val="00165B64"/>
    <w:rsid w:val="0016613D"/>
    <w:rsid w:val="001738D2"/>
    <w:rsid w:val="00173FF4"/>
    <w:rsid w:val="00180713"/>
    <w:rsid w:val="00180720"/>
    <w:rsid w:val="00181DC0"/>
    <w:rsid w:val="001830CE"/>
    <w:rsid w:val="0018643B"/>
    <w:rsid w:val="00190497"/>
    <w:rsid w:val="00191CD1"/>
    <w:rsid w:val="00193A42"/>
    <w:rsid w:val="00194507"/>
    <w:rsid w:val="0019451C"/>
    <w:rsid w:val="00196307"/>
    <w:rsid w:val="00197057"/>
    <w:rsid w:val="001A062E"/>
    <w:rsid w:val="001A33EA"/>
    <w:rsid w:val="001A4C4F"/>
    <w:rsid w:val="001A76FB"/>
    <w:rsid w:val="001B017F"/>
    <w:rsid w:val="001B066B"/>
    <w:rsid w:val="001B2BBC"/>
    <w:rsid w:val="001B3A40"/>
    <w:rsid w:val="001B3FB8"/>
    <w:rsid w:val="001B3FFE"/>
    <w:rsid w:val="001B5129"/>
    <w:rsid w:val="001C0B4C"/>
    <w:rsid w:val="001C0BC1"/>
    <w:rsid w:val="001C1195"/>
    <w:rsid w:val="001C2D37"/>
    <w:rsid w:val="001C2E42"/>
    <w:rsid w:val="001C3D16"/>
    <w:rsid w:val="001C51E9"/>
    <w:rsid w:val="001C7E2A"/>
    <w:rsid w:val="001D1B3E"/>
    <w:rsid w:val="001D1F5F"/>
    <w:rsid w:val="001D5429"/>
    <w:rsid w:val="001E06D2"/>
    <w:rsid w:val="001E0DE8"/>
    <w:rsid w:val="001E1947"/>
    <w:rsid w:val="001E42CB"/>
    <w:rsid w:val="001E61B2"/>
    <w:rsid w:val="001F005B"/>
    <w:rsid w:val="001F1850"/>
    <w:rsid w:val="001F3189"/>
    <w:rsid w:val="001F3956"/>
    <w:rsid w:val="001F43C3"/>
    <w:rsid w:val="001F6B65"/>
    <w:rsid w:val="002021EE"/>
    <w:rsid w:val="00203FAC"/>
    <w:rsid w:val="00212688"/>
    <w:rsid w:val="00212E99"/>
    <w:rsid w:val="00213CFB"/>
    <w:rsid w:val="002154C6"/>
    <w:rsid w:val="0021553C"/>
    <w:rsid w:val="0021557B"/>
    <w:rsid w:val="002174FD"/>
    <w:rsid w:val="00217BE1"/>
    <w:rsid w:val="002203F3"/>
    <w:rsid w:val="002220EC"/>
    <w:rsid w:val="002221BD"/>
    <w:rsid w:val="00223E27"/>
    <w:rsid w:val="00224674"/>
    <w:rsid w:val="00231656"/>
    <w:rsid w:val="00232CB7"/>
    <w:rsid w:val="00234252"/>
    <w:rsid w:val="00237AC6"/>
    <w:rsid w:val="00244490"/>
    <w:rsid w:val="00245B9C"/>
    <w:rsid w:val="0024683F"/>
    <w:rsid w:val="0025142E"/>
    <w:rsid w:val="00253499"/>
    <w:rsid w:val="00254342"/>
    <w:rsid w:val="0025462E"/>
    <w:rsid w:val="002551A4"/>
    <w:rsid w:val="002572B7"/>
    <w:rsid w:val="00257664"/>
    <w:rsid w:val="0026031F"/>
    <w:rsid w:val="0026042F"/>
    <w:rsid w:val="002617C0"/>
    <w:rsid w:val="00262641"/>
    <w:rsid w:val="00263164"/>
    <w:rsid w:val="00265151"/>
    <w:rsid w:val="00266509"/>
    <w:rsid w:val="00270447"/>
    <w:rsid w:val="00271BA1"/>
    <w:rsid w:val="002741C6"/>
    <w:rsid w:val="002762FA"/>
    <w:rsid w:val="00277505"/>
    <w:rsid w:val="002823B6"/>
    <w:rsid w:val="002827BA"/>
    <w:rsid w:val="002922E2"/>
    <w:rsid w:val="002923A7"/>
    <w:rsid w:val="00292512"/>
    <w:rsid w:val="00292D43"/>
    <w:rsid w:val="002934F2"/>
    <w:rsid w:val="00293A0B"/>
    <w:rsid w:val="0029420B"/>
    <w:rsid w:val="00294274"/>
    <w:rsid w:val="0029458F"/>
    <w:rsid w:val="002974C7"/>
    <w:rsid w:val="002A0E04"/>
    <w:rsid w:val="002A104C"/>
    <w:rsid w:val="002A1EF7"/>
    <w:rsid w:val="002A494D"/>
    <w:rsid w:val="002A4960"/>
    <w:rsid w:val="002A4D13"/>
    <w:rsid w:val="002A4DB8"/>
    <w:rsid w:val="002B0AE0"/>
    <w:rsid w:val="002B0FDE"/>
    <w:rsid w:val="002B1322"/>
    <w:rsid w:val="002B1AE6"/>
    <w:rsid w:val="002B1D51"/>
    <w:rsid w:val="002B2DE8"/>
    <w:rsid w:val="002B30F8"/>
    <w:rsid w:val="002B388A"/>
    <w:rsid w:val="002B43EA"/>
    <w:rsid w:val="002B5596"/>
    <w:rsid w:val="002B7E82"/>
    <w:rsid w:val="002C0D15"/>
    <w:rsid w:val="002C212F"/>
    <w:rsid w:val="002C5843"/>
    <w:rsid w:val="002C65B5"/>
    <w:rsid w:val="002C7485"/>
    <w:rsid w:val="002D1BBB"/>
    <w:rsid w:val="002D2484"/>
    <w:rsid w:val="002D283A"/>
    <w:rsid w:val="002D2C82"/>
    <w:rsid w:val="002D4543"/>
    <w:rsid w:val="002E1E4D"/>
    <w:rsid w:val="002E3153"/>
    <w:rsid w:val="002E4B46"/>
    <w:rsid w:val="002E5292"/>
    <w:rsid w:val="002E72CA"/>
    <w:rsid w:val="002F0A66"/>
    <w:rsid w:val="002F18F8"/>
    <w:rsid w:val="002F3C4D"/>
    <w:rsid w:val="002F4756"/>
    <w:rsid w:val="002F4B01"/>
    <w:rsid w:val="002F4E49"/>
    <w:rsid w:val="002F600D"/>
    <w:rsid w:val="00300AD6"/>
    <w:rsid w:val="00300B1B"/>
    <w:rsid w:val="003019D0"/>
    <w:rsid w:val="003064AF"/>
    <w:rsid w:val="00310B68"/>
    <w:rsid w:val="00310EDD"/>
    <w:rsid w:val="0031578F"/>
    <w:rsid w:val="00316B19"/>
    <w:rsid w:val="00317C6C"/>
    <w:rsid w:val="00320CD3"/>
    <w:rsid w:val="00320E84"/>
    <w:rsid w:val="00321E87"/>
    <w:rsid w:val="00323F6F"/>
    <w:rsid w:val="003264F5"/>
    <w:rsid w:val="00326E79"/>
    <w:rsid w:val="003301B1"/>
    <w:rsid w:val="00331189"/>
    <w:rsid w:val="0033263D"/>
    <w:rsid w:val="00333F98"/>
    <w:rsid w:val="0033518A"/>
    <w:rsid w:val="0033593D"/>
    <w:rsid w:val="003367EF"/>
    <w:rsid w:val="00341690"/>
    <w:rsid w:val="00341AE4"/>
    <w:rsid w:val="00344283"/>
    <w:rsid w:val="00344D3D"/>
    <w:rsid w:val="003476EE"/>
    <w:rsid w:val="003502F4"/>
    <w:rsid w:val="003534AD"/>
    <w:rsid w:val="003541DD"/>
    <w:rsid w:val="00355004"/>
    <w:rsid w:val="003568A8"/>
    <w:rsid w:val="00356E5B"/>
    <w:rsid w:val="00357276"/>
    <w:rsid w:val="00357E73"/>
    <w:rsid w:val="003633E0"/>
    <w:rsid w:val="00367038"/>
    <w:rsid w:val="003736C9"/>
    <w:rsid w:val="0037529D"/>
    <w:rsid w:val="00375A0A"/>
    <w:rsid w:val="00384988"/>
    <w:rsid w:val="003872CF"/>
    <w:rsid w:val="0039434C"/>
    <w:rsid w:val="00394953"/>
    <w:rsid w:val="0039782C"/>
    <w:rsid w:val="003A4FF6"/>
    <w:rsid w:val="003A5B4A"/>
    <w:rsid w:val="003A5D95"/>
    <w:rsid w:val="003B23C5"/>
    <w:rsid w:val="003B2A75"/>
    <w:rsid w:val="003B5570"/>
    <w:rsid w:val="003B6124"/>
    <w:rsid w:val="003C093A"/>
    <w:rsid w:val="003C1A97"/>
    <w:rsid w:val="003C1ECF"/>
    <w:rsid w:val="003C27DD"/>
    <w:rsid w:val="003C2FB5"/>
    <w:rsid w:val="003C3BDD"/>
    <w:rsid w:val="003D17AF"/>
    <w:rsid w:val="003D24C5"/>
    <w:rsid w:val="003D4AC4"/>
    <w:rsid w:val="003D63B7"/>
    <w:rsid w:val="003D74C5"/>
    <w:rsid w:val="003E386B"/>
    <w:rsid w:val="003E468B"/>
    <w:rsid w:val="003E62BD"/>
    <w:rsid w:val="003F063F"/>
    <w:rsid w:val="003F0C3A"/>
    <w:rsid w:val="003F10E1"/>
    <w:rsid w:val="003F3228"/>
    <w:rsid w:val="003F5C8C"/>
    <w:rsid w:val="003F63CE"/>
    <w:rsid w:val="003F775A"/>
    <w:rsid w:val="00400E55"/>
    <w:rsid w:val="00401259"/>
    <w:rsid w:val="0040128E"/>
    <w:rsid w:val="0040216B"/>
    <w:rsid w:val="00411D50"/>
    <w:rsid w:val="00414A5F"/>
    <w:rsid w:val="004154F2"/>
    <w:rsid w:val="0042001A"/>
    <w:rsid w:val="00422420"/>
    <w:rsid w:val="00424752"/>
    <w:rsid w:val="00424B4D"/>
    <w:rsid w:val="004252EC"/>
    <w:rsid w:val="00430D39"/>
    <w:rsid w:val="00436FFA"/>
    <w:rsid w:val="00441B10"/>
    <w:rsid w:val="00442B4A"/>
    <w:rsid w:val="00442E10"/>
    <w:rsid w:val="00442FD0"/>
    <w:rsid w:val="0044410B"/>
    <w:rsid w:val="00445C69"/>
    <w:rsid w:val="004465BD"/>
    <w:rsid w:val="00446938"/>
    <w:rsid w:val="00447601"/>
    <w:rsid w:val="004514EA"/>
    <w:rsid w:val="00461A44"/>
    <w:rsid w:val="00466ADA"/>
    <w:rsid w:val="004702BB"/>
    <w:rsid w:val="00471DC2"/>
    <w:rsid w:val="0047494B"/>
    <w:rsid w:val="004757F5"/>
    <w:rsid w:val="00476245"/>
    <w:rsid w:val="00477A9B"/>
    <w:rsid w:val="00483035"/>
    <w:rsid w:val="004843E9"/>
    <w:rsid w:val="00485940"/>
    <w:rsid w:val="004904B9"/>
    <w:rsid w:val="00490A1C"/>
    <w:rsid w:val="004961B4"/>
    <w:rsid w:val="004962EB"/>
    <w:rsid w:val="00496662"/>
    <w:rsid w:val="00496AAB"/>
    <w:rsid w:val="004A0397"/>
    <w:rsid w:val="004A2484"/>
    <w:rsid w:val="004A5A85"/>
    <w:rsid w:val="004A71D1"/>
    <w:rsid w:val="004A7C5B"/>
    <w:rsid w:val="004B1845"/>
    <w:rsid w:val="004B2E74"/>
    <w:rsid w:val="004B2E98"/>
    <w:rsid w:val="004B2FC5"/>
    <w:rsid w:val="004B4339"/>
    <w:rsid w:val="004B5640"/>
    <w:rsid w:val="004C03D0"/>
    <w:rsid w:val="004C1BD7"/>
    <w:rsid w:val="004C31FE"/>
    <w:rsid w:val="004C3B61"/>
    <w:rsid w:val="004C524C"/>
    <w:rsid w:val="004C574D"/>
    <w:rsid w:val="004C5FFA"/>
    <w:rsid w:val="004C691D"/>
    <w:rsid w:val="004C6C07"/>
    <w:rsid w:val="004D3D48"/>
    <w:rsid w:val="004D4FF6"/>
    <w:rsid w:val="004E0009"/>
    <w:rsid w:val="004E3018"/>
    <w:rsid w:val="004E3BF7"/>
    <w:rsid w:val="004E60FA"/>
    <w:rsid w:val="004E692D"/>
    <w:rsid w:val="004E7D87"/>
    <w:rsid w:val="004F2553"/>
    <w:rsid w:val="004F341A"/>
    <w:rsid w:val="004F3FDA"/>
    <w:rsid w:val="004F5C88"/>
    <w:rsid w:val="004F6C96"/>
    <w:rsid w:val="00501554"/>
    <w:rsid w:val="005021BF"/>
    <w:rsid w:val="00502AFE"/>
    <w:rsid w:val="00503AD7"/>
    <w:rsid w:val="00504E0C"/>
    <w:rsid w:val="0050774C"/>
    <w:rsid w:val="00507DAC"/>
    <w:rsid w:val="005109D4"/>
    <w:rsid w:val="00511E2F"/>
    <w:rsid w:val="00513316"/>
    <w:rsid w:val="00513462"/>
    <w:rsid w:val="00514CD7"/>
    <w:rsid w:val="00515EA9"/>
    <w:rsid w:val="00520D6A"/>
    <w:rsid w:val="00521C77"/>
    <w:rsid w:val="00522D0F"/>
    <w:rsid w:val="00522DB6"/>
    <w:rsid w:val="0052792D"/>
    <w:rsid w:val="005315A9"/>
    <w:rsid w:val="005316B1"/>
    <w:rsid w:val="005319B2"/>
    <w:rsid w:val="00532402"/>
    <w:rsid w:val="00532C74"/>
    <w:rsid w:val="00534E2E"/>
    <w:rsid w:val="00536F8B"/>
    <w:rsid w:val="00544552"/>
    <w:rsid w:val="00545130"/>
    <w:rsid w:val="00547E95"/>
    <w:rsid w:val="0055286A"/>
    <w:rsid w:val="00555745"/>
    <w:rsid w:val="00556341"/>
    <w:rsid w:val="00557D4F"/>
    <w:rsid w:val="00561E86"/>
    <w:rsid w:val="005626F6"/>
    <w:rsid w:val="0056484E"/>
    <w:rsid w:val="005747B4"/>
    <w:rsid w:val="00575414"/>
    <w:rsid w:val="005764CD"/>
    <w:rsid w:val="00577C4D"/>
    <w:rsid w:val="00580532"/>
    <w:rsid w:val="00581932"/>
    <w:rsid w:val="00582851"/>
    <w:rsid w:val="00583EA3"/>
    <w:rsid w:val="00584F15"/>
    <w:rsid w:val="005854EF"/>
    <w:rsid w:val="005860F3"/>
    <w:rsid w:val="00591D03"/>
    <w:rsid w:val="0059516F"/>
    <w:rsid w:val="005963BB"/>
    <w:rsid w:val="005A3173"/>
    <w:rsid w:val="005A3223"/>
    <w:rsid w:val="005A3DA3"/>
    <w:rsid w:val="005A52C4"/>
    <w:rsid w:val="005A7E97"/>
    <w:rsid w:val="005C4F73"/>
    <w:rsid w:val="005C76F9"/>
    <w:rsid w:val="005C7CF2"/>
    <w:rsid w:val="005D03AB"/>
    <w:rsid w:val="005D0D1F"/>
    <w:rsid w:val="005D4ECB"/>
    <w:rsid w:val="005D5017"/>
    <w:rsid w:val="005D63FA"/>
    <w:rsid w:val="005D7518"/>
    <w:rsid w:val="005E0D82"/>
    <w:rsid w:val="005E1333"/>
    <w:rsid w:val="005E3136"/>
    <w:rsid w:val="005E507D"/>
    <w:rsid w:val="005F2FA0"/>
    <w:rsid w:val="005F7F02"/>
    <w:rsid w:val="00601A91"/>
    <w:rsid w:val="00602BA3"/>
    <w:rsid w:val="006032E0"/>
    <w:rsid w:val="00605B63"/>
    <w:rsid w:val="00605F9A"/>
    <w:rsid w:val="00606EED"/>
    <w:rsid w:val="006079E8"/>
    <w:rsid w:val="00612E34"/>
    <w:rsid w:val="00614159"/>
    <w:rsid w:val="00614CE0"/>
    <w:rsid w:val="0061520B"/>
    <w:rsid w:val="00616C5F"/>
    <w:rsid w:val="00616DAC"/>
    <w:rsid w:val="00617C00"/>
    <w:rsid w:val="00621C5F"/>
    <w:rsid w:val="00623430"/>
    <w:rsid w:val="006250D0"/>
    <w:rsid w:val="006263BF"/>
    <w:rsid w:val="0062748A"/>
    <w:rsid w:val="00630A2C"/>
    <w:rsid w:val="006361C7"/>
    <w:rsid w:val="0063682E"/>
    <w:rsid w:val="006405EA"/>
    <w:rsid w:val="00642DA8"/>
    <w:rsid w:val="006436CD"/>
    <w:rsid w:val="006438B6"/>
    <w:rsid w:val="006449BA"/>
    <w:rsid w:val="006463E2"/>
    <w:rsid w:val="00651169"/>
    <w:rsid w:val="00653D69"/>
    <w:rsid w:val="006552E6"/>
    <w:rsid w:val="00655794"/>
    <w:rsid w:val="00657C63"/>
    <w:rsid w:val="006670BE"/>
    <w:rsid w:val="00670A76"/>
    <w:rsid w:val="006711AA"/>
    <w:rsid w:val="006721E7"/>
    <w:rsid w:val="00672B57"/>
    <w:rsid w:val="00672F1E"/>
    <w:rsid w:val="00673F1F"/>
    <w:rsid w:val="00675622"/>
    <w:rsid w:val="0067747D"/>
    <w:rsid w:val="00681529"/>
    <w:rsid w:val="006818D5"/>
    <w:rsid w:val="00681CA4"/>
    <w:rsid w:val="006864E6"/>
    <w:rsid w:val="0069039D"/>
    <w:rsid w:val="006906DB"/>
    <w:rsid w:val="00691726"/>
    <w:rsid w:val="00691E6C"/>
    <w:rsid w:val="0069255F"/>
    <w:rsid w:val="00693DFB"/>
    <w:rsid w:val="0069501D"/>
    <w:rsid w:val="006958BB"/>
    <w:rsid w:val="00696129"/>
    <w:rsid w:val="00697CF2"/>
    <w:rsid w:val="006A0D4A"/>
    <w:rsid w:val="006A12A5"/>
    <w:rsid w:val="006A5E20"/>
    <w:rsid w:val="006B0D94"/>
    <w:rsid w:val="006B485D"/>
    <w:rsid w:val="006B7385"/>
    <w:rsid w:val="006B7C47"/>
    <w:rsid w:val="006C27A2"/>
    <w:rsid w:val="006C334C"/>
    <w:rsid w:val="006C46F6"/>
    <w:rsid w:val="006C64FC"/>
    <w:rsid w:val="006C6ED0"/>
    <w:rsid w:val="006C708E"/>
    <w:rsid w:val="006D14E7"/>
    <w:rsid w:val="006D1813"/>
    <w:rsid w:val="006D188B"/>
    <w:rsid w:val="006D4444"/>
    <w:rsid w:val="006D6493"/>
    <w:rsid w:val="006D6EC7"/>
    <w:rsid w:val="006D7837"/>
    <w:rsid w:val="006E1BCD"/>
    <w:rsid w:val="006E4D36"/>
    <w:rsid w:val="006F0A71"/>
    <w:rsid w:val="006F15BD"/>
    <w:rsid w:val="006F40C2"/>
    <w:rsid w:val="006F4265"/>
    <w:rsid w:val="006F5125"/>
    <w:rsid w:val="006F5840"/>
    <w:rsid w:val="006F733D"/>
    <w:rsid w:val="00702B6F"/>
    <w:rsid w:val="00702FB3"/>
    <w:rsid w:val="00706A2F"/>
    <w:rsid w:val="0070718E"/>
    <w:rsid w:val="00710259"/>
    <w:rsid w:val="0071031F"/>
    <w:rsid w:val="007109FC"/>
    <w:rsid w:val="007114D9"/>
    <w:rsid w:val="0071340B"/>
    <w:rsid w:val="00715BBB"/>
    <w:rsid w:val="007174BB"/>
    <w:rsid w:val="0072025D"/>
    <w:rsid w:val="00721B0E"/>
    <w:rsid w:val="00726443"/>
    <w:rsid w:val="007275F5"/>
    <w:rsid w:val="00730995"/>
    <w:rsid w:val="007309BF"/>
    <w:rsid w:val="0073137C"/>
    <w:rsid w:val="007353D3"/>
    <w:rsid w:val="007366BC"/>
    <w:rsid w:val="0074156B"/>
    <w:rsid w:val="00747092"/>
    <w:rsid w:val="0074760F"/>
    <w:rsid w:val="00752724"/>
    <w:rsid w:val="00754381"/>
    <w:rsid w:val="007555E8"/>
    <w:rsid w:val="007624DD"/>
    <w:rsid w:val="00762820"/>
    <w:rsid w:val="0076420C"/>
    <w:rsid w:val="00764CC2"/>
    <w:rsid w:val="00766191"/>
    <w:rsid w:val="00771D07"/>
    <w:rsid w:val="00771DA4"/>
    <w:rsid w:val="00773BE3"/>
    <w:rsid w:val="007743DD"/>
    <w:rsid w:val="00774E2C"/>
    <w:rsid w:val="007753C2"/>
    <w:rsid w:val="00777B0C"/>
    <w:rsid w:val="007803E6"/>
    <w:rsid w:val="00782A85"/>
    <w:rsid w:val="007838B8"/>
    <w:rsid w:val="00784070"/>
    <w:rsid w:val="00785320"/>
    <w:rsid w:val="007915BA"/>
    <w:rsid w:val="00794C1B"/>
    <w:rsid w:val="007A1914"/>
    <w:rsid w:val="007A47FD"/>
    <w:rsid w:val="007A49A5"/>
    <w:rsid w:val="007B387F"/>
    <w:rsid w:val="007B39A5"/>
    <w:rsid w:val="007B3DDC"/>
    <w:rsid w:val="007B6BE7"/>
    <w:rsid w:val="007B72A6"/>
    <w:rsid w:val="007B74DC"/>
    <w:rsid w:val="007C0F57"/>
    <w:rsid w:val="007C126E"/>
    <w:rsid w:val="007C40B6"/>
    <w:rsid w:val="007C729F"/>
    <w:rsid w:val="007D503D"/>
    <w:rsid w:val="007D50E8"/>
    <w:rsid w:val="007D6AAD"/>
    <w:rsid w:val="007E1D28"/>
    <w:rsid w:val="007E2D14"/>
    <w:rsid w:val="007F0021"/>
    <w:rsid w:val="007F1945"/>
    <w:rsid w:val="007F2641"/>
    <w:rsid w:val="007F35CE"/>
    <w:rsid w:val="007F7C36"/>
    <w:rsid w:val="00804EA0"/>
    <w:rsid w:val="00806796"/>
    <w:rsid w:val="00811293"/>
    <w:rsid w:val="00811338"/>
    <w:rsid w:val="00811CC0"/>
    <w:rsid w:val="0081342F"/>
    <w:rsid w:val="008151D6"/>
    <w:rsid w:val="008179EF"/>
    <w:rsid w:val="00821527"/>
    <w:rsid w:val="00824DF6"/>
    <w:rsid w:val="008252E9"/>
    <w:rsid w:val="008268BB"/>
    <w:rsid w:val="00826F6D"/>
    <w:rsid w:val="008306F3"/>
    <w:rsid w:val="00830E40"/>
    <w:rsid w:val="008325C1"/>
    <w:rsid w:val="00832CAE"/>
    <w:rsid w:val="00835454"/>
    <w:rsid w:val="00835C62"/>
    <w:rsid w:val="00846056"/>
    <w:rsid w:val="00846586"/>
    <w:rsid w:val="00847EC0"/>
    <w:rsid w:val="00850AD7"/>
    <w:rsid w:val="0085208A"/>
    <w:rsid w:val="00853EE4"/>
    <w:rsid w:val="00854B42"/>
    <w:rsid w:val="00855FD6"/>
    <w:rsid w:val="00856082"/>
    <w:rsid w:val="00856DDD"/>
    <w:rsid w:val="008619CB"/>
    <w:rsid w:val="00863E68"/>
    <w:rsid w:val="008647B5"/>
    <w:rsid w:val="0086491F"/>
    <w:rsid w:val="00867D5F"/>
    <w:rsid w:val="00870AEB"/>
    <w:rsid w:val="00871FE3"/>
    <w:rsid w:val="00874225"/>
    <w:rsid w:val="00874C95"/>
    <w:rsid w:val="00874F93"/>
    <w:rsid w:val="00875DCB"/>
    <w:rsid w:val="00880042"/>
    <w:rsid w:val="00881629"/>
    <w:rsid w:val="00882085"/>
    <w:rsid w:val="00883188"/>
    <w:rsid w:val="008857EA"/>
    <w:rsid w:val="00890192"/>
    <w:rsid w:val="00897D58"/>
    <w:rsid w:val="00897F22"/>
    <w:rsid w:val="008A0B39"/>
    <w:rsid w:val="008A1956"/>
    <w:rsid w:val="008A3C89"/>
    <w:rsid w:val="008A4181"/>
    <w:rsid w:val="008A4937"/>
    <w:rsid w:val="008A495D"/>
    <w:rsid w:val="008A50F1"/>
    <w:rsid w:val="008A59D9"/>
    <w:rsid w:val="008A6819"/>
    <w:rsid w:val="008B0417"/>
    <w:rsid w:val="008B0EF6"/>
    <w:rsid w:val="008B2BED"/>
    <w:rsid w:val="008B2EC0"/>
    <w:rsid w:val="008B74A3"/>
    <w:rsid w:val="008C3B37"/>
    <w:rsid w:val="008C57FE"/>
    <w:rsid w:val="008D080B"/>
    <w:rsid w:val="008D1B5C"/>
    <w:rsid w:val="008D3C82"/>
    <w:rsid w:val="008D447E"/>
    <w:rsid w:val="008D7A41"/>
    <w:rsid w:val="008E1F4E"/>
    <w:rsid w:val="008E1F83"/>
    <w:rsid w:val="008E2C72"/>
    <w:rsid w:val="008E3680"/>
    <w:rsid w:val="008E5870"/>
    <w:rsid w:val="008E681E"/>
    <w:rsid w:val="008F0213"/>
    <w:rsid w:val="008F1434"/>
    <w:rsid w:val="008F54C3"/>
    <w:rsid w:val="008F5CB2"/>
    <w:rsid w:val="008F7355"/>
    <w:rsid w:val="0090235E"/>
    <w:rsid w:val="009023DC"/>
    <w:rsid w:val="009027C5"/>
    <w:rsid w:val="00904591"/>
    <w:rsid w:val="009067B7"/>
    <w:rsid w:val="00906FFB"/>
    <w:rsid w:val="00910AC5"/>
    <w:rsid w:val="00912C95"/>
    <w:rsid w:val="00917023"/>
    <w:rsid w:val="00917D69"/>
    <w:rsid w:val="0092075C"/>
    <w:rsid w:val="00921841"/>
    <w:rsid w:val="0092525D"/>
    <w:rsid w:val="00926560"/>
    <w:rsid w:val="0092736C"/>
    <w:rsid w:val="00930937"/>
    <w:rsid w:val="009324A6"/>
    <w:rsid w:val="00933797"/>
    <w:rsid w:val="00933E6C"/>
    <w:rsid w:val="00934EA3"/>
    <w:rsid w:val="00934EED"/>
    <w:rsid w:val="00936DA0"/>
    <w:rsid w:val="00937958"/>
    <w:rsid w:val="009400EE"/>
    <w:rsid w:val="00941602"/>
    <w:rsid w:val="00942160"/>
    <w:rsid w:val="009503C3"/>
    <w:rsid w:val="00950D07"/>
    <w:rsid w:val="0095146F"/>
    <w:rsid w:val="00955036"/>
    <w:rsid w:val="009550A0"/>
    <w:rsid w:val="0095518C"/>
    <w:rsid w:val="00957944"/>
    <w:rsid w:val="0096004E"/>
    <w:rsid w:val="009602C5"/>
    <w:rsid w:val="0096037D"/>
    <w:rsid w:val="00961921"/>
    <w:rsid w:val="00962223"/>
    <w:rsid w:val="00966D0D"/>
    <w:rsid w:val="0096783C"/>
    <w:rsid w:val="0097097E"/>
    <w:rsid w:val="009722B3"/>
    <w:rsid w:val="009723B9"/>
    <w:rsid w:val="00974C21"/>
    <w:rsid w:val="00975948"/>
    <w:rsid w:val="00976644"/>
    <w:rsid w:val="00976711"/>
    <w:rsid w:val="00976980"/>
    <w:rsid w:val="00977BF3"/>
    <w:rsid w:val="00977E1A"/>
    <w:rsid w:val="00980251"/>
    <w:rsid w:val="009803E4"/>
    <w:rsid w:val="00980B0E"/>
    <w:rsid w:val="00983219"/>
    <w:rsid w:val="009836A3"/>
    <w:rsid w:val="009855A8"/>
    <w:rsid w:val="00986DC1"/>
    <w:rsid w:val="00987767"/>
    <w:rsid w:val="009913F4"/>
    <w:rsid w:val="0099465B"/>
    <w:rsid w:val="009A0CDD"/>
    <w:rsid w:val="009A3168"/>
    <w:rsid w:val="009A3627"/>
    <w:rsid w:val="009A61CA"/>
    <w:rsid w:val="009B0C64"/>
    <w:rsid w:val="009B0F67"/>
    <w:rsid w:val="009B139B"/>
    <w:rsid w:val="009B4B10"/>
    <w:rsid w:val="009B61B5"/>
    <w:rsid w:val="009B69FA"/>
    <w:rsid w:val="009C0CBF"/>
    <w:rsid w:val="009C703C"/>
    <w:rsid w:val="009C70E2"/>
    <w:rsid w:val="009D1478"/>
    <w:rsid w:val="009D206E"/>
    <w:rsid w:val="009D3CAA"/>
    <w:rsid w:val="009D6532"/>
    <w:rsid w:val="009E2E8E"/>
    <w:rsid w:val="009E40E1"/>
    <w:rsid w:val="009F0EFA"/>
    <w:rsid w:val="009F4E46"/>
    <w:rsid w:val="009F4E5E"/>
    <w:rsid w:val="009F56FF"/>
    <w:rsid w:val="009F5B65"/>
    <w:rsid w:val="009F5F2E"/>
    <w:rsid w:val="00A01432"/>
    <w:rsid w:val="00A017F7"/>
    <w:rsid w:val="00A06225"/>
    <w:rsid w:val="00A07CEA"/>
    <w:rsid w:val="00A11C96"/>
    <w:rsid w:val="00A127B2"/>
    <w:rsid w:val="00A128E6"/>
    <w:rsid w:val="00A144D3"/>
    <w:rsid w:val="00A15ED1"/>
    <w:rsid w:val="00A16940"/>
    <w:rsid w:val="00A22AC3"/>
    <w:rsid w:val="00A23F3F"/>
    <w:rsid w:val="00A24067"/>
    <w:rsid w:val="00A24CF9"/>
    <w:rsid w:val="00A25AA4"/>
    <w:rsid w:val="00A2744D"/>
    <w:rsid w:val="00A34E6C"/>
    <w:rsid w:val="00A36398"/>
    <w:rsid w:val="00A36BCB"/>
    <w:rsid w:val="00A37C8D"/>
    <w:rsid w:val="00A4020E"/>
    <w:rsid w:val="00A40B03"/>
    <w:rsid w:val="00A40FB5"/>
    <w:rsid w:val="00A42826"/>
    <w:rsid w:val="00A429B3"/>
    <w:rsid w:val="00A471D3"/>
    <w:rsid w:val="00A510E4"/>
    <w:rsid w:val="00A5273B"/>
    <w:rsid w:val="00A528FD"/>
    <w:rsid w:val="00A52E1C"/>
    <w:rsid w:val="00A53A9D"/>
    <w:rsid w:val="00A55FEE"/>
    <w:rsid w:val="00A57422"/>
    <w:rsid w:val="00A60AF2"/>
    <w:rsid w:val="00A62C1A"/>
    <w:rsid w:val="00A630B9"/>
    <w:rsid w:val="00A634C9"/>
    <w:rsid w:val="00A6426D"/>
    <w:rsid w:val="00A64FA6"/>
    <w:rsid w:val="00A650EE"/>
    <w:rsid w:val="00A659D1"/>
    <w:rsid w:val="00A665C1"/>
    <w:rsid w:val="00A673A4"/>
    <w:rsid w:val="00A70622"/>
    <w:rsid w:val="00A70977"/>
    <w:rsid w:val="00A70D58"/>
    <w:rsid w:val="00A744F9"/>
    <w:rsid w:val="00A76561"/>
    <w:rsid w:val="00A77613"/>
    <w:rsid w:val="00A81851"/>
    <w:rsid w:val="00A8390C"/>
    <w:rsid w:val="00A86AE0"/>
    <w:rsid w:val="00A87462"/>
    <w:rsid w:val="00A87486"/>
    <w:rsid w:val="00A87650"/>
    <w:rsid w:val="00A90743"/>
    <w:rsid w:val="00A928BD"/>
    <w:rsid w:val="00A9489E"/>
    <w:rsid w:val="00A952E1"/>
    <w:rsid w:val="00A96EDB"/>
    <w:rsid w:val="00A97DE9"/>
    <w:rsid w:val="00AA12CD"/>
    <w:rsid w:val="00AA2E28"/>
    <w:rsid w:val="00AA481F"/>
    <w:rsid w:val="00AA4882"/>
    <w:rsid w:val="00AA4D1C"/>
    <w:rsid w:val="00AA52FD"/>
    <w:rsid w:val="00AB2170"/>
    <w:rsid w:val="00AB5856"/>
    <w:rsid w:val="00AC193C"/>
    <w:rsid w:val="00AC4DE5"/>
    <w:rsid w:val="00AC5206"/>
    <w:rsid w:val="00AC5D34"/>
    <w:rsid w:val="00AD0C6B"/>
    <w:rsid w:val="00AD4322"/>
    <w:rsid w:val="00AD670D"/>
    <w:rsid w:val="00AE11A5"/>
    <w:rsid w:val="00AE13E2"/>
    <w:rsid w:val="00AE22D3"/>
    <w:rsid w:val="00AE5A49"/>
    <w:rsid w:val="00AF0F3B"/>
    <w:rsid w:val="00AF62DF"/>
    <w:rsid w:val="00AF68CC"/>
    <w:rsid w:val="00AF70D7"/>
    <w:rsid w:val="00AF7EA7"/>
    <w:rsid w:val="00B03EDB"/>
    <w:rsid w:val="00B04FE1"/>
    <w:rsid w:val="00B06478"/>
    <w:rsid w:val="00B07CFB"/>
    <w:rsid w:val="00B1059E"/>
    <w:rsid w:val="00B11AA6"/>
    <w:rsid w:val="00B14F08"/>
    <w:rsid w:val="00B16273"/>
    <w:rsid w:val="00B170A5"/>
    <w:rsid w:val="00B1752C"/>
    <w:rsid w:val="00B176C8"/>
    <w:rsid w:val="00B17EE5"/>
    <w:rsid w:val="00B205AA"/>
    <w:rsid w:val="00B22E84"/>
    <w:rsid w:val="00B233AD"/>
    <w:rsid w:val="00B23E25"/>
    <w:rsid w:val="00B25D72"/>
    <w:rsid w:val="00B25F75"/>
    <w:rsid w:val="00B26B3F"/>
    <w:rsid w:val="00B2778F"/>
    <w:rsid w:val="00B305D0"/>
    <w:rsid w:val="00B33635"/>
    <w:rsid w:val="00B42202"/>
    <w:rsid w:val="00B42AF4"/>
    <w:rsid w:val="00B43E90"/>
    <w:rsid w:val="00B44E43"/>
    <w:rsid w:val="00B467DC"/>
    <w:rsid w:val="00B5403B"/>
    <w:rsid w:val="00B56118"/>
    <w:rsid w:val="00B56A4D"/>
    <w:rsid w:val="00B57668"/>
    <w:rsid w:val="00B66395"/>
    <w:rsid w:val="00B67318"/>
    <w:rsid w:val="00B6773F"/>
    <w:rsid w:val="00B70EB3"/>
    <w:rsid w:val="00B743E5"/>
    <w:rsid w:val="00B7525E"/>
    <w:rsid w:val="00B75EFD"/>
    <w:rsid w:val="00B760FB"/>
    <w:rsid w:val="00B767AB"/>
    <w:rsid w:val="00B772D0"/>
    <w:rsid w:val="00B801BA"/>
    <w:rsid w:val="00B84D5C"/>
    <w:rsid w:val="00B90E28"/>
    <w:rsid w:val="00B91183"/>
    <w:rsid w:val="00B923BE"/>
    <w:rsid w:val="00B93FCF"/>
    <w:rsid w:val="00B9714E"/>
    <w:rsid w:val="00BA2DA8"/>
    <w:rsid w:val="00BA347C"/>
    <w:rsid w:val="00BA759F"/>
    <w:rsid w:val="00BA7D10"/>
    <w:rsid w:val="00BB147B"/>
    <w:rsid w:val="00BB5C49"/>
    <w:rsid w:val="00BB69F5"/>
    <w:rsid w:val="00BB7A1B"/>
    <w:rsid w:val="00BB7EC3"/>
    <w:rsid w:val="00BC13B4"/>
    <w:rsid w:val="00BC1D8D"/>
    <w:rsid w:val="00BC2AC0"/>
    <w:rsid w:val="00BC4228"/>
    <w:rsid w:val="00BC4B9A"/>
    <w:rsid w:val="00BC5B1F"/>
    <w:rsid w:val="00BD02C3"/>
    <w:rsid w:val="00BD7483"/>
    <w:rsid w:val="00BD784C"/>
    <w:rsid w:val="00BE020A"/>
    <w:rsid w:val="00BE13DF"/>
    <w:rsid w:val="00BE5AB3"/>
    <w:rsid w:val="00BF092C"/>
    <w:rsid w:val="00BF13DB"/>
    <w:rsid w:val="00BF27A0"/>
    <w:rsid w:val="00BF37FD"/>
    <w:rsid w:val="00BF4438"/>
    <w:rsid w:val="00BF4CB6"/>
    <w:rsid w:val="00C00DA7"/>
    <w:rsid w:val="00C01E68"/>
    <w:rsid w:val="00C0386B"/>
    <w:rsid w:val="00C04CDE"/>
    <w:rsid w:val="00C07423"/>
    <w:rsid w:val="00C11700"/>
    <w:rsid w:val="00C117FE"/>
    <w:rsid w:val="00C12768"/>
    <w:rsid w:val="00C12D70"/>
    <w:rsid w:val="00C13D8B"/>
    <w:rsid w:val="00C150D7"/>
    <w:rsid w:val="00C200DB"/>
    <w:rsid w:val="00C21B09"/>
    <w:rsid w:val="00C24115"/>
    <w:rsid w:val="00C24307"/>
    <w:rsid w:val="00C2673A"/>
    <w:rsid w:val="00C27B58"/>
    <w:rsid w:val="00C31054"/>
    <w:rsid w:val="00C32888"/>
    <w:rsid w:val="00C34A0D"/>
    <w:rsid w:val="00C35996"/>
    <w:rsid w:val="00C440B7"/>
    <w:rsid w:val="00C44E92"/>
    <w:rsid w:val="00C472FB"/>
    <w:rsid w:val="00C4747E"/>
    <w:rsid w:val="00C5151E"/>
    <w:rsid w:val="00C532BE"/>
    <w:rsid w:val="00C5342C"/>
    <w:rsid w:val="00C534C5"/>
    <w:rsid w:val="00C53B2B"/>
    <w:rsid w:val="00C5669B"/>
    <w:rsid w:val="00C60272"/>
    <w:rsid w:val="00C603D4"/>
    <w:rsid w:val="00C62211"/>
    <w:rsid w:val="00C6256A"/>
    <w:rsid w:val="00C710E2"/>
    <w:rsid w:val="00C71C3F"/>
    <w:rsid w:val="00C731FD"/>
    <w:rsid w:val="00C7409E"/>
    <w:rsid w:val="00C7492D"/>
    <w:rsid w:val="00C74D6D"/>
    <w:rsid w:val="00C75992"/>
    <w:rsid w:val="00C76E76"/>
    <w:rsid w:val="00C774DA"/>
    <w:rsid w:val="00C77891"/>
    <w:rsid w:val="00C821BE"/>
    <w:rsid w:val="00C83409"/>
    <w:rsid w:val="00C909F9"/>
    <w:rsid w:val="00C91449"/>
    <w:rsid w:val="00C92D10"/>
    <w:rsid w:val="00C92E47"/>
    <w:rsid w:val="00C94A2C"/>
    <w:rsid w:val="00C9607F"/>
    <w:rsid w:val="00CA48D9"/>
    <w:rsid w:val="00CB1193"/>
    <w:rsid w:val="00CB36C2"/>
    <w:rsid w:val="00CB4767"/>
    <w:rsid w:val="00CB493D"/>
    <w:rsid w:val="00CC096C"/>
    <w:rsid w:val="00CC3B97"/>
    <w:rsid w:val="00CC3F69"/>
    <w:rsid w:val="00CC4B99"/>
    <w:rsid w:val="00CD0CE8"/>
    <w:rsid w:val="00CD31FA"/>
    <w:rsid w:val="00CE0F34"/>
    <w:rsid w:val="00CE10C4"/>
    <w:rsid w:val="00CE21DE"/>
    <w:rsid w:val="00CE27B5"/>
    <w:rsid w:val="00CE51C1"/>
    <w:rsid w:val="00CE6DAF"/>
    <w:rsid w:val="00CF410A"/>
    <w:rsid w:val="00CF4294"/>
    <w:rsid w:val="00D0152C"/>
    <w:rsid w:val="00D0321E"/>
    <w:rsid w:val="00D04C29"/>
    <w:rsid w:val="00D05AAD"/>
    <w:rsid w:val="00D07A8A"/>
    <w:rsid w:val="00D11409"/>
    <w:rsid w:val="00D1455A"/>
    <w:rsid w:val="00D17B21"/>
    <w:rsid w:val="00D17B64"/>
    <w:rsid w:val="00D22093"/>
    <w:rsid w:val="00D24AF0"/>
    <w:rsid w:val="00D30689"/>
    <w:rsid w:val="00D31150"/>
    <w:rsid w:val="00D3138B"/>
    <w:rsid w:val="00D31E5D"/>
    <w:rsid w:val="00D3280C"/>
    <w:rsid w:val="00D3406A"/>
    <w:rsid w:val="00D366F0"/>
    <w:rsid w:val="00D37027"/>
    <w:rsid w:val="00D40B11"/>
    <w:rsid w:val="00D40CA9"/>
    <w:rsid w:val="00D4209C"/>
    <w:rsid w:val="00D441F1"/>
    <w:rsid w:val="00D4551A"/>
    <w:rsid w:val="00D4572C"/>
    <w:rsid w:val="00D469B2"/>
    <w:rsid w:val="00D51C04"/>
    <w:rsid w:val="00D54B09"/>
    <w:rsid w:val="00D602BB"/>
    <w:rsid w:val="00D65658"/>
    <w:rsid w:val="00D66FA0"/>
    <w:rsid w:val="00D70326"/>
    <w:rsid w:val="00D72B6F"/>
    <w:rsid w:val="00D730D7"/>
    <w:rsid w:val="00D741EB"/>
    <w:rsid w:val="00D75824"/>
    <w:rsid w:val="00D7679C"/>
    <w:rsid w:val="00D76EA9"/>
    <w:rsid w:val="00D815D3"/>
    <w:rsid w:val="00D820F3"/>
    <w:rsid w:val="00D83605"/>
    <w:rsid w:val="00D83BA0"/>
    <w:rsid w:val="00D84451"/>
    <w:rsid w:val="00D84934"/>
    <w:rsid w:val="00D906CB"/>
    <w:rsid w:val="00D91271"/>
    <w:rsid w:val="00D919F5"/>
    <w:rsid w:val="00D94F03"/>
    <w:rsid w:val="00DA0A82"/>
    <w:rsid w:val="00DA0D14"/>
    <w:rsid w:val="00DA1FC9"/>
    <w:rsid w:val="00DA2CB5"/>
    <w:rsid w:val="00DA35E9"/>
    <w:rsid w:val="00DA3F04"/>
    <w:rsid w:val="00DA4BAC"/>
    <w:rsid w:val="00DA5C04"/>
    <w:rsid w:val="00DA735D"/>
    <w:rsid w:val="00DB0151"/>
    <w:rsid w:val="00DB2618"/>
    <w:rsid w:val="00DC2339"/>
    <w:rsid w:val="00DC2C3E"/>
    <w:rsid w:val="00DC4880"/>
    <w:rsid w:val="00DC5022"/>
    <w:rsid w:val="00DC5572"/>
    <w:rsid w:val="00DC5F7C"/>
    <w:rsid w:val="00DE1471"/>
    <w:rsid w:val="00DE1685"/>
    <w:rsid w:val="00DE455A"/>
    <w:rsid w:val="00DE6D27"/>
    <w:rsid w:val="00DE70D1"/>
    <w:rsid w:val="00DF01F8"/>
    <w:rsid w:val="00DF1EA9"/>
    <w:rsid w:val="00DF217D"/>
    <w:rsid w:val="00DF26A7"/>
    <w:rsid w:val="00DF3277"/>
    <w:rsid w:val="00DF7919"/>
    <w:rsid w:val="00E01A62"/>
    <w:rsid w:val="00E0207E"/>
    <w:rsid w:val="00E03912"/>
    <w:rsid w:val="00E078D9"/>
    <w:rsid w:val="00E10293"/>
    <w:rsid w:val="00E12017"/>
    <w:rsid w:val="00E132B3"/>
    <w:rsid w:val="00E15627"/>
    <w:rsid w:val="00E164B3"/>
    <w:rsid w:val="00E16910"/>
    <w:rsid w:val="00E22427"/>
    <w:rsid w:val="00E22B29"/>
    <w:rsid w:val="00E24375"/>
    <w:rsid w:val="00E24E09"/>
    <w:rsid w:val="00E27234"/>
    <w:rsid w:val="00E33090"/>
    <w:rsid w:val="00E3495C"/>
    <w:rsid w:val="00E35AD4"/>
    <w:rsid w:val="00E40BFB"/>
    <w:rsid w:val="00E42BDB"/>
    <w:rsid w:val="00E545A9"/>
    <w:rsid w:val="00E54D3A"/>
    <w:rsid w:val="00E56142"/>
    <w:rsid w:val="00E56632"/>
    <w:rsid w:val="00E57E2E"/>
    <w:rsid w:val="00E57EEB"/>
    <w:rsid w:val="00E604A6"/>
    <w:rsid w:val="00E62903"/>
    <w:rsid w:val="00E62CFD"/>
    <w:rsid w:val="00E62D94"/>
    <w:rsid w:val="00E64F37"/>
    <w:rsid w:val="00E65E54"/>
    <w:rsid w:val="00E661C7"/>
    <w:rsid w:val="00E67CF6"/>
    <w:rsid w:val="00E70362"/>
    <w:rsid w:val="00E72316"/>
    <w:rsid w:val="00E72E35"/>
    <w:rsid w:val="00E733BF"/>
    <w:rsid w:val="00E75660"/>
    <w:rsid w:val="00E777E1"/>
    <w:rsid w:val="00E80155"/>
    <w:rsid w:val="00E8134B"/>
    <w:rsid w:val="00E81E0D"/>
    <w:rsid w:val="00E81F28"/>
    <w:rsid w:val="00E843E2"/>
    <w:rsid w:val="00E848C0"/>
    <w:rsid w:val="00E85D98"/>
    <w:rsid w:val="00E86843"/>
    <w:rsid w:val="00E91B96"/>
    <w:rsid w:val="00E93D1E"/>
    <w:rsid w:val="00E93E87"/>
    <w:rsid w:val="00E941A1"/>
    <w:rsid w:val="00E95477"/>
    <w:rsid w:val="00E95CE3"/>
    <w:rsid w:val="00EA252F"/>
    <w:rsid w:val="00EA2825"/>
    <w:rsid w:val="00EA4B43"/>
    <w:rsid w:val="00EA6518"/>
    <w:rsid w:val="00EA7466"/>
    <w:rsid w:val="00EA7EDE"/>
    <w:rsid w:val="00EB0B63"/>
    <w:rsid w:val="00EB1936"/>
    <w:rsid w:val="00EB37BE"/>
    <w:rsid w:val="00EB4492"/>
    <w:rsid w:val="00EB5088"/>
    <w:rsid w:val="00EC467A"/>
    <w:rsid w:val="00ED1644"/>
    <w:rsid w:val="00ED2593"/>
    <w:rsid w:val="00ED271D"/>
    <w:rsid w:val="00ED6E32"/>
    <w:rsid w:val="00ED7D55"/>
    <w:rsid w:val="00ED7D9C"/>
    <w:rsid w:val="00EE0BD5"/>
    <w:rsid w:val="00EE1777"/>
    <w:rsid w:val="00EE31A2"/>
    <w:rsid w:val="00EE4F2A"/>
    <w:rsid w:val="00EF0069"/>
    <w:rsid w:val="00EF1236"/>
    <w:rsid w:val="00EF4428"/>
    <w:rsid w:val="00EF44A0"/>
    <w:rsid w:val="00EF4FED"/>
    <w:rsid w:val="00EF6FB3"/>
    <w:rsid w:val="00EF7998"/>
    <w:rsid w:val="00F007C6"/>
    <w:rsid w:val="00F0172E"/>
    <w:rsid w:val="00F050BD"/>
    <w:rsid w:val="00F05657"/>
    <w:rsid w:val="00F05BD1"/>
    <w:rsid w:val="00F17E88"/>
    <w:rsid w:val="00F17ED6"/>
    <w:rsid w:val="00F209E2"/>
    <w:rsid w:val="00F22FC3"/>
    <w:rsid w:val="00F24278"/>
    <w:rsid w:val="00F25578"/>
    <w:rsid w:val="00F258E5"/>
    <w:rsid w:val="00F25B9C"/>
    <w:rsid w:val="00F26CC6"/>
    <w:rsid w:val="00F300BC"/>
    <w:rsid w:val="00F30762"/>
    <w:rsid w:val="00F3263C"/>
    <w:rsid w:val="00F327C9"/>
    <w:rsid w:val="00F3334E"/>
    <w:rsid w:val="00F34345"/>
    <w:rsid w:val="00F359C2"/>
    <w:rsid w:val="00F35F11"/>
    <w:rsid w:val="00F36CCB"/>
    <w:rsid w:val="00F374E5"/>
    <w:rsid w:val="00F37B93"/>
    <w:rsid w:val="00F37BAD"/>
    <w:rsid w:val="00F37ECA"/>
    <w:rsid w:val="00F41A35"/>
    <w:rsid w:val="00F41B91"/>
    <w:rsid w:val="00F43AF2"/>
    <w:rsid w:val="00F46488"/>
    <w:rsid w:val="00F5007E"/>
    <w:rsid w:val="00F50EC4"/>
    <w:rsid w:val="00F52232"/>
    <w:rsid w:val="00F550CF"/>
    <w:rsid w:val="00F57A6D"/>
    <w:rsid w:val="00F57A81"/>
    <w:rsid w:val="00F57D70"/>
    <w:rsid w:val="00F60B58"/>
    <w:rsid w:val="00F638CC"/>
    <w:rsid w:val="00F64C9E"/>
    <w:rsid w:val="00F64CC1"/>
    <w:rsid w:val="00F65B5C"/>
    <w:rsid w:val="00F668E7"/>
    <w:rsid w:val="00F66D2C"/>
    <w:rsid w:val="00F72317"/>
    <w:rsid w:val="00F740BE"/>
    <w:rsid w:val="00F7649B"/>
    <w:rsid w:val="00F77729"/>
    <w:rsid w:val="00F80475"/>
    <w:rsid w:val="00F8247A"/>
    <w:rsid w:val="00F82E5C"/>
    <w:rsid w:val="00F86AE9"/>
    <w:rsid w:val="00F9629A"/>
    <w:rsid w:val="00F97EFC"/>
    <w:rsid w:val="00FA1BDD"/>
    <w:rsid w:val="00FA305C"/>
    <w:rsid w:val="00FA4DD5"/>
    <w:rsid w:val="00FA5883"/>
    <w:rsid w:val="00FA6055"/>
    <w:rsid w:val="00FA7FE0"/>
    <w:rsid w:val="00FB0B39"/>
    <w:rsid w:val="00FB322F"/>
    <w:rsid w:val="00FB442F"/>
    <w:rsid w:val="00FC118C"/>
    <w:rsid w:val="00FC1929"/>
    <w:rsid w:val="00FC4026"/>
    <w:rsid w:val="00FC5035"/>
    <w:rsid w:val="00FC5B46"/>
    <w:rsid w:val="00FD6D8E"/>
    <w:rsid w:val="00FE0663"/>
    <w:rsid w:val="00FE0E94"/>
    <w:rsid w:val="00FE1E82"/>
    <w:rsid w:val="00FE3B56"/>
    <w:rsid w:val="00FE3CD9"/>
    <w:rsid w:val="00FE5120"/>
    <w:rsid w:val="00FF00BD"/>
    <w:rsid w:val="00FF1ED4"/>
    <w:rsid w:val="00FF2801"/>
    <w:rsid w:val="00FF4A8E"/>
    <w:rsid w:val="00FF4C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EA8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rsid w:val="007D50E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ASD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L,Bullet Point,Bulletr List Paragraph,Content descriptions,FooterText,List Bullet 1,List Paragraph2"/>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L Char,Bullet Point Char,Content descriptions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5"/>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8"/>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6"/>
      </w:numPr>
      <w:contextualSpacing/>
    </w:pPr>
  </w:style>
  <w:style w:type="paragraph" w:styleId="Revision">
    <w:name w:val="Revision"/>
    <w:hidden/>
    <w:uiPriority w:val="71"/>
    <w:semiHidden/>
    <w:rsid w:val="002923A7"/>
    <w:rPr>
      <w:rFonts w:ascii="Calibri" w:hAnsi="Calibri"/>
      <w:sz w:val="24"/>
      <w:szCs w:val="24"/>
    </w:rPr>
  </w:style>
  <w:style w:type="paragraph" w:styleId="FootnoteText">
    <w:name w:val="footnote text"/>
    <w:basedOn w:val="Normal"/>
    <w:link w:val="FootnoteTextChar"/>
    <w:semiHidden/>
    <w:unhideWhenUsed/>
    <w:rsid w:val="0031578F"/>
    <w:rPr>
      <w:sz w:val="20"/>
      <w:szCs w:val="20"/>
    </w:rPr>
  </w:style>
  <w:style w:type="character" w:customStyle="1" w:styleId="FootnoteTextChar">
    <w:name w:val="Footnote Text Char"/>
    <w:basedOn w:val="DefaultParagraphFont"/>
    <w:link w:val="FootnoteText"/>
    <w:semiHidden/>
    <w:rsid w:val="0031578F"/>
    <w:rPr>
      <w:rFonts w:ascii="Calibri" w:hAnsi="Calibri"/>
    </w:rPr>
  </w:style>
  <w:style w:type="character" w:styleId="FootnoteReference">
    <w:name w:val="footnote reference"/>
    <w:basedOn w:val="DefaultParagraphFont"/>
    <w:semiHidden/>
    <w:unhideWhenUsed/>
    <w:rsid w:val="0031578F"/>
    <w:rPr>
      <w:vertAlign w:val="superscript"/>
    </w:rPr>
  </w:style>
  <w:style w:type="paragraph" w:customStyle="1" w:styleId="TableNotes0">
    <w:name w:val="TableNotes+0"/>
    <w:basedOn w:val="Normal"/>
    <w:rsid w:val="007F35CE"/>
    <w:pPr>
      <w:keepNext/>
      <w:keepLines/>
      <w:ind w:left="720"/>
      <w:jc w:val="left"/>
    </w:pPr>
    <w:rPr>
      <w:rFonts w:ascii="Arial Narrow" w:hAnsi="Arial Narrow" w:cs="Arial Narrow"/>
      <w:snapToGrid w:val="0"/>
      <w:sz w:val="18"/>
      <w:szCs w:val="18"/>
    </w:rPr>
  </w:style>
  <w:style w:type="paragraph" w:customStyle="1" w:styleId="Table">
    <w:name w:val="Table"/>
    <w:basedOn w:val="Normal"/>
    <w:qFormat/>
    <w:rsid w:val="007F35CE"/>
    <w:pPr>
      <w:jc w:val="left"/>
    </w:pPr>
    <w:rPr>
      <w:rFonts w:ascii="Arial Narrow" w:eastAsiaTheme="minorHAnsi" w:hAnsi="Arial Narrow" w:cstheme="minorBidi"/>
      <w:sz w:val="20"/>
      <w:szCs w:val="22"/>
      <w:lang w:eastAsia="en-US"/>
    </w:rPr>
  </w:style>
  <w:style w:type="table" w:customStyle="1" w:styleId="TableGrid1">
    <w:name w:val="Table Grid1"/>
    <w:basedOn w:val="TableNormal"/>
    <w:next w:val="TableGrid"/>
    <w:uiPriority w:val="39"/>
    <w:rsid w:val="007F35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bullet0">
    <w:name w:val="Number bullet"/>
    <w:basedOn w:val="ListBullet"/>
    <w:qFormat/>
    <w:rsid w:val="002934F2"/>
    <w:pPr>
      <w:numPr>
        <w:numId w:val="16"/>
      </w:numPr>
      <w:adjustRightInd w:val="0"/>
      <w:snapToGrid w:val="0"/>
      <w:spacing w:before="180" w:after="160" w:line="240" w:lineRule="atLeast"/>
      <w:contextualSpacing w:val="0"/>
      <w:jc w:val="left"/>
    </w:pPr>
    <w:rPr>
      <w:rFonts w:ascii="Cambria" w:eastAsia="MS Mincho" w:hAnsi="Cambria"/>
      <w:sz w:val="22"/>
      <w:szCs w:val="20"/>
      <w:lang w:eastAsia="ja-JP"/>
    </w:rPr>
  </w:style>
  <w:style w:type="paragraph" w:customStyle="1" w:styleId="Numberbullet3">
    <w:name w:val="Number bullet 3"/>
    <w:basedOn w:val="ListBullet3"/>
    <w:qFormat/>
    <w:rsid w:val="002934F2"/>
    <w:pPr>
      <w:numPr>
        <w:ilvl w:val="2"/>
      </w:numPr>
      <w:adjustRightInd w:val="0"/>
      <w:snapToGrid w:val="0"/>
      <w:spacing w:before="180" w:after="180" w:line="240" w:lineRule="atLeast"/>
      <w:ind w:left="2160" w:hanging="360"/>
      <w:jc w:val="left"/>
    </w:pPr>
    <w:rPr>
      <w:rFonts w:ascii="Cambria" w:eastAsia="MS Mincho" w:hAnsi="Cambria"/>
      <w:sz w:val="22"/>
      <w:szCs w:val="20"/>
      <w:lang w:eastAsia="ja-JP"/>
    </w:rPr>
  </w:style>
  <w:style w:type="numbering" w:customStyle="1" w:styleId="NumberBullet">
    <w:name w:val="NumberBullet"/>
    <w:uiPriority w:val="99"/>
    <w:locked/>
    <w:rsid w:val="002934F2"/>
    <w:pPr>
      <w:numPr>
        <w:numId w:val="16"/>
      </w:numPr>
    </w:pPr>
  </w:style>
  <w:style w:type="paragraph" w:styleId="ListBullet3">
    <w:name w:val="List Bullet 3"/>
    <w:basedOn w:val="Normal"/>
    <w:semiHidden/>
    <w:unhideWhenUsed/>
    <w:rsid w:val="002934F2"/>
    <w:pPr>
      <w:ind w:left="425" w:hanging="425"/>
      <w:contextualSpacing/>
    </w:pPr>
  </w:style>
  <w:style w:type="character" w:customStyle="1" w:styleId="Heading4Char">
    <w:name w:val="Heading 4 Char"/>
    <w:basedOn w:val="DefaultParagraphFont"/>
    <w:link w:val="Heading4"/>
    <w:semiHidden/>
    <w:rsid w:val="007D50E8"/>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semiHidden/>
    <w:unhideWhenUsed/>
    <w:rsid w:val="007D50E8"/>
    <w:pPr>
      <w:spacing w:before="100" w:beforeAutospacing="1" w:after="100" w:afterAutospacing="1"/>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51273438">
      <w:bodyDiv w:val="1"/>
      <w:marLeft w:val="0"/>
      <w:marRight w:val="0"/>
      <w:marTop w:val="0"/>
      <w:marBottom w:val="0"/>
      <w:divBdr>
        <w:top w:val="none" w:sz="0" w:space="0" w:color="auto"/>
        <w:left w:val="none" w:sz="0" w:space="0" w:color="auto"/>
        <w:bottom w:val="none" w:sz="0" w:space="0" w:color="auto"/>
        <w:right w:val="none" w:sz="0" w:space="0" w:color="auto"/>
      </w:divBdr>
    </w:div>
    <w:div w:id="57364072">
      <w:bodyDiv w:val="1"/>
      <w:marLeft w:val="0"/>
      <w:marRight w:val="0"/>
      <w:marTop w:val="0"/>
      <w:marBottom w:val="0"/>
      <w:divBdr>
        <w:top w:val="none" w:sz="0" w:space="0" w:color="auto"/>
        <w:left w:val="none" w:sz="0" w:space="0" w:color="auto"/>
        <w:bottom w:val="none" w:sz="0" w:space="0" w:color="auto"/>
        <w:right w:val="none" w:sz="0" w:space="0" w:color="auto"/>
      </w:divBdr>
    </w:div>
    <w:div w:id="181625869">
      <w:bodyDiv w:val="1"/>
      <w:marLeft w:val="0"/>
      <w:marRight w:val="0"/>
      <w:marTop w:val="0"/>
      <w:marBottom w:val="0"/>
      <w:divBdr>
        <w:top w:val="none" w:sz="0" w:space="0" w:color="auto"/>
        <w:left w:val="none" w:sz="0" w:space="0" w:color="auto"/>
        <w:bottom w:val="none" w:sz="0" w:space="0" w:color="auto"/>
        <w:right w:val="none" w:sz="0" w:space="0" w:color="auto"/>
      </w:divBdr>
    </w:div>
    <w:div w:id="391390357">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30203288">
      <w:bodyDiv w:val="1"/>
      <w:marLeft w:val="0"/>
      <w:marRight w:val="0"/>
      <w:marTop w:val="0"/>
      <w:marBottom w:val="0"/>
      <w:divBdr>
        <w:top w:val="none" w:sz="0" w:space="0" w:color="auto"/>
        <w:left w:val="none" w:sz="0" w:space="0" w:color="auto"/>
        <w:bottom w:val="none" w:sz="0" w:space="0" w:color="auto"/>
        <w:right w:val="none" w:sz="0" w:space="0" w:color="auto"/>
      </w:divBdr>
    </w:div>
    <w:div w:id="528029493">
      <w:bodyDiv w:val="1"/>
      <w:marLeft w:val="0"/>
      <w:marRight w:val="0"/>
      <w:marTop w:val="0"/>
      <w:marBottom w:val="0"/>
      <w:divBdr>
        <w:top w:val="none" w:sz="0" w:space="0" w:color="auto"/>
        <w:left w:val="none" w:sz="0" w:space="0" w:color="auto"/>
        <w:bottom w:val="none" w:sz="0" w:space="0" w:color="auto"/>
        <w:right w:val="none" w:sz="0" w:space="0" w:color="auto"/>
      </w:divBdr>
    </w:div>
    <w:div w:id="785461546">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103762548">
      <w:bodyDiv w:val="1"/>
      <w:marLeft w:val="0"/>
      <w:marRight w:val="0"/>
      <w:marTop w:val="0"/>
      <w:marBottom w:val="0"/>
      <w:divBdr>
        <w:top w:val="none" w:sz="0" w:space="0" w:color="auto"/>
        <w:left w:val="none" w:sz="0" w:space="0" w:color="auto"/>
        <w:bottom w:val="none" w:sz="0" w:space="0" w:color="auto"/>
        <w:right w:val="none" w:sz="0" w:space="0" w:color="auto"/>
      </w:divBdr>
      <w:divsChild>
        <w:div w:id="2629168">
          <w:marLeft w:val="360"/>
          <w:marRight w:val="0"/>
          <w:marTop w:val="200"/>
          <w:marBottom w:val="0"/>
          <w:divBdr>
            <w:top w:val="none" w:sz="0" w:space="0" w:color="auto"/>
            <w:left w:val="none" w:sz="0" w:space="0" w:color="auto"/>
            <w:bottom w:val="none" w:sz="0" w:space="0" w:color="auto"/>
            <w:right w:val="none" w:sz="0" w:space="0" w:color="auto"/>
          </w:divBdr>
        </w:div>
        <w:div w:id="766391508">
          <w:marLeft w:val="360"/>
          <w:marRight w:val="0"/>
          <w:marTop w:val="200"/>
          <w:marBottom w:val="0"/>
          <w:divBdr>
            <w:top w:val="none" w:sz="0" w:space="0" w:color="auto"/>
            <w:left w:val="none" w:sz="0" w:space="0" w:color="auto"/>
            <w:bottom w:val="none" w:sz="0" w:space="0" w:color="auto"/>
            <w:right w:val="none" w:sz="0" w:space="0" w:color="auto"/>
          </w:divBdr>
        </w:div>
        <w:div w:id="244263744">
          <w:marLeft w:val="360"/>
          <w:marRight w:val="0"/>
          <w:marTop w:val="200"/>
          <w:marBottom w:val="0"/>
          <w:divBdr>
            <w:top w:val="none" w:sz="0" w:space="0" w:color="auto"/>
            <w:left w:val="none" w:sz="0" w:space="0" w:color="auto"/>
            <w:bottom w:val="none" w:sz="0" w:space="0" w:color="auto"/>
            <w:right w:val="none" w:sz="0" w:space="0" w:color="auto"/>
          </w:divBdr>
        </w:div>
        <w:div w:id="128061366">
          <w:marLeft w:val="360"/>
          <w:marRight w:val="0"/>
          <w:marTop w:val="200"/>
          <w:marBottom w:val="0"/>
          <w:divBdr>
            <w:top w:val="none" w:sz="0" w:space="0" w:color="auto"/>
            <w:left w:val="none" w:sz="0" w:space="0" w:color="auto"/>
            <w:bottom w:val="none" w:sz="0" w:space="0" w:color="auto"/>
            <w:right w:val="none" w:sz="0" w:space="0" w:color="auto"/>
          </w:divBdr>
        </w:div>
        <w:div w:id="1069309380">
          <w:marLeft w:val="360"/>
          <w:marRight w:val="0"/>
          <w:marTop w:val="200"/>
          <w:marBottom w:val="0"/>
          <w:divBdr>
            <w:top w:val="none" w:sz="0" w:space="0" w:color="auto"/>
            <w:left w:val="none" w:sz="0" w:space="0" w:color="auto"/>
            <w:bottom w:val="none" w:sz="0" w:space="0" w:color="auto"/>
            <w:right w:val="none" w:sz="0" w:space="0" w:color="auto"/>
          </w:divBdr>
        </w:div>
        <w:div w:id="196088999">
          <w:marLeft w:val="1080"/>
          <w:marRight w:val="0"/>
          <w:marTop w:val="100"/>
          <w:marBottom w:val="0"/>
          <w:divBdr>
            <w:top w:val="none" w:sz="0" w:space="0" w:color="auto"/>
            <w:left w:val="none" w:sz="0" w:space="0" w:color="auto"/>
            <w:bottom w:val="none" w:sz="0" w:space="0" w:color="auto"/>
            <w:right w:val="none" w:sz="0" w:space="0" w:color="auto"/>
          </w:divBdr>
        </w:div>
        <w:div w:id="829640707">
          <w:marLeft w:val="1080"/>
          <w:marRight w:val="0"/>
          <w:marTop w:val="100"/>
          <w:marBottom w:val="0"/>
          <w:divBdr>
            <w:top w:val="none" w:sz="0" w:space="0" w:color="auto"/>
            <w:left w:val="none" w:sz="0" w:space="0" w:color="auto"/>
            <w:bottom w:val="none" w:sz="0" w:space="0" w:color="auto"/>
            <w:right w:val="none" w:sz="0" w:space="0" w:color="auto"/>
          </w:divBdr>
        </w:div>
        <w:div w:id="1525047411">
          <w:marLeft w:val="1080"/>
          <w:marRight w:val="0"/>
          <w:marTop w:val="100"/>
          <w:marBottom w:val="0"/>
          <w:divBdr>
            <w:top w:val="none" w:sz="0" w:space="0" w:color="auto"/>
            <w:left w:val="none" w:sz="0" w:space="0" w:color="auto"/>
            <w:bottom w:val="none" w:sz="0" w:space="0" w:color="auto"/>
            <w:right w:val="none" w:sz="0" w:space="0" w:color="auto"/>
          </w:divBdr>
        </w:div>
      </w:divsChild>
    </w:div>
    <w:div w:id="1344168833">
      <w:bodyDiv w:val="1"/>
      <w:marLeft w:val="0"/>
      <w:marRight w:val="0"/>
      <w:marTop w:val="0"/>
      <w:marBottom w:val="0"/>
      <w:divBdr>
        <w:top w:val="none" w:sz="0" w:space="0" w:color="auto"/>
        <w:left w:val="none" w:sz="0" w:space="0" w:color="auto"/>
        <w:bottom w:val="none" w:sz="0" w:space="0" w:color="auto"/>
        <w:right w:val="none" w:sz="0" w:space="0" w:color="auto"/>
      </w:divBdr>
    </w:div>
    <w:div w:id="1419208940">
      <w:bodyDiv w:val="1"/>
      <w:marLeft w:val="0"/>
      <w:marRight w:val="0"/>
      <w:marTop w:val="0"/>
      <w:marBottom w:val="0"/>
      <w:divBdr>
        <w:top w:val="none" w:sz="0" w:space="0" w:color="auto"/>
        <w:left w:val="none" w:sz="0" w:space="0" w:color="auto"/>
        <w:bottom w:val="none" w:sz="0" w:space="0" w:color="auto"/>
        <w:right w:val="none" w:sz="0" w:space="0" w:color="auto"/>
      </w:divBdr>
    </w:div>
    <w:div w:id="1444228139">
      <w:bodyDiv w:val="1"/>
      <w:marLeft w:val="0"/>
      <w:marRight w:val="0"/>
      <w:marTop w:val="0"/>
      <w:marBottom w:val="0"/>
      <w:divBdr>
        <w:top w:val="none" w:sz="0" w:space="0" w:color="auto"/>
        <w:left w:val="none" w:sz="0" w:space="0" w:color="auto"/>
        <w:bottom w:val="none" w:sz="0" w:space="0" w:color="auto"/>
        <w:right w:val="none" w:sz="0" w:space="0" w:color="auto"/>
      </w:divBdr>
    </w:div>
    <w:div w:id="1618100004">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791588608">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31424342">
      <w:bodyDiv w:val="1"/>
      <w:marLeft w:val="0"/>
      <w:marRight w:val="0"/>
      <w:marTop w:val="0"/>
      <w:marBottom w:val="0"/>
      <w:divBdr>
        <w:top w:val="none" w:sz="0" w:space="0" w:color="auto"/>
        <w:left w:val="none" w:sz="0" w:space="0" w:color="auto"/>
        <w:bottom w:val="none" w:sz="0" w:space="0" w:color="auto"/>
        <w:right w:val="none" w:sz="0" w:space="0" w:color="auto"/>
      </w:divBdr>
    </w:div>
    <w:div w:id="2020113533">
      <w:bodyDiv w:val="1"/>
      <w:marLeft w:val="0"/>
      <w:marRight w:val="0"/>
      <w:marTop w:val="0"/>
      <w:marBottom w:val="0"/>
      <w:divBdr>
        <w:top w:val="none" w:sz="0" w:space="0" w:color="auto"/>
        <w:left w:val="none" w:sz="0" w:space="0" w:color="auto"/>
        <w:bottom w:val="none" w:sz="0" w:space="0" w:color="auto"/>
        <w:right w:val="none" w:sz="0" w:space="0" w:color="auto"/>
      </w:divBdr>
    </w:div>
    <w:div w:id="21407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bac.pbs.gov.au/section-3b/3b-2-estimation-of-equi-effective-do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6DDF0-803F-471C-9F63-68006C20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5755</Words>
  <Characters>31651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2021-03-03T23:19:00Z</dcterms:created>
  <dcterms:modified xsi:type="dcterms:W3CDTF">2021-03-15T23:51:00Z</dcterms:modified>
</cp:coreProperties>
</file>