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914" w:rsidRPr="0087043D" w:rsidRDefault="001B50C9" w:rsidP="009F5914">
      <w:pPr>
        <w:pStyle w:val="1-MainHeading"/>
        <w:ind w:left="0" w:firstLine="0"/>
      </w:pPr>
      <w:bookmarkStart w:id="0" w:name="_Toc51147779"/>
      <w:r w:rsidRPr="0087043D">
        <w:t>6.07</w:t>
      </w:r>
      <w:r w:rsidR="00163F66" w:rsidRPr="0087043D">
        <w:tab/>
      </w:r>
      <w:r w:rsidR="00311821" w:rsidRPr="0087043D">
        <w:t>NIVOLUMAB PLUS IPILIMUMAB</w:t>
      </w:r>
      <w:r w:rsidR="00163F66" w:rsidRPr="0087043D">
        <w:t>,</w:t>
      </w:r>
      <w:bookmarkEnd w:id="0"/>
      <w:r w:rsidR="009F5914" w:rsidRPr="0087043D" w:rsidDel="009F5914">
        <w:t xml:space="preserve"> </w:t>
      </w:r>
    </w:p>
    <w:p w:rsidR="000A4467" w:rsidRPr="0087043D" w:rsidRDefault="000A4467" w:rsidP="00362D63">
      <w:pPr>
        <w:pStyle w:val="1-MainHeading"/>
        <w:ind w:left="0" w:firstLine="720"/>
      </w:pPr>
      <w:bookmarkStart w:id="1" w:name="_Toc51147780"/>
      <w:r w:rsidRPr="0087043D">
        <w:t>Nivolumab:</w:t>
      </w:r>
      <w:bookmarkEnd w:id="1"/>
    </w:p>
    <w:p w:rsidR="000A4467" w:rsidRPr="0087043D" w:rsidRDefault="000A4467" w:rsidP="00362D63">
      <w:pPr>
        <w:pStyle w:val="1-MainHeading"/>
        <w:ind w:firstLine="0"/>
      </w:pPr>
      <w:bookmarkStart w:id="2" w:name="_Toc51147781"/>
      <w:r w:rsidRPr="0087043D">
        <w:t>Injection concentrate for I.V. infusion 40 mg in 4 mL</w:t>
      </w:r>
      <w:r w:rsidR="00580148" w:rsidRPr="0087043D">
        <w:t>,</w:t>
      </w:r>
      <w:r w:rsidRPr="0087043D">
        <w:t xml:space="preserve"> Injection concentrate for I.V. infusion 100 mg in 10 mL</w:t>
      </w:r>
      <w:r w:rsidR="00580148" w:rsidRPr="0087043D">
        <w:t>,</w:t>
      </w:r>
      <w:r w:rsidRPr="0087043D">
        <w:t xml:space="preserve"> </w:t>
      </w:r>
      <w:r w:rsidR="00580148" w:rsidRPr="0087043D">
        <w:br/>
      </w:r>
      <w:proofErr w:type="spellStart"/>
      <w:r w:rsidRPr="0087043D">
        <w:t>Opdivo</w:t>
      </w:r>
      <w:proofErr w:type="spellEnd"/>
      <w:r w:rsidRPr="0087043D">
        <w:t>®</w:t>
      </w:r>
      <w:bookmarkEnd w:id="2"/>
    </w:p>
    <w:p w:rsidR="000A4467" w:rsidRPr="0087043D" w:rsidRDefault="000A4467" w:rsidP="00362D63">
      <w:pPr>
        <w:pStyle w:val="1-MainHeading"/>
        <w:ind w:left="0" w:firstLine="720"/>
      </w:pPr>
      <w:bookmarkStart w:id="3" w:name="_Toc51147782"/>
      <w:r w:rsidRPr="0087043D">
        <w:t>Ipilimumab:</w:t>
      </w:r>
      <w:bookmarkEnd w:id="3"/>
    </w:p>
    <w:p w:rsidR="000A4467" w:rsidRPr="0087043D" w:rsidRDefault="000A4467" w:rsidP="00362D63">
      <w:pPr>
        <w:pStyle w:val="1-MainHeading"/>
        <w:ind w:firstLine="0"/>
      </w:pPr>
      <w:bookmarkStart w:id="4" w:name="_Toc51147783"/>
      <w:r w:rsidRPr="0087043D">
        <w:t xml:space="preserve">Injection concentrate for I.V. infusion 50 mg in 10 mL </w:t>
      </w:r>
      <w:r w:rsidR="00580148" w:rsidRPr="0087043D">
        <w:br/>
      </w:r>
      <w:proofErr w:type="spellStart"/>
      <w:r w:rsidRPr="0087043D">
        <w:t>Yervoy</w:t>
      </w:r>
      <w:proofErr w:type="spellEnd"/>
      <w:r w:rsidRPr="0087043D">
        <w:t>®</w:t>
      </w:r>
      <w:bookmarkEnd w:id="4"/>
    </w:p>
    <w:p w:rsidR="000A4467" w:rsidRPr="0087043D" w:rsidRDefault="000A4467" w:rsidP="00362D63">
      <w:pPr>
        <w:pStyle w:val="1-MainHeading"/>
        <w:ind w:left="0" w:firstLine="720"/>
      </w:pPr>
      <w:bookmarkStart w:id="5" w:name="_Toc40417023"/>
      <w:bookmarkStart w:id="6" w:name="_Toc51147784"/>
      <w:r w:rsidRPr="0087043D">
        <w:t>Bristol-Myers Squibb Australia Pty Ltd</w:t>
      </w:r>
      <w:bookmarkEnd w:id="5"/>
      <w:bookmarkEnd w:id="6"/>
    </w:p>
    <w:p w:rsidR="00B50DB8" w:rsidRPr="0087043D" w:rsidRDefault="00F04F0F" w:rsidP="00111EE6">
      <w:pPr>
        <w:pStyle w:val="2-SectionHeading"/>
        <w:numPr>
          <w:ilvl w:val="0"/>
          <w:numId w:val="0"/>
        </w:numPr>
      </w:pPr>
      <w:r w:rsidRPr="0087043D">
        <w:t xml:space="preserve">1 </w:t>
      </w:r>
      <w:bookmarkStart w:id="7" w:name="_Toc51147786"/>
      <w:r w:rsidR="00580148" w:rsidRPr="0087043D">
        <w:tab/>
      </w:r>
      <w:r w:rsidR="00B50DB8" w:rsidRPr="0087043D">
        <w:t xml:space="preserve">Purpose of </w:t>
      </w:r>
      <w:r w:rsidR="00CD7193" w:rsidRPr="0087043D">
        <w:t>s</w:t>
      </w:r>
      <w:r w:rsidR="00BB3A45" w:rsidRPr="0087043D">
        <w:t>ubmission</w:t>
      </w:r>
      <w:bookmarkEnd w:id="7"/>
    </w:p>
    <w:p w:rsidR="002C2775" w:rsidRPr="0087043D" w:rsidRDefault="007170DA" w:rsidP="004E18E9">
      <w:pPr>
        <w:pStyle w:val="3-BodyText"/>
      </w:pPr>
      <w:r w:rsidRPr="0087043D">
        <w:t xml:space="preserve">The submission requested </w:t>
      </w:r>
      <w:r w:rsidR="00442CAC" w:rsidRPr="0087043D">
        <w:t xml:space="preserve">Section 100 </w:t>
      </w:r>
      <w:r w:rsidR="008B1757" w:rsidRPr="0087043D">
        <w:t xml:space="preserve">listing for </w:t>
      </w:r>
      <w:r w:rsidR="00442CAC" w:rsidRPr="0087043D">
        <w:t>nivolumab plus ipilimumab in combination with two cycles of platinum-</w:t>
      </w:r>
      <w:r w:rsidR="00040492" w:rsidRPr="0087043D">
        <w:t xml:space="preserve">based </w:t>
      </w:r>
      <w:r w:rsidR="00442CAC" w:rsidRPr="0087043D">
        <w:t xml:space="preserve">doublet chemotherapy (herein referred to as </w:t>
      </w:r>
      <w:proofErr w:type="spellStart"/>
      <w:r w:rsidR="00442CAC" w:rsidRPr="0087043D">
        <w:t>NIVO+IPI+platinum</w:t>
      </w:r>
      <w:proofErr w:type="spellEnd"/>
      <w:r w:rsidR="00442CAC" w:rsidRPr="0087043D">
        <w:t>)</w:t>
      </w:r>
      <w:r w:rsidR="008B1757" w:rsidRPr="0087043D">
        <w:t xml:space="preserve"> for </w:t>
      </w:r>
      <w:r w:rsidR="0050174E" w:rsidRPr="0087043D">
        <w:t xml:space="preserve">the </w:t>
      </w:r>
      <w:r w:rsidR="008B1757" w:rsidRPr="0087043D">
        <w:t xml:space="preserve">treatment of </w:t>
      </w:r>
      <w:r w:rsidR="00442CAC" w:rsidRPr="0087043D">
        <w:t>previously untreated Stage IV non-small cell lung cancer (NSCLC) in patients who do not have evidence of an activating epidermal growth factor receptor (EGFR) gene or an anaplastic lymphoma kinase (ALK) gene rearrangement in tumour tissue (i.e. EGFR and ALK negative)</w:t>
      </w:r>
      <w:r w:rsidR="00186CC6" w:rsidRPr="0087043D">
        <w:t xml:space="preserve">. </w:t>
      </w:r>
      <w:r w:rsidR="00264317" w:rsidRPr="0087043D">
        <w:t xml:space="preserve"> </w:t>
      </w:r>
    </w:p>
    <w:p w:rsidR="00C2778B" w:rsidRPr="0087043D" w:rsidRDefault="005750C5" w:rsidP="004E18E9">
      <w:pPr>
        <w:pStyle w:val="3-BodyText"/>
      </w:pPr>
      <w:r w:rsidRPr="0087043D">
        <w:t xml:space="preserve">Listing was requested on the basis of a cost-minimisation analysis versus </w:t>
      </w:r>
      <w:proofErr w:type="spellStart"/>
      <w:r w:rsidR="00040492" w:rsidRPr="0087043D">
        <w:t>pembrolizumab</w:t>
      </w:r>
      <w:proofErr w:type="spellEnd"/>
      <w:r w:rsidR="00040492" w:rsidRPr="0087043D">
        <w:t xml:space="preserve"> plus platinum-based doublet chemotherapy (herein referred to as </w:t>
      </w:r>
      <w:proofErr w:type="spellStart"/>
      <w:r w:rsidR="00040492" w:rsidRPr="0087043D">
        <w:t>pembrolizumab+platinum</w:t>
      </w:r>
      <w:proofErr w:type="spellEnd"/>
      <w:r w:rsidR="00040492" w:rsidRPr="0087043D">
        <w:t xml:space="preserve">). </w:t>
      </w:r>
    </w:p>
    <w:p w:rsidR="008B1757" w:rsidRPr="0087043D" w:rsidRDefault="00C40187" w:rsidP="00C40187">
      <w:pPr>
        <w:pStyle w:val="TableFigureHeading"/>
        <w:rPr>
          <w:rStyle w:val="CommentReference"/>
          <w:b/>
          <w:szCs w:val="24"/>
        </w:rPr>
      </w:pPr>
      <w:r w:rsidRPr="0087043D">
        <w:lastRenderedPageBreak/>
        <w:t xml:space="preserve">Table </w:t>
      </w:r>
      <w:r w:rsidR="00C71489" w:rsidRPr="0087043D">
        <w:t>1</w:t>
      </w:r>
      <w:r w:rsidR="008B1757" w:rsidRPr="0087043D">
        <w:rPr>
          <w:rStyle w:val="CommentReference"/>
          <w:b/>
          <w:szCs w:val="24"/>
        </w:rPr>
        <w:t>:</w:t>
      </w:r>
      <w:r w:rsidR="00BC591F" w:rsidRPr="0087043D">
        <w:rPr>
          <w:rStyle w:val="CommentReference"/>
          <w:b/>
          <w:szCs w:val="24"/>
        </w:rPr>
        <w:t xml:space="preserve"> </w:t>
      </w:r>
      <w:r w:rsidR="008B1757" w:rsidRPr="0087043D">
        <w:rPr>
          <w:rStyle w:val="CommentReference"/>
          <w:b/>
          <w:szCs w:val="24"/>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87043D" w:rsidTr="008A0138">
        <w:trPr>
          <w:cantSplit/>
          <w:tblHeader/>
        </w:trPr>
        <w:tc>
          <w:tcPr>
            <w:tcW w:w="924" w:type="pct"/>
            <w:shd w:val="clear" w:color="auto" w:fill="auto"/>
          </w:tcPr>
          <w:p w:rsidR="008B1757" w:rsidRPr="0087043D" w:rsidRDefault="008B1757" w:rsidP="004A6040">
            <w:pPr>
              <w:pStyle w:val="In-tableHeading"/>
              <w:rPr>
                <w:szCs w:val="20"/>
                <w:lang w:val="en-AU"/>
              </w:rPr>
            </w:pPr>
            <w:r w:rsidRPr="0087043D">
              <w:rPr>
                <w:lang w:val="en-AU"/>
              </w:rPr>
              <w:t>Component</w:t>
            </w:r>
          </w:p>
        </w:tc>
        <w:tc>
          <w:tcPr>
            <w:tcW w:w="4076" w:type="pct"/>
            <w:shd w:val="clear" w:color="auto" w:fill="auto"/>
          </w:tcPr>
          <w:p w:rsidR="008B1757" w:rsidRPr="0087043D" w:rsidRDefault="008B1757" w:rsidP="004A6040">
            <w:pPr>
              <w:pStyle w:val="In-tableHeading"/>
              <w:rPr>
                <w:lang w:val="en-AU"/>
              </w:rPr>
            </w:pPr>
            <w:r w:rsidRPr="0087043D">
              <w:rPr>
                <w:lang w:val="en-AU"/>
              </w:rPr>
              <w:t>Description</w:t>
            </w:r>
          </w:p>
        </w:tc>
      </w:tr>
      <w:tr w:rsidR="008B1757" w:rsidRPr="0087043D" w:rsidTr="008A0138">
        <w:trPr>
          <w:cantSplit/>
        </w:trPr>
        <w:tc>
          <w:tcPr>
            <w:tcW w:w="924" w:type="pct"/>
            <w:shd w:val="clear" w:color="auto" w:fill="auto"/>
          </w:tcPr>
          <w:p w:rsidR="008B1757" w:rsidRPr="0087043D" w:rsidRDefault="008B1757" w:rsidP="004A6040">
            <w:pPr>
              <w:pStyle w:val="TableText0"/>
            </w:pPr>
            <w:r w:rsidRPr="0087043D">
              <w:t>Population</w:t>
            </w:r>
          </w:p>
        </w:tc>
        <w:tc>
          <w:tcPr>
            <w:tcW w:w="4076" w:type="pct"/>
            <w:shd w:val="clear" w:color="auto" w:fill="auto"/>
          </w:tcPr>
          <w:p w:rsidR="00233C01" w:rsidRPr="0087043D" w:rsidRDefault="00040492" w:rsidP="00233C01">
            <w:pPr>
              <w:pStyle w:val="TableText0"/>
              <w:rPr>
                <w:szCs w:val="20"/>
              </w:rPr>
            </w:pPr>
            <w:r w:rsidRPr="0087043D">
              <w:t xml:space="preserve">Patients with metastatic (Stage IV) non-small cell lung cancer (NSCLC) who have not previously been treated in the metastatic </w:t>
            </w:r>
            <w:proofErr w:type="spellStart"/>
            <w:r w:rsidRPr="0087043D">
              <w:t>setting.</w:t>
            </w:r>
            <w:r w:rsidRPr="0087043D">
              <w:rPr>
                <w:vertAlign w:val="superscript"/>
              </w:rPr>
              <w:t>a</w:t>
            </w:r>
            <w:proofErr w:type="spellEnd"/>
          </w:p>
        </w:tc>
      </w:tr>
      <w:tr w:rsidR="00040492" w:rsidRPr="0087043D" w:rsidTr="008A0138">
        <w:trPr>
          <w:cantSplit/>
        </w:trPr>
        <w:tc>
          <w:tcPr>
            <w:tcW w:w="924" w:type="pct"/>
            <w:shd w:val="clear" w:color="auto" w:fill="auto"/>
          </w:tcPr>
          <w:p w:rsidR="00040492" w:rsidRPr="0087043D" w:rsidRDefault="00040492" w:rsidP="00040492">
            <w:pPr>
              <w:pStyle w:val="TableText0"/>
            </w:pPr>
            <w:r w:rsidRPr="0087043D">
              <w:t>Intervention</w:t>
            </w:r>
          </w:p>
        </w:tc>
        <w:tc>
          <w:tcPr>
            <w:tcW w:w="4076" w:type="pct"/>
            <w:shd w:val="clear" w:color="auto" w:fill="auto"/>
            <w:vAlign w:val="center"/>
          </w:tcPr>
          <w:p w:rsidR="00040492" w:rsidRPr="0087043D" w:rsidRDefault="00040492" w:rsidP="00040492">
            <w:pPr>
              <w:pStyle w:val="TableText0"/>
            </w:pPr>
            <w:r w:rsidRPr="0087043D">
              <w:t>Nivolumab plus ipilimumab and two cycles of platinum-based doublet chemotherapy</w:t>
            </w:r>
          </w:p>
        </w:tc>
      </w:tr>
      <w:tr w:rsidR="00040492" w:rsidRPr="0087043D" w:rsidTr="008A0138">
        <w:trPr>
          <w:cantSplit/>
        </w:trPr>
        <w:tc>
          <w:tcPr>
            <w:tcW w:w="924" w:type="pct"/>
            <w:shd w:val="clear" w:color="auto" w:fill="auto"/>
          </w:tcPr>
          <w:p w:rsidR="00040492" w:rsidRPr="0087043D" w:rsidRDefault="00040492" w:rsidP="00040492">
            <w:pPr>
              <w:pStyle w:val="TableText0"/>
            </w:pPr>
            <w:r w:rsidRPr="0087043D">
              <w:t>Comparator</w:t>
            </w:r>
          </w:p>
        </w:tc>
        <w:tc>
          <w:tcPr>
            <w:tcW w:w="4076" w:type="pct"/>
            <w:shd w:val="clear" w:color="auto" w:fill="auto"/>
            <w:vAlign w:val="center"/>
          </w:tcPr>
          <w:p w:rsidR="00040492" w:rsidRPr="0087043D" w:rsidRDefault="00040492" w:rsidP="00040492">
            <w:pPr>
              <w:pStyle w:val="TableText0"/>
            </w:pPr>
            <w:proofErr w:type="spellStart"/>
            <w:r w:rsidRPr="0087043D">
              <w:t>Pembrolizumab</w:t>
            </w:r>
            <w:proofErr w:type="spellEnd"/>
            <w:r w:rsidRPr="0087043D">
              <w:t xml:space="preserve"> plus platinum-based doublet chemotherapy (primary comparator)</w:t>
            </w:r>
          </w:p>
          <w:p w:rsidR="00040492" w:rsidRPr="0087043D" w:rsidRDefault="00040492" w:rsidP="00040492">
            <w:pPr>
              <w:pStyle w:val="TableText0"/>
            </w:pPr>
            <w:r w:rsidRPr="0087043D">
              <w:t>Atezolizumab plus bevacizumab and platinum-based doublet chemotherapy</w:t>
            </w:r>
          </w:p>
          <w:p w:rsidR="00040492" w:rsidRPr="0087043D" w:rsidRDefault="00040492" w:rsidP="00040492">
            <w:pPr>
              <w:pStyle w:val="TableText0"/>
            </w:pPr>
            <w:r w:rsidRPr="0087043D">
              <w:t>Platinum-based doublet chemotherapy</w:t>
            </w:r>
          </w:p>
          <w:p w:rsidR="00040492" w:rsidRPr="0087043D" w:rsidRDefault="00040492" w:rsidP="00040492">
            <w:pPr>
              <w:pStyle w:val="TableText0"/>
            </w:pPr>
            <w:proofErr w:type="spellStart"/>
            <w:r w:rsidRPr="0087043D">
              <w:t>Pembrolizumab</w:t>
            </w:r>
            <w:proofErr w:type="spellEnd"/>
            <w:r w:rsidRPr="0087043D">
              <w:t xml:space="preserve"> monotherapy</w:t>
            </w:r>
          </w:p>
          <w:p w:rsidR="00040492" w:rsidRPr="0087043D" w:rsidRDefault="00040492" w:rsidP="00040492">
            <w:pPr>
              <w:pStyle w:val="TableText0"/>
            </w:pPr>
            <w:r w:rsidRPr="0087043D">
              <w:t>Nivolumab plus ipilimumab (near market comparator)</w:t>
            </w:r>
          </w:p>
        </w:tc>
      </w:tr>
      <w:tr w:rsidR="00040492" w:rsidRPr="0087043D" w:rsidTr="008A0138">
        <w:trPr>
          <w:cantSplit/>
        </w:trPr>
        <w:tc>
          <w:tcPr>
            <w:tcW w:w="924" w:type="pct"/>
            <w:shd w:val="clear" w:color="auto" w:fill="auto"/>
          </w:tcPr>
          <w:p w:rsidR="00040492" w:rsidRPr="0087043D" w:rsidRDefault="00040492" w:rsidP="00040492">
            <w:pPr>
              <w:pStyle w:val="TableText0"/>
            </w:pPr>
            <w:r w:rsidRPr="0087043D">
              <w:t>Outcomes</w:t>
            </w:r>
          </w:p>
        </w:tc>
        <w:tc>
          <w:tcPr>
            <w:tcW w:w="4076" w:type="pct"/>
            <w:shd w:val="clear" w:color="auto" w:fill="auto"/>
            <w:vAlign w:val="center"/>
          </w:tcPr>
          <w:p w:rsidR="00040492" w:rsidRPr="0087043D" w:rsidRDefault="00040492" w:rsidP="00C40187">
            <w:pPr>
              <w:pStyle w:val="TableText0"/>
              <w:rPr>
                <w:rFonts w:eastAsia="Times New Roman" w:cs="Arial"/>
                <w:bCs w:val="0"/>
                <w:snapToGrid w:val="0"/>
                <w:szCs w:val="20"/>
              </w:rPr>
            </w:pPr>
            <w:r w:rsidRPr="0087043D">
              <w:t>Overall survival, rate and nature of adverse events.</w:t>
            </w:r>
          </w:p>
        </w:tc>
      </w:tr>
      <w:tr w:rsidR="00040492" w:rsidRPr="0087043D" w:rsidTr="008A0138">
        <w:trPr>
          <w:cantSplit/>
        </w:trPr>
        <w:tc>
          <w:tcPr>
            <w:tcW w:w="924" w:type="pct"/>
            <w:shd w:val="clear" w:color="auto" w:fill="auto"/>
          </w:tcPr>
          <w:p w:rsidR="00040492" w:rsidRPr="0087043D" w:rsidRDefault="00040492" w:rsidP="00040492">
            <w:pPr>
              <w:pStyle w:val="TableText0"/>
            </w:pPr>
            <w:r w:rsidRPr="0087043D">
              <w:t>Clinical claim</w:t>
            </w:r>
          </w:p>
        </w:tc>
        <w:tc>
          <w:tcPr>
            <w:tcW w:w="4076" w:type="pct"/>
            <w:shd w:val="clear" w:color="auto" w:fill="auto"/>
            <w:vAlign w:val="center"/>
          </w:tcPr>
          <w:p w:rsidR="00040492" w:rsidRPr="0087043D" w:rsidRDefault="00C40187" w:rsidP="00040492">
            <w:pPr>
              <w:pStyle w:val="TableText0"/>
            </w:pPr>
            <w:r w:rsidRPr="0087043D">
              <w:t>Non-inferior</w:t>
            </w:r>
            <w:r w:rsidR="00040492" w:rsidRPr="0087043D">
              <w:t xml:space="preserve"> in terms of efficacy with a different and </w:t>
            </w:r>
            <w:r w:rsidRPr="0087043D">
              <w:t>non-inferior</w:t>
            </w:r>
            <w:r w:rsidR="00040492" w:rsidRPr="0087043D">
              <w:t xml:space="preserve"> safety profile compared with </w:t>
            </w:r>
            <w:proofErr w:type="spellStart"/>
            <w:r w:rsidR="00040492" w:rsidRPr="0087043D">
              <w:t>pembrolizumab</w:t>
            </w:r>
            <w:proofErr w:type="spellEnd"/>
            <w:r w:rsidR="00040492" w:rsidRPr="0087043D">
              <w:t xml:space="preserve"> plus platinum-based chemotherapy.</w:t>
            </w:r>
          </w:p>
          <w:p w:rsidR="00040492" w:rsidRPr="0087043D" w:rsidRDefault="00C40187" w:rsidP="00040492">
            <w:pPr>
              <w:pStyle w:val="TableText0"/>
            </w:pPr>
            <w:r w:rsidRPr="0087043D">
              <w:t>Non-inferior</w:t>
            </w:r>
            <w:r w:rsidR="00040492" w:rsidRPr="0087043D">
              <w:t xml:space="preserve"> in terms of efficacy with a different and </w:t>
            </w:r>
            <w:r w:rsidRPr="0087043D">
              <w:t>non-inferior</w:t>
            </w:r>
            <w:r w:rsidR="00040492" w:rsidRPr="0087043D">
              <w:t xml:space="preserve"> safety profile compared with atezolizumab plus bevacizumab and platinum-based chemotherapy.</w:t>
            </w:r>
          </w:p>
          <w:p w:rsidR="00040492" w:rsidRPr="0087043D" w:rsidRDefault="00040492" w:rsidP="00040492">
            <w:pPr>
              <w:pStyle w:val="TableText0"/>
            </w:pPr>
            <w:r w:rsidRPr="0087043D">
              <w:t>Superior in terms of efficacy with an inferior but acceptable safety profile compared with platinum-based chemotherapy.</w:t>
            </w:r>
          </w:p>
          <w:p w:rsidR="00040492" w:rsidRPr="0087043D" w:rsidRDefault="00C40187" w:rsidP="00040492">
            <w:pPr>
              <w:pStyle w:val="TableText0"/>
              <w:rPr>
                <w:rFonts w:eastAsia="Times New Roman" w:cs="Arial"/>
                <w:bCs w:val="0"/>
                <w:snapToGrid w:val="0"/>
                <w:szCs w:val="20"/>
              </w:rPr>
            </w:pPr>
            <w:r w:rsidRPr="0087043D">
              <w:t>Non-inferior</w:t>
            </w:r>
            <w:r w:rsidR="00040492" w:rsidRPr="0087043D">
              <w:t xml:space="preserve"> in terms of efficacy with an inferior but acceptable safety profile compared with </w:t>
            </w:r>
            <w:proofErr w:type="spellStart"/>
            <w:r w:rsidR="00040492" w:rsidRPr="0087043D">
              <w:t>pembrolizumab</w:t>
            </w:r>
            <w:proofErr w:type="spellEnd"/>
            <w:r w:rsidR="00040492" w:rsidRPr="0087043D">
              <w:t xml:space="preserve"> monotherapy.</w:t>
            </w:r>
          </w:p>
        </w:tc>
      </w:tr>
    </w:tbl>
    <w:p w:rsidR="00040492" w:rsidRPr="0087043D" w:rsidRDefault="00040492" w:rsidP="00040492">
      <w:pPr>
        <w:pStyle w:val="TableFigureFooter"/>
      </w:pPr>
      <w:r w:rsidRPr="0087043D">
        <w:t>Source: Table 1, p18 of the submission.</w:t>
      </w:r>
    </w:p>
    <w:p w:rsidR="00040492" w:rsidRPr="0087043D" w:rsidRDefault="00040492" w:rsidP="00C40187">
      <w:pPr>
        <w:pStyle w:val="TableFigureFooter"/>
        <w:ind w:left="142" w:hanging="142"/>
      </w:pPr>
      <w:r w:rsidRPr="0087043D">
        <w:rPr>
          <w:vertAlign w:val="superscript"/>
        </w:rPr>
        <w:t>a</w:t>
      </w:r>
      <w:r w:rsidRPr="0087043D">
        <w:t xml:space="preserve"> The requested listing excludes patients with evidence of an activating epidermal growth factor (EGFR) gene or anaplastic lymphoma kinase (ALK) gene rearrangement in tumour tissue.</w:t>
      </w:r>
    </w:p>
    <w:p w:rsidR="005C25FF" w:rsidRPr="0087043D" w:rsidRDefault="005C25FF" w:rsidP="004A6040">
      <w:pPr>
        <w:pStyle w:val="2-SectionHeading"/>
      </w:pPr>
      <w:bookmarkStart w:id="8" w:name="_Toc51147787"/>
      <w:r w:rsidRPr="0087043D">
        <w:t>Background</w:t>
      </w:r>
      <w:bookmarkEnd w:id="8"/>
    </w:p>
    <w:p w:rsidR="005C25FF" w:rsidRPr="0087043D" w:rsidRDefault="005C25FF" w:rsidP="004A6040">
      <w:pPr>
        <w:pStyle w:val="4-SubsectionHeading"/>
      </w:pPr>
      <w:bookmarkStart w:id="9" w:name="_Toc22897638"/>
      <w:bookmarkStart w:id="10" w:name="_Toc51147788"/>
      <w:r w:rsidRPr="0087043D">
        <w:t>Registration status</w:t>
      </w:r>
      <w:bookmarkEnd w:id="9"/>
      <w:bookmarkEnd w:id="10"/>
    </w:p>
    <w:p w:rsidR="006D778D" w:rsidRPr="0087043D" w:rsidRDefault="006D778D" w:rsidP="004E18E9">
      <w:pPr>
        <w:pStyle w:val="3-BodyText"/>
      </w:pPr>
      <w:r w:rsidRPr="0087043D">
        <w:t xml:space="preserve">Nivolumab and ipilimumab were TGA registered </w:t>
      </w:r>
      <w:r w:rsidR="00D92592" w:rsidRPr="0087043D">
        <w:t>on the</w:t>
      </w:r>
      <w:r w:rsidRPr="0087043D">
        <w:t xml:space="preserve"> </w:t>
      </w:r>
      <w:r w:rsidR="00D92592" w:rsidRPr="0087043D">
        <w:t xml:space="preserve">13 </w:t>
      </w:r>
      <w:r w:rsidRPr="0087043D">
        <w:t>July 2020 for the following indications:</w:t>
      </w:r>
    </w:p>
    <w:p w:rsidR="006D778D" w:rsidRPr="0087043D" w:rsidRDefault="006D778D" w:rsidP="006D778D">
      <w:pPr>
        <w:pStyle w:val="ListParagraph"/>
        <w:ind w:left="1134"/>
      </w:pPr>
      <w:r w:rsidRPr="0087043D">
        <w:t>Nivolumab, in combination with ipilimumab and 2 cycles of platinum-based chemotherapy, is indicated for the first-line treatment of patients with metastatic or recurrent NSCLC with no EGFR or ALK genomic tumour aberrations.</w:t>
      </w:r>
    </w:p>
    <w:p w:rsidR="006D778D" w:rsidRPr="0087043D" w:rsidRDefault="006D778D" w:rsidP="006D778D">
      <w:pPr>
        <w:pStyle w:val="ListParagraph"/>
        <w:ind w:left="1134"/>
      </w:pPr>
      <w:r w:rsidRPr="0087043D">
        <w:t>Ipilimumab, in combination with nivolumab and 2 cycles of platinum-based chemotherapy, is indicated for the first-line treatment of patients with metastatic or recurrent NSCLC with no EGFR or ALK genomic tumour aberrations.</w:t>
      </w:r>
    </w:p>
    <w:p w:rsidR="00EA6ACF" w:rsidRPr="0087043D" w:rsidRDefault="00EA6ACF" w:rsidP="008A0138">
      <w:pPr>
        <w:pStyle w:val="3-BodyText"/>
      </w:pPr>
      <w:r w:rsidRPr="0087043D">
        <w:t xml:space="preserve">The PBAC noted NIVO+IPI (without chemotherapy) was not TGA registered as a first-line treatment for metastatic NSCLC </w:t>
      </w:r>
      <w:r w:rsidR="00264317" w:rsidRPr="0087043D">
        <w:t>at the time of consideration</w:t>
      </w:r>
      <w:r w:rsidR="008918F0" w:rsidRPr="0087043D">
        <w:t>.</w:t>
      </w:r>
      <w:r w:rsidR="00264317" w:rsidRPr="0087043D">
        <w:t xml:space="preserve"> </w:t>
      </w:r>
    </w:p>
    <w:p w:rsidR="00B60939" w:rsidRPr="0087043D" w:rsidRDefault="00B50DB8" w:rsidP="004E18E9">
      <w:pPr>
        <w:pStyle w:val="2-SectionHeading"/>
      </w:pPr>
      <w:bookmarkStart w:id="11" w:name="_Toc51147789"/>
      <w:r w:rsidRPr="0087043D">
        <w:t>Requested listing</w:t>
      </w:r>
      <w:bookmarkEnd w:id="11"/>
    </w:p>
    <w:p w:rsidR="008C7E0B" w:rsidRPr="0087043D" w:rsidRDefault="00D92592" w:rsidP="00D92592">
      <w:pPr>
        <w:pStyle w:val="3-BodyText"/>
      </w:pPr>
      <w:r w:rsidRPr="0087043D">
        <w:t>Suggestions and additions proposed by the Secretariat are added in italics and suggested deletions are crossed out with strikethrough</w:t>
      </w:r>
      <w:r w:rsidR="008C7E0B" w:rsidRPr="0087043D">
        <w:t xml:space="preserve">. </w:t>
      </w:r>
    </w:p>
    <w:p w:rsidR="00362D63" w:rsidRDefault="00362D63">
      <w:r>
        <w:br w:type="page"/>
      </w:r>
    </w:p>
    <w:tbl>
      <w:tblPr>
        <w:tblW w:w="5000" w:type="pct"/>
        <w:tblCellMar>
          <w:left w:w="28" w:type="dxa"/>
          <w:right w:w="28" w:type="dxa"/>
        </w:tblCellMar>
        <w:tblLook w:val="0000" w:firstRow="0" w:lastRow="0" w:firstColumn="0" w:lastColumn="0" w:noHBand="0" w:noVBand="0"/>
      </w:tblPr>
      <w:tblGrid>
        <w:gridCol w:w="2017"/>
        <w:gridCol w:w="292"/>
        <w:gridCol w:w="724"/>
        <w:gridCol w:w="1318"/>
        <w:gridCol w:w="2338"/>
        <w:gridCol w:w="722"/>
        <w:gridCol w:w="1616"/>
      </w:tblGrid>
      <w:tr w:rsidR="006A6D17" w:rsidRPr="008A0138" w:rsidTr="008A0138">
        <w:trPr>
          <w:cantSplit/>
          <w:trHeight w:val="463"/>
        </w:trPr>
        <w:tc>
          <w:tcPr>
            <w:tcW w:w="1279" w:type="pct"/>
            <w:gridSpan w:val="2"/>
            <w:tcBorders>
              <w:top w:val="single" w:sz="4" w:space="0" w:color="auto"/>
              <w:bottom w:val="single" w:sz="4" w:space="0" w:color="auto"/>
            </w:tcBorders>
            <w:vAlign w:val="center"/>
          </w:tcPr>
          <w:p w:rsidR="00617E12" w:rsidRPr="008A0138" w:rsidRDefault="00617E12" w:rsidP="00C83BF9">
            <w:pPr>
              <w:jc w:val="left"/>
              <w:rPr>
                <w:rFonts w:ascii="Arial Narrow" w:hAnsi="Arial Narrow"/>
                <w:b/>
                <w:sz w:val="20"/>
                <w:szCs w:val="20"/>
              </w:rPr>
            </w:pPr>
            <w:r w:rsidRPr="008A0138">
              <w:rPr>
                <w:rFonts w:ascii="Arial Narrow" w:hAnsi="Arial Narrow"/>
                <w:b/>
                <w:sz w:val="20"/>
                <w:szCs w:val="20"/>
              </w:rPr>
              <w:lastRenderedPageBreak/>
              <w:t>Name, Restriction,</w:t>
            </w:r>
          </w:p>
          <w:p w:rsidR="00617E12" w:rsidRPr="008A0138" w:rsidRDefault="00617E12" w:rsidP="00C83BF9">
            <w:pPr>
              <w:jc w:val="left"/>
              <w:rPr>
                <w:rFonts w:ascii="Arial Narrow" w:hAnsi="Arial Narrow"/>
                <w:b/>
                <w:sz w:val="20"/>
                <w:szCs w:val="20"/>
              </w:rPr>
            </w:pPr>
            <w:r w:rsidRPr="008A0138">
              <w:rPr>
                <w:rFonts w:ascii="Arial Narrow" w:hAnsi="Arial Narrow"/>
                <w:b/>
                <w:sz w:val="20"/>
                <w:szCs w:val="20"/>
              </w:rPr>
              <w:t>Manner of administration and form</w:t>
            </w:r>
          </w:p>
        </w:tc>
        <w:tc>
          <w:tcPr>
            <w:tcW w:w="401" w:type="pct"/>
            <w:tcBorders>
              <w:top w:val="single" w:sz="4" w:space="0" w:color="auto"/>
              <w:bottom w:val="single" w:sz="4" w:space="0" w:color="auto"/>
            </w:tcBorders>
            <w:vAlign w:val="center"/>
          </w:tcPr>
          <w:p w:rsidR="00617E12" w:rsidRPr="008A0138" w:rsidRDefault="008B1757" w:rsidP="00C83BF9">
            <w:pPr>
              <w:jc w:val="center"/>
              <w:rPr>
                <w:rFonts w:ascii="Arial Narrow" w:hAnsi="Arial Narrow"/>
                <w:b/>
                <w:sz w:val="20"/>
                <w:szCs w:val="20"/>
              </w:rPr>
            </w:pPr>
            <w:r w:rsidRPr="008A0138">
              <w:rPr>
                <w:rFonts w:ascii="Arial Narrow" w:hAnsi="Arial Narrow"/>
                <w:b/>
                <w:sz w:val="20"/>
                <w:szCs w:val="20"/>
              </w:rPr>
              <w:t xml:space="preserve">Max </w:t>
            </w:r>
            <w:proofErr w:type="spellStart"/>
            <w:r w:rsidRPr="008A0138">
              <w:rPr>
                <w:rFonts w:ascii="Arial Narrow" w:hAnsi="Arial Narrow"/>
                <w:b/>
                <w:sz w:val="20"/>
                <w:szCs w:val="20"/>
              </w:rPr>
              <w:t>Amt</w:t>
            </w:r>
            <w:proofErr w:type="spellEnd"/>
          </w:p>
        </w:tc>
        <w:tc>
          <w:tcPr>
            <w:tcW w:w="730" w:type="pct"/>
            <w:tcBorders>
              <w:top w:val="single" w:sz="4" w:space="0" w:color="auto"/>
              <w:bottom w:val="single" w:sz="4" w:space="0" w:color="auto"/>
            </w:tcBorders>
            <w:vAlign w:val="center"/>
          </w:tcPr>
          <w:p w:rsidR="00617E12" w:rsidRPr="008A0138" w:rsidRDefault="00617E12" w:rsidP="00C83BF9">
            <w:pPr>
              <w:jc w:val="center"/>
              <w:rPr>
                <w:rFonts w:ascii="Arial Narrow" w:hAnsi="Arial Narrow"/>
                <w:b/>
                <w:sz w:val="20"/>
                <w:szCs w:val="20"/>
              </w:rPr>
            </w:pPr>
            <w:r w:rsidRPr="008A0138">
              <w:rPr>
                <w:rFonts w:ascii="Arial Narrow" w:hAnsi="Arial Narrow" w:cs="Times New Roman"/>
                <w:b/>
                <w:sz w:val="20"/>
                <w:szCs w:val="20"/>
              </w:rPr>
              <w:t>№</w:t>
            </w:r>
            <w:r w:rsidRPr="008A0138">
              <w:rPr>
                <w:rFonts w:ascii="Arial Narrow" w:hAnsi="Arial Narrow"/>
                <w:b/>
                <w:sz w:val="20"/>
                <w:szCs w:val="20"/>
              </w:rPr>
              <w:t>.of</w:t>
            </w:r>
          </w:p>
          <w:p w:rsidR="00617E12" w:rsidRPr="008A0138" w:rsidRDefault="00617E12" w:rsidP="00C83BF9">
            <w:pPr>
              <w:jc w:val="center"/>
              <w:rPr>
                <w:rFonts w:ascii="Arial Narrow" w:hAnsi="Arial Narrow"/>
                <w:b/>
                <w:sz w:val="20"/>
                <w:szCs w:val="20"/>
              </w:rPr>
            </w:pPr>
            <w:proofErr w:type="spellStart"/>
            <w:r w:rsidRPr="008A0138">
              <w:rPr>
                <w:rFonts w:ascii="Arial Narrow" w:hAnsi="Arial Narrow"/>
                <w:b/>
                <w:sz w:val="20"/>
                <w:szCs w:val="20"/>
              </w:rPr>
              <w:t>Rpts</w:t>
            </w:r>
            <w:proofErr w:type="spellEnd"/>
          </w:p>
        </w:tc>
        <w:tc>
          <w:tcPr>
            <w:tcW w:w="1295" w:type="pct"/>
            <w:tcBorders>
              <w:top w:val="single" w:sz="4" w:space="0" w:color="auto"/>
              <w:bottom w:val="single" w:sz="4" w:space="0" w:color="auto"/>
            </w:tcBorders>
            <w:vAlign w:val="center"/>
          </w:tcPr>
          <w:p w:rsidR="00617E12" w:rsidRPr="008A0138" w:rsidRDefault="00232233" w:rsidP="00C83BF9">
            <w:pPr>
              <w:jc w:val="center"/>
              <w:rPr>
                <w:rFonts w:ascii="Arial Narrow" w:hAnsi="Arial Narrow"/>
                <w:b/>
                <w:sz w:val="20"/>
                <w:szCs w:val="20"/>
              </w:rPr>
            </w:pPr>
            <w:r w:rsidRPr="008A0138">
              <w:rPr>
                <w:rFonts w:ascii="Arial Narrow" w:hAnsi="Arial Narrow"/>
                <w:b/>
                <w:sz w:val="20"/>
                <w:szCs w:val="20"/>
              </w:rPr>
              <w:t xml:space="preserve">Dispensed Price Max </w:t>
            </w:r>
            <w:proofErr w:type="spellStart"/>
            <w:r w:rsidRPr="008A0138">
              <w:rPr>
                <w:rFonts w:ascii="Arial Narrow" w:hAnsi="Arial Narrow"/>
                <w:b/>
                <w:sz w:val="20"/>
                <w:szCs w:val="20"/>
              </w:rPr>
              <w:t>Amt</w:t>
            </w:r>
            <w:proofErr w:type="spellEnd"/>
          </w:p>
        </w:tc>
        <w:tc>
          <w:tcPr>
            <w:tcW w:w="1295" w:type="pct"/>
            <w:gridSpan w:val="2"/>
            <w:tcBorders>
              <w:top w:val="single" w:sz="4" w:space="0" w:color="auto"/>
              <w:bottom w:val="single" w:sz="4" w:space="0" w:color="auto"/>
            </w:tcBorders>
            <w:vAlign w:val="center"/>
          </w:tcPr>
          <w:p w:rsidR="00617E12" w:rsidRPr="008A0138" w:rsidRDefault="00617E12" w:rsidP="00C83BF9">
            <w:pPr>
              <w:jc w:val="center"/>
              <w:rPr>
                <w:rFonts w:ascii="Arial Narrow" w:hAnsi="Arial Narrow"/>
                <w:b/>
                <w:sz w:val="20"/>
                <w:szCs w:val="20"/>
              </w:rPr>
            </w:pPr>
            <w:r w:rsidRPr="008A0138">
              <w:rPr>
                <w:rFonts w:ascii="Arial Narrow" w:hAnsi="Arial Narrow"/>
                <w:b/>
                <w:sz w:val="20"/>
                <w:szCs w:val="20"/>
              </w:rPr>
              <w:t>Proprietary Name and Manufacturer</w:t>
            </w:r>
          </w:p>
        </w:tc>
      </w:tr>
      <w:tr w:rsidR="006A6D17" w:rsidRPr="008A0138" w:rsidTr="008A0138">
        <w:trPr>
          <w:cantSplit/>
          <w:trHeight w:val="567"/>
        </w:trPr>
        <w:tc>
          <w:tcPr>
            <w:tcW w:w="1279" w:type="pct"/>
            <w:gridSpan w:val="2"/>
            <w:vAlign w:val="center"/>
          </w:tcPr>
          <w:p w:rsidR="005B5C0C" w:rsidRPr="008A0138" w:rsidRDefault="005B5C0C" w:rsidP="00C83BF9">
            <w:pPr>
              <w:pStyle w:val="TableText0"/>
              <w:keepNext w:val="0"/>
              <w:rPr>
                <w:smallCaps/>
                <w:szCs w:val="20"/>
              </w:rPr>
            </w:pPr>
            <w:r w:rsidRPr="008A0138">
              <w:rPr>
                <w:smallCaps/>
                <w:szCs w:val="20"/>
              </w:rPr>
              <w:t>Nivolumab</w:t>
            </w:r>
          </w:p>
          <w:p w:rsidR="005B5C0C" w:rsidRPr="008A0138" w:rsidRDefault="005B5C0C" w:rsidP="00C83BF9">
            <w:pPr>
              <w:pStyle w:val="TableText0"/>
              <w:keepNext w:val="0"/>
              <w:rPr>
                <w:szCs w:val="20"/>
              </w:rPr>
            </w:pPr>
            <w:r w:rsidRPr="008A0138">
              <w:rPr>
                <w:szCs w:val="20"/>
              </w:rPr>
              <w:t>100 mg/10 mL injection, 10 mL vial</w:t>
            </w:r>
          </w:p>
          <w:p w:rsidR="00617E12" w:rsidRPr="008A0138" w:rsidRDefault="005B5C0C" w:rsidP="00C83BF9">
            <w:pPr>
              <w:pStyle w:val="TableText0"/>
              <w:keepNext w:val="0"/>
              <w:rPr>
                <w:szCs w:val="20"/>
              </w:rPr>
            </w:pPr>
            <w:r w:rsidRPr="008A0138">
              <w:rPr>
                <w:szCs w:val="20"/>
              </w:rPr>
              <w:t xml:space="preserve">40 mg/4 mL injection, 4 mL vial </w:t>
            </w:r>
          </w:p>
        </w:tc>
        <w:tc>
          <w:tcPr>
            <w:tcW w:w="401" w:type="pct"/>
            <w:vAlign w:val="center"/>
          </w:tcPr>
          <w:p w:rsidR="00617E12" w:rsidRPr="008A0138" w:rsidRDefault="005B5C0C" w:rsidP="00C83BF9">
            <w:pPr>
              <w:jc w:val="center"/>
              <w:rPr>
                <w:rFonts w:ascii="Arial Narrow" w:hAnsi="Arial Narrow"/>
                <w:sz w:val="20"/>
                <w:szCs w:val="20"/>
              </w:rPr>
            </w:pPr>
            <w:r w:rsidRPr="008A0138">
              <w:rPr>
                <w:rFonts w:ascii="Arial Narrow" w:hAnsi="Arial Narrow"/>
                <w:sz w:val="20"/>
                <w:szCs w:val="20"/>
              </w:rPr>
              <w:t>360 mg</w:t>
            </w:r>
          </w:p>
        </w:tc>
        <w:tc>
          <w:tcPr>
            <w:tcW w:w="730" w:type="pct"/>
            <w:vAlign w:val="center"/>
          </w:tcPr>
          <w:p w:rsidR="00617E12" w:rsidRPr="008A0138" w:rsidRDefault="005B5C0C" w:rsidP="00C83BF9">
            <w:pPr>
              <w:jc w:val="center"/>
              <w:rPr>
                <w:rFonts w:ascii="Arial Narrow" w:hAnsi="Arial Narrow"/>
                <w:sz w:val="20"/>
                <w:szCs w:val="20"/>
              </w:rPr>
            </w:pPr>
            <w:r w:rsidRPr="008A0138">
              <w:rPr>
                <w:rFonts w:ascii="Arial Narrow" w:hAnsi="Arial Narrow"/>
                <w:sz w:val="20"/>
                <w:szCs w:val="20"/>
              </w:rPr>
              <w:t>13</w:t>
            </w:r>
            <w:r w:rsidR="006A6D17" w:rsidRPr="008A0138">
              <w:rPr>
                <w:rFonts w:ascii="Arial Narrow" w:hAnsi="Arial Narrow"/>
                <w:sz w:val="20"/>
                <w:szCs w:val="20"/>
              </w:rPr>
              <w:t xml:space="preserve"> (initial and continuing treatment)</w:t>
            </w:r>
          </w:p>
        </w:tc>
        <w:tc>
          <w:tcPr>
            <w:tcW w:w="1295" w:type="pct"/>
            <w:vAlign w:val="center"/>
          </w:tcPr>
          <w:p w:rsidR="005B5C0C" w:rsidRPr="008A0138" w:rsidRDefault="005B5C0C" w:rsidP="00C83BF9">
            <w:pPr>
              <w:pStyle w:val="TableText0"/>
              <w:keepNext w:val="0"/>
              <w:rPr>
                <w:szCs w:val="20"/>
              </w:rPr>
            </w:pPr>
            <w:r w:rsidRPr="008A0138">
              <w:rPr>
                <w:szCs w:val="20"/>
              </w:rPr>
              <w:t>Published price</w:t>
            </w:r>
          </w:p>
          <w:p w:rsidR="005B5C0C" w:rsidRPr="008A0138" w:rsidRDefault="005B5C0C" w:rsidP="00C83BF9">
            <w:pPr>
              <w:pStyle w:val="TableText0"/>
              <w:keepNext w:val="0"/>
              <w:rPr>
                <w:szCs w:val="20"/>
              </w:rPr>
            </w:pPr>
            <w:r w:rsidRPr="008A0138">
              <w:rPr>
                <w:szCs w:val="20"/>
              </w:rPr>
              <w:t>$7,561.36 public hospital</w:t>
            </w:r>
          </w:p>
          <w:p w:rsidR="005B5C0C" w:rsidRPr="008A0138" w:rsidRDefault="005B5C0C" w:rsidP="00C83BF9">
            <w:pPr>
              <w:pStyle w:val="TableText0"/>
              <w:keepNext w:val="0"/>
              <w:rPr>
                <w:szCs w:val="20"/>
              </w:rPr>
            </w:pPr>
            <w:r w:rsidRPr="008A0138">
              <w:rPr>
                <w:szCs w:val="20"/>
              </w:rPr>
              <w:t>$7,705.78 private hospital</w:t>
            </w:r>
          </w:p>
          <w:p w:rsidR="005B5C0C" w:rsidRPr="008A0138" w:rsidRDefault="005B5C0C" w:rsidP="00C83BF9">
            <w:pPr>
              <w:pStyle w:val="TableText0"/>
              <w:keepNext w:val="0"/>
              <w:rPr>
                <w:szCs w:val="20"/>
              </w:rPr>
            </w:pPr>
            <w:r w:rsidRPr="008A0138">
              <w:rPr>
                <w:szCs w:val="20"/>
              </w:rPr>
              <w:t xml:space="preserve">Effective price </w:t>
            </w:r>
          </w:p>
          <w:p w:rsidR="005B5C0C" w:rsidRPr="008A0138" w:rsidRDefault="005B5C0C" w:rsidP="00C83BF9">
            <w:pPr>
              <w:pStyle w:val="TableText0"/>
              <w:keepNext w:val="0"/>
              <w:rPr>
                <w:szCs w:val="20"/>
              </w:rPr>
            </w:pPr>
            <w:r w:rsidRPr="008A0138">
              <w:rPr>
                <w:szCs w:val="20"/>
              </w:rPr>
              <w:t>$</w:t>
            </w:r>
            <w:r w:rsidR="00115F96">
              <w:rPr>
                <w:noProof/>
                <w:color w:val="000000"/>
                <w:szCs w:val="20"/>
                <w:highlight w:val="black"/>
              </w:rPr>
              <w:t>''''''''''''''''''</w:t>
            </w:r>
            <w:r w:rsidRPr="008A0138">
              <w:rPr>
                <w:szCs w:val="20"/>
              </w:rPr>
              <w:t xml:space="preserve"> </w:t>
            </w:r>
            <w:r w:rsidR="00BA515D" w:rsidRPr="008A0138">
              <w:rPr>
                <w:szCs w:val="20"/>
                <w:vertAlign w:val="superscript"/>
              </w:rPr>
              <w:t xml:space="preserve">a </w:t>
            </w:r>
            <w:r w:rsidRPr="008A0138">
              <w:rPr>
                <w:szCs w:val="20"/>
              </w:rPr>
              <w:t>public hospital</w:t>
            </w:r>
          </w:p>
          <w:p w:rsidR="00617E12" w:rsidRPr="008A0138" w:rsidRDefault="005B5C0C" w:rsidP="00C83BF9">
            <w:pPr>
              <w:pStyle w:val="TableText0"/>
              <w:keepNext w:val="0"/>
              <w:rPr>
                <w:szCs w:val="20"/>
              </w:rPr>
            </w:pPr>
            <w:r w:rsidRPr="008A0138">
              <w:rPr>
                <w:szCs w:val="20"/>
              </w:rPr>
              <w:t>$</w:t>
            </w:r>
            <w:r w:rsidR="00115F96">
              <w:rPr>
                <w:noProof/>
                <w:color w:val="000000"/>
                <w:szCs w:val="20"/>
                <w:highlight w:val="black"/>
              </w:rPr>
              <w:t>'''''''''''''''''''''''</w:t>
            </w:r>
            <w:r w:rsidR="00BA515D" w:rsidRPr="008A0138">
              <w:rPr>
                <w:szCs w:val="20"/>
              </w:rPr>
              <w:t xml:space="preserve"> </w:t>
            </w:r>
            <w:r w:rsidR="00BA515D" w:rsidRPr="008A0138">
              <w:rPr>
                <w:szCs w:val="20"/>
                <w:vertAlign w:val="superscript"/>
              </w:rPr>
              <w:t>a</w:t>
            </w:r>
            <w:r w:rsidRPr="008A0138">
              <w:rPr>
                <w:szCs w:val="20"/>
              </w:rPr>
              <w:t xml:space="preserve"> private hospital</w:t>
            </w:r>
          </w:p>
        </w:tc>
        <w:tc>
          <w:tcPr>
            <w:tcW w:w="400" w:type="pct"/>
            <w:vAlign w:val="center"/>
          </w:tcPr>
          <w:p w:rsidR="00617E12" w:rsidRPr="008A0138" w:rsidRDefault="006A6D17" w:rsidP="00C83BF9">
            <w:pPr>
              <w:jc w:val="center"/>
              <w:rPr>
                <w:rFonts w:ascii="Arial Narrow" w:hAnsi="Arial Narrow"/>
                <w:sz w:val="20"/>
                <w:szCs w:val="20"/>
                <w:vertAlign w:val="superscript"/>
              </w:rPr>
            </w:pPr>
            <w:proofErr w:type="spellStart"/>
            <w:r w:rsidRPr="008A0138">
              <w:rPr>
                <w:rFonts w:ascii="Arial Narrow" w:hAnsi="Arial Narrow"/>
                <w:sz w:val="20"/>
                <w:szCs w:val="20"/>
              </w:rPr>
              <w:t>Opdivo</w:t>
            </w:r>
            <w:proofErr w:type="spellEnd"/>
            <w:r w:rsidRPr="008A0138">
              <w:rPr>
                <w:rFonts w:ascii="Arial Narrow" w:hAnsi="Arial Narrow"/>
                <w:sz w:val="20"/>
                <w:szCs w:val="20"/>
                <w:vertAlign w:val="superscript"/>
              </w:rPr>
              <w:t>®</w:t>
            </w:r>
            <w:r w:rsidRPr="008A0138">
              <w:rPr>
                <w:rFonts w:ascii="Arial Narrow" w:hAnsi="Arial Narrow"/>
                <w:sz w:val="20"/>
                <w:szCs w:val="20"/>
              </w:rPr>
              <w:t> </w:t>
            </w:r>
          </w:p>
        </w:tc>
        <w:tc>
          <w:tcPr>
            <w:tcW w:w="895" w:type="pct"/>
            <w:vAlign w:val="center"/>
          </w:tcPr>
          <w:p w:rsidR="00591957" w:rsidRPr="008A0138" w:rsidRDefault="006A6D17" w:rsidP="00C83BF9">
            <w:pPr>
              <w:pStyle w:val="TableText0"/>
              <w:keepNext w:val="0"/>
              <w:jc w:val="center"/>
              <w:rPr>
                <w:szCs w:val="20"/>
              </w:rPr>
            </w:pPr>
            <w:r w:rsidRPr="008A0138">
              <w:rPr>
                <w:szCs w:val="20"/>
              </w:rPr>
              <w:t>Bristol-Myers Squibb Australia Pty Ltd</w:t>
            </w:r>
          </w:p>
        </w:tc>
      </w:tr>
      <w:tr w:rsidR="006A6D17" w:rsidRPr="008A0138" w:rsidTr="008A0138">
        <w:trPr>
          <w:cantSplit/>
          <w:trHeight w:val="567"/>
        </w:trPr>
        <w:tc>
          <w:tcPr>
            <w:tcW w:w="1279" w:type="pct"/>
            <w:gridSpan w:val="2"/>
            <w:vAlign w:val="center"/>
          </w:tcPr>
          <w:p w:rsidR="006A6D17" w:rsidRPr="008A0138" w:rsidRDefault="006A6D17" w:rsidP="00C83BF9">
            <w:pPr>
              <w:pStyle w:val="TableText0"/>
              <w:keepNext w:val="0"/>
              <w:rPr>
                <w:smallCaps/>
                <w:szCs w:val="20"/>
              </w:rPr>
            </w:pPr>
            <w:r w:rsidRPr="008A0138">
              <w:rPr>
                <w:smallCaps/>
                <w:szCs w:val="20"/>
              </w:rPr>
              <w:t xml:space="preserve">Ipilimumab </w:t>
            </w:r>
          </w:p>
          <w:p w:rsidR="005B5C0C" w:rsidRPr="008A0138" w:rsidRDefault="006A6D17" w:rsidP="00C83BF9">
            <w:pPr>
              <w:jc w:val="left"/>
              <w:rPr>
                <w:rFonts w:ascii="Arial Narrow" w:hAnsi="Arial Narrow"/>
                <w:smallCaps/>
                <w:sz w:val="20"/>
                <w:szCs w:val="20"/>
              </w:rPr>
            </w:pPr>
            <w:r w:rsidRPr="008A0138">
              <w:rPr>
                <w:rFonts w:ascii="Arial Narrow" w:eastAsiaTheme="majorEastAsia" w:hAnsi="Arial Narrow" w:cstheme="majorBidi"/>
                <w:bCs/>
                <w:sz w:val="20"/>
                <w:szCs w:val="20"/>
              </w:rPr>
              <w:t>50 mg/10 mL injection, 10 mL vial</w:t>
            </w:r>
          </w:p>
        </w:tc>
        <w:tc>
          <w:tcPr>
            <w:tcW w:w="401" w:type="pct"/>
            <w:vAlign w:val="center"/>
          </w:tcPr>
          <w:p w:rsidR="005B5C0C" w:rsidRPr="008A0138" w:rsidRDefault="006A6D17" w:rsidP="00C83BF9">
            <w:pPr>
              <w:jc w:val="center"/>
              <w:rPr>
                <w:rFonts w:ascii="Arial Narrow" w:hAnsi="Arial Narrow"/>
                <w:sz w:val="20"/>
                <w:szCs w:val="20"/>
              </w:rPr>
            </w:pPr>
            <w:r w:rsidRPr="008A0138">
              <w:rPr>
                <w:rFonts w:ascii="Arial Narrow" w:hAnsi="Arial Narrow"/>
                <w:sz w:val="20"/>
                <w:szCs w:val="20"/>
              </w:rPr>
              <w:t>120 mg</w:t>
            </w:r>
          </w:p>
        </w:tc>
        <w:tc>
          <w:tcPr>
            <w:tcW w:w="730" w:type="pct"/>
            <w:vAlign w:val="center"/>
          </w:tcPr>
          <w:p w:rsidR="005B5C0C" w:rsidRPr="008A0138" w:rsidRDefault="006A6D17" w:rsidP="00C83BF9">
            <w:pPr>
              <w:jc w:val="center"/>
              <w:rPr>
                <w:rFonts w:ascii="Arial Narrow" w:hAnsi="Arial Narrow"/>
                <w:sz w:val="20"/>
                <w:szCs w:val="20"/>
              </w:rPr>
            </w:pPr>
            <w:r w:rsidRPr="008A0138">
              <w:rPr>
                <w:rFonts w:ascii="Arial Narrow" w:hAnsi="Arial Narrow"/>
                <w:sz w:val="20"/>
                <w:szCs w:val="20"/>
              </w:rPr>
              <w:t>4 (initial and continuing treatment)</w:t>
            </w:r>
          </w:p>
        </w:tc>
        <w:tc>
          <w:tcPr>
            <w:tcW w:w="1295" w:type="pct"/>
            <w:vAlign w:val="center"/>
          </w:tcPr>
          <w:p w:rsidR="006A6D17" w:rsidRPr="008A0138" w:rsidRDefault="006A6D17" w:rsidP="001E0D2F">
            <w:pPr>
              <w:pStyle w:val="TableText0"/>
              <w:keepNext w:val="0"/>
              <w:spacing w:before="60"/>
              <w:rPr>
                <w:szCs w:val="20"/>
              </w:rPr>
            </w:pPr>
            <w:r w:rsidRPr="008A0138">
              <w:rPr>
                <w:szCs w:val="20"/>
              </w:rPr>
              <w:t>Published price</w:t>
            </w:r>
          </w:p>
          <w:p w:rsidR="006A6D17" w:rsidRPr="008A0138" w:rsidRDefault="006A6D17" w:rsidP="00C83BF9">
            <w:pPr>
              <w:pStyle w:val="TableText0"/>
              <w:keepNext w:val="0"/>
              <w:rPr>
                <w:szCs w:val="20"/>
              </w:rPr>
            </w:pPr>
            <w:r w:rsidRPr="008A0138">
              <w:rPr>
                <w:szCs w:val="20"/>
              </w:rPr>
              <w:t>$16,962.82 public hospital</w:t>
            </w:r>
          </w:p>
          <w:p w:rsidR="006A6D17" w:rsidRPr="008A0138" w:rsidRDefault="006A6D17" w:rsidP="00C83BF9">
            <w:pPr>
              <w:pStyle w:val="TableText0"/>
              <w:keepNext w:val="0"/>
              <w:rPr>
                <w:szCs w:val="20"/>
              </w:rPr>
            </w:pPr>
            <w:r w:rsidRPr="008A0138">
              <w:rPr>
                <w:szCs w:val="20"/>
              </w:rPr>
              <w:t>$17,238.86 private hospital</w:t>
            </w:r>
          </w:p>
          <w:p w:rsidR="006A6D17" w:rsidRPr="008A0138" w:rsidRDefault="006A6D17" w:rsidP="00C83BF9">
            <w:pPr>
              <w:pStyle w:val="TableText0"/>
              <w:keepNext w:val="0"/>
              <w:rPr>
                <w:szCs w:val="20"/>
              </w:rPr>
            </w:pPr>
            <w:r w:rsidRPr="008A0138">
              <w:rPr>
                <w:szCs w:val="20"/>
              </w:rPr>
              <w:t xml:space="preserve">Effective price </w:t>
            </w:r>
          </w:p>
          <w:p w:rsidR="006A6D17" w:rsidRPr="008A0138" w:rsidRDefault="006A6D17" w:rsidP="00C83BF9">
            <w:pPr>
              <w:pStyle w:val="TableText0"/>
              <w:keepNext w:val="0"/>
              <w:rPr>
                <w:szCs w:val="20"/>
              </w:rPr>
            </w:pPr>
            <w:r w:rsidRPr="008A0138">
              <w:rPr>
                <w:szCs w:val="20"/>
              </w:rPr>
              <w:t>$</w:t>
            </w:r>
            <w:r w:rsidR="00115F96">
              <w:rPr>
                <w:noProof/>
                <w:color w:val="000000"/>
                <w:szCs w:val="20"/>
                <w:highlight w:val="black"/>
              </w:rPr>
              <w:t>'''''''''''''''''''''''</w:t>
            </w:r>
            <w:r w:rsidR="00BA515D" w:rsidRPr="008A0138">
              <w:rPr>
                <w:szCs w:val="20"/>
              </w:rPr>
              <w:t xml:space="preserve"> </w:t>
            </w:r>
            <w:r w:rsidR="00BA515D" w:rsidRPr="008A0138">
              <w:rPr>
                <w:szCs w:val="20"/>
                <w:vertAlign w:val="superscript"/>
              </w:rPr>
              <w:t>a</w:t>
            </w:r>
            <w:r w:rsidRPr="008A0138">
              <w:rPr>
                <w:szCs w:val="20"/>
              </w:rPr>
              <w:t xml:space="preserve"> public hospital</w:t>
            </w:r>
          </w:p>
          <w:p w:rsidR="005B5C0C" w:rsidRPr="008A0138" w:rsidRDefault="006A6D17" w:rsidP="00C83BF9">
            <w:pPr>
              <w:pStyle w:val="TableText0"/>
              <w:keepNext w:val="0"/>
              <w:rPr>
                <w:szCs w:val="20"/>
              </w:rPr>
            </w:pPr>
            <w:r w:rsidRPr="008A0138">
              <w:rPr>
                <w:szCs w:val="20"/>
              </w:rPr>
              <w:t>$</w:t>
            </w:r>
            <w:r w:rsidR="00115F96">
              <w:rPr>
                <w:noProof/>
                <w:color w:val="000000"/>
                <w:szCs w:val="20"/>
                <w:highlight w:val="black"/>
              </w:rPr>
              <w:t>'''''''''''''''''''''''''</w:t>
            </w:r>
            <w:r w:rsidR="00BA515D" w:rsidRPr="008A0138">
              <w:rPr>
                <w:szCs w:val="20"/>
              </w:rPr>
              <w:t xml:space="preserve"> </w:t>
            </w:r>
            <w:r w:rsidR="00BA515D" w:rsidRPr="008A0138">
              <w:rPr>
                <w:szCs w:val="20"/>
                <w:vertAlign w:val="superscript"/>
              </w:rPr>
              <w:t>a</w:t>
            </w:r>
            <w:r w:rsidRPr="008A0138">
              <w:rPr>
                <w:szCs w:val="20"/>
              </w:rPr>
              <w:t xml:space="preserve"> private hospital</w:t>
            </w:r>
          </w:p>
          <w:p w:rsidR="00FC6DEF" w:rsidRPr="008A0138" w:rsidRDefault="00FC6DEF" w:rsidP="00C83BF9">
            <w:pPr>
              <w:pStyle w:val="TableText0"/>
              <w:keepNext w:val="0"/>
              <w:rPr>
                <w:szCs w:val="20"/>
              </w:rPr>
            </w:pPr>
          </w:p>
        </w:tc>
        <w:tc>
          <w:tcPr>
            <w:tcW w:w="400" w:type="pct"/>
            <w:vAlign w:val="center"/>
          </w:tcPr>
          <w:p w:rsidR="005B5C0C" w:rsidRPr="008A0138" w:rsidRDefault="006A6D17" w:rsidP="00C83BF9">
            <w:pPr>
              <w:jc w:val="center"/>
              <w:rPr>
                <w:rFonts w:ascii="Arial Narrow" w:hAnsi="Arial Narrow"/>
                <w:sz w:val="20"/>
                <w:szCs w:val="20"/>
                <w:vertAlign w:val="superscript"/>
              </w:rPr>
            </w:pPr>
            <w:proofErr w:type="spellStart"/>
            <w:r w:rsidRPr="008A0138">
              <w:rPr>
                <w:rFonts w:ascii="Arial Narrow" w:hAnsi="Arial Narrow"/>
                <w:sz w:val="20"/>
                <w:szCs w:val="20"/>
              </w:rPr>
              <w:t>Yervoy</w:t>
            </w:r>
            <w:proofErr w:type="spellEnd"/>
            <w:r w:rsidRPr="008A0138">
              <w:rPr>
                <w:rFonts w:ascii="Arial Narrow" w:hAnsi="Arial Narrow"/>
                <w:sz w:val="20"/>
                <w:szCs w:val="20"/>
                <w:vertAlign w:val="superscript"/>
              </w:rPr>
              <w:t>®</w:t>
            </w:r>
          </w:p>
        </w:tc>
        <w:tc>
          <w:tcPr>
            <w:tcW w:w="895" w:type="pct"/>
            <w:vAlign w:val="center"/>
          </w:tcPr>
          <w:p w:rsidR="005B5C0C" w:rsidRPr="008A0138" w:rsidRDefault="006A6D17" w:rsidP="00C83BF9">
            <w:pPr>
              <w:pStyle w:val="TableText0"/>
              <w:keepNext w:val="0"/>
              <w:jc w:val="center"/>
              <w:rPr>
                <w:szCs w:val="20"/>
              </w:rPr>
            </w:pPr>
            <w:r w:rsidRPr="008A0138">
              <w:rPr>
                <w:szCs w:val="20"/>
              </w:rPr>
              <w:t>Bristol-Myers Squibb Australia Pty Ltd</w:t>
            </w:r>
          </w:p>
        </w:tc>
      </w:tr>
      <w:tr w:rsidR="00542C2D" w:rsidRPr="008A0138" w:rsidTr="008A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17" w:type="pct"/>
            <w:tcBorders>
              <w:top w:val="single" w:sz="4" w:space="0" w:color="auto"/>
              <w:left w:val="single" w:sz="4" w:space="0" w:color="auto"/>
              <w:bottom w:val="single" w:sz="4" w:space="0" w:color="auto"/>
              <w:right w:val="single" w:sz="4" w:space="0" w:color="auto"/>
            </w:tcBorders>
            <w:hideMark/>
          </w:tcPr>
          <w:p w:rsidR="00542C2D" w:rsidRPr="008A0138" w:rsidRDefault="00591957" w:rsidP="00C83BF9">
            <w:pPr>
              <w:pStyle w:val="TableText0"/>
              <w:keepNext w:val="0"/>
              <w:rPr>
                <w:szCs w:val="20"/>
              </w:rPr>
            </w:pPr>
            <w:r w:rsidRPr="008A0138">
              <w:rPr>
                <w:szCs w:val="20"/>
              </w:rPr>
              <w:t>Category/Program:</w:t>
            </w:r>
          </w:p>
        </w:tc>
        <w:tc>
          <w:tcPr>
            <w:tcW w:w="3883" w:type="pct"/>
            <w:gridSpan w:val="6"/>
            <w:tcBorders>
              <w:top w:val="single" w:sz="4" w:space="0" w:color="auto"/>
              <w:left w:val="single" w:sz="4" w:space="0" w:color="auto"/>
              <w:bottom w:val="single" w:sz="4" w:space="0" w:color="auto"/>
              <w:right w:val="single" w:sz="4" w:space="0" w:color="auto"/>
            </w:tcBorders>
          </w:tcPr>
          <w:p w:rsidR="00542C2D" w:rsidRPr="008A0138" w:rsidRDefault="00980421" w:rsidP="00C83BF9">
            <w:pPr>
              <w:pStyle w:val="TableText0"/>
              <w:keepNext w:val="0"/>
              <w:rPr>
                <w:szCs w:val="20"/>
              </w:rPr>
            </w:pPr>
            <w:r w:rsidRPr="008A0138">
              <w:rPr>
                <w:rFonts w:cs="Arial"/>
                <w:szCs w:val="20"/>
              </w:rPr>
              <w:t>Section 100 – Efficient funding of Chemotherapy (Public and Private Hospital)</w:t>
            </w:r>
          </w:p>
        </w:tc>
      </w:tr>
      <w:tr w:rsidR="00542C2D" w:rsidRPr="008A0138" w:rsidTr="008A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17" w:type="pct"/>
            <w:tcBorders>
              <w:top w:val="single" w:sz="4" w:space="0" w:color="auto"/>
              <w:left w:val="single" w:sz="4" w:space="0" w:color="auto"/>
              <w:bottom w:val="single" w:sz="4" w:space="0" w:color="auto"/>
              <w:right w:val="single" w:sz="4" w:space="0" w:color="auto"/>
            </w:tcBorders>
            <w:hideMark/>
          </w:tcPr>
          <w:p w:rsidR="00542C2D" w:rsidRPr="008A0138" w:rsidRDefault="00591957" w:rsidP="00C83BF9">
            <w:pPr>
              <w:pStyle w:val="TableText0"/>
              <w:keepNext w:val="0"/>
              <w:rPr>
                <w:szCs w:val="20"/>
              </w:rPr>
            </w:pPr>
            <w:r w:rsidRPr="008A0138">
              <w:rPr>
                <w:szCs w:val="20"/>
              </w:rPr>
              <w:t>PBS indication:</w:t>
            </w:r>
          </w:p>
        </w:tc>
        <w:tc>
          <w:tcPr>
            <w:tcW w:w="3883" w:type="pct"/>
            <w:gridSpan w:val="6"/>
            <w:tcBorders>
              <w:top w:val="single" w:sz="4" w:space="0" w:color="auto"/>
              <w:left w:val="single" w:sz="4" w:space="0" w:color="auto"/>
              <w:bottom w:val="single" w:sz="4" w:space="0" w:color="auto"/>
              <w:right w:val="single" w:sz="4" w:space="0" w:color="auto"/>
            </w:tcBorders>
          </w:tcPr>
          <w:p w:rsidR="00542C2D" w:rsidRPr="008A0138" w:rsidRDefault="00980421" w:rsidP="00C83BF9">
            <w:pPr>
              <w:pStyle w:val="Tabletext"/>
              <w:rPr>
                <w:szCs w:val="20"/>
              </w:rPr>
            </w:pPr>
            <w:r w:rsidRPr="008A0138">
              <w:rPr>
                <w:szCs w:val="20"/>
              </w:rPr>
              <w:t>Stage IV (metastatic) non-small cell lung cancer (NSCLC)</w:t>
            </w:r>
          </w:p>
        </w:tc>
      </w:tr>
      <w:tr w:rsidR="00542C2D" w:rsidRPr="008A0138" w:rsidTr="008A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17" w:type="pct"/>
            <w:tcBorders>
              <w:top w:val="single" w:sz="4" w:space="0" w:color="auto"/>
              <w:left w:val="single" w:sz="4" w:space="0" w:color="auto"/>
              <w:bottom w:val="single" w:sz="4" w:space="0" w:color="auto"/>
              <w:right w:val="single" w:sz="4" w:space="0" w:color="auto"/>
            </w:tcBorders>
            <w:hideMark/>
          </w:tcPr>
          <w:p w:rsidR="00542C2D" w:rsidRPr="008A0138" w:rsidRDefault="00591957" w:rsidP="00C83BF9">
            <w:pPr>
              <w:pStyle w:val="TableText0"/>
              <w:keepNext w:val="0"/>
              <w:rPr>
                <w:szCs w:val="20"/>
              </w:rPr>
            </w:pPr>
            <w:r w:rsidRPr="008A0138">
              <w:rPr>
                <w:szCs w:val="20"/>
              </w:rPr>
              <w:t>Treatment phase:</w:t>
            </w:r>
          </w:p>
        </w:tc>
        <w:tc>
          <w:tcPr>
            <w:tcW w:w="3883" w:type="pct"/>
            <w:gridSpan w:val="6"/>
            <w:tcBorders>
              <w:top w:val="single" w:sz="4" w:space="0" w:color="auto"/>
              <w:left w:val="single" w:sz="4" w:space="0" w:color="auto"/>
              <w:bottom w:val="single" w:sz="4" w:space="0" w:color="auto"/>
              <w:right w:val="single" w:sz="4" w:space="0" w:color="auto"/>
            </w:tcBorders>
          </w:tcPr>
          <w:p w:rsidR="00542C2D" w:rsidRPr="008A0138" w:rsidRDefault="00980421" w:rsidP="00C83BF9">
            <w:pPr>
              <w:pStyle w:val="Tabletext"/>
              <w:rPr>
                <w:szCs w:val="20"/>
              </w:rPr>
            </w:pPr>
            <w:r w:rsidRPr="008A0138">
              <w:rPr>
                <w:szCs w:val="20"/>
              </w:rPr>
              <w:t xml:space="preserve">Initial </w:t>
            </w:r>
            <w:r w:rsidR="00AA1599" w:rsidRPr="008A0138">
              <w:rPr>
                <w:i/>
                <w:szCs w:val="20"/>
              </w:rPr>
              <w:t xml:space="preserve">combination treatment (with </w:t>
            </w:r>
            <w:r w:rsidR="00911C7A" w:rsidRPr="008A0138">
              <w:rPr>
                <w:i/>
                <w:szCs w:val="20"/>
              </w:rPr>
              <w:t xml:space="preserve">nivolumab/ </w:t>
            </w:r>
            <w:r w:rsidR="00AA1599" w:rsidRPr="008A0138">
              <w:rPr>
                <w:i/>
                <w:szCs w:val="20"/>
              </w:rPr>
              <w:t>ipilimumab and platinum based chemotherapy) as first-line drug therapy</w:t>
            </w:r>
            <w:r w:rsidR="00AA1599" w:rsidRPr="008A0138">
              <w:rPr>
                <w:szCs w:val="20"/>
              </w:rPr>
              <w:t xml:space="preserve"> </w:t>
            </w:r>
          </w:p>
        </w:tc>
      </w:tr>
      <w:tr w:rsidR="00542C2D" w:rsidRPr="008A0138" w:rsidTr="008A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17" w:type="pct"/>
            <w:tcBorders>
              <w:top w:val="single" w:sz="4" w:space="0" w:color="auto"/>
              <w:left w:val="single" w:sz="4" w:space="0" w:color="auto"/>
              <w:bottom w:val="single" w:sz="4" w:space="0" w:color="auto"/>
              <w:right w:val="single" w:sz="4" w:space="0" w:color="auto"/>
            </w:tcBorders>
            <w:hideMark/>
          </w:tcPr>
          <w:p w:rsidR="00542C2D" w:rsidRPr="008A0138" w:rsidRDefault="00542C2D" w:rsidP="00C83BF9">
            <w:pPr>
              <w:pStyle w:val="TableText0"/>
              <w:keepNext w:val="0"/>
              <w:rPr>
                <w:szCs w:val="20"/>
              </w:rPr>
            </w:pPr>
            <w:r w:rsidRPr="008A0138">
              <w:rPr>
                <w:szCs w:val="20"/>
              </w:rPr>
              <w:t>Restriction</w:t>
            </w:r>
            <w:r w:rsidR="00591957" w:rsidRPr="008A0138">
              <w:rPr>
                <w:szCs w:val="20"/>
              </w:rPr>
              <w:t>:</w:t>
            </w:r>
          </w:p>
        </w:tc>
        <w:tc>
          <w:tcPr>
            <w:tcW w:w="3883" w:type="pct"/>
            <w:gridSpan w:val="6"/>
            <w:tcBorders>
              <w:top w:val="single" w:sz="4" w:space="0" w:color="auto"/>
              <w:left w:val="single" w:sz="4" w:space="0" w:color="auto"/>
              <w:bottom w:val="single" w:sz="4" w:space="0" w:color="auto"/>
              <w:right w:val="single" w:sz="4" w:space="0" w:color="auto"/>
            </w:tcBorders>
          </w:tcPr>
          <w:p w:rsidR="00542C2D" w:rsidRPr="008A0138" w:rsidRDefault="00980421" w:rsidP="00C83BF9">
            <w:pPr>
              <w:pStyle w:val="Tabletext"/>
              <w:rPr>
                <w:szCs w:val="20"/>
              </w:rPr>
            </w:pPr>
            <w:r w:rsidRPr="008A0138">
              <w:rPr>
                <w:szCs w:val="20"/>
              </w:rPr>
              <w:t>Streamlined</w:t>
            </w:r>
          </w:p>
        </w:tc>
      </w:tr>
      <w:tr w:rsidR="00542C2D" w:rsidRPr="008A0138" w:rsidTr="008A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17" w:type="pct"/>
            <w:tcBorders>
              <w:top w:val="single" w:sz="4" w:space="0" w:color="auto"/>
              <w:left w:val="single" w:sz="4" w:space="0" w:color="auto"/>
              <w:bottom w:val="single" w:sz="4" w:space="0" w:color="auto"/>
              <w:right w:val="single" w:sz="4" w:space="0" w:color="auto"/>
            </w:tcBorders>
          </w:tcPr>
          <w:p w:rsidR="00542C2D" w:rsidRPr="008A0138" w:rsidRDefault="00542C2D" w:rsidP="00C83BF9">
            <w:pPr>
              <w:pStyle w:val="TableText0"/>
              <w:keepNext w:val="0"/>
              <w:rPr>
                <w:strike/>
                <w:szCs w:val="20"/>
              </w:rPr>
            </w:pPr>
            <w:r w:rsidRPr="008A0138">
              <w:rPr>
                <w:strike/>
                <w:szCs w:val="20"/>
              </w:rPr>
              <w:t>Treatment criteria</w:t>
            </w:r>
            <w:r w:rsidR="00591957" w:rsidRPr="008A0138">
              <w:rPr>
                <w:strike/>
                <w:szCs w:val="20"/>
              </w:rPr>
              <w:t>:</w:t>
            </w:r>
          </w:p>
        </w:tc>
        <w:tc>
          <w:tcPr>
            <w:tcW w:w="3883" w:type="pct"/>
            <w:gridSpan w:val="6"/>
            <w:tcBorders>
              <w:top w:val="single" w:sz="4" w:space="0" w:color="auto"/>
              <w:left w:val="single" w:sz="4" w:space="0" w:color="auto"/>
              <w:bottom w:val="single" w:sz="4" w:space="0" w:color="auto"/>
              <w:right w:val="single" w:sz="4" w:space="0" w:color="auto"/>
            </w:tcBorders>
          </w:tcPr>
          <w:p w:rsidR="00542C2D" w:rsidRPr="008A0138" w:rsidRDefault="00980421" w:rsidP="00C83BF9">
            <w:pPr>
              <w:pStyle w:val="Tabletext"/>
              <w:rPr>
                <w:strike/>
                <w:szCs w:val="20"/>
              </w:rPr>
            </w:pPr>
            <w:r w:rsidRPr="008A0138">
              <w:rPr>
                <w:strike/>
                <w:szCs w:val="20"/>
              </w:rPr>
              <w:t>Patient must be undergoing combination treatment with nivolumab/ipilimumab.</w:t>
            </w:r>
          </w:p>
        </w:tc>
      </w:tr>
      <w:tr w:rsidR="00542C2D" w:rsidRPr="008A0138" w:rsidTr="008A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17" w:type="pct"/>
            <w:tcBorders>
              <w:top w:val="single" w:sz="4" w:space="0" w:color="auto"/>
              <w:left w:val="single" w:sz="4" w:space="0" w:color="auto"/>
              <w:bottom w:val="single" w:sz="4" w:space="0" w:color="auto"/>
              <w:right w:val="single" w:sz="4" w:space="0" w:color="auto"/>
            </w:tcBorders>
            <w:hideMark/>
          </w:tcPr>
          <w:p w:rsidR="00542C2D" w:rsidRPr="008A0138" w:rsidRDefault="00542C2D" w:rsidP="00C83BF9">
            <w:pPr>
              <w:pStyle w:val="TableText0"/>
              <w:keepNext w:val="0"/>
              <w:rPr>
                <w:szCs w:val="20"/>
              </w:rPr>
            </w:pPr>
            <w:r w:rsidRPr="008A0138">
              <w:rPr>
                <w:szCs w:val="20"/>
              </w:rPr>
              <w:t>Clinical criteria</w:t>
            </w:r>
            <w:r w:rsidR="00591957" w:rsidRPr="008A0138">
              <w:rPr>
                <w:szCs w:val="20"/>
              </w:rPr>
              <w:t>:</w:t>
            </w:r>
          </w:p>
        </w:tc>
        <w:tc>
          <w:tcPr>
            <w:tcW w:w="3883" w:type="pct"/>
            <w:gridSpan w:val="6"/>
            <w:tcBorders>
              <w:top w:val="single" w:sz="4" w:space="0" w:color="auto"/>
              <w:left w:val="single" w:sz="4" w:space="0" w:color="auto"/>
              <w:bottom w:val="single" w:sz="4" w:space="0" w:color="auto"/>
              <w:right w:val="single" w:sz="4" w:space="0" w:color="auto"/>
            </w:tcBorders>
          </w:tcPr>
          <w:p w:rsidR="00980421" w:rsidRPr="008A0138" w:rsidRDefault="00980421" w:rsidP="00C83BF9">
            <w:pPr>
              <w:pStyle w:val="TableText0"/>
              <w:keepNext w:val="0"/>
              <w:rPr>
                <w:rFonts w:cs="Arial"/>
                <w:szCs w:val="20"/>
              </w:rPr>
            </w:pPr>
            <w:r w:rsidRPr="008A0138">
              <w:rPr>
                <w:rFonts w:cs="Arial"/>
                <w:szCs w:val="20"/>
              </w:rPr>
              <w:t>Patient must not have previously been treated for this condition in the metastatic setting,</w:t>
            </w:r>
          </w:p>
          <w:p w:rsidR="00980421" w:rsidRPr="008A0138" w:rsidRDefault="00980421" w:rsidP="00C83BF9">
            <w:pPr>
              <w:pStyle w:val="TableText0"/>
              <w:keepNext w:val="0"/>
              <w:rPr>
                <w:rFonts w:cs="Arial"/>
                <w:szCs w:val="20"/>
              </w:rPr>
            </w:pPr>
            <w:r w:rsidRPr="008A0138">
              <w:rPr>
                <w:rFonts w:cs="Arial"/>
                <w:szCs w:val="20"/>
              </w:rPr>
              <w:t>AND</w:t>
            </w:r>
          </w:p>
          <w:p w:rsidR="00980421" w:rsidRPr="008A0138" w:rsidRDefault="00980421" w:rsidP="00C83BF9">
            <w:pPr>
              <w:pStyle w:val="TableText0"/>
              <w:keepNext w:val="0"/>
              <w:rPr>
                <w:rFonts w:cs="Arial"/>
                <w:szCs w:val="20"/>
              </w:rPr>
            </w:pPr>
            <w:r w:rsidRPr="008A0138">
              <w:rPr>
                <w:rFonts w:cs="Arial"/>
                <w:szCs w:val="20"/>
              </w:rPr>
              <w:t>Patient must not have received prior treatment with a programmed cell death-1 (PD-1) inhibitor or a programmed cell death ligand-1 (PD-L1) inhibitor for non-small cell lung cancer,</w:t>
            </w:r>
          </w:p>
          <w:p w:rsidR="00980421" w:rsidRPr="008A0138" w:rsidRDefault="00980421" w:rsidP="00C83BF9">
            <w:pPr>
              <w:pStyle w:val="TableText0"/>
              <w:keepNext w:val="0"/>
              <w:rPr>
                <w:rFonts w:cs="Arial"/>
                <w:szCs w:val="20"/>
              </w:rPr>
            </w:pPr>
            <w:r w:rsidRPr="008A0138">
              <w:rPr>
                <w:rFonts w:cs="Arial"/>
                <w:szCs w:val="20"/>
              </w:rPr>
              <w:t xml:space="preserve">AND </w:t>
            </w:r>
          </w:p>
          <w:p w:rsidR="00980421" w:rsidRPr="008A0138" w:rsidRDefault="00980421" w:rsidP="00C83BF9">
            <w:pPr>
              <w:pStyle w:val="TableText0"/>
              <w:keepNext w:val="0"/>
              <w:rPr>
                <w:rFonts w:cs="Arial"/>
                <w:szCs w:val="20"/>
              </w:rPr>
            </w:pPr>
            <w:r w:rsidRPr="008A0138">
              <w:rPr>
                <w:rFonts w:cs="Arial"/>
                <w:szCs w:val="20"/>
              </w:rPr>
              <w:t>Patient must have a WHO performance status of 0 or 1,</w:t>
            </w:r>
          </w:p>
          <w:p w:rsidR="00980421" w:rsidRPr="008A0138" w:rsidRDefault="00980421" w:rsidP="00C83BF9">
            <w:pPr>
              <w:pStyle w:val="TableText0"/>
              <w:keepNext w:val="0"/>
              <w:rPr>
                <w:rFonts w:cs="Arial"/>
                <w:szCs w:val="20"/>
              </w:rPr>
            </w:pPr>
            <w:r w:rsidRPr="008A0138">
              <w:rPr>
                <w:rFonts w:cs="Arial"/>
                <w:szCs w:val="20"/>
              </w:rPr>
              <w:t>AND</w:t>
            </w:r>
          </w:p>
          <w:p w:rsidR="00542C2D" w:rsidRPr="008A0138" w:rsidRDefault="00980421" w:rsidP="00C83BF9">
            <w:pPr>
              <w:pStyle w:val="Tabletext"/>
              <w:rPr>
                <w:rFonts w:cs="Arial"/>
                <w:szCs w:val="20"/>
              </w:rPr>
            </w:pPr>
            <w:r w:rsidRPr="008A0138">
              <w:rPr>
                <w:rFonts w:cs="Arial"/>
                <w:szCs w:val="20"/>
              </w:rPr>
              <w:t xml:space="preserve">The condition must </w:t>
            </w:r>
            <w:r w:rsidRPr="008A0138">
              <w:rPr>
                <w:rFonts w:cs="Arial"/>
                <w:strike/>
                <w:szCs w:val="20"/>
              </w:rPr>
              <w:t>not</w:t>
            </w:r>
            <w:r w:rsidRPr="008A0138">
              <w:rPr>
                <w:rFonts w:cs="Arial"/>
                <w:szCs w:val="20"/>
              </w:rPr>
              <w:t xml:space="preserve"> have evidence </w:t>
            </w:r>
            <w:r w:rsidRPr="008A0138">
              <w:rPr>
                <w:rFonts w:cs="Arial"/>
                <w:strike/>
                <w:szCs w:val="20"/>
              </w:rPr>
              <w:t>of</w:t>
            </w:r>
            <w:r w:rsidRPr="008A0138">
              <w:rPr>
                <w:rFonts w:cs="Arial"/>
                <w:szCs w:val="20"/>
              </w:rPr>
              <w:t xml:space="preserve"> </w:t>
            </w:r>
            <w:r w:rsidR="00AA1599" w:rsidRPr="008A0138">
              <w:rPr>
                <w:rFonts w:cs="Arial"/>
                <w:i/>
                <w:szCs w:val="20"/>
              </w:rPr>
              <w:t>that</w:t>
            </w:r>
            <w:r w:rsidR="00AA1599" w:rsidRPr="008A0138">
              <w:rPr>
                <w:rFonts w:cs="Arial"/>
                <w:szCs w:val="20"/>
              </w:rPr>
              <w:t xml:space="preserve"> </w:t>
            </w:r>
            <w:r w:rsidRPr="008A0138">
              <w:rPr>
                <w:rFonts w:cs="Arial"/>
                <w:szCs w:val="20"/>
              </w:rPr>
              <w:t>an activating epidermal growth factor (</w:t>
            </w:r>
            <w:r w:rsidR="00186CC6" w:rsidRPr="008A0138">
              <w:rPr>
                <w:rFonts w:cs="Arial"/>
                <w:szCs w:val="20"/>
              </w:rPr>
              <w:t>EGFR</w:t>
            </w:r>
            <w:r w:rsidRPr="008A0138">
              <w:rPr>
                <w:rFonts w:cs="Arial"/>
                <w:szCs w:val="20"/>
              </w:rPr>
              <w:t xml:space="preserve">) gene </w:t>
            </w:r>
            <w:r w:rsidR="00AA1599" w:rsidRPr="008A0138">
              <w:rPr>
                <w:rFonts w:cs="Arial"/>
                <w:i/>
                <w:szCs w:val="20"/>
              </w:rPr>
              <w:t>rearrangement and</w:t>
            </w:r>
            <w:r w:rsidR="00AA1599" w:rsidRPr="008A0138">
              <w:rPr>
                <w:rFonts w:cs="Arial"/>
                <w:szCs w:val="20"/>
              </w:rPr>
              <w:t xml:space="preserve"> </w:t>
            </w:r>
            <w:r w:rsidRPr="008A0138">
              <w:rPr>
                <w:rFonts w:cs="Arial"/>
                <w:strike/>
                <w:szCs w:val="20"/>
              </w:rPr>
              <w:t>or</w:t>
            </w:r>
            <w:r w:rsidRPr="008A0138">
              <w:rPr>
                <w:rFonts w:cs="Arial"/>
                <w:szCs w:val="20"/>
              </w:rPr>
              <w:t xml:space="preserve"> an anaplastic lymphoma kinase (ALK) gene rearrangement in tumour material.</w:t>
            </w:r>
          </w:p>
          <w:p w:rsidR="00911C7A" w:rsidRPr="008A0138" w:rsidRDefault="00911C7A" w:rsidP="00C83BF9">
            <w:pPr>
              <w:pStyle w:val="Tabletext"/>
              <w:rPr>
                <w:rFonts w:cs="Arial"/>
                <w:i/>
                <w:szCs w:val="20"/>
              </w:rPr>
            </w:pPr>
            <w:r w:rsidRPr="008A0138">
              <w:rPr>
                <w:rFonts w:cs="Arial"/>
                <w:i/>
                <w:szCs w:val="20"/>
              </w:rPr>
              <w:t>AND</w:t>
            </w:r>
          </w:p>
          <w:p w:rsidR="00911C7A" w:rsidRPr="008A0138" w:rsidRDefault="00911C7A" w:rsidP="00C83BF9">
            <w:pPr>
              <w:pStyle w:val="Tabletext"/>
              <w:rPr>
                <w:szCs w:val="20"/>
              </w:rPr>
            </w:pPr>
            <w:r w:rsidRPr="008A0138">
              <w:rPr>
                <w:rFonts w:cs="Arial"/>
                <w:i/>
                <w:szCs w:val="20"/>
              </w:rPr>
              <w:t>The treatment must be in combination with nivolumab/ ipilimumab and platinum-based chemotherapy</w:t>
            </w:r>
          </w:p>
        </w:tc>
      </w:tr>
      <w:tr w:rsidR="00980421" w:rsidRPr="008A0138" w:rsidTr="008A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17" w:type="pct"/>
            <w:tcBorders>
              <w:top w:val="single" w:sz="4" w:space="0" w:color="auto"/>
              <w:left w:val="single" w:sz="4" w:space="0" w:color="auto"/>
              <w:bottom w:val="single" w:sz="4" w:space="0" w:color="auto"/>
              <w:right w:val="single" w:sz="4" w:space="0" w:color="auto"/>
            </w:tcBorders>
            <w:hideMark/>
          </w:tcPr>
          <w:p w:rsidR="00980421" w:rsidRPr="008A0138" w:rsidRDefault="00980421" w:rsidP="00C83BF9">
            <w:pPr>
              <w:pStyle w:val="TableText0"/>
              <w:keepNext w:val="0"/>
              <w:rPr>
                <w:szCs w:val="20"/>
              </w:rPr>
            </w:pPr>
            <w:r w:rsidRPr="008A0138">
              <w:rPr>
                <w:szCs w:val="20"/>
              </w:rPr>
              <w:t>Treatment phase:</w:t>
            </w:r>
          </w:p>
        </w:tc>
        <w:tc>
          <w:tcPr>
            <w:tcW w:w="3883" w:type="pct"/>
            <w:gridSpan w:val="6"/>
            <w:tcBorders>
              <w:top w:val="single" w:sz="4" w:space="0" w:color="auto"/>
              <w:left w:val="single" w:sz="4" w:space="0" w:color="auto"/>
              <w:bottom w:val="single" w:sz="4" w:space="0" w:color="auto"/>
              <w:right w:val="single" w:sz="4" w:space="0" w:color="auto"/>
            </w:tcBorders>
          </w:tcPr>
          <w:p w:rsidR="00980421" w:rsidRPr="008A0138" w:rsidRDefault="00980421" w:rsidP="00C83BF9">
            <w:pPr>
              <w:pStyle w:val="Tabletext"/>
              <w:rPr>
                <w:szCs w:val="20"/>
              </w:rPr>
            </w:pPr>
            <w:r w:rsidRPr="008A0138">
              <w:rPr>
                <w:szCs w:val="20"/>
              </w:rPr>
              <w:t>Continuing treatment</w:t>
            </w:r>
          </w:p>
        </w:tc>
      </w:tr>
      <w:tr w:rsidR="00980421" w:rsidRPr="008A0138" w:rsidTr="008A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17" w:type="pct"/>
            <w:tcBorders>
              <w:top w:val="single" w:sz="4" w:space="0" w:color="auto"/>
              <w:left w:val="single" w:sz="4" w:space="0" w:color="auto"/>
              <w:bottom w:val="single" w:sz="4" w:space="0" w:color="auto"/>
              <w:right w:val="single" w:sz="4" w:space="0" w:color="auto"/>
            </w:tcBorders>
            <w:hideMark/>
          </w:tcPr>
          <w:p w:rsidR="00980421" w:rsidRPr="008A0138" w:rsidRDefault="00980421" w:rsidP="00C83BF9">
            <w:pPr>
              <w:pStyle w:val="TableText0"/>
              <w:keepNext w:val="0"/>
              <w:rPr>
                <w:szCs w:val="20"/>
              </w:rPr>
            </w:pPr>
            <w:r w:rsidRPr="008A0138">
              <w:rPr>
                <w:szCs w:val="20"/>
              </w:rPr>
              <w:t>Restriction:</w:t>
            </w:r>
          </w:p>
        </w:tc>
        <w:tc>
          <w:tcPr>
            <w:tcW w:w="3883" w:type="pct"/>
            <w:gridSpan w:val="6"/>
            <w:tcBorders>
              <w:top w:val="single" w:sz="4" w:space="0" w:color="auto"/>
              <w:left w:val="single" w:sz="4" w:space="0" w:color="auto"/>
              <w:bottom w:val="single" w:sz="4" w:space="0" w:color="auto"/>
              <w:right w:val="single" w:sz="4" w:space="0" w:color="auto"/>
            </w:tcBorders>
          </w:tcPr>
          <w:p w:rsidR="00980421" w:rsidRPr="008A0138" w:rsidRDefault="00980421" w:rsidP="00C83BF9">
            <w:pPr>
              <w:pStyle w:val="Tabletext"/>
              <w:rPr>
                <w:szCs w:val="20"/>
              </w:rPr>
            </w:pPr>
            <w:r w:rsidRPr="008A0138">
              <w:rPr>
                <w:szCs w:val="20"/>
              </w:rPr>
              <w:t>Streamlined</w:t>
            </w:r>
          </w:p>
        </w:tc>
      </w:tr>
      <w:tr w:rsidR="00980421" w:rsidRPr="008A0138" w:rsidTr="008A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17" w:type="pct"/>
            <w:tcBorders>
              <w:top w:val="single" w:sz="4" w:space="0" w:color="auto"/>
              <w:left w:val="single" w:sz="4" w:space="0" w:color="auto"/>
              <w:bottom w:val="single" w:sz="4" w:space="0" w:color="auto"/>
              <w:right w:val="single" w:sz="4" w:space="0" w:color="auto"/>
            </w:tcBorders>
            <w:hideMark/>
          </w:tcPr>
          <w:p w:rsidR="00980421" w:rsidRPr="008A0138" w:rsidRDefault="00980421" w:rsidP="00C83BF9">
            <w:pPr>
              <w:pStyle w:val="TableText0"/>
              <w:keepNext w:val="0"/>
              <w:rPr>
                <w:strike/>
                <w:szCs w:val="20"/>
              </w:rPr>
            </w:pPr>
            <w:r w:rsidRPr="008A0138">
              <w:rPr>
                <w:strike/>
                <w:szCs w:val="20"/>
              </w:rPr>
              <w:t>Treatment criteria:</w:t>
            </w:r>
          </w:p>
        </w:tc>
        <w:tc>
          <w:tcPr>
            <w:tcW w:w="3883" w:type="pct"/>
            <w:gridSpan w:val="6"/>
            <w:tcBorders>
              <w:top w:val="single" w:sz="4" w:space="0" w:color="auto"/>
              <w:left w:val="single" w:sz="4" w:space="0" w:color="auto"/>
              <w:bottom w:val="single" w:sz="4" w:space="0" w:color="auto"/>
              <w:right w:val="single" w:sz="4" w:space="0" w:color="auto"/>
            </w:tcBorders>
          </w:tcPr>
          <w:p w:rsidR="00980421" w:rsidRPr="008A0138" w:rsidRDefault="00980421" w:rsidP="00C83BF9">
            <w:pPr>
              <w:pStyle w:val="Tabletext"/>
              <w:rPr>
                <w:strike/>
                <w:szCs w:val="20"/>
              </w:rPr>
            </w:pPr>
            <w:r w:rsidRPr="008A0138">
              <w:rPr>
                <w:strike/>
                <w:szCs w:val="20"/>
              </w:rPr>
              <w:t>Patient must be undergoing combination treatment with nivolumab/ipilimumab.</w:t>
            </w:r>
          </w:p>
        </w:tc>
      </w:tr>
      <w:tr w:rsidR="00980421" w:rsidRPr="008A0138" w:rsidTr="008A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17" w:type="pct"/>
            <w:tcBorders>
              <w:top w:val="single" w:sz="4" w:space="0" w:color="auto"/>
              <w:left w:val="single" w:sz="4" w:space="0" w:color="auto"/>
              <w:bottom w:val="single" w:sz="4" w:space="0" w:color="auto"/>
              <w:right w:val="single" w:sz="4" w:space="0" w:color="auto"/>
            </w:tcBorders>
            <w:hideMark/>
          </w:tcPr>
          <w:p w:rsidR="00980421" w:rsidRPr="008A0138" w:rsidRDefault="00980421" w:rsidP="00C83BF9">
            <w:pPr>
              <w:pStyle w:val="TableText0"/>
              <w:keepNext w:val="0"/>
              <w:rPr>
                <w:szCs w:val="20"/>
              </w:rPr>
            </w:pPr>
            <w:r w:rsidRPr="008A0138">
              <w:rPr>
                <w:szCs w:val="20"/>
              </w:rPr>
              <w:t>Clinical criteria:</w:t>
            </w:r>
          </w:p>
        </w:tc>
        <w:tc>
          <w:tcPr>
            <w:tcW w:w="3883" w:type="pct"/>
            <w:gridSpan w:val="6"/>
            <w:tcBorders>
              <w:top w:val="single" w:sz="4" w:space="0" w:color="auto"/>
              <w:left w:val="single" w:sz="4" w:space="0" w:color="auto"/>
              <w:bottom w:val="single" w:sz="4" w:space="0" w:color="auto"/>
              <w:right w:val="single" w:sz="4" w:space="0" w:color="auto"/>
            </w:tcBorders>
          </w:tcPr>
          <w:p w:rsidR="00980421" w:rsidRPr="008A0138" w:rsidRDefault="00980421" w:rsidP="00C83BF9">
            <w:pPr>
              <w:pStyle w:val="TableText0"/>
              <w:keepNext w:val="0"/>
              <w:rPr>
                <w:rFonts w:cs="Arial"/>
                <w:szCs w:val="20"/>
              </w:rPr>
            </w:pPr>
            <w:r w:rsidRPr="008A0138">
              <w:rPr>
                <w:rFonts w:cs="Arial"/>
                <w:szCs w:val="20"/>
              </w:rPr>
              <w:t>Patient must have previously received PBS-subsidised treatment with this drug in this line of treatment,</w:t>
            </w:r>
          </w:p>
          <w:p w:rsidR="00980421" w:rsidRPr="008A0138" w:rsidRDefault="00980421" w:rsidP="00C83BF9">
            <w:pPr>
              <w:pStyle w:val="TableText0"/>
              <w:keepNext w:val="0"/>
              <w:rPr>
                <w:rFonts w:cs="Arial"/>
                <w:szCs w:val="20"/>
              </w:rPr>
            </w:pPr>
            <w:r w:rsidRPr="008A0138">
              <w:rPr>
                <w:rFonts w:cs="Arial"/>
                <w:szCs w:val="20"/>
              </w:rPr>
              <w:t>AND</w:t>
            </w:r>
          </w:p>
          <w:p w:rsidR="00980421" w:rsidRPr="008A0138" w:rsidRDefault="00980421" w:rsidP="00C83BF9">
            <w:pPr>
              <w:pStyle w:val="TableText0"/>
              <w:keepNext w:val="0"/>
              <w:rPr>
                <w:rFonts w:cs="Arial"/>
                <w:strike/>
                <w:szCs w:val="20"/>
              </w:rPr>
            </w:pPr>
            <w:r w:rsidRPr="008A0138">
              <w:rPr>
                <w:rFonts w:cs="Arial"/>
                <w:strike/>
                <w:szCs w:val="20"/>
              </w:rPr>
              <w:t>Patient must have stable or responding disease,</w:t>
            </w:r>
            <w:r w:rsidR="00911C7A" w:rsidRPr="008A0138">
              <w:rPr>
                <w:rFonts w:cs="Arial"/>
                <w:strike/>
                <w:szCs w:val="20"/>
              </w:rPr>
              <w:t xml:space="preserve"> </w:t>
            </w:r>
            <w:r w:rsidR="00911C7A" w:rsidRPr="008A0138">
              <w:rPr>
                <w:rFonts w:cs="Arial"/>
                <w:i/>
                <w:szCs w:val="20"/>
              </w:rPr>
              <w:t>Patient must not have developed disease progression while receiving PBS-subsidised treatment with this drug for this condition</w:t>
            </w:r>
          </w:p>
          <w:p w:rsidR="00980421" w:rsidRPr="008A0138" w:rsidRDefault="00980421" w:rsidP="00C83BF9">
            <w:pPr>
              <w:pStyle w:val="TableText0"/>
              <w:keepNext w:val="0"/>
              <w:rPr>
                <w:rFonts w:cs="Arial"/>
                <w:szCs w:val="20"/>
              </w:rPr>
            </w:pPr>
            <w:r w:rsidRPr="008A0138">
              <w:rPr>
                <w:rFonts w:cs="Arial"/>
                <w:szCs w:val="20"/>
              </w:rPr>
              <w:t xml:space="preserve">AND </w:t>
            </w:r>
          </w:p>
          <w:p w:rsidR="00911C7A" w:rsidRPr="008A0138" w:rsidRDefault="00911C7A" w:rsidP="00C83BF9">
            <w:pPr>
              <w:pStyle w:val="TableText0"/>
              <w:keepNext w:val="0"/>
              <w:rPr>
                <w:rFonts w:cs="Arial"/>
                <w:i/>
                <w:szCs w:val="20"/>
              </w:rPr>
            </w:pPr>
            <w:r w:rsidRPr="008A0138">
              <w:rPr>
                <w:rFonts w:cs="Arial"/>
                <w:i/>
                <w:szCs w:val="20"/>
              </w:rPr>
              <w:t>The treatment must be in combination with nivolumab/ ipilimumab</w:t>
            </w:r>
          </w:p>
          <w:p w:rsidR="00980421" w:rsidRPr="008A0138" w:rsidRDefault="00E2654C" w:rsidP="00C83BF9">
            <w:pPr>
              <w:pStyle w:val="Tabletext"/>
              <w:rPr>
                <w:rFonts w:cs="Arial"/>
                <w:szCs w:val="20"/>
              </w:rPr>
            </w:pPr>
            <w:r w:rsidRPr="008A0138">
              <w:rPr>
                <w:rFonts w:cs="Arial"/>
                <w:szCs w:val="20"/>
              </w:rPr>
              <w:t>Nivolumab</w:t>
            </w:r>
            <w:r w:rsidR="00911C7A" w:rsidRPr="008A0138">
              <w:rPr>
                <w:rFonts w:cs="Arial"/>
                <w:szCs w:val="20"/>
              </w:rPr>
              <w:t>/ ipilimumab</w:t>
            </w:r>
            <w:r w:rsidRPr="008A0138">
              <w:rPr>
                <w:rFonts w:cs="Arial"/>
                <w:szCs w:val="20"/>
              </w:rPr>
              <w:t xml:space="preserve">: </w:t>
            </w:r>
            <w:r w:rsidR="00980421" w:rsidRPr="008A0138">
              <w:rPr>
                <w:rFonts w:cs="Arial"/>
                <w:szCs w:val="20"/>
              </w:rPr>
              <w:t xml:space="preserve">The treatment must not exceed </w:t>
            </w:r>
            <w:r w:rsidR="00980421" w:rsidRPr="008A0138">
              <w:rPr>
                <w:rFonts w:cs="Arial"/>
                <w:strike/>
                <w:szCs w:val="20"/>
              </w:rPr>
              <w:t>a total of 53 cycles or up to</w:t>
            </w:r>
            <w:r w:rsidR="00980421" w:rsidRPr="008A0138">
              <w:rPr>
                <w:rFonts w:cs="Arial"/>
                <w:szCs w:val="20"/>
              </w:rPr>
              <w:t xml:space="preserve"> 24 months </w:t>
            </w:r>
            <w:r w:rsidR="00911C7A" w:rsidRPr="008A0138">
              <w:rPr>
                <w:rFonts w:cs="Arial"/>
                <w:i/>
                <w:szCs w:val="20"/>
              </w:rPr>
              <w:t>in total, measured from the initial dose, or, must not extend beyond disease progression, whichever comes first</w:t>
            </w:r>
            <w:r w:rsidR="00911C7A" w:rsidRPr="008A0138">
              <w:rPr>
                <w:rFonts w:cs="Arial"/>
                <w:szCs w:val="20"/>
              </w:rPr>
              <w:t xml:space="preserve"> </w:t>
            </w:r>
            <w:r w:rsidR="00980421" w:rsidRPr="008A0138">
              <w:rPr>
                <w:rFonts w:cs="Arial"/>
                <w:strike/>
                <w:szCs w:val="20"/>
              </w:rPr>
              <w:t>under this restriction.</w:t>
            </w:r>
          </w:p>
          <w:p w:rsidR="00E2654C" w:rsidRPr="008A0138" w:rsidRDefault="00E2654C" w:rsidP="00C83BF9">
            <w:pPr>
              <w:pStyle w:val="Tabletext"/>
              <w:rPr>
                <w:szCs w:val="20"/>
              </w:rPr>
            </w:pPr>
          </w:p>
        </w:tc>
      </w:tr>
      <w:tr w:rsidR="00980421" w:rsidRPr="008A0138" w:rsidTr="008A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17" w:type="pct"/>
            <w:tcBorders>
              <w:top w:val="single" w:sz="4" w:space="0" w:color="auto"/>
              <w:left w:val="single" w:sz="4" w:space="0" w:color="auto"/>
              <w:bottom w:val="single" w:sz="4" w:space="0" w:color="auto"/>
              <w:right w:val="single" w:sz="4" w:space="0" w:color="auto"/>
            </w:tcBorders>
            <w:hideMark/>
          </w:tcPr>
          <w:p w:rsidR="00980421" w:rsidRPr="008A0138" w:rsidRDefault="00980421" w:rsidP="00C83BF9">
            <w:pPr>
              <w:pStyle w:val="TableText0"/>
              <w:keepNext w:val="0"/>
              <w:rPr>
                <w:szCs w:val="20"/>
              </w:rPr>
            </w:pPr>
            <w:r w:rsidRPr="008A0138">
              <w:rPr>
                <w:szCs w:val="20"/>
              </w:rPr>
              <w:t>Treatment phase:</w:t>
            </w:r>
          </w:p>
        </w:tc>
        <w:tc>
          <w:tcPr>
            <w:tcW w:w="3883" w:type="pct"/>
            <w:gridSpan w:val="6"/>
            <w:tcBorders>
              <w:top w:val="single" w:sz="4" w:space="0" w:color="auto"/>
              <w:left w:val="single" w:sz="4" w:space="0" w:color="auto"/>
              <w:bottom w:val="single" w:sz="4" w:space="0" w:color="auto"/>
              <w:right w:val="single" w:sz="4" w:space="0" w:color="auto"/>
            </w:tcBorders>
          </w:tcPr>
          <w:p w:rsidR="00980421" w:rsidRPr="008A0138" w:rsidRDefault="00980421" w:rsidP="00C83BF9">
            <w:pPr>
              <w:pStyle w:val="Tabletext"/>
              <w:rPr>
                <w:szCs w:val="20"/>
              </w:rPr>
            </w:pPr>
            <w:r w:rsidRPr="008A0138">
              <w:rPr>
                <w:szCs w:val="20"/>
              </w:rPr>
              <w:t>Grandfathering treatment</w:t>
            </w:r>
          </w:p>
        </w:tc>
      </w:tr>
      <w:tr w:rsidR="00980421" w:rsidRPr="008A0138" w:rsidTr="008A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17" w:type="pct"/>
            <w:tcBorders>
              <w:top w:val="single" w:sz="4" w:space="0" w:color="auto"/>
              <w:left w:val="single" w:sz="4" w:space="0" w:color="auto"/>
              <w:bottom w:val="single" w:sz="4" w:space="0" w:color="auto"/>
              <w:right w:val="single" w:sz="4" w:space="0" w:color="auto"/>
            </w:tcBorders>
            <w:hideMark/>
          </w:tcPr>
          <w:p w:rsidR="00980421" w:rsidRPr="008A0138" w:rsidRDefault="00980421" w:rsidP="00C83BF9">
            <w:pPr>
              <w:pStyle w:val="TableText0"/>
              <w:keepNext w:val="0"/>
              <w:rPr>
                <w:szCs w:val="20"/>
              </w:rPr>
            </w:pPr>
            <w:r w:rsidRPr="008A0138">
              <w:rPr>
                <w:szCs w:val="20"/>
              </w:rPr>
              <w:t>Restriction:</w:t>
            </w:r>
          </w:p>
        </w:tc>
        <w:tc>
          <w:tcPr>
            <w:tcW w:w="3883" w:type="pct"/>
            <w:gridSpan w:val="6"/>
            <w:tcBorders>
              <w:top w:val="single" w:sz="4" w:space="0" w:color="auto"/>
              <w:left w:val="single" w:sz="4" w:space="0" w:color="auto"/>
              <w:bottom w:val="single" w:sz="4" w:space="0" w:color="auto"/>
              <w:right w:val="single" w:sz="4" w:space="0" w:color="auto"/>
            </w:tcBorders>
          </w:tcPr>
          <w:p w:rsidR="00980421" w:rsidRPr="008A0138" w:rsidRDefault="00980421" w:rsidP="00C83BF9">
            <w:pPr>
              <w:pStyle w:val="Tabletext"/>
              <w:rPr>
                <w:szCs w:val="20"/>
              </w:rPr>
            </w:pPr>
            <w:r w:rsidRPr="008A0138">
              <w:rPr>
                <w:szCs w:val="20"/>
              </w:rPr>
              <w:t>Streamlined</w:t>
            </w:r>
          </w:p>
        </w:tc>
      </w:tr>
      <w:tr w:rsidR="00980421" w:rsidRPr="008A0138" w:rsidTr="008A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17" w:type="pct"/>
            <w:tcBorders>
              <w:top w:val="single" w:sz="4" w:space="0" w:color="auto"/>
              <w:left w:val="single" w:sz="4" w:space="0" w:color="auto"/>
              <w:bottom w:val="single" w:sz="4" w:space="0" w:color="auto"/>
              <w:right w:val="single" w:sz="4" w:space="0" w:color="auto"/>
            </w:tcBorders>
            <w:hideMark/>
          </w:tcPr>
          <w:p w:rsidR="00980421" w:rsidRPr="008A0138" w:rsidRDefault="00980421" w:rsidP="00C83BF9">
            <w:pPr>
              <w:pStyle w:val="TableText0"/>
              <w:keepNext w:val="0"/>
              <w:rPr>
                <w:szCs w:val="20"/>
              </w:rPr>
            </w:pPr>
            <w:r w:rsidRPr="008A0138">
              <w:rPr>
                <w:szCs w:val="20"/>
              </w:rPr>
              <w:t>Treatment criteria:</w:t>
            </w:r>
          </w:p>
        </w:tc>
        <w:tc>
          <w:tcPr>
            <w:tcW w:w="3883" w:type="pct"/>
            <w:gridSpan w:val="6"/>
            <w:tcBorders>
              <w:top w:val="single" w:sz="4" w:space="0" w:color="auto"/>
              <w:left w:val="single" w:sz="4" w:space="0" w:color="auto"/>
              <w:bottom w:val="single" w:sz="4" w:space="0" w:color="auto"/>
              <w:right w:val="single" w:sz="4" w:space="0" w:color="auto"/>
            </w:tcBorders>
          </w:tcPr>
          <w:p w:rsidR="00980421" w:rsidRPr="008A0138" w:rsidRDefault="00980421" w:rsidP="00C83BF9">
            <w:pPr>
              <w:pStyle w:val="Tabletext"/>
              <w:rPr>
                <w:szCs w:val="20"/>
              </w:rPr>
            </w:pPr>
            <w:r w:rsidRPr="008A0138">
              <w:rPr>
                <w:szCs w:val="20"/>
              </w:rPr>
              <w:t>Patient must be undergoing combination treatment with nivolumab/ipilimumab.</w:t>
            </w:r>
          </w:p>
        </w:tc>
      </w:tr>
      <w:tr w:rsidR="00980421" w:rsidRPr="008A0138" w:rsidTr="008A0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117" w:type="pct"/>
            <w:tcBorders>
              <w:top w:val="single" w:sz="4" w:space="0" w:color="auto"/>
              <w:left w:val="single" w:sz="4" w:space="0" w:color="auto"/>
              <w:bottom w:val="single" w:sz="4" w:space="0" w:color="auto"/>
              <w:right w:val="single" w:sz="4" w:space="0" w:color="auto"/>
            </w:tcBorders>
            <w:hideMark/>
          </w:tcPr>
          <w:p w:rsidR="00980421" w:rsidRPr="008A0138" w:rsidRDefault="00980421" w:rsidP="008D30E9">
            <w:pPr>
              <w:pStyle w:val="TableText0"/>
              <w:rPr>
                <w:szCs w:val="20"/>
              </w:rPr>
            </w:pPr>
            <w:r w:rsidRPr="008A0138">
              <w:rPr>
                <w:szCs w:val="20"/>
              </w:rPr>
              <w:lastRenderedPageBreak/>
              <w:t>Clinical criteria:</w:t>
            </w:r>
          </w:p>
        </w:tc>
        <w:tc>
          <w:tcPr>
            <w:tcW w:w="3883" w:type="pct"/>
            <w:gridSpan w:val="6"/>
            <w:tcBorders>
              <w:top w:val="single" w:sz="4" w:space="0" w:color="auto"/>
              <w:left w:val="single" w:sz="4" w:space="0" w:color="auto"/>
              <w:bottom w:val="single" w:sz="4" w:space="0" w:color="auto"/>
              <w:right w:val="single" w:sz="4" w:space="0" w:color="auto"/>
            </w:tcBorders>
          </w:tcPr>
          <w:p w:rsidR="00980421" w:rsidRPr="008A0138" w:rsidRDefault="00980421" w:rsidP="00980421">
            <w:pPr>
              <w:pStyle w:val="TableText0"/>
              <w:rPr>
                <w:rFonts w:cs="Arial"/>
                <w:szCs w:val="20"/>
              </w:rPr>
            </w:pPr>
            <w:r w:rsidRPr="008A0138">
              <w:rPr>
                <w:rFonts w:cs="Arial"/>
                <w:szCs w:val="20"/>
              </w:rPr>
              <w:t xml:space="preserve">Patient must have received </w:t>
            </w:r>
            <w:r w:rsidR="00911C7A" w:rsidRPr="008A0138">
              <w:rPr>
                <w:rFonts w:cs="Arial"/>
                <w:i/>
                <w:szCs w:val="20"/>
              </w:rPr>
              <w:t>non-PBS subsidised</w:t>
            </w:r>
            <w:r w:rsidR="00911C7A" w:rsidRPr="008A0138">
              <w:rPr>
                <w:rFonts w:cs="Arial"/>
                <w:szCs w:val="20"/>
              </w:rPr>
              <w:t xml:space="preserve"> </w:t>
            </w:r>
            <w:r w:rsidRPr="008A0138">
              <w:rPr>
                <w:rFonts w:cs="Arial"/>
                <w:szCs w:val="20"/>
              </w:rPr>
              <w:t>treatment with this drug</w:t>
            </w:r>
            <w:r w:rsidR="00911C7A" w:rsidRPr="008A0138">
              <w:rPr>
                <w:rFonts w:cs="Arial"/>
                <w:szCs w:val="20"/>
              </w:rPr>
              <w:t xml:space="preserve"> </w:t>
            </w:r>
            <w:r w:rsidR="00911C7A" w:rsidRPr="008A0138">
              <w:rPr>
                <w:rFonts w:cs="Arial"/>
                <w:i/>
                <w:szCs w:val="20"/>
              </w:rPr>
              <w:t>as first-line drug therapy</w:t>
            </w:r>
            <w:r w:rsidR="00911C7A" w:rsidRPr="008A0138">
              <w:rPr>
                <w:rFonts w:cs="Arial"/>
                <w:szCs w:val="20"/>
              </w:rPr>
              <w:t xml:space="preserve"> for this </w:t>
            </w:r>
            <w:r w:rsidR="00911C7A" w:rsidRPr="008A0138">
              <w:rPr>
                <w:rFonts w:cs="Arial"/>
                <w:i/>
                <w:szCs w:val="20"/>
              </w:rPr>
              <w:t>PBS indication</w:t>
            </w:r>
            <w:r w:rsidR="00911C7A" w:rsidRPr="008A0138">
              <w:rPr>
                <w:rFonts w:cs="Arial"/>
                <w:szCs w:val="20"/>
              </w:rPr>
              <w:t xml:space="preserve"> </w:t>
            </w:r>
            <w:r w:rsidRPr="008A0138">
              <w:rPr>
                <w:rFonts w:cs="Arial"/>
                <w:strike/>
                <w:szCs w:val="20"/>
              </w:rPr>
              <w:t>condition</w:t>
            </w:r>
            <w:r w:rsidRPr="008A0138">
              <w:rPr>
                <w:rFonts w:cs="Arial"/>
                <w:szCs w:val="20"/>
              </w:rPr>
              <w:t xml:space="preserve"> prior to [PBS listing date],</w:t>
            </w:r>
          </w:p>
          <w:p w:rsidR="00980421" w:rsidRPr="008A0138" w:rsidRDefault="00980421" w:rsidP="00980421">
            <w:pPr>
              <w:pStyle w:val="TableText0"/>
              <w:rPr>
                <w:rFonts w:cs="Arial"/>
                <w:szCs w:val="20"/>
              </w:rPr>
            </w:pPr>
            <w:r w:rsidRPr="008A0138">
              <w:rPr>
                <w:rFonts w:cs="Arial"/>
                <w:szCs w:val="20"/>
              </w:rPr>
              <w:t>AND</w:t>
            </w:r>
          </w:p>
          <w:p w:rsidR="00980421" w:rsidRPr="008A0138" w:rsidRDefault="00980421" w:rsidP="00980421">
            <w:pPr>
              <w:pStyle w:val="TableText0"/>
              <w:rPr>
                <w:rFonts w:cs="Arial"/>
                <w:szCs w:val="20"/>
              </w:rPr>
            </w:pPr>
            <w:r w:rsidRPr="008A0138">
              <w:rPr>
                <w:rFonts w:cs="Arial"/>
                <w:strike/>
                <w:szCs w:val="20"/>
              </w:rPr>
              <w:t>Patients must have stable or responding disease</w:t>
            </w:r>
            <w:r w:rsidRPr="008A0138">
              <w:rPr>
                <w:rFonts w:cs="Arial"/>
                <w:szCs w:val="20"/>
              </w:rPr>
              <w:t>,</w:t>
            </w:r>
            <w:r w:rsidR="00911C7A" w:rsidRPr="008A0138">
              <w:rPr>
                <w:rFonts w:cs="Arial"/>
                <w:szCs w:val="20"/>
              </w:rPr>
              <w:t xml:space="preserve"> </w:t>
            </w:r>
            <w:r w:rsidR="00911C7A" w:rsidRPr="008A0138">
              <w:rPr>
                <w:rFonts w:cs="Arial"/>
                <w:i/>
                <w:szCs w:val="20"/>
              </w:rPr>
              <w:t>Patient must not have developed disease progression while receiving treatment with this drug for this condition</w:t>
            </w:r>
          </w:p>
          <w:p w:rsidR="00980421" w:rsidRPr="008A0138" w:rsidRDefault="00980421" w:rsidP="00980421">
            <w:pPr>
              <w:pStyle w:val="TableText0"/>
              <w:rPr>
                <w:rFonts w:cs="Arial"/>
                <w:szCs w:val="20"/>
              </w:rPr>
            </w:pPr>
            <w:r w:rsidRPr="008A0138">
              <w:rPr>
                <w:rFonts w:cs="Arial"/>
                <w:szCs w:val="20"/>
              </w:rPr>
              <w:t xml:space="preserve">AND </w:t>
            </w:r>
          </w:p>
          <w:p w:rsidR="00980421" w:rsidRPr="008A0138" w:rsidRDefault="00980421" w:rsidP="00980421">
            <w:pPr>
              <w:pStyle w:val="TableText0"/>
              <w:rPr>
                <w:rFonts w:cs="Arial"/>
                <w:i/>
                <w:szCs w:val="20"/>
              </w:rPr>
            </w:pPr>
            <w:r w:rsidRPr="008A0138">
              <w:rPr>
                <w:rFonts w:cs="Arial"/>
                <w:szCs w:val="20"/>
              </w:rPr>
              <w:t>Patient must have a WHO performance status of 0 or 1</w:t>
            </w:r>
            <w:r w:rsidR="00911C7A" w:rsidRPr="008A0138">
              <w:rPr>
                <w:rFonts w:cs="Arial"/>
                <w:szCs w:val="20"/>
              </w:rPr>
              <w:t xml:space="preserve"> </w:t>
            </w:r>
            <w:r w:rsidR="00911C7A" w:rsidRPr="008A0138">
              <w:rPr>
                <w:rFonts w:cs="Arial"/>
                <w:i/>
                <w:szCs w:val="20"/>
              </w:rPr>
              <w:t>prior to initiation of non-PBS subsidised treatment with this drug for this condition</w:t>
            </w:r>
          </w:p>
          <w:p w:rsidR="0050516D" w:rsidRPr="008A0138" w:rsidRDefault="0050516D" w:rsidP="00980421">
            <w:pPr>
              <w:pStyle w:val="TableText0"/>
              <w:rPr>
                <w:rFonts w:cs="Arial"/>
                <w:i/>
                <w:szCs w:val="20"/>
              </w:rPr>
            </w:pPr>
            <w:r w:rsidRPr="008A0138">
              <w:rPr>
                <w:rFonts w:cs="Arial"/>
                <w:i/>
                <w:szCs w:val="20"/>
              </w:rPr>
              <w:t>AND</w:t>
            </w:r>
          </w:p>
          <w:p w:rsidR="0050516D" w:rsidRPr="008A0138" w:rsidRDefault="0050516D" w:rsidP="0050516D">
            <w:pPr>
              <w:pStyle w:val="TableText0"/>
              <w:keepNext w:val="0"/>
              <w:rPr>
                <w:rFonts w:cs="Arial"/>
                <w:i/>
                <w:szCs w:val="20"/>
              </w:rPr>
            </w:pPr>
            <w:r w:rsidRPr="008A0138">
              <w:rPr>
                <w:rFonts w:cs="Arial"/>
                <w:i/>
                <w:szCs w:val="20"/>
              </w:rPr>
              <w:t>Patient must not have received prior treatment with a programmed cell death-1 (PD-1) inhibitor or a programmed cell death ligand-1 (PD-L1) inhibitor for non-small cell lung cancer,</w:t>
            </w:r>
          </w:p>
          <w:p w:rsidR="00980421" w:rsidRPr="008A0138" w:rsidRDefault="00980421" w:rsidP="00980421">
            <w:pPr>
              <w:pStyle w:val="TableText0"/>
              <w:rPr>
                <w:rFonts w:cs="Arial"/>
                <w:szCs w:val="20"/>
              </w:rPr>
            </w:pPr>
            <w:r w:rsidRPr="008A0138">
              <w:rPr>
                <w:rFonts w:cs="Arial"/>
                <w:szCs w:val="20"/>
              </w:rPr>
              <w:t>AND</w:t>
            </w:r>
          </w:p>
          <w:p w:rsidR="0050516D" w:rsidRPr="008A0138" w:rsidRDefault="0050516D" w:rsidP="00980421">
            <w:pPr>
              <w:pStyle w:val="TableText0"/>
              <w:rPr>
                <w:rFonts w:cs="Arial"/>
                <w:i/>
                <w:szCs w:val="20"/>
              </w:rPr>
            </w:pPr>
            <w:r w:rsidRPr="008A0138">
              <w:rPr>
                <w:rFonts w:cs="Arial"/>
                <w:i/>
                <w:szCs w:val="20"/>
              </w:rPr>
              <w:t>The condition must have evidence that an activating epidermal growth factor (</w:t>
            </w:r>
            <w:r w:rsidR="00186CC6" w:rsidRPr="008A0138">
              <w:rPr>
                <w:rFonts w:cs="Arial"/>
                <w:i/>
                <w:szCs w:val="20"/>
              </w:rPr>
              <w:t>EGFR</w:t>
            </w:r>
            <w:r w:rsidRPr="008A0138">
              <w:rPr>
                <w:rFonts w:cs="Arial"/>
                <w:i/>
                <w:szCs w:val="20"/>
              </w:rPr>
              <w:t>) gene rearrangement and an anaplastic lymphoma kinase (ALK) gene rearrangement in tumour material</w:t>
            </w:r>
          </w:p>
          <w:p w:rsidR="0050516D" w:rsidRPr="008A0138" w:rsidRDefault="0050516D" w:rsidP="00980421">
            <w:pPr>
              <w:pStyle w:val="TableText0"/>
              <w:rPr>
                <w:rFonts w:cs="Arial"/>
                <w:szCs w:val="20"/>
              </w:rPr>
            </w:pPr>
            <w:r w:rsidRPr="008A0138">
              <w:rPr>
                <w:rFonts w:cs="Arial"/>
                <w:szCs w:val="20"/>
              </w:rPr>
              <w:t>AND</w:t>
            </w:r>
          </w:p>
          <w:p w:rsidR="00980421" w:rsidRPr="008A0138" w:rsidRDefault="00980421" w:rsidP="00980421">
            <w:pPr>
              <w:pStyle w:val="Tabletext"/>
              <w:rPr>
                <w:rFonts w:cs="Arial"/>
                <w:szCs w:val="20"/>
              </w:rPr>
            </w:pPr>
            <w:r w:rsidRPr="008A0138">
              <w:rPr>
                <w:rFonts w:cs="Arial"/>
                <w:strike/>
                <w:szCs w:val="20"/>
              </w:rPr>
              <w:t>The treatment must not exceed a total of 18 cycles or up to 24 months under this restriction</w:t>
            </w:r>
            <w:r w:rsidRPr="008A0138">
              <w:rPr>
                <w:rFonts w:cs="Arial"/>
                <w:szCs w:val="20"/>
              </w:rPr>
              <w:t>.</w:t>
            </w:r>
          </w:p>
          <w:p w:rsidR="0050516D" w:rsidRPr="008A0138" w:rsidRDefault="0050516D" w:rsidP="00980421">
            <w:pPr>
              <w:pStyle w:val="Tabletext"/>
              <w:rPr>
                <w:szCs w:val="20"/>
              </w:rPr>
            </w:pPr>
            <w:r w:rsidRPr="008A0138">
              <w:rPr>
                <w:rFonts w:cs="Arial"/>
                <w:szCs w:val="20"/>
              </w:rPr>
              <w:t xml:space="preserve">Nivolumab/ ipilimumab: The treatment must not exceed </w:t>
            </w:r>
            <w:r w:rsidRPr="008A0138">
              <w:rPr>
                <w:rFonts w:cs="Arial"/>
                <w:strike/>
                <w:szCs w:val="20"/>
              </w:rPr>
              <w:t>a total of 53 cycles or up to</w:t>
            </w:r>
            <w:r w:rsidRPr="008A0138">
              <w:rPr>
                <w:rFonts w:cs="Arial"/>
                <w:szCs w:val="20"/>
              </w:rPr>
              <w:t xml:space="preserve"> 24 months </w:t>
            </w:r>
            <w:r w:rsidRPr="008A0138">
              <w:rPr>
                <w:rFonts w:cs="Arial"/>
                <w:i/>
                <w:szCs w:val="20"/>
              </w:rPr>
              <w:t>in total, measured from the initial dose, or, must not extend beyond disease progression, whichever comes first</w:t>
            </w:r>
            <w:r w:rsidRPr="008A0138">
              <w:rPr>
                <w:rFonts w:cs="Arial"/>
                <w:szCs w:val="20"/>
              </w:rPr>
              <w:t xml:space="preserve"> </w:t>
            </w:r>
            <w:r w:rsidRPr="008A0138">
              <w:rPr>
                <w:rFonts w:cs="Arial"/>
                <w:strike/>
                <w:szCs w:val="20"/>
              </w:rPr>
              <w:t>under this restriction</w:t>
            </w:r>
          </w:p>
        </w:tc>
      </w:tr>
    </w:tbl>
    <w:p w:rsidR="00B60939" w:rsidRPr="0087043D" w:rsidRDefault="00BA515D" w:rsidP="00CA3A67">
      <w:pPr>
        <w:pStyle w:val="TableFigureFooter"/>
        <w:ind w:left="142" w:hanging="142"/>
        <w:rPr>
          <w:vertAlign w:val="superscript"/>
        </w:rPr>
      </w:pPr>
      <w:proofErr w:type="gramStart"/>
      <w:r w:rsidRPr="0087043D">
        <w:rPr>
          <w:vertAlign w:val="superscript"/>
        </w:rPr>
        <w:t>a</w:t>
      </w:r>
      <w:proofErr w:type="gramEnd"/>
      <w:r w:rsidRPr="0087043D">
        <w:rPr>
          <w:vertAlign w:val="superscript"/>
        </w:rPr>
        <w:t xml:space="preserve"> </w:t>
      </w:r>
      <w:r w:rsidR="00CA3A67" w:rsidRPr="0087043D">
        <w:t xml:space="preserve">The effective prices were derived in the cost-minimisation analysis based on an assumed </w:t>
      </w:r>
      <w:r w:rsidR="00CA3A67" w:rsidRPr="004D5BE5">
        <w:t>30</w:t>
      </w:r>
      <w:r w:rsidR="00CA3A67" w:rsidRPr="0087043D">
        <w:t xml:space="preserve">% rebate for </w:t>
      </w:r>
      <w:proofErr w:type="spellStart"/>
      <w:r w:rsidR="00CA3A67" w:rsidRPr="0087043D">
        <w:t>pembrolizumab</w:t>
      </w:r>
      <w:proofErr w:type="spellEnd"/>
      <w:r w:rsidR="00CA3A67" w:rsidRPr="0087043D">
        <w:t xml:space="preserve"> and are only a placeholder.</w:t>
      </w:r>
    </w:p>
    <w:p w:rsidR="006A7E8B" w:rsidRPr="0087043D" w:rsidRDefault="006A7E8B" w:rsidP="006A7E8B">
      <w:pPr>
        <w:pStyle w:val="3-BodyText"/>
        <w:rPr>
          <w:color w:val="000000" w:themeColor="text1"/>
        </w:rPr>
      </w:pPr>
      <w:r w:rsidRPr="0087043D">
        <w:t xml:space="preserve">The sponsor acknowledged that there is a special pricing arrangement (SPA) in place for </w:t>
      </w:r>
      <w:proofErr w:type="spellStart"/>
      <w:r w:rsidRPr="0087043D">
        <w:t>pembrolizumab</w:t>
      </w:r>
      <w:proofErr w:type="spellEnd"/>
      <w:r w:rsidRPr="0087043D">
        <w:t xml:space="preserve">. The effective prices for nivolumab and ipilimumab above are based on an assumed </w:t>
      </w:r>
      <w:r w:rsidRPr="004D5BE5">
        <w:t>30</w:t>
      </w:r>
      <w:r w:rsidRPr="0087043D">
        <w:t xml:space="preserve">% SPA rebate for </w:t>
      </w:r>
      <w:proofErr w:type="spellStart"/>
      <w:r w:rsidRPr="0087043D">
        <w:t>pembrolizumab</w:t>
      </w:r>
      <w:proofErr w:type="spellEnd"/>
      <w:r w:rsidRPr="0087043D">
        <w:t xml:space="preserve">, and the sponsor has indicated that they will revise the effective price based on a cost minimisation against the actual effective price of </w:t>
      </w:r>
      <w:proofErr w:type="spellStart"/>
      <w:r w:rsidRPr="0087043D">
        <w:t>pembrolizumab</w:t>
      </w:r>
      <w:proofErr w:type="spellEnd"/>
      <w:r w:rsidRPr="0087043D">
        <w:t xml:space="preserve"> upon recommendation. </w:t>
      </w:r>
    </w:p>
    <w:p w:rsidR="00C06F70" w:rsidRPr="0087043D" w:rsidRDefault="00C06F70" w:rsidP="00C06F70">
      <w:pPr>
        <w:pStyle w:val="3-BodyText"/>
      </w:pPr>
      <w:r w:rsidRPr="0087043D">
        <w:t>The submission proposed that the effective price for nivolumab in the first-line Stage IV NSCLC setting be equivalent to the effective price in the second-line setting for NSCLC ($</w:t>
      </w:r>
      <w:r w:rsidR="00115F96">
        <w:rPr>
          <w:noProof/>
          <w:color w:val="000000"/>
          <w:highlight w:val="black"/>
        </w:rPr>
        <w:t>'''''''''''''</w:t>
      </w:r>
      <w:r w:rsidRPr="0087043D">
        <w:t>/100 mg vial). The effective price for ipilimumab was subsequently derived in the cost-minimisation analysis. Ipilimumab is not currently listed on the PBS for the treatment of NSCLC.</w:t>
      </w:r>
    </w:p>
    <w:p w:rsidR="009C2C3A" w:rsidRPr="0087043D" w:rsidRDefault="00A65E1C" w:rsidP="009C2C3A">
      <w:pPr>
        <w:pStyle w:val="3-BodyText"/>
        <w:rPr>
          <w:b/>
          <w:i/>
        </w:rPr>
      </w:pPr>
      <w:r w:rsidRPr="0087043D">
        <w:t xml:space="preserve">The requested restrictions for nivolumab and ipilimumab were broader than the approved TGA indications, in that they do not state that nivolumab plus ipilimumab should be initiated in combination with two cycles of platinum-based doublet chemotherapy. </w:t>
      </w:r>
    </w:p>
    <w:p w:rsidR="00CC35EA" w:rsidRPr="0087043D" w:rsidRDefault="00506386" w:rsidP="00737E25">
      <w:pPr>
        <w:pStyle w:val="3-BodyText"/>
        <w:rPr>
          <w:b/>
        </w:rPr>
      </w:pPr>
      <w:r w:rsidRPr="0087043D">
        <w:t>The Pre-Sub-Committee Response (PSCR)</w:t>
      </w:r>
      <w:r w:rsidR="007C4EF7">
        <w:t xml:space="preserve"> </w:t>
      </w:r>
      <w:r w:rsidRPr="0087043D">
        <w:t>argued that</w:t>
      </w:r>
      <w:r w:rsidR="009C2C3A" w:rsidRPr="0087043D">
        <w:t xml:space="preserve"> i</w:t>
      </w:r>
      <w:r w:rsidR="00737E25" w:rsidRPr="0087043D">
        <w:t>t</w:t>
      </w:r>
      <w:r w:rsidR="009C2C3A" w:rsidRPr="0087043D">
        <w:t xml:space="preserve"> was reasonable for</w:t>
      </w:r>
      <w:r w:rsidRPr="0087043D">
        <w:t xml:space="preserve"> </w:t>
      </w:r>
      <w:r w:rsidR="009C2C3A" w:rsidRPr="0087043D">
        <w:t xml:space="preserve">the proposed PBS restrictions to omit that treatment must be in combination with two cycles of platinum-based chemotherapy, given chemotherapy is a general schedule item and is only included in the first two cycles of the dosing regimen. The </w:t>
      </w:r>
      <w:r w:rsidR="002A7BCB" w:rsidRPr="0087043D">
        <w:t>PSCR</w:t>
      </w:r>
      <w:r w:rsidR="004F3A4A" w:rsidRPr="0087043D">
        <w:t xml:space="preserve"> </w:t>
      </w:r>
      <w:r w:rsidR="009C2C3A" w:rsidRPr="0087043D">
        <w:t xml:space="preserve">further </w:t>
      </w:r>
      <w:r w:rsidR="002A7BCB" w:rsidRPr="0087043D">
        <w:t>stated</w:t>
      </w:r>
      <w:r w:rsidR="009C2C3A" w:rsidRPr="0087043D">
        <w:t xml:space="preserve"> that the</w:t>
      </w:r>
      <w:r w:rsidR="009C2C3A" w:rsidRPr="0087043D">
        <w:rPr>
          <w:rFonts w:ascii="Times New Roman" w:eastAsiaTheme="minorHAnsi" w:hAnsi="Times New Roman" w:cs="Times New Roman"/>
          <w:color w:val="000000"/>
          <w:sz w:val="22"/>
          <w:szCs w:val="22"/>
          <w:lang w:eastAsia="en-US"/>
        </w:rPr>
        <w:t xml:space="preserve"> </w:t>
      </w:r>
      <w:r w:rsidR="009C2C3A" w:rsidRPr="0087043D">
        <w:t>proposed restriction</w:t>
      </w:r>
      <w:r w:rsidR="00107740" w:rsidRPr="0087043D">
        <w:t xml:space="preserve"> was appropriate, as it is</w:t>
      </w:r>
      <w:r w:rsidR="009C2C3A" w:rsidRPr="0087043D">
        <w:t xml:space="preserve"> consistent with the PBS restriction</w:t>
      </w:r>
      <w:r w:rsidR="002A7BCB" w:rsidRPr="0087043D">
        <w:t>s</w:t>
      </w:r>
      <w:r w:rsidR="009C2C3A" w:rsidRPr="0087043D">
        <w:t xml:space="preserve"> for </w:t>
      </w:r>
      <w:proofErr w:type="spellStart"/>
      <w:r w:rsidR="009C2C3A" w:rsidRPr="0087043D">
        <w:t>pembrolizumab</w:t>
      </w:r>
      <w:proofErr w:type="spellEnd"/>
      <w:r w:rsidR="009C2C3A" w:rsidRPr="0087043D">
        <w:t xml:space="preserve"> plus chemotherapy for metastatic NSCLC, which do not specify that </w:t>
      </w:r>
      <w:proofErr w:type="spellStart"/>
      <w:r w:rsidR="009C2C3A" w:rsidRPr="0087043D">
        <w:t>pembrolizumab</w:t>
      </w:r>
      <w:proofErr w:type="spellEnd"/>
      <w:r w:rsidR="009C2C3A" w:rsidRPr="0087043D">
        <w:t xml:space="preserve"> should be initiated with four cycles of platinum-based doublet chemotherapy. </w:t>
      </w:r>
      <w:r w:rsidR="00F717DC" w:rsidRPr="0087043D">
        <w:t xml:space="preserve">The ESC noted treatment with nivolumab + ipilimumab (without concurrent platinum-doublet chemotherapy) is not TGA registered and </w:t>
      </w:r>
      <w:r w:rsidR="00115F96">
        <w:rPr>
          <w:noProof/>
          <w:color w:val="000000"/>
          <w:highlight w:val="black"/>
        </w:rPr>
        <w:t>''''''' '''''' ''''''''''''''''''''''''''' ''''' '''''''' ''''''''''' '''' ''''''' ''''''' '''''''''' ''''''''''' '''''''''''''''''' ''''''' ''''''' ''''''''''''' ''''''' ''''''''''' ''''''' '''''''''''''''''''' '''''''''''''''''''' '''''''' '' ''''''' '''''''''''' '''''' ''''''''''''''''''' ''' ''''''''''''''''''''' '''''''' ''''''' '''''' ''''''''''''''' '''''''''''''' ''''' ''''''''''''''''''''''''' ''''''' '''''''''' ''''''''''''''' '''''''''''''' ''''''''''''' '''''''''''''''''''' ''''''''''' ''''''''''' ''''''''''''' '''''''''''''''''''''''''''''' ''''''' ''''' '''''''''''''''' '''''''''''' ''''''''''''' ''''''''''''''''''''''''''' '''' '''''' ''''''''''''''''''''''''''''''' '''' ''''''''' '''''''''''''''' '''''''''''''' ''''''''''''''''''''' '''''''''''''''''''''' ''''''' ''''''''''''''''''''''''''''''''''''''''''''' '''''''''''''''' '''''''' ''''''''' ''''''''''' '''''''''''''''''</w:t>
      </w:r>
      <w:r w:rsidR="00264317" w:rsidRPr="0087043D">
        <w:rPr>
          <w:lang w:eastAsia="en-US"/>
        </w:rPr>
        <w:t xml:space="preserve"> </w:t>
      </w:r>
      <w:r w:rsidR="00297197" w:rsidRPr="0087043D">
        <w:rPr>
          <w:lang w:eastAsia="en-US"/>
        </w:rPr>
        <w:t xml:space="preserve">The ESC </w:t>
      </w:r>
      <w:r w:rsidR="00297197" w:rsidRPr="0087043D">
        <w:rPr>
          <w:color w:val="000000" w:themeColor="text1"/>
        </w:rPr>
        <w:t>considered the requirement for concurrent use of platinum-based doublet chemotherapy should be included in the initial PBS restriction until such time the PBAC had recommended initial treatment nivolumab + ipilimumab without chemotherapy.</w:t>
      </w:r>
    </w:p>
    <w:p w:rsidR="00F07951" w:rsidRPr="0087043D" w:rsidRDefault="008918F0" w:rsidP="008D30E9">
      <w:pPr>
        <w:pStyle w:val="3-BodyText"/>
      </w:pPr>
      <w:r w:rsidRPr="0087043D">
        <w:t xml:space="preserve">The PBAC advised </w:t>
      </w:r>
      <w:r w:rsidR="00F07951" w:rsidRPr="0087043D">
        <w:t xml:space="preserve">the </w:t>
      </w:r>
      <w:r w:rsidR="00F07951" w:rsidRPr="0087043D">
        <w:rPr>
          <w:iCs/>
        </w:rPr>
        <w:t xml:space="preserve">restrictions for initial treatment for both nivolumab and ipilimumab </w:t>
      </w:r>
      <w:r w:rsidRPr="0087043D">
        <w:rPr>
          <w:iCs/>
        </w:rPr>
        <w:t xml:space="preserve">should preclude </w:t>
      </w:r>
      <w:r w:rsidR="00F07951" w:rsidRPr="0087043D">
        <w:rPr>
          <w:iCs/>
        </w:rPr>
        <w:t xml:space="preserve">their use in patients who have evidence of a c-ROS proto-oncogene-1 (ROS1) gene </w:t>
      </w:r>
      <w:r w:rsidR="00745154" w:rsidRPr="0087043D">
        <w:rPr>
          <w:iCs/>
        </w:rPr>
        <w:t>re</w:t>
      </w:r>
      <w:r w:rsidR="00F07951" w:rsidRPr="0087043D">
        <w:rPr>
          <w:iCs/>
        </w:rPr>
        <w:t>arrangement in tumour material</w:t>
      </w:r>
      <w:r w:rsidR="00FC76C8" w:rsidRPr="0087043D">
        <w:t>.</w:t>
      </w:r>
      <w:r w:rsidRPr="0087043D">
        <w:t xml:space="preserve"> </w:t>
      </w:r>
    </w:p>
    <w:p w:rsidR="00F07951" w:rsidRPr="0087043D" w:rsidRDefault="005D5C48" w:rsidP="008D30E9">
      <w:pPr>
        <w:pStyle w:val="3-BodyText"/>
      </w:pPr>
      <w:r w:rsidRPr="0087043D">
        <w:t>T</w:t>
      </w:r>
      <w:r w:rsidR="00F07951" w:rsidRPr="0087043D">
        <w:t xml:space="preserve">he submission estimated that approximately </w:t>
      </w:r>
      <w:r w:rsidR="00D32868">
        <w:t>&lt;500</w:t>
      </w:r>
      <w:r w:rsidR="0005654D">
        <w:t xml:space="preserve"> </w:t>
      </w:r>
      <w:r w:rsidR="00F07951" w:rsidRPr="0087043D">
        <w:t>patients from the patient familiarisation program would transfer to PBS-subsidised treatment if nivolumab and ipilimumab are listed as requested</w:t>
      </w:r>
      <w:r w:rsidRPr="0087043D">
        <w:t>.</w:t>
      </w:r>
    </w:p>
    <w:p w:rsidR="005A553E" w:rsidRPr="0087043D" w:rsidRDefault="005A553E" w:rsidP="005A553E">
      <w:pPr>
        <w:pStyle w:val="3-BodyText"/>
        <w:numPr>
          <w:ilvl w:val="0"/>
          <w:numId w:val="0"/>
        </w:numPr>
        <w:ind w:left="720"/>
        <w:rPr>
          <w:i/>
        </w:rPr>
      </w:pPr>
      <w:r w:rsidRPr="0087043D">
        <w:rPr>
          <w:i/>
        </w:rPr>
        <w:t>For more detail on PBAC’s view, see section 7 PBAC outcome.</w:t>
      </w:r>
    </w:p>
    <w:p w:rsidR="00B50DB8" w:rsidRPr="0087043D" w:rsidRDefault="00203181" w:rsidP="004E18E9">
      <w:pPr>
        <w:pStyle w:val="2-SectionHeading"/>
      </w:pPr>
      <w:bookmarkStart w:id="12" w:name="_Toc51147790"/>
      <w:r w:rsidRPr="0087043D">
        <w:t xml:space="preserve">Population and </w:t>
      </w:r>
      <w:r w:rsidR="008E0D3C" w:rsidRPr="0087043D">
        <w:t>d</w:t>
      </w:r>
      <w:r w:rsidRPr="0087043D">
        <w:t>isease</w:t>
      </w:r>
      <w:bookmarkEnd w:id="12"/>
    </w:p>
    <w:p w:rsidR="005609B5" w:rsidRPr="0087043D" w:rsidRDefault="005609B5" w:rsidP="005609B5">
      <w:pPr>
        <w:pStyle w:val="3-BodyText"/>
      </w:pPr>
      <w:r w:rsidRPr="0087043D">
        <w:t xml:space="preserve">Lung cancer is the fifth most commonly diagnosed cancer in Australia, with NSCLC representing an estimated 86.6% of all incident lung cancer in Australia. It was estimated that there will be approximately 11,250 incident cases of NSCLC in Australia in 2020. NSCLC can have squamous or non-squamous histology, with the choice of chemotherapy differing between the two types. Approximately 50% of patients with NSCLC are diagnosed with Stage IV (metastatic disease). Survival data for NSCLC patients diagnosed with distant (metastatic) disease, from the Surveillance, Epidemiology, and End Results program in the United States, reported a 5-year survival rate of only 4.7% in 2019; Australian-specific five year survival of Stage IV NSCLC was not available. </w:t>
      </w:r>
    </w:p>
    <w:p w:rsidR="00796C61" w:rsidRPr="0087043D" w:rsidRDefault="00796C61" w:rsidP="00796C61">
      <w:pPr>
        <w:pStyle w:val="3-BodyText"/>
      </w:pPr>
      <w:r w:rsidRPr="0087043D">
        <w:t xml:space="preserve">The PBAC has previously considered several treatments in first-line stage IV NSCLC, including </w:t>
      </w:r>
      <w:proofErr w:type="spellStart"/>
      <w:r w:rsidRPr="0087043D">
        <w:t>pembrolizumab</w:t>
      </w:r>
      <w:proofErr w:type="spellEnd"/>
      <w:r w:rsidRPr="0087043D">
        <w:t xml:space="preserve"> plus platinum-based doublet chemotherapy, the nominated primary comparator.</w:t>
      </w:r>
    </w:p>
    <w:p w:rsidR="00796C61" w:rsidRPr="0087043D" w:rsidRDefault="00796C61" w:rsidP="00796C61">
      <w:pPr>
        <w:pStyle w:val="3-BodyText"/>
        <w:spacing w:after="0"/>
      </w:pPr>
      <w:r w:rsidRPr="0087043D">
        <w:t>It was proposed that</w:t>
      </w:r>
      <w:r w:rsidR="005609B5" w:rsidRPr="0087043D">
        <w:t>:</w:t>
      </w:r>
      <w:r w:rsidRPr="0087043D">
        <w:t xml:space="preserve"> </w:t>
      </w:r>
    </w:p>
    <w:p w:rsidR="005609B5" w:rsidRPr="0087043D" w:rsidRDefault="005609B5" w:rsidP="005609B5">
      <w:pPr>
        <w:pStyle w:val="ListParagraph"/>
        <w:ind w:left="1134"/>
      </w:pPr>
      <w:r w:rsidRPr="0087043D">
        <w:t xml:space="preserve">In patients with previously untreated Stage IV non-squamous or </w:t>
      </w:r>
      <w:r w:rsidR="00704135" w:rsidRPr="0087043D">
        <w:t>not otherwise specific (</w:t>
      </w:r>
      <w:r w:rsidRPr="0087043D">
        <w:t>NOS</w:t>
      </w:r>
      <w:r w:rsidR="00704135" w:rsidRPr="0087043D">
        <w:t>)</w:t>
      </w:r>
      <w:r w:rsidRPr="0087043D">
        <w:t xml:space="preserve"> NSCLC without targetable mutations (i.e. </w:t>
      </w:r>
      <w:r w:rsidR="00704135" w:rsidRPr="0087043D">
        <w:t>E</w:t>
      </w:r>
      <w:r w:rsidRPr="0087043D">
        <w:t xml:space="preserve">GFR, ALK and ROS1 negative), </w:t>
      </w:r>
      <w:proofErr w:type="spellStart"/>
      <w:r w:rsidRPr="0087043D">
        <w:t>NIVO+IPI+platinum</w:t>
      </w:r>
      <w:proofErr w:type="spellEnd"/>
      <w:r w:rsidRPr="0087043D">
        <w:t xml:space="preserve"> would be an alternative to </w:t>
      </w:r>
      <w:proofErr w:type="spellStart"/>
      <w:r w:rsidRPr="0087043D">
        <w:t>pembrolizumab+platinum</w:t>
      </w:r>
      <w:proofErr w:type="spellEnd"/>
      <w:r w:rsidRPr="0087043D">
        <w:t>, atezolizumab</w:t>
      </w:r>
      <w:r w:rsidR="00D25F1B" w:rsidRPr="0087043D">
        <w:t xml:space="preserve"> plus </w:t>
      </w:r>
      <w:r w:rsidRPr="0087043D">
        <w:t>bevacizumab</w:t>
      </w:r>
      <w:r w:rsidR="00D25F1B" w:rsidRPr="0087043D">
        <w:t xml:space="preserve"> plus </w:t>
      </w:r>
      <w:r w:rsidRPr="0087043D">
        <w:t>platinum</w:t>
      </w:r>
      <w:r w:rsidR="00D25F1B" w:rsidRPr="0087043D">
        <w:t>-based doublet chemotherapy</w:t>
      </w:r>
      <w:r w:rsidR="00D271E8" w:rsidRPr="0087043D">
        <w:t xml:space="preserve"> (herein referred to as </w:t>
      </w:r>
      <w:proofErr w:type="spellStart"/>
      <w:r w:rsidR="00D271E8" w:rsidRPr="0087043D">
        <w:t>atezolizumab+bevacizumab+platinum</w:t>
      </w:r>
      <w:proofErr w:type="spellEnd"/>
      <w:r w:rsidR="00D271E8" w:rsidRPr="0087043D">
        <w:t>)</w:t>
      </w:r>
      <w:r w:rsidRPr="0087043D">
        <w:t xml:space="preserve">, </w:t>
      </w:r>
      <w:proofErr w:type="spellStart"/>
      <w:r w:rsidR="00654064" w:rsidRPr="0087043D">
        <w:t>pembrolizumab</w:t>
      </w:r>
      <w:proofErr w:type="spellEnd"/>
      <w:r w:rsidR="00654064" w:rsidRPr="0087043D">
        <w:t xml:space="preserve"> monotherapy </w:t>
      </w:r>
      <w:r w:rsidRPr="0087043D">
        <w:t>and platinum-based doublet chemotherapy</w:t>
      </w:r>
      <w:r w:rsidR="00654064" w:rsidRPr="0087043D">
        <w:t>; and</w:t>
      </w:r>
    </w:p>
    <w:p w:rsidR="00D25F1B" w:rsidRPr="0087043D" w:rsidRDefault="00D25F1B" w:rsidP="00D25F1B">
      <w:pPr>
        <w:pStyle w:val="ListParagraph"/>
        <w:ind w:left="1134"/>
      </w:pPr>
      <w:r w:rsidRPr="0087043D">
        <w:t xml:space="preserve">In patients with previously untreated Stage IV squamous NSCLC, </w:t>
      </w:r>
      <w:proofErr w:type="spellStart"/>
      <w:r w:rsidRPr="0087043D">
        <w:t>NIVO+IPI+platinum</w:t>
      </w:r>
      <w:proofErr w:type="spellEnd"/>
      <w:r w:rsidRPr="0087043D">
        <w:t xml:space="preserve"> would be an alternative to </w:t>
      </w:r>
      <w:proofErr w:type="spellStart"/>
      <w:r w:rsidRPr="0087043D">
        <w:t>pembrolizumab+platinum</w:t>
      </w:r>
      <w:proofErr w:type="spellEnd"/>
      <w:r w:rsidRPr="0087043D">
        <w:t xml:space="preserve">, </w:t>
      </w:r>
      <w:proofErr w:type="spellStart"/>
      <w:r w:rsidRPr="0087043D">
        <w:t>pembrolizumab</w:t>
      </w:r>
      <w:proofErr w:type="spellEnd"/>
      <w:r w:rsidRPr="0087043D">
        <w:t xml:space="preserve"> monotherapy and platinum-based doublet chemotherapy</w:t>
      </w:r>
      <w:r w:rsidR="001A581E" w:rsidRPr="0087043D">
        <w:t>.</w:t>
      </w:r>
    </w:p>
    <w:p w:rsidR="00D25F1B" w:rsidRPr="0087043D" w:rsidRDefault="00D25F1B" w:rsidP="00D25F1B">
      <w:pPr>
        <w:pStyle w:val="ListParagraph"/>
        <w:numPr>
          <w:ilvl w:val="0"/>
          <w:numId w:val="0"/>
        </w:numPr>
        <w:ind w:left="720"/>
      </w:pPr>
      <w:r w:rsidRPr="0087043D">
        <w:t>The requested listings for nivolumab and ipilimumab restrict their use to patients with an Eastern Cooperative Oncology Group (ECOG) performance status (PS) ≤1.</w:t>
      </w:r>
    </w:p>
    <w:p w:rsidR="003212B9" w:rsidRPr="0087043D" w:rsidRDefault="00796C61" w:rsidP="00796C61">
      <w:pPr>
        <w:pStyle w:val="3-BodyText"/>
      </w:pPr>
      <w:r w:rsidRPr="0087043D">
        <w:t xml:space="preserve">The proposed intervention is a combination of nivolumab and ipilimumab, initiated in combination with two cycles of platinum-based doublet chemotherapy. </w:t>
      </w:r>
      <w:r w:rsidR="003212B9" w:rsidRPr="0087043D">
        <w:t>Under the requested restric</w:t>
      </w:r>
      <w:r w:rsidR="004F3A4A" w:rsidRPr="0087043D">
        <w:t>ti</w:t>
      </w:r>
      <w:r w:rsidR="003212B9" w:rsidRPr="0087043D">
        <w:t xml:space="preserve">ons, both nivolumab and ipilimumab can be continued for up to 24 months. </w:t>
      </w:r>
      <w:r w:rsidR="009D39D7" w:rsidRPr="0087043D">
        <w:t>The requested initial treatment an</w:t>
      </w:r>
      <w:r w:rsidR="005824D9" w:rsidRPr="0087043D">
        <w:t>d continuing treatment restricti</w:t>
      </w:r>
      <w:r w:rsidR="009D39D7" w:rsidRPr="0087043D">
        <w:t xml:space="preserve">ons for both drugs stipulate that patients must be undergoing combination treatment with nivolumab and ipilimumab. This is consistent with the </w:t>
      </w:r>
      <w:r w:rsidR="003212B9" w:rsidRPr="0087043D">
        <w:t>TGA</w:t>
      </w:r>
      <w:r w:rsidR="005824D9" w:rsidRPr="0087043D">
        <w:t>-approved P</w:t>
      </w:r>
      <w:r w:rsidR="003212B9" w:rsidRPr="0087043D">
        <w:t xml:space="preserve">roduct </w:t>
      </w:r>
      <w:r w:rsidR="005824D9" w:rsidRPr="0087043D">
        <w:t>I</w:t>
      </w:r>
      <w:r w:rsidR="003212B9" w:rsidRPr="0087043D">
        <w:t>nformation (PI) documents</w:t>
      </w:r>
      <w:r w:rsidR="009D39D7" w:rsidRPr="0087043D">
        <w:t>, which state that,</w:t>
      </w:r>
      <w:r w:rsidR="003212B9" w:rsidRPr="0087043D">
        <w:t xml:space="preserve"> when nivolumab and ipilimumab are</w:t>
      </w:r>
      <w:r w:rsidR="009D39D7" w:rsidRPr="0087043D">
        <w:t xml:space="preserve"> administered in combination, i</w:t>
      </w:r>
      <w:r w:rsidR="003212B9" w:rsidRPr="0087043D">
        <w:t>f either agent is withheld, the other agent should also be withheld.</w:t>
      </w:r>
      <w:r w:rsidR="009D39D7" w:rsidRPr="0087043D">
        <w:t xml:space="preserve"> </w:t>
      </w:r>
    </w:p>
    <w:p w:rsidR="00796C61" w:rsidRPr="0087043D" w:rsidRDefault="00796C61" w:rsidP="00796C61">
      <w:pPr>
        <w:pStyle w:val="3-BodyText"/>
      </w:pPr>
      <w:r w:rsidRPr="0087043D">
        <w:t xml:space="preserve">Nivolumab (ATC code L01XC17) is a fully human immunoglobulin G4 (IgG4) monoclonal antibody which binds to the PD-1 receptor and blocks its interaction with the ligands PD-L1 and PD-L2. Ipilimumab (ATC code L01XC11) is a fully human monoclonal antibody which binds to the cytotoxic T lymphocyte-associated antigen 4 (CTLA-4). Nivolumab potentiates T-cell anti-tumour responses whereas ipilimumab blocks T-cell inhibitory signals, with the two drugs working </w:t>
      </w:r>
      <w:r w:rsidR="00D25F1B" w:rsidRPr="0087043D">
        <w:t xml:space="preserve">synergistically </w:t>
      </w:r>
      <w:r w:rsidRPr="0087043D">
        <w:t>via different mechanisms of actions to increase immune response against tumours.</w:t>
      </w:r>
    </w:p>
    <w:p w:rsidR="005A553E" w:rsidRPr="0087043D" w:rsidRDefault="005A553E" w:rsidP="005A553E">
      <w:pPr>
        <w:pStyle w:val="3-BodyText"/>
        <w:numPr>
          <w:ilvl w:val="0"/>
          <w:numId w:val="0"/>
        </w:numPr>
        <w:ind w:left="720"/>
        <w:rPr>
          <w:i/>
        </w:rPr>
      </w:pPr>
      <w:r w:rsidRPr="0087043D">
        <w:rPr>
          <w:i/>
        </w:rPr>
        <w:t>For more detail on PBAC’s view, see section 7 PBAC outcome.</w:t>
      </w:r>
    </w:p>
    <w:p w:rsidR="00B50DB8" w:rsidRPr="0087043D" w:rsidRDefault="00B50DB8" w:rsidP="004E18E9">
      <w:pPr>
        <w:pStyle w:val="2-SectionHeading"/>
      </w:pPr>
      <w:bookmarkStart w:id="13" w:name="_Toc51147791"/>
      <w:r w:rsidRPr="0087043D">
        <w:t>Comparator</w:t>
      </w:r>
      <w:bookmarkEnd w:id="13"/>
    </w:p>
    <w:p w:rsidR="00F8574E" w:rsidRPr="0087043D" w:rsidRDefault="00796C61" w:rsidP="00882E3C">
      <w:pPr>
        <w:pStyle w:val="3-BodyText"/>
        <w:rPr>
          <w:snapToGrid/>
        </w:rPr>
      </w:pPr>
      <w:r w:rsidRPr="0087043D">
        <w:t xml:space="preserve">The submission nominated </w:t>
      </w:r>
      <w:proofErr w:type="spellStart"/>
      <w:r w:rsidRPr="0087043D">
        <w:t>pembrolizumab</w:t>
      </w:r>
      <w:proofErr w:type="spellEnd"/>
      <w:r w:rsidRPr="0087043D">
        <w:t xml:space="preserve"> plus platinum-based doublet chemotherapy (</w:t>
      </w:r>
      <w:proofErr w:type="spellStart"/>
      <w:r w:rsidRPr="0087043D">
        <w:t>pembrolizumab+platinum</w:t>
      </w:r>
      <w:proofErr w:type="spellEnd"/>
      <w:r w:rsidRPr="0087043D">
        <w:t>) as the primary comparator.</w:t>
      </w:r>
      <w:r w:rsidR="00A244DB" w:rsidRPr="0087043D">
        <w:t xml:space="preserve"> </w:t>
      </w:r>
      <w:r w:rsidRPr="0087043D">
        <w:t xml:space="preserve">The main arguments provided in support of this nomination were that </w:t>
      </w:r>
      <w:proofErr w:type="spellStart"/>
      <w:r w:rsidRPr="0087043D">
        <w:t>pembrolizumab</w:t>
      </w:r>
      <w:proofErr w:type="spellEnd"/>
      <w:r w:rsidRPr="0087043D">
        <w:t xml:space="preserve"> plus platinum-based doublet chemotherapy is PBS listed as first-line therapy in stage IV NSCLC and was suggested by clinicians to be the immunotherapy based regimen most likely replaced. </w:t>
      </w:r>
      <w:r w:rsidR="009527C1" w:rsidRPr="0087043D">
        <w:t xml:space="preserve">The ESC considered </w:t>
      </w:r>
      <w:proofErr w:type="spellStart"/>
      <w:r w:rsidR="009527C1" w:rsidRPr="0087043D">
        <w:t>p</w:t>
      </w:r>
      <w:r w:rsidR="00F8574E" w:rsidRPr="0087043D">
        <w:t>embrolizumab+platinum</w:t>
      </w:r>
      <w:proofErr w:type="spellEnd"/>
      <w:r w:rsidR="00F8574E" w:rsidRPr="0087043D">
        <w:t xml:space="preserve"> is an appropriate comparator. </w:t>
      </w:r>
      <w:r w:rsidR="009D39D7" w:rsidRPr="0087043D">
        <w:t xml:space="preserve">In contrast to </w:t>
      </w:r>
      <w:proofErr w:type="spellStart"/>
      <w:r w:rsidR="009D39D7" w:rsidRPr="0087043D">
        <w:t>NIVO+IPI+platinum</w:t>
      </w:r>
      <w:proofErr w:type="spellEnd"/>
      <w:r w:rsidR="009D39D7" w:rsidRPr="0087043D">
        <w:t xml:space="preserve">, in which only two cycles of chemotherapy are administered, </w:t>
      </w:r>
      <w:proofErr w:type="spellStart"/>
      <w:r w:rsidR="009D39D7" w:rsidRPr="0087043D">
        <w:t>pembrolizumab+platinum</w:t>
      </w:r>
      <w:proofErr w:type="spellEnd"/>
      <w:r w:rsidR="009D39D7" w:rsidRPr="0087043D">
        <w:t xml:space="preserve"> is initiated with four cycles of platinum-doublet chemotherap</w:t>
      </w:r>
      <w:r w:rsidR="007801E3" w:rsidRPr="0087043D">
        <w:t>y</w:t>
      </w:r>
      <w:r w:rsidR="009D39D7" w:rsidRPr="0087043D">
        <w:t xml:space="preserve">. </w:t>
      </w:r>
    </w:p>
    <w:p w:rsidR="00190A8A" w:rsidRPr="0087043D" w:rsidRDefault="00796C61" w:rsidP="00264317">
      <w:pPr>
        <w:pStyle w:val="3-BodyText"/>
      </w:pPr>
      <w:r w:rsidRPr="0087043D">
        <w:t>The submission also nominated atezolizumab plus bevacizumab plus platinum-based doublet chemotherapy (in patients with non-squamous NSCLC only) and platinum-based doublet chemotherapy alone as secondary comparators</w:t>
      </w:r>
      <w:r w:rsidR="00654064" w:rsidRPr="0087043D">
        <w:t>,</w:t>
      </w:r>
      <w:r w:rsidRPr="0087043D">
        <w:t xml:space="preserve"> and </w:t>
      </w:r>
      <w:proofErr w:type="spellStart"/>
      <w:r w:rsidRPr="0087043D">
        <w:t>pembrolizumab</w:t>
      </w:r>
      <w:proofErr w:type="spellEnd"/>
      <w:r w:rsidRPr="0087043D">
        <w:t xml:space="preserve"> monotherapy as a supplementary comparator</w:t>
      </w:r>
      <w:r w:rsidR="003F7209" w:rsidRPr="0087043D">
        <w:t xml:space="preserve"> (in patients with programmed cell death ligand-1 (PD-L1) tumour proportion score (TPS) </w:t>
      </w:r>
      <w:r w:rsidR="003F7209" w:rsidRPr="0087043D">
        <w:rPr>
          <w:rFonts w:cstheme="minorHAnsi"/>
        </w:rPr>
        <w:t>≥</w:t>
      </w:r>
      <w:r w:rsidR="003F7209" w:rsidRPr="0087043D">
        <w:t>1%)</w:t>
      </w:r>
      <w:r w:rsidRPr="0087043D">
        <w:t xml:space="preserve">. </w:t>
      </w:r>
      <w:r w:rsidR="00654064" w:rsidRPr="0087043D">
        <w:rPr>
          <w:iCs/>
        </w:rPr>
        <w:t xml:space="preserve">While international treatment guidelines recommend </w:t>
      </w:r>
      <w:proofErr w:type="spellStart"/>
      <w:r w:rsidR="00654064" w:rsidRPr="0087043D">
        <w:rPr>
          <w:iCs/>
        </w:rPr>
        <w:t>pembrolizumab</w:t>
      </w:r>
      <w:proofErr w:type="spellEnd"/>
      <w:r w:rsidR="00654064" w:rsidRPr="0087043D">
        <w:rPr>
          <w:iCs/>
        </w:rPr>
        <w:t xml:space="preserve"> monotherapy as a first-line treatment for patients with advanced or </w:t>
      </w:r>
      <w:r w:rsidR="003C2A2D" w:rsidRPr="0087043D">
        <w:rPr>
          <w:iCs/>
        </w:rPr>
        <w:t xml:space="preserve">metastatic </w:t>
      </w:r>
      <w:r w:rsidR="00654064" w:rsidRPr="0087043D">
        <w:rPr>
          <w:iCs/>
        </w:rPr>
        <w:t>NSCLC expressing PD-L1</w:t>
      </w:r>
      <w:r w:rsidR="00D86EC2" w:rsidRPr="0087043D">
        <w:rPr>
          <w:iCs/>
        </w:rPr>
        <w:t xml:space="preserve"> (TPS ≥50%)</w:t>
      </w:r>
      <w:r w:rsidR="00D86EC2" w:rsidRPr="0087043D">
        <w:rPr>
          <w:rStyle w:val="FootnoteReference"/>
          <w:iCs/>
        </w:rPr>
        <w:footnoteReference w:id="1"/>
      </w:r>
      <w:r w:rsidR="00654064" w:rsidRPr="0087043D">
        <w:rPr>
          <w:iCs/>
        </w:rPr>
        <w:t xml:space="preserve">, the extent of substitution of </w:t>
      </w:r>
      <w:proofErr w:type="spellStart"/>
      <w:r w:rsidR="00654064" w:rsidRPr="0087043D">
        <w:rPr>
          <w:iCs/>
        </w:rPr>
        <w:t>NIVO+IPI+platinum</w:t>
      </w:r>
      <w:proofErr w:type="spellEnd"/>
      <w:r w:rsidR="00654064" w:rsidRPr="0087043D">
        <w:t xml:space="preserve"> </w:t>
      </w:r>
      <w:r w:rsidR="00654064" w:rsidRPr="0087043D">
        <w:rPr>
          <w:iCs/>
        </w:rPr>
        <w:t xml:space="preserve">for </w:t>
      </w:r>
      <w:proofErr w:type="spellStart"/>
      <w:r w:rsidR="00654064" w:rsidRPr="0087043D">
        <w:rPr>
          <w:iCs/>
        </w:rPr>
        <w:t>pembrolizumab</w:t>
      </w:r>
      <w:proofErr w:type="spellEnd"/>
      <w:r w:rsidR="00654064" w:rsidRPr="0087043D">
        <w:rPr>
          <w:iCs/>
        </w:rPr>
        <w:t xml:space="preserve"> monotherapy is likely to be limited due to the </w:t>
      </w:r>
      <w:r w:rsidR="00EB5F82" w:rsidRPr="0087043D">
        <w:rPr>
          <w:iCs/>
        </w:rPr>
        <w:t xml:space="preserve">potential additional </w:t>
      </w:r>
      <w:r w:rsidR="00654064" w:rsidRPr="0087043D">
        <w:rPr>
          <w:iCs/>
        </w:rPr>
        <w:t>toxicity associated with ipilimumab and platinum-doublet chemotherapy.</w:t>
      </w:r>
      <w:r w:rsidR="00D271E8" w:rsidRPr="0087043D">
        <w:rPr>
          <w:iCs/>
        </w:rPr>
        <w:t xml:space="preserve"> </w:t>
      </w:r>
      <w:r w:rsidR="00C06F70" w:rsidRPr="0087043D">
        <w:rPr>
          <w:iCs/>
        </w:rPr>
        <w:t xml:space="preserve">The clinical decision making criteria that would result in the preference of </w:t>
      </w:r>
      <w:proofErr w:type="spellStart"/>
      <w:r w:rsidR="00C06F70" w:rsidRPr="0087043D">
        <w:rPr>
          <w:iCs/>
        </w:rPr>
        <w:t>pembrolizumab</w:t>
      </w:r>
      <w:proofErr w:type="spellEnd"/>
      <w:r w:rsidR="00C06F70" w:rsidRPr="0087043D">
        <w:rPr>
          <w:iCs/>
        </w:rPr>
        <w:t xml:space="preserve"> monotherapy over </w:t>
      </w:r>
      <w:proofErr w:type="spellStart"/>
      <w:r w:rsidR="00C06F70" w:rsidRPr="0087043D">
        <w:rPr>
          <w:iCs/>
        </w:rPr>
        <w:t>pembrolizumab+platinum</w:t>
      </w:r>
      <w:proofErr w:type="spellEnd"/>
      <w:r w:rsidR="00C06F70" w:rsidRPr="0087043D">
        <w:rPr>
          <w:iCs/>
        </w:rPr>
        <w:t xml:space="preserve"> would likely be the same that would preference </w:t>
      </w:r>
      <w:proofErr w:type="spellStart"/>
      <w:r w:rsidR="00C06F70" w:rsidRPr="0087043D">
        <w:rPr>
          <w:iCs/>
        </w:rPr>
        <w:t>pembrolizumab</w:t>
      </w:r>
      <w:proofErr w:type="spellEnd"/>
      <w:r w:rsidR="00C06F70" w:rsidRPr="0087043D">
        <w:rPr>
          <w:iCs/>
        </w:rPr>
        <w:t xml:space="preserve"> monotherapy over </w:t>
      </w:r>
      <w:proofErr w:type="spellStart"/>
      <w:r w:rsidR="00C06F70" w:rsidRPr="0087043D">
        <w:rPr>
          <w:iCs/>
        </w:rPr>
        <w:t>NIVO+IPI+platinum</w:t>
      </w:r>
      <w:proofErr w:type="spellEnd"/>
      <w:r w:rsidR="00C06F70" w:rsidRPr="0087043D">
        <w:rPr>
          <w:iCs/>
        </w:rPr>
        <w:t xml:space="preserve">. </w:t>
      </w:r>
      <w:r w:rsidR="00D271E8" w:rsidRPr="0087043D">
        <w:rPr>
          <w:iCs/>
        </w:rPr>
        <w:t xml:space="preserve">Given this, the comparison of </w:t>
      </w:r>
      <w:proofErr w:type="spellStart"/>
      <w:r w:rsidR="00D271E8" w:rsidRPr="0087043D">
        <w:rPr>
          <w:iCs/>
        </w:rPr>
        <w:t>NIVO+IPI+platinum</w:t>
      </w:r>
      <w:proofErr w:type="spellEnd"/>
      <w:r w:rsidR="00D271E8" w:rsidRPr="0087043D">
        <w:rPr>
          <w:iCs/>
        </w:rPr>
        <w:t xml:space="preserve"> versus </w:t>
      </w:r>
      <w:proofErr w:type="spellStart"/>
      <w:r w:rsidR="00D271E8" w:rsidRPr="0087043D">
        <w:rPr>
          <w:iCs/>
        </w:rPr>
        <w:t>pembrolizumab</w:t>
      </w:r>
      <w:proofErr w:type="spellEnd"/>
      <w:r w:rsidR="00D271E8" w:rsidRPr="0087043D">
        <w:rPr>
          <w:iCs/>
        </w:rPr>
        <w:t xml:space="preserve"> monotherapy</w:t>
      </w:r>
      <w:r w:rsidR="009527C1" w:rsidRPr="0087043D">
        <w:rPr>
          <w:iCs/>
        </w:rPr>
        <w:t xml:space="preserve"> is not presented in Section</w:t>
      </w:r>
      <w:r w:rsidR="008918F0" w:rsidRPr="0087043D">
        <w:rPr>
          <w:iCs/>
        </w:rPr>
        <w:t xml:space="preserve"> 6</w:t>
      </w:r>
      <w:r w:rsidR="00190A8A" w:rsidRPr="0087043D">
        <w:t xml:space="preserve">. </w:t>
      </w:r>
    </w:p>
    <w:p w:rsidR="005A553E" w:rsidRPr="0087043D" w:rsidRDefault="005A553E" w:rsidP="005A553E">
      <w:pPr>
        <w:pStyle w:val="3-BodyText"/>
        <w:numPr>
          <w:ilvl w:val="0"/>
          <w:numId w:val="0"/>
        </w:numPr>
        <w:ind w:left="720"/>
        <w:rPr>
          <w:i/>
        </w:rPr>
      </w:pPr>
      <w:r w:rsidRPr="0087043D">
        <w:rPr>
          <w:i/>
        </w:rPr>
        <w:t>For more detail on PBAC’s view, see section 7 PBAC outcome.</w:t>
      </w:r>
    </w:p>
    <w:p w:rsidR="00F06E02" w:rsidRPr="0087043D" w:rsidRDefault="00223D5A" w:rsidP="002E4F02">
      <w:pPr>
        <w:pStyle w:val="2-SectionHeading"/>
      </w:pPr>
      <w:bookmarkStart w:id="14" w:name="_Toc51147792"/>
      <w:bookmarkStart w:id="15" w:name="_Toc22897640"/>
      <w:r w:rsidRPr="0087043D">
        <w:t>Consideration of the evidence</w:t>
      </w:r>
      <w:bookmarkStart w:id="16" w:name="_Toc51147793"/>
      <w:bookmarkEnd w:id="14"/>
    </w:p>
    <w:p w:rsidR="00F06E02" w:rsidRPr="0087043D" w:rsidRDefault="00F06E02" w:rsidP="00F06E02">
      <w:pPr>
        <w:pStyle w:val="4-SubsectionHeading"/>
      </w:pPr>
      <w:r w:rsidRPr="0087043D">
        <w:t>Sponsor hearing</w:t>
      </w:r>
    </w:p>
    <w:p w:rsidR="00F06E02" w:rsidRPr="0087043D" w:rsidRDefault="00434FAC" w:rsidP="00434FAC">
      <w:pPr>
        <w:pStyle w:val="3-BodyText"/>
      </w:pPr>
      <w:r w:rsidRPr="0087043D">
        <w:rPr>
          <w:snapToGrid/>
        </w:rPr>
        <w:t>There was no hearing for this item</w:t>
      </w:r>
      <w:r w:rsidR="00BC1ABF" w:rsidRPr="0087043D">
        <w:rPr>
          <w:snapToGrid/>
        </w:rPr>
        <w:t>.</w:t>
      </w:r>
    </w:p>
    <w:p w:rsidR="00F06E02" w:rsidRPr="0087043D" w:rsidRDefault="00F06E02" w:rsidP="00F06E02">
      <w:pPr>
        <w:pStyle w:val="4-SubsectionHeading"/>
      </w:pPr>
      <w:r w:rsidRPr="0087043D">
        <w:t>Consumer comments</w:t>
      </w:r>
    </w:p>
    <w:p w:rsidR="00F06E02" w:rsidRPr="0087043D" w:rsidRDefault="00434FAC" w:rsidP="00434FAC">
      <w:pPr>
        <w:pStyle w:val="3-BodyText"/>
      </w:pPr>
      <w:r w:rsidRPr="0087043D">
        <w:rPr>
          <w:snapToGrid/>
        </w:rPr>
        <w:t xml:space="preserve">The PBAC noted and welcomed the input from three organisations via the Consumer Comments facility on the PBS website. The comments described a range of benefits of treatment </w:t>
      </w:r>
      <w:r w:rsidR="006854EB" w:rsidRPr="0087043D">
        <w:rPr>
          <w:snapToGrid/>
        </w:rPr>
        <w:t xml:space="preserve">with </w:t>
      </w:r>
      <w:proofErr w:type="spellStart"/>
      <w:r w:rsidR="006854EB" w:rsidRPr="0087043D">
        <w:rPr>
          <w:snapToGrid/>
        </w:rPr>
        <w:t>NIVO+IPI+platinum</w:t>
      </w:r>
      <w:proofErr w:type="spellEnd"/>
      <w:r w:rsidR="006854EB" w:rsidRPr="0087043D">
        <w:rPr>
          <w:snapToGrid/>
        </w:rPr>
        <w:t xml:space="preserve"> including </w:t>
      </w:r>
      <w:r w:rsidRPr="0087043D">
        <w:rPr>
          <w:snapToGrid/>
        </w:rPr>
        <w:t>fewer side effects</w:t>
      </w:r>
      <w:r w:rsidR="006854EB" w:rsidRPr="0087043D">
        <w:rPr>
          <w:snapToGrid/>
        </w:rPr>
        <w:t xml:space="preserve"> related to reduced cycles of chemotherapy. </w:t>
      </w:r>
      <w:r w:rsidR="007B27EA" w:rsidRPr="0087043D">
        <w:rPr>
          <w:snapToGrid/>
        </w:rPr>
        <w:t>The Lung Foundation of Australia also</w:t>
      </w:r>
      <w:r w:rsidR="006854EB" w:rsidRPr="0087043D">
        <w:rPr>
          <w:snapToGrid/>
        </w:rPr>
        <w:t xml:space="preserve"> commented on the importance </w:t>
      </w:r>
      <w:r w:rsidR="000F551C" w:rsidRPr="0087043D">
        <w:rPr>
          <w:snapToGrid/>
        </w:rPr>
        <w:t xml:space="preserve">to consumers </w:t>
      </w:r>
      <w:r w:rsidR="006854EB" w:rsidRPr="0087043D">
        <w:rPr>
          <w:snapToGrid/>
        </w:rPr>
        <w:t>of having additional treatment options for patients with NSCLC</w:t>
      </w:r>
      <w:r w:rsidR="004311A6" w:rsidRPr="0087043D">
        <w:rPr>
          <w:snapToGrid/>
        </w:rPr>
        <w:t xml:space="preserve">, </w:t>
      </w:r>
      <w:r w:rsidR="004311A6" w:rsidRPr="0087043D">
        <w:t>even if there was no difference in clinical outcomes</w:t>
      </w:r>
      <w:r w:rsidR="006854EB" w:rsidRPr="0087043D">
        <w:rPr>
          <w:snapToGrid/>
        </w:rPr>
        <w:t xml:space="preserve">. </w:t>
      </w:r>
    </w:p>
    <w:p w:rsidR="00434FAC" w:rsidRPr="0087043D" w:rsidRDefault="00434FAC" w:rsidP="00434FAC">
      <w:pPr>
        <w:pStyle w:val="3-BodyText"/>
      </w:pPr>
      <w:r w:rsidRPr="0087043D">
        <w:t xml:space="preserve">The Medical Oncology Group of Australia (MOGA) also expressed its support for the </w:t>
      </w:r>
      <w:proofErr w:type="spellStart"/>
      <w:r w:rsidRPr="0087043D">
        <w:t>NIVO+IPI+platinum</w:t>
      </w:r>
      <w:proofErr w:type="spellEnd"/>
      <w:r w:rsidRPr="0087043D">
        <w:t xml:space="preserve"> submission. The PBAC noted that the MOGA presented a European Society for Medical Oncology Magnitude of Clinical Benefit Scale (ESMO-MCBS) for </w:t>
      </w:r>
      <w:proofErr w:type="spellStart"/>
      <w:r w:rsidRPr="0087043D">
        <w:t>NIVO+IPI+platinum</w:t>
      </w:r>
      <w:proofErr w:type="spellEnd"/>
      <w:r w:rsidRPr="0087043D">
        <w:t>, which was limited to 4 (out of a maximum of 5, where 5 and 4 represent the grades with substantial improvement), based on a comparison with platinum-based chemotherapy</w:t>
      </w:r>
      <w:r w:rsidRPr="0087043D">
        <w:rPr>
          <w:rStyle w:val="FootnoteReference"/>
        </w:rPr>
        <w:footnoteReference w:id="2"/>
      </w:r>
      <w:r w:rsidRPr="0087043D">
        <w:t>.</w:t>
      </w:r>
      <w:r w:rsidR="00264317" w:rsidRPr="0087043D">
        <w:t xml:space="preserve"> </w:t>
      </w:r>
    </w:p>
    <w:p w:rsidR="00B60939" w:rsidRPr="0087043D" w:rsidRDefault="00434FAC" w:rsidP="002E4F02">
      <w:pPr>
        <w:pStyle w:val="4-SubsectionHeading"/>
      </w:pPr>
      <w:r w:rsidRPr="0087043D">
        <w:t xml:space="preserve"> </w:t>
      </w:r>
      <w:r w:rsidR="00B60939" w:rsidRPr="0087043D">
        <w:t>Clinical trials</w:t>
      </w:r>
      <w:bookmarkEnd w:id="15"/>
      <w:bookmarkEnd w:id="16"/>
    </w:p>
    <w:p w:rsidR="00373DCB" w:rsidRPr="0087043D" w:rsidRDefault="00A73134" w:rsidP="00207235">
      <w:pPr>
        <w:pStyle w:val="3-BodyText"/>
        <w:spacing w:after="40"/>
      </w:pPr>
      <w:r w:rsidRPr="0087043D">
        <w:rPr>
          <w:snapToGrid/>
        </w:rPr>
        <w:t xml:space="preserve">The </w:t>
      </w:r>
      <w:r w:rsidR="00D271E8" w:rsidRPr="0087043D">
        <w:rPr>
          <w:snapToGrid/>
        </w:rPr>
        <w:t xml:space="preserve">comparison of </w:t>
      </w:r>
      <w:proofErr w:type="spellStart"/>
      <w:r w:rsidR="00D271E8" w:rsidRPr="0087043D">
        <w:rPr>
          <w:snapToGrid/>
        </w:rPr>
        <w:t>NIVO+IPI+platinum</w:t>
      </w:r>
      <w:proofErr w:type="spellEnd"/>
      <w:r w:rsidR="00D271E8" w:rsidRPr="0087043D">
        <w:rPr>
          <w:snapToGrid/>
        </w:rPr>
        <w:t xml:space="preserve"> versus </w:t>
      </w:r>
      <w:proofErr w:type="spellStart"/>
      <w:r w:rsidR="00D271E8" w:rsidRPr="0087043D">
        <w:rPr>
          <w:snapToGrid/>
        </w:rPr>
        <w:t>pembrolizumab+platinum</w:t>
      </w:r>
      <w:proofErr w:type="spellEnd"/>
      <w:r w:rsidR="00D271E8" w:rsidRPr="0087043D">
        <w:rPr>
          <w:snapToGrid/>
        </w:rPr>
        <w:t xml:space="preserve"> and </w:t>
      </w:r>
      <w:proofErr w:type="spellStart"/>
      <w:r w:rsidR="00D271E8" w:rsidRPr="0087043D">
        <w:rPr>
          <w:snapToGrid/>
        </w:rPr>
        <w:t>atezolizumab+bevacizumab+platinum</w:t>
      </w:r>
      <w:proofErr w:type="spellEnd"/>
      <w:r w:rsidRPr="0087043D">
        <w:rPr>
          <w:snapToGrid/>
        </w:rPr>
        <w:t xml:space="preserve"> </w:t>
      </w:r>
      <w:r w:rsidR="00D5243B" w:rsidRPr="0087043D">
        <w:rPr>
          <w:snapToGrid/>
        </w:rPr>
        <w:t>wa</w:t>
      </w:r>
      <w:r w:rsidRPr="0087043D">
        <w:rPr>
          <w:snapToGrid/>
        </w:rPr>
        <w:t xml:space="preserve">s based on </w:t>
      </w:r>
      <w:r w:rsidR="00373DCB" w:rsidRPr="0087043D">
        <w:rPr>
          <w:snapToGrid/>
        </w:rPr>
        <w:t>indirect comparisons using the following six trials:</w:t>
      </w:r>
    </w:p>
    <w:p w:rsidR="00373DCB" w:rsidRPr="0087043D" w:rsidRDefault="00373DCB" w:rsidP="008C7E0B">
      <w:pPr>
        <w:pStyle w:val="ListParagraph"/>
        <w:spacing w:after="0"/>
        <w:ind w:left="1134" w:hanging="357"/>
      </w:pPr>
      <w:proofErr w:type="spellStart"/>
      <w:r w:rsidRPr="0087043D">
        <w:t>CheckMate</w:t>
      </w:r>
      <w:proofErr w:type="spellEnd"/>
      <w:r w:rsidRPr="0087043D">
        <w:t xml:space="preserve"> 9LA (CM9LA): a randomised, open-label trial of </w:t>
      </w:r>
      <w:proofErr w:type="spellStart"/>
      <w:r w:rsidRPr="0087043D">
        <w:t>NIVO+IPI+platinum</w:t>
      </w:r>
      <w:proofErr w:type="spellEnd"/>
      <w:r w:rsidRPr="0087043D">
        <w:t xml:space="preserve"> (N=361) versus platinum-doublet chemotherapy (N=358) in patients with previously untreated metastatic NSCLC, irrespective of histology or PD-L1 expression status;</w:t>
      </w:r>
    </w:p>
    <w:p w:rsidR="00373DCB" w:rsidRPr="0087043D" w:rsidRDefault="00373DCB" w:rsidP="008C7E0B">
      <w:pPr>
        <w:pStyle w:val="ListParagraph"/>
        <w:spacing w:after="0"/>
        <w:ind w:left="1134" w:hanging="357"/>
      </w:pPr>
      <w:r w:rsidRPr="0087043D">
        <w:t xml:space="preserve">Keynote 189 (KN189): a randomised, double-blind trial comparing </w:t>
      </w:r>
      <w:proofErr w:type="spellStart"/>
      <w:r w:rsidRPr="0087043D">
        <w:t>pembrolizumab+platinum</w:t>
      </w:r>
      <w:proofErr w:type="spellEnd"/>
      <w:r w:rsidRPr="0087043D">
        <w:t xml:space="preserve"> (N=410) with </w:t>
      </w:r>
      <w:proofErr w:type="spellStart"/>
      <w:r w:rsidRPr="0087043D">
        <w:t>placebo+platinum</w:t>
      </w:r>
      <w:proofErr w:type="spellEnd"/>
      <w:r w:rsidRPr="0087043D">
        <w:t xml:space="preserve"> (N=206) in patients with previously untreated metastatic non-squamous NSCLC, irrespective of PD-L1 expression status;</w:t>
      </w:r>
      <w:r w:rsidRPr="0087043D">
        <w:rPr>
          <w:i/>
          <w:iCs/>
        </w:rPr>
        <w:t xml:space="preserve"> </w:t>
      </w:r>
    </w:p>
    <w:p w:rsidR="00373DCB" w:rsidRPr="0087043D" w:rsidRDefault="00373DCB" w:rsidP="008C7E0B">
      <w:pPr>
        <w:pStyle w:val="ListParagraph"/>
        <w:spacing w:after="0"/>
        <w:ind w:left="1134" w:hanging="357"/>
      </w:pPr>
      <w:r w:rsidRPr="0087043D">
        <w:t xml:space="preserve">Keynote 407 (KN407): a randomised, double-blind trial comparing </w:t>
      </w:r>
      <w:proofErr w:type="spellStart"/>
      <w:r w:rsidRPr="0087043D">
        <w:t>pembrolizumab+platinum</w:t>
      </w:r>
      <w:proofErr w:type="spellEnd"/>
      <w:r w:rsidRPr="0087043D">
        <w:t xml:space="preserve"> (N=278) with </w:t>
      </w:r>
      <w:proofErr w:type="spellStart"/>
      <w:r w:rsidRPr="0087043D">
        <w:t>placebo+platinum</w:t>
      </w:r>
      <w:proofErr w:type="spellEnd"/>
      <w:r w:rsidRPr="0087043D">
        <w:t xml:space="preserve"> (N=281) in patients with previously untreated metastatic squamous NSCLC, irrespective of PD-L1 expression status;</w:t>
      </w:r>
    </w:p>
    <w:p w:rsidR="008A0138" w:rsidRPr="008A0138" w:rsidRDefault="00AA72FC" w:rsidP="008A0138">
      <w:pPr>
        <w:pStyle w:val="ListParagraph"/>
        <w:spacing w:after="0"/>
        <w:ind w:left="1134" w:hanging="357"/>
      </w:pPr>
      <w:r w:rsidRPr="0087043D">
        <w:t>IM</w:t>
      </w:r>
      <w:r w:rsidR="00373DCB" w:rsidRPr="0087043D">
        <w:t xml:space="preserve">power150: a randomised, open-label trial comparing </w:t>
      </w:r>
      <w:proofErr w:type="spellStart"/>
      <w:r w:rsidR="00373DCB" w:rsidRPr="0087043D">
        <w:t>atezolizumab+bevacizumab+platinum</w:t>
      </w:r>
      <w:proofErr w:type="spellEnd"/>
      <w:r w:rsidR="00373DCB" w:rsidRPr="0087043D">
        <w:t xml:space="preserve"> (N=402) with </w:t>
      </w:r>
      <w:proofErr w:type="spellStart"/>
      <w:r w:rsidR="00373DCB" w:rsidRPr="0087043D">
        <w:t>atezolizumab+platinum</w:t>
      </w:r>
      <w:proofErr w:type="spellEnd"/>
      <w:r w:rsidR="00373DCB" w:rsidRPr="0087043D">
        <w:t xml:space="preserve"> (N=400) and </w:t>
      </w:r>
      <w:proofErr w:type="spellStart"/>
      <w:r w:rsidR="00373DCB" w:rsidRPr="0087043D">
        <w:t>bevacizumab+platinum</w:t>
      </w:r>
      <w:proofErr w:type="spellEnd"/>
      <w:r w:rsidR="00373DCB" w:rsidRPr="0087043D">
        <w:t xml:space="preserve"> (N=400) in patients with previously untreated metastatic non-squamous NSCLC, irrespective of PD-L1 expression status;</w:t>
      </w:r>
    </w:p>
    <w:p w:rsidR="00862502" w:rsidRPr="0087043D" w:rsidRDefault="00A73134" w:rsidP="008A0138">
      <w:pPr>
        <w:pStyle w:val="3-BodyText"/>
        <w:spacing w:before="120"/>
        <w:rPr>
          <w:snapToGrid/>
        </w:rPr>
      </w:pPr>
      <w:r w:rsidRPr="0087043D">
        <w:rPr>
          <w:snapToGrid/>
        </w:rPr>
        <w:t>Details of the trial</w:t>
      </w:r>
      <w:r w:rsidR="00BE005F" w:rsidRPr="0087043D">
        <w:rPr>
          <w:snapToGrid/>
        </w:rPr>
        <w:t>s</w:t>
      </w:r>
      <w:r w:rsidR="00B03A4B" w:rsidRPr="0087043D">
        <w:rPr>
          <w:snapToGrid/>
        </w:rPr>
        <w:t xml:space="preserve"> </w:t>
      </w:r>
      <w:r w:rsidRPr="0087043D">
        <w:rPr>
          <w:snapToGrid/>
        </w:rPr>
        <w:t>presented in the submission are provided in the table below.</w:t>
      </w:r>
      <w:r w:rsidR="00BC591F" w:rsidRPr="0087043D">
        <w:rPr>
          <w:snapToGrid/>
        </w:rPr>
        <w:t xml:space="preserve"> </w:t>
      </w:r>
    </w:p>
    <w:p w:rsidR="008D30E9" w:rsidRPr="0087043D" w:rsidRDefault="008D30E9" w:rsidP="008D30E9">
      <w:pPr>
        <w:pStyle w:val="TableFigureHeading"/>
        <w:keepLines/>
      </w:pPr>
      <w:r w:rsidRPr="0087043D">
        <w:t xml:space="preserve">Table </w:t>
      </w:r>
      <w:r w:rsidR="00C71489" w:rsidRPr="0087043D">
        <w:t>2</w:t>
      </w:r>
      <w:r w:rsidR="008E0D3C" w:rsidRPr="0087043D">
        <w:rPr>
          <w:rStyle w:val="CommentReference"/>
          <w:b/>
          <w:szCs w:val="24"/>
        </w:rPr>
        <w:t>:</w:t>
      </w:r>
      <w:r w:rsidR="00BC591F" w:rsidRPr="0087043D">
        <w:rPr>
          <w:rStyle w:val="CommentReference"/>
          <w:b/>
          <w:szCs w:val="24"/>
        </w:rPr>
        <w:t xml:space="preserve"> </w:t>
      </w:r>
      <w:r w:rsidR="008E0D3C" w:rsidRPr="0087043D">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8D30E9" w:rsidRPr="0087043D" w:rsidTr="008A0138">
        <w:trPr>
          <w:tblHeader/>
        </w:trPr>
        <w:tc>
          <w:tcPr>
            <w:tcW w:w="796" w:type="pct"/>
            <w:vAlign w:val="center"/>
          </w:tcPr>
          <w:p w:rsidR="008D30E9" w:rsidRPr="0087043D" w:rsidRDefault="008D30E9" w:rsidP="008D30E9">
            <w:pPr>
              <w:pStyle w:val="In-tableHeading"/>
              <w:keepLines/>
              <w:rPr>
                <w:lang w:val="en-AU"/>
              </w:rPr>
            </w:pPr>
            <w:r w:rsidRPr="0087043D">
              <w:rPr>
                <w:lang w:val="en-AU"/>
              </w:rPr>
              <w:t>Trial ID</w:t>
            </w:r>
          </w:p>
        </w:tc>
        <w:tc>
          <w:tcPr>
            <w:tcW w:w="3027" w:type="pct"/>
            <w:vAlign w:val="center"/>
          </w:tcPr>
          <w:p w:rsidR="008D30E9" w:rsidRPr="0087043D" w:rsidRDefault="008D30E9" w:rsidP="008D30E9">
            <w:pPr>
              <w:pStyle w:val="In-tableHeading"/>
              <w:keepLines/>
              <w:rPr>
                <w:lang w:val="en-AU"/>
              </w:rPr>
            </w:pPr>
            <w:r w:rsidRPr="0087043D">
              <w:rPr>
                <w:lang w:val="en-AU"/>
              </w:rPr>
              <w:t>Protocol title/ Publication title</w:t>
            </w:r>
          </w:p>
        </w:tc>
        <w:tc>
          <w:tcPr>
            <w:tcW w:w="1177" w:type="pct"/>
            <w:vAlign w:val="center"/>
          </w:tcPr>
          <w:p w:rsidR="008D30E9" w:rsidRPr="0087043D" w:rsidRDefault="008D30E9" w:rsidP="008D30E9">
            <w:pPr>
              <w:pStyle w:val="In-tableHeading"/>
              <w:keepLines/>
              <w:rPr>
                <w:lang w:val="en-AU"/>
              </w:rPr>
            </w:pPr>
            <w:r w:rsidRPr="0087043D">
              <w:rPr>
                <w:lang w:val="en-AU"/>
              </w:rPr>
              <w:t>Publication citation</w:t>
            </w:r>
          </w:p>
        </w:tc>
      </w:tr>
      <w:tr w:rsidR="008D30E9" w:rsidRPr="0087043D" w:rsidTr="008A0138">
        <w:tc>
          <w:tcPr>
            <w:tcW w:w="796" w:type="pct"/>
            <w:tcBorders>
              <w:bottom w:val="nil"/>
            </w:tcBorders>
          </w:tcPr>
          <w:p w:rsidR="008D30E9" w:rsidRPr="0087043D" w:rsidRDefault="008D30E9" w:rsidP="00C1751B">
            <w:pPr>
              <w:pStyle w:val="TableText0"/>
            </w:pPr>
            <w:proofErr w:type="spellStart"/>
            <w:r w:rsidRPr="0087043D">
              <w:t>CheckMate</w:t>
            </w:r>
            <w:proofErr w:type="spellEnd"/>
            <w:r w:rsidRPr="0087043D">
              <w:t xml:space="preserve"> 9LA</w:t>
            </w:r>
          </w:p>
        </w:tc>
        <w:tc>
          <w:tcPr>
            <w:tcW w:w="3027" w:type="pct"/>
            <w:tcBorders>
              <w:bottom w:val="nil"/>
            </w:tcBorders>
            <w:vAlign w:val="center"/>
          </w:tcPr>
          <w:p w:rsidR="008D30E9" w:rsidRPr="0087043D" w:rsidRDefault="008D30E9" w:rsidP="008D30E9">
            <w:pPr>
              <w:pStyle w:val="TableText0"/>
            </w:pPr>
            <w:r w:rsidRPr="0087043D">
              <w:t>Interim analysis Clinical Study Report: A Phase 3, randomized study of nivolumab plus ipilimumab in combination with chemotherapy vs chemotherapy alone as first line therapy in Stage IV non-small cell lung cancer (NSCLC).</w:t>
            </w:r>
          </w:p>
        </w:tc>
        <w:tc>
          <w:tcPr>
            <w:tcW w:w="1177" w:type="pct"/>
            <w:tcBorders>
              <w:bottom w:val="nil"/>
            </w:tcBorders>
            <w:vAlign w:val="center"/>
          </w:tcPr>
          <w:p w:rsidR="008D30E9" w:rsidRPr="0087043D" w:rsidRDefault="008D30E9" w:rsidP="008D30E9">
            <w:pPr>
              <w:pStyle w:val="TableText0"/>
            </w:pPr>
            <w:r w:rsidRPr="0087043D">
              <w:t>January 2020</w:t>
            </w:r>
          </w:p>
        </w:tc>
      </w:tr>
      <w:tr w:rsidR="008D30E9" w:rsidRPr="0087043D" w:rsidTr="008A0138">
        <w:tc>
          <w:tcPr>
            <w:tcW w:w="796" w:type="pct"/>
            <w:tcBorders>
              <w:top w:val="nil"/>
              <w:bottom w:val="nil"/>
            </w:tcBorders>
            <w:vAlign w:val="center"/>
          </w:tcPr>
          <w:p w:rsidR="008D30E9" w:rsidRPr="0087043D" w:rsidRDefault="008D30E9" w:rsidP="008D30E9">
            <w:pPr>
              <w:pStyle w:val="TableText0"/>
            </w:pPr>
          </w:p>
        </w:tc>
        <w:tc>
          <w:tcPr>
            <w:tcW w:w="3027" w:type="pct"/>
            <w:tcBorders>
              <w:top w:val="nil"/>
              <w:bottom w:val="nil"/>
            </w:tcBorders>
            <w:vAlign w:val="center"/>
          </w:tcPr>
          <w:p w:rsidR="008D30E9" w:rsidRPr="0087043D" w:rsidRDefault="008D30E9" w:rsidP="008D30E9">
            <w:pPr>
              <w:pStyle w:val="TableText0"/>
              <w:rPr>
                <w:szCs w:val="18"/>
              </w:rPr>
            </w:pPr>
            <w:r w:rsidRPr="0087043D">
              <w:t>Updated analysis Clinical Study Report: A Phase 3, randomized study of nivolumab plus ipilimumab in combination with chemotherapy vs chemotherapy alone as first line therapy in Stage IV non-small cell lung cancer (NSCLC).</w:t>
            </w:r>
          </w:p>
        </w:tc>
        <w:tc>
          <w:tcPr>
            <w:tcW w:w="1177" w:type="pct"/>
            <w:tcBorders>
              <w:top w:val="nil"/>
              <w:bottom w:val="nil"/>
            </w:tcBorders>
            <w:vAlign w:val="center"/>
          </w:tcPr>
          <w:p w:rsidR="008D30E9" w:rsidRPr="0087043D" w:rsidRDefault="008D30E9" w:rsidP="008D30E9">
            <w:pPr>
              <w:pStyle w:val="TableText0"/>
              <w:rPr>
                <w:iCs/>
                <w:szCs w:val="18"/>
              </w:rPr>
            </w:pPr>
            <w:r w:rsidRPr="0087043D">
              <w:rPr>
                <w:iCs/>
                <w:szCs w:val="18"/>
              </w:rPr>
              <w:t>June 2020</w:t>
            </w:r>
          </w:p>
        </w:tc>
      </w:tr>
      <w:tr w:rsidR="008D30E9" w:rsidRPr="0087043D" w:rsidTr="008A0138">
        <w:tc>
          <w:tcPr>
            <w:tcW w:w="796" w:type="pct"/>
            <w:tcBorders>
              <w:bottom w:val="nil"/>
            </w:tcBorders>
            <w:vAlign w:val="center"/>
          </w:tcPr>
          <w:p w:rsidR="008D30E9" w:rsidRPr="0087043D" w:rsidRDefault="008D30E9" w:rsidP="008D30E9">
            <w:pPr>
              <w:pStyle w:val="TableText0"/>
            </w:pPr>
            <w:r w:rsidRPr="0087043D">
              <w:t xml:space="preserve">Keynote 189 </w:t>
            </w:r>
            <w:r w:rsidRPr="0087043D">
              <w:br/>
              <w:t>(KN 189)</w:t>
            </w:r>
          </w:p>
        </w:tc>
        <w:tc>
          <w:tcPr>
            <w:tcW w:w="3027" w:type="pct"/>
            <w:tcBorders>
              <w:bottom w:val="nil"/>
            </w:tcBorders>
            <w:vAlign w:val="center"/>
          </w:tcPr>
          <w:p w:rsidR="008D30E9" w:rsidRPr="0087043D" w:rsidRDefault="008D30E9" w:rsidP="008D30E9">
            <w:pPr>
              <w:pStyle w:val="TableText0"/>
            </w:pPr>
            <w:r w:rsidRPr="0087043D">
              <w:rPr>
                <w:szCs w:val="18"/>
              </w:rPr>
              <w:t xml:space="preserve">Gandhi L, Rodriguez-Abreu D, </w:t>
            </w:r>
            <w:proofErr w:type="spellStart"/>
            <w:r w:rsidRPr="0087043D">
              <w:rPr>
                <w:szCs w:val="18"/>
              </w:rPr>
              <w:t>Gadgeel</w:t>
            </w:r>
            <w:proofErr w:type="spellEnd"/>
            <w:r w:rsidRPr="0087043D">
              <w:rPr>
                <w:szCs w:val="18"/>
              </w:rPr>
              <w:t xml:space="preserve"> S et al. </w:t>
            </w:r>
            <w:proofErr w:type="spellStart"/>
            <w:r w:rsidRPr="0087043D">
              <w:rPr>
                <w:szCs w:val="18"/>
              </w:rPr>
              <w:t>Pembrolizumab</w:t>
            </w:r>
            <w:proofErr w:type="spellEnd"/>
            <w:r w:rsidRPr="0087043D">
              <w:rPr>
                <w:szCs w:val="18"/>
              </w:rPr>
              <w:t xml:space="preserve"> plus chemotherapy in metastatic non-small-cell lung cancer.</w:t>
            </w:r>
            <w:r w:rsidRPr="0087043D">
              <w:t xml:space="preserve"> </w:t>
            </w:r>
          </w:p>
        </w:tc>
        <w:tc>
          <w:tcPr>
            <w:tcW w:w="1177" w:type="pct"/>
            <w:tcBorders>
              <w:bottom w:val="nil"/>
            </w:tcBorders>
            <w:vAlign w:val="center"/>
          </w:tcPr>
          <w:p w:rsidR="008D30E9" w:rsidRPr="0087043D" w:rsidRDefault="008D30E9" w:rsidP="008D30E9">
            <w:pPr>
              <w:pStyle w:val="TableText0"/>
            </w:pPr>
            <w:r w:rsidRPr="0087043D">
              <w:rPr>
                <w:i/>
                <w:iCs/>
              </w:rPr>
              <w:t>NEJM</w:t>
            </w:r>
            <w:r w:rsidRPr="0087043D">
              <w:t xml:space="preserve"> 2018; 378: 2078-2092.</w:t>
            </w:r>
          </w:p>
        </w:tc>
      </w:tr>
      <w:tr w:rsidR="008D30E9" w:rsidRPr="0087043D" w:rsidTr="008A0138">
        <w:tc>
          <w:tcPr>
            <w:tcW w:w="796" w:type="pct"/>
            <w:tcBorders>
              <w:top w:val="nil"/>
              <w:bottom w:val="nil"/>
            </w:tcBorders>
            <w:vAlign w:val="center"/>
          </w:tcPr>
          <w:p w:rsidR="008D30E9" w:rsidRPr="0087043D" w:rsidRDefault="008D30E9" w:rsidP="008D30E9">
            <w:pPr>
              <w:pStyle w:val="TableText0"/>
            </w:pPr>
          </w:p>
        </w:tc>
        <w:tc>
          <w:tcPr>
            <w:tcW w:w="3027" w:type="pct"/>
            <w:tcBorders>
              <w:top w:val="nil"/>
              <w:bottom w:val="nil"/>
            </w:tcBorders>
            <w:vAlign w:val="center"/>
          </w:tcPr>
          <w:p w:rsidR="008D30E9" w:rsidRPr="0087043D" w:rsidRDefault="008D30E9" w:rsidP="008D30E9">
            <w:pPr>
              <w:pStyle w:val="TableText0"/>
              <w:rPr>
                <w:szCs w:val="18"/>
              </w:rPr>
            </w:pPr>
            <w:proofErr w:type="spellStart"/>
            <w:r w:rsidRPr="0087043D">
              <w:rPr>
                <w:szCs w:val="18"/>
              </w:rPr>
              <w:t>Gadgeel</w:t>
            </w:r>
            <w:proofErr w:type="spellEnd"/>
            <w:r w:rsidRPr="0087043D">
              <w:rPr>
                <w:szCs w:val="18"/>
              </w:rPr>
              <w:t xml:space="preserve"> S, Rodriguez-</w:t>
            </w:r>
            <w:proofErr w:type="spellStart"/>
            <w:r w:rsidRPr="0087043D">
              <w:rPr>
                <w:szCs w:val="18"/>
              </w:rPr>
              <w:t>Abreau</w:t>
            </w:r>
            <w:proofErr w:type="spellEnd"/>
            <w:r w:rsidRPr="0087043D">
              <w:rPr>
                <w:szCs w:val="18"/>
              </w:rPr>
              <w:t xml:space="preserve"> D </w:t>
            </w:r>
            <w:proofErr w:type="spellStart"/>
            <w:r w:rsidRPr="0087043D">
              <w:rPr>
                <w:szCs w:val="18"/>
              </w:rPr>
              <w:t>Speranza</w:t>
            </w:r>
            <w:proofErr w:type="spellEnd"/>
            <w:r w:rsidRPr="0087043D">
              <w:rPr>
                <w:szCs w:val="18"/>
              </w:rPr>
              <w:t xml:space="preserve"> G et al. Updated analysis from Keynote-189: </w:t>
            </w:r>
            <w:proofErr w:type="spellStart"/>
            <w:r w:rsidRPr="0087043D">
              <w:rPr>
                <w:szCs w:val="18"/>
              </w:rPr>
              <w:t>pembrolizumab</w:t>
            </w:r>
            <w:proofErr w:type="spellEnd"/>
            <w:r w:rsidRPr="0087043D">
              <w:rPr>
                <w:szCs w:val="18"/>
              </w:rPr>
              <w:t xml:space="preserve"> or placebo plus </w:t>
            </w:r>
            <w:proofErr w:type="spellStart"/>
            <w:r w:rsidRPr="0087043D">
              <w:rPr>
                <w:szCs w:val="18"/>
              </w:rPr>
              <w:t>pemetrexed</w:t>
            </w:r>
            <w:proofErr w:type="spellEnd"/>
            <w:r w:rsidRPr="0087043D">
              <w:rPr>
                <w:szCs w:val="18"/>
              </w:rPr>
              <w:t xml:space="preserve"> and platinum for previously untreated metastatic </w:t>
            </w:r>
            <w:proofErr w:type="spellStart"/>
            <w:r w:rsidRPr="0087043D">
              <w:rPr>
                <w:szCs w:val="18"/>
              </w:rPr>
              <w:t>nonsquamous</w:t>
            </w:r>
            <w:proofErr w:type="spellEnd"/>
            <w:r w:rsidRPr="0087043D">
              <w:rPr>
                <w:szCs w:val="18"/>
              </w:rPr>
              <w:t xml:space="preserve"> non-small-cell lung cancer.</w:t>
            </w:r>
          </w:p>
        </w:tc>
        <w:tc>
          <w:tcPr>
            <w:tcW w:w="1177" w:type="pct"/>
            <w:tcBorders>
              <w:top w:val="nil"/>
              <w:bottom w:val="nil"/>
            </w:tcBorders>
            <w:vAlign w:val="center"/>
          </w:tcPr>
          <w:p w:rsidR="008D30E9" w:rsidRPr="0087043D" w:rsidRDefault="008D30E9" w:rsidP="008D30E9">
            <w:pPr>
              <w:pStyle w:val="TableText0"/>
              <w:rPr>
                <w:iCs/>
              </w:rPr>
            </w:pPr>
            <w:r w:rsidRPr="0087043D">
              <w:rPr>
                <w:i/>
                <w:szCs w:val="18"/>
              </w:rPr>
              <w:t>Journal of Clinical Oncology</w:t>
            </w:r>
            <w:r w:rsidRPr="0087043D">
              <w:rPr>
                <w:iCs/>
                <w:szCs w:val="18"/>
              </w:rPr>
              <w:t xml:space="preserve"> 2020; 38: 1505-1517.</w:t>
            </w:r>
          </w:p>
        </w:tc>
      </w:tr>
      <w:tr w:rsidR="008D30E9" w:rsidRPr="0087043D" w:rsidTr="008A0138">
        <w:tc>
          <w:tcPr>
            <w:tcW w:w="796" w:type="pct"/>
            <w:tcBorders>
              <w:bottom w:val="nil"/>
            </w:tcBorders>
            <w:vAlign w:val="center"/>
          </w:tcPr>
          <w:p w:rsidR="008D30E9" w:rsidRPr="0087043D" w:rsidRDefault="008D30E9" w:rsidP="008D30E9">
            <w:pPr>
              <w:pStyle w:val="TableText0"/>
            </w:pPr>
            <w:r w:rsidRPr="0087043D">
              <w:t>Keynote 407</w:t>
            </w:r>
            <w:r w:rsidRPr="0087043D">
              <w:br/>
              <w:t>(KN 407)</w:t>
            </w:r>
          </w:p>
        </w:tc>
        <w:tc>
          <w:tcPr>
            <w:tcW w:w="3027" w:type="pct"/>
            <w:tcBorders>
              <w:bottom w:val="nil"/>
            </w:tcBorders>
            <w:vAlign w:val="center"/>
          </w:tcPr>
          <w:p w:rsidR="008D30E9" w:rsidRPr="0087043D" w:rsidRDefault="008D30E9" w:rsidP="008D30E9">
            <w:pPr>
              <w:pStyle w:val="TableText0"/>
            </w:pPr>
            <w:r w:rsidRPr="0087043D">
              <w:rPr>
                <w:szCs w:val="18"/>
              </w:rPr>
              <w:t xml:space="preserve">Paz-Ares L. </w:t>
            </w:r>
            <w:proofErr w:type="spellStart"/>
            <w:r w:rsidRPr="0087043D">
              <w:rPr>
                <w:szCs w:val="18"/>
              </w:rPr>
              <w:t>Luft</w:t>
            </w:r>
            <w:proofErr w:type="spellEnd"/>
            <w:r w:rsidRPr="0087043D">
              <w:rPr>
                <w:szCs w:val="18"/>
              </w:rPr>
              <w:t xml:space="preserve"> A, Vicente D et al. </w:t>
            </w:r>
            <w:proofErr w:type="spellStart"/>
            <w:r w:rsidRPr="0087043D">
              <w:rPr>
                <w:szCs w:val="18"/>
              </w:rPr>
              <w:t>Pembrolizumab</w:t>
            </w:r>
            <w:proofErr w:type="spellEnd"/>
            <w:r w:rsidRPr="0087043D">
              <w:rPr>
                <w:szCs w:val="18"/>
              </w:rPr>
              <w:t xml:space="preserve"> plus chemotherapy for squamous non-small-cell lung cancer.</w:t>
            </w:r>
          </w:p>
        </w:tc>
        <w:tc>
          <w:tcPr>
            <w:tcW w:w="1177" w:type="pct"/>
            <w:tcBorders>
              <w:bottom w:val="nil"/>
            </w:tcBorders>
            <w:vAlign w:val="center"/>
          </w:tcPr>
          <w:p w:rsidR="008D30E9" w:rsidRPr="0087043D" w:rsidRDefault="008D30E9" w:rsidP="008D30E9">
            <w:pPr>
              <w:pStyle w:val="TableText0"/>
            </w:pPr>
            <w:r w:rsidRPr="0087043D">
              <w:rPr>
                <w:i/>
                <w:iCs/>
              </w:rPr>
              <w:t>NEJM</w:t>
            </w:r>
            <w:r w:rsidRPr="0087043D">
              <w:t xml:space="preserve"> 2018; 379: 2040-2051.</w:t>
            </w:r>
          </w:p>
        </w:tc>
      </w:tr>
      <w:tr w:rsidR="008D30E9" w:rsidRPr="0087043D" w:rsidTr="008A0138">
        <w:tc>
          <w:tcPr>
            <w:tcW w:w="796" w:type="pct"/>
            <w:tcBorders>
              <w:top w:val="nil"/>
              <w:bottom w:val="nil"/>
            </w:tcBorders>
            <w:vAlign w:val="center"/>
          </w:tcPr>
          <w:p w:rsidR="008D30E9" w:rsidRPr="0087043D" w:rsidRDefault="008D30E9" w:rsidP="008D30E9">
            <w:pPr>
              <w:pStyle w:val="TableText0"/>
            </w:pPr>
          </w:p>
        </w:tc>
        <w:tc>
          <w:tcPr>
            <w:tcW w:w="3027" w:type="pct"/>
            <w:tcBorders>
              <w:top w:val="nil"/>
              <w:bottom w:val="nil"/>
            </w:tcBorders>
            <w:vAlign w:val="center"/>
          </w:tcPr>
          <w:p w:rsidR="008D30E9" w:rsidRPr="0087043D" w:rsidRDefault="008D30E9" w:rsidP="008D30E9">
            <w:pPr>
              <w:pStyle w:val="TableText0"/>
              <w:rPr>
                <w:szCs w:val="18"/>
              </w:rPr>
            </w:pPr>
            <w:r w:rsidRPr="0087043D">
              <w:rPr>
                <w:szCs w:val="18"/>
              </w:rPr>
              <w:t xml:space="preserve">Paz-Ares L, Vicente D, </w:t>
            </w:r>
            <w:proofErr w:type="spellStart"/>
            <w:r w:rsidRPr="0087043D">
              <w:rPr>
                <w:szCs w:val="18"/>
              </w:rPr>
              <w:t>Tafreshi</w:t>
            </w:r>
            <w:proofErr w:type="spellEnd"/>
            <w:r w:rsidRPr="0087043D">
              <w:rPr>
                <w:szCs w:val="18"/>
              </w:rPr>
              <w:t xml:space="preserve"> A et al. A randomized, placebo-controlled trial of </w:t>
            </w:r>
            <w:proofErr w:type="spellStart"/>
            <w:r w:rsidRPr="0087043D">
              <w:rPr>
                <w:szCs w:val="18"/>
              </w:rPr>
              <w:t>pembrolizumab</w:t>
            </w:r>
            <w:proofErr w:type="spellEnd"/>
            <w:r w:rsidRPr="0087043D">
              <w:rPr>
                <w:szCs w:val="18"/>
              </w:rPr>
              <w:t xml:space="preserve"> plus chemotherapy in patients with metastatic squamous non-small-cell lung cancer: protocol-specified final analysis of Keynote-407.</w:t>
            </w:r>
          </w:p>
        </w:tc>
        <w:tc>
          <w:tcPr>
            <w:tcW w:w="1177" w:type="pct"/>
            <w:tcBorders>
              <w:top w:val="nil"/>
              <w:bottom w:val="nil"/>
            </w:tcBorders>
            <w:vAlign w:val="center"/>
          </w:tcPr>
          <w:p w:rsidR="008D30E9" w:rsidRPr="0087043D" w:rsidRDefault="00A20814" w:rsidP="008D30E9">
            <w:pPr>
              <w:pStyle w:val="TableText0"/>
              <w:rPr>
                <w:iCs/>
                <w:szCs w:val="18"/>
              </w:rPr>
            </w:pPr>
            <w:r w:rsidRPr="0087043D">
              <w:rPr>
                <w:i/>
                <w:szCs w:val="18"/>
              </w:rPr>
              <w:t>Journal of Thoracic Oncology</w:t>
            </w:r>
            <w:r w:rsidR="008D30E9" w:rsidRPr="0087043D">
              <w:rPr>
                <w:i/>
                <w:szCs w:val="18"/>
              </w:rPr>
              <w:t xml:space="preserve"> </w:t>
            </w:r>
            <w:r w:rsidR="008D30E9" w:rsidRPr="0087043D">
              <w:rPr>
                <w:iCs/>
                <w:szCs w:val="18"/>
              </w:rPr>
              <w:t xml:space="preserve">2020, </w:t>
            </w:r>
            <w:proofErr w:type="spellStart"/>
            <w:r w:rsidR="008D30E9" w:rsidRPr="0087043D">
              <w:rPr>
                <w:iCs/>
                <w:szCs w:val="18"/>
              </w:rPr>
              <w:t>doi</w:t>
            </w:r>
            <w:proofErr w:type="spellEnd"/>
            <w:r w:rsidR="008D30E9" w:rsidRPr="0087043D">
              <w:rPr>
                <w:iCs/>
                <w:szCs w:val="18"/>
              </w:rPr>
              <w:t>: 10.1016/jtho.2020.06.015 [</w:t>
            </w:r>
            <w:proofErr w:type="spellStart"/>
            <w:r w:rsidR="008D30E9" w:rsidRPr="0087043D">
              <w:rPr>
                <w:iCs/>
                <w:szCs w:val="18"/>
              </w:rPr>
              <w:t>Epub</w:t>
            </w:r>
            <w:proofErr w:type="spellEnd"/>
            <w:r w:rsidR="008D30E9" w:rsidRPr="0087043D">
              <w:rPr>
                <w:iCs/>
                <w:szCs w:val="18"/>
              </w:rPr>
              <w:t xml:space="preserve"> ahead of print].</w:t>
            </w:r>
          </w:p>
        </w:tc>
      </w:tr>
      <w:tr w:rsidR="008D30E9" w:rsidRPr="0087043D" w:rsidTr="008A0138">
        <w:tc>
          <w:tcPr>
            <w:tcW w:w="796" w:type="pct"/>
            <w:tcBorders>
              <w:top w:val="nil"/>
              <w:bottom w:val="nil"/>
            </w:tcBorders>
            <w:vAlign w:val="center"/>
          </w:tcPr>
          <w:p w:rsidR="008D30E9" w:rsidRPr="0087043D" w:rsidRDefault="008D30E9" w:rsidP="008D30E9">
            <w:pPr>
              <w:pStyle w:val="TableText0"/>
            </w:pPr>
          </w:p>
        </w:tc>
        <w:tc>
          <w:tcPr>
            <w:tcW w:w="3027" w:type="pct"/>
            <w:tcBorders>
              <w:top w:val="nil"/>
              <w:bottom w:val="nil"/>
            </w:tcBorders>
            <w:vAlign w:val="center"/>
          </w:tcPr>
          <w:p w:rsidR="008D30E9" w:rsidRPr="0087043D" w:rsidRDefault="008D30E9" w:rsidP="008D30E9">
            <w:pPr>
              <w:pStyle w:val="TableText0"/>
              <w:rPr>
                <w:szCs w:val="18"/>
              </w:rPr>
            </w:pPr>
            <w:r w:rsidRPr="0087043D">
              <w:rPr>
                <w:szCs w:val="18"/>
              </w:rPr>
              <w:t xml:space="preserve">Paz-Ares L, Vicente D, </w:t>
            </w:r>
            <w:proofErr w:type="spellStart"/>
            <w:r w:rsidRPr="0087043D">
              <w:rPr>
                <w:szCs w:val="18"/>
              </w:rPr>
              <w:t>Tafreshi</w:t>
            </w:r>
            <w:proofErr w:type="spellEnd"/>
            <w:r w:rsidRPr="0087043D">
              <w:rPr>
                <w:szCs w:val="18"/>
              </w:rPr>
              <w:t xml:space="preserve"> A et al. </w:t>
            </w:r>
            <w:proofErr w:type="spellStart"/>
            <w:r w:rsidRPr="0087043D">
              <w:rPr>
                <w:szCs w:val="18"/>
              </w:rPr>
              <w:t>Pembrolizumab</w:t>
            </w:r>
            <w:proofErr w:type="spellEnd"/>
            <w:r w:rsidRPr="0087043D">
              <w:rPr>
                <w:szCs w:val="18"/>
              </w:rPr>
              <w:t xml:space="preserve"> plus chemotherapy in metastatic squamous NSCLC: final analysis and progression after the next line of therapy (PFS2) in Keynote-470.</w:t>
            </w:r>
          </w:p>
        </w:tc>
        <w:tc>
          <w:tcPr>
            <w:tcW w:w="1177" w:type="pct"/>
            <w:tcBorders>
              <w:top w:val="nil"/>
              <w:bottom w:val="nil"/>
            </w:tcBorders>
            <w:vAlign w:val="center"/>
          </w:tcPr>
          <w:p w:rsidR="008D30E9" w:rsidRPr="0087043D" w:rsidRDefault="008D30E9" w:rsidP="008D30E9">
            <w:pPr>
              <w:pStyle w:val="TableText0"/>
              <w:rPr>
                <w:i/>
                <w:szCs w:val="18"/>
              </w:rPr>
            </w:pPr>
            <w:r w:rsidRPr="0087043D">
              <w:rPr>
                <w:i/>
                <w:szCs w:val="18"/>
              </w:rPr>
              <w:t>Annals of Oncology</w:t>
            </w:r>
            <w:r w:rsidRPr="0087043D">
              <w:rPr>
                <w:iCs/>
                <w:szCs w:val="18"/>
              </w:rPr>
              <w:t xml:space="preserve"> 2019; 30(</w:t>
            </w:r>
            <w:proofErr w:type="spellStart"/>
            <w:r w:rsidRPr="0087043D">
              <w:rPr>
                <w:iCs/>
                <w:szCs w:val="18"/>
              </w:rPr>
              <w:t>suppl</w:t>
            </w:r>
            <w:proofErr w:type="spellEnd"/>
            <w:r w:rsidRPr="0087043D">
              <w:rPr>
                <w:iCs/>
                <w:szCs w:val="18"/>
              </w:rPr>
              <w:t xml:space="preserve"> 5): </w:t>
            </w:r>
            <w:proofErr w:type="spellStart"/>
            <w:r w:rsidRPr="0087043D">
              <w:rPr>
                <w:iCs/>
                <w:szCs w:val="18"/>
              </w:rPr>
              <w:t>pp.mdz</w:t>
            </w:r>
            <w:proofErr w:type="spellEnd"/>
            <w:r w:rsidRPr="0087043D">
              <w:rPr>
                <w:iCs/>
                <w:szCs w:val="18"/>
              </w:rPr>
              <w:t xml:space="preserve"> 394-080.</w:t>
            </w:r>
          </w:p>
        </w:tc>
      </w:tr>
      <w:tr w:rsidR="008D30E9" w:rsidRPr="0087043D" w:rsidTr="008A0138">
        <w:tc>
          <w:tcPr>
            <w:tcW w:w="796" w:type="pct"/>
            <w:tcBorders>
              <w:top w:val="nil"/>
              <w:bottom w:val="single" w:sz="4" w:space="0" w:color="auto"/>
            </w:tcBorders>
            <w:vAlign w:val="center"/>
          </w:tcPr>
          <w:p w:rsidR="008D30E9" w:rsidRPr="0087043D" w:rsidRDefault="008D30E9" w:rsidP="008D30E9">
            <w:pPr>
              <w:pStyle w:val="TableText0"/>
            </w:pPr>
          </w:p>
        </w:tc>
        <w:tc>
          <w:tcPr>
            <w:tcW w:w="3027" w:type="pct"/>
            <w:tcBorders>
              <w:top w:val="nil"/>
              <w:bottom w:val="single" w:sz="4" w:space="0" w:color="auto"/>
            </w:tcBorders>
            <w:vAlign w:val="center"/>
          </w:tcPr>
          <w:p w:rsidR="008D30E9" w:rsidRPr="0087043D" w:rsidRDefault="00B03A4B" w:rsidP="008D30E9">
            <w:pPr>
              <w:pStyle w:val="TableText0"/>
              <w:rPr>
                <w:szCs w:val="18"/>
              </w:rPr>
            </w:pPr>
            <w:proofErr w:type="spellStart"/>
            <w:r w:rsidRPr="0087043D">
              <w:rPr>
                <w:szCs w:val="18"/>
              </w:rPr>
              <w:t>Hal</w:t>
            </w:r>
            <w:r w:rsidR="008D30E9" w:rsidRPr="0087043D">
              <w:rPr>
                <w:szCs w:val="18"/>
              </w:rPr>
              <w:t>mos</w:t>
            </w:r>
            <w:proofErr w:type="spellEnd"/>
            <w:r w:rsidR="008D30E9" w:rsidRPr="0087043D">
              <w:rPr>
                <w:szCs w:val="18"/>
              </w:rPr>
              <w:t xml:space="preserve"> B, </w:t>
            </w:r>
            <w:proofErr w:type="spellStart"/>
            <w:r w:rsidR="008D30E9" w:rsidRPr="0087043D">
              <w:rPr>
                <w:szCs w:val="18"/>
              </w:rPr>
              <w:t>Luft</w:t>
            </w:r>
            <w:proofErr w:type="spellEnd"/>
            <w:r w:rsidR="008D30E9" w:rsidRPr="0087043D">
              <w:rPr>
                <w:szCs w:val="18"/>
              </w:rPr>
              <w:t xml:space="preserve"> A, </w:t>
            </w:r>
            <w:proofErr w:type="spellStart"/>
            <w:r w:rsidR="008D30E9" w:rsidRPr="0087043D">
              <w:rPr>
                <w:szCs w:val="18"/>
              </w:rPr>
              <w:t>Majem</w:t>
            </w:r>
            <w:proofErr w:type="spellEnd"/>
            <w:r w:rsidR="008D30E9" w:rsidRPr="0087043D">
              <w:rPr>
                <w:szCs w:val="18"/>
              </w:rPr>
              <w:t xml:space="preserve"> M et al. Choice of </w:t>
            </w:r>
            <w:proofErr w:type="spellStart"/>
            <w:r w:rsidR="008D30E9" w:rsidRPr="0087043D">
              <w:rPr>
                <w:szCs w:val="18"/>
              </w:rPr>
              <w:t>taxane</w:t>
            </w:r>
            <w:proofErr w:type="spellEnd"/>
            <w:r w:rsidR="008D30E9" w:rsidRPr="0087043D">
              <w:rPr>
                <w:szCs w:val="18"/>
              </w:rPr>
              <w:t xml:space="preserve"> and outcomes in the Keynote-407 study of </w:t>
            </w:r>
            <w:proofErr w:type="spellStart"/>
            <w:r w:rsidR="008D30E9" w:rsidRPr="0087043D">
              <w:rPr>
                <w:szCs w:val="18"/>
              </w:rPr>
              <w:t>pembrolizumab</w:t>
            </w:r>
            <w:proofErr w:type="spellEnd"/>
            <w:r w:rsidR="008D30E9" w:rsidRPr="0087043D">
              <w:rPr>
                <w:szCs w:val="18"/>
              </w:rPr>
              <w:t xml:space="preserve"> plus chemotherapy for metastatic squamous NSCLC.</w:t>
            </w:r>
          </w:p>
        </w:tc>
        <w:tc>
          <w:tcPr>
            <w:tcW w:w="1177" w:type="pct"/>
            <w:tcBorders>
              <w:top w:val="nil"/>
              <w:bottom w:val="single" w:sz="4" w:space="0" w:color="auto"/>
            </w:tcBorders>
            <w:vAlign w:val="center"/>
          </w:tcPr>
          <w:p w:rsidR="008D30E9" w:rsidRPr="0087043D" w:rsidRDefault="008D30E9" w:rsidP="008D30E9">
            <w:pPr>
              <w:pStyle w:val="TableText0"/>
              <w:rPr>
                <w:szCs w:val="18"/>
              </w:rPr>
            </w:pPr>
            <w:r w:rsidRPr="0087043D">
              <w:rPr>
                <w:i/>
                <w:szCs w:val="18"/>
              </w:rPr>
              <w:t>Journal of Thoracic Oncology</w:t>
            </w:r>
            <w:r w:rsidRPr="0087043D">
              <w:rPr>
                <w:szCs w:val="18"/>
              </w:rPr>
              <w:t xml:space="preserve"> 2018; 13(10 supplement): S391.</w:t>
            </w:r>
          </w:p>
        </w:tc>
      </w:tr>
      <w:tr w:rsidR="008D30E9" w:rsidRPr="0087043D" w:rsidTr="008A0138">
        <w:tc>
          <w:tcPr>
            <w:tcW w:w="796" w:type="pct"/>
            <w:tcBorders>
              <w:top w:val="single" w:sz="4" w:space="0" w:color="auto"/>
              <w:bottom w:val="nil"/>
            </w:tcBorders>
            <w:vAlign w:val="center"/>
          </w:tcPr>
          <w:p w:rsidR="008D30E9" w:rsidRPr="0087043D" w:rsidRDefault="008D30E9" w:rsidP="008D30E9">
            <w:pPr>
              <w:pStyle w:val="TableText0"/>
            </w:pPr>
            <w:proofErr w:type="spellStart"/>
            <w:r w:rsidRPr="0087043D">
              <w:t>IMpower</w:t>
            </w:r>
            <w:proofErr w:type="spellEnd"/>
            <w:r w:rsidRPr="0087043D">
              <w:t xml:space="preserve"> 150</w:t>
            </w:r>
          </w:p>
        </w:tc>
        <w:tc>
          <w:tcPr>
            <w:tcW w:w="3027" w:type="pct"/>
            <w:tcBorders>
              <w:top w:val="single" w:sz="4" w:space="0" w:color="auto"/>
              <w:bottom w:val="nil"/>
            </w:tcBorders>
            <w:vAlign w:val="center"/>
          </w:tcPr>
          <w:p w:rsidR="008D30E9" w:rsidRPr="0087043D" w:rsidRDefault="008D30E9" w:rsidP="008D30E9">
            <w:pPr>
              <w:pStyle w:val="TableText0"/>
              <w:rPr>
                <w:szCs w:val="18"/>
              </w:rPr>
            </w:pPr>
            <w:proofErr w:type="spellStart"/>
            <w:r w:rsidRPr="0087043D">
              <w:rPr>
                <w:szCs w:val="18"/>
              </w:rPr>
              <w:t>Socinski</w:t>
            </w:r>
            <w:proofErr w:type="spellEnd"/>
            <w:r w:rsidRPr="0087043D">
              <w:rPr>
                <w:szCs w:val="18"/>
              </w:rPr>
              <w:t xml:space="preserve"> M, </w:t>
            </w:r>
            <w:proofErr w:type="spellStart"/>
            <w:r w:rsidRPr="0087043D">
              <w:rPr>
                <w:szCs w:val="18"/>
              </w:rPr>
              <w:t>Jotte</w:t>
            </w:r>
            <w:proofErr w:type="spellEnd"/>
            <w:r w:rsidRPr="0087043D">
              <w:rPr>
                <w:szCs w:val="18"/>
              </w:rPr>
              <w:t xml:space="preserve"> R, </w:t>
            </w:r>
            <w:proofErr w:type="spellStart"/>
            <w:r w:rsidRPr="0087043D">
              <w:rPr>
                <w:szCs w:val="18"/>
              </w:rPr>
              <w:t>Cappuzzo</w:t>
            </w:r>
            <w:proofErr w:type="spellEnd"/>
            <w:r w:rsidRPr="0087043D">
              <w:rPr>
                <w:szCs w:val="18"/>
              </w:rPr>
              <w:t xml:space="preserve"> F et al. Atezolizumab for first-line treatment of metastatic </w:t>
            </w:r>
            <w:proofErr w:type="spellStart"/>
            <w:r w:rsidRPr="0087043D">
              <w:rPr>
                <w:szCs w:val="18"/>
              </w:rPr>
              <w:t>nonsquamous</w:t>
            </w:r>
            <w:proofErr w:type="spellEnd"/>
            <w:r w:rsidRPr="0087043D">
              <w:rPr>
                <w:szCs w:val="18"/>
              </w:rPr>
              <w:t xml:space="preserve"> NSCLC.</w:t>
            </w:r>
          </w:p>
        </w:tc>
        <w:tc>
          <w:tcPr>
            <w:tcW w:w="1177" w:type="pct"/>
            <w:tcBorders>
              <w:top w:val="single" w:sz="4" w:space="0" w:color="auto"/>
              <w:bottom w:val="nil"/>
            </w:tcBorders>
            <w:vAlign w:val="center"/>
          </w:tcPr>
          <w:p w:rsidR="008D30E9" w:rsidRPr="0087043D" w:rsidRDefault="008D30E9" w:rsidP="008D30E9">
            <w:pPr>
              <w:pStyle w:val="TableText0"/>
              <w:rPr>
                <w:iCs/>
                <w:szCs w:val="18"/>
              </w:rPr>
            </w:pPr>
            <w:r w:rsidRPr="0087043D">
              <w:rPr>
                <w:i/>
                <w:szCs w:val="18"/>
              </w:rPr>
              <w:t>NEJM</w:t>
            </w:r>
            <w:r w:rsidRPr="0087043D">
              <w:rPr>
                <w:iCs/>
                <w:szCs w:val="18"/>
              </w:rPr>
              <w:t xml:space="preserve"> 2018; 378: 2288-2301.</w:t>
            </w:r>
          </w:p>
        </w:tc>
      </w:tr>
      <w:tr w:rsidR="008D30E9" w:rsidRPr="0087043D" w:rsidTr="008A0138">
        <w:tc>
          <w:tcPr>
            <w:tcW w:w="796" w:type="pct"/>
            <w:tcBorders>
              <w:top w:val="nil"/>
              <w:bottom w:val="nil"/>
            </w:tcBorders>
            <w:vAlign w:val="center"/>
          </w:tcPr>
          <w:p w:rsidR="008D30E9" w:rsidRPr="0087043D" w:rsidRDefault="008D30E9" w:rsidP="008D30E9">
            <w:pPr>
              <w:pStyle w:val="TableText0"/>
            </w:pPr>
          </w:p>
        </w:tc>
        <w:tc>
          <w:tcPr>
            <w:tcW w:w="3027" w:type="pct"/>
            <w:tcBorders>
              <w:top w:val="nil"/>
              <w:bottom w:val="nil"/>
            </w:tcBorders>
            <w:vAlign w:val="center"/>
          </w:tcPr>
          <w:p w:rsidR="008D30E9" w:rsidRPr="0087043D" w:rsidRDefault="008D30E9" w:rsidP="008D30E9">
            <w:pPr>
              <w:pStyle w:val="TableText0"/>
              <w:rPr>
                <w:szCs w:val="18"/>
              </w:rPr>
            </w:pPr>
            <w:proofErr w:type="spellStart"/>
            <w:r w:rsidRPr="0087043D">
              <w:rPr>
                <w:szCs w:val="18"/>
              </w:rPr>
              <w:t>Reck</w:t>
            </w:r>
            <w:proofErr w:type="spellEnd"/>
            <w:r w:rsidRPr="0087043D">
              <w:rPr>
                <w:szCs w:val="18"/>
              </w:rPr>
              <w:t xml:space="preserve"> M, </w:t>
            </w:r>
            <w:proofErr w:type="spellStart"/>
            <w:r w:rsidRPr="0087043D">
              <w:rPr>
                <w:szCs w:val="18"/>
              </w:rPr>
              <w:t>Wehler</w:t>
            </w:r>
            <w:proofErr w:type="spellEnd"/>
            <w:r w:rsidRPr="0087043D">
              <w:rPr>
                <w:szCs w:val="18"/>
              </w:rPr>
              <w:t xml:space="preserve"> T, </w:t>
            </w:r>
            <w:proofErr w:type="spellStart"/>
            <w:r w:rsidRPr="0087043D">
              <w:rPr>
                <w:szCs w:val="18"/>
              </w:rPr>
              <w:t>Orlandi</w:t>
            </w:r>
            <w:proofErr w:type="spellEnd"/>
            <w:r w:rsidRPr="0087043D">
              <w:rPr>
                <w:szCs w:val="18"/>
              </w:rPr>
              <w:t xml:space="preserve"> F et al. Safety and patient-reported outcomes of atezolizumab plus chemotherapy with or without bevacizumab versus bevacizumab plus chemotherapy in non-small-cell lung cancer. </w:t>
            </w:r>
          </w:p>
        </w:tc>
        <w:tc>
          <w:tcPr>
            <w:tcW w:w="1177" w:type="pct"/>
            <w:tcBorders>
              <w:top w:val="nil"/>
              <w:bottom w:val="nil"/>
            </w:tcBorders>
            <w:vAlign w:val="center"/>
          </w:tcPr>
          <w:p w:rsidR="008D30E9" w:rsidRPr="0087043D" w:rsidRDefault="008D30E9" w:rsidP="008D30E9">
            <w:pPr>
              <w:pStyle w:val="TableText0"/>
              <w:rPr>
                <w:szCs w:val="18"/>
              </w:rPr>
            </w:pPr>
            <w:r w:rsidRPr="0087043D">
              <w:rPr>
                <w:i/>
                <w:szCs w:val="18"/>
              </w:rPr>
              <w:t>Journal of Clinical Oncology</w:t>
            </w:r>
            <w:r w:rsidRPr="0087043D">
              <w:rPr>
                <w:szCs w:val="18"/>
              </w:rPr>
              <w:t xml:space="preserve"> 2020; 38(22): 2530-2542.</w:t>
            </w:r>
          </w:p>
        </w:tc>
      </w:tr>
      <w:tr w:rsidR="008D30E9" w:rsidRPr="0087043D" w:rsidTr="008A0138">
        <w:tc>
          <w:tcPr>
            <w:tcW w:w="796" w:type="pct"/>
            <w:tcBorders>
              <w:top w:val="nil"/>
              <w:bottom w:val="single" w:sz="4" w:space="0" w:color="auto"/>
            </w:tcBorders>
            <w:vAlign w:val="center"/>
          </w:tcPr>
          <w:p w:rsidR="008D30E9" w:rsidRPr="0087043D" w:rsidRDefault="008D30E9" w:rsidP="008D30E9">
            <w:pPr>
              <w:pStyle w:val="TableText0"/>
            </w:pPr>
          </w:p>
        </w:tc>
        <w:tc>
          <w:tcPr>
            <w:tcW w:w="3027" w:type="pct"/>
            <w:tcBorders>
              <w:top w:val="nil"/>
              <w:bottom w:val="single" w:sz="4" w:space="0" w:color="auto"/>
            </w:tcBorders>
            <w:vAlign w:val="center"/>
          </w:tcPr>
          <w:p w:rsidR="008D30E9" w:rsidRPr="0087043D" w:rsidRDefault="008D30E9" w:rsidP="008D30E9">
            <w:pPr>
              <w:pStyle w:val="TableText0"/>
              <w:rPr>
                <w:szCs w:val="18"/>
              </w:rPr>
            </w:pPr>
            <w:proofErr w:type="spellStart"/>
            <w:r w:rsidRPr="0087043D">
              <w:rPr>
                <w:szCs w:val="18"/>
              </w:rPr>
              <w:t>Socinski</w:t>
            </w:r>
            <w:proofErr w:type="spellEnd"/>
            <w:r w:rsidRPr="0087043D">
              <w:rPr>
                <w:szCs w:val="18"/>
              </w:rPr>
              <w:t xml:space="preserve"> M, </w:t>
            </w:r>
            <w:proofErr w:type="spellStart"/>
            <w:r w:rsidRPr="0087043D">
              <w:rPr>
                <w:szCs w:val="18"/>
              </w:rPr>
              <w:t>Mok</w:t>
            </w:r>
            <w:proofErr w:type="spellEnd"/>
            <w:r w:rsidRPr="0087043D">
              <w:rPr>
                <w:szCs w:val="18"/>
              </w:rPr>
              <w:t xml:space="preserve"> S, </w:t>
            </w:r>
            <w:proofErr w:type="spellStart"/>
            <w:r w:rsidRPr="0087043D">
              <w:rPr>
                <w:szCs w:val="18"/>
              </w:rPr>
              <w:t>Nishio</w:t>
            </w:r>
            <w:proofErr w:type="spellEnd"/>
            <w:r w:rsidRPr="0087043D">
              <w:rPr>
                <w:szCs w:val="18"/>
              </w:rPr>
              <w:t xml:space="preserve"> M et al. IMpower150 final analysis: Efficacy of atezolizumab and chemotherapy ± bevacizumab in first-line metastatic non-squamous non-small cell lung cancer across key subgroups.</w:t>
            </w:r>
          </w:p>
        </w:tc>
        <w:tc>
          <w:tcPr>
            <w:tcW w:w="1177" w:type="pct"/>
            <w:tcBorders>
              <w:top w:val="nil"/>
              <w:bottom w:val="single" w:sz="4" w:space="0" w:color="auto"/>
            </w:tcBorders>
            <w:vAlign w:val="center"/>
          </w:tcPr>
          <w:p w:rsidR="008D30E9" w:rsidRPr="0087043D" w:rsidRDefault="008D30E9" w:rsidP="008D30E9">
            <w:pPr>
              <w:pStyle w:val="TableText0"/>
              <w:rPr>
                <w:i/>
                <w:szCs w:val="18"/>
              </w:rPr>
            </w:pPr>
            <w:r w:rsidRPr="0087043D">
              <w:rPr>
                <w:szCs w:val="18"/>
              </w:rPr>
              <w:t xml:space="preserve">American Association for Cancer Research Virtual Annual Meeting </w:t>
            </w:r>
            <w:r w:rsidR="00D71554" w:rsidRPr="0087043D">
              <w:rPr>
                <w:szCs w:val="18"/>
              </w:rPr>
              <w:t xml:space="preserve">2020 </w:t>
            </w:r>
            <w:r w:rsidRPr="0087043D">
              <w:rPr>
                <w:szCs w:val="18"/>
              </w:rPr>
              <w:t>June 22-24.</w:t>
            </w:r>
          </w:p>
        </w:tc>
      </w:tr>
    </w:tbl>
    <w:p w:rsidR="008D30E9" w:rsidRPr="0087043D" w:rsidRDefault="008D30E9" w:rsidP="008D30E9">
      <w:pPr>
        <w:pStyle w:val="TableFigureFooter"/>
        <w:rPr>
          <w:sz w:val="20"/>
        </w:rPr>
      </w:pPr>
      <w:r w:rsidRPr="0087043D">
        <w:t>Source: Table 23 p64, Table 24 pp65-67 and Table 25 pp68-69 of the submission; Attachment 1 to the submission.</w:t>
      </w:r>
      <w:r w:rsidR="00264317" w:rsidRPr="0087043D">
        <w:t xml:space="preserve"> </w:t>
      </w:r>
    </w:p>
    <w:p w:rsidR="00045017" w:rsidRPr="0087043D" w:rsidRDefault="003A4EC7" w:rsidP="0073362C">
      <w:pPr>
        <w:pStyle w:val="3-BodyText"/>
      </w:pPr>
      <w:r w:rsidRPr="0087043D">
        <w:t xml:space="preserve">The key features of the </w:t>
      </w:r>
      <w:r w:rsidR="00621ADA" w:rsidRPr="0087043D">
        <w:t>included evidence</w:t>
      </w:r>
      <w:r w:rsidR="008F120A" w:rsidRPr="0087043D">
        <w:t xml:space="preserve"> are summarised in the table below.</w:t>
      </w:r>
      <w:r w:rsidR="00BC591F" w:rsidRPr="0087043D">
        <w:t xml:space="preserve"> </w:t>
      </w:r>
    </w:p>
    <w:p w:rsidR="007F1017" w:rsidRPr="0087043D" w:rsidRDefault="00E17418" w:rsidP="00E17418">
      <w:pPr>
        <w:pStyle w:val="TableFigureHeading"/>
        <w:rPr>
          <w:rStyle w:val="CommentReference"/>
          <w:b/>
          <w:szCs w:val="24"/>
        </w:rPr>
      </w:pPr>
      <w:r w:rsidRPr="0087043D">
        <w:t xml:space="preserve">Table </w:t>
      </w:r>
      <w:r w:rsidR="00C71489" w:rsidRPr="0087043D">
        <w:t>3</w:t>
      </w:r>
      <w:r w:rsidRPr="0087043D">
        <w:t xml:space="preserve">: </w:t>
      </w:r>
      <w:r w:rsidR="007F1017" w:rsidRPr="0087043D">
        <w:rPr>
          <w:rStyle w:val="CommentReference"/>
          <w:b/>
          <w:szCs w:val="24"/>
        </w:rPr>
        <w:t>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8"/>
        <w:gridCol w:w="893"/>
        <w:gridCol w:w="1490"/>
        <w:gridCol w:w="1181"/>
        <w:gridCol w:w="3331"/>
        <w:gridCol w:w="954"/>
      </w:tblGrid>
      <w:tr w:rsidR="00EB41BA" w:rsidRPr="0087043D" w:rsidTr="008A0138">
        <w:trPr>
          <w:tblHeader/>
        </w:trPr>
        <w:tc>
          <w:tcPr>
            <w:tcW w:w="648" w:type="pct"/>
            <w:shd w:val="clear" w:color="auto" w:fill="auto"/>
            <w:vAlign w:val="center"/>
          </w:tcPr>
          <w:p w:rsidR="00AA72FC" w:rsidRPr="0087043D" w:rsidRDefault="00AA72FC" w:rsidP="001E34DF">
            <w:pPr>
              <w:pStyle w:val="In-tableHeading"/>
              <w:rPr>
                <w:lang w:val="en-AU"/>
              </w:rPr>
            </w:pPr>
            <w:r w:rsidRPr="0087043D">
              <w:rPr>
                <w:lang w:val="en-AU"/>
              </w:rPr>
              <w:t>Trial</w:t>
            </w:r>
          </w:p>
        </w:tc>
        <w:tc>
          <w:tcPr>
            <w:tcW w:w="495" w:type="pct"/>
            <w:shd w:val="clear" w:color="auto" w:fill="auto"/>
            <w:vAlign w:val="center"/>
          </w:tcPr>
          <w:p w:rsidR="00AA72FC" w:rsidRPr="0087043D" w:rsidRDefault="00AA72FC" w:rsidP="00EC5836">
            <w:pPr>
              <w:pStyle w:val="In-tableHeading"/>
              <w:jc w:val="center"/>
              <w:rPr>
                <w:lang w:val="en-AU"/>
              </w:rPr>
            </w:pPr>
            <w:r w:rsidRPr="0087043D">
              <w:rPr>
                <w:lang w:val="en-AU"/>
              </w:rPr>
              <w:t>N</w:t>
            </w:r>
          </w:p>
        </w:tc>
        <w:tc>
          <w:tcPr>
            <w:tcW w:w="826" w:type="pct"/>
            <w:shd w:val="clear" w:color="auto" w:fill="auto"/>
            <w:vAlign w:val="center"/>
          </w:tcPr>
          <w:p w:rsidR="00AA72FC" w:rsidRPr="0087043D" w:rsidRDefault="00AA72FC" w:rsidP="00EC5836">
            <w:pPr>
              <w:pStyle w:val="In-tableHeading"/>
              <w:jc w:val="center"/>
              <w:rPr>
                <w:lang w:val="en-AU"/>
              </w:rPr>
            </w:pPr>
            <w:r w:rsidRPr="0087043D">
              <w:rPr>
                <w:lang w:val="en-AU"/>
              </w:rPr>
              <w:t>Design/ duration</w:t>
            </w:r>
          </w:p>
        </w:tc>
        <w:tc>
          <w:tcPr>
            <w:tcW w:w="655" w:type="pct"/>
            <w:shd w:val="clear" w:color="auto" w:fill="auto"/>
            <w:vAlign w:val="center"/>
          </w:tcPr>
          <w:p w:rsidR="00AA72FC" w:rsidRPr="0087043D" w:rsidRDefault="00AA72FC" w:rsidP="00EC5836">
            <w:pPr>
              <w:pStyle w:val="In-tableHeading"/>
              <w:jc w:val="center"/>
              <w:rPr>
                <w:lang w:val="en-AU"/>
              </w:rPr>
            </w:pPr>
            <w:r w:rsidRPr="0087043D">
              <w:rPr>
                <w:lang w:val="en-AU"/>
              </w:rPr>
              <w:t>Risk of bias</w:t>
            </w:r>
          </w:p>
        </w:tc>
        <w:tc>
          <w:tcPr>
            <w:tcW w:w="1847" w:type="pct"/>
            <w:shd w:val="clear" w:color="auto" w:fill="auto"/>
            <w:vAlign w:val="center"/>
          </w:tcPr>
          <w:p w:rsidR="00AA72FC" w:rsidRPr="0087043D" w:rsidRDefault="00AA72FC" w:rsidP="00EC5836">
            <w:pPr>
              <w:pStyle w:val="In-tableHeading"/>
              <w:jc w:val="center"/>
              <w:rPr>
                <w:lang w:val="en-AU"/>
              </w:rPr>
            </w:pPr>
            <w:r w:rsidRPr="0087043D">
              <w:rPr>
                <w:lang w:val="en-AU"/>
              </w:rPr>
              <w:t>Patient population</w:t>
            </w:r>
          </w:p>
        </w:tc>
        <w:tc>
          <w:tcPr>
            <w:tcW w:w="529" w:type="pct"/>
            <w:shd w:val="clear" w:color="auto" w:fill="auto"/>
            <w:vAlign w:val="center"/>
          </w:tcPr>
          <w:p w:rsidR="00AA72FC" w:rsidRPr="0087043D" w:rsidRDefault="00EB41BA" w:rsidP="00EB41BA">
            <w:pPr>
              <w:pStyle w:val="In-tableHeading"/>
              <w:jc w:val="center"/>
              <w:rPr>
                <w:lang w:val="en-AU"/>
              </w:rPr>
            </w:pPr>
            <w:r w:rsidRPr="0087043D">
              <w:rPr>
                <w:lang w:val="en-AU"/>
              </w:rPr>
              <w:t>Outcome</w:t>
            </w:r>
          </w:p>
        </w:tc>
      </w:tr>
      <w:tr w:rsidR="00EB41BA" w:rsidRPr="0087043D" w:rsidTr="008A0138">
        <w:tc>
          <w:tcPr>
            <w:tcW w:w="5000" w:type="pct"/>
            <w:gridSpan w:val="6"/>
            <w:shd w:val="clear" w:color="auto" w:fill="auto"/>
            <w:vAlign w:val="center"/>
          </w:tcPr>
          <w:p w:rsidR="00EB41BA" w:rsidRPr="0087043D" w:rsidRDefault="00EB41BA" w:rsidP="00C17F9A">
            <w:pPr>
              <w:pStyle w:val="TableText0"/>
              <w:rPr>
                <w:b/>
              </w:rPr>
            </w:pPr>
            <w:proofErr w:type="spellStart"/>
            <w:r w:rsidRPr="0087043D">
              <w:rPr>
                <w:b/>
              </w:rPr>
              <w:t>NIVO+IPI+platinum</w:t>
            </w:r>
            <w:proofErr w:type="spellEnd"/>
            <w:r w:rsidRPr="0087043D">
              <w:rPr>
                <w:b/>
              </w:rPr>
              <w:t xml:space="preserve"> vs. platinum chemotherapy</w:t>
            </w:r>
          </w:p>
        </w:tc>
      </w:tr>
      <w:tr w:rsidR="00EB41BA" w:rsidRPr="0087043D" w:rsidTr="008A0138">
        <w:tc>
          <w:tcPr>
            <w:tcW w:w="648" w:type="pct"/>
            <w:shd w:val="clear" w:color="auto" w:fill="auto"/>
            <w:vAlign w:val="center"/>
          </w:tcPr>
          <w:p w:rsidR="00AA72FC" w:rsidRPr="0087043D" w:rsidRDefault="00AA72FC" w:rsidP="00EC5836">
            <w:pPr>
              <w:pStyle w:val="TableText0"/>
            </w:pPr>
            <w:r w:rsidRPr="0087043D">
              <w:t>CM9LA</w:t>
            </w:r>
          </w:p>
        </w:tc>
        <w:tc>
          <w:tcPr>
            <w:tcW w:w="495" w:type="pct"/>
            <w:shd w:val="clear" w:color="auto" w:fill="auto"/>
            <w:vAlign w:val="center"/>
          </w:tcPr>
          <w:p w:rsidR="00AA72FC" w:rsidRPr="0087043D" w:rsidRDefault="00AA72FC" w:rsidP="00EC5836">
            <w:pPr>
              <w:pStyle w:val="TableText0"/>
              <w:jc w:val="center"/>
            </w:pPr>
            <w:r w:rsidRPr="0087043D">
              <w:t>719</w:t>
            </w:r>
          </w:p>
        </w:tc>
        <w:tc>
          <w:tcPr>
            <w:tcW w:w="826" w:type="pct"/>
            <w:shd w:val="clear" w:color="auto" w:fill="auto"/>
            <w:vAlign w:val="center"/>
          </w:tcPr>
          <w:p w:rsidR="00AA72FC" w:rsidRPr="0087043D" w:rsidRDefault="00AA72FC" w:rsidP="00EC5836">
            <w:pPr>
              <w:pStyle w:val="TableText0"/>
              <w:jc w:val="center"/>
            </w:pPr>
            <w:r w:rsidRPr="0087043D">
              <w:t>R, OL</w:t>
            </w:r>
          </w:p>
          <w:p w:rsidR="00AA72FC" w:rsidRPr="0087043D" w:rsidRDefault="00AA72FC" w:rsidP="00EC5836">
            <w:pPr>
              <w:pStyle w:val="TableText0"/>
              <w:jc w:val="center"/>
              <w:rPr>
                <w:vertAlign w:val="superscript"/>
              </w:rPr>
            </w:pPr>
            <w:r w:rsidRPr="0087043D">
              <w:t xml:space="preserve">14.2/10.9 </w:t>
            </w:r>
            <w:proofErr w:type="spellStart"/>
            <w:r w:rsidRPr="0087043D">
              <w:t>mths</w:t>
            </w:r>
            <w:r w:rsidRPr="0087043D">
              <w:rPr>
                <w:vertAlign w:val="superscript"/>
              </w:rPr>
              <w:t>a</w:t>
            </w:r>
            <w:proofErr w:type="spellEnd"/>
          </w:p>
        </w:tc>
        <w:tc>
          <w:tcPr>
            <w:tcW w:w="655" w:type="pct"/>
            <w:shd w:val="clear" w:color="auto" w:fill="auto"/>
            <w:vAlign w:val="center"/>
          </w:tcPr>
          <w:p w:rsidR="00AA72FC" w:rsidRPr="0087043D" w:rsidRDefault="00AA72FC" w:rsidP="00F55C87">
            <w:pPr>
              <w:pStyle w:val="TableText0"/>
              <w:jc w:val="center"/>
              <w:rPr>
                <w:i/>
                <w:vertAlign w:val="superscript"/>
              </w:rPr>
            </w:pPr>
            <w:proofErr w:type="spellStart"/>
            <w:r w:rsidRPr="0087043D">
              <w:t>Low</w:t>
            </w:r>
            <w:r w:rsidR="00F55C87" w:rsidRPr="0087043D">
              <w:rPr>
                <w:vertAlign w:val="superscript"/>
              </w:rPr>
              <w:t>b</w:t>
            </w:r>
            <w:proofErr w:type="spellEnd"/>
          </w:p>
        </w:tc>
        <w:tc>
          <w:tcPr>
            <w:tcW w:w="1847" w:type="pct"/>
            <w:shd w:val="clear" w:color="auto" w:fill="auto"/>
            <w:vAlign w:val="center"/>
          </w:tcPr>
          <w:p w:rsidR="00AA72FC" w:rsidRPr="0087043D" w:rsidRDefault="00AA72FC" w:rsidP="00EC5836">
            <w:pPr>
              <w:pStyle w:val="TableText0"/>
              <w:jc w:val="center"/>
            </w:pPr>
            <w:r w:rsidRPr="0087043D">
              <w:t>Untreated</w:t>
            </w:r>
            <w:r w:rsidR="00EB41BA" w:rsidRPr="0087043D">
              <w:t xml:space="preserve"> S</w:t>
            </w:r>
            <w:r w:rsidRPr="0087043D">
              <w:t xml:space="preserve">tage IV NSCLC, EGFR and ALK mutation negative, ECOG </w:t>
            </w:r>
            <w:r w:rsidR="00756671" w:rsidRPr="0087043D">
              <w:t xml:space="preserve">PS </w:t>
            </w:r>
            <w:r w:rsidRPr="0087043D">
              <w:t>0 or 1</w:t>
            </w:r>
          </w:p>
        </w:tc>
        <w:tc>
          <w:tcPr>
            <w:tcW w:w="529" w:type="pct"/>
            <w:shd w:val="clear" w:color="auto" w:fill="auto"/>
            <w:vAlign w:val="center"/>
          </w:tcPr>
          <w:p w:rsidR="00AA72FC" w:rsidRPr="0087043D" w:rsidRDefault="00AA72FC" w:rsidP="00EC5836">
            <w:pPr>
              <w:pStyle w:val="TableText0"/>
              <w:jc w:val="center"/>
            </w:pPr>
            <w:r w:rsidRPr="0087043D">
              <w:t>OS</w:t>
            </w:r>
          </w:p>
        </w:tc>
      </w:tr>
      <w:tr w:rsidR="00EB41BA" w:rsidRPr="0087043D" w:rsidTr="008A0138">
        <w:tc>
          <w:tcPr>
            <w:tcW w:w="5000" w:type="pct"/>
            <w:gridSpan w:val="6"/>
            <w:shd w:val="clear" w:color="auto" w:fill="auto"/>
            <w:vAlign w:val="center"/>
          </w:tcPr>
          <w:p w:rsidR="00EB41BA" w:rsidRPr="0087043D" w:rsidRDefault="00EB41BA" w:rsidP="00C17F9A">
            <w:pPr>
              <w:pStyle w:val="TableText0"/>
              <w:rPr>
                <w:b/>
              </w:rPr>
            </w:pPr>
            <w:proofErr w:type="spellStart"/>
            <w:r w:rsidRPr="0087043D">
              <w:rPr>
                <w:b/>
              </w:rPr>
              <w:t>pembrolizumab+platinum</w:t>
            </w:r>
            <w:proofErr w:type="spellEnd"/>
            <w:r w:rsidRPr="0087043D">
              <w:rPr>
                <w:b/>
              </w:rPr>
              <w:t xml:space="preserve"> vs. </w:t>
            </w:r>
            <w:proofErr w:type="spellStart"/>
            <w:r w:rsidRPr="0087043D">
              <w:rPr>
                <w:b/>
              </w:rPr>
              <w:t>placebo+platinum</w:t>
            </w:r>
            <w:proofErr w:type="spellEnd"/>
            <w:r w:rsidRPr="0087043D">
              <w:rPr>
                <w:b/>
              </w:rPr>
              <w:t xml:space="preserve"> chemotherapy</w:t>
            </w:r>
          </w:p>
        </w:tc>
      </w:tr>
      <w:tr w:rsidR="00EB41BA" w:rsidRPr="0087043D" w:rsidTr="008A0138">
        <w:tc>
          <w:tcPr>
            <w:tcW w:w="648" w:type="pct"/>
            <w:shd w:val="clear" w:color="auto" w:fill="auto"/>
            <w:vAlign w:val="center"/>
          </w:tcPr>
          <w:p w:rsidR="00F55C87" w:rsidRPr="0087043D" w:rsidRDefault="00F55C87" w:rsidP="00F55C87">
            <w:pPr>
              <w:pStyle w:val="TableText0"/>
            </w:pPr>
            <w:r w:rsidRPr="0087043D">
              <w:t>KN189</w:t>
            </w:r>
          </w:p>
        </w:tc>
        <w:tc>
          <w:tcPr>
            <w:tcW w:w="495" w:type="pct"/>
            <w:shd w:val="clear" w:color="auto" w:fill="auto"/>
            <w:vAlign w:val="center"/>
          </w:tcPr>
          <w:p w:rsidR="00F55C87" w:rsidRPr="0087043D" w:rsidRDefault="00F55C87" w:rsidP="00F55C87">
            <w:pPr>
              <w:pStyle w:val="TableText0"/>
              <w:jc w:val="center"/>
            </w:pPr>
            <w:r w:rsidRPr="0087043D">
              <w:t>616</w:t>
            </w:r>
          </w:p>
        </w:tc>
        <w:tc>
          <w:tcPr>
            <w:tcW w:w="826" w:type="pct"/>
            <w:shd w:val="clear" w:color="auto" w:fill="auto"/>
            <w:vAlign w:val="center"/>
          </w:tcPr>
          <w:p w:rsidR="00F55C87" w:rsidRPr="0087043D" w:rsidRDefault="00F55C87" w:rsidP="00F55C87">
            <w:pPr>
              <w:pStyle w:val="TableText0"/>
              <w:jc w:val="center"/>
            </w:pPr>
            <w:r w:rsidRPr="0087043D">
              <w:t>R, DB</w:t>
            </w:r>
          </w:p>
          <w:p w:rsidR="00F55C87" w:rsidRPr="0087043D" w:rsidRDefault="00F55C87" w:rsidP="00F55C87">
            <w:pPr>
              <w:pStyle w:val="TableText0"/>
              <w:jc w:val="center"/>
            </w:pPr>
            <w:r w:rsidRPr="0087043D">
              <w:t xml:space="preserve">23.1 </w:t>
            </w:r>
            <w:proofErr w:type="spellStart"/>
            <w:r w:rsidRPr="0087043D">
              <w:t>mths</w:t>
            </w:r>
            <w:proofErr w:type="spellEnd"/>
          </w:p>
        </w:tc>
        <w:tc>
          <w:tcPr>
            <w:tcW w:w="655" w:type="pct"/>
            <w:shd w:val="clear" w:color="auto" w:fill="auto"/>
          </w:tcPr>
          <w:p w:rsidR="00F55C87" w:rsidRPr="0087043D" w:rsidRDefault="00F55C87" w:rsidP="00F55C87">
            <w:pPr>
              <w:pStyle w:val="TableText0"/>
              <w:jc w:val="center"/>
            </w:pPr>
            <w:r w:rsidRPr="0087043D">
              <w:t>Low</w:t>
            </w:r>
          </w:p>
        </w:tc>
        <w:tc>
          <w:tcPr>
            <w:tcW w:w="1847" w:type="pct"/>
            <w:shd w:val="clear" w:color="auto" w:fill="auto"/>
            <w:vAlign w:val="center"/>
          </w:tcPr>
          <w:p w:rsidR="00F55C87" w:rsidRPr="0087043D" w:rsidRDefault="00F55C87" w:rsidP="00EB41BA">
            <w:pPr>
              <w:pStyle w:val="TableText0"/>
              <w:jc w:val="center"/>
            </w:pPr>
            <w:r w:rsidRPr="0087043D">
              <w:t xml:space="preserve">Untreated </w:t>
            </w:r>
            <w:r w:rsidR="00EB41BA" w:rsidRPr="0087043D">
              <w:t>S</w:t>
            </w:r>
            <w:r w:rsidRPr="0087043D">
              <w:t>tage IV non-squamous NSCLC, EGFR and ALK mutation negative</w:t>
            </w:r>
            <w:r w:rsidR="003F7209" w:rsidRPr="0087043D">
              <w:t xml:space="preserve">, ECOG </w:t>
            </w:r>
            <w:r w:rsidR="00756671" w:rsidRPr="0087043D">
              <w:t xml:space="preserve">PS </w:t>
            </w:r>
            <w:r w:rsidR="003F7209" w:rsidRPr="0087043D">
              <w:t>0</w:t>
            </w:r>
            <w:r w:rsidRPr="0087043D">
              <w:t xml:space="preserve"> or 1</w:t>
            </w:r>
          </w:p>
        </w:tc>
        <w:tc>
          <w:tcPr>
            <w:tcW w:w="529" w:type="pct"/>
            <w:shd w:val="clear" w:color="auto" w:fill="auto"/>
          </w:tcPr>
          <w:p w:rsidR="00F55C87" w:rsidRPr="0087043D" w:rsidRDefault="00F55C87" w:rsidP="00F55C87">
            <w:pPr>
              <w:pStyle w:val="TableText0"/>
              <w:jc w:val="center"/>
            </w:pPr>
            <w:r w:rsidRPr="0087043D">
              <w:t>OS</w:t>
            </w:r>
          </w:p>
        </w:tc>
      </w:tr>
      <w:tr w:rsidR="00EB41BA" w:rsidRPr="0087043D" w:rsidTr="008A0138">
        <w:tc>
          <w:tcPr>
            <w:tcW w:w="648" w:type="pct"/>
            <w:shd w:val="clear" w:color="auto" w:fill="auto"/>
            <w:vAlign w:val="center"/>
          </w:tcPr>
          <w:p w:rsidR="00F55C87" w:rsidRPr="0087043D" w:rsidRDefault="00F55C87" w:rsidP="00F55C87">
            <w:pPr>
              <w:pStyle w:val="TableText0"/>
            </w:pPr>
            <w:r w:rsidRPr="0087043D">
              <w:t>KN407</w:t>
            </w:r>
          </w:p>
        </w:tc>
        <w:tc>
          <w:tcPr>
            <w:tcW w:w="495" w:type="pct"/>
            <w:shd w:val="clear" w:color="auto" w:fill="auto"/>
            <w:vAlign w:val="center"/>
          </w:tcPr>
          <w:p w:rsidR="00F55C87" w:rsidRPr="0087043D" w:rsidRDefault="00F55C87" w:rsidP="00F55C87">
            <w:pPr>
              <w:pStyle w:val="TableText0"/>
              <w:jc w:val="center"/>
            </w:pPr>
            <w:r w:rsidRPr="0087043D">
              <w:t>559</w:t>
            </w:r>
          </w:p>
        </w:tc>
        <w:tc>
          <w:tcPr>
            <w:tcW w:w="826" w:type="pct"/>
            <w:shd w:val="clear" w:color="auto" w:fill="auto"/>
            <w:vAlign w:val="center"/>
          </w:tcPr>
          <w:p w:rsidR="00F55C87" w:rsidRPr="0087043D" w:rsidRDefault="00F55C87" w:rsidP="00F55C87">
            <w:pPr>
              <w:pStyle w:val="TableText0"/>
              <w:jc w:val="center"/>
            </w:pPr>
            <w:r w:rsidRPr="0087043D">
              <w:t>R, DB</w:t>
            </w:r>
          </w:p>
          <w:p w:rsidR="00F55C87" w:rsidRPr="0087043D" w:rsidRDefault="00AA5954" w:rsidP="00F55C87">
            <w:pPr>
              <w:pStyle w:val="TableText0"/>
              <w:jc w:val="center"/>
              <w:rPr>
                <w:vertAlign w:val="superscript"/>
              </w:rPr>
            </w:pPr>
            <w:r w:rsidRPr="0087043D">
              <w:t>7.8/</w:t>
            </w:r>
            <w:r w:rsidR="00F55C87" w:rsidRPr="0087043D">
              <w:t xml:space="preserve">14.3 </w:t>
            </w:r>
            <w:proofErr w:type="spellStart"/>
            <w:r w:rsidR="00F55C87" w:rsidRPr="0087043D">
              <w:t>mths</w:t>
            </w:r>
            <w:r w:rsidR="00F55C87" w:rsidRPr="0087043D">
              <w:rPr>
                <w:vertAlign w:val="superscript"/>
              </w:rPr>
              <w:t>c</w:t>
            </w:r>
            <w:proofErr w:type="spellEnd"/>
          </w:p>
        </w:tc>
        <w:tc>
          <w:tcPr>
            <w:tcW w:w="655" w:type="pct"/>
            <w:shd w:val="clear" w:color="auto" w:fill="auto"/>
          </w:tcPr>
          <w:p w:rsidR="00F55C87" w:rsidRPr="0087043D" w:rsidRDefault="00F55C87" w:rsidP="00F55C87">
            <w:pPr>
              <w:pStyle w:val="TableText0"/>
              <w:jc w:val="center"/>
            </w:pPr>
            <w:r w:rsidRPr="0087043D">
              <w:t>Low</w:t>
            </w:r>
          </w:p>
        </w:tc>
        <w:tc>
          <w:tcPr>
            <w:tcW w:w="1847" w:type="pct"/>
            <w:shd w:val="clear" w:color="auto" w:fill="auto"/>
            <w:vAlign w:val="center"/>
          </w:tcPr>
          <w:p w:rsidR="00F55C87" w:rsidRPr="0087043D" w:rsidRDefault="00F55C87" w:rsidP="00EB41BA">
            <w:pPr>
              <w:pStyle w:val="TableText0"/>
              <w:jc w:val="center"/>
            </w:pPr>
            <w:r w:rsidRPr="0087043D">
              <w:t xml:space="preserve">Untreated </w:t>
            </w:r>
            <w:r w:rsidR="00EB41BA" w:rsidRPr="0087043D">
              <w:t>S</w:t>
            </w:r>
            <w:r w:rsidRPr="0087043D">
              <w:t xml:space="preserve">tage IV squamous NSCLC, EGFR and ALK mutation negative, </w:t>
            </w:r>
            <w:r w:rsidR="00EB41BA" w:rsidRPr="0087043D">
              <w:br/>
            </w:r>
            <w:r w:rsidRPr="0087043D">
              <w:t xml:space="preserve">ECOG </w:t>
            </w:r>
            <w:r w:rsidR="00756671" w:rsidRPr="0087043D">
              <w:t xml:space="preserve">PS </w:t>
            </w:r>
            <w:r w:rsidRPr="0087043D">
              <w:t>0 or 1</w:t>
            </w:r>
          </w:p>
        </w:tc>
        <w:tc>
          <w:tcPr>
            <w:tcW w:w="529" w:type="pct"/>
            <w:shd w:val="clear" w:color="auto" w:fill="auto"/>
          </w:tcPr>
          <w:p w:rsidR="00F55C87" w:rsidRPr="0087043D" w:rsidRDefault="00F55C87" w:rsidP="00F55C87">
            <w:pPr>
              <w:pStyle w:val="TableText0"/>
              <w:jc w:val="center"/>
            </w:pPr>
            <w:r w:rsidRPr="0087043D">
              <w:t>OS</w:t>
            </w:r>
          </w:p>
        </w:tc>
      </w:tr>
      <w:tr w:rsidR="00EB41BA" w:rsidRPr="0087043D" w:rsidTr="008A0138">
        <w:tc>
          <w:tcPr>
            <w:tcW w:w="5000" w:type="pct"/>
            <w:gridSpan w:val="6"/>
            <w:shd w:val="clear" w:color="auto" w:fill="auto"/>
            <w:vAlign w:val="center"/>
          </w:tcPr>
          <w:p w:rsidR="00EB41BA" w:rsidRPr="0087043D" w:rsidRDefault="00EB41BA" w:rsidP="00C17F9A">
            <w:pPr>
              <w:pStyle w:val="TableText0"/>
              <w:rPr>
                <w:b/>
              </w:rPr>
            </w:pPr>
            <w:proofErr w:type="spellStart"/>
            <w:r w:rsidRPr="0087043D">
              <w:rPr>
                <w:b/>
              </w:rPr>
              <w:t>Atezolizumab+bevacizumab+platinum</w:t>
            </w:r>
            <w:proofErr w:type="spellEnd"/>
            <w:r w:rsidRPr="0087043D">
              <w:rPr>
                <w:b/>
              </w:rPr>
              <w:t xml:space="preserve"> vs. </w:t>
            </w:r>
            <w:proofErr w:type="spellStart"/>
            <w:r w:rsidRPr="0087043D">
              <w:rPr>
                <w:b/>
              </w:rPr>
              <w:t>bevacizumab+platinum</w:t>
            </w:r>
            <w:proofErr w:type="spellEnd"/>
            <w:r w:rsidRPr="0087043D">
              <w:rPr>
                <w:b/>
              </w:rPr>
              <w:t xml:space="preserve"> chemotherapy</w:t>
            </w:r>
          </w:p>
        </w:tc>
      </w:tr>
      <w:tr w:rsidR="00EB41BA" w:rsidRPr="0087043D" w:rsidTr="008A0138">
        <w:tc>
          <w:tcPr>
            <w:tcW w:w="648" w:type="pct"/>
            <w:shd w:val="clear" w:color="auto" w:fill="auto"/>
            <w:vAlign w:val="center"/>
          </w:tcPr>
          <w:p w:rsidR="00AA72FC" w:rsidRPr="0087043D" w:rsidRDefault="00AA72FC" w:rsidP="00C17F9A">
            <w:pPr>
              <w:pStyle w:val="TableText0"/>
            </w:pPr>
            <w:r w:rsidRPr="0087043D">
              <w:t>IMpower150</w:t>
            </w:r>
          </w:p>
        </w:tc>
        <w:tc>
          <w:tcPr>
            <w:tcW w:w="495" w:type="pct"/>
            <w:shd w:val="clear" w:color="auto" w:fill="auto"/>
            <w:vAlign w:val="center"/>
          </w:tcPr>
          <w:p w:rsidR="00AA72FC" w:rsidRPr="0087043D" w:rsidRDefault="00A10C05" w:rsidP="00F55C87">
            <w:pPr>
              <w:pStyle w:val="TableText0"/>
              <w:jc w:val="center"/>
              <w:rPr>
                <w:vertAlign w:val="superscript"/>
              </w:rPr>
            </w:pPr>
            <w:r w:rsidRPr="0087043D">
              <w:t>12</w:t>
            </w:r>
            <w:r w:rsidR="00190A8A" w:rsidRPr="0087043D">
              <w:t>02</w:t>
            </w:r>
            <w:r w:rsidR="00F55C87" w:rsidRPr="0087043D">
              <w:rPr>
                <w:vertAlign w:val="superscript"/>
              </w:rPr>
              <w:t>d</w:t>
            </w:r>
          </w:p>
        </w:tc>
        <w:tc>
          <w:tcPr>
            <w:tcW w:w="826" w:type="pct"/>
            <w:shd w:val="clear" w:color="auto" w:fill="auto"/>
            <w:vAlign w:val="center"/>
          </w:tcPr>
          <w:p w:rsidR="00AA72FC" w:rsidRPr="0087043D" w:rsidRDefault="00190A8A" w:rsidP="00AA72FC">
            <w:pPr>
              <w:pStyle w:val="TableText0"/>
              <w:jc w:val="center"/>
            </w:pPr>
            <w:r w:rsidRPr="0087043D">
              <w:t>R, OL</w:t>
            </w:r>
          </w:p>
          <w:p w:rsidR="00190A8A" w:rsidRPr="0087043D" w:rsidRDefault="00BF47BF" w:rsidP="00130240">
            <w:pPr>
              <w:pStyle w:val="TableText0"/>
              <w:jc w:val="center"/>
              <w:rPr>
                <w:vertAlign w:val="superscript"/>
              </w:rPr>
            </w:pPr>
            <w:r w:rsidRPr="0087043D">
              <w:t>15.4/</w:t>
            </w:r>
            <w:r w:rsidR="00130240" w:rsidRPr="0087043D">
              <w:t>20</w:t>
            </w:r>
            <w:r w:rsidRPr="0087043D">
              <w:t>/39.3</w:t>
            </w:r>
            <w:r w:rsidR="00A10C05" w:rsidRPr="0087043D">
              <w:t xml:space="preserve"> </w:t>
            </w:r>
            <w:proofErr w:type="spellStart"/>
            <w:r w:rsidR="00A10C05" w:rsidRPr="0087043D">
              <w:t>mths</w:t>
            </w:r>
            <w:r w:rsidR="00130240" w:rsidRPr="0087043D">
              <w:rPr>
                <w:vertAlign w:val="superscript"/>
              </w:rPr>
              <w:t>e</w:t>
            </w:r>
            <w:proofErr w:type="spellEnd"/>
          </w:p>
        </w:tc>
        <w:tc>
          <w:tcPr>
            <w:tcW w:w="655" w:type="pct"/>
            <w:shd w:val="clear" w:color="auto" w:fill="auto"/>
            <w:vAlign w:val="center"/>
          </w:tcPr>
          <w:p w:rsidR="00AA72FC" w:rsidRPr="0087043D" w:rsidRDefault="00F55C87" w:rsidP="00F55C87">
            <w:pPr>
              <w:pStyle w:val="TableText0"/>
              <w:jc w:val="center"/>
            </w:pPr>
            <w:proofErr w:type="spellStart"/>
            <w:r w:rsidRPr="0087043D">
              <w:t>Low</w:t>
            </w:r>
            <w:r w:rsidRPr="0087043D">
              <w:rPr>
                <w:vertAlign w:val="superscript"/>
              </w:rPr>
              <w:t>b</w:t>
            </w:r>
            <w:proofErr w:type="spellEnd"/>
          </w:p>
        </w:tc>
        <w:tc>
          <w:tcPr>
            <w:tcW w:w="1847" w:type="pct"/>
            <w:shd w:val="clear" w:color="auto" w:fill="auto"/>
            <w:vAlign w:val="center"/>
          </w:tcPr>
          <w:p w:rsidR="00AA72FC" w:rsidRPr="0087043D" w:rsidRDefault="00CE780C" w:rsidP="00AA72FC">
            <w:pPr>
              <w:pStyle w:val="TableText0"/>
              <w:jc w:val="center"/>
            </w:pPr>
            <w:r w:rsidRPr="0087043D">
              <w:t xml:space="preserve">Untreated non-squamous </w:t>
            </w:r>
            <w:r w:rsidR="00EB41BA" w:rsidRPr="0087043D">
              <w:t>S</w:t>
            </w:r>
            <w:r w:rsidRPr="0087043D">
              <w:t xml:space="preserve">tage IV NSCLC, ECOG </w:t>
            </w:r>
            <w:r w:rsidR="00756671" w:rsidRPr="0087043D">
              <w:t xml:space="preserve">PS </w:t>
            </w:r>
            <w:r w:rsidRPr="0087043D">
              <w:t>0 or 1</w:t>
            </w:r>
          </w:p>
        </w:tc>
        <w:tc>
          <w:tcPr>
            <w:tcW w:w="529" w:type="pct"/>
            <w:shd w:val="clear" w:color="auto" w:fill="auto"/>
            <w:vAlign w:val="center"/>
          </w:tcPr>
          <w:p w:rsidR="00AA72FC" w:rsidRPr="0087043D" w:rsidRDefault="00CE780C" w:rsidP="00AA72FC">
            <w:pPr>
              <w:pStyle w:val="TableText0"/>
              <w:jc w:val="center"/>
            </w:pPr>
            <w:r w:rsidRPr="0087043D">
              <w:t>OS</w:t>
            </w:r>
          </w:p>
        </w:tc>
      </w:tr>
    </w:tbl>
    <w:p w:rsidR="00B60939" w:rsidRPr="0087043D" w:rsidRDefault="00D34464" w:rsidP="00EC5836">
      <w:pPr>
        <w:pStyle w:val="TableFigureFooter"/>
      </w:pPr>
      <w:r w:rsidRPr="0087043D">
        <w:t xml:space="preserve">Source: </w:t>
      </w:r>
      <w:r w:rsidR="009A7F90" w:rsidRPr="0087043D">
        <w:t xml:space="preserve">Table 28 pp77-79; </w:t>
      </w:r>
      <w:r w:rsidRPr="0087043D">
        <w:t>Table 29</w:t>
      </w:r>
      <w:r w:rsidR="009A7F90" w:rsidRPr="0087043D">
        <w:t xml:space="preserve"> p 83</w:t>
      </w:r>
      <w:r w:rsidRPr="0087043D">
        <w:t>, Table 30 pp85-91; Table 51 p115, Table 52 p116, Table 53 p116, Table 54 p117 of the submission; p6 CM9LA Updated Analysis CSR</w:t>
      </w:r>
      <w:r w:rsidR="00241E48" w:rsidRPr="0087043D">
        <w:t xml:space="preserve">; </w:t>
      </w:r>
      <w:proofErr w:type="spellStart"/>
      <w:r w:rsidR="00241E48" w:rsidRPr="0087043D">
        <w:t>Socinski</w:t>
      </w:r>
      <w:proofErr w:type="spellEnd"/>
      <w:r w:rsidR="00241E48" w:rsidRPr="0087043D">
        <w:t xml:space="preserve"> et al (2018); </w:t>
      </w:r>
      <w:proofErr w:type="spellStart"/>
      <w:r w:rsidR="00241E48" w:rsidRPr="0087043D">
        <w:t>Socinski</w:t>
      </w:r>
      <w:proofErr w:type="spellEnd"/>
      <w:r w:rsidR="00241E48" w:rsidRPr="0087043D">
        <w:t xml:space="preserve"> et al (2020); </w:t>
      </w:r>
      <w:proofErr w:type="spellStart"/>
      <w:r w:rsidR="00241E48" w:rsidRPr="0087043D">
        <w:t>Mok</w:t>
      </w:r>
      <w:proofErr w:type="spellEnd"/>
      <w:r w:rsidR="00241E48" w:rsidRPr="0087043D">
        <w:t xml:space="preserve"> et al (2019).</w:t>
      </w:r>
    </w:p>
    <w:p w:rsidR="00620C25" w:rsidRPr="0087043D" w:rsidRDefault="00756671" w:rsidP="00EC5836">
      <w:pPr>
        <w:pStyle w:val="TableFigureFooter"/>
      </w:pPr>
      <w:r w:rsidRPr="0087043D">
        <w:t xml:space="preserve">ALK = anaplastic lymphoma kinase; </w:t>
      </w:r>
      <w:r w:rsidR="00620C25" w:rsidRPr="0087043D">
        <w:t xml:space="preserve">DB = </w:t>
      </w:r>
      <w:r w:rsidRPr="0087043D">
        <w:t>double blind; ECOG PS</w:t>
      </w:r>
      <w:r w:rsidR="00264317" w:rsidRPr="0087043D">
        <w:t xml:space="preserve"> </w:t>
      </w:r>
      <w:r w:rsidRPr="0087043D">
        <w:t xml:space="preserve">= Eastern Cooperative Oncology Group performance status; EGFR = epidermal growth factor receptor; NSCLC = non-small cell lung cancer; </w:t>
      </w:r>
      <w:r w:rsidR="00620C25" w:rsidRPr="0087043D">
        <w:t>OL = open label; OS = overall survival; R = randomised</w:t>
      </w:r>
      <w:r w:rsidR="00BF47BF" w:rsidRPr="0087043D">
        <w:t>.</w:t>
      </w:r>
    </w:p>
    <w:p w:rsidR="00AA72FC" w:rsidRPr="0087043D" w:rsidRDefault="00AA72FC" w:rsidP="00A10C05">
      <w:pPr>
        <w:pStyle w:val="TableFigureFooter"/>
        <w:ind w:left="142" w:hanging="142"/>
      </w:pPr>
      <w:proofErr w:type="gramStart"/>
      <w:r w:rsidRPr="0087043D">
        <w:rPr>
          <w:vertAlign w:val="superscript"/>
        </w:rPr>
        <w:t>a</w:t>
      </w:r>
      <w:proofErr w:type="gramEnd"/>
      <w:r w:rsidRPr="0087043D">
        <w:t xml:space="preserve"> Median follow-up in the </w:t>
      </w:r>
      <w:proofErr w:type="spellStart"/>
      <w:r w:rsidRPr="0087043D">
        <w:t>NIVO+IPI+platinum</w:t>
      </w:r>
      <w:proofErr w:type="spellEnd"/>
      <w:r w:rsidR="0094222A" w:rsidRPr="0087043D">
        <w:t xml:space="preserve"> and platinum </w:t>
      </w:r>
      <w:r w:rsidRPr="0087043D">
        <w:t xml:space="preserve">chemotherapy </w:t>
      </w:r>
      <w:r w:rsidR="0094222A" w:rsidRPr="0087043D">
        <w:t>arms, respectively</w:t>
      </w:r>
      <w:r w:rsidR="00AA5954" w:rsidRPr="0087043D">
        <w:t>. Source: p6 CM9LA Updated Analysis CSR.</w:t>
      </w:r>
    </w:p>
    <w:p w:rsidR="00F55C87" w:rsidRPr="0087043D" w:rsidRDefault="00F55C87" w:rsidP="00A10C05">
      <w:pPr>
        <w:pStyle w:val="TableFigureFooter"/>
        <w:ind w:left="142" w:hanging="142"/>
      </w:pPr>
      <w:proofErr w:type="gramStart"/>
      <w:r w:rsidRPr="0087043D">
        <w:rPr>
          <w:vertAlign w:val="superscript"/>
        </w:rPr>
        <w:t>b</w:t>
      </w:r>
      <w:proofErr w:type="gramEnd"/>
      <w:r w:rsidRPr="0087043D">
        <w:t xml:space="preserve"> Low risk of bias for OS, high risk of bias for subjective outcomes.</w:t>
      </w:r>
    </w:p>
    <w:p w:rsidR="00D833F4" w:rsidRPr="0087043D" w:rsidRDefault="00F55C87" w:rsidP="00A10C05">
      <w:pPr>
        <w:pStyle w:val="TableFigureFooter"/>
        <w:ind w:left="142" w:hanging="142"/>
      </w:pPr>
      <w:r w:rsidRPr="0087043D">
        <w:rPr>
          <w:vertAlign w:val="superscript"/>
        </w:rPr>
        <w:t xml:space="preserve">c </w:t>
      </w:r>
      <w:r w:rsidR="00D833F4" w:rsidRPr="0087043D">
        <w:t xml:space="preserve">The clinical evidence for </w:t>
      </w:r>
      <w:proofErr w:type="spellStart"/>
      <w:r w:rsidR="00D833F4" w:rsidRPr="0087043D">
        <w:t>pembrolizumab+platinum</w:t>
      </w:r>
      <w:proofErr w:type="spellEnd"/>
      <w:r w:rsidR="00D833F4" w:rsidRPr="0087043D">
        <w:t xml:space="preserve"> in patients with squamous NSCLC was based on the May 2019 data cut-off (median follow-up 14.3 months) while the duration of treatment used </w:t>
      </w:r>
      <w:r w:rsidR="00AA5954" w:rsidRPr="0087043D">
        <w:t>i</w:t>
      </w:r>
      <w:r w:rsidR="00D833F4" w:rsidRPr="0087043D">
        <w:t>n the cost-minimisation analysis presented in the submission was based on the April 2018 data cut-off (median follow-up 7.8 months)</w:t>
      </w:r>
    </w:p>
    <w:p w:rsidR="00130240" w:rsidRPr="0087043D" w:rsidRDefault="00F55C87" w:rsidP="00A10C05">
      <w:pPr>
        <w:pStyle w:val="TableFigureFooter"/>
        <w:ind w:left="142" w:hanging="142"/>
      </w:pPr>
      <w:proofErr w:type="gramStart"/>
      <w:r w:rsidRPr="0087043D">
        <w:rPr>
          <w:vertAlign w:val="superscript"/>
        </w:rPr>
        <w:t>d</w:t>
      </w:r>
      <w:proofErr w:type="gramEnd"/>
      <w:r w:rsidRPr="0087043D">
        <w:rPr>
          <w:vertAlign w:val="superscript"/>
        </w:rPr>
        <w:t xml:space="preserve"> </w:t>
      </w:r>
      <w:r w:rsidR="00A10C05" w:rsidRPr="0087043D">
        <w:t xml:space="preserve">Only the </w:t>
      </w:r>
      <w:r w:rsidR="002C4FEC" w:rsidRPr="0087043D">
        <w:t xml:space="preserve">WT-ITT </w:t>
      </w:r>
      <w:r w:rsidR="00A10C05" w:rsidRPr="0087043D">
        <w:t>population (</w:t>
      </w:r>
      <w:r w:rsidR="002C4FEC" w:rsidRPr="0087043D">
        <w:t xml:space="preserve">wild type ITT population, i.e. </w:t>
      </w:r>
      <w:r w:rsidR="00A10C05" w:rsidRPr="0087043D">
        <w:t xml:space="preserve">EGFR and ALK mutation negative) in the </w:t>
      </w:r>
      <w:proofErr w:type="spellStart"/>
      <w:r w:rsidR="00A10C05" w:rsidRPr="0087043D">
        <w:t>atezolizumab+bevacizumab</w:t>
      </w:r>
      <w:r w:rsidR="00BB3C94" w:rsidRPr="0087043D">
        <w:t>+platinum</w:t>
      </w:r>
      <w:proofErr w:type="spellEnd"/>
      <w:r w:rsidR="00BB3C94" w:rsidRPr="0087043D">
        <w:t xml:space="preserve"> arm are rel</w:t>
      </w:r>
      <w:r w:rsidR="0094222A" w:rsidRPr="0087043D">
        <w:t>e</w:t>
      </w:r>
      <w:r w:rsidR="00BB3C94" w:rsidRPr="0087043D">
        <w:t>vant to the current submission (n=359).</w:t>
      </w:r>
      <w:r w:rsidR="0094222A" w:rsidRPr="0087043D">
        <w:t xml:space="preserve"> </w:t>
      </w:r>
    </w:p>
    <w:p w:rsidR="00EB41BA" w:rsidRPr="0087043D" w:rsidRDefault="00130240" w:rsidP="0073362C">
      <w:pPr>
        <w:pStyle w:val="TableFigureFooter"/>
        <w:ind w:left="142" w:hanging="142"/>
      </w:pPr>
      <w:proofErr w:type="gramStart"/>
      <w:r w:rsidRPr="0087043D">
        <w:rPr>
          <w:vertAlign w:val="superscript"/>
        </w:rPr>
        <w:t>e</w:t>
      </w:r>
      <w:proofErr w:type="gramEnd"/>
      <w:r w:rsidRPr="0087043D">
        <w:rPr>
          <w:vertAlign w:val="superscript"/>
        </w:rPr>
        <w:t xml:space="preserve"> </w:t>
      </w:r>
      <w:r w:rsidR="00BF47BF" w:rsidRPr="0087043D">
        <w:t xml:space="preserve">The duration of treatment was only reported for the September 2017 data cut-off (median follow-up 15.4 months in the WT-ITT population in the </w:t>
      </w:r>
      <w:proofErr w:type="spellStart"/>
      <w:r w:rsidR="00BF47BF" w:rsidRPr="0087043D">
        <w:t>atezolizumab+bevacizumab+platinum</w:t>
      </w:r>
      <w:proofErr w:type="spellEnd"/>
      <w:r w:rsidR="00BF47BF" w:rsidRPr="0087043D">
        <w:t xml:space="preserve"> arm). Analyses of OS outcomes were only available for the January 2018 data cut-off (median 20 months follow-up in the WT-ITT population in the </w:t>
      </w:r>
      <w:proofErr w:type="spellStart"/>
      <w:r w:rsidR="00BF47BF" w:rsidRPr="0087043D">
        <w:t>atezolizumab+bevacizumab+platinum</w:t>
      </w:r>
      <w:proofErr w:type="spellEnd"/>
      <w:r w:rsidR="00BF47BF" w:rsidRPr="0087043D">
        <w:t xml:space="preserve"> arm) and the September 2019 data cut-off (minimum follow-up 39.3 months across the </w:t>
      </w:r>
      <w:proofErr w:type="spellStart"/>
      <w:r w:rsidR="00BF47BF" w:rsidRPr="0087043D">
        <w:t>atezolizumab+bevacizumab+platinum</w:t>
      </w:r>
      <w:proofErr w:type="spellEnd"/>
      <w:r w:rsidR="00BF47BF" w:rsidRPr="0087043D">
        <w:t xml:space="preserve"> and the </w:t>
      </w:r>
      <w:proofErr w:type="spellStart"/>
      <w:r w:rsidR="00BF47BF" w:rsidRPr="0087043D">
        <w:t>bevacizumab+platinum</w:t>
      </w:r>
      <w:proofErr w:type="spellEnd"/>
      <w:r w:rsidR="00BF47BF" w:rsidRPr="0087043D">
        <w:t xml:space="preserve"> arms).</w:t>
      </w:r>
      <w:r w:rsidR="0073362C" w:rsidRPr="0087043D">
        <w:t xml:space="preserve"> </w:t>
      </w:r>
    </w:p>
    <w:p w:rsidR="00C17F9A" w:rsidRPr="0087043D" w:rsidRDefault="00C17F9A" w:rsidP="00C17F9A">
      <w:pPr>
        <w:pStyle w:val="3-BodyText"/>
      </w:pPr>
      <w:r w:rsidRPr="0087043D">
        <w:t>While CM9LA</w:t>
      </w:r>
      <w:r w:rsidR="00F870C0" w:rsidRPr="0087043D">
        <w:t xml:space="preserve"> and</w:t>
      </w:r>
      <w:r w:rsidRPr="0087043D">
        <w:t xml:space="preserve"> IMpower150 were open-label studies, the risk of bias for the outcome of overall survival (OS), which is an objective outcome, was considered to be low.</w:t>
      </w:r>
    </w:p>
    <w:p w:rsidR="00B60939" w:rsidRPr="0087043D" w:rsidRDefault="00B60939" w:rsidP="00EC5836">
      <w:pPr>
        <w:pStyle w:val="4-SubsectionHeading"/>
      </w:pPr>
      <w:bookmarkStart w:id="17" w:name="_Toc22897641"/>
      <w:bookmarkStart w:id="18" w:name="_Toc51147794"/>
      <w:r w:rsidRPr="0087043D">
        <w:t>Comparative effectiveness</w:t>
      </w:r>
      <w:bookmarkEnd w:id="17"/>
      <w:bookmarkEnd w:id="18"/>
    </w:p>
    <w:p w:rsidR="00DA3167" w:rsidRPr="0087043D" w:rsidRDefault="009D05F5" w:rsidP="009D05F5">
      <w:pPr>
        <w:pStyle w:val="3-BodyText"/>
      </w:pPr>
      <w:r w:rsidRPr="0087043D">
        <w:t xml:space="preserve">The results for OS in CM9LA are presented in </w:t>
      </w:r>
      <w:r w:rsidR="00C71489" w:rsidRPr="0087043D">
        <w:t>Table 4</w:t>
      </w:r>
      <w:r w:rsidRPr="0087043D">
        <w:t xml:space="preserve"> </w:t>
      </w:r>
      <w:r w:rsidR="005A53DD" w:rsidRPr="0087043D">
        <w:t xml:space="preserve">and </w:t>
      </w:r>
      <w:r w:rsidRPr="0087043D">
        <w:t xml:space="preserve">the Kaplan-Meier curve for OS is presented in </w:t>
      </w:r>
      <w:r w:rsidR="00C71489" w:rsidRPr="0087043D">
        <w:t>Figure 1</w:t>
      </w:r>
      <w:r w:rsidRPr="0087043D">
        <w:t>.</w:t>
      </w:r>
      <w:r w:rsidR="004E70DB" w:rsidRPr="0087043D">
        <w:t xml:space="preserve"> </w:t>
      </w:r>
    </w:p>
    <w:p w:rsidR="009D05F5" w:rsidRPr="0087043D" w:rsidRDefault="009D05F5" w:rsidP="009D05F5">
      <w:pPr>
        <w:pStyle w:val="TableFigureHeading"/>
      </w:pPr>
      <w:bookmarkStart w:id="19" w:name="_Ref49329731"/>
      <w:r w:rsidRPr="0087043D">
        <w:t xml:space="preserve">Table </w:t>
      </w:r>
      <w:r w:rsidR="00C71489" w:rsidRPr="0087043D">
        <w:t>4</w:t>
      </w:r>
      <w:bookmarkEnd w:id="19"/>
      <w:r w:rsidRPr="0087043D">
        <w:t>: OS outcomes in CM9LA, by clinical cut-of date (ITT analysis)</w:t>
      </w:r>
    </w:p>
    <w:tbl>
      <w:tblPr>
        <w:tblStyle w:val="TableGrid"/>
        <w:tblW w:w="5000" w:type="pct"/>
        <w:tblLook w:val="04A0" w:firstRow="1" w:lastRow="0" w:firstColumn="1" w:lastColumn="0" w:noHBand="0" w:noVBand="1"/>
        <w:tblCaption w:val="Table 4: OS outcomes in CM9LA, by clinical cut-of date (ITT analysis)"/>
      </w:tblPr>
      <w:tblGrid>
        <w:gridCol w:w="2091"/>
        <w:gridCol w:w="1731"/>
        <w:gridCol w:w="1733"/>
        <w:gridCol w:w="1731"/>
        <w:gridCol w:w="1731"/>
      </w:tblGrid>
      <w:tr w:rsidR="009D05F5" w:rsidRPr="0087043D" w:rsidTr="00EC78BA">
        <w:trPr>
          <w:tblHeader/>
        </w:trPr>
        <w:tc>
          <w:tcPr>
            <w:tcW w:w="1159" w:type="pct"/>
            <w:vAlign w:val="center"/>
          </w:tcPr>
          <w:p w:rsidR="009D05F5" w:rsidRPr="0087043D" w:rsidRDefault="009D05F5" w:rsidP="007E085B">
            <w:pPr>
              <w:pStyle w:val="In-tableHeading"/>
              <w:rPr>
                <w:lang w:val="en-AU"/>
              </w:rPr>
            </w:pPr>
            <w:r w:rsidRPr="0087043D">
              <w:rPr>
                <w:lang w:val="en-AU"/>
              </w:rPr>
              <w:t>Clinical cut-off date</w:t>
            </w:r>
          </w:p>
        </w:tc>
        <w:tc>
          <w:tcPr>
            <w:tcW w:w="1921" w:type="pct"/>
            <w:gridSpan w:val="2"/>
            <w:vAlign w:val="center"/>
          </w:tcPr>
          <w:p w:rsidR="009D05F5" w:rsidRPr="0087043D" w:rsidRDefault="009D05F5" w:rsidP="007E085B">
            <w:pPr>
              <w:pStyle w:val="In-tableHeading"/>
              <w:jc w:val="center"/>
              <w:rPr>
                <w:vertAlign w:val="superscript"/>
                <w:lang w:val="en-AU"/>
              </w:rPr>
            </w:pPr>
            <w:r w:rsidRPr="0087043D">
              <w:rPr>
                <w:lang w:val="en-AU"/>
              </w:rPr>
              <w:t>August 2019</w:t>
            </w:r>
          </w:p>
        </w:tc>
        <w:tc>
          <w:tcPr>
            <w:tcW w:w="1920" w:type="pct"/>
            <w:gridSpan w:val="2"/>
            <w:vAlign w:val="center"/>
          </w:tcPr>
          <w:p w:rsidR="009D05F5" w:rsidRPr="0087043D" w:rsidRDefault="009D05F5" w:rsidP="007E085B">
            <w:pPr>
              <w:pStyle w:val="In-tableHeading"/>
              <w:jc w:val="center"/>
              <w:rPr>
                <w:lang w:val="en-AU"/>
              </w:rPr>
            </w:pPr>
            <w:r w:rsidRPr="0087043D">
              <w:rPr>
                <w:lang w:val="en-AU"/>
              </w:rPr>
              <w:t>February 2020</w:t>
            </w:r>
          </w:p>
        </w:tc>
      </w:tr>
      <w:tr w:rsidR="009D05F5" w:rsidRPr="0087043D" w:rsidTr="008A0138">
        <w:tc>
          <w:tcPr>
            <w:tcW w:w="1159" w:type="pct"/>
            <w:vAlign w:val="center"/>
          </w:tcPr>
          <w:p w:rsidR="009D05F5" w:rsidRPr="0087043D" w:rsidRDefault="009D05F5" w:rsidP="007E085B">
            <w:pPr>
              <w:pStyle w:val="In-tableHeading"/>
              <w:rPr>
                <w:lang w:val="en-AU"/>
              </w:rPr>
            </w:pPr>
          </w:p>
        </w:tc>
        <w:tc>
          <w:tcPr>
            <w:tcW w:w="960" w:type="pct"/>
            <w:vAlign w:val="center"/>
          </w:tcPr>
          <w:p w:rsidR="009D05F5" w:rsidRPr="0087043D" w:rsidRDefault="009D05F5" w:rsidP="007E085B">
            <w:pPr>
              <w:pStyle w:val="In-tableHeading"/>
              <w:jc w:val="center"/>
              <w:rPr>
                <w:lang w:val="en-AU"/>
              </w:rPr>
            </w:pPr>
            <w:proofErr w:type="spellStart"/>
            <w:r w:rsidRPr="0087043D">
              <w:rPr>
                <w:lang w:val="en-AU"/>
              </w:rPr>
              <w:t>NIVO+IPI+platinum</w:t>
            </w:r>
            <w:proofErr w:type="spellEnd"/>
          </w:p>
        </w:tc>
        <w:tc>
          <w:tcPr>
            <w:tcW w:w="961" w:type="pct"/>
            <w:vAlign w:val="center"/>
          </w:tcPr>
          <w:p w:rsidR="009D05F5" w:rsidRPr="0087043D" w:rsidRDefault="009D05F5" w:rsidP="007E085B">
            <w:pPr>
              <w:pStyle w:val="In-tableHeading"/>
              <w:jc w:val="center"/>
              <w:rPr>
                <w:lang w:val="en-AU"/>
              </w:rPr>
            </w:pPr>
            <w:r w:rsidRPr="0087043D">
              <w:rPr>
                <w:lang w:val="en-AU"/>
              </w:rPr>
              <w:t>Platinum chemo</w:t>
            </w:r>
          </w:p>
        </w:tc>
        <w:tc>
          <w:tcPr>
            <w:tcW w:w="960" w:type="pct"/>
            <w:vAlign w:val="center"/>
          </w:tcPr>
          <w:p w:rsidR="009D05F5" w:rsidRPr="0087043D" w:rsidRDefault="009D05F5" w:rsidP="007E085B">
            <w:pPr>
              <w:pStyle w:val="In-tableHeading"/>
              <w:jc w:val="center"/>
              <w:rPr>
                <w:lang w:val="en-AU"/>
              </w:rPr>
            </w:pPr>
            <w:proofErr w:type="spellStart"/>
            <w:r w:rsidRPr="0087043D">
              <w:rPr>
                <w:lang w:val="en-AU"/>
              </w:rPr>
              <w:t>NIVO+IPI+platinum</w:t>
            </w:r>
            <w:proofErr w:type="spellEnd"/>
          </w:p>
        </w:tc>
        <w:tc>
          <w:tcPr>
            <w:tcW w:w="960" w:type="pct"/>
            <w:vAlign w:val="center"/>
          </w:tcPr>
          <w:p w:rsidR="009D05F5" w:rsidRPr="0087043D" w:rsidRDefault="009D05F5" w:rsidP="007E085B">
            <w:pPr>
              <w:pStyle w:val="In-tableHeading"/>
              <w:jc w:val="center"/>
              <w:rPr>
                <w:lang w:val="en-AU"/>
              </w:rPr>
            </w:pPr>
            <w:r w:rsidRPr="0087043D">
              <w:rPr>
                <w:lang w:val="en-AU"/>
              </w:rPr>
              <w:t>Platinum chemo</w:t>
            </w:r>
          </w:p>
        </w:tc>
      </w:tr>
      <w:tr w:rsidR="009D05F5" w:rsidRPr="0087043D" w:rsidTr="008A0138">
        <w:tc>
          <w:tcPr>
            <w:tcW w:w="1159" w:type="pct"/>
            <w:vAlign w:val="center"/>
          </w:tcPr>
          <w:p w:rsidR="009D05F5" w:rsidRPr="0087043D" w:rsidRDefault="009D05F5" w:rsidP="007E085B">
            <w:pPr>
              <w:pStyle w:val="TableText0"/>
            </w:pPr>
            <w:r w:rsidRPr="0087043D">
              <w:t>Median follow-up</w:t>
            </w:r>
          </w:p>
        </w:tc>
        <w:tc>
          <w:tcPr>
            <w:tcW w:w="960" w:type="pct"/>
            <w:vAlign w:val="center"/>
          </w:tcPr>
          <w:p w:rsidR="009D05F5" w:rsidRPr="0087043D" w:rsidRDefault="009D05F5" w:rsidP="007E085B">
            <w:pPr>
              <w:pStyle w:val="TableText0"/>
              <w:jc w:val="center"/>
              <w:rPr>
                <w:vertAlign w:val="superscript"/>
              </w:rPr>
            </w:pPr>
            <w:r w:rsidRPr="0087043D">
              <w:t xml:space="preserve">10.4 </w:t>
            </w:r>
            <w:proofErr w:type="spellStart"/>
            <w:r w:rsidRPr="0087043D">
              <w:t>months</w:t>
            </w:r>
            <w:r w:rsidRPr="0087043D">
              <w:rPr>
                <w:vertAlign w:val="superscript"/>
              </w:rPr>
              <w:t>a</w:t>
            </w:r>
            <w:proofErr w:type="spellEnd"/>
          </w:p>
        </w:tc>
        <w:tc>
          <w:tcPr>
            <w:tcW w:w="961" w:type="pct"/>
            <w:vAlign w:val="center"/>
          </w:tcPr>
          <w:p w:rsidR="009D05F5" w:rsidRPr="0087043D" w:rsidRDefault="009D05F5" w:rsidP="007E085B">
            <w:pPr>
              <w:pStyle w:val="TableText0"/>
              <w:jc w:val="center"/>
              <w:rPr>
                <w:vertAlign w:val="superscript"/>
              </w:rPr>
            </w:pPr>
            <w:r w:rsidRPr="0087043D">
              <w:t xml:space="preserve">9.1 </w:t>
            </w:r>
            <w:proofErr w:type="spellStart"/>
            <w:r w:rsidRPr="0087043D">
              <w:t>months</w:t>
            </w:r>
            <w:r w:rsidRPr="0087043D">
              <w:rPr>
                <w:vertAlign w:val="superscript"/>
              </w:rPr>
              <w:t>a</w:t>
            </w:r>
            <w:proofErr w:type="spellEnd"/>
          </w:p>
        </w:tc>
        <w:tc>
          <w:tcPr>
            <w:tcW w:w="960" w:type="pct"/>
            <w:vAlign w:val="center"/>
          </w:tcPr>
          <w:p w:rsidR="009D05F5" w:rsidRPr="0087043D" w:rsidRDefault="009D05F5" w:rsidP="007E085B">
            <w:pPr>
              <w:pStyle w:val="TableText0"/>
              <w:jc w:val="center"/>
              <w:rPr>
                <w:vertAlign w:val="superscript"/>
              </w:rPr>
            </w:pPr>
            <w:r w:rsidRPr="0087043D">
              <w:t xml:space="preserve">14.2 </w:t>
            </w:r>
            <w:proofErr w:type="spellStart"/>
            <w:r w:rsidRPr="0087043D">
              <w:t>months</w:t>
            </w:r>
            <w:r w:rsidRPr="0087043D">
              <w:rPr>
                <w:vertAlign w:val="superscript"/>
              </w:rPr>
              <w:t>b</w:t>
            </w:r>
            <w:proofErr w:type="spellEnd"/>
          </w:p>
        </w:tc>
        <w:tc>
          <w:tcPr>
            <w:tcW w:w="960" w:type="pct"/>
            <w:vAlign w:val="center"/>
          </w:tcPr>
          <w:p w:rsidR="009D05F5" w:rsidRPr="0087043D" w:rsidRDefault="009D05F5" w:rsidP="007E085B">
            <w:pPr>
              <w:pStyle w:val="TableText0"/>
              <w:jc w:val="center"/>
              <w:rPr>
                <w:vertAlign w:val="superscript"/>
              </w:rPr>
            </w:pPr>
            <w:r w:rsidRPr="0087043D">
              <w:t xml:space="preserve">10.9 </w:t>
            </w:r>
            <w:proofErr w:type="spellStart"/>
            <w:r w:rsidRPr="0087043D">
              <w:t>months</w:t>
            </w:r>
            <w:r w:rsidRPr="0087043D">
              <w:rPr>
                <w:vertAlign w:val="superscript"/>
              </w:rPr>
              <w:t>b</w:t>
            </w:r>
            <w:proofErr w:type="spellEnd"/>
          </w:p>
        </w:tc>
      </w:tr>
      <w:tr w:rsidR="009D05F5" w:rsidRPr="0087043D" w:rsidTr="008A0138">
        <w:tc>
          <w:tcPr>
            <w:tcW w:w="1159" w:type="pct"/>
            <w:vAlign w:val="center"/>
          </w:tcPr>
          <w:p w:rsidR="009D05F5" w:rsidRPr="0087043D" w:rsidRDefault="009D05F5" w:rsidP="007E085B">
            <w:pPr>
              <w:pStyle w:val="TableText0"/>
              <w:rPr>
                <w:b/>
                <w:bCs w:val="0"/>
              </w:rPr>
            </w:pPr>
            <w:r w:rsidRPr="0087043D">
              <w:rPr>
                <w:b/>
                <w:bCs w:val="0"/>
              </w:rPr>
              <w:t>ITT</w:t>
            </w:r>
          </w:p>
        </w:tc>
        <w:tc>
          <w:tcPr>
            <w:tcW w:w="960" w:type="pct"/>
            <w:vAlign w:val="center"/>
          </w:tcPr>
          <w:p w:rsidR="009D05F5" w:rsidRPr="0087043D" w:rsidRDefault="009D05F5" w:rsidP="007E085B">
            <w:pPr>
              <w:pStyle w:val="TableText0"/>
              <w:jc w:val="center"/>
            </w:pPr>
            <w:r w:rsidRPr="0087043D">
              <w:t>N=361</w:t>
            </w:r>
          </w:p>
        </w:tc>
        <w:tc>
          <w:tcPr>
            <w:tcW w:w="961" w:type="pct"/>
            <w:vAlign w:val="center"/>
          </w:tcPr>
          <w:p w:rsidR="009D05F5" w:rsidRPr="0087043D" w:rsidRDefault="009D05F5" w:rsidP="007E085B">
            <w:pPr>
              <w:pStyle w:val="TableText0"/>
              <w:jc w:val="center"/>
            </w:pPr>
            <w:r w:rsidRPr="0087043D">
              <w:t>N=358</w:t>
            </w:r>
          </w:p>
        </w:tc>
        <w:tc>
          <w:tcPr>
            <w:tcW w:w="960" w:type="pct"/>
            <w:vAlign w:val="center"/>
          </w:tcPr>
          <w:p w:rsidR="009D05F5" w:rsidRPr="0087043D" w:rsidRDefault="009D05F5" w:rsidP="007E085B">
            <w:pPr>
              <w:pStyle w:val="TableText0"/>
              <w:jc w:val="center"/>
            </w:pPr>
            <w:r w:rsidRPr="0087043D">
              <w:t>N=361</w:t>
            </w:r>
          </w:p>
        </w:tc>
        <w:tc>
          <w:tcPr>
            <w:tcW w:w="960" w:type="pct"/>
            <w:vAlign w:val="center"/>
          </w:tcPr>
          <w:p w:rsidR="009D05F5" w:rsidRPr="0087043D" w:rsidRDefault="009D05F5" w:rsidP="007E085B">
            <w:pPr>
              <w:pStyle w:val="TableText0"/>
              <w:jc w:val="center"/>
            </w:pPr>
            <w:r w:rsidRPr="0087043D">
              <w:t>N=358</w:t>
            </w:r>
          </w:p>
        </w:tc>
      </w:tr>
      <w:tr w:rsidR="009D05F5" w:rsidRPr="0087043D" w:rsidTr="008A0138">
        <w:tc>
          <w:tcPr>
            <w:tcW w:w="1159" w:type="pct"/>
            <w:vAlign w:val="center"/>
          </w:tcPr>
          <w:p w:rsidR="009D05F5" w:rsidRPr="0087043D" w:rsidRDefault="009D05F5" w:rsidP="007E085B">
            <w:pPr>
              <w:pStyle w:val="TableText0"/>
            </w:pPr>
            <w:r w:rsidRPr="0087043D">
              <w:t>Patients with event, n (%)</w:t>
            </w:r>
          </w:p>
        </w:tc>
        <w:tc>
          <w:tcPr>
            <w:tcW w:w="960" w:type="pct"/>
            <w:vAlign w:val="center"/>
          </w:tcPr>
          <w:p w:rsidR="009D05F5" w:rsidRPr="0087043D" w:rsidRDefault="009D05F5" w:rsidP="007E085B">
            <w:pPr>
              <w:pStyle w:val="TableText0"/>
              <w:jc w:val="center"/>
            </w:pPr>
            <w:r w:rsidRPr="0087043D">
              <w:t>156 (43.2%)</w:t>
            </w:r>
          </w:p>
        </w:tc>
        <w:tc>
          <w:tcPr>
            <w:tcW w:w="961" w:type="pct"/>
            <w:vAlign w:val="center"/>
          </w:tcPr>
          <w:p w:rsidR="009D05F5" w:rsidRPr="0087043D" w:rsidRDefault="009D05F5" w:rsidP="007E085B">
            <w:pPr>
              <w:pStyle w:val="TableText0"/>
              <w:jc w:val="center"/>
            </w:pPr>
            <w:r w:rsidRPr="0087043D">
              <w:t>195 (54.5%)</w:t>
            </w:r>
          </w:p>
        </w:tc>
        <w:tc>
          <w:tcPr>
            <w:tcW w:w="960" w:type="pct"/>
            <w:vAlign w:val="center"/>
          </w:tcPr>
          <w:p w:rsidR="009D05F5" w:rsidRPr="0087043D" w:rsidRDefault="009D05F5" w:rsidP="007E085B">
            <w:pPr>
              <w:pStyle w:val="TableText0"/>
              <w:jc w:val="center"/>
            </w:pPr>
            <w:r w:rsidRPr="0087043D">
              <w:t>190 (52.6%)</w:t>
            </w:r>
          </w:p>
        </w:tc>
        <w:tc>
          <w:tcPr>
            <w:tcW w:w="960" w:type="pct"/>
            <w:vAlign w:val="center"/>
          </w:tcPr>
          <w:p w:rsidR="009D05F5" w:rsidRPr="0087043D" w:rsidRDefault="009D05F5" w:rsidP="007E085B">
            <w:pPr>
              <w:pStyle w:val="TableText0"/>
              <w:jc w:val="center"/>
            </w:pPr>
            <w:r w:rsidRPr="0087043D">
              <w:t>242 (67.6%)</w:t>
            </w:r>
          </w:p>
        </w:tc>
      </w:tr>
      <w:tr w:rsidR="009D05F5" w:rsidRPr="0087043D" w:rsidTr="008A0138">
        <w:tc>
          <w:tcPr>
            <w:tcW w:w="1159" w:type="pct"/>
            <w:vAlign w:val="center"/>
          </w:tcPr>
          <w:p w:rsidR="009D05F5" w:rsidRPr="0087043D" w:rsidRDefault="009D05F5" w:rsidP="007E085B">
            <w:pPr>
              <w:pStyle w:val="TableText0"/>
            </w:pPr>
            <w:r w:rsidRPr="0087043D">
              <w:t>Median OS (95%CI), months</w:t>
            </w:r>
          </w:p>
        </w:tc>
        <w:tc>
          <w:tcPr>
            <w:tcW w:w="960" w:type="pct"/>
            <w:vAlign w:val="center"/>
          </w:tcPr>
          <w:p w:rsidR="009D05F5" w:rsidRPr="0087043D" w:rsidRDefault="009D05F5" w:rsidP="007E085B">
            <w:pPr>
              <w:pStyle w:val="TableText0"/>
              <w:jc w:val="center"/>
            </w:pPr>
            <w:r w:rsidRPr="0087043D">
              <w:t>14.1 (13.2, 16.2)</w:t>
            </w:r>
          </w:p>
        </w:tc>
        <w:tc>
          <w:tcPr>
            <w:tcW w:w="961" w:type="pct"/>
            <w:vAlign w:val="center"/>
          </w:tcPr>
          <w:p w:rsidR="009D05F5" w:rsidRPr="0087043D" w:rsidRDefault="009D05F5" w:rsidP="007E085B">
            <w:pPr>
              <w:pStyle w:val="TableText0"/>
              <w:jc w:val="center"/>
            </w:pPr>
            <w:r w:rsidRPr="0087043D">
              <w:t>10.7 (9.5, 12.5)</w:t>
            </w:r>
          </w:p>
        </w:tc>
        <w:tc>
          <w:tcPr>
            <w:tcW w:w="960" w:type="pct"/>
            <w:vAlign w:val="center"/>
          </w:tcPr>
          <w:p w:rsidR="009D05F5" w:rsidRPr="0087043D" w:rsidRDefault="009D05F5" w:rsidP="007E085B">
            <w:pPr>
              <w:pStyle w:val="TableText0"/>
              <w:jc w:val="center"/>
            </w:pPr>
            <w:r w:rsidRPr="0087043D">
              <w:t>15.6 (13.9, 20.0)</w:t>
            </w:r>
          </w:p>
        </w:tc>
        <w:tc>
          <w:tcPr>
            <w:tcW w:w="960" w:type="pct"/>
            <w:vAlign w:val="center"/>
          </w:tcPr>
          <w:p w:rsidR="009D05F5" w:rsidRPr="0087043D" w:rsidRDefault="009D05F5" w:rsidP="007E085B">
            <w:pPr>
              <w:pStyle w:val="TableText0"/>
              <w:jc w:val="center"/>
            </w:pPr>
            <w:r w:rsidRPr="0087043D">
              <w:t>10.9 (9.5, 12.6)</w:t>
            </w:r>
          </w:p>
        </w:tc>
      </w:tr>
      <w:tr w:rsidR="009D05F5" w:rsidRPr="0087043D" w:rsidTr="008A0138">
        <w:tc>
          <w:tcPr>
            <w:tcW w:w="1159" w:type="pct"/>
            <w:tcBorders>
              <w:bottom w:val="single" w:sz="4" w:space="0" w:color="auto"/>
            </w:tcBorders>
            <w:vAlign w:val="center"/>
          </w:tcPr>
          <w:p w:rsidR="009D05F5" w:rsidRPr="0087043D" w:rsidRDefault="009D05F5" w:rsidP="007E085B">
            <w:pPr>
              <w:pStyle w:val="TableText0"/>
            </w:pPr>
            <w:r w:rsidRPr="0087043D">
              <w:t>HR (95%CI)</w:t>
            </w:r>
          </w:p>
        </w:tc>
        <w:tc>
          <w:tcPr>
            <w:tcW w:w="1921" w:type="pct"/>
            <w:gridSpan w:val="2"/>
            <w:tcBorders>
              <w:bottom w:val="single" w:sz="4" w:space="0" w:color="auto"/>
            </w:tcBorders>
            <w:vAlign w:val="center"/>
          </w:tcPr>
          <w:p w:rsidR="009D05F5" w:rsidRPr="0087043D" w:rsidRDefault="009D05F5" w:rsidP="007E085B">
            <w:pPr>
              <w:pStyle w:val="TableText0"/>
              <w:jc w:val="center"/>
            </w:pPr>
            <w:r w:rsidRPr="0087043D">
              <w:t>0.69 (0.56, 0,86)</w:t>
            </w:r>
          </w:p>
        </w:tc>
        <w:tc>
          <w:tcPr>
            <w:tcW w:w="1920" w:type="pct"/>
            <w:gridSpan w:val="2"/>
            <w:tcBorders>
              <w:bottom w:val="single" w:sz="4" w:space="0" w:color="auto"/>
            </w:tcBorders>
            <w:vAlign w:val="center"/>
          </w:tcPr>
          <w:p w:rsidR="009D05F5" w:rsidRPr="0087043D" w:rsidRDefault="009D05F5" w:rsidP="007E085B">
            <w:pPr>
              <w:pStyle w:val="TableText0"/>
              <w:jc w:val="center"/>
            </w:pPr>
            <w:r w:rsidRPr="0087043D">
              <w:t>0.66 (0.55, 0.80)</w:t>
            </w:r>
          </w:p>
        </w:tc>
      </w:tr>
      <w:tr w:rsidR="009D05F5" w:rsidRPr="0087043D" w:rsidTr="008A0138">
        <w:tc>
          <w:tcPr>
            <w:tcW w:w="1159" w:type="pct"/>
            <w:tcBorders>
              <w:bottom w:val="single" w:sz="4" w:space="0" w:color="auto"/>
            </w:tcBorders>
            <w:vAlign w:val="center"/>
          </w:tcPr>
          <w:p w:rsidR="009D05F5" w:rsidRPr="0087043D" w:rsidRDefault="009D05F5" w:rsidP="007E085B">
            <w:pPr>
              <w:pStyle w:val="TableText0"/>
            </w:pPr>
            <w:r w:rsidRPr="0087043D">
              <w:t>12-month OS rate</w:t>
            </w:r>
          </w:p>
        </w:tc>
        <w:tc>
          <w:tcPr>
            <w:tcW w:w="960" w:type="pct"/>
            <w:tcBorders>
              <w:bottom w:val="single" w:sz="4" w:space="0" w:color="auto"/>
            </w:tcBorders>
          </w:tcPr>
          <w:p w:rsidR="009D05F5" w:rsidRPr="0087043D" w:rsidRDefault="009D05F5" w:rsidP="007E085B">
            <w:pPr>
              <w:pStyle w:val="TableText0"/>
              <w:jc w:val="center"/>
            </w:pPr>
            <w:r w:rsidRPr="0087043D">
              <w:t>NA</w:t>
            </w:r>
          </w:p>
        </w:tc>
        <w:tc>
          <w:tcPr>
            <w:tcW w:w="961" w:type="pct"/>
            <w:tcBorders>
              <w:bottom w:val="single" w:sz="4" w:space="0" w:color="auto"/>
            </w:tcBorders>
          </w:tcPr>
          <w:p w:rsidR="009D05F5" w:rsidRPr="0087043D" w:rsidRDefault="009D05F5" w:rsidP="007E085B">
            <w:pPr>
              <w:pStyle w:val="TableText0"/>
              <w:jc w:val="center"/>
            </w:pPr>
            <w:r w:rsidRPr="0087043D">
              <w:t>NA</w:t>
            </w:r>
          </w:p>
        </w:tc>
        <w:tc>
          <w:tcPr>
            <w:tcW w:w="960" w:type="pct"/>
            <w:tcBorders>
              <w:bottom w:val="single" w:sz="4" w:space="0" w:color="auto"/>
            </w:tcBorders>
            <w:vAlign w:val="center"/>
          </w:tcPr>
          <w:p w:rsidR="009D05F5" w:rsidRPr="0087043D" w:rsidRDefault="009D05F5" w:rsidP="007E085B">
            <w:pPr>
              <w:pStyle w:val="TableText0"/>
              <w:jc w:val="center"/>
            </w:pPr>
            <w:r w:rsidRPr="0087043D">
              <w:t>62.9%</w:t>
            </w:r>
          </w:p>
        </w:tc>
        <w:tc>
          <w:tcPr>
            <w:tcW w:w="960" w:type="pct"/>
            <w:tcBorders>
              <w:bottom w:val="single" w:sz="4" w:space="0" w:color="auto"/>
            </w:tcBorders>
            <w:vAlign w:val="center"/>
          </w:tcPr>
          <w:p w:rsidR="009D05F5" w:rsidRPr="0087043D" w:rsidRDefault="009D05F5" w:rsidP="007E085B">
            <w:pPr>
              <w:pStyle w:val="TableText0"/>
              <w:jc w:val="center"/>
            </w:pPr>
            <w:r w:rsidRPr="0087043D">
              <w:t>46.9%</w:t>
            </w:r>
          </w:p>
        </w:tc>
      </w:tr>
    </w:tbl>
    <w:p w:rsidR="009D05F5" w:rsidRPr="0087043D" w:rsidRDefault="009D05F5" w:rsidP="009D05F5">
      <w:pPr>
        <w:pStyle w:val="TableFigureFooter"/>
      </w:pPr>
      <w:r w:rsidRPr="0087043D">
        <w:t xml:space="preserve">Source: Table 61 p131 and Table 63 p134 of the submission; Table 5, p10, Table 7.5-1 p98 and Figure 7.5-1, p99 </w:t>
      </w:r>
      <w:proofErr w:type="spellStart"/>
      <w:r w:rsidRPr="0087043D">
        <w:t>CheckMate</w:t>
      </w:r>
      <w:proofErr w:type="spellEnd"/>
      <w:r w:rsidRPr="0087043D">
        <w:t xml:space="preserve"> 9LA Interim Analysis CSR; Table 4, p 9, Table 6.5-1 p95 and Figure 6.5-1 p97 </w:t>
      </w:r>
      <w:proofErr w:type="spellStart"/>
      <w:r w:rsidRPr="0087043D">
        <w:t>CheckMate</w:t>
      </w:r>
      <w:proofErr w:type="spellEnd"/>
      <w:r w:rsidRPr="0087043D">
        <w:t xml:space="preserve"> 9LA updated Analysis CSR</w:t>
      </w:r>
    </w:p>
    <w:p w:rsidR="009D05F5" w:rsidRPr="0087043D" w:rsidRDefault="00A20814" w:rsidP="009D05F5">
      <w:pPr>
        <w:pStyle w:val="TableFigureFooter"/>
      </w:pPr>
      <w:r w:rsidRPr="0087043D">
        <w:t>Chemo</w:t>
      </w:r>
      <w:r w:rsidR="009D05F5" w:rsidRPr="0087043D">
        <w:t xml:space="preserve"> = chemotherapy; CI = confidence interval; HR = hazard ratio; ITT = intention to treat; NA = not available; OS = overall survival</w:t>
      </w:r>
    </w:p>
    <w:p w:rsidR="009D05F5" w:rsidRPr="0087043D" w:rsidRDefault="009D05F5" w:rsidP="009D05F5">
      <w:pPr>
        <w:pStyle w:val="TableFigureFooter"/>
      </w:pPr>
      <w:proofErr w:type="gramStart"/>
      <w:r w:rsidRPr="0087043D">
        <w:rPr>
          <w:vertAlign w:val="superscript"/>
        </w:rPr>
        <w:t>a</w:t>
      </w:r>
      <w:proofErr w:type="gramEnd"/>
      <w:r w:rsidRPr="0087043D">
        <w:rPr>
          <w:vertAlign w:val="superscript"/>
        </w:rPr>
        <w:t xml:space="preserve"> </w:t>
      </w:r>
      <w:r w:rsidRPr="0087043D">
        <w:t>Minimum follow-up 8.1 months for OS</w:t>
      </w:r>
    </w:p>
    <w:p w:rsidR="009D05F5" w:rsidRPr="0087043D" w:rsidRDefault="009D05F5" w:rsidP="009D05F5">
      <w:pPr>
        <w:pStyle w:val="TableFigureFooter"/>
      </w:pPr>
      <w:proofErr w:type="gramStart"/>
      <w:r w:rsidRPr="0087043D">
        <w:rPr>
          <w:vertAlign w:val="superscript"/>
        </w:rPr>
        <w:t>b</w:t>
      </w:r>
      <w:proofErr w:type="gramEnd"/>
      <w:r w:rsidRPr="0087043D">
        <w:t xml:space="preserve"> Minimum follow-up 12.7 months for OS</w:t>
      </w:r>
    </w:p>
    <w:p w:rsidR="00C17F9A" w:rsidRPr="0087043D" w:rsidRDefault="00C17F9A" w:rsidP="00C17F9A">
      <w:pPr>
        <w:pStyle w:val="TableFigureHeading"/>
      </w:pPr>
      <w:bookmarkStart w:id="20" w:name="_Ref49329751"/>
      <w:bookmarkStart w:id="21" w:name="_Ref49329746"/>
      <w:r w:rsidRPr="0087043D">
        <w:t xml:space="preserve">Figure </w:t>
      </w:r>
      <w:r w:rsidR="00C71489" w:rsidRPr="0087043D">
        <w:t>1</w:t>
      </w:r>
      <w:bookmarkEnd w:id="20"/>
      <w:r w:rsidRPr="0087043D">
        <w:t xml:space="preserve">: Kaplan-Meier plot of OS – </w:t>
      </w:r>
      <w:proofErr w:type="spellStart"/>
      <w:r w:rsidRPr="0087043D">
        <w:t>NIVO+IPI+platinum</w:t>
      </w:r>
      <w:proofErr w:type="spellEnd"/>
      <w:r w:rsidRPr="0087043D">
        <w:t xml:space="preserve"> vs platinum chemotherapy (ITT, all histology)</w:t>
      </w:r>
      <w:bookmarkEnd w:id="21"/>
    </w:p>
    <w:p w:rsidR="00C17F9A" w:rsidRPr="0087043D" w:rsidRDefault="00C17F9A" w:rsidP="00C17F9A">
      <w:r w:rsidRPr="0087043D">
        <w:rPr>
          <w:noProof/>
        </w:rPr>
        <w:drawing>
          <wp:inline distT="0" distB="0" distL="0" distR="0" wp14:anchorId="4ED0AE86" wp14:editId="4BBA1FF2">
            <wp:extent cx="5732145" cy="3933825"/>
            <wp:effectExtent l="0" t="0" r="1905" b="9525"/>
            <wp:docPr id="3" name="Picture 3" title="Figure 1: Kaplan-Meier plot of OS – NIVO+IPI+platinum vs platinum chemotherapy (ITT, all hist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3933825"/>
                    </a:xfrm>
                    <a:prstGeom prst="rect">
                      <a:avLst/>
                    </a:prstGeom>
                  </pic:spPr>
                </pic:pic>
              </a:graphicData>
            </a:graphic>
          </wp:inline>
        </w:drawing>
      </w:r>
    </w:p>
    <w:p w:rsidR="00C17F9A" w:rsidRPr="0087043D" w:rsidRDefault="00C17F9A" w:rsidP="00C17F9A">
      <w:pPr>
        <w:pStyle w:val="TableFigureFooter"/>
      </w:pPr>
      <w:r w:rsidRPr="0087043D">
        <w:t>Source: Figure 1</w:t>
      </w:r>
      <w:r w:rsidR="00415340" w:rsidRPr="0087043D">
        <w:t>5, p133 of the submission; Figu</w:t>
      </w:r>
      <w:r w:rsidRPr="0087043D">
        <w:t>r</w:t>
      </w:r>
      <w:r w:rsidR="00415340" w:rsidRPr="0087043D">
        <w:t>e</w:t>
      </w:r>
      <w:r w:rsidRPr="0087043D">
        <w:t xml:space="preserve"> 6.2-1, p73 CM9LA updated analysis CSR (February 2020 clinical cut-off).</w:t>
      </w:r>
    </w:p>
    <w:p w:rsidR="00C17F9A" w:rsidRPr="0087043D" w:rsidRDefault="00C17F9A" w:rsidP="00C17F9A">
      <w:pPr>
        <w:pStyle w:val="TableFigureFooter"/>
      </w:pPr>
      <w:r w:rsidRPr="0087043D">
        <w:t xml:space="preserve">Chemo = platinum-doublet chemotherapy; CI = confidence interval; </w:t>
      </w:r>
      <w:proofErr w:type="spellStart"/>
      <w:r w:rsidRPr="0087043D">
        <w:t>Ipi</w:t>
      </w:r>
      <w:proofErr w:type="spellEnd"/>
      <w:r w:rsidRPr="0087043D">
        <w:t xml:space="preserve"> = ipilimumab; ITT = intention to treat; </w:t>
      </w:r>
      <w:proofErr w:type="spellStart"/>
      <w:r w:rsidRPr="0087043D">
        <w:t>Nivo</w:t>
      </w:r>
      <w:proofErr w:type="spellEnd"/>
      <w:r w:rsidRPr="0087043D">
        <w:t xml:space="preserve"> = nivolumab; OS = overall survival.</w:t>
      </w:r>
    </w:p>
    <w:p w:rsidR="00415340" w:rsidRPr="0087043D" w:rsidRDefault="009C1A15" w:rsidP="009C1A15">
      <w:pPr>
        <w:pStyle w:val="3-BodyText"/>
        <w:rPr>
          <w:snapToGrid/>
        </w:rPr>
      </w:pPr>
      <w:r w:rsidRPr="0087043D">
        <w:rPr>
          <w:snapToGrid/>
        </w:rPr>
        <w:t xml:space="preserve">The submission claimed that </w:t>
      </w:r>
      <w:proofErr w:type="spellStart"/>
      <w:r w:rsidRPr="0087043D">
        <w:rPr>
          <w:snapToGrid/>
        </w:rPr>
        <w:t>NIVO+IPI+platinum</w:t>
      </w:r>
      <w:proofErr w:type="spellEnd"/>
      <w:r w:rsidRPr="0087043D">
        <w:rPr>
          <w:snapToGrid/>
        </w:rPr>
        <w:t xml:space="preserve"> is superior to platinum-doublet chemotherapy in terms of OS, and that the improvement in OS was clinically meaningful. This </w:t>
      </w:r>
      <w:r w:rsidR="004C6B85" w:rsidRPr="0087043D">
        <w:rPr>
          <w:snapToGrid/>
        </w:rPr>
        <w:t xml:space="preserve">ESC considered this </w:t>
      </w:r>
      <w:r w:rsidRPr="0087043D">
        <w:rPr>
          <w:snapToGrid/>
        </w:rPr>
        <w:t>was reasonable</w:t>
      </w:r>
      <w:r w:rsidRPr="0087043D">
        <w:rPr>
          <w:i/>
          <w:snapToGrid/>
        </w:rPr>
        <w:t xml:space="preserve">. </w:t>
      </w:r>
    </w:p>
    <w:p w:rsidR="009C1A15" w:rsidRPr="0087043D" w:rsidRDefault="009D05F5" w:rsidP="009C1A15">
      <w:pPr>
        <w:pStyle w:val="3-BodyText"/>
        <w:rPr>
          <w:snapToGrid/>
        </w:rPr>
      </w:pPr>
      <w:r w:rsidRPr="0087043D">
        <w:rPr>
          <w:snapToGrid/>
        </w:rPr>
        <w:t xml:space="preserve">The OS results </w:t>
      </w:r>
      <w:r w:rsidR="009C1A15" w:rsidRPr="0087043D">
        <w:rPr>
          <w:snapToGrid/>
        </w:rPr>
        <w:t xml:space="preserve">for </w:t>
      </w:r>
      <w:proofErr w:type="spellStart"/>
      <w:r w:rsidR="009C1A15" w:rsidRPr="0087043D">
        <w:rPr>
          <w:snapToGrid/>
        </w:rPr>
        <w:t>pembrolizumab+platinum</w:t>
      </w:r>
      <w:proofErr w:type="spellEnd"/>
      <w:r w:rsidR="009C1A15" w:rsidRPr="0087043D">
        <w:rPr>
          <w:snapToGrid/>
        </w:rPr>
        <w:t xml:space="preserve"> versus </w:t>
      </w:r>
      <w:proofErr w:type="spellStart"/>
      <w:r w:rsidR="009C1A15" w:rsidRPr="0087043D">
        <w:rPr>
          <w:snapToGrid/>
        </w:rPr>
        <w:t>placebo+platinum</w:t>
      </w:r>
      <w:proofErr w:type="spellEnd"/>
      <w:r w:rsidR="009C1A15" w:rsidRPr="0087043D">
        <w:rPr>
          <w:snapToGrid/>
        </w:rPr>
        <w:t xml:space="preserve"> </w:t>
      </w:r>
      <w:r w:rsidRPr="0087043D">
        <w:rPr>
          <w:snapToGrid/>
        </w:rPr>
        <w:t xml:space="preserve">from </w:t>
      </w:r>
      <w:r w:rsidR="009C1A15" w:rsidRPr="0087043D">
        <w:rPr>
          <w:snapToGrid/>
        </w:rPr>
        <w:t>KN189 (non-squamous NSCLC) and KN407 (squamous NSCLC) are presented below.</w:t>
      </w:r>
    </w:p>
    <w:p w:rsidR="009C1A15" w:rsidRPr="0087043D" w:rsidRDefault="009C1A15" w:rsidP="009C1A15">
      <w:pPr>
        <w:pStyle w:val="TableFigureHeading"/>
      </w:pPr>
      <w:r w:rsidRPr="0087043D">
        <w:t xml:space="preserve">Table </w:t>
      </w:r>
      <w:r w:rsidR="00C71489" w:rsidRPr="0087043D">
        <w:t>5</w:t>
      </w:r>
      <w:r w:rsidRPr="0087043D">
        <w:t>: OS outcomes in KN189 and KN407</w:t>
      </w:r>
    </w:p>
    <w:tbl>
      <w:tblPr>
        <w:tblStyle w:val="TableGrid"/>
        <w:tblW w:w="5000" w:type="pct"/>
        <w:tblLook w:val="04A0" w:firstRow="1" w:lastRow="0" w:firstColumn="1" w:lastColumn="0" w:noHBand="0" w:noVBand="1"/>
        <w:tblCaption w:val="Table 5: OS outcomes in KN189 and KN407"/>
      </w:tblPr>
      <w:tblGrid>
        <w:gridCol w:w="2091"/>
        <w:gridCol w:w="1731"/>
        <w:gridCol w:w="1733"/>
        <w:gridCol w:w="1731"/>
        <w:gridCol w:w="1731"/>
      </w:tblGrid>
      <w:tr w:rsidR="009C1A15" w:rsidRPr="008A0138" w:rsidTr="00EC78BA">
        <w:trPr>
          <w:tblHeader/>
        </w:trPr>
        <w:tc>
          <w:tcPr>
            <w:tcW w:w="5000" w:type="pct"/>
            <w:gridSpan w:val="5"/>
            <w:vAlign w:val="center"/>
          </w:tcPr>
          <w:p w:rsidR="009C1A15" w:rsidRPr="008A0138" w:rsidRDefault="009C1A15" w:rsidP="007E085B">
            <w:pPr>
              <w:pStyle w:val="In-tableHeading"/>
              <w:rPr>
                <w:szCs w:val="20"/>
                <w:lang w:val="en-AU"/>
              </w:rPr>
            </w:pPr>
            <w:r w:rsidRPr="008A0138">
              <w:rPr>
                <w:szCs w:val="20"/>
                <w:lang w:val="en-AU"/>
              </w:rPr>
              <w:t>Keynote 189 – non-squamous NSCLC</w:t>
            </w:r>
          </w:p>
        </w:tc>
      </w:tr>
      <w:tr w:rsidR="009C1A15" w:rsidRPr="008A0138" w:rsidTr="008A0138">
        <w:tc>
          <w:tcPr>
            <w:tcW w:w="1159" w:type="pct"/>
            <w:vAlign w:val="center"/>
          </w:tcPr>
          <w:p w:rsidR="009C1A15" w:rsidRPr="008A0138" w:rsidRDefault="009C1A15" w:rsidP="007E085B">
            <w:pPr>
              <w:pStyle w:val="In-tableHeading"/>
              <w:rPr>
                <w:szCs w:val="20"/>
                <w:lang w:val="en-AU"/>
              </w:rPr>
            </w:pPr>
            <w:r w:rsidRPr="008A0138">
              <w:rPr>
                <w:szCs w:val="20"/>
                <w:lang w:val="en-AU"/>
              </w:rPr>
              <w:t>Clinical cut-off</w:t>
            </w:r>
          </w:p>
        </w:tc>
        <w:tc>
          <w:tcPr>
            <w:tcW w:w="1921" w:type="pct"/>
            <w:gridSpan w:val="2"/>
            <w:vAlign w:val="center"/>
          </w:tcPr>
          <w:p w:rsidR="009C1A15" w:rsidRPr="008A0138" w:rsidRDefault="009C1A15" w:rsidP="007E085B">
            <w:pPr>
              <w:pStyle w:val="In-tableHeading"/>
              <w:jc w:val="center"/>
              <w:rPr>
                <w:szCs w:val="20"/>
                <w:lang w:val="en-AU"/>
              </w:rPr>
            </w:pPr>
            <w:r w:rsidRPr="008A0138">
              <w:rPr>
                <w:szCs w:val="20"/>
                <w:lang w:val="en-AU"/>
              </w:rPr>
              <w:t>November 2017</w:t>
            </w:r>
          </w:p>
        </w:tc>
        <w:tc>
          <w:tcPr>
            <w:tcW w:w="1920" w:type="pct"/>
            <w:gridSpan w:val="2"/>
            <w:vAlign w:val="center"/>
          </w:tcPr>
          <w:p w:rsidR="009C1A15" w:rsidRPr="008A0138" w:rsidRDefault="009C1A15" w:rsidP="007E085B">
            <w:pPr>
              <w:pStyle w:val="In-tableHeading"/>
              <w:jc w:val="center"/>
              <w:rPr>
                <w:szCs w:val="20"/>
                <w:lang w:val="en-AU"/>
              </w:rPr>
            </w:pPr>
            <w:r w:rsidRPr="008A0138">
              <w:rPr>
                <w:szCs w:val="20"/>
                <w:lang w:val="en-AU"/>
              </w:rPr>
              <w:t>September 2018</w:t>
            </w:r>
          </w:p>
        </w:tc>
      </w:tr>
      <w:tr w:rsidR="009C1A15" w:rsidRPr="008A0138" w:rsidTr="008A0138">
        <w:tc>
          <w:tcPr>
            <w:tcW w:w="1159" w:type="pct"/>
            <w:vAlign w:val="center"/>
          </w:tcPr>
          <w:p w:rsidR="009C1A15" w:rsidRPr="008A0138" w:rsidRDefault="009C1A15" w:rsidP="007E085B">
            <w:pPr>
              <w:pStyle w:val="In-tableHeading"/>
              <w:rPr>
                <w:szCs w:val="20"/>
                <w:lang w:val="en-AU"/>
              </w:rPr>
            </w:pPr>
          </w:p>
        </w:tc>
        <w:tc>
          <w:tcPr>
            <w:tcW w:w="960" w:type="pct"/>
            <w:vAlign w:val="center"/>
          </w:tcPr>
          <w:p w:rsidR="009C1A15" w:rsidRPr="008A0138" w:rsidRDefault="009C1A15" w:rsidP="007E085B">
            <w:pPr>
              <w:pStyle w:val="In-tableHeading"/>
              <w:jc w:val="center"/>
              <w:rPr>
                <w:szCs w:val="20"/>
                <w:lang w:val="en-AU"/>
              </w:rPr>
            </w:pPr>
            <w:proofErr w:type="spellStart"/>
            <w:r w:rsidRPr="008A0138">
              <w:rPr>
                <w:szCs w:val="20"/>
                <w:lang w:val="en-AU"/>
              </w:rPr>
              <w:t>PEMBRO+platinum</w:t>
            </w:r>
            <w:proofErr w:type="spellEnd"/>
          </w:p>
        </w:tc>
        <w:tc>
          <w:tcPr>
            <w:tcW w:w="961" w:type="pct"/>
            <w:vAlign w:val="center"/>
          </w:tcPr>
          <w:p w:rsidR="009C1A15" w:rsidRPr="008A0138" w:rsidRDefault="009C1A15" w:rsidP="007E085B">
            <w:pPr>
              <w:pStyle w:val="In-tableHeading"/>
              <w:jc w:val="center"/>
              <w:rPr>
                <w:szCs w:val="20"/>
                <w:lang w:val="en-AU"/>
              </w:rPr>
            </w:pPr>
            <w:proofErr w:type="spellStart"/>
            <w:r w:rsidRPr="008A0138">
              <w:rPr>
                <w:szCs w:val="20"/>
                <w:lang w:val="en-AU"/>
              </w:rPr>
              <w:t>Placebo+platinum</w:t>
            </w:r>
            <w:proofErr w:type="spellEnd"/>
          </w:p>
        </w:tc>
        <w:tc>
          <w:tcPr>
            <w:tcW w:w="960" w:type="pct"/>
            <w:vAlign w:val="center"/>
          </w:tcPr>
          <w:p w:rsidR="009C1A15" w:rsidRPr="008A0138" w:rsidRDefault="009C1A15" w:rsidP="007E085B">
            <w:pPr>
              <w:pStyle w:val="In-tableHeading"/>
              <w:jc w:val="center"/>
              <w:rPr>
                <w:szCs w:val="20"/>
                <w:lang w:val="en-AU"/>
              </w:rPr>
            </w:pPr>
            <w:proofErr w:type="spellStart"/>
            <w:r w:rsidRPr="008A0138">
              <w:rPr>
                <w:szCs w:val="20"/>
                <w:lang w:val="en-AU"/>
              </w:rPr>
              <w:t>PEMBRO+platinum</w:t>
            </w:r>
            <w:proofErr w:type="spellEnd"/>
          </w:p>
        </w:tc>
        <w:tc>
          <w:tcPr>
            <w:tcW w:w="960" w:type="pct"/>
            <w:vAlign w:val="center"/>
          </w:tcPr>
          <w:p w:rsidR="009C1A15" w:rsidRPr="008A0138" w:rsidRDefault="009C1A15" w:rsidP="007E085B">
            <w:pPr>
              <w:pStyle w:val="In-tableHeading"/>
              <w:jc w:val="center"/>
              <w:rPr>
                <w:szCs w:val="20"/>
                <w:lang w:val="en-AU"/>
              </w:rPr>
            </w:pPr>
            <w:proofErr w:type="spellStart"/>
            <w:r w:rsidRPr="008A0138">
              <w:rPr>
                <w:szCs w:val="20"/>
                <w:lang w:val="en-AU"/>
              </w:rPr>
              <w:t>Placebo+platinum</w:t>
            </w:r>
            <w:proofErr w:type="spellEnd"/>
          </w:p>
        </w:tc>
      </w:tr>
      <w:tr w:rsidR="009C1A15" w:rsidRPr="008A0138" w:rsidTr="008A0138">
        <w:tc>
          <w:tcPr>
            <w:tcW w:w="1159" w:type="pct"/>
            <w:vAlign w:val="center"/>
          </w:tcPr>
          <w:p w:rsidR="009C1A15" w:rsidRPr="008A0138" w:rsidRDefault="009C1A15" w:rsidP="007E085B">
            <w:pPr>
              <w:pStyle w:val="TableText0"/>
              <w:rPr>
                <w:szCs w:val="20"/>
              </w:rPr>
            </w:pPr>
            <w:r w:rsidRPr="008A0138">
              <w:rPr>
                <w:szCs w:val="20"/>
              </w:rPr>
              <w:t>Median follow-up</w:t>
            </w:r>
          </w:p>
        </w:tc>
        <w:tc>
          <w:tcPr>
            <w:tcW w:w="1921" w:type="pct"/>
            <w:gridSpan w:val="2"/>
            <w:vAlign w:val="center"/>
          </w:tcPr>
          <w:p w:rsidR="009C1A15" w:rsidRPr="008A0138" w:rsidRDefault="009C1A15" w:rsidP="007E085B">
            <w:pPr>
              <w:pStyle w:val="TableText0"/>
              <w:jc w:val="center"/>
              <w:rPr>
                <w:szCs w:val="20"/>
              </w:rPr>
            </w:pPr>
            <w:r w:rsidRPr="008A0138">
              <w:rPr>
                <w:szCs w:val="20"/>
              </w:rPr>
              <w:t>10.5 months</w:t>
            </w:r>
          </w:p>
        </w:tc>
        <w:tc>
          <w:tcPr>
            <w:tcW w:w="1920" w:type="pct"/>
            <w:gridSpan w:val="2"/>
            <w:vAlign w:val="center"/>
          </w:tcPr>
          <w:p w:rsidR="009C1A15" w:rsidRPr="008A0138" w:rsidRDefault="009C1A15" w:rsidP="007E085B">
            <w:pPr>
              <w:pStyle w:val="TableText0"/>
              <w:jc w:val="center"/>
              <w:rPr>
                <w:szCs w:val="20"/>
              </w:rPr>
            </w:pPr>
            <w:r w:rsidRPr="008A0138">
              <w:rPr>
                <w:szCs w:val="20"/>
              </w:rPr>
              <w:t>23.1 months</w:t>
            </w:r>
          </w:p>
        </w:tc>
      </w:tr>
      <w:tr w:rsidR="009C1A15" w:rsidRPr="008A0138" w:rsidTr="008A0138">
        <w:tc>
          <w:tcPr>
            <w:tcW w:w="1159" w:type="pct"/>
            <w:vAlign w:val="center"/>
          </w:tcPr>
          <w:p w:rsidR="009C1A15" w:rsidRPr="008A0138" w:rsidRDefault="009C1A15" w:rsidP="007E085B">
            <w:pPr>
              <w:pStyle w:val="TableText0"/>
              <w:rPr>
                <w:b/>
                <w:bCs w:val="0"/>
                <w:szCs w:val="20"/>
              </w:rPr>
            </w:pPr>
            <w:r w:rsidRPr="008A0138">
              <w:rPr>
                <w:b/>
                <w:bCs w:val="0"/>
                <w:szCs w:val="20"/>
              </w:rPr>
              <w:t>ITT</w:t>
            </w:r>
          </w:p>
        </w:tc>
        <w:tc>
          <w:tcPr>
            <w:tcW w:w="960" w:type="pct"/>
            <w:vAlign w:val="center"/>
          </w:tcPr>
          <w:p w:rsidR="009C1A15" w:rsidRPr="008A0138" w:rsidRDefault="009C1A15" w:rsidP="007E085B">
            <w:pPr>
              <w:pStyle w:val="TableText0"/>
              <w:jc w:val="center"/>
              <w:rPr>
                <w:szCs w:val="20"/>
              </w:rPr>
            </w:pPr>
            <w:r w:rsidRPr="008A0138">
              <w:rPr>
                <w:szCs w:val="20"/>
              </w:rPr>
              <w:t>N=410</w:t>
            </w:r>
          </w:p>
        </w:tc>
        <w:tc>
          <w:tcPr>
            <w:tcW w:w="961" w:type="pct"/>
            <w:vAlign w:val="center"/>
          </w:tcPr>
          <w:p w:rsidR="009C1A15" w:rsidRPr="008A0138" w:rsidRDefault="009C1A15" w:rsidP="007E085B">
            <w:pPr>
              <w:pStyle w:val="TableText0"/>
              <w:jc w:val="center"/>
              <w:rPr>
                <w:szCs w:val="20"/>
              </w:rPr>
            </w:pPr>
            <w:r w:rsidRPr="008A0138">
              <w:rPr>
                <w:szCs w:val="20"/>
              </w:rPr>
              <w:t>N=206</w:t>
            </w:r>
          </w:p>
        </w:tc>
        <w:tc>
          <w:tcPr>
            <w:tcW w:w="960" w:type="pct"/>
            <w:vAlign w:val="center"/>
          </w:tcPr>
          <w:p w:rsidR="009C1A15" w:rsidRPr="008A0138" w:rsidRDefault="009C1A15" w:rsidP="007E085B">
            <w:pPr>
              <w:pStyle w:val="TableText0"/>
              <w:jc w:val="center"/>
              <w:rPr>
                <w:szCs w:val="20"/>
              </w:rPr>
            </w:pPr>
            <w:r w:rsidRPr="008A0138">
              <w:rPr>
                <w:szCs w:val="20"/>
              </w:rPr>
              <w:t>N=410</w:t>
            </w:r>
          </w:p>
        </w:tc>
        <w:tc>
          <w:tcPr>
            <w:tcW w:w="960" w:type="pct"/>
            <w:vAlign w:val="center"/>
          </w:tcPr>
          <w:p w:rsidR="009C1A15" w:rsidRPr="008A0138" w:rsidRDefault="009C1A15" w:rsidP="007E085B">
            <w:pPr>
              <w:pStyle w:val="TableText0"/>
              <w:jc w:val="center"/>
              <w:rPr>
                <w:szCs w:val="20"/>
              </w:rPr>
            </w:pPr>
            <w:r w:rsidRPr="008A0138">
              <w:rPr>
                <w:szCs w:val="20"/>
              </w:rPr>
              <w:t>N=206</w:t>
            </w:r>
          </w:p>
        </w:tc>
      </w:tr>
      <w:tr w:rsidR="009C1A15" w:rsidRPr="008A0138" w:rsidTr="008A0138">
        <w:tc>
          <w:tcPr>
            <w:tcW w:w="1159" w:type="pct"/>
            <w:vAlign w:val="center"/>
          </w:tcPr>
          <w:p w:rsidR="009C1A15" w:rsidRPr="008A0138" w:rsidRDefault="009C1A15" w:rsidP="007E085B">
            <w:pPr>
              <w:pStyle w:val="TableText0"/>
              <w:rPr>
                <w:szCs w:val="20"/>
              </w:rPr>
            </w:pPr>
            <w:r w:rsidRPr="008A0138">
              <w:rPr>
                <w:szCs w:val="20"/>
              </w:rPr>
              <w:t>Patients with event, n (%)</w:t>
            </w:r>
          </w:p>
        </w:tc>
        <w:tc>
          <w:tcPr>
            <w:tcW w:w="960" w:type="pct"/>
            <w:vAlign w:val="center"/>
          </w:tcPr>
          <w:p w:rsidR="009C1A15" w:rsidRPr="008A0138" w:rsidRDefault="009C1A15" w:rsidP="007E085B">
            <w:pPr>
              <w:pStyle w:val="TableText0"/>
              <w:jc w:val="center"/>
              <w:rPr>
                <w:szCs w:val="20"/>
              </w:rPr>
            </w:pPr>
            <w:r w:rsidRPr="008A0138">
              <w:rPr>
                <w:szCs w:val="20"/>
              </w:rPr>
              <w:t>NR</w:t>
            </w:r>
          </w:p>
        </w:tc>
        <w:tc>
          <w:tcPr>
            <w:tcW w:w="961" w:type="pct"/>
            <w:vAlign w:val="center"/>
          </w:tcPr>
          <w:p w:rsidR="009C1A15" w:rsidRPr="008A0138" w:rsidRDefault="009C1A15" w:rsidP="007E085B">
            <w:pPr>
              <w:pStyle w:val="TableText0"/>
              <w:jc w:val="center"/>
              <w:rPr>
                <w:szCs w:val="20"/>
              </w:rPr>
            </w:pPr>
            <w:r w:rsidRPr="008A0138">
              <w:rPr>
                <w:szCs w:val="20"/>
              </w:rPr>
              <w:t>NR</w:t>
            </w:r>
          </w:p>
        </w:tc>
        <w:tc>
          <w:tcPr>
            <w:tcW w:w="960" w:type="pct"/>
            <w:vAlign w:val="center"/>
          </w:tcPr>
          <w:p w:rsidR="009C1A15" w:rsidRPr="008A0138" w:rsidRDefault="009C1A15" w:rsidP="007E085B">
            <w:pPr>
              <w:pStyle w:val="TableText0"/>
              <w:jc w:val="center"/>
              <w:rPr>
                <w:szCs w:val="20"/>
              </w:rPr>
            </w:pPr>
            <w:r w:rsidRPr="008A0138">
              <w:rPr>
                <w:szCs w:val="20"/>
              </w:rPr>
              <w:t>213 (52.0%)</w:t>
            </w:r>
          </w:p>
        </w:tc>
        <w:tc>
          <w:tcPr>
            <w:tcW w:w="960" w:type="pct"/>
            <w:vAlign w:val="center"/>
          </w:tcPr>
          <w:p w:rsidR="009C1A15" w:rsidRPr="008A0138" w:rsidRDefault="009C1A15" w:rsidP="007E085B">
            <w:pPr>
              <w:pStyle w:val="TableText0"/>
              <w:jc w:val="center"/>
              <w:rPr>
                <w:szCs w:val="20"/>
              </w:rPr>
            </w:pPr>
            <w:r w:rsidRPr="008A0138">
              <w:rPr>
                <w:szCs w:val="20"/>
              </w:rPr>
              <w:t>144 (69.9%)</w:t>
            </w:r>
          </w:p>
        </w:tc>
      </w:tr>
      <w:tr w:rsidR="009C1A15" w:rsidRPr="008A0138" w:rsidTr="008A0138">
        <w:tc>
          <w:tcPr>
            <w:tcW w:w="1159" w:type="pct"/>
            <w:vAlign w:val="center"/>
          </w:tcPr>
          <w:p w:rsidR="009C1A15" w:rsidRPr="008A0138" w:rsidRDefault="009C1A15" w:rsidP="007E085B">
            <w:pPr>
              <w:pStyle w:val="TableText0"/>
              <w:rPr>
                <w:szCs w:val="20"/>
              </w:rPr>
            </w:pPr>
            <w:r w:rsidRPr="008A0138">
              <w:rPr>
                <w:szCs w:val="20"/>
              </w:rPr>
              <w:t>Median OS (95%CI), months</w:t>
            </w:r>
          </w:p>
        </w:tc>
        <w:tc>
          <w:tcPr>
            <w:tcW w:w="960" w:type="pct"/>
            <w:vAlign w:val="center"/>
          </w:tcPr>
          <w:p w:rsidR="009C1A15" w:rsidRPr="008A0138" w:rsidRDefault="009C1A15" w:rsidP="007E085B">
            <w:pPr>
              <w:pStyle w:val="TableText0"/>
              <w:jc w:val="center"/>
              <w:rPr>
                <w:szCs w:val="20"/>
              </w:rPr>
            </w:pPr>
            <w:r w:rsidRPr="008A0138">
              <w:rPr>
                <w:szCs w:val="20"/>
              </w:rPr>
              <w:t>NR</w:t>
            </w:r>
          </w:p>
        </w:tc>
        <w:tc>
          <w:tcPr>
            <w:tcW w:w="961" w:type="pct"/>
            <w:vAlign w:val="center"/>
          </w:tcPr>
          <w:p w:rsidR="009C1A15" w:rsidRPr="008A0138" w:rsidRDefault="009C1A15" w:rsidP="007E085B">
            <w:pPr>
              <w:pStyle w:val="TableText0"/>
              <w:jc w:val="center"/>
              <w:rPr>
                <w:szCs w:val="20"/>
              </w:rPr>
            </w:pPr>
            <w:r w:rsidRPr="008A0138">
              <w:rPr>
                <w:szCs w:val="20"/>
              </w:rPr>
              <w:t>11.3 (8.7, 15.1)</w:t>
            </w:r>
          </w:p>
        </w:tc>
        <w:tc>
          <w:tcPr>
            <w:tcW w:w="960" w:type="pct"/>
            <w:vAlign w:val="center"/>
          </w:tcPr>
          <w:p w:rsidR="009C1A15" w:rsidRPr="008A0138" w:rsidRDefault="009C1A15" w:rsidP="007E085B">
            <w:pPr>
              <w:pStyle w:val="TableText0"/>
              <w:jc w:val="center"/>
              <w:rPr>
                <w:szCs w:val="20"/>
              </w:rPr>
            </w:pPr>
            <w:r w:rsidRPr="008A0138">
              <w:rPr>
                <w:szCs w:val="20"/>
              </w:rPr>
              <w:t>22.0 (19.5, 25.2)</w:t>
            </w:r>
          </w:p>
        </w:tc>
        <w:tc>
          <w:tcPr>
            <w:tcW w:w="960" w:type="pct"/>
            <w:vAlign w:val="center"/>
          </w:tcPr>
          <w:p w:rsidR="009C1A15" w:rsidRPr="008A0138" w:rsidRDefault="009C1A15" w:rsidP="007E085B">
            <w:pPr>
              <w:pStyle w:val="TableText0"/>
              <w:jc w:val="center"/>
              <w:rPr>
                <w:szCs w:val="20"/>
              </w:rPr>
            </w:pPr>
            <w:r w:rsidRPr="008A0138">
              <w:rPr>
                <w:szCs w:val="20"/>
              </w:rPr>
              <w:t>10.7 (8.7, 13.6)</w:t>
            </w:r>
          </w:p>
        </w:tc>
      </w:tr>
      <w:tr w:rsidR="009C1A15" w:rsidRPr="008A0138" w:rsidTr="008A0138">
        <w:tc>
          <w:tcPr>
            <w:tcW w:w="1159" w:type="pct"/>
            <w:tcBorders>
              <w:bottom w:val="single" w:sz="4" w:space="0" w:color="auto"/>
            </w:tcBorders>
            <w:vAlign w:val="center"/>
          </w:tcPr>
          <w:p w:rsidR="009C1A15" w:rsidRPr="008A0138" w:rsidRDefault="009C1A15" w:rsidP="007E085B">
            <w:pPr>
              <w:pStyle w:val="TableText0"/>
              <w:rPr>
                <w:szCs w:val="20"/>
              </w:rPr>
            </w:pPr>
            <w:r w:rsidRPr="008A0138">
              <w:rPr>
                <w:szCs w:val="20"/>
              </w:rPr>
              <w:t>HR (95%CI)</w:t>
            </w:r>
          </w:p>
        </w:tc>
        <w:tc>
          <w:tcPr>
            <w:tcW w:w="1921" w:type="pct"/>
            <w:gridSpan w:val="2"/>
            <w:tcBorders>
              <w:bottom w:val="single" w:sz="4" w:space="0" w:color="auto"/>
            </w:tcBorders>
            <w:vAlign w:val="center"/>
          </w:tcPr>
          <w:p w:rsidR="009C1A15" w:rsidRPr="008A0138" w:rsidRDefault="009C1A15" w:rsidP="007E085B">
            <w:pPr>
              <w:pStyle w:val="TableText0"/>
              <w:jc w:val="center"/>
              <w:rPr>
                <w:szCs w:val="20"/>
              </w:rPr>
            </w:pPr>
            <w:r w:rsidRPr="008A0138">
              <w:rPr>
                <w:szCs w:val="20"/>
              </w:rPr>
              <w:t>0.49 (0.38, 0.64)</w:t>
            </w:r>
          </w:p>
        </w:tc>
        <w:tc>
          <w:tcPr>
            <w:tcW w:w="1920" w:type="pct"/>
            <w:gridSpan w:val="2"/>
            <w:tcBorders>
              <w:bottom w:val="single" w:sz="4" w:space="0" w:color="auto"/>
            </w:tcBorders>
            <w:vAlign w:val="center"/>
          </w:tcPr>
          <w:p w:rsidR="009C1A15" w:rsidRPr="008A0138" w:rsidRDefault="009C1A15" w:rsidP="007E085B">
            <w:pPr>
              <w:pStyle w:val="TableText0"/>
              <w:jc w:val="center"/>
              <w:rPr>
                <w:szCs w:val="20"/>
              </w:rPr>
            </w:pPr>
            <w:r w:rsidRPr="008A0138">
              <w:rPr>
                <w:szCs w:val="20"/>
              </w:rPr>
              <w:t>0.56 (0.45, 0.70)</w:t>
            </w:r>
          </w:p>
        </w:tc>
      </w:tr>
      <w:tr w:rsidR="009C1A15" w:rsidRPr="008A0138" w:rsidTr="008A0138">
        <w:tc>
          <w:tcPr>
            <w:tcW w:w="1159" w:type="pct"/>
            <w:tcBorders>
              <w:bottom w:val="double" w:sz="4" w:space="0" w:color="auto"/>
            </w:tcBorders>
            <w:vAlign w:val="center"/>
          </w:tcPr>
          <w:p w:rsidR="009C1A15" w:rsidRPr="008A0138" w:rsidRDefault="009C1A15" w:rsidP="007E085B">
            <w:pPr>
              <w:pStyle w:val="TableText0"/>
              <w:rPr>
                <w:szCs w:val="20"/>
              </w:rPr>
            </w:pPr>
            <w:r w:rsidRPr="008A0138">
              <w:rPr>
                <w:szCs w:val="20"/>
              </w:rPr>
              <w:t>12-month OS rate</w:t>
            </w:r>
          </w:p>
        </w:tc>
        <w:tc>
          <w:tcPr>
            <w:tcW w:w="960" w:type="pct"/>
            <w:tcBorders>
              <w:bottom w:val="double" w:sz="4" w:space="0" w:color="auto"/>
            </w:tcBorders>
            <w:vAlign w:val="center"/>
          </w:tcPr>
          <w:p w:rsidR="009C1A15" w:rsidRPr="008A0138" w:rsidRDefault="009C1A15" w:rsidP="007E085B">
            <w:pPr>
              <w:pStyle w:val="TableText0"/>
              <w:jc w:val="center"/>
              <w:rPr>
                <w:szCs w:val="20"/>
              </w:rPr>
            </w:pPr>
            <w:r w:rsidRPr="008A0138">
              <w:rPr>
                <w:szCs w:val="20"/>
              </w:rPr>
              <w:t>69.2%</w:t>
            </w:r>
          </w:p>
        </w:tc>
        <w:tc>
          <w:tcPr>
            <w:tcW w:w="961" w:type="pct"/>
            <w:tcBorders>
              <w:bottom w:val="double" w:sz="4" w:space="0" w:color="auto"/>
            </w:tcBorders>
            <w:vAlign w:val="center"/>
          </w:tcPr>
          <w:p w:rsidR="009C1A15" w:rsidRPr="008A0138" w:rsidRDefault="009C1A15" w:rsidP="007E085B">
            <w:pPr>
              <w:pStyle w:val="TableText0"/>
              <w:jc w:val="center"/>
              <w:rPr>
                <w:szCs w:val="20"/>
              </w:rPr>
            </w:pPr>
            <w:r w:rsidRPr="008A0138">
              <w:rPr>
                <w:szCs w:val="20"/>
              </w:rPr>
              <w:t>49.4%</w:t>
            </w:r>
          </w:p>
        </w:tc>
        <w:tc>
          <w:tcPr>
            <w:tcW w:w="960" w:type="pct"/>
            <w:tcBorders>
              <w:bottom w:val="double" w:sz="4" w:space="0" w:color="auto"/>
            </w:tcBorders>
            <w:vAlign w:val="center"/>
          </w:tcPr>
          <w:p w:rsidR="009C1A15" w:rsidRPr="008A0138" w:rsidRDefault="009C1A15" w:rsidP="007E085B">
            <w:pPr>
              <w:pStyle w:val="TableText0"/>
              <w:jc w:val="center"/>
              <w:rPr>
                <w:szCs w:val="20"/>
              </w:rPr>
            </w:pPr>
            <w:r w:rsidRPr="008A0138">
              <w:rPr>
                <w:szCs w:val="20"/>
              </w:rPr>
              <w:t>70.0%</w:t>
            </w:r>
          </w:p>
        </w:tc>
        <w:tc>
          <w:tcPr>
            <w:tcW w:w="960" w:type="pct"/>
            <w:tcBorders>
              <w:bottom w:val="double" w:sz="4" w:space="0" w:color="auto"/>
            </w:tcBorders>
            <w:vAlign w:val="center"/>
          </w:tcPr>
          <w:p w:rsidR="009C1A15" w:rsidRPr="008A0138" w:rsidRDefault="009C1A15" w:rsidP="007E085B">
            <w:pPr>
              <w:pStyle w:val="TableText0"/>
              <w:jc w:val="center"/>
              <w:rPr>
                <w:szCs w:val="20"/>
              </w:rPr>
            </w:pPr>
            <w:r w:rsidRPr="008A0138">
              <w:rPr>
                <w:szCs w:val="20"/>
              </w:rPr>
              <w:t>48.1%</w:t>
            </w:r>
          </w:p>
        </w:tc>
      </w:tr>
      <w:tr w:rsidR="009C1A15" w:rsidRPr="008A0138" w:rsidTr="008A0138">
        <w:tc>
          <w:tcPr>
            <w:tcW w:w="5000" w:type="pct"/>
            <w:gridSpan w:val="5"/>
            <w:tcBorders>
              <w:top w:val="double" w:sz="4" w:space="0" w:color="auto"/>
            </w:tcBorders>
            <w:vAlign w:val="center"/>
          </w:tcPr>
          <w:p w:rsidR="009C1A15" w:rsidRPr="008A0138" w:rsidRDefault="009C1A15" w:rsidP="007E085B">
            <w:pPr>
              <w:pStyle w:val="TableText0"/>
              <w:rPr>
                <w:b/>
                <w:szCs w:val="20"/>
              </w:rPr>
            </w:pPr>
            <w:r w:rsidRPr="008A0138">
              <w:rPr>
                <w:b/>
                <w:szCs w:val="20"/>
              </w:rPr>
              <w:t>Keynote 407 – squamous NSCLC</w:t>
            </w:r>
          </w:p>
        </w:tc>
      </w:tr>
      <w:tr w:rsidR="009C1A15" w:rsidRPr="008A0138" w:rsidTr="008A0138">
        <w:tc>
          <w:tcPr>
            <w:tcW w:w="1159" w:type="pct"/>
            <w:vAlign w:val="center"/>
          </w:tcPr>
          <w:p w:rsidR="009C1A15" w:rsidRPr="008A0138" w:rsidRDefault="009C1A15" w:rsidP="007E085B">
            <w:pPr>
              <w:pStyle w:val="In-tableHeading"/>
              <w:rPr>
                <w:szCs w:val="20"/>
                <w:lang w:val="en-AU"/>
              </w:rPr>
            </w:pPr>
            <w:r w:rsidRPr="008A0138">
              <w:rPr>
                <w:szCs w:val="20"/>
                <w:lang w:val="en-AU"/>
              </w:rPr>
              <w:t>Clinical cut-off</w:t>
            </w:r>
          </w:p>
        </w:tc>
        <w:tc>
          <w:tcPr>
            <w:tcW w:w="1921" w:type="pct"/>
            <w:gridSpan w:val="2"/>
            <w:vAlign w:val="center"/>
          </w:tcPr>
          <w:p w:rsidR="009C1A15" w:rsidRPr="008A0138" w:rsidRDefault="009C1A15" w:rsidP="007E085B">
            <w:pPr>
              <w:pStyle w:val="In-tableHeading"/>
              <w:jc w:val="center"/>
              <w:rPr>
                <w:szCs w:val="20"/>
                <w:lang w:val="en-AU"/>
              </w:rPr>
            </w:pPr>
            <w:r w:rsidRPr="008A0138">
              <w:rPr>
                <w:szCs w:val="20"/>
                <w:lang w:val="en-AU"/>
              </w:rPr>
              <w:t>April 2018</w:t>
            </w:r>
          </w:p>
        </w:tc>
        <w:tc>
          <w:tcPr>
            <w:tcW w:w="1920" w:type="pct"/>
            <w:gridSpan w:val="2"/>
            <w:vAlign w:val="center"/>
          </w:tcPr>
          <w:p w:rsidR="009C1A15" w:rsidRPr="008A0138" w:rsidRDefault="009C1A15" w:rsidP="007E085B">
            <w:pPr>
              <w:pStyle w:val="In-tableHeading"/>
              <w:jc w:val="center"/>
              <w:rPr>
                <w:szCs w:val="20"/>
                <w:lang w:val="en-AU"/>
              </w:rPr>
            </w:pPr>
            <w:r w:rsidRPr="008A0138">
              <w:rPr>
                <w:szCs w:val="20"/>
                <w:lang w:val="en-AU"/>
              </w:rPr>
              <w:t>May 2019</w:t>
            </w:r>
          </w:p>
        </w:tc>
      </w:tr>
      <w:tr w:rsidR="009C1A15" w:rsidRPr="008A0138" w:rsidTr="008A0138">
        <w:tc>
          <w:tcPr>
            <w:tcW w:w="1159" w:type="pct"/>
            <w:vAlign w:val="center"/>
          </w:tcPr>
          <w:p w:rsidR="009C1A15" w:rsidRPr="008A0138" w:rsidRDefault="009C1A15" w:rsidP="007E085B">
            <w:pPr>
              <w:pStyle w:val="In-tableHeading"/>
              <w:rPr>
                <w:szCs w:val="20"/>
                <w:lang w:val="en-AU"/>
              </w:rPr>
            </w:pPr>
          </w:p>
        </w:tc>
        <w:tc>
          <w:tcPr>
            <w:tcW w:w="960" w:type="pct"/>
            <w:vAlign w:val="center"/>
          </w:tcPr>
          <w:p w:rsidR="009C1A15" w:rsidRPr="008A0138" w:rsidRDefault="009C1A15" w:rsidP="007E085B">
            <w:pPr>
              <w:pStyle w:val="In-tableHeading"/>
              <w:jc w:val="center"/>
              <w:rPr>
                <w:szCs w:val="20"/>
                <w:lang w:val="en-AU"/>
              </w:rPr>
            </w:pPr>
            <w:proofErr w:type="spellStart"/>
            <w:r w:rsidRPr="008A0138">
              <w:rPr>
                <w:szCs w:val="20"/>
                <w:lang w:val="en-AU"/>
              </w:rPr>
              <w:t>PEMBRO+platinum</w:t>
            </w:r>
            <w:proofErr w:type="spellEnd"/>
          </w:p>
        </w:tc>
        <w:tc>
          <w:tcPr>
            <w:tcW w:w="961" w:type="pct"/>
            <w:vAlign w:val="center"/>
          </w:tcPr>
          <w:p w:rsidR="009C1A15" w:rsidRPr="008A0138" w:rsidRDefault="009C1A15" w:rsidP="007E085B">
            <w:pPr>
              <w:pStyle w:val="In-tableHeading"/>
              <w:jc w:val="center"/>
              <w:rPr>
                <w:szCs w:val="20"/>
                <w:lang w:val="en-AU"/>
              </w:rPr>
            </w:pPr>
            <w:r w:rsidRPr="008A0138">
              <w:rPr>
                <w:szCs w:val="20"/>
                <w:lang w:val="en-AU"/>
              </w:rPr>
              <w:t>Placebo+ platinum</w:t>
            </w:r>
          </w:p>
        </w:tc>
        <w:tc>
          <w:tcPr>
            <w:tcW w:w="960" w:type="pct"/>
            <w:vAlign w:val="center"/>
          </w:tcPr>
          <w:p w:rsidR="009C1A15" w:rsidRPr="008A0138" w:rsidRDefault="009C1A15" w:rsidP="007E085B">
            <w:pPr>
              <w:pStyle w:val="In-tableHeading"/>
              <w:jc w:val="center"/>
              <w:rPr>
                <w:szCs w:val="20"/>
                <w:lang w:val="en-AU"/>
              </w:rPr>
            </w:pPr>
            <w:proofErr w:type="spellStart"/>
            <w:r w:rsidRPr="008A0138">
              <w:rPr>
                <w:szCs w:val="20"/>
                <w:lang w:val="en-AU"/>
              </w:rPr>
              <w:t>PEMBRO+platinum</w:t>
            </w:r>
            <w:proofErr w:type="spellEnd"/>
          </w:p>
        </w:tc>
        <w:tc>
          <w:tcPr>
            <w:tcW w:w="960" w:type="pct"/>
            <w:vAlign w:val="center"/>
          </w:tcPr>
          <w:p w:rsidR="009C1A15" w:rsidRPr="008A0138" w:rsidRDefault="009C1A15" w:rsidP="007E085B">
            <w:pPr>
              <w:pStyle w:val="In-tableHeading"/>
              <w:jc w:val="center"/>
              <w:rPr>
                <w:szCs w:val="20"/>
                <w:lang w:val="en-AU"/>
              </w:rPr>
            </w:pPr>
            <w:r w:rsidRPr="008A0138">
              <w:rPr>
                <w:szCs w:val="20"/>
                <w:lang w:val="en-AU"/>
              </w:rPr>
              <w:t>Placebo+ platinum</w:t>
            </w:r>
          </w:p>
        </w:tc>
      </w:tr>
      <w:tr w:rsidR="009C1A15" w:rsidRPr="008A0138" w:rsidTr="008A0138">
        <w:tc>
          <w:tcPr>
            <w:tcW w:w="1159" w:type="pct"/>
            <w:vAlign w:val="center"/>
          </w:tcPr>
          <w:p w:rsidR="009C1A15" w:rsidRPr="008A0138" w:rsidRDefault="009C1A15" w:rsidP="007E085B">
            <w:pPr>
              <w:pStyle w:val="TableText0"/>
              <w:rPr>
                <w:szCs w:val="20"/>
              </w:rPr>
            </w:pPr>
            <w:r w:rsidRPr="008A0138">
              <w:rPr>
                <w:szCs w:val="20"/>
              </w:rPr>
              <w:t>Median follow-up</w:t>
            </w:r>
          </w:p>
        </w:tc>
        <w:tc>
          <w:tcPr>
            <w:tcW w:w="1921" w:type="pct"/>
            <w:gridSpan w:val="2"/>
            <w:vAlign w:val="center"/>
          </w:tcPr>
          <w:p w:rsidR="009C1A15" w:rsidRPr="008A0138" w:rsidRDefault="009C1A15" w:rsidP="007E085B">
            <w:pPr>
              <w:pStyle w:val="TableText0"/>
              <w:jc w:val="center"/>
              <w:rPr>
                <w:szCs w:val="20"/>
              </w:rPr>
            </w:pPr>
            <w:r w:rsidRPr="008A0138">
              <w:rPr>
                <w:szCs w:val="20"/>
              </w:rPr>
              <w:t>7.8 months</w:t>
            </w:r>
          </w:p>
        </w:tc>
        <w:tc>
          <w:tcPr>
            <w:tcW w:w="1920" w:type="pct"/>
            <w:gridSpan w:val="2"/>
            <w:vAlign w:val="center"/>
          </w:tcPr>
          <w:p w:rsidR="009C1A15" w:rsidRPr="008A0138" w:rsidRDefault="009C1A15" w:rsidP="007E085B">
            <w:pPr>
              <w:pStyle w:val="TableText0"/>
              <w:jc w:val="center"/>
              <w:rPr>
                <w:szCs w:val="20"/>
              </w:rPr>
            </w:pPr>
            <w:r w:rsidRPr="008A0138">
              <w:rPr>
                <w:szCs w:val="20"/>
              </w:rPr>
              <w:t>14.3 months</w:t>
            </w:r>
          </w:p>
        </w:tc>
      </w:tr>
      <w:tr w:rsidR="009C1A15" w:rsidRPr="008A0138" w:rsidTr="008A0138">
        <w:tc>
          <w:tcPr>
            <w:tcW w:w="1159" w:type="pct"/>
            <w:vAlign w:val="center"/>
          </w:tcPr>
          <w:p w:rsidR="009C1A15" w:rsidRPr="008A0138" w:rsidRDefault="009C1A15" w:rsidP="007E085B">
            <w:pPr>
              <w:pStyle w:val="TableText0"/>
              <w:rPr>
                <w:b/>
                <w:bCs w:val="0"/>
                <w:szCs w:val="20"/>
              </w:rPr>
            </w:pPr>
            <w:r w:rsidRPr="008A0138">
              <w:rPr>
                <w:b/>
                <w:bCs w:val="0"/>
                <w:szCs w:val="20"/>
              </w:rPr>
              <w:t>ITT</w:t>
            </w:r>
          </w:p>
        </w:tc>
        <w:tc>
          <w:tcPr>
            <w:tcW w:w="960" w:type="pct"/>
            <w:vAlign w:val="center"/>
          </w:tcPr>
          <w:p w:rsidR="009C1A15" w:rsidRPr="008A0138" w:rsidRDefault="009C1A15" w:rsidP="007E085B">
            <w:pPr>
              <w:pStyle w:val="TableText0"/>
              <w:jc w:val="center"/>
              <w:rPr>
                <w:szCs w:val="20"/>
              </w:rPr>
            </w:pPr>
            <w:r w:rsidRPr="008A0138">
              <w:rPr>
                <w:szCs w:val="20"/>
              </w:rPr>
              <w:t>N=278</w:t>
            </w:r>
          </w:p>
        </w:tc>
        <w:tc>
          <w:tcPr>
            <w:tcW w:w="961" w:type="pct"/>
            <w:vAlign w:val="center"/>
          </w:tcPr>
          <w:p w:rsidR="009C1A15" w:rsidRPr="008A0138" w:rsidRDefault="009C1A15" w:rsidP="007E085B">
            <w:pPr>
              <w:pStyle w:val="TableText0"/>
              <w:jc w:val="center"/>
              <w:rPr>
                <w:szCs w:val="20"/>
              </w:rPr>
            </w:pPr>
            <w:r w:rsidRPr="008A0138">
              <w:rPr>
                <w:szCs w:val="20"/>
              </w:rPr>
              <w:t>N=281</w:t>
            </w:r>
          </w:p>
        </w:tc>
        <w:tc>
          <w:tcPr>
            <w:tcW w:w="960" w:type="pct"/>
            <w:vAlign w:val="center"/>
          </w:tcPr>
          <w:p w:rsidR="009C1A15" w:rsidRPr="008A0138" w:rsidRDefault="009C1A15" w:rsidP="007E085B">
            <w:pPr>
              <w:pStyle w:val="TableText0"/>
              <w:jc w:val="center"/>
              <w:rPr>
                <w:szCs w:val="20"/>
              </w:rPr>
            </w:pPr>
            <w:r w:rsidRPr="008A0138">
              <w:rPr>
                <w:szCs w:val="20"/>
              </w:rPr>
              <w:t>N=278</w:t>
            </w:r>
          </w:p>
        </w:tc>
        <w:tc>
          <w:tcPr>
            <w:tcW w:w="960" w:type="pct"/>
            <w:vAlign w:val="center"/>
          </w:tcPr>
          <w:p w:rsidR="009C1A15" w:rsidRPr="008A0138" w:rsidRDefault="009C1A15" w:rsidP="007E085B">
            <w:pPr>
              <w:pStyle w:val="TableText0"/>
              <w:jc w:val="center"/>
              <w:rPr>
                <w:szCs w:val="20"/>
              </w:rPr>
            </w:pPr>
            <w:r w:rsidRPr="008A0138">
              <w:rPr>
                <w:szCs w:val="20"/>
              </w:rPr>
              <w:t>N=281</w:t>
            </w:r>
          </w:p>
        </w:tc>
      </w:tr>
      <w:tr w:rsidR="009C1A15" w:rsidRPr="008A0138" w:rsidTr="008A0138">
        <w:tc>
          <w:tcPr>
            <w:tcW w:w="1159" w:type="pct"/>
            <w:vAlign w:val="center"/>
          </w:tcPr>
          <w:p w:rsidR="009C1A15" w:rsidRPr="008A0138" w:rsidRDefault="009C1A15" w:rsidP="007E085B">
            <w:pPr>
              <w:pStyle w:val="TableText0"/>
              <w:rPr>
                <w:szCs w:val="20"/>
              </w:rPr>
            </w:pPr>
            <w:r w:rsidRPr="008A0138">
              <w:rPr>
                <w:szCs w:val="20"/>
              </w:rPr>
              <w:t>Patients with event, n (%)</w:t>
            </w:r>
          </w:p>
        </w:tc>
        <w:tc>
          <w:tcPr>
            <w:tcW w:w="960" w:type="pct"/>
            <w:vAlign w:val="center"/>
          </w:tcPr>
          <w:p w:rsidR="009C1A15" w:rsidRPr="008A0138" w:rsidRDefault="009C1A15" w:rsidP="007E085B">
            <w:pPr>
              <w:pStyle w:val="TableText0"/>
              <w:jc w:val="center"/>
              <w:rPr>
                <w:szCs w:val="20"/>
              </w:rPr>
            </w:pPr>
            <w:r w:rsidRPr="008A0138">
              <w:rPr>
                <w:szCs w:val="20"/>
              </w:rPr>
              <w:t>NR</w:t>
            </w:r>
          </w:p>
        </w:tc>
        <w:tc>
          <w:tcPr>
            <w:tcW w:w="961" w:type="pct"/>
            <w:vAlign w:val="center"/>
          </w:tcPr>
          <w:p w:rsidR="009C1A15" w:rsidRPr="008A0138" w:rsidRDefault="009C1A15" w:rsidP="007E085B">
            <w:pPr>
              <w:pStyle w:val="TableText0"/>
              <w:jc w:val="center"/>
              <w:rPr>
                <w:szCs w:val="20"/>
              </w:rPr>
            </w:pPr>
            <w:r w:rsidRPr="008A0138">
              <w:rPr>
                <w:szCs w:val="20"/>
              </w:rPr>
              <w:t>NR</w:t>
            </w:r>
          </w:p>
        </w:tc>
        <w:tc>
          <w:tcPr>
            <w:tcW w:w="960" w:type="pct"/>
            <w:vAlign w:val="center"/>
          </w:tcPr>
          <w:p w:rsidR="009C1A15" w:rsidRPr="008A0138" w:rsidRDefault="009C1A15" w:rsidP="007E085B">
            <w:pPr>
              <w:pStyle w:val="TableText0"/>
              <w:jc w:val="center"/>
              <w:rPr>
                <w:szCs w:val="20"/>
              </w:rPr>
            </w:pPr>
            <w:r w:rsidRPr="008A0138">
              <w:rPr>
                <w:szCs w:val="20"/>
              </w:rPr>
              <w:t>168 (60.4%)</w:t>
            </w:r>
          </w:p>
        </w:tc>
        <w:tc>
          <w:tcPr>
            <w:tcW w:w="960" w:type="pct"/>
            <w:vAlign w:val="center"/>
          </w:tcPr>
          <w:p w:rsidR="009C1A15" w:rsidRPr="008A0138" w:rsidRDefault="009C1A15" w:rsidP="007E085B">
            <w:pPr>
              <w:pStyle w:val="TableText0"/>
              <w:jc w:val="center"/>
              <w:rPr>
                <w:szCs w:val="20"/>
              </w:rPr>
            </w:pPr>
            <w:r w:rsidRPr="008A0138">
              <w:rPr>
                <w:szCs w:val="20"/>
              </w:rPr>
              <w:t>197 (70.1%)</w:t>
            </w:r>
          </w:p>
        </w:tc>
      </w:tr>
      <w:tr w:rsidR="009C1A15" w:rsidRPr="008A0138" w:rsidTr="008A0138">
        <w:tc>
          <w:tcPr>
            <w:tcW w:w="1159" w:type="pct"/>
            <w:vAlign w:val="center"/>
          </w:tcPr>
          <w:p w:rsidR="009C1A15" w:rsidRPr="008A0138" w:rsidRDefault="009C1A15" w:rsidP="007E085B">
            <w:pPr>
              <w:pStyle w:val="TableText0"/>
              <w:rPr>
                <w:szCs w:val="20"/>
              </w:rPr>
            </w:pPr>
            <w:r w:rsidRPr="008A0138">
              <w:rPr>
                <w:szCs w:val="20"/>
              </w:rPr>
              <w:t>Median OS (95%CI), months</w:t>
            </w:r>
          </w:p>
        </w:tc>
        <w:tc>
          <w:tcPr>
            <w:tcW w:w="960" w:type="pct"/>
            <w:vAlign w:val="center"/>
          </w:tcPr>
          <w:p w:rsidR="009C1A15" w:rsidRPr="008A0138" w:rsidRDefault="009C1A15" w:rsidP="007E085B">
            <w:pPr>
              <w:pStyle w:val="TableText0"/>
              <w:jc w:val="center"/>
              <w:rPr>
                <w:szCs w:val="20"/>
              </w:rPr>
            </w:pPr>
            <w:r w:rsidRPr="008A0138">
              <w:rPr>
                <w:szCs w:val="20"/>
              </w:rPr>
              <w:t>15.9 (13.2, NR)</w:t>
            </w:r>
          </w:p>
        </w:tc>
        <w:tc>
          <w:tcPr>
            <w:tcW w:w="961" w:type="pct"/>
            <w:vAlign w:val="center"/>
          </w:tcPr>
          <w:p w:rsidR="009C1A15" w:rsidRPr="008A0138" w:rsidRDefault="009C1A15" w:rsidP="007E085B">
            <w:pPr>
              <w:pStyle w:val="TableText0"/>
              <w:jc w:val="center"/>
              <w:rPr>
                <w:szCs w:val="20"/>
              </w:rPr>
            </w:pPr>
            <w:r w:rsidRPr="008A0138">
              <w:rPr>
                <w:szCs w:val="20"/>
              </w:rPr>
              <w:t>11.3 (9.5, 14.8)</w:t>
            </w:r>
          </w:p>
        </w:tc>
        <w:tc>
          <w:tcPr>
            <w:tcW w:w="960" w:type="pct"/>
            <w:vAlign w:val="center"/>
          </w:tcPr>
          <w:p w:rsidR="009C1A15" w:rsidRPr="008A0138" w:rsidRDefault="009C1A15" w:rsidP="007E085B">
            <w:pPr>
              <w:pStyle w:val="TableText0"/>
              <w:jc w:val="center"/>
              <w:rPr>
                <w:szCs w:val="20"/>
              </w:rPr>
            </w:pPr>
            <w:r w:rsidRPr="008A0138">
              <w:rPr>
                <w:szCs w:val="20"/>
              </w:rPr>
              <w:t>17.1 (14.4, 19.9)</w:t>
            </w:r>
          </w:p>
        </w:tc>
        <w:tc>
          <w:tcPr>
            <w:tcW w:w="960" w:type="pct"/>
            <w:vAlign w:val="center"/>
          </w:tcPr>
          <w:p w:rsidR="009C1A15" w:rsidRPr="008A0138" w:rsidRDefault="009C1A15" w:rsidP="007E085B">
            <w:pPr>
              <w:pStyle w:val="TableText0"/>
              <w:jc w:val="center"/>
              <w:rPr>
                <w:szCs w:val="20"/>
              </w:rPr>
            </w:pPr>
            <w:r w:rsidRPr="008A0138">
              <w:rPr>
                <w:szCs w:val="20"/>
              </w:rPr>
              <w:t>11.6 (10.1, 13.7)</w:t>
            </w:r>
          </w:p>
        </w:tc>
      </w:tr>
      <w:tr w:rsidR="009C1A15" w:rsidRPr="008A0138" w:rsidTr="008A0138">
        <w:tc>
          <w:tcPr>
            <w:tcW w:w="1159" w:type="pct"/>
            <w:tcBorders>
              <w:bottom w:val="single" w:sz="4" w:space="0" w:color="auto"/>
            </w:tcBorders>
            <w:vAlign w:val="center"/>
          </w:tcPr>
          <w:p w:rsidR="009C1A15" w:rsidRPr="008A0138" w:rsidRDefault="009C1A15" w:rsidP="007E085B">
            <w:pPr>
              <w:pStyle w:val="TableText0"/>
              <w:rPr>
                <w:szCs w:val="20"/>
              </w:rPr>
            </w:pPr>
            <w:r w:rsidRPr="008A0138">
              <w:rPr>
                <w:szCs w:val="20"/>
              </w:rPr>
              <w:t>HR (95%CI)</w:t>
            </w:r>
          </w:p>
        </w:tc>
        <w:tc>
          <w:tcPr>
            <w:tcW w:w="1921" w:type="pct"/>
            <w:gridSpan w:val="2"/>
            <w:tcBorders>
              <w:bottom w:val="single" w:sz="4" w:space="0" w:color="auto"/>
            </w:tcBorders>
            <w:vAlign w:val="center"/>
          </w:tcPr>
          <w:p w:rsidR="009C1A15" w:rsidRPr="008A0138" w:rsidRDefault="009C1A15" w:rsidP="007E085B">
            <w:pPr>
              <w:pStyle w:val="TableText0"/>
              <w:jc w:val="center"/>
              <w:rPr>
                <w:szCs w:val="20"/>
              </w:rPr>
            </w:pPr>
            <w:r w:rsidRPr="008A0138">
              <w:rPr>
                <w:szCs w:val="20"/>
              </w:rPr>
              <w:t>0.64 (0.49, 0.85)</w:t>
            </w:r>
          </w:p>
        </w:tc>
        <w:tc>
          <w:tcPr>
            <w:tcW w:w="1920" w:type="pct"/>
            <w:gridSpan w:val="2"/>
            <w:tcBorders>
              <w:bottom w:val="single" w:sz="4" w:space="0" w:color="auto"/>
            </w:tcBorders>
            <w:vAlign w:val="center"/>
          </w:tcPr>
          <w:p w:rsidR="009C1A15" w:rsidRPr="008A0138" w:rsidRDefault="009C1A15" w:rsidP="007E085B">
            <w:pPr>
              <w:pStyle w:val="TableText0"/>
              <w:jc w:val="center"/>
              <w:rPr>
                <w:szCs w:val="20"/>
              </w:rPr>
            </w:pPr>
            <w:r w:rsidRPr="008A0138">
              <w:rPr>
                <w:szCs w:val="20"/>
              </w:rPr>
              <w:t>0.71 (0.58, 0.88)</w:t>
            </w:r>
          </w:p>
        </w:tc>
      </w:tr>
      <w:tr w:rsidR="009C1A15" w:rsidRPr="008A0138" w:rsidTr="008A0138">
        <w:tc>
          <w:tcPr>
            <w:tcW w:w="1159" w:type="pct"/>
            <w:vAlign w:val="center"/>
          </w:tcPr>
          <w:p w:rsidR="009C1A15" w:rsidRPr="008A0138" w:rsidRDefault="009C1A15" w:rsidP="007E085B">
            <w:pPr>
              <w:pStyle w:val="TableText0"/>
              <w:rPr>
                <w:szCs w:val="20"/>
              </w:rPr>
            </w:pPr>
            <w:r w:rsidRPr="008A0138">
              <w:rPr>
                <w:szCs w:val="20"/>
              </w:rPr>
              <w:t>12-month OS rate</w:t>
            </w:r>
          </w:p>
        </w:tc>
        <w:tc>
          <w:tcPr>
            <w:tcW w:w="960" w:type="pct"/>
            <w:vAlign w:val="center"/>
          </w:tcPr>
          <w:p w:rsidR="009C1A15" w:rsidRPr="008A0138" w:rsidRDefault="009C1A15" w:rsidP="007E085B">
            <w:pPr>
              <w:pStyle w:val="TableText0"/>
              <w:jc w:val="center"/>
              <w:rPr>
                <w:szCs w:val="20"/>
              </w:rPr>
            </w:pPr>
            <w:r w:rsidRPr="008A0138">
              <w:rPr>
                <w:szCs w:val="20"/>
              </w:rPr>
              <w:t>65.2%</w:t>
            </w:r>
          </w:p>
        </w:tc>
        <w:tc>
          <w:tcPr>
            <w:tcW w:w="961" w:type="pct"/>
            <w:vAlign w:val="center"/>
          </w:tcPr>
          <w:p w:rsidR="009C1A15" w:rsidRPr="008A0138" w:rsidRDefault="009C1A15" w:rsidP="007E085B">
            <w:pPr>
              <w:pStyle w:val="TableText0"/>
              <w:jc w:val="center"/>
              <w:rPr>
                <w:szCs w:val="20"/>
              </w:rPr>
            </w:pPr>
            <w:r w:rsidRPr="008A0138">
              <w:rPr>
                <w:szCs w:val="20"/>
              </w:rPr>
              <w:t>48.3%</w:t>
            </w:r>
          </w:p>
        </w:tc>
        <w:tc>
          <w:tcPr>
            <w:tcW w:w="960" w:type="pct"/>
            <w:vAlign w:val="center"/>
          </w:tcPr>
          <w:p w:rsidR="009C1A15" w:rsidRPr="008A0138" w:rsidRDefault="009C1A15" w:rsidP="007E085B">
            <w:pPr>
              <w:pStyle w:val="TableText0"/>
              <w:jc w:val="center"/>
              <w:rPr>
                <w:szCs w:val="20"/>
              </w:rPr>
            </w:pPr>
            <w:r w:rsidRPr="008A0138">
              <w:rPr>
                <w:szCs w:val="20"/>
              </w:rPr>
              <w:t>64.7%</w:t>
            </w:r>
          </w:p>
        </w:tc>
        <w:tc>
          <w:tcPr>
            <w:tcW w:w="960" w:type="pct"/>
            <w:vAlign w:val="center"/>
          </w:tcPr>
          <w:p w:rsidR="009C1A15" w:rsidRPr="008A0138" w:rsidRDefault="009C1A15" w:rsidP="007E085B">
            <w:pPr>
              <w:pStyle w:val="TableText0"/>
              <w:jc w:val="center"/>
              <w:rPr>
                <w:szCs w:val="20"/>
              </w:rPr>
            </w:pPr>
            <w:r w:rsidRPr="008A0138">
              <w:rPr>
                <w:szCs w:val="20"/>
              </w:rPr>
              <w:t>49.6%</w:t>
            </w:r>
          </w:p>
        </w:tc>
      </w:tr>
    </w:tbl>
    <w:p w:rsidR="009C1A15" w:rsidRPr="0087043D" w:rsidRDefault="009C1A15" w:rsidP="009C1A15">
      <w:pPr>
        <w:pStyle w:val="TableFigureFooter"/>
      </w:pPr>
      <w:r w:rsidRPr="0087043D">
        <w:t>Source: Table 70 p145, Table 77 p154, and Figure 21 p146 of the submission; Paz-Ares et al (2020)</w:t>
      </w:r>
    </w:p>
    <w:p w:rsidR="009C1A15" w:rsidRPr="0087043D" w:rsidRDefault="009C1A15" w:rsidP="009C1A15">
      <w:pPr>
        <w:pStyle w:val="TableFigureFooter"/>
      </w:pPr>
      <w:r w:rsidRPr="0087043D">
        <w:t>CI = confidence interval; HR = hazard ratio; ITT = intention to treat; NE = not evaluable; NR = not reported;</w:t>
      </w:r>
      <w:r w:rsidR="003F7209" w:rsidRPr="0087043D">
        <w:t xml:space="preserve"> NSCLC = non-small cell lung cancer;</w:t>
      </w:r>
      <w:r w:rsidRPr="0087043D">
        <w:t xml:space="preserve"> OS = overall survival; PEMBRO = </w:t>
      </w:r>
      <w:proofErr w:type="spellStart"/>
      <w:r w:rsidRPr="0087043D">
        <w:t>pembrolizumab</w:t>
      </w:r>
      <w:proofErr w:type="spellEnd"/>
      <w:r w:rsidRPr="0087043D">
        <w:t>.</w:t>
      </w:r>
    </w:p>
    <w:p w:rsidR="003B5325" w:rsidRPr="0087043D" w:rsidRDefault="003B5325" w:rsidP="009C1A15">
      <w:pPr>
        <w:pStyle w:val="TableFigureFooter"/>
      </w:pPr>
      <w:r w:rsidRPr="0087043D">
        <w:t xml:space="preserve">Note: the data for KN189 were previously considered by the PBAC in recommending </w:t>
      </w:r>
      <w:proofErr w:type="spellStart"/>
      <w:r w:rsidRPr="0087043D">
        <w:t>pembrolizumab+platinum</w:t>
      </w:r>
      <w:proofErr w:type="spellEnd"/>
      <w:r w:rsidRPr="0087043D">
        <w:t xml:space="preserve"> for listing for this indication (</w:t>
      </w:r>
      <w:proofErr w:type="spellStart"/>
      <w:r w:rsidRPr="0087043D">
        <w:t>Pembrolizumab</w:t>
      </w:r>
      <w:proofErr w:type="spellEnd"/>
      <w:r w:rsidRPr="0087043D">
        <w:t xml:space="preserve"> </w:t>
      </w:r>
      <w:r w:rsidR="00F94DF1" w:rsidRPr="0087043D">
        <w:t>Public Summary Document (</w:t>
      </w:r>
      <w:r w:rsidRPr="0087043D">
        <w:t>PSD</w:t>
      </w:r>
      <w:r w:rsidR="00F94DF1" w:rsidRPr="0087043D">
        <w:t>)</w:t>
      </w:r>
      <w:r w:rsidRPr="0087043D">
        <w:t>, July 2019 PBAC meeting)</w:t>
      </w:r>
      <w:r w:rsidR="001015B5" w:rsidRPr="0087043D">
        <w:t>; the data for KN407 were considered in Agenda item 11.05, Broad PBS subsidy listing for PD-(L)1 checkpoint inhibitors for NSCLC, August 2019 PBAC meeting</w:t>
      </w:r>
      <w:r w:rsidRPr="0087043D">
        <w:t>.</w:t>
      </w:r>
    </w:p>
    <w:p w:rsidR="00415340" w:rsidRPr="0087043D" w:rsidRDefault="00415340" w:rsidP="00415340">
      <w:pPr>
        <w:pStyle w:val="3-BodyText"/>
        <w:rPr>
          <w:snapToGrid/>
        </w:rPr>
      </w:pPr>
      <w:r w:rsidRPr="0087043D">
        <w:rPr>
          <w:snapToGrid/>
        </w:rPr>
        <w:t xml:space="preserve">The indirect comparisons presented in the submission are summarised in </w:t>
      </w:r>
      <w:r w:rsidR="00C71489" w:rsidRPr="0087043D">
        <w:t>Table 6</w:t>
      </w:r>
      <w:r w:rsidRPr="0087043D">
        <w:rPr>
          <w:snapToGrid/>
        </w:rPr>
        <w:t>.</w:t>
      </w:r>
    </w:p>
    <w:p w:rsidR="00415340" w:rsidRPr="0087043D" w:rsidRDefault="00415340" w:rsidP="00415340">
      <w:pPr>
        <w:pStyle w:val="TableFigureHeading"/>
      </w:pPr>
      <w:bookmarkStart w:id="22" w:name="_Ref49319129"/>
      <w:bookmarkStart w:id="23" w:name="_Ref49319065"/>
      <w:r w:rsidRPr="0087043D">
        <w:t xml:space="preserve">Table </w:t>
      </w:r>
      <w:r w:rsidR="00C71489" w:rsidRPr="0087043D">
        <w:t>6</w:t>
      </w:r>
      <w:bookmarkEnd w:id="22"/>
      <w:r w:rsidRPr="0087043D">
        <w:t>: Summary of comparative evidence presented in the submission</w:t>
      </w:r>
      <w:bookmarkEnd w:id="23"/>
    </w:p>
    <w:tbl>
      <w:tblPr>
        <w:tblStyle w:val="TableGrid"/>
        <w:tblW w:w="5000" w:type="pct"/>
        <w:tblCellMar>
          <w:left w:w="28" w:type="dxa"/>
          <w:right w:w="28" w:type="dxa"/>
        </w:tblCellMar>
        <w:tblLook w:val="04A0" w:firstRow="1" w:lastRow="0" w:firstColumn="1" w:lastColumn="0" w:noHBand="0" w:noVBand="1"/>
        <w:tblCaption w:val="Table 6: Summary of comparative evidence presented in the submission"/>
      </w:tblPr>
      <w:tblGrid>
        <w:gridCol w:w="2287"/>
        <w:gridCol w:w="3293"/>
        <w:gridCol w:w="3437"/>
      </w:tblGrid>
      <w:tr w:rsidR="00415340" w:rsidRPr="0087043D" w:rsidTr="00EC78BA">
        <w:trPr>
          <w:tblHeader/>
        </w:trPr>
        <w:tc>
          <w:tcPr>
            <w:tcW w:w="1268" w:type="pct"/>
          </w:tcPr>
          <w:p w:rsidR="00415340" w:rsidRPr="0087043D" w:rsidRDefault="00415340" w:rsidP="00504BF4">
            <w:pPr>
              <w:pStyle w:val="In-tableHeading"/>
              <w:rPr>
                <w:lang w:val="en-AU"/>
              </w:rPr>
            </w:pPr>
            <w:r w:rsidRPr="0087043D">
              <w:rPr>
                <w:lang w:val="en-AU"/>
              </w:rPr>
              <w:t>Comparator</w:t>
            </w:r>
          </w:p>
        </w:tc>
        <w:tc>
          <w:tcPr>
            <w:tcW w:w="1826" w:type="pct"/>
            <w:vAlign w:val="center"/>
          </w:tcPr>
          <w:p w:rsidR="00415340" w:rsidRPr="0087043D" w:rsidRDefault="00415340" w:rsidP="00504BF4">
            <w:pPr>
              <w:pStyle w:val="In-tableHeading"/>
              <w:jc w:val="center"/>
              <w:rPr>
                <w:lang w:val="en-AU"/>
              </w:rPr>
            </w:pPr>
            <w:r w:rsidRPr="0087043D">
              <w:rPr>
                <w:lang w:val="en-AU"/>
              </w:rPr>
              <w:t>Non-squamous NSCLC</w:t>
            </w:r>
          </w:p>
        </w:tc>
        <w:tc>
          <w:tcPr>
            <w:tcW w:w="1906" w:type="pct"/>
            <w:vAlign w:val="center"/>
          </w:tcPr>
          <w:p w:rsidR="00415340" w:rsidRPr="0087043D" w:rsidRDefault="00415340" w:rsidP="00504BF4">
            <w:pPr>
              <w:pStyle w:val="In-tableHeading"/>
              <w:jc w:val="center"/>
              <w:rPr>
                <w:lang w:val="en-AU"/>
              </w:rPr>
            </w:pPr>
            <w:r w:rsidRPr="0087043D">
              <w:rPr>
                <w:lang w:val="en-AU"/>
              </w:rPr>
              <w:t>Squamous NSCLC</w:t>
            </w:r>
          </w:p>
        </w:tc>
      </w:tr>
      <w:tr w:rsidR="00415340" w:rsidRPr="0087043D" w:rsidTr="008A0138">
        <w:tc>
          <w:tcPr>
            <w:tcW w:w="1268" w:type="pct"/>
            <w:vAlign w:val="center"/>
          </w:tcPr>
          <w:p w:rsidR="00415340" w:rsidRPr="0087043D" w:rsidRDefault="00415340" w:rsidP="00504BF4">
            <w:pPr>
              <w:pStyle w:val="TableText0"/>
              <w:rPr>
                <w:szCs w:val="20"/>
              </w:rPr>
            </w:pPr>
            <w:proofErr w:type="spellStart"/>
            <w:r w:rsidRPr="0087043D">
              <w:rPr>
                <w:szCs w:val="20"/>
              </w:rPr>
              <w:t>Pembrolizumab+platinum</w:t>
            </w:r>
            <w:proofErr w:type="spellEnd"/>
          </w:p>
          <w:p w:rsidR="00415340" w:rsidRPr="0087043D" w:rsidRDefault="00415340" w:rsidP="00504BF4">
            <w:pPr>
              <w:pStyle w:val="TableText0"/>
              <w:rPr>
                <w:szCs w:val="20"/>
              </w:rPr>
            </w:pPr>
            <w:r w:rsidRPr="0087043D">
              <w:rPr>
                <w:szCs w:val="20"/>
              </w:rPr>
              <w:t>(Primary comparator)</w:t>
            </w:r>
          </w:p>
        </w:tc>
        <w:tc>
          <w:tcPr>
            <w:tcW w:w="1826" w:type="pct"/>
            <w:vAlign w:val="center"/>
          </w:tcPr>
          <w:p w:rsidR="00415340" w:rsidRPr="0087043D" w:rsidRDefault="00415340" w:rsidP="00504BF4">
            <w:pPr>
              <w:pStyle w:val="TableText0"/>
              <w:rPr>
                <w:szCs w:val="20"/>
                <w:vertAlign w:val="superscript"/>
              </w:rPr>
            </w:pPr>
            <w:r w:rsidRPr="0087043D">
              <w:rPr>
                <w:szCs w:val="20"/>
              </w:rPr>
              <w:t>Adjusted indirect comparison of HR for OS: CM9LA subgroup with NSQ NSCLC, versus KN189 ITT population (NSQ NSCLC).</w:t>
            </w:r>
          </w:p>
        </w:tc>
        <w:tc>
          <w:tcPr>
            <w:tcW w:w="1906" w:type="pct"/>
            <w:vAlign w:val="center"/>
          </w:tcPr>
          <w:p w:rsidR="00415340" w:rsidRPr="0087043D" w:rsidRDefault="00415340" w:rsidP="00504BF4">
            <w:pPr>
              <w:pStyle w:val="TableText0"/>
              <w:rPr>
                <w:i/>
                <w:szCs w:val="20"/>
              </w:rPr>
            </w:pPr>
            <w:r w:rsidRPr="0087043D">
              <w:rPr>
                <w:szCs w:val="20"/>
              </w:rPr>
              <w:t>Adjusted indirect comparison of HR for OS:</w:t>
            </w:r>
            <w:r w:rsidR="00264317" w:rsidRPr="0087043D">
              <w:rPr>
                <w:szCs w:val="20"/>
              </w:rPr>
              <w:t xml:space="preserve"> </w:t>
            </w:r>
            <w:r w:rsidRPr="0087043D">
              <w:rPr>
                <w:szCs w:val="20"/>
              </w:rPr>
              <w:t>CM9LA subgroup with SQ NSCLC, versus KN407 ITT population (SQ NSCLC).</w:t>
            </w:r>
          </w:p>
        </w:tc>
      </w:tr>
      <w:tr w:rsidR="00415340" w:rsidRPr="0087043D" w:rsidTr="008A0138">
        <w:tc>
          <w:tcPr>
            <w:tcW w:w="1268" w:type="pct"/>
            <w:vAlign w:val="center"/>
          </w:tcPr>
          <w:p w:rsidR="00415340" w:rsidRPr="0087043D" w:rsidRDefault="00415340" w:rsidP="00504BF4">
            <w:pPr>
              <w:pStyle w:val="TableText0"/>
              <w:rPr>
                <w:szCs w:val="20"/>
              </w:rPr>
            </w:pPr>
            <w:r w:rsidRPr="0087043D">
              <w:rPr>
                <w:szCs w:val="20"/>
              </w:rPr>
              <w:t xml:space="preserve">Atezolizumab + bevacizumab + platinum </w:t>
            </w:r>
            <w:r w:rsidRPr="0087043D">
              <w:rPr>
                <w:szCs w:val="20"/>
              </w:rPr>
              <w:br/>
              <w:t xml:space="preserve">(Secondary comparator) </w:t>
            </w:r>
          </w:p>
        </w:tc>
        <w:tc>
          <w:tcPr>
            <w:tcW w:w="1826" w:type="pct"/>
            <w:vAlign w:val="center"/>
          </w:tcPr>
          <w:p w:rsidR="00415340" w:rsidRPr="0087043D" w:rsidRDefault="00415340" w:rsidP="00504BF4">
            <w:pPr>
              <w:pStyle w:val="TableText0"/>
              <w:rPr>
                <w:szCs w:val="20"/>
                <w:vertAlign w:val="superscript"/>
              </w:rPr>
            </w:pPr>
            <w:r w:rsidRPr="0087043D">
              <w:rPr>
                <w:szCs w:val="20"/>
              </w:rPr>
              <w:t>Naïve indirect comparison of median OS: CM9LA subgroup with NSQ NSCLC versus IMpower150 ITT-WT population (NSQ NSCLC)</w:t>
            </w:r>
            <w:r w:rsidRPr="0087043D">
              <w:rPr>
                <w:szCs w:val="20"/>
                <w:vertAlign w:val="superscript"/>
              </w:rPr>
              <w:t>a</w:t>
            </w:r>
          </w:p>
        </w:tc>
        <w:tc>
          <w:tcPr>
            <w:tcW w:w="1906" w:type="pct"/>
            <w:vAlign w:val="center"/>
          </w:tcPr>
          <w:p w:rsidR="00415340" w:rsidRPr="0087043D" w:rsidRDefault="00415340" w:rsidP="00504BF4">
            <w:pPr>
              <w:pStyle w:val="TableText0"/>
              <w:jc w:val="center"/>
              <w:rPr>
                <w:szCs w:val="20"/>
              </w:rPr>
            </w:pPr>
            <w:r w:rsidRPr="0087043D">
              <w:rPr>
                <w:szCs w:val="20"/>
              </w:rPr>
              <w:t>NA</w:t>
            </w:r>
          </w:p>
        </w:tc>
      </w:tr>
    </w:tbl>
    <w:p w:rsidR="00415340" w:rsidRPr="0087043D" w:rsidRDefault="00415340" w:rsidP="00415340">
      <w:pPr>
        <w:pStyle w:val="TableFigureFooter"/>
      </w:pPr>
      <w:r w:rsidRPr="0087043D">
        <w:t>Source: compiled during the evaluation.</w:t>
      </w:r>
    </w:p>
    <w:p w:rsidR="00415340" w:rsidRPr="0087043D" w:rsidRDefault="00415340" w:rsidP="00415340">
      <w:pPr>
        <w:pStyle w:val="TableFigureFooter"/>
      </w:pPr>
      <w:r w:rsidRPr="0087043D">
        <w:t>HR = hazard ratio; ITT = intention to treat; ITT-WT = intention to treat- wild type; NA = not applicable; NSCLC = non-small cell lung cancer; NSQ = non-squamous; OS = overall survival; PD-L1 = programmed cell death ligand 1; platinum = platinum-based doublet chemotherapy; SQ = squamous</w:t>
      </w:r>
    </w:p>
    <w:p w:rsidR="00415340" w:rsidRPr="0087043D" w:rsidRDefault="00415340" w:rsidP="00415340">
      <w:pPr>
        <w:pStyle w:val="TableFigureFooter"/>
      </w:pPr>
      <w:proofErr w:type="spellStart"/>
      <w:proofErr w:type="gramStart"/>
      <w:r w:rsidRPr="0087043D">
        <w:rPr>
          <w:vertAlign w:val="superscript"/>
        </w:rPr>
        <w:t>a</w:t>
      </w:r>
      <w:proofErr w:type="spellEnd"/>
      <w:proofErr w:type="gramEnd"/>
      <w:r w:rsidRPr="0087043D">
        <w:t xml:space="preserve"> An adjusted indirect comparison of the HR for OS was not conducted due to the lack of a common comparator. </w:t>
      </w:r>
    </w:p>
    <w:p w:rsidR="00D271E8" w:rsidRPr="0087043D" w:rsidRDefault="004E5009" w:rsidP="00D271E8">
      <w:pPr>
        <w:pStyle w:val="3-BodyText"/>
        <w:spacing w:after="0"/>
      </w:pPr>
      <w:r w:rsidRPr="0087043D">
        <w:t>The submission proposed using the American Society of Clinical Oncology (ASCO) definitions for meaningful OS goals to inform a minimum clinically important difference (MCID) and also a non-inferiority criteria. ASCO suggested that a clinically meaningful improvement in OS for non-squamous NSCLC would be an improvement of 3.25-4.0 months and a target HR</w:t>
      </w:r>
      <w:r w:rsidR="00CE1F30" w:rsidRPr="0087043D">
        <w:t xml:space="preserve"> </w:t>
      </w:r>
      <w:r w:rsidRPr="0087043D">
        <w:t xml:space="preserve">of 0.76-0.8, and for squamous NSCLC would be an improvement of 2.5-3 months with a target HR of 0.77-0.8. </w:t>
      </w:r>
      <w:r w:rsidR="00D271E8" w:rsidRPr="0087043D">
        <w:t xml:space="preserve">Based on these definitions, for the adjusted indirect treatment comparisons (ITCs) the proposed non-inferiority rules </w:t>
      </w:r>
      <w:r w:rsidR="005A53DD" w:rsidRPr="0087043D">
        <w:t xml:space="preserve">proposed in the submission </w:t>
      </w:r>
      <w:r w:rsidR="00D271E8" w:rsidRPr="0087043D">
        <w:t>were:</w:t>
      </w:r>
    </w:p>
    <w:p w:rsidR="00D271E8" w:rsidRPr="0087043D" w:rsidRDefault="00D271E8" w:rsidP="00CE2894">
      <w:pPr>
        <w:pStyle w:val="ListParagraph"/>
        <w:numPr>
          <w:ilvl w:val="0"/>
          <w:numId w:val="10"/>
        </w:numPr>
        <w:spacing w:after="0"/>
        <w:ind w:left="992" w:hanging="357"/>
      </w:pPr>
      <w:r w:rsidRPr="0087043D">
        <w:t xml:space="preserve">In non-squamous patients: If the OS hazard ratio reported for the adjusted ITC of </w:t>
      </w:r>
      <w:proofErr w:type="spellStart"/>
      <w:r w:rsidRPr="0087043D">
        <w:t>NIVO+IPI+platinum</w:t>
      </w:r>
      <w:proofErr w:type="spellEnd"/>
      <w:r w:rsidRPr="0087043D">
        <w:t xml:space="preserve"> in the </w:t>
      </w:r>
      <w:r w:rsidR="003F7209" w:rsidRPr="0087043D">
        <w:t>intention to treat (</w:t>
      </w:r>
      <w:r w:rsidRPr="0087043D">
        <w:t>ITT</w:t>
      </w:r>
      <w:r w:rsidR="003F7209" w:rsidRPr="0087043D">
        <w:t>)</w:t>
      </w:r>
      <w:r w:rsidRPr="0087043D">
        <w:t xml:space="preserve"> population of CM9LA versus </w:t>
      </w:r>
      <w:proofErr w:type="spellStart"/>
      <w:r w:rsidRPr="0087043D">
        <w:t>pembrolizumab</w:t>
      </w:r>
      <w:proofErr w:type="spellEnd"/>
      <w:r w:rsidRPr="0087043D">
        <w:t xml:space="preserve">+ platinum in KN189 is &lt;1.32 (inverse of 0.76) then non-inferiority is inferred. </w:t>
      </w:r>
    </w:p>
    <w:p w:rsidR="00D271E8" w:rsidRPr="0087043D" w:rsidRDefault="00D271E8" w:rsidP="00CE2894">
      <w:pPr>
        <w:pStyle w:val="ListParagraph"/>
        <w:numPr>
          <w:ilvl w:val="0"/>
          <w:numId w:val="10"/>
        </w:numPr>
        <w:ind w:left="992" w:hanging="357"/>
      </w:pPr>
      <w:r w:rsidRPr="0087043D">
        <w:t xml:space="preserve">In squamous patients: If the OS hazard ratio reported for the adjusted ITC of </w:t>
      </w:r>
      <w:proofErr w:type="spellStart"/>
      <w:r w:rsidRPr="0087043D">
        <w:t>NIVO+IPI+platinum</w:t>
      </w:r>
      <w:proofErr w:type="spellEnd"/>
      <w:r w:rsidRPr="0087043D">
        <w:t xml:space="preserve"> in the ITT population of CM9LA versus </w:t>
      </w:r>
      <w:proofErr w:type="spellStart"/>
      <w:r w:rsidRPr="0087043D">
        <w:t>pembrolizumab</w:t>
      </w:r>
      <w:proofErr w:type="spellEnd"/>
      <w:r w:rsidRPr="0087043D">
        <w:t>+ platinum in KN407 is &lt;1.30 (inverse of 0.77) then non-inferiority is inferred.</w:t>
      </w:r>
    </w:p>
    <w:p w:rsidR="00D271E8" w:rsidRPr="0087043D" w:rsidRDefault="00D271E8" w:rsidP="00D271E8">
      <w:pPr>
        <w:ind w:left="567"/>
      </w:pPr>
      <w:r w:rsidRPr="0087043D">
        <w:t xml:space="preserve">For the unadjusted ITC of </w:t>
      </w:r>
      <w:proofErr w:type="spellStart"/>
      <w:r w:rsidRPr="0087043D">
        <w:t>NIVO+IPI+platinum</w:t>
      </w:r>
      <w:proofErr w:type="spellEnd"/>
      <w:r w:rsidRPr="0087043D">
        <w:t xml:space="preserve"> versus </w:t>
      </w:r>
      <w:proofErr w:type="spellStart"/>
      <w:r w:rsidRPr="0087043D">
        <w:t>atezolizumab+bevacizumab</w:t>
      </w:r>
      <w:proofErr w:type="spellEnd"/>
      <w:r w:rsidRPr="0087043D">
        <w:t>+ platinum, the proposed non-inferiority rule was:</w:t>
      </w:r>
    </w:p>
    <w:p w:rsidR="00D271E8" w:rsidRPr="0087043D" w:rsidRDefault="00D271E8" w:rsidP="00CE2894">
      <w:pPr>
        <w:pStyle w:val="ListParagraph"/>
        <w:numPr>
          <w:ilvl w:val="0"/>
          <w:numId w:val="10"/>
        </w:numPr>
        <w:ind w:left="992" w:hanging="357"/>
      </w:pPr>
      <w:r w:rsidRPr="0087043D">
        <w:t xml:space="preserve">If the difference in median OS for </w:t>
      </w:r>
      <w:proofErr w:type="spellStart"/>
      <w:r w:rsidRPr="0087043D">
        <w:t>NIVO+IPI+platinum</w:t>
      </w:r>
      <w:proofErr w:type="spellEnd"/>
      <w:r w:rsidRPr="0087043D">
        <w:t xml:space="preserve"> in the ITT population of CM9LA is ± 4.0 months the median OS reported for atezolizumab +bevacizumab +platinum in patients enrolled in the </w:t>
      </w:r>
      <w:r w:rsidR="000F5B21" w:rsidRPr="0087043D">
        <w:t>ITT wild type (</w:t>
      </w:r>
      <w:r w:rsidRPr="0087043D">
        <w:t>ITT-WT</w:t>
      </w:r>
      <w:r w:rsidR="000F5B21" w:rsidRPr="0087043D">
        <w:t>)</w:t>
      </w:r>
      <w:r w:rsidRPr="0087043D">
        <w:t xml:space="preserve"> population IMpower150 then non-inferiority is inferred.</w:t>
      </w:r>
    </w:p>
    <w:p w:rsidR="004E5009" w:rsidRPr="0087043D" w:rsidRDefault="00306D19" w:rsidP="004E5009">
      <w:pPr>
        <w:pStyle w:val="3-BodyText"/>
        <w:spacing w:after="0"/>
      </w:pPr>
      <w:r w:rsidRPr="0087043D">
        <w:t>The proposed non</w:t>
      </w:r>
      <w:r w:rsidR="00580148" w:rsidRPr="0087043D">
        <w:t>-inferiority</w:t>
      </w:r>
      <w:r w:rsidRPr="0087043D">
        <w:t xml:space="preserve"> margins should have been applied to </w:t>
      </w:r>
      <w:r w:rsidR="001153DF" w:rsidRPr="0087043D">
        <w:t xml:space="preserve">the upper 95% CI for HR for the OS in the comparison between </w:t>
      </w:r>
      <w:proofErr w:type="spellStart"/>
      <w:r w:rsidR="001153DF" w:rsidRPr="0087043D">
        <w:t>NIVO+IPI+platinum</w:t>
      </w:r>
      <w:proofErr w:type="spellEnd"/>
      <w:r w:rsidR="001153DF" w:rsidRPr="0087043D">
        <w:t xml:space="preserve"> with the nominated comparator (i.e. treatment with </w:t>
      </w:r>
      <w:proofErr w:type="spellStart"/>
      <w:r w:rsidR="001153DF" w:rsidRPr="0087043D">
        <w:t>NIVO+IPI+platinum</w:t>
      </w:r>
      <w:proofErr w:type="spellEnd"/>
      <w:r w:rsidR="001153DF" w:rsidRPr="0087043D">
        <w:t xml:space="preserve"> is no more than </w:t>
      </w:r>
      <w:r w:rsidRPr="0087043D">
        <w:t xml:space="preserve">32% (for non-squamous) or 30% (for squamous) </w:t>
      </w:r>
      <w:r w:rsidR="001153DF" w:rsidRPr="0087043D">
        <w:t xml:space="preserve">worse than the comparator with regards to risk of death at the upper 95% confidence interval) </w:t>
      </w:r>
      <w:r w:rsidRPr="0087043D">
        <w:t>to conclude</w:t>
      </w:r>
      <w:r w:rsidR="00787768" w:rsidRPr="0087043D">
        <w:t xml:space="preserve"> </w:t>
      </w:r>
      <w:r w:rsidR="001153DF" w:rsidRPr="0087043D">
        <w:t xml:space="preserve">non-inferiority. </w:t>
      </w:r>
    </w:p>
    <w:p w:rsidR="00C17F9A" w:rsidRPr="0087043D" w:rsidRDefault="002C2281" w:rsidP="008A0138">
      <w:pPr>
        <w:pStyle w:val="3-BodyText"/>
        <w:numPr>
          <w:ilvl w:val="0"/>
          <w:numId w:val="0"/>
        </w:numPr>
        <w:spacing w:before="120"/>
        <w:ind w:left="720" w:hanging="720"/>
        <w:rPr>
          <w:b/>
        </w:rPr>
      </w:pPr>
      <w:proofErr w:type="spellStart"/>
      <w:r w:rsidRPr="0087043D">
        <w:rPr>
          <w:b/>
        </w:rPr>
        <w:t>NIVO+IPI+platinum</w:t>
      </w:r>
      <w:proofErr w:type="spellEnd"/>
      <w:r w:rsidRPr="0087043D">
        <w:rPr>
          <w:b/>
        </w:rPr>
        <w:t xml:space="preserve"> versus </w:t>
      </w:r>
      <w:proofErr w:type="spellStart"/>
      <w:r w:rsidRPr="0087043D">
        <w:rPr>
          <w:b/>
        </w:rPr>
        <w:t>pembrolizumab+platinum</w:t>
      </w:r>
      <w:proofErr w:type="spellEnd"/>
    </w:p>
    <w:p w:rsidR="002C2281" w:rsidRPr="0087043D" w:rsidRDefault="009D05F5" w:rsidP="009D05F5">
      <w:pPr>
        <w:pStyle w:val="3-BodyText"/>
      </w:pPr>
      <w:r w:rsidRPr="0087043D">
        <w:t>The submission presented two adjusted indirect comparisons, CM9LA versus KN189 (non-squamous NSCLC) and CM9LA versus KN407 (squamous NSCLC), based on the HR for OS in each of the trials. The ITT population from CM9LA was used in the primary analysis for both comparisons, with a supplementary analysis based on the appropriate histological subgroup from CM9LA</w:t>
      </w:r>
      <w:r w:rsidR="00186CC6" w:rsidRPr="0087043D">
        <w:t xml:space="preserve">. </w:t>
      </w:r>
      <w:r w:rsidR="00264317" w:rsidRPr="0087043D">
        <w:t xml:space="preserve"> </w:t>
      </w:r>
    </w:p>
    <w:p w:rsidR="00B26E77" w:rsidRPr="0087043D" w:rsidRDefault="00B26E77" w:rsidP="00282734">
      <w:pPr>
        <w:pStyle w:val="3-BodyText"/>
      </w:pPr>
      <w:r w:rsidRPr="0087043D">
        <w:t>The submission noted that a higher proportion of patients in KN189 had an ECOG PS of 0 (44%) compared with the non-squamous subgroup in CM9LA (32%), and that this may potentially confound the indirect comparison in fa</w:t>
      </w:r>
      <w:r w:rsidR="001C2182" w:rsidRPr="0087043D">
        <w:t xml:space="preserve">vour of </w:t>
      </w:r>
      <w:proofErr w:type="spellStart"/>
      <w:r w:rsidR="001C2182" w:rsidRPr="0087043D">
        <w:t>pembrolizumab+platinum</w:t>
      </w:r>
      <w:proofErr w:type="spellEnd"/>
      <w:r w:rsidR="001C2182" w:rsidRPr="0087043D">
        <w:t xml:space="preserve">. </w:t>
      </w:r>
      <w:r w:rsidR="0003695F" w:rsidRPr="0087043D">
        <w:t>Th</w:t>
      </w:r>
      <w:r w:rsidR="004C6B85" w:rsidRPr="0087043D">
        <w:t xml:space="preserve">e evaluation considered this </w:t>
      </w:r>
      <w:r w:rsidR="0003695F" w:rsidRPr="0087043D">
        <w:t>was reasonable.</w:t>
      </w:r>
    </w:p>
    <w:p w:rsidR="00282734" w:rsidRPr="0087043D" w:rsidRDefault="00282734" w:rsidP="00282734">
      <w:pPr>
        <w:pStyle w:val="3-BodyText"/>
      </w:pPr>
      <w:r w:rsidRPr="0087043D">
        <w:t>Approximately 40% of patients in KN407 received nab-paclitaxel as a component of platinum chemotherapy, while all patients with squamous NSCLC in CM9LA were treat</w:t>
      </w:r>
      <w:r w:rsidR="00A20814" w:rsidRPr="0087043D">
        <w:t>ed with paclitaxel only. Nab-pac</w:t>
      </w:r>
      <w:r w:rsidRPr="0087043D">
        <w:t>litaxel is not currently PBS listed for NSCLC</w:t>
      </w:r>
      <w:r w:rsidR="00737E25" w:rsidRPr="0087043D">
        <w:t xml:space="preserve">; however, </w:t>
      </w:r>
      <w:r w:rsidR="0002550D" w:rsidRPr="0087043D">
        <w:t xml:space="preserve">the </w:t>
      </w:r>
      <w:r w:rsidR="00737E25" w:rsidRPr="0087043D">
        <w:t xml:space="preserve">ESC considered an indirect comparison </w:t>
      </w:r>
      <w:r w:rsidR="0002550D" w:rsidRPr="0087043D">
        <w:t xml:space="preserve">only </w:t>
      </w:r>
      <w:r w:rsidR="00737E25" w:rsidRPr="0087043D">
        <w:t xml:space="preserve">using the subgroup of patients </w:t>
      </w:r>
      <w:r w:rsidR="0002550D" w:rsidRPr="0087043D">
        <w:t xml:space="preserve">in KN407 </w:t>
      </w:r>
      <w:r w:rsidR="00737E25" w:rsidRPr="0087043D">
        <w:t>treated with paclitaxel was unlikely to be informative</w:t>
      </w:r>
      <w:r w:rsidRPr="0087043D">
        <w:t xml:space="preserve">. </w:t>
      </w:r>
    </w:p>
    <w:p w:rsidR="00B75819" w:rsidRPr="0087043D" w:rsidRDefault="00B75819" w:rsidP="00B75819">
      <w:pPr>
        <w:pStyle w:val="3-BodyText"/>
      </w:pPr>
      <w:r w:rsidRPr="0087043D">
        <w:t>The submission also noted that a greater proportion of patients in KN189 and KN407 received subsequent immunotherapy compared with CM9LA. Of patients in the platinum chemotherapy arms of the trials, 30% in CM9LA, 54% in KN189 and 49% in KN407 received later-line immunotherapy.</w:t>
      </w:r>
      <w:r w:rsidRPr="0087043D">
        <w:rPr>
          <w:i/>
        </w:rPr>
        <w:t xml:space="preserve"> </w:t>
      </w:r>
      <w:r w:rsidRPr="0087043D">
        <w:t xml:space="preserve">The use of immunotherapy following progression on first-line platinum chemotherapy is consistent with what would be expected in clinical practice in the scenario in which first-line immunotherapy is not available. </w:t>
      </w:r>
      <w:r w:rsidR="008E5487" w:rsidRPr="0087043D">
        <w:t xml:space="preserve">The greater use of later-line immunotherapy in the control arm of the </w:t>
      </w:r>
      <w:proofErr w:type="spellStart"/>
      <w:r w:rsidR="008E5487" w:rsidRPr="0087043D">
        <w:t>pembrolizumab+platinum</w:t>
      </w:r>
      <w:proofErr w:type="spellEnd"/>
      <w:r w:rsidR="008E5487" w:rsidRPr="0087043D">
        <w:t xml:space="preserve"> trials </w:t>
      </w:r>
      <w:r w:rsidR="004C3D75" w:rsidRPr="0087043D">
        <w:t xml:space="preserve">compared with the control arm in CM9LA </w:t>
      </w:r>
      <w:r w:rsidR="008E5487" w:rsidRPr="0087043D">
        <w:t xml:space="preserve">is likely to have favoured </w:t>
      </w:r>
      <w:proofErr w:type="spellStart"/>
      <w:r w:rsidR="008E5487" w:rsidRPr="0087043D">
        <w:t>NIVO+IPI+platinum</w:t>
      </w:r>
      <w:proofErr w:type="spellEnd"/>
      <w:r w:rsidR="008E5487" w:rsidRPr="0087043D">
        <w:t xml:space="preserve"> over </w:t>
      </w:r>
      <w:proofErr w:type="spellStart"/>
      <w:r w:rsidR="008E5487" w:rsidRPr="0087043D">
        <w:t>pembrolizumab+platinum</w:t>
      </w:r>
      <w:proofErr w:type="spellEnd"/>
      <w:r w:rsidR="008E5487" w:rsidRPr="0087043D">
        <w:t xml:space="preserve"> in the indirect comparisons.</w:t>
      </w:r>
    </w:p>
    <w:p w:rsidR="00B75819" w:rsidRPr="0087043D" w:rsidRDefault="00B75819" w:rsidP="00B75819">
      <w:pPr>
        <w:pStyle w:val="3-BodyText"/>
      </w:pPr>
      <w:r w:rsidRPr="0087043D">
        <w:t>Differences in the duration of follow-up across the trials, and the consequent extent of use of later line immunotherapy in the comparator arms, have considerable potential to confound the indirect comparison, especially in the indirect comparison of patients with non-squamous NSCLC, who represent approximately 78% of the metastatic NSCLC population. This is illustrated by a sensitivity analysis, performed during the evaluation, using the OS results from the November 2017 data cut-off for KN189 (median follow-up 10.5 months) rather than the September 2018 data cut-off (median follow-up 23.1 months), as used in the submission (see</w:t>
      </w:r>
      <w:r w:rsidR="00AD1B1B" w:rsidRPr="0087043D">
        <w:t xml:space="preserve"> </w:t>
      </w:r>
      <w:r w:rsidR="00C71489" w:rsidRPr="0087043D">
        <w:t>Table 7</w:t>
      </w:r>
      <w:r w:rsidRPr="0087043D">
        <w:t>). The indirectly derived HR for OS in the non-squamous NSCLC population increased from 1.23 (</w:t>
      </w:r>
      <w:r w:rsidR="000F5B21" w:rsidRPr="0087043D">
        <w:t xml:space="preserve">95% CI: </w:t>
      </w:r>
      <w:r w:rsidRPr="0087043D">
        <w:t>0.90, 1.69) based on the September 2018 data to 1.41 (</w:t>
      </w:r>
      <w:r w:rsidR="000F5B21" w:rsidRPr="0087043D">
        <w:t xml:space="preserve">95% CI: </w:t>
      </w:r>
      <w:r w:rsidRPr="0087043D">
        <w:t xml:space="preserve">1.00, 1.99) based on the </w:t>
      </w:r>
      <w:r w:rsidR="005A67E4" w:rsidRPr="0087043D">
        <w:t xml:space="preserve">November 2017 </w:t>
      </w:r>
      <w:r w:rsidRPr="0087043D">
        <w:t>data from KN189</w:t>
      </w:r>
      <w:r w:rsidR="00E83D5E" w:rsidRPr="0087043D">
        <w:t xml:space="preserve"> (see </w:t>
      </w:r>
      <w:r w:rsidR="00C71489" w:rsidRPr="0087043D">
        <w:t>Table 7</w:t>
      </w:r>
      <w:r w:rsidR="00E83D5E" w:rsidRPr="0087043D">
        <w:t>)</w:t>
      </w:r>
      <w:r w:rsidRPr="0087043D">
        <w:t>.</w:t>
      </w:r>
    </w:p>
    <w:p w:rsidR="007E7319" w:rsidRPr="0087043D" w:rsidRDefault="007E7319" w:rsidP="00B75819">
      <w:pPr>
        <w:pStyle w:val="3-BodyText"/>
      </w:pPr>
      <w:r w:rsidRPr="0087043D">
        <w:t xml:space="preserve">The PSCR presented an additional analysis based on </w:t>
      </w:r>
      <w:r w:rsidR="00B13C17" w:rsidRPr="0087043D">
        <w:t>a fractional polynomial-based network meta-analysis commissioned by the Sponsor after the PBAC deadline and used to support reimbursement applications in other jurisdictions</w:t>
      </w:r>
      <w:r w:rsidR="005E3E3C" w:rsidRPr="0087043D">
        <w:t>. The PSCR argued</w:t>
      </w:r>
      <w:r w:rsidR="00B13C17" w:rsidRPr="0087043D">
        <w:t xml:space="preserve"> that this exploratory assessment provide</w:t>
      </w:r>
      <w:r w:rsidR="00247C50" w:rsidRPr="0087043D">
        <w:t>d</w:t>
      </w:r>
      <w:r w:rsidR="00B13C17" w:rsidRPr="0087043D">
        <w:t xml:space="preserve"> evidence that differences in trial follow-up of </w:t>
      </w:r>
      <w:r w:rsidR="00E3239E" w:rsidRPr="0087043D">
        <w:t>CM9LA and</w:t>
      </w:r>
      <w:r w:rsidR="00B13C17" w:rsidRPr="0087043D">
        <w:t xml:space="preserve"> Keynote 189</w:t>
      </w:r>
      <w:r w:rsidR="00776E05" w:rsidRPr="0087043D">
        <w:t xml:space="preserve"> </w:t>
      </w:r>
      <w:r w:rsidR="00B13C17" w:rsidRPr="0087043D">
        <w:t>do not impact the overall claim of non-inferiority made in the submission.</w:t>
      </w:r>
      <w:r w:rsidR="0002550D" w:rsidRPr="0087043D">
        <w:t xml:space="preserve"> </w:t>
      </w:r>
      <w:r w:rsidR="00776E05" w:rsidRPr="0087043D">
        <w:t>The ESC noted the analysis w</w:t>
      </w:r>
      <w:r w:rsidR="00494389" w:rsidRPr="0087043D">
        <w:t>a</w:t>
      </w:r>
      <w:r w:rsidR="00776E05" w:rsidRPr="0087043D">
        <w:t>s based on extr</w:t>
      </w:r>
      <w:r w:rsidR="00494389" w:rsidRPr="0087043D">
        <w:t xml:space="preserve">apolated OS data for each trial, </w:t>
      </w:r>
      <w:r w:rsidR="00172AED" w:rsidRPr="0087043D">
        <w:t xml:space="preserve">that </w:t>
      </w:r>
      <w:r w:rsidR="00776E05" w:rsidRPr="0087043D">
        <w:t xml:space="preserve">no information was provided regarding </w:t>
      </w:r>
      <w:r w:rsidR="00494389" w:rsidRPr="0087043D">
        <w:t>methodology and the analysis had not been evaluated</w:t>
      </w:r>
      <w:r w:rsidR="00186CC6" w:rsidRPr="0087043D">
        <w:t xml:space="preserve">. </w:t>
      </w:r>
    </w:p>
    <w:p w:rsidR="00B75819" w:rsidRPr="0087043D" w:rsidRDefault="00B75819" w:rsidP="00B75819">
      <w:pPr>
        <w:pStyle w:val="3-BodyText"/>
        <w:rPr>
          <w:i/>
        </w:rPr>
      </w:pPr>
      <w:r w:rsidRPr="0087043D">
        <w:t xml:space="preserve">The median OS in the common comparator arm of CM9LA (platinum-based doublet chemotherapy) for </w:t>
      </w:r>
      <w:r w:rsidR="004D1E4B" w:rsidRPr="0087043D">
        <w:t xml:space="preserve">patients with </w:t>
      </w:r>
      <w:r w:rsidRPr="0087043D">
        <w:t xml:space="preserve">non-squamous and squamous NSCLC (11.9 months and 9.1 months, respectively) was reasonably similar to median OS in the </w:t>
      </w:r>
      <w:proofErr w:type="spellStart"/>
      <w:r w:rsidRPr="0087043D">
        <w:t>placebo+platinum</w:t>
      </w:r>
      <w:proofErr w:type="spellEnd"/>
      <w:r w:rsidRPr="0087043D">
        <w:t xml:space="preserve"> a</w:t>
      </w:r>
      <w:r w:rsidR="004D1E4B" w:rsidRPr="0087043D">
        <w:t>rm</w:t>
      </w:r>
      <w:r w:rsidRPr="0087043D">
        <w:t xml:space="preserve">s of the corresponding </w:t>
      </w:r>
      <w:proofErr w:type="spellStart"/>
      <w:r w:rsidRPr="0087043D">
        <w:t>pembrolizumab+</w:t>
      </w:r>
      <w:r w:rsidR="004D1E4B" w:rsidRPr="0087043D">
        <w:t>platinum</w:t>
      </w:r>
      <w:proofErr w:type="spellEnd"/>
      <w:r w:rsidR="004D1E4B" w:rsidRPr="0087043D">
        <w:t xml:space="preserve"> tri</w:t>
      </w:r>
      <w:r w:rsidRPr="0087043D">
        <w:t>als (</w:t>
      </w:r>
      <w:r w:rsidR="004D1E4B" w:rsidRPr="0087043D">
        <w:t>10.7 months in KN189 and 11.6 months in KN407).</w:t>
      </w:r>
      <w:r w:rsidRPr="0087043D">
        <w:t xml:space="preserve"> </w:t>
      </w:r>
    </w:p>
    <w:p w:rsidR="00282734" w:rsidRPr="0087043D" w:rsidRDefault="004D1E4B" w:rsidP="00282734">
      <w:pPr>
        <w:pStyle w:val="3-BodyText"/>
      </w:pPr>
      <w:r w:rsidRPr="0087043D">
        <w:t xml:space="preserve">The results of the indirect comparison of OS for </w:t>
      </w:r>
      <w:proofErr w:type="spellStart"/>
      <w:r w:rsidRPr="0087043D">
        <w:t>NIVO+IPI+platinum</w:t>
      </w:r>
      <w:proofErr w:type="spellEnd"/>
      <w:r w:rsidRPr="0087043D">
        <w:t xml:space="preserve"> versus </w:t>
      </w:r>
      <w:proofErr w:type="spellStart"/>
      <w:r w:rsidRPr="0087043D">
        <w:t>pembrolizumab+platinum</w:t>
      </w:r>
      <w:proofErr w:type="spellEnd"/>
      <w:r w:rsidRPr="0087043D">
        <w:t xml:space="preserve"> in patients with non-squamous metastatic NSCLC are presented in</w:t>
      </w:r>
      <w:r w:rsidR="00AD1B1B" w:rsidRPr="0087043D">
        <w:t xml:space="preserve"> </w:t>
      </w:r>
      <w:r w:rsidR="00C71489" w:rsidRPr="0087043D">
        <w:t>Table 7</w:t>
      </w:r>
      <w:r w:rsidR="00AD1B1B" w:rsidRPr="0087043D">
        <w:t>.</w:t>
      </w:r>
    </w:p>
    <w:p w:rsidR="004D1E4B" w:rsidRPr="0087043D" w:rsidRDefault="00A91507" w:rsidP="00A91507">
      <w:pPr>
        <w:pStyle w:val="TableFigureHeading"/>
      </w:pPr>
      <w:bookmarkStart w:id="24" w:name="_Ref49331562"/>
      <w:r w:rsidRPr="0087043D">
        <w:t xml:space="preserve">Table </w:t>
      </w:r>
      <w:r w:rsidR="00C71489" w:rsidRPr="0087043D">
        <w:t>7</w:t>
      </w:r>
      <w:bookmarkEnd w:id="24"/>
      <w:r w:rsidRPr="0087043D">
        <w:t xml:space="preserve">: Adjusted indirect comparison of OS </w:t>
      </w:r>
      <w:proofErr w:type="spellStart"/>
      <w:r w:rsidRPr="0087043D">
        <w:t>NIVO+IPI+platinum</w:t>
      </w:r>
      <w:proofErr w:type="spellEnd"/>
      <w:r w:rsidRPr="0087043D">
        <w:t xml:space="preserve"> vs </w:t>
      </w:r>
      <w:proofErr w:type="spellStart"/>
      <w:r w:rsidRPr="0087043D">
        <w:t>pembrolizumab+platinum</w:t>
      </w:r>
      <w:proofErr w:type="spellEnd"/>
      <w:r w:rsidRPr="0087043D">
        <w:t>, non-squamous NSCLC</w:t>
      </w:r>
    </w:p>
    <w:tbl>
      <w:tblPr>
        <w:tblStyle w:val="TableGrid"/>
        <w:tblW w:w="5000" w:type="pct"/>
        <w:tblLook w:val="04A0" w:firstRow="1" w:lastRow="0" w:firstColumn="1" w:lastColumn="0" w:noHBand="0" w:noVBand="1"/>
        <w:tblCaption w:val="Table 7: Adjusted indirect comparison of OS NIVO+IPI+platinum vs pembrolizumab+platinum, non-squamous NSCLC"/>
      </w:tblPr>
      <w:tblGrid>
        <w:gridCol w:w="2091"/>
        <w:gridCol w:w="1731"/>
        <w:gridCol w:w="1733"/>
        <w:gridCol w:w="1731"/>
        <w:gridCol w:w="1731"/>
      </w:tblGrid>
      <w:tr w:rsidR="00A91507" w:rsidRPr="008A0138" w:rsidTr="00EC78BA">
        <w:trPr>
          <w:tblHeader/>
        </w:trPr>
        <w:tc>
          <w:tcPr>
            <w:tcW w:w="1159" w:type="pct"/>
            <w:vMerge w:val="restart"/>
            <w:vAlign w:val="center"/>
          </w:tcPr>
          <w:p w:rsidR="00A91507" w:rsidRPr="008A0138" w:rsidRDefault="00A91507" w:rsidP="007E085B">
            <w:pPr>
              <w:pStyle w:val="In-tableHeading"/>
              <w:rPr>
                <w:szCs w:val="20"/>
                <w:lang w:val="en-AU"/>
              </w:rPr>
            </w:pPr>
          </w:p>
        </w:tc>
        <w:tc>
          <w:tcPr>
            <w:tcW w:w="1921" w:type="pct"/>
            <w:gridSpan w:val="2"/>
            <w:vAlign w:val="center"/>
          </w:tcPr>
          <w:p w:rsidR="00A91507" w:rsidRPr="008A0138" w:rsidRDefault="00A91507" w:rsidP="007E085B">
            <w:pPr>
              <w:pStyle w:val="In-tableHeading"/>
              <w:jc w:val="center"/>
              <w:rPr>
                <w:szCs w:val="20"/>
                <w:lang w:val="en-AU"/>
              </w:rPr>
            </w:pPr>
            <w:proofErr w:type="spellStart"/>
            <w:r w:rsidRPr="008A0138">
              <w:rPr>
                <w:szCs w:val="20"/>
                <w:lang w:val="en-AU"/>
              </w:rPr>
              <w:t>CheckMate</w:t>
            </w:r>
            <w:proofErr w:type="spellEnd"/>
            <w:r w:rsidRPr="008A0138">
              <w:rPr>
                <w:szCs w:val="20"/>
                <w:lang w:val="en-AU"/>
              </w:rPr>
              <w:t xml:space="preserve"> 9LA</w:t>
            </w:r>
          </w:p>
        </w:tc>
        <w:tc>
          <w:tcPr>
            <w:tcW w:w="1920" w:type="pct"/>
            <w:gridSpan w:val="2"/>
            <w:vAlign w:val="center"/>
          </w:tcPr>
          <w:p w:rsidR="00A91507" w:rsidRPr="008A0138" w:rsidRDefault="00A91507" w:rsidP="007E085B">
            <w:pPr>
              <w:pStyle w:val="In-tableHeading"/>
              <w:jc w:val="center"/>
              <w:rPr>
                <w:szCs w:val="20"/>
                <w:lang w:val="en-AU"/>
              </w:rPr>
            </w:pPr>
            <w:r w:rsidRPr="008A0138">
              <w:rPr>
                <w:szCs w:val="20"/>
                <w:lang w:val="en-AU"/>
              </w:rPr>
              <w:t>Keynote 189</w:t>
            </w:r>
          </w:p>
        </w:tc>
      </w:tr>
      <w:tr w:rsidR="00A91507" w:rsidRPr="008A0138" w:rsidTr="00EC78BA">
        <w:trPr>
          <w:tblHeader/>
        </w:trPr>
        <w:tc>
          <w:tcPr>
            <w:tcW w:w="1159" w:type="pct"/>
            <w:vMerge/>
            <w:vAlign w:val="center"/>
          </w:tcPr>
          <w:p w:rsidR="00A91507" w:rsidRPr="008A0138" w:rsidRDefault="00A91507" w:rsidP="007E085B">
            <w:pPr>
              <w:pStyle w:val="In-tableHeading"/>
              <w:rPr>
                <w:szCs w:val="20"/>
                <w:lang w:val="en-AU"/>
              </w:rPr>
            </w:pPr>
          </w:p>
        </w:tc>
        <w:tc>
          <w:tcPr>
            <w:tcW w:w="960" w:type="pct"/>
            <w:vAlign w:val="center"/>
          </w:tcPr>
          <w:p w:rsidR="00A91507" w:rsidRPr="008A0138" w:rsidRDefault="00A91507" w:rsidP="007E085B">
            <w:pPr>
              <w:pStyle w:val="In-tableHeading"/>
              <w:jc w:val="center"/>
              <w:rPr>
                <w:szCs w:val="20"/>
                <w:lang w:val="en-AU"/>
              </w:rPr>
            </w:pPr>
            <w:proofErr w:type="spellStart"/>
            <w:r w:rsidRPr="008A0138">
              <w:rPr>
                <w:szCs w:val="20"/>
                <w:lang w:val="en-AU"/>
              </w:rPr>
              <w:t>NIVO+IPI+platinum</w:t>
            </w:r>
            <w:proofErr w:type="spellEnd"/>
          </w:p>
        </w:tc>
        <w:tc>
          <w:tcPr>
            <w:tcW w:w="961" w:type="pct"/>
            <w:vAlign w:val="center"/>
          </w:tcPr>
          <w:p w:rsidR="00A91507" w:rsidRPr="008A0138" w:rsidRDefault="00A91507" w:rsidP="007E085B">
            <w:pPr>
              <w:pStyle w:val="In-tableHeading"/>
              <w:jc w:val="center"/>
              <w:rPr>
                <w:szCs w:val="20"/>
                <w:lang w:val="en-AU"/>
              </w:rPr>
            </w:pPr>
            <w:r w:rsidRPr="008A0138">
              <w:rPr>
                <w:szCs w:val="20"/>
                <w:lang w:val="en-AU"/>
              </w:rPr>
              <w:t>Platinum chemo</w:t>
            </w:r>
          </w:p>
        </w:tc>
        <w:tc>
          <w:tcPr>
            <w:tcW w:w="960" w:type="pct"/>
            <w:vAlign w:val="center"/>
          </w:tcPr>
          <w:p w:rsidR="00A91507" w:rsidRPr="008A0138" w:rsidRDefault="00A91507" w:rsidP="007E085B">
            <w:pPr>
              <w:pStyle w:val="In-tableHeading"/>
              <w:jc w:val="center"/>
              <w:rPr>
                <w:szCs w:val="20"/>
                <w:lang w:val="en-AU"/>
              </w:rPr>
            </w:pPr>
            <w:proofErr w:type="spellStart"/>
            <w:r w:rsidRPr="008A0138">
              <w:rPr>
                <w:szCs w:val="20"/>
                <w:lang w:val="en-AU"/>
              </w:rPr>
              <w:t>PEMBRO+platinum</w:t>
            </w:r>
            <w:proofErr w:type="spellEnd"/>
          </w:p>
        </w:tc>
        <w:tc>
          <w:tcPr>
            <w:tcW w:w="960" w:type="pct"/>
            <w:vAlign w:val="center"/>
          </w:tcPr>
          <w:p w:rsidR="00A91507" w:rsidRPr="008A0138" w:rsidRDefault="00A91507" w:rsidP="007E085B">
            <w:pPr>
              <w:pStyle w:val="In-tableHeading"/>
              <w:jc w:val="center"/>
              <w:rPr>
                <w:szCs w:val="20"/>
                <w:lang w:val="en-AU"/>
              </w:rPr>
            </w:pPr>
            <w:proofErr w:type="spellStart"/>
            <w:r w:rsidRPr="008A0138">
              <w:rPr>
                <w:szCs w:val="20"/>
                <w:lang w:val="en-AU"/>
              </w:rPr>
              <w:t>Placebo+platinum</w:t>
            </w:r>
            <w:proofErr w:type="spellEnd"/>
          </w:p>
        </w:tc>
      </w:tr>
      <w:tr w:rsidR="004D1E4B" w:rsidRPr="008A0138" w:rsidTr="008A0138">
        <w:tc>
          <w:tcPr>
            <w:tcW w:w="5000" w:type="pct"/>
            <w:gridSpan w:val="5"/>
            <w:vAlign w:val="center"/>
          </w:tcPr>
          <w:p w:rsidR="004D1E4B" w:rsidRPr="008A0138" w:rsidRDefault="004D1E4B" w:rsidP="007E085B">
            <w:pPr>
              <w:pStyle w:val="TableText0"/>
              <w:rPr>
                <w:szCs w:val="20"/>
              </w:rPr>
            </w:pPr>
            <w:r w:rsidRPr="008A0138">
              <w:rPr>
                <w:b/>
                <w:szCs w:val="20"/>
              </w:rPr>
              <w:t>Primary analysis: ITT analysis</w:t>
            </w:r>
          </w:p>
        </w:tc>
      </w:tr>
      <w:tr w:rsidR="004D1E4B" w:rsidRPr="008A0138" w:rsidTr="008A0138">
        <w:tc>
          <w:tcPr>
            <w:tcW w:w="1159" w:type="pct"/>
            <w:vAlign w:val="center"/>
          </w:tcPr>
          <w:p w:rsidR="004D1E4B" w:rsidRPr="008A0138" w:rsidRDefault="004D1E4B" w:rsidP="007E085B">
            <w:pPr>
              <w:pStyle w:val="TableText0"/>
              <w:rPr>
                <w:b/>
                <w:bCs w:val="0"/>
                <w:szCs w:val="20"/>
              </w:rPr>
            </w:pPr>
            <w:r w:rsidRPr="008A0138">
              <w:rPr>
                <w:szCs w:val="20"/>
              </w:rPr>
              <w:t>Median follow-up</w:t>
            </w:r>
          </w:p>
        </w:tc>
        <w:tc>
          <w:tcPr>
            <w:tcW w:w="960" w:type="pct"/>
            <w:vAlign w:val="center"/>
          </w:tcPr>
          <w:p w:rsidR="004D1E4B" w:rsidRPr="008A0138" w:rsidRDefault="004D1E4B" w:rsidP="007E085B">
            <w:pPr>
              <w:pStyle w:val="TableText0"/>
              <w:jc w:val="center"/>
              <w:rPr>
                <w:szCs w:val="20"/>
              </w:rPr>
            </w:pPr>
            <w:r w:rsidRPr="008A0138">
              <w:rPr>
                <w:szCs w:val="20"/>
              </w:rPr>
              <w:t>14.2 months</w:t>
            </w:r>
          </w:p>
        </w:tc>
        <w:tc>
          <w:tcPr>
            <w:tcW w:w="961" w:type="pct"/>
            <w:vAlign w:val="center"/>
          </w:tcPr>
          <w:p w:rsidR="004D1E4B" w:rsidRPr="008A0138" w:rsidRDefault="004D1E4B" w:rsidP="007E085B">
            <w:pPr>
              <w:pStyle w:val="TableText0"/>
              <w:jc w:val="center"/>
              <w:rPr>
                <w:szCs w:val="20"/>
              </w:rPr>
            </w:pPr>
            <w:r w:rsidRPr="008A0138">
              <w:rPr>
                <w:szCs w:val="20"/>
              </w:rPr>
              <w:t>10.9 months</w:t>
            </w:r>
          </w:p>
        </w:tc>
        <w:tc>
          <w:tcPr>
            <w:tcW w:w="1920" w:type="pct"/>
            <w:gridSpan w:val="2"/>
            <w:vAlign w:val="center"/>
          </w:tcPr>
          <w:p w:rsidR="004D1E4B" w:rsidRPr="008A0138" w:rsidRDefault="004D1E4B" w:rsidP="007E085B">
            <w:pPr>
              <w:pStyle w:val="TableText0"/>
              <w:jc w:val="center"/>
              <w:rPr>
                <w:szCs w:val="20"/>
                <w:vertAlign w:val="superscript"/>
              </w:rPr>
            </w:pPr>
            <w:r w:rsidRPr="008A0138">
              <w:rPr>
                <w:szCs w:val="20"/>
              </w:rPr>
              <w:t xml:space="preserve">23.1 </w:t>
            </w:r>
            <w:proofErr w:type="spellStart"/>
            <w:r w:rsidRPr="008A0138">
              <w:rPr>
                <w:szCs w:val="20"/>
              </w:rPr>
              <w:t>months</w:t>
            </w:r>
            <w:r w:rsidRPr="008A0138">
              <w:rPr>
                <w:szCs w:val="20"/>
                <w:vertAlign w:val="superscript"/>
              </w:rPr>
              <w:t>c</w:t>
            </w:r>
            <w:proofErr w:type="spellEnd"/>
          </w:p>
        </w:tc>
      </w:tr>
      <w:tr w:rsidR="004D1E4B" w:rsidRPr="008A0138" w:rsidTr="008A0138">
        <w:tc>
          <w:tcPr>
            <w:tcW w:w="1159" w:type="pct"/>
            <w:vAlign w:val="center"/>
          </w:tcPr>
          <w:p w:rsidR="004D1E4B" w:rsidRPr="008A0138" w:rsidRDefault="004D1E4B" w:rsidP="007E085B">
            <w:pPr>
              <w:pStyle w:val="TableText0"/>
              <w:rPr>
                <w:szCs w:val="20"/>
              </w:rPr>
            </w:pPr>
            <w:r w:rsidRPr="008A0138">
              <w:rPr>
                <w:szCs w:val="20"/>
              </w:rPr>
              <w:t>Population</w:t>
            </w:r>
          </w:p>
        </w:tc>
        <w:tc>
          <w:tcPr>
            <w:tcW w:w="1921" w:type="pct"/>
            <w:gridSpan w:val="2"/>
            <w:vAlign w:val="center"/>
          </w:tcPr>
          <w:p w:rsidR="004D1E4B" w:rsidRPr="008A0138" w:rsidRDefault="004D1E4B" w:rsidP="007E085B">
            <w:pPr>
              <w:pStyle w:val="TableText0"/>
              <w:jc w:val="center"/>
              <w:rPr>
                <w:szCs w:val="20"/>
              </w:rPr>
            </w:pPr>
            <w:r w:rsidRPr="008A0138">
              <w:rPr>
                <w:szCs w:val="20"/>
              </w:rPr>
              <w:t>All histology</w:t>
            </w:r>
          </w:p>
        </w:tc>
        <w:tc>
          <w:tcPr>
            <w:tcW w:w="1920" w:type="pct"/>
            <w:gridSpan w:val="2"/>
            <w:vAlign w:val="center"/>
          </w:tcPr>
          <w:p w:rsidR="004D1E4B" w:rsidRPr="008A0138" w:rsidRDefault="004D1E4B" w:rsidP="007E085B">
            <w:pPr>
              <w:pStyle w:val="TableText0"/>
              <w:jc w:val="center"/>
              <w:rPr>
                <w:szCs w:val="20"/>
              </w:rPr>
            </w:pPr>
            <w:r w:rsidRPr="008A0138">
              <w:rPr>
                <w:szCs w:val="20"/>
              </w:rPr>
              <w:t>Non-squamous</w:t>
            </w:r>
          </w:p>
        </w:tc>
      </w:tr>
      <w:tr w:rsidR="004D1E4B" w:rsidRPr="008A0138" w:rsidTr="008A0138">
        <w:tc>
          <w:tcPr>
            <w:tcW w:w="1159" w:type="pct"/>
            <w:vAlign w:val="center"/>
          </w:tcPr>
          <w:p w:rsidR="004D1E4B" w:rsidRPr="008A0138" w:rsidRDefault="004D1E4B" w:rsidP="007E085B">
            <w:pPr>
              <w:pStyle w:val="TableText0"/>
              <w:rPr>
                <w:b/>
                <w:bCs w:val="0"/>
                <w:szCs w:val="20"/>
              </w:rPr>
            </w:pPr>
          </w:p>
        </w:tc>
        <w:tc>
          <w:tcPr>
            <w:tcW w:w="960" w:type="pct"/>
            <w:vAlign w:val="center"/>
          </w:tcPr>
          <w:p w:rsidR="004D1E4B" w:rsidRPr="008A0138" w:rsidRDefault="004D1E4B" w:rsidP="007E085B">
            <w:pPr>
              <w:pStyle w:val="TableText0"/>
              <w:jc w:val="center"/>
              <w:rPr>
                <w:szCs w:val="20"/>
              </w:rPr>
            </w:pPr>
            <w:r w:rsidRPr="008A0138">
              <w:rPr>
                <w:szCs w:val="20"/>
              </w:rPr>
              <w:t>N=361</w:t>
            </w:r>
          </w:p>
        </w:tc>
        <w:tc>
          <w:tcPr>
            <w:tcW w:w="961" w:type="pct"/>
            <w:vAlign w:val="center"/>
          </w:tcPr>
          <w:p w:rsidR="004D1E4B" w:rsidRPr="008A0138" w:rsidRDefault="004D1E4B" w:rsidP="007E085B">
            <w:pPr>
              <w:pStyle w:val="TableText0"/>
              <w:jc w:val="center"/>
              <w:rPr>
                <w:szCs w:val="20"/>
              </w:rPr>
            </w:pPr>
            <w:r w:rsidRPr="008A0138">
              <w:rPr>
                <w:szCs w:val="20"/>
              </w:rPr>
              <w:t>N=358</w:t>
            </w:r>
          </w:p>
        </w:tc>
        <w:tc>
          <w:tcPr>
            <w:tcW w:w="960" w:type="pct"/>
            <w:vAlign w:val="center"/>
          </w:tcPr>
          <w:p w:rsidR="004D1E4B" w:rsidRPr="008A0138" w:rsidRDefault="004D1E4B" w:rsidP="007E085B">
            <w:pPr>
              <w:pStyle w:val="TableText0"/>
              <w:jc w:val="center"/>
              <w:rPr>
                <w:szCs w:val="20"/>
              </w:rPr>
            </w:pPr>
            <w:r w:rsidRPr="008A0138">
              <w:rPr>
                <w:szCs w:val="20"/>
              </w:rPr>
              <w:t>N=410</w:t>
            </w:r>
          </w:p>
        </w:tc>
        <w:tc>
          <w:tcPr>
            <w:tcW w:w="960" w:type="pct"/>
            <w:vAlign w:val="center"/>
          </w:tcPr>
          <w:p w:rsidR="004D1E4B" w:rsidRPr="008A0138" w:rsidRDefault="004D1E4B" w:rsidP="007E085B">
            <w:pPr>
              <w:pStyle w:val="TableText0"/>
              <w:jc w:val="center"/>
              <w:rPr>
                <w:szCs w:val="20"/>
              </w:rPr>
            </w:pPr>
            <w:r w:rsidRPr="008A0138">
              <w:rPr>
                <w:szCs w:val="20"/>
              </w:rPr>
              <w:t>N=206</w:t>
            </w:r>
          </w:p>
        </w:tc>
      </w:tr>
      <w:tr w:rsidR="004D1E4B" w:rsidRPr="008A0138" w:rsidTr="008A0138">
        <w:tc>
          <w:tcPr>
            <w:tcW w:w="1159" w:type="pct"/>
            <w:vAlign w:val="center"/>
          </w:tcPr>
          <w:p w:rsidR="004D1E4B" w:rsidRPr="008A0138" w:rsidRDefault="004D1E4B" w:rsidP="007E085B">
            <w:pPr>
              <w:pStyle w:val="TableText0"/>
              <w:rPr>
                <w:szCs w:val="20"/>
              </w:rPr>
            </w:pPr>
            <w:r w:rsidRPr="008A0138">
              <w:rPr>
                <w:szCs w:val="20"/>
              </w:rPr>
              <w:t>Patients with event, n (%)</w:t>
            </w:r>
          </w:p>
        </w:tc>
        <w:tc>
          <w:tcPr>
            <w:tcW w:w="960" w:type="pct"/>
            <w:vAlign w:val="center"/>
          </w:tcPr>
          <w:p w:rsidR="004D1E4B" w:rsidRPr="008A0138" w:rsidRDefault="004D1E4B" w:rsidP="007E085B">
            <w:pPr>
              <w:pStyle w:val="TableText0"/>
              <w:jc w:val="center"/>
              <w:rPr>
                <w:szCs w:val="20"/>
              </w:rPr>
            </w:pPr>
            <w:r w:rsidRPr="008A0138">
              <w:rPr>
                <w:szCs w:val="20"/>
              </w:rPr>
              <w:t>190 (52.6%)</w:t>
            </w:r>
          </w:p>
        </w:tc>
        <w:tc>
          <w:tcPr>
            <w:tcW w:w="961" w:type="pct"/>
            <w:vAlign w:val="center"/>
          </w:tcPr>
          <w:p w:rsidR="004D1E4B" w:rsidRPr="008A0138" w:rsidRDefault="004D1E4B" w:rsidP="007E085B">
            <w:pPr>
              <w:pStyle w:val="TableText0"/>
              <w:jc w:val="center"/>
              <w:rPr>
                <w:szCs w:val="20"/>
              </w:rPr>
            </w:pPr>
            <w:r w:rsidRPr="008A0138">
              <w:rPr>
                <w:szCs w:val="20"/>
              </w:rPr>
              <w:t>242 (67.6%)</w:t>
            </w:r>
          </w:p>
        </w:tc>
        <w:tc>
          <w:tcPr>
            <w:tcW w:w="960" w:type="pct"/>
            <w:vAlign w:val="center"/>
          </w:tcPr>
          <w:p w:rsidR="004D1E4B" w:rsidRPr="008A0138" w:rsidRDefault="004D1E4B" w:rsidP="007E085B">
            <w:pPr>
              <w:pStyle w:val="TableText0"/>
              <w:jc w:val="center"/>
              <w:rPr>
                <w:szCs w:val="20"/>
              </w:rPr>
            </w:pPr>
            <w:r w:rsidRPr="008A0138">
              <w:rPr>
                <w:szCs w:val="20"/>
              </w:rPr>
              <w:t>213 (52.0%)</w:t>
            </w:r>
          </w:p>
        </w:tc>
        <w:tc>
          <w:tcPr>
            <w:tcW w:w="960" w:type="pct"/>
            <w:vAlign w:val="center"/>
          </w:tcPr>
          <w:p w:rsidR="004D1E4B" w:rsidRPr="008A0138" w:rsidRDefault="004D1E4B" w:rsidP="007E085B">
            <w:pPr>
              <w:pStyle w:val="TableText0"/>
              <w:jc w:val="center"/>
              <w:rPr>
                <w:szCs w:val="20"/>
              </w:rPr>
            </w:pPr>
            <w:r w:rsidRPr="008A0138">
              <w:rPr>
                <w:szCs w:val="20"/>
              </w:rPr>
              <w:t>144 (69.9%)</w:t>
            </w:r>
          </w:p>
        </w:tc>
      </w:tr>
      <w:tr w:rsidR="004D1E4B" w:rsidRPr="008A0138" w:rsidTr="008A0138">
        <w:tc>
          <w:tcPr>
            <w:tcW w:w="1159" w:type="pct"/>
            <w:vAlign w:val="center"/>
          </w:tcPr>
          <w:p w:rsidR="004D1E4B" w:rsidRPr="008A0138" w:rsidRDefault="004D1E4B" w:rsidP="007E085B">
            <w:pPr>
              <w:pStyle w:val="TableText0"/>
              <w:rPr>
                <w:szCs w:val="20"/>
              </w:rPr>
            </w:pPr>
            <w:r w:rsidRPr="008A0138">
              <w:rPr>
                <w:szCs w:val="20"/>
              </w:rPr>
              <w:t>Median OS (95%CI), months</w:t>
            </w:r>
          </w:p>
        </w:tc>
        <w:tc>
          <w:tcPr>
            <w:tcW w:w="960" w:type="pct"/>
            <w:vAlign w:val="center"/>
          </w:tcPr>
          <w:p w:rsidR="004D1E4B" w:rsidRPr="008A0138" w:rsidRDefault="004D1E4B" w:rsidP="007E085B">
            <w:pPr>
              <w:pStyle w:val="TableText0"/>
              <w:jc w:val="center"/>
              <w:rPr>
                <w:szCs w:val="20"/>
              </w:rPr>
            </w:pPr>
            <w:r w:rsidRPr="008A0138">
              <w:rPr>
                <w:szCs w:val="20"/>
              </w:rPr>
              <w:t>15.6 (13.9, 20.0)</w:t>
            </w:r>
          </w:p>
        </w:tc>
        <w:tc>
          <w:tcPr>
            <w:tcW w:w="961" w:type="pct"/>
            <w:vAlign w:val="center"/>
          </w:tcPr>
          <w:p w:rsidR="004D1E4B" w:rsidRPr="008A0138" w:rsidRDefault="004D1E4B" w:rsidP="007E085B">
            <w:pPr>
              <w:pStyle w:val="TableText0"/>
              <w:jc w:val="center"/>
              <w:rPr>
                <w:szCs w:val="20"/>
              </w:rPr>
            </w:pPr>
            <w:r w:rsidRPr="008A0138">
              <w:rPr>
                <w:szCs w:val="20"/>
              </w:rPr>
              <w:t>10.9 (9.5, 12.6)</w:t>
            </w:r>
          </w:p>
        </w:tc>
        <w:tc>
          <w:tcPr>
            <w:tcW w:w="960" w:type="pct"/>
            <w:vAlign w:val="center"/>
          </w:tcPr>
          <w:p w:rsidR="004D1E4B" w:rsidRPr="008A0138" w:rsidRDefault="004D1E4B" w:rsidP="007E085B">
            <w:pPr>
              <w:pStyle w:val="TableText0"/>
              <w:jc w:val="center"/>
              <w:rPr>
                <w:szCs w:val="20"/>
              </w:rPr>
            </w:pPr>
            <w:r w:rsidRPr="008A0138">
              <w:rPr>
                <w:szCs w:val="20"/>
              </w:rPr>
              <w:t>22.0 (19.5, 25.2)</w:t>
            </w:r>
          </w:p>
        </w:tc>
        <w:tc>
          <w:tcPr>
            <w:tcW w:w="960" w:type="pct"/>
            <w:vAlign w:val="center"/>
          </w:tcPr>
          <w:p w:rsidR="004D1E4B" w:rsidRPr="008A0138" w:rsidRDefault="004D1E4B" w:rsidP="007E085B">
            <w:pPr>
              <w:pStyle w:val="TableText0"/>
              <w:jc w:val="center"/>
              <w:rPr>
                <w:szCs w:val="20"/>
              </w:rPr>
            </w:pPr>
            <w:r w:rsidRPr="008A0138">
              <w:rPr>
                <w:szCs w:val="20"/>
              </w:rPr>
              <w:t>10.7 (8.7, 13.6)</w:t>
            </w:r>
          </w:p>
        </w:tc>
      </w:tr>
      <w:tr w:rsidR="004D1E4B" w:rsidRPr="008A0138" w:rsidTr="008A0138">
        <w:tc>
          <w:tcPr>
            <w:tcW w:w="1159" w:type="pct"/>
            <w:tcBorders>
              <w:bottom w:val="single" w:sz="4" w:space="0" w:color="auto"/>
            </w:tcBorders>
            <w:vAlign w:val="center"/>
          </w:tcPr>
          <w:p w:rsidR="004D1E4B" w:rsidRPr="008A0138" w:rsidRDefault="004D1E4B" w:rsidP="007E085B">
            <w:pPr>
              <w:pStyle w:val="TableText0"/>
              <w:rPr>
                <w:szCs w:val="20"/>
              </w:rPr>
            </w:pPr>
            <w:r w:rsidRPr="008A0138">
              <w:rPr>
                <w:szCs w:val="20"/>
              </w:rPr>
              <w:t>HR (95%CI)</w:t>
            </w:r>
          </w:p>
        </w:tc>
        <w:tc>
          <w:tcPr>
            <w:tcW w:w="1921" w:type="pct"/>
            <w:gridSpan w:val="2"/>
            <w:tcBorders>
              <w:bottom w:val="single" w:sz="4" w:space="0" w:color="auto"/>
            </w:tcBorders>
            <w:vAlign w:val="center"/>
          </w:tcPr>
          <w:p w:rsidR="004D1E4B" w:rsidRPr="008A0138" w:rsidRDefault="004D1E4B" w:rsidP="007E085B">
            <w:pPr>
              <w:pStyle w:val="TableText0"/>
              <w:jc w:val="center"/>
              <w:rPr>
                <w:szCs w:val="20"/>
              </w:rPr>
            </w:pPr>
            <w:r w:rsidRPr="008A0138">
              <w:rPr>
                <w:szCs w:val="20"/>
              </w:rPr>
              <w:t>0.66 (0.55, 0.80)</w:t>
            </w:r>
          </w:p>
        </w:tc>
        <w:tc>
          <w:tcPr>
            <w:tcW w:w="1920" w:type="pct"/>
            <w:gridSpan w:val="2"/>
            <w:tcBorders>
              <w:bottom w:val="single" w:sz="4" w:space="0" w:color="auto"/>
            </w:tcBorders>
          </w:tcPr>
          <w:p w:rsidR="004D1E4B" w:rsidRPr="008A0138" w:rsidRDefault="004D1E4B" w:rsidP="007E085B">
            <w:pPr>
              <w:pStyle w:val="TableText0"/>
              <w:jc w:val="center"/>
              <w:rPr>
                <w:szCs w:val="20"/>
              </w:rPr>
            </w:pPr>
            <w:r w:rsidRPr="008A0138">
              <w:rPr>
                <w:szCs w:val="20"/>
              </w:rPr>
              <w:t>0.56 (0.45, 0.70)</w:t>
            </w:r>
          </w:p>
        </w:tc>
      </w:tr>
      <w:tr w:rsidR="004D1E4B" w:rsidRPr="008A0138" w:rsidTr="008A0138">
        <w:tc>
          <w:tcPr>
            <w:tcW w:w="1159" w:type="pct"/>
            <w:tcBorders>
              <w:bottom w:val="single" w:sz="4" w:space="0" w:color="auto"/>
            </w:tcBorders>
            <w:vAlign w:val="center"/>
          </w:tcPr>
          <w:p w:rsidR="004D1E4B" w:rsidRPr="008A0138" w:rsidRDefault="004D1E4B" w:rsidP="007E085B">
            <w:pPr>
              <w:pStyle w:val="TableText0"/>
              <w:rPr>
                <w:szCs w:val="20"/>
              </w:rPr>
            </w:pPr>
            <w:r w:rsidRPr="008A0138">
              <w:rPr>
                <w:szCs w:val="20"/>
              </w:rPr>
              <w:t>12-month OS rate</w:t>
            </w:r>
          </w:p>
        </w:tc>
        <w:tc>
          <w:tcPr>
            <w:tcW w:w="960" w:type="pct"/>
            <w:tcBorders>
              <w:bottom w:val="single" w:sz="4" w:space="0" w:color="auto"/>
            </w:tcBorders>
            <w:vAlign w:val="center"/>
          </w:tcPr>
          <w:p w:rsidR="004D1E4B" w:rsidRPr="008A0138" w:rsidRDefault="004D1E4B" w:rsidP="007E085B">
            <w:pPr>
              <w:pStyle w:val="TableText0"/>
              <w:jc w:val="center"/>
              <w:rPr>
                <w:szCs w:val="20"/>
              </w:rPr>
            </w:pPr>
            <w:r w:rsidRPr="008A0138">
              <w:rPr>
                <w:szCs w:val="20"/>
              </w:rPr>
              <w:t>62.9%</w:t>
            </w:r>
          </w:p>
        </w:tc>
        <w:tc>
          <w:tcPr>
            <w:tcW w:w="961" w:type="pct"/>
            <w:tcBorders>
              <w:bottom w:val="single" w:sz="4" w:space="0" w:color="auto"/>
            </w:tcBorders>
            <w:vAlign w:val="center"/>
          </w:tcPr>
          <w:p w:rsidR="004D1E4B" w:rsidRPr="008A0138" w:rsidRDefault="004D1E4B" w:rsidP="007E085B">
            <w:pPr>
              <w:pStyle w:val="TableText0"/>
              <w:jc w:val="center"/>
              <w:rPr>
                <w:szCs w:val="20"/>
              </w:rPr>
            </w:pPr>
            <w:r w:rsidRPr="008A0138">
              <w:rPr>
                <w:szCs w:val="20"/>
              </w:rPr>
              <w:t>46.9%</w:t>
            </w:r>
          </w:p>
        </w:tc>
        <w:tc>
          <w:tcPr>
            <w:tcW w:w="960" w:type="pct"/>
            <w:tcBorders>
              <w:bottom w:val="single" w:sz="4" w:space="0" w:color="auto"/>
            </w:tcBorders>
            <w:vAlign w:val="center"/>
          </w:tcPr>
          <w:p w:rsidR="004D1E4B" w:rsidRPr="008A0138" w:rsidRDefault="004D1E4B" w:rsidP="007E085B">
            <w:pPr>
              <w:pStyle w:val="TableText0"/>
              <w:jc w:val="center"/>
              <w:rPr>
                <w:szCs w:val="20"/>
              </w:rPr>
            </w:pPr>
            <w:r w:rsidRPr="008A0138">
              <w:rPr>
                <w:szCs w:val="20"/>
              </w:rPr>
              <w:t>70.0%</w:t>
            </w:r>
          </w:p>
        </w:tc>
        <w:tc>
          <w:tcPr>
            <w:tcW w:w="960" w:type="pct"/>
            <w:tcBorders>
              <w:bottom w:val="single" w:sz="4" w:space="0" w:color="auto"/>
            </w:tcBorders>
            <w:vAlign w:val="center"/>
          </w:tcPr>
          <w:p w:rsidR="004D1E4B" w:rsidRPr="008A0138" w:rsidRDefault="004D1E4B" w:rsidP="007E085B">
            <w:pPr>
              <w:pStyle w:val="TableText0"/>
              <w:jc w:val="center"/>
              <w:rPr>
                <w:szCs w:val="20"/>
              </w:rPr>
            </w:pPr>
            <w:r w:rsidRPr="008A0138">
              <w:rPr>
                <w:szCs w:val="20"/>
              </w:rPr>
              <w:t>48.1%</w:t>
            </w:r>
          </w:p>
        </w:tc>
      </w:tr>
      <w:tr w:rsidR="004D1E4B" w:rsidRPr="008A0138" w:rsidTr="008A0138">
        <w:tc>
          <w:tcPr>
            <w:tcW w:w="3080" w:type="pct"/>
            <w:gridSpan w:val="3"/>
            <w:tcBorders>
              <w:top w:val="single" w:sz="4" w:space="0" w:color="auto"/>
              <w:bottom w:val="double" w:sz="4" w:space="0" w:color="auto"/>
            </w:tcBorders>
            <w:vAlign w:val="center"/>
          </w:tcPr>
          <w:p w:rsidR="004D1E4B" w:rsidRPr="008A0138" w:rsidRDefault="004D1E4B" w:rsidP="007E085B">
            <w:pPr>
              <w:pStyle w:val="TableText0"/>
              <w:rPr>
                <w:b/>
                <w:szCs w:val="20"/>
                <w:vertAlign w:val="superscript"/>
              </w:rPr>
            </w:pPr>
            <w:r w:rsidRPr="008A0138">
              <w:rPr>
                <w:b/>
                <w:szCs w:val="20"/>
              </w:rPr>
              <w:t>Indirect estimate of effect, HR (95% CI)</w:t>
            </w:r>
            <w:r w:rsidRPr="008A0138">
              <w:rPr>
                <w:b/>
                <w:szCs w:val="20"/>
                <w:vertAlign w:val="superscript"/>
              </w:rPr>
              <w:t>a</w:t>
            </w:r>
          </w:p>
        </w:tc>
        <w:tc>
          <w:tcPr>
            <w:tcW w:w="1920" w:type="pct"/>
            <w:gridSpan w:val="2"/>
            <w:tcBorders>
              <w:top w:val="single" w:sz="4" w:space="0" w:color="auto"/>
              <w:bottom w:val="double" w:sz="4" w:space="0" w:color="auto"/>
            </w:tcBorders>
            <w:vAlign w:val="center"/>
          </w:tcPr>
          <w:p w:rsidR="004D1E4B" w:rsidRPr="008A0138" w:rsidRDefault="004D1E4B" w:rsidP="007E085B">
            <w:pPr>
              <w:pStyle w:val="TableText0"/>
              <w:jc w:val="center"/>
              <w:rPr>
                <w:b/>
                <w:szCs w:val="20"/>
              </w:rPr>
            </w:pPr>
            <w:r w:rsidRPr="008A0138">
              <w:rPr>
                <w:b/>
                <w:szCs w:val="20"/>
              </w:rPr>
              <w:t>1.18 (0.88, 1.58)</w:t>
            </w:r>
          </w:p>
        </w:tc>
      </w:tr>
      <w:tr w:rsidR="004D1E4B" w:rsidRPr="008A0138" w:rsidTr="008A0138">
        <w:tc>
          <w:tcPr>
            <w:tcW w:w="5000" w:type="pct"/>
            <w:gridSpan w:val="5"/>
            <w:vAlign w:val="center"/>
          </w:tcPr>
          <w:p w:rsidR="004D1E4B" w:rsidRPr="008A0138" w:rsidRDefault="004D1E4B" w:rsidP="007E085B">
            <w:pPr>
              <w:pStyle w:val="TableText0"/>
              <w:rPr>
                <w:b/>
                <w:szCs w:val="20"/>
              </w:rPr>
            </w:pPr>
            <w:r w:rsidRPr="008A0138">
              <w:rPr>
                <w:b/>
                <w:bCs w:val="0"/>
                <w:szCs w:val="20"/>
              </w:rPr>
              <w:t>Supplementary analysis: non-squamous subgroup CM9LA</w:t>
            </w:r>
          </w:p>
        </w:tc>
      </w:tr>
      <w:tr w:rsidR="004D1E4B" w:rsidRPr="008A0138" w:rsidTr="008A0138">
        <w:tc>
          <w:tcPr>
            <w:tcW w:w="1159" w:type="pct"/>
            <w:vAlign w:val="center"/>
          </w:tcPr>
          <w:p w:rsidR="004D1E4B" w:rsidRPr="008A0138" w:rsidRDefault="004D1E4B" w:rsidP="007E085B">
            <w:pPr>
              <w:pStyle w:val="TableText0"/>
              <w:rPr>
                <w:b/>
                <w:bCs w:val="0"/>
                <w:szCs w:val="20"/>
              </w:rPr>
            </w:pPr>
            <w:r w:rsidRPr="008A0138">
              <w:rPr>
                <w:szCs w:val="20"/>
              </w:rPr>
              <w:t>Median follow-up</w:t>
            </w:r>
          </w:p>
        </w:tc>
        <w:tc>
          <w:tcPr>
            <w:tcW w:w="960" w:type="pct"/>
            <w:vAlign w:val="center"/>
          </w:tcPr>
          <w:p w:rsidR="004D1E4B" w:rsidRPr="008A0138" w:rsidRDefault="004D1E4B" w:rsidP="007E085B">
            <w:pPr>
              <w:pStyle w:val="TableText0"/>
              <w:jc w:val="center"/>
              <w:rPr>
                <w:szCs w:val="20"/>
                <w:vertAlign w:val="superscript"/>
              </w:rPr>
            </w:pPr>
            <w:r w:rsidRPr="008A0138">
              <w:rPr>
                <w:szCs w:val="20"/>
              </w:rPr>
              <w:t xml:space="preserve">14.2 </w:t>
            </w:r>
            <w:proofErr w:type="spellStart"/>
            <w:r w:rsidRPr="008A0138">
              <w:rPr>
                <w:szCs w:val="20"/>
              </w:rPr>
              <w:t>months</w:t>
            </w:r>
            <w:r w:rsidRPr="008A0138">
              <w:rPr>
                <w:szCs w:val="20"/>
                <w:vertAlign w:val="superscript"/>
              </w:rPr>
              <w:t>b</w:t>
            </w:r>
            <w:proofErr w:type="spellEnd"/>
          </w:p>
        </w:tc>
        <w:tc>
          <w:tcPr>
            <w:tcW w:w="961" w:type="pct"/>
            <w:vAlign w:val="center"/>
          </w:tcPr>
          <w:p w:rsidR="004D1E4B" w:rsidRPr="008A0138" w:rsidRDefault="004D1E4B" w:rsidP="007E085B">
            <w:pPr>
              <w:pStyle w:val="TableText0"/>
              <w:jc w:val="center"/>
              <w:rPr>
                <w:szCs w:val="20"/>
                <w:vertAlign w:val="superscript"/>
              </w:rPr>
            </w:pPr>
            <w:r w:rsidRPr="008A0138">
              <w:rPr>
                <w:szCs w:val="20"/>
              </w:rPr>
              <w:t xml:space="preserve">10.9 </w:t>
            </w:r>
            <w:proofErr w:type="spellStart"/>
            <w:r w:rsidRPr="008A0138">
              <w:rPr>
                <w:szCs w:val="20"/>
              </w:rPr>
              <w:t>months</w:t>
            </w:r>
            <w:r w:rsidRPr="008A0138">
              <w:rPr>
                <w:szCs w:val="20"/>
                <w:vertAlign w:val="superscript"/>
              </w:rPr>
              <w:t>b</w:t>
            </w:r>
            <w:proofErr w:type="spellEnd"/>
          </w:p>
        </w:tc>
        <w:tc>
          <w:tcPr>
            <w:tcW w:w="1920" w:type="pct"/>
            <w:gridSpan w:val="2"/>
            <w:vAlign w:val="center"/>
          </w:tcPr>
          <w:p w:rsidR="004D1E4B" w:rsidRPr="008A0138" w:rsidRDefault="004D1E4B" w:rsidP="007E085B">
            <w:pPr>
              <w:pStyle w:val="TableText0"/>
              <w:jc w:val="center"/>
              <w:rPr>
                <w:szCs w:val="20"/>
                <w:vertAlign w:val="superscript"/>
              </w:rPr>
            </w:pPr>
            <w:r w:rsidRPr="008A0138">
              <w:rPr>
                <w:szCs w:val="20"/>
              </w:rPr>
              <w:t xml:space="preserve">23.1 </w:t>
            </w:r>
            <w:proofErr w:type="spellStart"/>
            <w:r w:rsidRPr="008A0138">
              <w:rPr>
                <w:szCs w:val="20"/>
              </w:rPr>
              <w:t>months</w:t>
            </w:r>
            <w:r w:rsidRPr="008A0138">
              <w:rPr>
                <w:szCs w:val="20"/>
                <w:vertAlign w:val="superscript"/>
              </w:rPr>
              <w:t>c</w:t>
            </w:r>
            <w:proofErr w:type="spellEnd"/>
          </w:p>
        </w:tc>
      </w:tr>
      <w:tr w:rsidR="004D1E4B" w:rsidRPr="008A0138" w:rsidTr="008A0138">
        <w:tc>
          <w:tcPr>
            <w:tcW w:w="1159" w:type="pct"/>
            <w:vAlign w:val="center"/>
          </w:tcPr>
          <w:p w:rsidR="004D1E4B" w:rsidRPr="008A0138" w:rsidRDefault="004D1E4B" w:rsidP="007E085B">
            <w:pPr>
              <w:pStyle w:val="TableText0"/>
              <w:rPr>
                <w:bCs w:val="0"/>
                <w:szCs w:val="20"/>
              </w:rPr>
            </w:pPr>
            <w:r w:rsidRPr="008A0138">
              <w:rPr>
                <w:bCs w:val="0"/>
                <w:szCs w:val="20"/>
              </w:rPr>
              <w:t>Population</w:t>
            </w:r>
          </w:p>
        </w:tc>
        <w:tc>
          <w:tcPr>
            <w:tcW w:w="1921" w:type="pct"/>
            <w:gridSpan w:val="2"/>
            <w:vAlign w:val="center"/>
          </w:tcPr>
          <w:p w:rsidR="004D1E4B" w:rsidRPr="008A0138" w:rsidRDefault="004D1E4B" w:rsidP="007E085B">
            <w:pPr>
              <w:pStyle w:val="TableText0"/>
              <w:jc w:val="center"/>
              <w:rPr>
                <w:szCs w:val="20"/>
              </w:rPr>
            </w:pPr>
            <w:r w:rsidRPr="008A0138">
              <w:rPr>
                <w:szCs w:val="20"/>
              </w:rPr>
              <w:t>Non-squamous subgroup</w:t>
            </w:r>
          </w:p>
        </w:tc>
        <w:tc>
          <w:tcPr>
            <w:tcW w:w="1920" w:type="pct"/>
            <w:gridSpan w:val="2"/>
            <w:vAlign w:val="center"/>
          </w:tcPr>
          <w:p w:rsidR="004D1E4B" w:rsidRPr="008A0138" w:rsidRDefault="004D1E4B" w:rsidP="007E085B">
            <w:pPr>
              <w:pStyle w:val="TableText0"/>
              <w:jc w:val="center"/>
              <w:rPr>
                <w:szCs w:val="20"/>
              </w:rPr>
            </w:pPr>
            <w:r w:rsidRPr="008A0138">
              <w:rPr>
                <w:szCs w:val="20"/>
              </w:rPr>
              <w:t>Non-squamous</w:t>
            </w:r>
          </w:p>
        </w:tc>
      </w:tr>
      <w:tr w:rsidR="004D1E4B" w:rsidRPr="008A0138" w:rsidTr="008A0138">
        <w:tc>
          <w:tcPr>
            <w:tcW w:w="1159" w:type="pct"/>
            <w:vAlign w:val="center"/>
          </w:tcPr>
          <w:p w:rsidR="004D1E4B" w:rsidRPr="008A0138" w:rsidRDefault="004D1E4B" w:rsidP="007E085B">
            <w:pPr>
              <w:pStyle w:val="TableText0"/>
              <w:rPr>
                <w:b/>
                <w:bCs w:val="0"/>
                <w:szCs w:val="20"/>
              </w:rPr>
            </w:pPr>
          </w:p>
        </w:tc>
        <w:tc>
          <w:tcPr>
            <w:tcW w:w="960" w:type="pct"/>
            <w:vAlign w:val="center"/>
          </w:tcPr>
          <w:p w:rsidR="004D1E4B" w:rsidRPr="008A0138" w:rsidRDefault="004D1E4B" w:rsidP="007E085B">
            <w:pPr>
              <w:pStyle w:val="TableText0"/>
              <w:jc w:val="center"/>
              <w:rPr>
                <w:szCs w:val="20"/>
              </w:rPr>
            </w:pPr>
            <w:r w:rsidRPr="008A0138">
              <w:rPr>
                <w:szCs w:val="20"/>
              </w:rPr>
              <w:t>N=246</w:t>
            </w:r>
          </w:p>
        </w:tc>
        <w:tc>
          <w:tcPr>
            <w:tcW w:w="961" w:type="pct"/>
            <w:vAlign w:val="center"/>
          </w:tcPr>
          <w:p w:rsidR="004D1E4B" w:rsidRPr="008A0138" w:rsidRDefault="004D1E4B" w:rsidP="007E085B">
            <w:pPr>
              <w:pStyle w:val="TableText0"/>
              <w:jc w:val="center"/>
              <w:rPr>
                <w:szCs w:val="20"/>
              </w:rPr>
            </w:pPr>
            <w:r w:rsidRPr="008A0138">
              <w:rPr>
                <w:szCs w:val="20"/>
              </w:rPr>
              <w:t>N=246</w:t>
            </w:r>
          </w:p>
        </w:tc>
        <w:tc>
          <w:tcPr>
            <w:tcW w:w="960" w:type="pct"/>
            <w:vAlign w:val="center"/>
          </w:tcPr>
          <w:p w:rsidR="004D1E4B" w:rsidRPr="008A0138" w:rsidRDefault="004D1E4B" w:rsidP="007E085B">
            <w:pPr>
              <w:pStyle w:val="TableText0"/>
              <w:jc w:val="center"/>
              <w:rPr>
                <w:szCs w:val="20"/>
              </w:rPr>
            </w:pPr>
            <w:r w:rsidRPr="008A0138">
              <w:rPr>
                <w:szCs w:val="20"/>
              </w:rPr>
              <w:t>N=410</w:t>
            </w:r>
          </w:p>
        </w:tc>
        <w:tc>
          <w:tcPr>
            <w:tcW w:w="960" w:type="pct"/>
            <w:vAlign w:val="center"/>
          </w:tcPr>
          <w:p w:rsidR="004D1E4B" w:rsidRPr="008A0138" w:rsidRDefault="004D1E4B" w:rsidP="007E085B">
            <w:pPr>
              <w:pStyle w:val="TableText0"/>
              <w:jc w:val="center"/>
              <w:rPr>
                <w:szCs w:val="20"/>
              </w:rPr>
            </w:pPr>
            <w:r w:rsidRPr="008A0138">
              <w:rPr>
                <w:szCs w:val="20"/>
              </w:rPr>
              <w:t>N=206</w:t>
            </w:r>
          </w:p>
        </w:tc>
      </w:tr>
      <w:tr w:rsidR="004D1E4B" w:rsidRPr="008A0138" w:rsidTr="008A0138">
        <w:tc>
          <w:tcPr>
            <w:tcW w:w="1159" w:type="pct"/>
            <w:vAlign w:val="center"/>
          </w:tcPr>
          <w:p w:rsidR="004D1E4B" w:rsidRPr="008A0138" w:rsidRDefault="004D1E4B" w:rsidP="007E085B">
            <w:pPr>
              <w:pStyle w:val="TableText0"/>
              <w:rPr>
                <w:szCs w:val="20"/>
              </w:rPr>
            </w:pPr>
            <w:r w:rsidRPr="008A0138">
              <w:rPr>
                <w:szCs w:val="20"/>
              </w:rPr>
              <w:t>Patients with event, n (%)</w:t>
            </w:r>
          </w:p>
        </w:tc>
        <w:tc>
          <w:tcPr>
            <w:tcW w:w="960" w:type="pct"/>
            <w:vAlign w:val="center"/>
          </w:tcPr>
          <w:p w:rsidR="004D1E4B" w:rsidRPr="008A0138" w:rsidRDefault="004D1E4B" w:rsidP="007E085B">
            <w:pPr>
              <w:pStyle w:val="TableText0"/>
              <w:jc w:val="center"/>
              <w:rPr>
                <w:szCs w:val="20"/>
              </w:rPr>
            </w:pPr>
            <w:r w:rsidRPr="008A0138">
              <w:rPr>
                <w:szCs w:val="20"/>
              </w:rPr>
              <w:t>124 (50.4%)</w:t>
            </w:r>
          </w:p>
        </w:tc>
        <w:tc>
          <w:tcPr>
            <w:tcW w:w="961" w:type="pct"/>
            <w:vAlign w:val="center"/>
          </w:tcPr>
          <w:p w:rsidR="004D1E4B" w:rsidRPr="008A0138" w:rsidRDefault="004D1E4B" w:rsidP="007E085B">
            <w:pPr>
              <w:pStyle w:val="TableText0"/>
              <w:jc w:val="center"/>
              <w:rPr>
                <w:szCs w:val="20"/>
              </w:rPr>
            </w:pPr>
            <w:r w:rsidRPr="008A0138">
              <w:rPr>
                <w:szCs w:val="20"/>
              </w:rPr>
              <w:t>159 (64.6%)</w:t>
            </w:r>
          </w:p>
        </w:tc>
        <w:tc>
          <w:tcPr>
            <w:tcW w:w="960" w:type="pct"/>
            <w:vAlign w:val="center"/>
          </w:tcPr>
          <w:p w:rsidR="004D1E4B" w:rsidRPr="008A0138" w:rsidRDefault="004D1E4B" w:rsidP="007E085B">
            <w:pPr>
              <w:pStyle w:val="TableText0"/>
              <w:jc w:val="center"/>
              <w:rPr>
                <w:szCs w:val="20"/>
              </w:rPr>
            </w:pPr>
            <w:r w:rsidRPr="008A0138">
              <w:rPr>
                <w:szCs w:val="20"/>
              </w:rPr>
              <w:t>213 (52.0%)</w:t>
            </w:r>
          </w:p>
        </w:tc>
        <w:tc>
          <w:tcPr>
            <w:tcW w:w="960" w:type="pct"/>
            <w:vAlign w:val="center"/>
          </w:tcPr>
          <w:p w:rsidR="004D1E4B" w:rsidRPr="008A0138" w:rsidRDefault="004D1E4B" w:rsidP="007E085B">
            <w:pPr>
              <w:pStyle w:val="TableText0"/>
              <w:jc w:val="center"/>
              <w:rPr>
                <w:szCs w:val="20"/>
              </w:rPr>
            </w:pPr>
            <w:r w:rsidRPr="008A0138">
              <w:rPr>
                <w:szCs w:val="20"/>
              </w:rPr>
              <w:t>144 (69.9%)</w:t>
            </w:r>
          </w:p>
        </w:tc>
      </w:tr>
      <w:tr w:rsidR="004D1E4B" w:rsidRPr="008A0138" w:rsidTr="008A0138">
        <w:tc>
          <w:tcPr>
            <w:tcW w:w="1159" w:type="pct"/>
            <w:vAlign w:val="center"/>
          </w:tcPr>
          <w:p w:rsidR="004D1E4B" w:rsidRPr="008A0138" w:rsidRDefault="004D1E4B" w:rsidP="007E085B">
            <w:pPr>
              <w:pStyle w:val="TableText0"/>
              <w:rPr>
                <w:szCs w:val="20"/>
              </w:rPr>
            </w:pPr>
            <w:r w:rsidRPr="008A0138">
              <w:rPr>
                <w:szCs w:val="20"/>
              </w:rPr>
              <w:t>Median OS (95%CI), months</w:t>
            </w:r>
          </w:p>
        </w:tc>
        <w:tc>
          <w:tcPr>
            <w:tcW w:w="960" w:type="pct"/>
            <w:vAlign w:val="center"/>
          </w:tcPr>
          <w:p w:rsidR="004D1E4B" w:rsidRPr="008A0138" w:rsidRDefault="004D1E4B" w:rsidP="007E085B">
            <w:pPr>
              <w:pStyle w:val="TableText0"/>
              <w:jc w:val="center"/>
              <w:rPr>
                <w:szCs w:val="20"/>
              </w:rPr>
            </w:pPr>
            <w:r w:rsidRPr="008A0138">
              <w:rPr>
                <w:szCs w:val="20"/>
              </w:rPr>
              <w:t>17.0 (14.0, NE)</w:t>
            </w:r>
          </w:p>
        </w:tc>
        <w:tc>
          <w:tcPr>
            <w:tcW w:w="961" w:type="pct"/>
            <w:vAlign w:val="center"/>
          </w:tcPr>
          <w:p w:rsidR="004D1E4B" w:rsidRPr="008A0138" w:rsidRDefault="004D1E4B" w:rsidP="007E085B">
            <w:pPr>
              <w:pStyle w:val="TableText0"/>
              <w:jc w:val="center"/>
              <w:rPr>
                <w:szCs w:val="20"/>
              </w:rPr>
            </w:pPr>
            <w:r w:rsidRPr="008A0138">
              <w:rPr>
                <w:szCs w:val="20"/>
              </w:rPr>
              <w:t>11.9 (9.9, 14.1)</w:t>
            </w:r>
          </w:p>
        </w:tc>
        <w:tc>
          <w:tcPr>
            <w:tcW w:w="960" w:type="pct"/>
            <w:vAlign w:val="center"/>
          </w:tcPr>
          <w:p w:rsidR="004D1E4B" w:rsidRPr="008A0138" w:rsidRDefault="004D1E4B" w:rsidP="007E085B">
            <w:pPr>
              <w:pStyle w:val="TableText0"/>
              <w:jc w:val="center"/>
              <w:rPr>
                <w:szCs w:val="20"/>
              </w:rPr>
            </w:pPr>
            <w:r w:rsidRPr="008A0138">
              <w:rPr>
                <w:szCs w:val="20"/>
              </w:rPr>
              <w:t>22.0 (19.5, 25.2)</w:t>
            </w:r>
          </w:p>
        </w:tc>
        <w:tc>
          <w:tcPr>
            <w:tcW w:w="960" w:type="pct"/>
            <w:vAlign w:val="center"/>
          </w:tcPr>
          <w:p w:rsidR="004D1E4B" w:rsidRPr="008A0138" w:rsidRDefault="004D1E4B" w:rsidP="007E085B">
            <w:pPr>
              <w:pStyle w:val="TableText0"/>
              <w:jc w:val="center"/>
              <w:rPr>
                <w:szCs w:val="20"/>
              </w:rPr>
            </w:pPr>
            <w:r w:rsidRPr="008A0138">
              <w:rPr>
                <w:szCs w:val="20"/>
              </w:rPr>
              <w:t>10.7 (8.7, 13.6)</w:t>
            </w:r>
          </w:p>
        </w:tc>
      </w:tr>
      <w:tr w:rsidR="004D1E4B" w:rsidRPr="008A0138" w:rsidTr="008A0138">
        <w:tc>
          <w:tcPr>
            <w:tcW w:w="1159" w:type="pct"/>
            <w:tcBorders>
              <w:bottom w:val="single" w:sz="4" w:space="0" w:color="auto"/>
            </w:tcBorders>
            <w:vAlign w:val="center"/>
          </w:tcPr>
          <w:p w:rsidR="004D1E4B" w:rsidRPr="008A0138" w:rsidRDefault="004D1E4B" w:rsidP="007E085B">
            <w:pPr>
              <w:pStyle w:val="TableText0"/>
              <w:rPr>
                <w:szCs w:val="20"/>
              </w:rPr>
            </w:pPr>
            <w:r w:rsidRPr="008A0138">
              <w:rPr>
                <w:szCs w:val="20"/>
              </w:rPr>
              <w:t>HR (95%CI)</w:t>
            </w:r>
          </w:p>
        </w:tc>
        <w:tc>
          <w:tcPr>
            <w:tcW w:w="1921" w:type="pct"/>
            <w:gridSpan w:val="2"/>
            <w:tcBorders>
              <w:bottom w:val="single" w:sz="4" w:space="0" w:color="auto"/>
            </w:tcBorders>
            <w:vAlign w:val="center"/>
          </w:tcPr>
          <w:p w:rsidR="004D1E4B" w:rsidRPr="008A0138" w:rsidRDefault="004D1E4B" w:rsidP="007E085B">
            <w:pPr>
              <w:pStyle w:val="TableText0"/>
              <w:jc w:val="center"/>
              <w:rPr>
                <w:szCs w:val="20"/>
              </w:rPr>
            </w:pPr>
            <w:r w:rsidRPr="008A0138">
              <w:rPr>
                <w:szCs w:val="20"/>
              </w:rPr>
              <w:t>0.69 (0.55, 0.87)</w:t>
            </w:r>
          </w:p>
        </w:tc>
        <w:tc>
          <w:tcPr>
            <w:tcW w:w="1920" w:type="pct"/>
            <w:gridSpan w:val="2"/>
            <w:tcBorders>
              <w:bottom w:val="single" w:sz="4" w:space="0" w:color="auto"/>
            </w:tcBorders>
          </w:tcPr>
          <w:p w:rsidR="004D1E4B" w:rsidRPr="008A0138" w:rsidRDefault="004D1E4B" w:rsidP="007E085B">
            <w:pPr>
              <w:pStyle w:val="TableText0"/>
              <w:jc w:val="center"/>
              <w:rPr>
                <w:szCs w:val="20"/>
              </w:rPr>
            </w:pPr>
            <w:r w:rsidRPr="008A0138">
              <w:rPr>
                <w:szCs w:val="20"/>
              </w:rPr>
              <w:t>0.56 (0.45, 0.70)</w:t>
            </w:r>
          </w:p>
        </w:tc>
      </w:tr>
      <w:tr w:rsidR="004D1E4B" w:rsidRPr="008A0138" w:rsidTr="008A0138">
        <w:tc>
          <w:tcPr>
            <w:tcW w:w="1159" w:type="pct"/>
            <w:tcBorders>
              <w:bottom w:val="single" w:sz="4" w:space="0" w:color="auto"/>
            </w:tcBorders>
            <w:vAlign w:val="center"/>
          </w:tcPr>
          <w:p w:rsidR="004D1E4B" w:rsidRPr="008A0138" w:rsidRDefault="004D1E4B" w:rsidP="007E085B">
            <w:pPr>
              <w:pStyle w:val="TableText0"/>
              <w:rPr>
                <w:szCs w:val="20"/>
              </w:rPr>
            </w:pPr>
            <w:r w:rsidRPr="008A0138">
              <w:rPr>
                <w:szCs w:val="20"/>
              </w:rPr>
              <w:t>12-month OS rate</w:t>
            </w:r>
          </w:p>
        </w:tc>
        <w:tc>
          <w:tcPr>
            <w:tcW w:w="960" w:type="pct"/>
            <w:tcBorders>
              <w:bottom w:val="single" w:sz="4" w:space="0" w:color="auto"/>
            </w:tcBorders>
            <w:vAlign w:val="center"/>
          </w:tcPr>
          <w:p w:rsidR="004D1E4B" w:rsidRPr="008A0138" w:rsidRDefault="004D1E4B" w:rsidP="007E085B">
            <w:pPr>
              <w:pStyle w:val="TableText0"/>
              <w:jc w:val="center"/>
              <w:rPr>
                <w:szCs w:val="20"/>
              </w:rPr>
            </w:pPr>
            <w:r w:rsidRPr="008A0138">
              <w:rPr>
                <w:szCs w:val="20"/>
              </w:rPr>
              <w:t>62.6%</w:t>
            </w:r>
          </w:p>
        </w:tc>
        <w:tc>
          <w:tcPr>
            <w:tcW w:w="961" w:type="pct"/>
            <w:tcBorders>
              <w:bottom w:val="single" w:sz="4" w:space="0" w:color="auto"/>
            </w:tcBorders>
            <w:vAlign w:val="center"/>
          </w:tcPr>
          <w:p w:rsidR="004D1E4B" w:rsidRPr="008A0138" w:rsidRDefault="004D1E4B" w:rsidP="007E085B">
            <w:pPr>
              <w:pStyle w:val="TableText0"/>
              <w:jc w:val="center"/>
              <w:rPr>
                <w:szCs w:val="20"/>
              </w:rPr>
            </w:pPr>
            <w:r w:rsidRPr="008A0138">
              <w:rPr>
                <w:szCs w:val="20"/>
              </w:rPr>
              <w:t>50.0%</w:t>
            </w:r>
          </w:p>
        </w:tc>
        <w:tc>
          <w:tcPr>
            <w:tcW w:w="960" w:type="pct"/>
            <w:tcBorders>
              <w:bottom w:val="single" w:sz="4" w:space="0" w:color="auto"/>
            </w:tcBorders>
            <w:vAlign w:val="center"/>
          </w:tcPr>
          <w:p w:rsidR="004D1E4B" w:rsidRPr="008A0138" w:rsidRDefault="004D1E4B" w:rsidP="007E085B">
            <w:pPr>
              <w:pStyle w:val="TableText0"/>
              <w:jc w:val="center"/>
              <w:rPr>
                <w:szCs w:val="20"/>
              </w:rPr>
            </w:pPr>
            <w:r w:rsidRPr="008A0138">
              <w:rPr>
                <w:szCs w:val="20"/>
              </w:rPr>
              <w:t>70.0%</w:t>
            </w:r>
          </w:p>
        </w:tc>
        <w:tc>
          <w:tcPr>
            <w:tcW w:w="960" w:type="pct"/>
            <w:tcBorders>
              <w:bottom w:val="single" w:sz="4" w:space="0" w:color="auto"/>
            </w:tcBorders>
            <w:vAlign w:val="center"/>
          </w:tcPr>
          <w:p w:rsidR="004D1E4B" w:rsidRPr="008A0138" w:rsidRDefault="004D1E4B" w:rsidP="007E085B">
            <w:pPr>
              <w:pStyle w:val="TableText0"/>
              <w:jc w:val="center"/>
              <w:rPr>
                <w:szCs w:val="20"/>
              </w:rPr>
            </w:pPr>
            <w:r w:rsidRPr="008A0138">
              <w:rPr>
                <w:szCs w:val="20"/>
              </w:rPr>
              <w:t>48.1%</w:t>
            </w:r>
          </w:p>
        </w:tc>
      </w:tr>
      <w:tr w:rsidR="004D1E4B" w:rsidRPr="008A0138" w:rsidTr="008A0138">
        <w:tc>
          <w:tcPr>
            <w:tcW w:w="3080" w:type="pct"/>
            <w:gridSpan w:val="3"/>
            <w:tcBorders>
              <w:top w:val="single" w:sz="4" w:space="0" w:color="auto"/>
              <w:bottom w:val="single" w:sz="4" w:space="0" w:color="auto"/>
            </w:tcBorders>
            <w:vAlign w:val="center"/>
          </w:tcPr>
          <w:p w:rsidR="004D1E4B" w:rsidRPr="008A0138" w:rsidRDefault="004D1E4B" w:rsidP="007E085B">
            <w:pPr>
              <w:pStyle w:val="TableText0"/>
              <w:rPr>
                <w:b/>
                <w:szCs w:val="20"/>
              </w:rPr>
            </w:pPr>
            <w:r w:rsidRPr="008A0138">
              <w:rPr>
                <w:b/>
                <w:szCs w:val="20"/>
              </w:rPr>
              <w:t>Indirect estimate of effect, HR (95% CI)</w:t>
            </w:r>
            <w:r w:rsidRPr="008A0138">
              <w:rPr>
                <w:b/>
                <w:szCs w:val="20"/>
                <w:vertAlign w:val="superscript"/>
              </w:rPr>
              <w:t>a</w:t>
            </w:r>
          </w:p>
        </w:tc>
        <w:tc>
          <w:tcPr>
            <w:tcW w:w="1920" w:type="pct"/>
            <w:gridSpan w:val="2"/>
            <w:tcBorders>
              <w:top w:val="single" w:sz="4" w:space="0" w:color="auto"/>
              <w:bottom w:val="single" w:sz="4" w:space="0" w:color="auto"/>
            </w:tcBorders>
            <w:vAlign w:val="center"/>
          </w:tcPr>
          <w:p w:rsidR="004D1E4B" w:rsidRPr="008A0138" w:rsidRDefault="004D1E4B" w:rsidP="007E085B">
            <w:pPr>
              <w:pStyle w:val="TableText0"/>
              <w:jc w:val="center"/>
              <w:rPr>
                <w:b/>
                <w:szCs w:val="20"/>
              </w:rPr>
            </w:pPr>
            <w:r w:rsidRPr="008A0138">
              <w:rPr>
                <w:b/>
                <w:szCs w:val="20"/>
              </w:rPr>
              <w:t>1.23 (0.90, 1.69)</w:t>
            </w:r>
          </w:p>
        </w:tc>
      </w:tr>
      <w:tr w:rsidR="004D1E4B" w:rsidRPr="008A0138" w:rsidTr="008A0138">
        <w:tc>
          <w:tcPr>
            <w:tcW w:w="5000" w:type="pct"/>
            <w:gridSpan w:val="5"/>
            <w:vAlign w:val="center"/>
          </w:tcPr>
          <w:p w:rsidR="004D1E4B" w:rsidRPr="00BD17CE" w:rsidRDefault="004D1E4B" w:rsidP="007E085B">
            <w:pPr>
              <w:pStyle w:val="TableText0"/>
              <w:rPr>
                <w:b/>
                <w:i/>
                <w:szCs w:val="20"/>
              </w:rPr>
            </w:pPr>
            <w:r w:rsidRPr="00BD17CE">
              <w:rPr>
                <w:b/>
                <w:bCs w:val="0"/>
                <w:i/>
                <w:szCs w:val="20"/>
              </w:rPr>
              <w:t>Sensitivity analysis (non-squamous subgroup CM9LA) – KN189 November 2017 data cut-off</w:t>
            </w:r>
          </w:p>
        </w:tc>
      </w:tr>
      <w:tr w:rsidR="004D1E4B" w:rsidRPr="008A0138" w:rsidTr="008A0138">
        <w:tc>
          <w:tcPr>
            <w:tcW w:w="1159" w:type="pct"/>
            <w:vAlign w:val="center"/>
          </w:tcPr>
          <w:p w:rsidR="004D1E4B" w:rsidRPr="008A0138" w:rsidRDefault="004D1E4B" w:rsidP="007E085B">
            <w:pPr>
              <w:pStyle w:val="TableText0"/>
              <w:rPr>
                <w:b/>
                <w:bCs w:val="0"/>
                <w:szCs w:val="20"/>
              </w:rPr>
            </w:pPr>
            <w:r w:rsidRPr="008A0138">
              <w:rPr>
                <w:szCs w:val="20"/>
              </w:rPr>
              <w:t>Median follow-up</w:t>
            </w:r>
          </w:p>
        </w:tc>
        <w:tc>
          <w:tcPr>
            <w:tcW w:w="960" w:type="pct"/>
            <w:vAlign w:val="center"/>
          </w:tcPr>
          <w:p w:rsidR="004D1E4B" w:rsidRPr="008A0138" w:rsidRDefault="004D1E4B" w:rsidP="007E085B">
            <w:pPr>
              <w:pStyle w:val="TableText0"/>
              <w:jc w:val="center"/>
              <w:rPr>
                <w:szCs w:val="20"/>
                <w:vertAlign w:val="superscript"/>
              </w:rPr>
            </w:pPr>
            <w:r w:rsidRPr="008A0138">
              <w:rPr>
                <w:szCs w:val="20"/>
              </w:rPr>
              <w:t xml:space="preserve">14.2 </w:t>
            </w:r>
            <w:proofErr w:type="spellStart"/>
            <w:r w:rsidRPr="008A0138">
              <w:rPr>
                <w:szCs w:val="20"/>
              </w:rPr>
              <w:t>months</w:t>
            </w:r>
            <w:r w:rsidRPr="008A0138">
              <w:rPr>
                <w:szCs w:val="20"/>
                <w:vertAlign w:val="superscript"/>
              </w:rPr>
              <w:t>b</w:t>
            </w:r>
            <w:proofErr w:type="spellEnd"/>
          </w:p>
        </w:tc>
        <w:tc>
          <w:tcPr>
            <w:tcW w:w="961" w:type="pct"/>
            <w:vAlign w:val="center"/>
          </w:tcPr>
          <w:p w:rsidR="004D1E4B" w:rsidRPr="008A0138" w:rsidRDefault="004D1E4B" w:rsidP="007E085B">
            <w:pPr>
              <w:pStyle w:val="TableText0"/>
              <w:jc w:val="center"/>
              <w:rPr>
                <w:szCs w:val="20"/>
                <w:vertAlign w:val="superscript"/>
              </w:rPr>
            </w:pPr>
            <w:r w:rsidRPr="008A0138">
              <w:rPr>
                <w:szCs w:val="20"/>
              </w:rPr>
              <w:t xml:space="preserve">10.9 </w:t>
            </w:r>
            <w:proofErr w:type="spellStart"/>
            <w:r w:rsidRPr="008A0138">
              <w:rPr>
                <w:szCs w:val="20"/>
              </w:rPr>
              <w:t>months</w:t>
            </w:r>
            <w:r w:rsidRPr="008A0138">
              <w:rPr>
                <w:szCs w:val="20"/>
                <w:vertAlign w:val="superscript"/>
              </w:rPr>
              <w:t>b</w:t>
            </w:r>
            <w:proofErr w:type="spellEnd"/>
          </w:p>
        </w:tc>
        <w:tc>
          <w:tcPr>
            <w:tcW w:w="1920" w:type="pct"/>
            <w:gridSpan w:val="2"/>
            <w:vAlign w:val="center"/>
          </w:tcPr>
          <w:p w:rsidR="004D1E4B" w:rsidRPr="00DE15E9" w:rsidRDefault="004D1E4B" w:rsidP="007E085B">
            <w:pPr>
              <w:pStyle w:val="TableText0"/>
              <w:jc w:val="center"/>
              <w:rPr>
                <w:szCs w:val="20"/>
                <w:vertAlign w:val="superscript"/>
              </w:rPr>
            </w:pPr>
            <w:r w:rsidRPr="00DE15E9">
              <w:rPr>
                <w:szCs w:val="20"/>
              </w:rPr>
              <w:t xml:space="preserve">10.5 </w:t>
            </w:r>
            <w:proofErr w:type="spellStart"/>
            <w:r w:rsidRPr="00DE15E9">
              <w:rPr>
                <w:szCs w:val="20"/>
              </w:rPr>
              <w:t>months</w:t>
            </w:r>
            <w:r w:rsidRPr="00DE15E9">
              <w:rPr>
                <w:szCs w:val="20"/>
                <w:vertAlign w:val="superscript"/>
              </w:rPr>
              <w:t>d</w:t>
            </w:r>
            <w:proofErr w:type="spellEnd"/>
          </w:p>
        </w:tc>
      </w:tr>
      <w:tr w:rsidR="004D1E4B" w:rsidRPr="008A0138" w:rsidTr="008A0138">
        <w:tc>
          <w:tcPr>
            <w:tcW w:w="1159" w:type="pct"/>
            <w:vAlign w:val="center"/>
          </w:tcPr>
          <w:p w:rsidR="004D1E4B" w:rsidRPr="008A0138" w:rsidRDefault="004D1E4B" w:rsidP="007E085B">
            <w:pPr>
              <w:pStyle w:val="TableText0"/>
              <w:rPr>
                <w:bCs w:val="0"/>
                <w:szCs w:val="20"/>
              </w:rPr>
            </w:pPr>
            <w:r w:rsidRPr="008A0138">
              <w:rPr>
                <w:bCs w:val="0"/>
                <w:szCs w:val="20"/>
              </w:rPr>
              <w:t>Population</w:t>
            </w:r>
          </w:p>
        </w:tc>
        <w:tc>
          <w:tcPr>
            <w:tcW w:w="1921" w:type="pct"/>
            <w:gridSpan w:val="2"/>
            <w:vAlign w:val="center"/>
          </w:tcPr>
          <w:p w:rsidR="004D1E4B" w:rsidRPr="008A0138" w:rsidRDefault="004D1E4B" w:rsidP="007E085B">
            <w:pPr>
              <w:pStyle w:val="TableText0"/>
              <w:jc w:val="center"/>
              <w:rPr>
                <w:szCs w:val="20"/>
              </w:rPr>
            </w:pPr>
            <w:r w:rsidRPr="008A0138">
              <w:rPr>
                <w:szCs w:val="20"/>
              </w:rPr>
              <w:t>Non-squamous subgroup</w:t>
            </w:r>
          </w:p>
        </w:tc>
        <w:tc>
          <w:tcPr>
            <w:tcW w:w="1920" w:type="pct"/>
            <w:gridSpan w:val="2"/>
          </w:tcPr>
          <w:p w:rsidR="004D1E4B" w:rsidRPr="00DE15E9" w:rsidRDefault="004D1E4B" w:rsidP="007E085B">
            <w:pPr>
              <w:pStyle w:val="TableText0"/>
              <w:jc w:val="center"/>
              <w:rPr>
                <w:szCs w:val="20"/>
              </w:rPr>
            </w:pPr>
            <w:r w:rsidRPr="00DE15E9">
              <w:rPr>
                <w:szCs w:val="20"/>
              </w:rPr>
              <w:t>Non-squamous</w:t>
            </w:r>
          </w:p>
        </w:tc>
      </w:tr>
      <w:tr w:rsidR="004D1E4B" w:rsidRPr="008A0138" w:rsidTr="008A0138">
        <w:tc>
          <w:tcPr>
            <w:tcW w:w="1159" w:type="pct"/>
            <w:vAlign w:val="center"/>
          </w:tcPr>
          <w:p w:rsidR="004D1E4B" w:rsidRPr="008A0138" w:rsidRDefault="004D1E4B" w:rsidP="007E085B">
            <w:pPr>
              <w:pStyle w:val="TableText0"/>
              <w:rPr>
                <w:b/>
                <w:bCs w:val="0"/>
                <w:szCs w:val="20"/>
              </w:rPr>
            </w:pPr>
          </w:p>
        </w:tc>
        <w:tc>
          <w:tcPr>
            <w:tcW w:w="960" w:type="pct"/>
            <w:vAlign w:val="center"/>
          </w:tcPr>
          <w:p w:rsidR="004D1E4B" w:rsidRPr="008A0138" w:rsidRDefault="004D1E4B" w:rsidP="007E085B">
            <w:pPr>
              <w:pStyle w:val="TableText0"/>
              <w:jc w:val="center"/>
              <w:rPr>
                <w:szCs w:val="20"/>
              </w:rPr>
            </w:pPr>
            <w:r w:rsidRPr="008A0138">
              <w:rPr>
                <w:szCs w:val="20"/>
              </w:rPr>
              <w:t>N=246</w:t>
            </w:r>
          </w:p>
        </w:tc>
        <w:tc>
          <w:tcPr>
            <w:tcW w:w="961" w:type="pct"/>
            <w:vAlign w:val="center"/>
          </w:tcPr>
          <w:p w:rsidR="004D1E4B" w:rsidRPr="008A0138" w:rsidRDefault="004D1E4B" w:rsidP="007E085B">
            <w:pPr>
              <w:pStyle w:val="TableText0"/>
              <w:jc w:val="center"/>
              <w:rPr>
                <w:szCs w:val="20"/>
              </w:rPr>
            </w:pPr>
            <w:r w:rsidRPr="008A0138">
              <w:rPr>
                <w:szCs w:val="20"/>
              </w:rPr>
              <w:t>N=246</w:t>
            </w:r>
          </w:p>
        </w:tc>
        <w:tc>
          <w:tcPr>
            <w:tcW w:w="960" w:type="pct"/>
            <w:vAlign w:val="center"/>
          </w:tcPr>
          <w:p w:rsidR="004D1E4B" w:rsidRPr="00DE15E9" w:rsidRDefault="004D1E4B" w:rsidP="007E085B">
            <w:pPr>
              <w:pStyle w:val="TableText0"/>
              <w:jc w:val="center"/>
              <w:rPr>
                <w:szCs w:val="20"/>
              </w:rPr>
            </w:pPr>
            <w:r w:rsidRPr="00DE15E9">
              <w:rPr>
                <w:szCs w:val="20"/>
              </w:rPr>
              <w:t>N=410</w:t>
            </w:r>
          </w:p>
        </w:tc>
        <w:tc>
          <w:tcPr>
            <w:tcW w:w="960" w:type="pct"/>
            <w:vAlign w:val="center"/>
          </w:tcPr>
          <w:p w:rsidR="004D1E4B" w:rsidRPr="00DE15E9" w:rsidRDefault="004D1E4B" w:rsidP="007E085B">
            <w:pPr>
              <w:pStyle w:val="TableText0"/>
              <w:jc w:val="center"/>
              <w:rPr>
                <w:szCs w:val="20"/>
              </w:rPr>
            </w:pPr>
            <w:r w:rsidRPr="00DE15E9">
              <w:rPr>
                <w:szCs w:val="20"/>
              </w:rPr>
              <w:t>N=206</w:t>
            </w:r>
          </w:p>
        </w:tc>
      </w:tr>
      <w:tr w:rsidR="004D1E4B" w:rsidRPr="008A0138" w:rsidTr="008A0138">
        <w:tc>
          <w:tcPr>
            <w:tcW w:w="1159" w:type="pct"/>
            <w:vAlign w:val="center"/>
          </w:tcPr>
          <w:p w:rsidR="004D1E4B" w:rsidRPr="008A0138" w:rsidRDefault="004D1E4B" w:rsidP="007E085B">
            <w:pPr>
              <w:pStyle w:val="TableText0"/>
              <w:rPr>
                <w:szCs w:val="20"/>
              </w:rPr>
            </w:pPr>
            <w:r w:rsidRPr="008A0138">
              <w:rPr>
                <w:szCs w:val="20"/>
              </w:rPr>
              <w:t>Patients with event, n (%)</w:t>
            </w:r>
          </w:p>
        </w:tc>
        <w:tc>
          <w:tcPr>
            <w:tcW w:w="960" w:type="pct"/>
            <w:vAlign w:val="center"/>
          </w:tcPr>
          <w:p w:rsidR="004D1E4B" w:rsidRPr="008A0138" w:rsidRDefault="004D1E4B" w:rsidP="007E085B">
            <w:pPr>
              <w:pStyle w:val="TableText0"/>
              <w:jc w:val="center"/>
              <w:rPr>
                <w:szCs w:val="20"/>
              </w:rPr>
            </w:pPr>
            <w:r w:rsidRPr="008A0138">
              <w:rPr>
                <w:szCs w:val="20"/>
              </w:rPr>
              <w:t>124 (50.4%)</w:t>
            </w:r>
          </w:p>
        </w:tc>
        <w:tc>
          <w:tcPr>
            <w:tcW w:w="961" w:type="pct"/>
            <w:vAlign w:val="center"/>
          </w:tcPr>
          <w:p w:rsidR="004D1E4B" w:rsidRPr="008A0138" w:rsidRDefault="004D1E4B" w:rsidP="007E085B">
            <w:pPr>
              <w:pStyle w:val="TableText0"/>
              <w:jc w:val="center"/>
              <w:rPr>
                <w:szCs w:val="20"/>
              </w:rPr>
            </w:pPr>
            <w:r w:rsidRPr="008A0138">
              <w:rPr>
                <w:szCs w:val="20"/>
              </w:rPr>
              <w:t>159 (64.6%)</w:t>
            </w:r>
          </w:p>
        </w:tc>
        <w:tc>
          <w:tcPr>
            <w:tcW w:w="960" w:type="pct"/>
            <w:vAlign w:val="center"/>
          </w:tcPr>
          <w:p w:rsidR="004D1E4B" w:rsidRPr="00DE15E9" w:rsidRDefault="004D1E4B" w:rsidP="007E085B">
            <w:pPr>
              <w:pStyle w:val="TableText0"/>
              <w:jc w:val="center"/>
              <w:rPr>
                <w:szCs w:val="20"/>
              </w:rPr>
            </w:pPr>
            <w:r w:rsidRPr="00DE15E9">
              <w:rPr>
                <w:szCs w:val="20"/>
              </w:rPr>
              <w:t>NR</w:t>
            </w:r>
          </w:p>
        </w:tc>
        <w:tc>
          <w:tcPr>
            <w:tcW w:w="960" w:type="pct"/>
            <w:vAlign w:val="center"/>
          </w:tcPr>
          <w:p w:rsidR="004D1E4B" w:rsidRPr="00DE15E9" w:rsidRDefault="004D1E4B" w:rsidP="007E085B">
            <w:pPr>
              <w:pStyle w:val="TableText0"/>
              <w:jc w:val="center"/>
              <w:rPr>
                <w:szCs w:val="20"/>
              </w:rPr>
            </w:pPr>
            <w:r w:rsidRPr="00DE15E9">
              <w:rPr>
                <w:szCs w:val="20"/>
              </w:rPr>
              <w:t>NR</w:t>
            </w:r>
          </w:p>
        </w:tc>
      </w:tr>
      <w:tr w:rsidR="004D1E4B" w:rsidRPr="008A0138" w:rsidTr="008A0138">
        <w:tc>
          <w:tcPr>
            <w:tcW w:w="1159" w:type="pct"/>
            <w:vAlign w:val="center"/>
          </w:tcPr>
          <w:p w:rsidR="004D1E4B" w:rsidRPr="008A0138" w:rsidRDefault="004D1E4B" w:rsidP="007E085B">
            <w:pPr>
              <w:pStyle w:val="TableText0"/>
              <w:rPr>
                <w:szCs w:val="20"/>
              </w:rPr>
            </w:pPr>
            <w:r w:rsidRPr="008A0138">
              <w:rPr>
                <w:szCs w:val="20"/>
              </w:rPr>
              <w:t>Median OS (95%CI), months</w:t>
            </w:r>
          </w:p>
        </w:tc>
        <w:tc>
          <w:tcPr>
            <w:tcW w:w="960" w:type="pct"/>
            <w:vAlign w:val="center"/>
          </w:tcPr>
          <w:p w:rsidR="004D1E4B" w:rsidRPr="008A0138" w:rsidRDefault="004D1E4B" w:rsidP="007E085B">
            <w:pPr>
              <w:pStyle w:val="TableText0"/>
              <w:jc w:val="center"/>
              <w:rPr>
                <w:szCs w:val="20"/>
              </w:rPr>
            </w:pPr>
            <w:r w:rsidRPr="008A0138">
              <w:rPr>
                <w:szCs w:val="20"/>
              </w:rPr>
              <w:t>17.0 (14.0, NE)</w:t>
            </w:r>
          </w:p>
        </w:tc>
        <w:tc>
          <w:tcPr>
            <w:tcW w:w="961" w:type="pct"/>
            <w:vAlign w:val="center"/>
          </w:tcPr>
          <w:p w:rsidR="004D1E4B" w:rsidRPr="008A0138" w:rsidRDefault="004D1E4B" w:rsidP="007E085B">
            <w:pPr>
              <w:pStyle w:val="TableText0"/>
              <w:jc w:val="center"/>
              <w:rPr>
                <w:szCs w:val="20"/>
              </w:rPr>
            </w:pPr>
            <w:r w:rsidRPr="008A0138">
              <w:rPr>
                <w:szCs w:val="20"/>
              </w:rPr>
              <w:t>11.9 (9.9, 14.1)</w:t>
            </w:r>
          </w:p>
        </w:tc>
        <w:tc>
          <w:tcPr>
            <w:tcW w:w="960" w:type="pct"/>
            <w:vAlign w:val="center"/>
          </w:tcPr>
          <w:p w:rsidR="004D1E4B" w:rsidRPr="00DE15E9" w:rsidRDefault="004D1E4B" w:rsidP="007E085B">
            <w:pPr>
              <w:pStyle w:val="TableText0"/>
              <w:jc w:val="center"/>
              <w:rPr>
                <w:szCs w:val="20"/>
              </w:rPr>
            </w:pPr>
            <w:r w:rsidRPr="00DE15E9">
              <w:rPr>
                <w:szCs w:val="20"/>
              </w:rPr>
              <w:t>NR</w:t>
            </w:r>
          </w:p>
        </w:tc>
        <w:tc>
          <w:tcPr>
            <w:tcW w:w="960" w:type="pct"/>
            <w:vAlign w:val="center"/>
          </w:tcPr>
          <w:p w:rsidR="004D1E4B" w:rsidRPr="00DE15E9" w:rsidRDefault="004D1E4B" w:rsidP="007E085B">
            <w:pPr>
              <w:pStyle w:val="TableText0"/>
              <w:jc w:val="center"/>
              <w:rPr>
                <w:szCs w:val="20"/>
              </w:rPr>
            </w:pPr>
            <w:r w:rsidRPr="00DE15E9">
              <w:rPr>
                <w:szCs w:val="20"/>
              </w:rPr>
              <w:t>11.3 (8.7, 15.1)</w:t>
            </w:r>
          </w:p>
        </w:tc>
      </w:tr>
      <w:tr w:rsidR="004D1E4B" w:rsidRPr="008A0138" w:rsidTr="008A0138">
        <w:tc>
          <w:tcPr>
            <w:tcW w:w="1159" w:type="pct"/>
            <w:tcBorders>
              <w:bottom w:val="single" w:sz="4" w:space="0" w:color="auto"/>
            </w:tcBorders>
            <w:vAlign w:val="center"/>
          </w:tcPr>
          <w:p w:rsidR="004D1E4B" w:rsidRPr="008A0138" w:rsidRDefault="004D1E4B" w:rsidP="007E085B">
            <w:pPr>
              <w:pStyle w:val="TableText0"/>
              <w:rPr>
                <w:szCs w:val="20"/>
              </w:rPr>
            </w:pPr>
            <w:r w:rsidRPr="008A0138">
              <w:rPr>
                <w:szCs w:val="20"/>
              </w:rPr>
              <w:t>HR (95%CI)</w:t>
            </w:r>
          </w:p>
        </w:tc>
        <w:tc>
          <w:tcPr>
            <w:tcW w:w="1921" w:type="pct"/>
            <w:gridSpan w:val="2"/>
            <w:tcBorders>
              <w:bottom w:val="single" w:sz="4" w:space="0" w:color="auto"/>
            </w:tcBorders>
            <w:vAlign w:val="center"/>
          </w:tcPr>
          <w:p w:rsidR="004D1E4B" w:rsidRPr="008A0138" w:rsidRDefault="004D1E4B" w:rsidP="007E085B">
            <w:pPr>
              <w:pStyle w:val="TableText0"/>
              <w:jc w:val="center"/>
              <w:rPr>
                <w:szCs w:val="20"/>
              </w:rPr>
            </w:pPr>
            <w:r w:rsidRPr="008A0138">
              <w:rPr>
                <w:szCs w:val="20"/>
              </w:rPr>
              <w:t>0.69 (0.55, 0.87)</w:t>
            </w:r>
          </w:p>
        </w:tc>
        <w:tc>
          <w:tcPr>
            <w:tcW w:w="1920" w:type="pct"/>
            <w:gridSpan w:val="2"/>
            <w:tcBorders>
              <w:bottom w:val="single" w:sz="4" w:space="0" w:color="auto"/>
            </w:tcBorders>
          </w:tcPr>
          <w:p w:rsidR="004D1E4B" w:rsidRPr="00DE15E9" w:rsidRDefault="004D1E4B" w:rsidP="007E085B">
            <w:pPr>
              <w:pStyle w:val="TableText0"/>
              <w:jc w:val="center"/>
              <w:rPr>
                <w:szCs w:val="20"/>
              </w:rPr>
            </w:pPr>
            <w:r w:rsidRPr="00DE15E9">
              <w:rPr>
                <w:szCs w:val="20"/>
              </w:rPr>
              <w:t>0.49 (0.38, 0.64)</w:t>
            </w:r>
          </w:p>
        </w:tc>
      </w:tr>
      <w:tr w:rsidR="004D1E4B" w:rsidRPr="008A0138" w:rsidTr="008A0138">
        <w:tc>
          <w:tcPr>
            <w:tcW w:w="1159" w:type="pct"/>
            <w:tcBorders>
              <w:bottom w:val="single" w:sz="4" w:space="0" w:color="auto"/>
            </w:tcBorders>
            <w:vAlign w:val="center"/>
          </w:tcPr>
          <w:p w:rsidR="004D1E4B" w:rsidRPr="008A0138" w:rsidRDefault="004D1E4B" w:rsidP="007E085B">
            <w:pPr>
              <w:pStyle w:val="TableText0"/>
              <w:rPr>
                <w:szCs w:val="20"/>
              </w:rPr>
            </w:pPr>
            <w:r w:rsidRPr="008A0138">
              <w:rPr>
                <w:szCs w:val="20"/>
              </w:rPr>
              <w:t>12-month OS rate</w:t>
            </w:r>
          </w:p>
        </w:tc>
        <w:tc>
          <w:tcPr>
            <w:tcW w:w="960" w:type="pct"/>
            <w:tcBorders>
              <w:bottom w:val="single" w:sz="4" w:space="0" w:color="auto"/>
            </w:tcBorders>
            <w:vAlign w:val="center"/>
          </w:tcPr>
          <w:p w:rsidR="004D1E4B" w:rsidRPr="008A0138" w:rsidRDefault="004D1E4B" w:rsidP="007E085B">
            <w:pPr>
              <w:pStyle w:val="TableText0"/>
              <w:jc w:val="center"/>
              <w:rPr>
                <w:szCs w:val="20"/>
              </w:rPr>
            </w:pPr>
            <w:r w:rsidRPr="008A0138">
              <w:rPr>
                <w:szCs w:val="20"/>
              </w:rPr>
              <w:t>62.6%</w:t>
            </w:r>
          </w:p>
        </w:tc>
        <w:tc>
          <w:tcPr>
            <w:tcW w:w="961" w:type="pct"/>
            <w:tcBorders>
              <w:bottom w:val="single" w:sz="4" w:space="0" w:color="auto"/>
            </w:tcBorders>
            <w:vAlign w:val="center"/>
          </w:tcPr>
          <w:p w:rsidR="004D1E4B" w:rsidRPr="008A0138" w:rsidRDefault="004D1E4B" w:rsidP="007E085B">
            <w:pPr>
              <w:pStyle w:val="TableText0"/>
              <w:jc w:val="center"/>
              <w:rPr>
                <w:szCs w:val="20"/>
              </w:rPr>
            </w:pPr>
            <w:r w:rsidRPr="008A0138">
              <w:rPr>
                <w:szCs w:val="20"/>
              </w:rPr>
              <w:t>50.0%</w:t>
            </w:r>
          </w:p>
        </w:tc>
        <w:tc>
          <w:tcPr>
            <w:tcW w:w="960" w:type="pct"/>
            <w:tcBorders>
              <w:bottom w:val="single" w:sz="4" w:space="0" w:color="auto"/>
            </w:tcBorders>
            <w:vAlign w:val="center"/>
          </w:tcPr>
          <w:p w:rsidR="004D1E4B" w:rsidRPr="00DE15E9" w:rsidRDefault="004D1E4B" w:rsidP="007E085B">
            <w:pPr>
              <w:pStyle w:val="TableText0"/>
              <w:jc w:val="center"/>
              <w:rPr>
                <w:szCs w:val="20"/>
              </w:rPr>
            </w:pPr>
            <w:r w:rsidRPr="00DE15E9">
              <w:rPr>
                <w:szCs w:val="20"/>
              </w:rPr>
              <w:t>69.2%</w:t>
            </w:r>
          </w:p>
        </w:tc>
        <w:tc>
          <w:tcPr>
            <w:tcW w:w="960" w:type="pct"/>
            <w:tcBorders>
              <w:bottom w:val="single" w:sz="4" w:space="0" w:color="auto"/>
            </w:tcBorders>
            <w:vAlign w:val="center"/>
          </w:tcPr>
          <w:p w:rsidR="004D1E4B" w:rsidRPr="00DE15E9" w:rsidRDefault="004D1E4B" w:rsidP="007E085B">
            <w:pPr>
              <w:pStyle w:val="TableText0"/>
              <w:jc w:val="center"/>
              <w:rPr>
                <w:szCs w:val="20"/>
              </w:rPr>
            </w:pPr>
            <w:r w:rsidRPr="00DE15E9">
              <w:rPr>
                <w:szCs w:val="20"/>
              </w:rPr>
              <w:t>49.4%</w:t>
            </w:r>
          </w:p>
        </w:tc>
      </w:tr>
      <w:tr w:rsidR="004D1E4B" w:rsidRPr="008A0138" w:rsidTr="008A0138">
        <w:tc>
          <w:tcPr>
            <w:tcW w:w="3080" w:type="pct"/>
            <w:gridSpan w:val="3"/>
            <w:tcBorders>
              <w:top w:val="single" w:sz="4" w:space="0" w:color="auto"/>
              <w:bottom w:val="single" w:sz="4" w:space="0" w:color="auto"/>
            </w:tcBorders>
            <w:vAlign w:val="center"/>
          </w:tcPr>
          <w:p w:rsidR="004D1E4B" w:rsidRPr="008A0138" w:rsidRDefault="004D1E4B" w:rsidP="007E085B">
            <w:pPr>
              <w:pStyle w:val="TableText0"/>
              <w:rPr>
                <w:b/>
                <w:szCs w:val="20"/>
              </w:rPr>
            </w:pPr>
            <w:r w:rsidRPr="008A0138">
              <w:rPr>
                <w:b/>
                <w:szCs w:val="20"/>
              </w:rPr>
              <w:t>Indirect estimate of effect, HR (95% CI)</w:t>
            </w:r>
            <w:r w:rsidRPr="008A0138">
              <w:rPr>
                <w:b/>
                <w:szCs w:val="20"/>
                <w:vertAlign w:val="superscript"/>
              </w:rPr>
              <w:t>a</w:t>
            </w:r>
          </w:p>
        </w:tc>
        <w:tc>
          <w:tcPr>
            <w:tcW w:w="1920" w:type="pct"/>
            <w:gridSpan w:val="2"/>
            <w:tcBorders>
              <w:top w:val="single" w:sz="4" w:space="0" w:color="auto"/>
              <w:bottom w:val="single" w:sz="4" w:space="0" w:color="auto"/>
            </w:tcBorders>
            <w:vAlign w:val="center"/>
          </w:tcPr>
          <w:p w:rsidR="004D1E4B" w:rsidRPr="00673098" w:rsidRDefault="004D1E4B" w:rsidP="007E085B">
            <w:pPr>
              <w:pStyle w:val="TableText0"/>
              <w:jc w:val="center"/>
              <w:rPr>
                <w:b/>
                <w:i/>
                <w:szCs w:val="20"/>
                <w:highlight w:val="yellow"/>
              </w:rPr>
            </w:pPr>
            <w:r w:rsidRPr="00DE15E9">
              <w:rPr>
                <w:b/>
                <w:i/>
                <w:szCs w:val="20"/>
              </w:rPr>
              <w:t>1.41 (1.00, 1.99)</w:t>
            </w:r>
          </w:p>
        </w:tc>
      </w:tr>
    </w:tbl>
    <w:p w:rsidR="004D1E4B" w:rsidRPr="00673098" w:rsidRDefault="004D1E4B" w:rsidP="004D1E4B">
      <w:pPr>
        <w:pStyle w:val="TableFigureFooter"/>
        <w:rPr>
          <w:i/>
        </w:rPr>
      </w:pPr>
      <w:r w:rsidRPr="0087043D">
        <w:t>Source: T</w:t>
      </w:r>
      <w:r w:rsidR="00682D99" w:rsidRPr="0087043D">
        <w:t>able 76, p152 of the submission; Gandhi et al (2018).</w:t>
      </w:r>
      <w:r w:rsidR="00673098">
        <w:t xml:space="preserve"> </w:t>
      </w:r>
      <w:r w:rsidR="00673098">
        <w:rPr>
          <w:i/>
        </w:rPr>
        <w:t>Italic</w:t>
      </w:r>
      <w:r w:rsidR="003C674D">
        <w:rPr>
          <w:i/>
        </w:rPr>
        <w:t>i</w:t>
      </w:r>
      <w:r w:rsidR="00510922">
        <w:rPr>
          <w:i/>
        </w:rPr>
        <w:t>s</w:t>
      </w:r>
      <w:r w:rsidR="00673098">
        <w:rPr>
          <w:i/>
        </w:rPr>
        <w:t>ed values were calculated during the evaluation</w:t>
      </w:r>
    </w:p>
    <w:p w:rsidR="004D1E4B" w:rsidRPr="0087043D" w:rsidRDefault="004D1E4B" w:rsidP="004D1E4B">
      <w:pPr>
        <w:pStyle w:val="TableFigureFooter"/>
      </w:pPr>
      <w:r w:rsidRPr="0087043D">
        <w:t xml:space="preserve">CI = confidence interval; HR = hazard ratio; IPI = ipilimumab; ITC = indirect treatment comparison; ITT = intention to treat; NE = not evaluable; NIVO= nivolumab; OS = overall survival; PEMBRO = </w:t>
      </w:r>
      <w:proofErr w:type="spellStart"/>
      <w:r w:rsidRPr="0087043D">
        <w:t>pembrolizumab</w:t>
      </w:r>
      <w:proofErr w:type="spellEnd"/>
    </w:p>
    <w:p w:rsidR="004D1E4B" w:rsidRPr="0087043D" w:rsidRDefault="004D1E4B" w:rsidP="004D1E4B">
      <w:pPr>
        <w:pStyle w:val="TableFigureFooter"/>
      </w:pPr>
      <w:proofErr w:type="spellStart"/>
      <w:proofErr w:type="gramStart"/>
      <w:r w:rsidRPr="0087043D">
        <w:rPr>
          <w:vertAlign w:val="superscript"/>
        </w:rPr>
        <w:t>a</w:t>
      </w:r>
      <w:proofErr w:type="spellEnd"/>
      <w:proofErr w:type="gramEnd"/>
      <w:r w:rsidRPr="0087043D">
        <w:t xml:space="preserve"> Adjusted for the common reference.</w:t>
      </w:r>
    </w:p>
    <w:p w:rsidR="004D1E4B" w:rsidRPr="0087043D" w:rsidRDefault="004D1E4B" w:rsidP="004D1E4B">
      <w:pPr>
        <w:pStyle w:val="TableFigureFooter"/>
      </w:pPr>
      <w:proofErr w:type="gramStart"/>
      <w:r w:rsidRPr="0087043D">
        <w:rPr>
          <w:vertAlign w:val="superscript"/>
        </w:rPr>
        <w:t>b</w:t>
      </w:r>
      <w:proofErr w:type="gramEnd"/>
      <w:r w:rsidRPr="0087043D">
        <w:rPr>
          <w:vertAlign w:val="superscript"/>
        </w:rPr>
        <w:t xml:space="preserve"> </w:t>
      </w:r>
      <w:r w:rsidRPr="0087043D">
        <w:t>Median follow-up in ITT population.</w:t>
      </w:r>
    </w:p>
    <w:p w:rsidR="004D1E4B" w:rsidRPr="0087043D" w:rsidRDefault="004D1E4B" w:rsidP="004D1E4B">
      <w:pPr>
        <w:pStyle w:val="TableFigureFooter"/>
      </w:pPr>
      <w:proofErr w:type="gramStart"/>
      <w:r w:rsidRPr="0087043D">
        <w:rPr>
          <w:vertAlign w:val="superscript"/>
        </w:rPr>
        <w:t>c</w:t>
      </w:r>
      <w:proofErr w:type="gramEnd"/>
      <w:r w:rsidRPr="0087043D">
        <w:t xml:space="preserve"> September 2018 data-cut-off</w:t>
      </w:r>
    </w:p>
    <w:p w:rsidR="004D1E4B" w:rsidRPr="0087043D" w:rsidRDefault="004D1E4B" w:rsidP="004D1E4B">
      <w:pPr>
        <w:pStyle w:val="TableFigureFooter"/>
      </w:pPr>
      <w:proofErr w:type="gramStart"/>
      <w:r w:rsidRPr="0087043D">
        <w:rPr>
          <w:vertAlign w:val="superscript"/>
        </w:rPr>
        <w:t>d</w:t>
      </w:r>
      <w:proofErr w:type="gramEnd"/>
      <w:r w:rsidRPr="0087043D">
        <w:t xml:space="preserve"> November 2017 data cut-off</w:t>
      </w:r>
    </w:p>
    <w:p w:rsidR="00AD1B1B" w:rsidRPr="0087043D" w:rsidRDefault="00AD1B1B" w:rsidP="004A0D50">
      <w:pPr>
        <w:pStyle w:val="3-BodyText"/>
      </w:pPr>
      <w:r w:rsidRPr="0087043D">
        <w:t xml:space="preserve">The submission stated that the indirectly derived HRs for OS for the primary analysis (CM9LA ITT: HR 1.18) and the supplementary analysis (non-squamous subgroup CM9LA: HR 1.23) were both less than the proposed non-inferiority margin of 1.32 for non-squamous NSCLC. On this basis, the submission claimed that, in patients with non-squamous NSCLC, </w:t>
      </w:r>
      <w:proofErr w:type="spellStart"/>
      <w:r w:rsidRPr="0087043D">
        <w:t>NIVO+IPI+platinum</w:t>
      </w:r>
      <w:proofErr w:type="spellEnd"/>
      <w:r w:rsidRPr="0087043D">
        <w:t xml:space="preserve"> is non-inferior to </w:t>
      </w:r>
      <w:proofErr w:type="spellStart"/>
      <w:r w:rsidRPr="0087043D">
        <w:t>pembrolizumab+platinum</w:t>
      </w:r>
      <w:proofErr w:type="spellEnd"/>
      <w:r w:rsidRPr="0087043D">
        <w:t xml:space="preserve"> for the patient relevant outcome of OS. This interpretation of the results of the indirect comparison is incorrect</w:t>
      </w:r>
      <w:r w:rsidR="00F1054A" w:rsidRPr="0087043D">
        <w:t>,</w:t>
      </w:r>
      <w:r w:rsidRPr="0087043D">
        <w:t xml:space="preserve"> as it is not appropriate to base the interpretation on the point estimate of the HR. The up</w:t>
      </w:r>
      <w:r w:rsidR="000F5B21" w:rsidRPr="0087043D">
        <w:t>per bound of the 95% CI</w:t>
      </w:r>
      <w:r w:rsidRPr="0087043D">
        <w:t xml:space="preserve"> for the indirectly derived HR for OS was 1.58 in the primary analysis and 1.69 in the supplementary analysis. </w:t>
      </w:r>
      <w:r w:rsidR="003F691B" w:rsidRPr="0087043D">
        <w:t xml:space="preserve">The ESC agreed </w:t>
      </w:r>
      <w:r w:rsidR="0002550D" w:rsidRPr="0087043D">
        <w:t xml:space="preserve">with the evaluation </w:t>
      </w:r>
      <w:r w:rsidR="003F691B" w:rsidRPr="0087043D">
        <w:t>that a</w:t>
      </w:r>
      <w:r w:rsidRPr="0087043D">
        <w:t xml:space="preserve">s the upper limit of the 95% CI in both analyses exceeded the non-inferiority margin, the indirect comparison failed to exclude the possibility that </w:t>
      </w:r>
      <w:proofErr w:type="spellStart"/>
      <w:r w:rsidRPr="0087043D">
        <w:t>NIVO+IPI+platinum</w:t>
      </w:r>
      <w:proofErr w:type="spellEnd"/>
      <w:r w:rsidRPr="0087043D">
        <w:t xml:space="preserve"> is clinically meaningfully inferior to </w:t>
      </w:r>
      <w:proofErr w:type="spellStart"/>
      <w:r w:rsidRPr="0087043D">
        <w:t>pembrolizumab+platinum</w:t>
      </w:r>
      <w:proofErr w:type="spellEnd"/>
      <w:r w:rsidRPr="0087043D">
        <w:t xml:space="preserve"> in terms of OS in this patient population.</w:t>
      </w:r>
      <w:r w:rsidR="003F691B" w:rsidRPr="0087043D">
        <w:t xml:space="preserve"> </w:t>
      </w:r>
      <w:r w:rsidR="00F85C55" w:rsidRPr="0087043D">
        <w:t>The E</w:t>
      </w:r>
      <w:r w:rsidR="000C46B8" w:rsidRPr="0087043D">
        <w:t>SC</w:t>
      </w:r>
      <w:r w:rsidR="00F85C55" w:rsidRPr="0087043D">
        <w:t xml:space="preserve"> noted that </w:t>
      </w:r>
      <w:r w:rsidR="000C46B8" w:rsidRPr="0087043D">
        <w:t xml:space="preserve">the indirectly derived HR for OS in the non-squamous NSCLC population </w:t>
      </w:r>
      <w:r w:rsidR="00776E05" w:rsidRPr="0087043D">
        <w:t xml:space="preserve">was </w:t>
      </w:r>
      <w:r w:rsidR="000C46B8" w:rsidRPr="0087043D">
        <w:t xml:space="preserve">1.23 (95% CI: 0.90, 1.69) based on the September 2018 data </w:t>
      </w:r>
      <w:r w:rsidR="00776E05" w:rsidRPr="0087043D">
        <w:t xml:space="preserve">and </w:t>
      </w:r>
      <w:r w:rsidR="000C46B8" w:rsidRPr="0087043D">
        <w:t xml:space="preserve">1.41 (95% CI: 1.00, 1.99) based on the </w:t>
      </w:r>
      <w:r w:rsidR="00776E05" w:rsidRPr="0087043D">
        <w:t xml:space="preserve">sensitivity analysis using </w:t>
      </w:r>
      <w:r w:rsidR="0002550D" w:rsidRPr="0087043D">
        <w:t xml:space="preserve">the </w:t>
      </w:r>
      <w:r w:rsidR="004066D5" w:rsidRPr="0087043D">
        <w:t>November 2017</w:t>
      </w:r>
      <w:r w:rsidR="000C46B8" w:rsidRPr="0087043D">
        <w:t xml:space="preserve"> data from KN189</w:t>
      </w:r>
      <w:r w:rsidR="00E3239E" w:rsidRPr="0087043D">
        <w:t>. The ESC</w:t>
      </w:r>
      <w:r w:rsidR="00264317" w:rsidRPr="0087043D">
        <w:t xml:space="preserve"> </w:t>
      </w:r>
      <w:r w:rsidR="000C46B8" w:rsidRPr="0087043D">
        <w:t xml:space="preserve">considered </w:t>
      </w:r>
      <w:r w:rsidR="00776E05" w:rsidRPr="0087043D">
        <w:t xml:space="preserve">that, overall, the </w:t>
      </w:r>
      <w:r w:rsidR="000C46B8" w:rsidRPr="0087043D">
        <w:t xml:space="preserve">results did not support </w:t>
      </w:r>
      <w:r w:rsidR="004066D5" w:rsidRPr="0087043D">
        <w:t xml:space="preserve">the claim that </w:t>
      </w:r>
      <w:proofErr w:type="spellStart"/>
      <w:r w:rsidR="000C46B8" w:rsidRPr="0087043D">
        <w:t>NIVO+IPI+platinum</w:t>
      </w:r>
      <w:proofErr w:type="spellEnd"/>
      <w:r w:rsidR="000C46B8" w:rsidRPr="0087043D">
        <w:t xml:space="preserve"> is non-inferior to </w:t>
      </w:r>
      <w:proofErr w:type="spellStart"/>
      <w:r w:rsidR="000C46B8" w:rsidRPr="0087043D">
        <w:t>pembrolizumab+platinum</w:t>
      </w:r>
      <w:proofErr w:type="spellEnd"/>
      <w:r w:rsidR="000C46B8" w:rsidRPr="0087043D">
        <w:t xml:space="preserve"> for the patient relevant outcome of OS.</w:t>
      </w:r>
    </w:p>
    <w:p w:rsidR="00841F7E" w:rsidRPr="0087043D" w:rsidRDefault="00841F7E" w:rsidP="00AA0161">
      <w:pPr>
        <w:pStyle w:val="3-BodyText"/>
      </w:pPr>
      <w:r w:rsidRPr="0087043D">
        <w:t>The PSCR</w:t>
      </w:r>
      <w:r w:rsidR="00727C99">
        <w:t xml:space="preserve"> </w:t>
      </w:r>
      <w:r w:rsidR="00C7663F" w:rsidRPr="0087043D">
        <w:t xml:space="preserve">disagreed with using the upper 95% CI of the OS HR for assessing non-inferiority, considering it to be overly conservative. Further, the PSCR argued that the approach to assessing non-inferiority based on the upper 95% CI being &lt;1.32 or &lt;1.30 would represent a substantial deviation from precedent non-inferiority margins accepted by the PBAC, including the assessment of non-inferiority of </w:t>
      </w:r>
      <w:proofErr w:type="spellStart"/>
      <w:r w:rsidR="00C7663F" w:rsidRPr="0087043D">
        <w:t>pembrolizumab</w:t>
      </w:r>
      <w:proofErr w:type="spellEnd"/>
      <w:r w:rsidR="00C7663F" w:rsidRPr="0087043D">
        <w:t xml:space="preserve"> versus nivolumab as treatment for BRAFV600 positive melanoma in March 2020. The PSCR noted upper 95% CI bound of the OS HR for </w:t>
      </w:r>
      <w:proofErr w:type="spellStart"/>
      <w:r w:rsidR="00844927" w:rsidRPr="0087043D">
        <w:t>NIVO+IPI+platinum</w:t>
      </w:r>
      <w:proofErr w:type="spellEnd"/>
      <w:r w:rsidR="00C7663F" w:rsidRPr="0087043D">
        <w:t xml:space="preserve"> versus </w:t>
      </w:r>
      <w:proofErr w:type="spellStart"/>
      <w:r w:rsidR="00C7663F" w:rsidRPr="0087043D">
        <w:t>pembro</w:t>
      </w:r>
      <w:r w:rsidR="00844927" w:rsidRPr="0087043D">
        <w:t>lizumab</w:t>
      </w:r>
      <w:r w:rsidR="00C7663F" w:rsidRPr="0087043D">
        <w:t>+</w:t>
      </w:r>
      <w:r w:rsidR="00844927" w:rsidRPr="0087043D">
        <w:t>platinum</w:t>
      </w:r>
      <w:proofErr w:type="spellEnd"/>
      <w:r w:rsidR="00844927" w:rsidRPr="0087043D">
        <w:t xml:space="preserve"> </w:t>
      </w:r>
      <w:r w:rsidR="00C7663F" w:rsidRPr="0087043D">
        <w:t xml:space="preserve">in NSCLC range from 1.23-1.69, which are less than the upper 95% CI reported for </w:t>
      </w:r>
      <w:proofErr w:type="spellStart"/>
      <w:r w:rsidR="00C7663F" w:rsidRPr="0087043D">
        <w:t>pembro</w:t>
      </w:r>
      <w:r w:rsidR="00AA0161" w:rsidRPr="0087043D">
        <w:t>lizumab</w:t>
      </w:r>
      <w:proofErr w:type="spellEnd"/>
      <w:r w:rsidR="00C7663F" w:rsidRPr="0087043D">
        <w:t xml:space="preserve"> versus nivo</w:t>
      </w:r>
      <w:r w:rsidR="00AA0161" w:rsidRPr="0087043D">
        <w:t>lumab</w:t>
      </w:r>
      <w:r w:rsidR="00C7663F" w:rsidRPr="0087043D">
        <w:t xml:space="preserve"> in BRAFV600 positive melanoma of 1.99 which was accepted by the PBAC as supporting a claim of non-inferiority.</w:t>
      </w:r>
      <w:r w:rsidR="00264317" w:rsidRPr="0087043D">
        <w:t xml:space="preserve"> </w:t>
      </w:r>
      <w:r w:rsidR="00DE0806" w:rsidRPr="0087043D">
        <w:t>The ESC noted that non-inferiority is not determined by one outcome in isolation but is considered in the context of all available information.</w:t>
      </w:r>
      <w:r w:rsidR="00264317" w:rsidRPr="0087043D">
        <w:t xml:space="preserve"> </w:t>
      </w:r>
      <w:r w:rsidR="00DE0806" w:rsidRPr="0087043D">
        <w:t>The ESC noted that</w:t>
      </w:r>
      <w:r w:rsidR="00F13824" w:rsidRPr="0087043D">
        <w:t>, in addition to the upper 95% CI, the point estimate and whether it exceeds 1 (and by how far) are also important considerations.</w:t>
      </w:r>
      <w:r w:rsidR="00264317" w:rsidRPr="0087043D">
        <w:t xml:space="preserve"> </w:t>
      </w:r>
    </w:p>
    <w:p w:rsidR="00AD1B1B" w:rsidRPr="0087043D" w:rsidRDefault="00AD1B1B" w:rsidP="00AD1B1B">
      <w:pPr>
        <w:pStyle w:val="3-BodyText"/>
      </w:pPr>
      <w:r w:rsidRPr="0087043D">
        <w:t xml:space="preserve">The results of the indirect comparison of OS for </w:t>
      </w:r>
      <w:proofErr w:type="spellStart"/>
      <w:r w:rsidRPr="0087043D">
        <w:t>NIVO+IPI+platinum</w:t>
      </w:r>
      <w:proofErr w:type="spellEnd"/>
      <w:r w:rsidRPr="0087043D">
        <w:t xml:space="preserve"> versus </w:t>
      </w:r>
      <w:proofErr w:type="spellStart"/>
      <w:r w:rsidRPr="0087043D">
        <w:t>pembrolizumab+platinum</w:t>
      </w:r>
      <w:proofErr w:type="spellEnd"/>
      <w:r w:rsidRPr="0087043D">
        <w:t xml:space="preserve"> in patients with squamous metastatic NSCLC are presented in </w:t>
      </w:r>
      <w:r w:rsidR="00C71489" w:rsidRPr="0087043D">
        <w:t>Table 8</w:t>
      </w:r>
      <w:r w:rsidRPr="0087043D">
        <w:t>.</w:t>
      </w:r>
    </w:p>
    <w:p w:rsidR="004D1E4B" w:rsidRPr="0087043D" w:rsidRDefault="00443273" w:rsidP="00443273">
      <w:pPr>
        <w:pStyle w:val="TableFigureHeading"/>
      </w:pPr>
      <w:bookmarkStart w:id="25" w:name="_Ref49331747"/>
      <w:r w:rsidRPr="0087043D">
        <w:t xml:space="preserve">Table </w:t>
      </w:r>
      <w:r w:rsidR="00C71489" w:rsidRPr="0087043D">
        <w:t>8</w:t>
      </w:r>
      <w:bookmarkEnd w:id="25"/>
      <w:r w:rsidRPr="0087043D">
        <w:t xml:space="preserve">: Adjusted indirect comparison of OS, </w:t>
      </w:r>
      <w:proofErr w:type="spellStart"/>
      <w:r w:rsidRPr="0087043D">
        <w:t>NIVO+IPI+platinum</w:t>
      </w:r>
      <w:proofErr w:type="spellEnd"/>
      <w:r w:rsidRPr="0087043D">
        <w:t xml:space="preserve"> vs </w:t>
      </w:r>
      <w:proofErr w:type="spellStart"/>
      <w:r w:rsidRPr="0087043D">
        <w:t>pembrolizumab+platinum</w:t>
      </w:r>
      <w:proofErr w:type="spellEnd"/>
      <w:r w:rsidRPr="0087043D">
        <w:t>, squamous NSCLC</w:t>
      </w:r>
    </w:p>
    <w:tbl>
      <w:tblPr>
        <w:tblStyle w:val="TableGrid"/>
        <w:tblW w:w="5000" w:type="pct"/>
        <w:tblLook w:val="04A0" w:firstRow="1" w:lastRow="0" w:firstColumn="1" w:lastColumn="0" w:noHBand="0" w:noVBand="1"/>
        <w:tblCaption w:val="Table 8: Adjusted indirect comparison of OS, NIVO+IPI+platinum vs pembrolizumab+platinum, squamous NSCLC"/>
      </w:tblPr>
      <w:tblGrid>
        <w:gridCol w:w="2091"/>
        <w:gridCol w:w="1731"/>
        <w:gridCol w:w="1733"/>
        <w:gridCol w:w="1731"/>
        <w:gridCol w:w="1731"/>
      </w:tblGrid>
      <w:tr w:rsidR="00EB1761" w:rsidRPr="008A0138" w:rsidTr="00EC78BA">
        <w:trPr>
          <w:tblHeader/>
        </w:trPr>
        <w:tc>
          <w:tcPr>
            <w:tcW w:w="1159" w:type="pct"/>
            <w:vAlign w:val="center"/>
          </w:tcPr>
          <w:p w:rsidR="00EB1761" w:rsidRPr="008A0138" w:rsidRDefault="00EB1761" w:rsidP="00EB1761">
            <w:pPr>
              <w:pStyle w:val="In-tableHeading"/>
              <w:rPr>
                <w:szCs w:val="20"/>
                <w:lang w:val="en-AU"/>
              </w:rPr>
            </w:pPr>
          </w:p>
        </w:tc>
        <w:tc>
          <w:tcPr>
            <w:tcW w:w="1921" w:type="pct"/>
            <w:gridSpan w:val="2"/>
            <w:vAlign w:val="center"/>
          </w:tcPr>
          <w:p w:rsidR="00EB1761" w:rsidRPr="008A0138" w:rsidRDefault="00EB1761" w:rsidP="00EB1761">
            <w:pPr>
              <w:pStyle w:val="In-tableHeading"/>
              <w:jc w:val="center"/>
              <w:rPr>
                <w:szCs w:val="20"/>
                <w:lang w:val="en-AU"/>
              </w:rPr>
            </w:pPr>
            <w:proofErr w:type="spellStart"/>
            <w:r w:rsidRPr="008A0138">
              <w:rPr>
                <w:szCs w:val="20"/>
                <w:lang w:val="en-AU"/>
              </w:rPr>
              <w:t>CheckMate</w:t>
            </w:r>
            <w:proofErr w:type="spellEnd"/>
            <w:r w:rsidRPr="008A0138">
              <w:rPr>
                <w:szCs w:val="20"/>
                <w:lang w:val="en-AU"/>
              </w:rPr>
              <w:t xml:space="preserve"> 9LA</w:t>
            </w:r>
          </w:p>
        </w:tc>
        <w:tc>
          <w:tcPr>
            <w:tcW w:w="1920" w:type="pct"/>
            <w:gridSpan w:val="2"/>
            <w:vAlign w:val="center"/>
          </w:tcPr>
          <w:p w:rsidR="00EB1761" w:rsidRPr="008A0138" w:rsidRDefault="00EB1761" w:rsidP="00EB1761">
            <w:pPr>
              <w:pStyle w:val="In-tableHeading"/>
              <w:jc w:val="center"/>
              <w:rPr>
                <w:szCs w:val="20"/>
                <w:lang w:val="en-AU"/>
              </w:rPr>
            </w:pPr>
            <w:r w:rsidRPr="008A0138">
              <w:rPr>
                <w:szCs w:val="20"/>
                <w:lang w:val="en-AU"/>
              </w:rPr>
              <w:t>Keynote 407</w:t>
            </w:r>
          </w:p>
        </w:tc>
      </w:tr>
      <w:tr w:rsidR="00EB1761" w:rsidRPr="008A0138" w:rsidTr="008A0138">
        <w:tc>
          <w:tcPr>
            <w:tcW w:w="1159" w:type="pct"/>
            <w:vAlign w:val="center"/>
          </w:tcPr>
          <w:p w:rsidR="00EB1761" w:rsidRPr="008A0138" w:rsidRDefault="00EB1761" w:rsidP="00EB1761">
            <w:pPr>
              <w:pStyle w:val="In-tableHeading"/>
              <w:rPr>
                <w:szCs w:val="20"/>
                <w:lang w:val="en-AU"/>
              </w:rPr>
            </w:pPr>
          </w:p>
        </w:tc>
        <w:tc>
          <w:tcPr>
            <w:tcW w:w="960" w:type="pct"/>
            <w:vAlign w:val="center"/>
          </w:tcPr>
          <w:p w:rsidR="00EB1761" w:rsidRPr="008A0138" w:rsidRDefault="00EB1761" w:rsidP="00EB1761">
            <w:pPr>
              <w:pStyle w:val="In-tableHeading"/>
              <w:jc w:val="center"/>
              <w:rPr>
                <w:szCs w:val="20"/>
                <w:lang w:val="en-AU"/>
              </w:rPr>
            </w:pPr>
            <w:proofErr w:type="spellStart"/>
            <w:r w:rsidRPr="008A0138">
              <w:rPr>
                <w:szCs w:val="20"/>
                <w:lang w:val="en-AU"/>
              </w:rPr>
              <w:t>NIVO+IPI+platinum</w:t>
            </w:r>
            <w:proofErr w:type="spellEnd"/>
          </w:p>
        </w:tc>
        <w:tc>
          <w:tcPr>
            <w:tcW w:w="961" w:type="pct"/>
            <w:vAlign w:val="center"/>
          </w:tcPr>
          <w:p w:rsidR="00EB1761" w:rsidRPr="008A0138" w:rsidRDefault="00EB1761" w:rsidP="00EB1761">
            <w:pPr>
              <w:pStyle w:val="In-tableHeading"/>
              <w:jc w:val="center"/>
              <w:rPr>
                <w:szCs w:val="20"/>
                <w:lang w:val="en-AU"/>
              </w:rPr>
            </w:pPr>
            <w:r w:rsidRPr="008A0138">
              <w:rPr>
                <w:szCs w:val="20"/>
                <w:lang w:val="en-AU"/>
              </w:rPr>
              <w:t>Platinum chemo</w:t>
            </w:r>
          </w:p>
        </w:tc>
        <w:tc>
          <w:tcPr>
            <w:tcW w:w="960" w:type="pct"/>
            <w:vAlign w:val="center"/>
          </w:tcPr>
          <w:p w:rsidR="00EB1761" w:rsidRPr="008A0138" w:rsidRDefault="00EB1761" w:rsidP="00EB1761">
            <w:pPr>
              <w:pStyle w:val="In-tableHeading"/>
              <w:jc w:val="center"/>
              <w:rPr>
                <w:szCs w:val="20"/>
                <w:lang w:val="en-AU"/>
              </w:rPr>
            </w:pPr>
            <w:proofErr w:type="spellStart"/>
            <w:r w:rsidRPr="008A0138">
              <w:rPr>
                <w:szCs w:val="20"/>
                <w:lang w:val="en-AU"/>
              </w:rPr>
              <w:t>PEMBRO+platinum</w:t>
            </w:r>
            <w:proofErr w:type="spellEnd"/>
          </w:p>
        </w:tc>
        <w:tc>
          <w:tcPr>
            <w:tcW w:w="960" w:type="pct"/>
            <w:vAlign w:val="center"/>
          </w:tcPr>
          <w:p w:rsidR="00EB1761" w:rsidRPr="008A0138" w:rsidRDefault="00EB1761" w:rsidP="00EB1761">
            <w:pPr>
              <w:pStyle w:val="In-tableHeading"/>
              <w:jc w:val="center"/>
              <w:rPr>
                <w:szCs w:val="20"/>
                <w:lang w:val="en-AU"/>
              </w:rPr>
            </w:pPr>
            <w:r w:rsidRPr="008A0138">
              <w:rPr>
                <w:szCs w:val="20"/>
                <w:lang w:val="en-AU"/>
              </w:rPr>
              <w:t>Placebo+ platinum</w:t>
            </w:r>
          </w:p>
        </w:tc>
      </w:tr>
      <w:tr w:rsidR="00EB1761" w:rsidRPr="008A0138" w:rsidTr="008A0138">
        <w:tc>
          <w:tcPr>
            <w:tcW w:w="5000" w:type="pct"/>
            <w:gridSpan w:val="5"/>
            <w:vAlign w:val="center"/>
          </w:tcPr>
          <w:p w:rsidR="00EB1761" w:rsidRPr="008A0138" w:rsidRDefault="00EB1761" w:rsidP="00EB1761">
            <w:pPr>
              <w:pStyle w:val="TableText0"/>
              <w:rPr>
                <w:szCs w:val="20"/>
              </w:rPr>
            </w:pPr>
            <w:r w:rsidRPr="008A0138">
              <w:rPr>
                <w:b/>
                <w:szCs w:val="20"/>
              </w:rPr>
              <w:t>ITT analysis</w:t>
            </w:r>
          </w:p>
        </w:tc>
      </w:tr>
      <w:tr w:rsidR="00EB1761" w:rsidRPr="008A0138" w:rsidTr="008A0138">
        <w:tc>
          <w:tcPr>
            <w:tcW w:w="1159" w:type="pct"/>
            <w:vAlign w:val="center"/>
          </w:tcPr>
          <w:p w:rsidR="00EB1761" w:rsidRPr="008A0138" w:rsidRDefault="00EB1761" w:rsidP="00EB1761">
            <w:pPr>
              <w:pStyle w:val="TableText0"/>
              <w:rPr>
                <w:bCs w:val="0"/>
                <w:szCs w:val="20"/>
              </w:rPr>
            </w:pPr>
            <w:r w:rsidRPr="008A0138">
              <w:rPr>
                <w:bCs w:val="0"/>
                <w:szCs w:val="20"/>
              </w:rPr>
              <w:t xml:space="preserve">Population </w:t>
            </w:r>
          </w:p>
        </w:tc>
        <w:tc>
          <w:tcPr>
            <w:tcW w:w="1921" w:type="pct"/>
            <w:gridSpan w:val="2"/>
            <w:vAlign w:val="center"/>
          </w:tcPr>
          <w:p w:rsidR="00EB1761" w:rsidRPr="008A0138" w:rsidRDefault="00EB1761" w:rsidP="00EB1761">
            <w:pPr>
              <w:pStyle w:val="TableText0"/>
              <w:jc w:val="center"/>
              <w:rPr>
                <w:szCs w:val="20"/>
              </w:rPr>
            </w:pPr>
            <w:r w:rsidRPr="008A0138">
              <w:rPr>
                <w:szCs w:val="20"/>
              </w:rPr>
              <w:t>All histology</w:t>
            </w:r>
          </w:p>
        </w:tc>
        <w:tc>
          <w:tcPr>
            <w:tcW w:w="1920" w:type="pct"/>
            <w:gridSpan w:val="2"/>
            <w:vAlign w:val="center"/>
          </w:tcPr>
          <w:p w:rsidR="00EB1761" w:rsidRPr="008A0138" w:rsidRDefault="00EB1761" w:rsidP="00EB1761">
            <w:pPr>
              <w:pStyle w:val="TableText0"/>
              <w:jc w:val="center"/>
              <w:rPr>
                <w:szCs w:val="20"/>
              </w:rPr>
            </w:pPr>
            <w:r w:rsidRPr="008A0138">
              <w:rPr>
                <w:szCs w:val="20"/>
              </w:rPr>
              <w:t>Squamous</w:t>
            </w:r>
          </w:p>
        </w:tc>
      </w:tr>
      <w:tr w:rsidR="00EB1761" w:rsidRPr="008A0138" w:rsidTr="008A0138">
        <w:tc>
          <w:tcPr>
            <w:tcW w:w="1159" w:type="pct"/>
            <w:vAlign w:val="center"/>
          </w:tcPr>
          <w:p w:rsidR="00EB1761" w:rsidRPr="008A0138" w:rsidRDefault="00EB1761" w:rsidP="00EB1761">
            <w:pPr>
              <w:pStyle w:val="TableText0"/>
              <w:rPr>
                <w:b/>
                <w:bCs w:val="0"/>
                <w:szCs w:val="20"/>
              </w:rPr>
            </w:pPr>
            <w:r w:rsidRPr="008A0138">
              <w:rPr>
                <w:szCs w:val="20"/>
              </w:rPr>
              <w:t>Median follow-up</w:t>
            </w:r>
          </w:p>
        </w:tc>
        <w:tc>
          <w:tcPr>
            <w:tcW w:w="960" w:type="pct"/>
            <w:vAlign w:val="center"/>
          </w:tcPr>
          <w:p w:rsidR="00EB1761" w:rsidRPr="008A0138" w:rsidRDefault="00EB1761" w:rsidP="00EB1761">
            <w:pPr>
              <w:pStyle w:val="TableText0"/>
              <w:jc w:val="center"/>
              <w:rPr>
                <w:szCs w:val="20"/>
              </w:rPr>
            </w:pPr>
            <w:r w:rsidRPr="008A0138">
              <w:rPr>
                <w:szCs w:val="20"/>
              </w:rPr>
              <w:t>14.2 months</w:t>
            </w:r>
          </w:p>
        </w:tc>
        <w:tc>
          <w:tcPr>
            <w:tcW w:w="961" w:type="pct"/>
            <w:vAlign w:val="center"/>
          </w:tcPr>
          <w:p w:rsidR="00EB1761" w:rsidRPr="008A0138" w:rsidRDefault="00EB1761" w:rsidP="00EB1761">
            <w:pPr>
              <w:pStyle w:val="TableText0"/>
              <w:jc w:val="center"/>
              <w:rPr>
                <w:szCs w:val="20"/>
              </w:rPr>
            </w:pPr>
            <w:r w:rsidRPr="008A0138">
              <w:rPr>
                <w:szCs w:val="20"/>
              </w:rPr>
              <w:t>10.9 months</w:t>
            </w:r>
          </w:p>
        </w:tc>
        <w:tc>
          <w:tcPr>
            <w:tcW w:w="1920" w:type="pct"/>
            <w:gridSpan w:val="2"/>
            <w:vAlign w:val="center"/>
          </w:tcPr>
          <w:p w:rsidR="00EB1761" w:rsidRPr="008A0138" w:rsidRDefault="00EB1761" w:rsidP="00EB1761">
            <w:pPr>
              <w:pStyle w:val="TableText0"/>
              <w:jc w:val="center"/>
              <w:rPr>
                <w:szCs w:val="20"/>
              </w:rPr>
            </w:pPr>
            <w:r w:rsidRPr="008A0138">
              <w:rPr>
                <w:szCs w:val="20"/>
              </w:rPr>
              <w:t>14.3 months</w:t>
            </w:r>
          </w:p>
        </w:tc>
      </w:tr>
      <w:tr w:rsidR="00EB1761" w:rsidRPr="008A0138" w:rsidTr="008A0138">
        <w:tc>
          <w:tcPr>
            <w:tcW w:w="1159" w:type="pct"/>
            <w:vAlign w:val="center"/>
          </w:tcPr>
          <w:p w:rsidR="00EB1761" w:rsidRPr="008A0138" w:rsidRDefault="00EB1761" w:rsidP="00EB1761">
            <w:pPr>
              <w:pStyle w:val="TableText0"/>
              <w:rPr>
                <w:b/>
                <w:bCs w:val="0"/>
                <w:szCs w:val="20"/>
              </w:rPr>
            </w:pPr>
          </w:p>
        </w:tc>
        <w:tc>
          <w:tcPr>
            <w:tcW w:w="960" w:type="pct"/>
            <w:vAlign w:val="center"/>
          </w:tcPr>
          <w:p w:rsidR="00EB1761" w:rsidRPr="008A0138" w:rsidRDefault="00EB1761" w:rsidP="00EB1761">
            <w:pPr>
              <w:pStyle w:val="TableText0"/>
              <w:jc w:val="center"/>
              <w:rPr>
                <w:szCs w:val="20"/>
              </w:rPr>
            </w:pPr>
            <w:r w:rsidRPr="008A0138">
              <w:rPr>
                <w:szCs w:val="20"/>
              </w:rPr>
              <w:t>N=361</w:t>
            </w:r>
          </w:p>
        </w:tc>
        <w:tc>
          <w:tcPr>
            <w:tcW w:w="961" w:type="pct"/>
            <w:vAlign w:val="center"/>
          </w:tcPr>
          <w:p w:rsidR="00EB1761" w:rsidRPr="008A0138" w:rsidRDefault="00EB1761" w:rsidP="00EB1761">
            <w:pPr>
              <w:pStyle w:val="TableText0"/>
              <w:jc w:val="center"/>
              <w:rPr>
                <w:szCs w:val="20"/>
              </w:rPr>
            </w:pPr>
            <w:r w:rsidRPr="008A0138">
              <w:rPr>
                <w:szCs w:val="20"/>
              </w:rPr>
              <w:t>N=358</w:t>
            </w:r>
          </w:p>
        </w:tc>
        <w:tc>
          <w:tcPr>
            <w:tcW w:w="960" w:type="pct"/>
            <w:vAlign w:val="center"/>
          </w:tcPr>
          <w:p w:rsidR="00EB1761" w:rsidRPr="008A0138" w:rsidRDefault="00EB1761" w:rsidP="00EB1761">
            <w:pPr>
              <w:pStyle w:val="TableText0"/>
              <w:jc w:val="center"/>
              <w:rPr>
                <w:szCs w:val="20"/>
              </w:rPr>
            </w:pPr>
            <w:r w:rsidRPr="008A0138">
              <w:rPr>
                <w:szCs w:val="20"/>
              </w:rPr>
              <w:t>N=278</w:t>
            </w:r>
          </w:p>
        </w:tc>
        <w:tc>
          <w:tcPr>
            <w:tcW w:w="960" w:type="pct"/>
            <w:vAlign w:val="center"/>
          </w:tcPr>
          <w:p w:rsidR="00EB1761" w:rsidRPr="008A0138" w:rsidRDefault="00EB1761" w:rsidP="00EB1761">
            <w:pPr>
              <w:pStyle w:val="TableText0"/>
              <w:jc w:val="center"/>
              <w:rPr>
                <w:szCs w:val="20"/>
              </w:rPr>
            </w:pPr>
            <w:r w:rsidRPr="008A0138">
              <w:rPr>
                <w:szCs w:val="20"/>
              </w:rPr>
              <w:t>N=281</w:t>
            </w:r>
          </w:p>
        </w:tc>
      </w:tr>
      <w:tr w:rsidR="00EB1761" w:rsidRPr="008A0138" w:rsidTr="008A0138">
        <w:tc>
          <w:tcPr>
            <w:tcW w:w="1159" w:type="pct"/>
            <w:vAlign w:val="center"/>
          </w:tcPr>
          <w:p w:rsidR="00EB1761" w:rsidRPr="008A0138" w:rsidRDefault="00EB1761" w:rsidP="00EB1761">
            <w:pPr>
              <w:pStyle w:val="TableText0"/>
              <w:rPr>
                <w:szCs w:val="20"/>
              </w:rPr>
            </w:pPr>
            <w:r w:rsidRPr="008A0138">
              <w:rPr>
                <w:szCs w:val="20"/>
              </w:rPr>
              <w:t>Patients with event, n (%)</w:t>
            </w:r>
          </w:p>
        </w:tc>
        <w:tc>
          <w:tcPr>
            <w:tcW w:w="960" w:type="pct"/>
            <w:vAlign w:val="center"/>
          </w:tcPr>
          <w:p w:rsidR="00EB1761" w:rsidRPr="008A0138" w:rsidRDefault="00EB1761" w:rsidP="00EB1761">
            <w:pPr>
              <w:pStyle w:val="TableText0"/>
              <w:jc w:val="center"/>
              <w:rPr>
                <w:szCs w:val="20"/>
              </w:rPr>
            </w:pPr>
            <w:r w:rsidRPr="008A0138">
              <w:rPr>
                <w:szCs w:val="20"/>
              </w:rPr>
              <w:t>190 (52.6%)</w:t>
            </w:r>
          </w:p>
        </w:tc>
        <w:tc>
          <w:tcPr>
            <w:tcW w:w="961" w:type="pct"/>
            <w:vAlign w:val="center"/>
          </w:tcPr>
          <w:p w:rsidR="00EB1761" w:rsidRPr="008A0138" w:rsidRDefault="00EB1761" w:rsidP="00EB1761">
            <w:pPr>
              <w:pStyle w:val="TableText0"/>
              <w:jc w:val="center"/>
              <w:rPr>
                <w:szCs w:val="20"/>
              </w:rPr>
            </w:pPr>
            <w:r w:rsidRPr="008A0138">
              <w:rPr>
                <w:szCs w:val="20"/>
              </w:rPr>
              <w:t>242 (67.6%)</w:t>
            </w:r>
          </w:p>
        </w:tc>
        <w:tc>
          <w:tcPr>
            <w:tcW w:w="960" w:type="pct"/>
            <w:vAlign w:val="center"/>
          </w:tcPr>
          <w:p w:rsidR="00EB1761" w:rsidRPr="008A0138" w:rsidRDefault="00EB1761" w:rsidP="00EB1761">
            <w:pPr>
              <w:pStyle w:val="TableText0"/>
              <w:jc w:val="center"/>
              <w:rPr>
                <w:szCs w:val="20"/>
              </w:rPr>
            </w:pPr>
            <w:r w:rsidRPr="008A0138">
              <w:rPr>
                <w:szCs w:val="20"/>
              </w:rPr>
              <w:t>168 (60.4%)</w:t>
            </w:r>
          </w:p>
        </w:tc>
        <w:tc>
          <w:tcPr>
            <w:tcW w:w="960" w:type="pct"/>
            <w:vAlign w:val="center"/>
          </w:tcPr>
          <w:p w:rsidR="00EB1761" w:rsidRPr="008A0138" w:rsidRDefault="00EB1761" w:rsidP="00EB1761">
            <w:pPr>
              <w:pStyle w:val="TableText0"/>
              <w:jc w:val="center"/>
              <w:rPr>
                <w:szCs w:val="20"/>
              </w:rPr>
            </w:pPr>
            <w:r w:rsidRPr="008A0138">
              <w:rPr>
                <w:szCs w:val="20"/>
              </w:rPr>
              <w:t>197 (70.1%)</w:t>
            </w:r>
          </w:p>
        </w:tc>
      </w:tr>
      <w:tr w:rsidR="00EB1761" w:rsidRPr="008A0138" w:rsidTr="008A0138">
        <w:tc>
          <w:tcPr>
            <w:tcW w:w="1159" w:type="pct"/>
            <w:vAlign w:val="center"/>
          </w:tcPr>
          <w:p w:rsidR="00EB1761" w:rsidRPr="008A0138" w:rsidRDefault="00EB1761" w:rsidP="00EB1761">
            <w:pPr>
              <w:pStyle w:val="TableText0"/>
              <w:rPr>
                <w:szCs w:val="20"/>
              </w:rPr>
            </w:pPr>
            <w:r w:rsidRPr="008A0138">
              <w:rPr>
                <w:szCs w:val="20"/>
              </w:rPr>
              <w:t>Median OS (95%CI), months</w:t>
            </w:r>
          </w:p>
        </w:tc>
        <w:tc>
          <w:tcPr>
            <w:tcW w:w="960" w:type="pct"/>
            <w:vAlign w:val="center"/>
          </w:tcPr>
          <w:p w:rsidR="00EB1761" w:rsidRPr="008A0138" w:rsidRDefault="00EB1761" w:rsidP="00EB1761">
            <w:pPr>
              <w:pStyle w:val="TableText0"/>
              <w:jc w:val="center"/>
              <w:rPr>
                <w:szCs w:val="20"/>
              </w:rPr>
            </w:pPr>
            <w:r w:rsidRPr="008A0138">
              <w:rPr>
                <w:szCs w:val="20"/>
              </w:rPr>
              <w:t>15.6 (13.9, 20.0)</w:t>
            </w:r>
          </w:p>
        </w:tc>
        <w:tc>
          <w:tcPr>
            <w:tcW w:w="961" w:type="pct"/>
            <w:vAlign w:val="center"/>
          </w:tcPr>
          <w:p w:rsidR="00EB1761" w:rsidRPr="008A0138" w:rsidRDefault="00EB1761" w:rsidP="00EB1761">
            <w:pPr>
              <w:pStyle w:val="TableText0"/>
              <w:jc w:val="center"/>
              <w:rPr>
                <w:szCs w:val="20"/>
              </w:rPr>
            </w:pPr>
            <w:r w:rsidRPr="008A0138">
              <w:rPr>
                <w:szCs w:val="20"/>
              </w:rPr>
              <w:t>10.9 (9.5, 12.6)</w:t>
            </w:r>
          </w:p>
        </w:tc>
        <w:tc>
          <w:tcPr>
            <w:tcW w:w="960" w:type="pct"/>
            <w:vAlign w:val="center"/>
          </w:tcPr>
          <w:p w:rsidR="00EB1761" w:rsidRPr="008A0138" w:rsidRDefault="00EB1761" w:rsidP="00EB1761">
            <w:pPr>
              <w:pStyle w:val="TableText0"/>
              <w:jc w:val="center"/>
              <w:rPr>
                <w:szCs w:val="20"/>
              </w:rPr>
            </w:pPr>
            <w:r w:rsidRPr="008A0138">
              <w:rPr>
                <w:szCs w:val="20"/>
              </w:rPr>
              <w:t>17.1 (14.4, 19.9)</w:t>
            </w:r>
          </w:p>
        </w:tc>
        <w:tc>
          <w:tcPr>
            <w:tcW w:w="960" w:type="pct"/>
            <w:vAlign w:val="center"/>
          </w:tcPr>
          <w:p w:rsidR="00EB1761" w:rsidRPr="008A0138" w:rsidRDefault="00EB1761" w:rsidP="00EB1761">
            <w:pPr>
              <w:pStyle w:val="TableText0"/>
              <w:jc w:val="center"/>
              <w:rPr>
                <w:szCs w:val="20"/>
              </w:rPr>
            </w:pPr>
            <w:r w:rsidRPr="008A0138">
              <w:rPr>
                <w:szCs w:val="20"/>
              </w:rPr>
              <w:t>11.6 (10.1, 13.7)</w:t>
            </w:r>
          </w:p>
        </w:tc>
      </w:tr>
      <w:tr w:rsidR="00EB1761" w:rsidRPr="008A0138" w:rsidTr="008A0138">
        <w:tc>
          <w:tcPr>
            <w:tcW w:w="1159" w:type="pct"/>
            <w:tcBorders>
              <w:bottom w:val="single" w:sz="4" w:space="0" w:color="auto"/>
            </w:tcBorders>
            <w:vAlign w:val="center"/>
          </w:tcPr>
          <w:p w:rsidR="00EB1761" w:rsidRPr="008A0138" w:rsidRDefault="00EB1761" w:rsidP="00EB1761">
            <w:pPr>
              <w:pStyle w:val="TableText0"/>
              <w:rPr>
                <w:szCs w:val="20"/>
              </w:rPr>
            </w:pPr>
            <w:r w:rsidRPr="008A0138">
              <w:rPr>
                <w:szCs w:val="20"/>
              </w:rPr>
              <w:t>HR (95%CI)</w:t>
            </w:r>
          </w:p>
        </w:tc>
        <w:tc>
          <w:tcPr>
            <w:tcW w:w="1921" w:type="pct"/>
            <w:gridSpan w:val="2"/>
            <w:tcBorders>
              <w:bottom w:val="single" w:sz="4" w:space="0" w:color="auto"/>
            </w:tcBorders>
            <w:vAlign w:val="center"/>
          </w:tcPr>
          <w:p w:rsidR="00EB1761" w:rsidRPr="008A0138" w:rsidRDefault="00EB1761" w:rsidP="00EB1761">
            <w:pPr>
              <w:pStyle w:val="TableText0"/>
              <w:jc w:val="center"/>
              <w:rPr>
                <w:szCs w:val="20"/>
              </w:rPr>
            </w:pPr>
            <w:r w:rsidRPr="008A0138">
              <w:rPr>
                <w:szCs w:val="20"/>
              </w:rPr>
              <w:t>0.66 (0.55, 0.80)</w:t>
            </w:r>
          </w:p>
        </w:tc>
        <w:tc>
          <w:tcPr>
            <w:tcW w:w="1920" w:type="pct"/>
            <w:gridSpan w:val="2"/>
            <w:tcBorders>
              <w:bottom w:val="single" w:sz="4" w:space="0" w:color="auto"/>
            </w:tcBorders>
          </w:tcPr>
          <w:p w:rsidR="00EB1761" w:rsidRPr="008A0138" w:rsidRDefault="00EB1761" w:rsidP="00EB1761">
            <w:pPr>
              <w:pStyle w:val="TableText0"/>
              <w:jc w:val="center"/>
              <w:rPr>
                <w:szCs w:val="20"/>
              </w:rPr>
            </w:pPr>
            <w:r w:rsidRPr="008A0138">
              <w:rPr>
                <w:szCs w:val="20"/>
              </w:rPr>
              <w:t>0.71 (0.58, 0.88)</w:t>
            </w:r>
          </w:p>
        </w:tc>
      </w:tr>
      <w:tr w:rsidR="00EB1761" w:rsidRPr="008A0138" w:rsidTr="008A0138">
        <w:tc>
          <w:tcPr>
            <w:tcW w:w="1159" w:type="pct"/>
            <w:tcBorders>
              <w:bottom w:val="single" w:sz="4" w:space="0" w:color="auto"/>
            </w:tcBorders>
            <w:vAlign w:val="center"/>
          </w:tcPr>
          <w:p w:rsidR="00EB1761" w:rsidRPr="008A0138" w:rsidRDefault="00EB1761" w:rsidP="00EB1761">
            <w:pPr>
              <w:pStyle w:val="TableText0"/>
              <w:rPr>
                <w:szCs w:val="20"/>
              </w:rPr>
            </w:pPr>
            <w:r w:rsidRPr="008A0138">
              <w:rPr>
                <w:szCs w:val="20"/>
              </w:rPr>
              <w:t>12-month OS rate</w:t>
            </w:r>
          </w:p>
        </w:tc>
        <w:tc>
          <w:tcPr>
            <w:tcW w:w="960" w:type="pct"/>
            <w:tcBorders>
              <w:bottom w:val="single" w:sz="4" w:space="0" w:color="auto"/>
            </w:tcBorders>
            <w:vAlign w:val="center"/>
          </w:tcPr>
          <w:p w:rsidR="00EB1761" w:rsidRPr="008A0138" w:rsidRDefault="00EB1761" w:rsidP="00EB1761">
            <w:pPr>
              <w:pStyle w:val="TableText0"/>
              <w:jc w:val="center"/>
              <w:rPr>
                <w:szCs w:val="20"/>
              </w:rPr>
            </w:pPr>
            <w:r w:rsidRPr="008A0138">
              <w:rPr>
                <w:szCs w:val="20"/>
              </w:rPr>
              <w:t>62.9%</w:t>
            </w:r>
          </w:p>
        </w:tc>
        <w:tc>
          <w:tcPr>
            <w:tcW w:w="961" w:type="pct"/>
            <w:tcBorders>
              <w:bottom w:val="single" w:sz="4" w:space="0" w:color="auto"/>
            </w:tcBorders>
            <w:vAlign w:val="center"/>
          </w:tcPr>
          <w:p w:rsidR="00EB1761" w:rsidRPr="008A0138" w:rsidRDefault="00EB1761" w:rsidP="00EB1761">
            <w:pPr>
              <w:pStyle w:val="TableText0"/>
              <w:jc w:val="center"/>
              <w:rPr>
                <w:szCs w:val="20"/>
              </w:rPr>
            </w:pPr>
            <w:r w:rsidRPr="008A0138">
              <w:rPr>
                <w:szCs w:val="20"/>
              </w:rPr>
              <w:t>46.9%</w:t>
            </w:r>
          </w:p>
        </w:tc>
        <w:tc>
          <w:tcPr>
            <w:tcW w:w="960" w:type="pct"/>
            <w:tcBorders>
              <w:bottom w:val="single" w:sz="4" w:space="0" w:color="auto"/>
            </w:tcBorders>
            <w:vAlign w:val="center"/>
          </w:tcPr>
          <w:p w:rsidR="00EB1761" w:rsidRPr="008A0138" w:rsidRDefault="00EB1761" w:rsidP="00EB1761">
            <w:pPr>
              <w:pStyle w:val="TableText0"/>
              <w:jc w:val="center"/>
              <w:rPr>
                <w:szCs w:val="20"/>
              </w:rPr>
            </w:pPr>
            <w:r w:rsidRPr="008A0138">
              <w:rPr>
                <w:szCs w:val="20"/>
              </w:rPr>
              <w:t>64.7%</w:t>
            </w:r>
          </w:p>
        </w:tc>
        <w:tc>
          <w:tcPr>
            <w:tcW w:w="960" w:type="pct"/>
            <w:tcBorders>
              <w:bottom w:val="single" w:sz="4" w:space="0" w:color="auto"/>
            </w:tcBorders>
            <w:vAlign w:val="center"/>
          </w:tcPr>
          <w:p w:rsidR="00EB1761" w:rsidRPr="008A0138" w:rsidRDefault="00EB1761" w:rsidP="00EB1761">
            <w:pPr>
              <w:pStyle w:val="TableText0"/>
              <w:jc w:val="center"/>
              <w:rPr>
                <w:szCs w:val="20"/>
              </w:rPr>
            </w:pPr>
            <w:r w:rsidRPr="008A0138">
              <w:rPr>
                <w:szCs w:val="20"/>
              </w:rPr>
              <w:t>49.6%</w:t>
            </w:r>
          </w:p>
        </w:tc>
      </w:tr>
      <w:tr w:rsidR="00EB1761" w:rsidRPr="008A0138" w:rsidTr="008A0138">
        <w:tc>
          <w:tcPr>
            <w:tcW w:w="3080" w:type="pct"/>
            <w:gridSpan w:val="3"/>
            <w:tcBorders>
              <w:top w:val="single" w:sz="4" w:space="0" w:color="auto"/>
              <w:bottom w:val="double" w:sz="4" w:space="0" w:color="auto"/>
            </w:tcBorders>
            <w:vAlign w:val="center"/>
          </w:tcPr>
          <w:p w:rsidR="00EB1761" w:rsidRPr="008A0138" w:rsidRDefault="00EB1761" w:rsidP="00EB1761">
            <w:pPr>
              <w:pStyle w:val="TableText0"/>
              <w:rPr>
                <w:b/>
                <w:szCs w:val="20"/>
              </w:rPr>
            </w:pPr>
            <w:r w:rsidRPr="008A0138">
              <w:rPr>
                <w:b/>
                <w:szCs w:val="20"/>
              </w:rPr>
              <w:t>Indirect estimate of effect, HR (95% CI)</w:t>
            </w:r>
            <w:r w:rsidRPr="008A0138">
              <w:rPr>
                <w:b/>
                <w:szCs w:val="20"/>
                <w:vertAlign w:val="superscript"/>
              </w:rPr>
              <w:t>a</w:t>
            </w:r>
          </w:p>
        </w:tc>
        <w:tc>
          <w:tcPr>
            <w:tcW w:w="1920" w:type="pct"/>
            <w:gridSpan w:val="2"/>
            <w:tcBorders>
              <w:top w:val="single" w:sz="4" w:space="0" w:color="auto"/>
              <w:bottom w:val="double" w:sz="4" w:space="0" w:color="auto"/>
            </w:tcBorders>
            <w:vAlign w:val="center"/>
          </w:tcPr>
          <w:p w:rsidR="00EB1761" w:rsidRPr="008A0138" w:rsidRDefault="00EB1761" w:rsidP="00EB1761">
            <w:pPr>
              <w:pStyle w:val="TableText0"/>
              <w:jc w:val="center"/>
              <w:rPr>
                <w:b/>
                <w:szCs w:val="20"/>
              </w:rPr>
            </w:pPr>
            <w:r w:rsidRPr="008A0138">
              <w:rPr>
                <w:b/>
                <w:szCs w:val="20"/>
              </w:rPr>
              <w:t>0.93 (0.70, 1.23)</w:t>
            </w:r>
          </w:p>
        </w:tc>
      </w:tr>
      <w:tr w:rsidR="00EB1761" w:rsidRPr="008A0138" w:rsidTr="008A0138">
        <w:tc>
          <w:tcPr>
            <w:tcW w:w="5000" w:type="pct"/>
            <w:gridSpan w:val="5"/>
            <w:vAlign w:val="center"/>
          </w:tcPr>
          <w:p w:rsidR="00EB1761" w:rsidRPr="008A0138" w:rsidRDefault="00EB1761" w:rsidP="00EB1761">
            <w:pPr>
              <w:pStyle w:val="TableText0"/>
              <w:rPr>
                <w:szCs w:val="20"/>
              </w:rPr>
            </w:pPr>
            <w:r w:rsidRPr="008A0138">
              <w:rPr>
                <w:b/>
                <w:bCs w:val="0"/>
                <w:szCs w:val="20"/>
              </w:rPr>
              <w:t>Supplementary analysis: squamous subgroup CM9LA</w:t>
            </w:r>
          </w:p>
        </w:tc>
      </w:tr>
      <w:tr w:rsidR="00EB1761" w:rsidRPr="008A0138" w:rsidTr="008A0138">
        <w:tc>
          <w:tcPr>
            <w:tcW w:w="1159" w:type="pct"/>
            <w:vAlign w:val="center"/>
          </w:tcPr>
          <w:p w:rsidR="00EB1761" w:rsidRPr="008A0138" w:rsidRDefault="00EB1761" w:rsidP="00EB1761">
            <w:pPr>
              <w:pStyle w:val="TableText0"/>
              <w:rPr>
                <w:bCs w:val="0"/>
                <w:szCs w:val="20"/>
              </w:rPr>
            </w:pPr>
            <w:r w:rsidRPr="008A0138">
              <w:rPr>
                <w:bCs w:val="0"/>
                <w:szCs w:val="20"/>
              </w:rPr>
              <w:t>Population</w:t>
            </w:r>
          </w:p>
        </w:tc>
        <w:tc>
          <w:tcPr>
            <w:tcW w:w="1921" w:type="pct"/>
            <w:gridSpan w:val="2"/>
            <w:vAlign w:val="center"/>
          </w:tcPr>
          <w:p w:rsidR="00EB1761" w:rsidRPr="008A0138" w:rsidRDefault="00EB1761" w:rsidP="00EB1761">
            <w:pPr>
              <w:pStyle w:val="TableText0"/>
              <w:jc w:val="center"/>
              <w:rPr>
                <w:szCs w:val="20"/>
              </w:rPr>
            </w:pPr>
            <w:r w:rsidRPr="008A0138">
              <w:rPr>
                <w:szCs w:val="20"/>
              </w:rPr>
              <w:t>Squamous subgroup</w:t>
            </w:r>
          </w:p>
        </w:tc>
        <w:tc>
          <w:tcPr>
            <w:tcW w:w="1920" w:type="pct"/>
            <w:gridSpan w:val="2"/>
            <w:vAlign w:val="center"/>
          </w:tcPr>
          <w:p w:rsidR="00EB1761" w:rsidRPr="008A0138" w:rsidRDefault="00EB1761" w:rsidP="00EB1761">
            <w:pPr>
              <w:pStyle w:val="TableText0"/>
              <w:jc w:val="center"/>
              <w:rPr>
                <w:szCs w:val="20"/>
              </w:rPr>
            </w:pPr>
            <w:r w:rsidRPr="008A0138">
              <w:rPr>
                <w:szCs w:val="20"/>
              </w:rPr>
              <w:t>Squamous</w:t>
            </w:r>
          </w:p>
        </w:tc>
      </w:tr>
      <w:tr w:rsidR="00EB1761" w:rsidRPr="008A0138" w:rsidTr="008A0138">
        <w:tc>
          <w:tcPr>
            <w:tcW w:w="1159" w:type="pct"/>
            <w:vAlign w:val="center"/>
          </w:tcPr>
          <w:p w:rsidR="00EB1761" w:rsidRPr="008A0138" w:rsidRDefault="00EB1761" w:rsidP="00EB1761">
            <w:pPr>
              <w:pStyle w:val="TableText0"/>
              <w:rPr>
                <w:b/>
                <w:bCs w:val="0"/>
                <w:szCs w:val="20"/>
              </w:rPr>
            </w:pPr>
            <w:r w:rsidRPr="008A0138">
              <w:rPr>
                <w:szCs w:val="20"/>
              </w:rPr>
              <w:t>Median follow-up</w:t>
            </w:r>
          </w:p>
        </w:tc>
        <w:tc>
          <w:tcPr>
            <w:tcW w:w="960" w:type="pct"/>
            <w:vAlign w:val="center"/>
          </w:tcPr>
          <w:p w:rsidR="00EB1761" w:rsidRPr="008A0138" w:rsidRDefault="00EB1761" w:rsidP="00EB1761">
            <w:pPr>
              <w:pStyle w:val="TableText0"/>
              <w:jc w:val="center"/>
              <w:rPr>
                <w:szCs w:val="20"/>
              </w:rPr>
            </w:pPr>
            <w:r w:rsidRPr="008A0138">
              <w:rPr>
                <w:szCs w:val="20"/>
              </w:rPr>
              <w:t>14.2 months</w:t>
            </w:r>
          </w:p>
        </w:tc>
        <w:tc>
          <w:tcPr>
            <w:tcW w:w="961" w:type="pct"/>
            <w:vAlign w:val="center"/>
          </w:tcPr>
          <w:p w:rsidR="00EB1761" w:rsidRPr="008A0138" w:rsidRDefault="00EB1761" w:rsidP="00EB1761">
            <w:pPr>
              <w:pStyle w:val="TableText0"/>
              <w:jc w:val="center"/>
              <w:rPr>
                <w:szCs w:val="20"/>
              </w:rPr>
            </w:pPr>
            <w:r w:rsidRPr="008A0138">
              <w:rPr>
                <w:szCs w:val="20"/>
              </w:rPr>
              <w:t>10.9 months</w:t>
            </w:r>
          </w:p>
        </w:tc>
        <w:tc>
          <w:tcPr>
            <w:tcW w:w="1920" w:type="pct"/>
            <w:gridSpan w:val="2"/>
            <w:vAlign w:val="center"/>
          </w:tcPr>
          <w:p w:rsidR="00EB1761" w:rsidRPr="008A0138" w:rsidRDefault="00EB1761" w:rsidP="00EB1761">
            <w:pPr>
              <w:pStyle w:val="TableText0"/>
              <w:jc w:val="center"/>
              <w:rPr>
                <w:szCs w:val="20"/>
              </w:rPr>
            </w:pPr>
            <w:r w:rsidRPr="008A0138">
              <w:rPr>
                <w:szCs w:val="20"/>
              </w:rPr>
              <w:t>14.3 months</w:t>
            </w:r>
          </w:p>
        </w:tc>
      </w:tr>
      <w:tr w:rsidR="00EB1761" w:rsidRPr="008A0138" w:rsidTr="008A0138">
        <w:tc>
          <w:tcPr>
            <w:tcW w:w="1159" w:type="pct"/>
            <w:vAlign w:val="center"/>
          </w:tcPr>
          <w:p w:rsidR="00EB1761" w:rsidRPr="008A0138" w:rsidRDefault="00EB1761" w:rsidP="00EB1761">
            <w:pPr>
              <w:pStyle w:val="TableText0"/>
              <w:rPr>
                <w:b/>
                <w:bCs w:val="0"/>
                <w:szCs w:val="20"/>
              </w:rPr>
            </w:pPr>
          </w:p>
        </w:tc>
        <w:tc>
          <w:tcPr>
            <w:tcW w:w="960" w:type="pct"/>
            <w:vAlign w:val="center"/>
          </w:tcPr>
          <w:p w:rsidR="00EB1761" w:rsidRPr="008A0138" w:rsidRDefault="00EB1761" w:rsidP="00EB1761">
            <w:pPr>
              <w:pStyle w:val="TableText0"/>
              <w:jc w:val="center"/>
              <w:rPr>
                <w:szCs w:val="20"/>
              </w:rPr>
            </w:pPr>
            <w:r w:rsidRPr="008A0138">
              <w:rPr>
                <w:szCs w:val="20"/>
              </w:rPr>
              <w:t>N=115</w:t>
            </w:r>
          </w:p>
        </w:tc>
        <w:tc>
          <w:tcPr>
            <w:tcW w:w="961" w:type="pct"/>
            <w:vAlign w:val="center"/>
          </w:tcPr>
          <w:p w:rsidR="00EB1761" w:rsidRPr="008A0138" w:rsidRDefault="00EB1761" w:rsidP="00EB1761">
            <w:pPr>
              <w:pStyle w:val="TableText0"/>
              <w:jc w:val="center"/>
              <w:rPr>
                <w:szCs w:val="20"/>
              </w:rPr>
            </w:pPr>
            <w:r w:rsidRPr="008A0138">
              <w:rPr>
                <w:szCs w:val="20"/>
              </w:rPr>
              <w:t>N=112</w:t>
            </w:r>
          </w:p>
        </w:tc>
        <w:tc>
          <w:tcPr>
            <w:tcW w:w="960" w:type="pct"/>
            <w:vAlign w:val="center"/>
          </w:tcPr>
          <w:p w:rsidR="00EB1761" w:rsidRPr="008A0138" w:rsidRDefault="00EB1761" w:rsidP="00EB1761">
            <w:pPr>
              <w:pStyle w:val="TableText0"/>
              <w:jc w:val="center"/>
              <w:rPr>
                <w:szCs w:val="20"/>
              </w:rPr>
            </w:pPr>
            <w:r w:rsidRPr="008A0138">
              <w:rPr>
                <w:szCs w:val="20"/>
              </w:rPr>
              <w:t>N=278</w:t>
            </w:r>
          </w:p>
        </w:tc>
        <w:tc>
          <w:tcPr>
            <w:tcW w:w="960" w:type="pct"/>
            <w:vAlign w:val="center"/>
          </w:tcPr>
          <w:p w:rsidR="00EB1761" w:rsidRPr="008A0138" w:rsidRDefault="00EB1761" w:rsidP="00EB1761">
            <w:pPr>
              <w:pStyle w:val="TableText0"/>
              <w:jc w:val="center"/>
              <w:rPr>
                <w:szCs w:val="20"/>
              </w:rPr>
            </w:pPr>
            <w:r w:rsidRPr="008A0138">
              <w:rPr>
                <w:szCs w:val="20"/>
              </w:rPr>
              <w:t>N=281</w:t>
            </w:r>
          </w:p>
        </w:tc>
      </w:tr>
      <w:tr w:rsidR="00EB1761" w:rsidRPr="008A0138" w:rsidTr="008A0138">
        <w:tc>
          <w:tcPr>
            <w:tcW w:w="1159" w:type="pct"/>
            <w:vAlign w:val="center"/>
          </w:tcPr>
          <w:p w:rsidR="00EB1761" w:rsidRPr="008A0138" w:rsidRDefault="00EB1761" w:rsidP="00EB1761">
            <w:pPr>
              <w:pStyle w:val="TableText0"/>
              <w:rPr>
                <w:szCs w:val="20"/>
              </w:rPr>
            </w:pPr>
            <w:r w:rsidRPr="008A0138">
              <w:rPr>
                <w:szCs w:val="20"/>
              </w:rPr>
              <w:t>Patients with event, n (%)</w:t>
            </w:r>
          </w:p>
        </w:tc>
        <w:tc>
          <w:tcPr>
            <w:tcW w:w="960" w:type="pct"/>
            <w:vAlign w:val="center"/>
          </w:tcPr>
          <w:p w:rsidR="00EB1761" w:rsidRPr="008A0138" w:rsidRDefault="00EB1761" w:rsidP="00EB1761">
            <w:pPr>
              <w:pStyle w:val="TableText0"/>
              <w:jc w:val="center"/>
              <w:rPr>
                <w:szCs w:val="20"/>
              </w:rPr>
            </w:pPr>
            <w:r w:rsidRPr="008A0138">
              <w:rPr>
                <w:szCs w:val="20"/>
              </w:rPr>
              <w:t>66 (57.4%)</w:t>
            </w:r>
          </w:p>
        </w:tc>
        <w:tc>
          <w:tcPr>
            <w:tcW w:w="961" w:type="pct"/>
            <w:vAlign w:val="center"/>
          </w:tcPr>
          <w:p w:rsidR="00EB1761" w:rsidRPr="008A0138" w:rsidRDefault="00EB1761" w:rsidP="00EB1761">
            <w:pPr>
              <w:pStyle w:val="TableText0"/>
              <w:jc w:val="center"/>
              <w:rPr>
                <w:szCs w:val="20"/>
              </w:rPr>
            </w:pPr>
            <w:r w:rsidRPr="008A0138">
              <w:rPr>
                <w:szCs w:val="20"/>
              </w:rPr>
              <w:t>83 (74.1%)</w:t>
            </w:r>
          </w:p>
        </w:tc>
        <w:tc>
          <w:tcPr>
            <w:tcW w:w="960" w:type="pct"/>
            <w:vAlign w:val="center"/>
          </w:tcPr>
          <w:p w:rsidR="00EB1761" w:rsidRPr="008A0138" w:rsidRDefault="00EB1761" w:rsidP="00EB1761">
            <w:pPr>
              <w:pStyle w:val="TableText0"/>
              <w:jc w:val="center"/>
              <w:rPr>
                <w:szCs w:val="20"/>
              </w:rPr>
            </w:pPr>
            <w:r w:rsidRPr="008A0138">
              <w:rPr>
                <w:szCs w:val="20"/>
              </w:rPr>
              <w:t>168 (60.4%)</w:t>
            </w:r>
          </w:p>
        </w:tc>
        <w:tc>
          <w:tcPr>
            <w:tcW w:w="960" w:type="pct"/>
            <w:vAlign w:val="center"/>
          </w:tcPr>
          <w:p w:rsidR="00EB1761" w:rsidRPr="008A0138" w:rsidRDefault="00EB1761" w:rsidP="00EB1761">
            <w:pPr>
              <w:pStyle w:val="TableText0"/>
              <w:jc w:val="center"/>
              <w:rPr>
                <w:szCs w:val="20"/>
              </w:rPr>
            </w:pPr>
            <w:r w:rsidRPr="008A0138">
              <w:rPr>
                <w:szCs w:val="20"/>
              </w:rPr>
              <w:t>197 (70.1%)</w:t>
            </w:r>
          </w:p>
        </w:tc>
      </w:tr>
      <w:tr w:rsidR="00EB1761" w:rsidRPr="008A0138" w:rsidTr="008A0138">
        <w:tc>
          <w:tcPr>
            <w:tcW w:w="1159" w:type="pct"/>
            <w:vAlign w:val="center"/>
          </w:tcPr>
          <w:p w:rsidR="00EB1761" w:rsidRPr="008A0138" w:rsidRDefault="00EB1761" w:rsidP="00EB1761">
            <w:pPr>
              <w:pStyle w:val="TableText0"/>
              <w:rPr>
                <w:szCs w:val="20"/>
              </w:rPr>
            </w:pPr>
            <w:r w:rsidRPr="008A0138">
              <w:rPr>
                <w:szCs w:val="20"/>
              </w:rPr>
              <w:t>Median OS (95%CI), months</w:t>
            </w:r>
          </w:p>
        </w:tc>
        <w:tc>
          <w:tcPr>
            <w:tcW w:w="960" w:type="pct"/>
            <w:vAlign w:val="center"/>
          </w:tcPr>
          <w:p w:rsidR="00EB1761" w:rsidRPr="008A0138" w:rsidRDefault="00EB1761" w:rsidP="00EB1761">
            <w:pPr>
              <w:pStyle w:val="TableText0"/>
              <w:jc w:val="center"/>
              <w:rPr>
                <w:szCs w:val="20"/>
              </w:rPr>
            </w:pPr>
            <w:r w:rsidRPr="008A0138">
              <w:rPr>
                <w:szCs w:val="20"/>
              </w:rPr>
              <w:t>14.5 (13.1, 19.4)</w:t>
            </w:r>
          </w:p>
        </w:tc>
        <w:tc>
          <w:tcPr>
            <w:tcW w:w="961" w:type="pct"/>
            <w:vAlign w:val="center"/>
          </w:tcPr>
          <w:p w:rsidR="00EB1761" w:rsidRPr="008A0138" w:rsidRDefault="00EB1761" w:rsidP="00EB1761">
            <w:pPr>
              <w:pStyle w:val="TableText0"/>
              <w:jc w:val="center"/>
              <w:rPr>
                <w:szCs w:val="20"/>
              </w:rPr>
            </w:pPr>
            <w:r w:rsidRPr="008A0138">
              <w:rPr>
                <w:szCs w:val="20"/>
              </w:rPr>
              <w:t>9.1 (7.2, 11.6)</w:t>
            </w:r>
          </w:p>
        </w:tc>
        <w:tc>
          <w:tcPr>
            <w:tcW w:w="960" w:type="pct"/>
            <w:vAlign w:val="center"/>
          </w:tcPr>
          <w:p w:rsidR="00EB1761" w:rsidRPr="008A0138" w:rsidRDefault="00EB1761" w:rsidP="00EB1761">
            <w:pPr>
              <w:pStyle w:val="TableText0"/>
              <w:jc w:val="center"/>
              <w:rPr>
                <w:szCs w:val="20"/>
              </w:rPr>
            </w:pPr>
            <w:r w:rsidRPr="008A0138">
              <w:rPr>
                <w:szCs w:val="20"/>
              </w:rPr>
              <w:t>17.1 (14.4, 19.9)</w:t>
            </w:r>
          </w:p>
        </w:tc>
        <w:tc>
          <w:tcPr>
            <w:tcW w:w="960" w:type="pct"/>
            <w:vAlign w:val="center"/>
          </w:tcPr>
          <w:p w:rsidR="00EB1761" w:rsidRPr="008A0138" w:rsidRDefault="00EB1761" w:rsidP="00EB1761">
            <w:pPr>
              <w:pStyle w:val="TableText0"/>
              <w:jc w:val="center"/>
              <w:rPr>
                <w:szCs w:val="20"/>
              </w:rPr>
            </w:pPr>
            <w:r w:rsidRPr="008A0138">
              <w:rPr>
                <w:szCs w:val="20"/>
              </w:rPr>
              <w:t>11.6 (10.1, 13.7)</w:t>
            </w:r>
          </w:p>
        </w:tc>
      </w:tr>
      <w:tr w:rsidR="00EB1761" w:rsidRPr="008A0138" w:rsidTr="008A0138">
        <w:tc>
          <w:tcPr>
            <w:tcW w:w="1159" w:type="pct"/>
            <w:tcBorders>
              <w:bottom w:val="single" w:sz="4" w:space="0" w:color="auto"/>
            </w:tcBorders>
            <w:vAlign w:val="center"/>
          </w:tcPr>
          <w:p w:rsidR="00EB1761" w:rsidRPr="008A0138" w:rsidRDefault="00EB1761" w:rsidP="00EB1761">
            <w:pPr>
              <w:pStyle w:val="TableText0"/>
              <w:rPr>
                <w:szCs w:val="20"/>
              </w:rPr>
            </w:pPr>
            <w:r w:rsidRPr="008A0138">
              <w:rPr>
                <w:szCs w:val="20"/>
              </w:rPr>
              <w:t>HR (95%CI)</w:t>
            </w:r>
          </w:p>
        </w:tc>
        <w:tc>
          <w:tcPr>
            <w:tcW w:w="1921" w:type="pct"/>
            <w:gridSpan w:val="2"/>
            <w:tcBorders>
              <w:bottom w:val="single" w:sz="4" w:space="0" w:color="auto"/>
            </w:tcBorders>
            <w:vAlign w:val="center"/>
          </w:tcPr>
          <w:p w:rsidR="00EB1761" w:rsidRPr="008A0138" w:rsidRDefault="00EB1761" w:rsidP="00EB1761">
            <w:pPr>
              <w:pStyle w:val="TableText0"/>
              <w:jc w:val="center"/>
              <w:rPr>
                <w:szCs w:val="20"/>
              </w:rPr>
            </w:pPr>
            <w:r w:rsidRPr="008A0138">
              <w:rPr>
                <w:szCs w:val="20"/>
              </w:rPr>
              <w:t>0.62 (0.45, 0.86)</w:t>
            </w:r>
          </w:p>
        </w:tc>
        <w:tc>
          <w:tcPr>
            <w:tcW w:w="1920" w:type="pct"/>
            <w:gridSpan w:val="2"/>
            <w:tcBorders>
              <w:bottom w:val="single" w:sz="4" w:space="0" w:color="auto"/>
            </w:tcBorders>
          </w:tcPr>
          <w:p w:rsidR="00EB1761" w:rsidRPr="008A0138" w:rsidRDefault="00EB1761" w:rsidP="00EB1761">
            <w:pPr>
              <w:pStyle w:val="TableText0"/>
              <w:jc w:val="center"/>
              <w:rPr>
                <w:szCs w:val="20"/>
              </w:rPr>
            </w:pPr>
            <w:r w:rsidRPr="008A0138">
              <w:rPr>
                <w:szCs w:val="20"/>
              </w:rPr>
              <w:t>0.71 (0.58, 0.88)</w:t>
            </w:r>
          </w:p>
        </w:tc>
      </w:tr>
      <w:tr w:rsidR="00EB1761" w:rsidRPr="008A0138" w:rsidTr="008A0138">
        <w:tc>
          <w:tcPr>
            <w:tcW w:w="1159" w:type="pct"/>
            <w:tcBorders>
              <w:bottom w:val="single" w:sz="4" w:space="0" w:color="auto"/>
            </w:tcBorders>
            <w:vAlign w:val="center"/>
          </w:tcPr>
          <w:p w:rsidR="00EB1761" w:rsidRPr="008A0138" w:rsidRDefault="00EB1761" w:rsidP="00EB1761">
            <w:pPr>
              <w:pStyle w:val="TableText0"/>
              <w:rPr>
                <w:szCs w:val="20"/>
              </w:rPr>
            </w:pPr>
            <w:r w:rsidRPr="008A0138">
              <w:rPr>
                <w:szCs w:val="20"/>
              </w:rPr>
              <w:t>12-month OS rate</w:t>
            </w:r>
          </w:p>
        </w:tc>
        <w:tc>
          <w:tcPr>
            <w:tcW w:w="960" w:type="pct"/>
            <w:tcBorders>
              <w:bottom w:val="single" w:sz="4" w:space="0" w:color="auto"/>
            </w:tcBorders>
            <w:vAlign w:val="center"/>
          </w:tcPr>
          <w:p w:rsidR="00EB1761" w:rsidRPr="008A0138" w:rsidRDefault="00EB1761" w:rsidP="00EB1761">
            <w:pPr>
              <w:pStyle w:val="TableText0"/>
              <w:jc w:val="center"/>
              <w:rPr>
                <w:szCs w:val="20"/>
              </w:rPr>
            </w:pPr>
            <w:r w:rsidRPr="008A0138">
              <w:rPr>
                <w:szCs w:val="20"/>
              </w:rPr>
              <w:t>63.5%</w:t>
            </w:r>
          </w:p>
        </w:tc>
        <w:tc>
          <w:tcPr>
            <w:tcW w:w="961" w:type="pct"/>
            <w:tcBorders>
              <w:bottom w:val="single" w:sz="4" w:space="0" w:color="auto"/>
            </w:tcBorders>
            <w:vAlign w:val="center"/>
          </w:tcPr>
          <w:p w:rsidR="00EB1761" w:rsidRPr="008A0138" w:rsidRDefault="00EB1761" w:rsidP="00EB1761">
            <w:pPr>
              <w:pStyle w:val="TableText0"/>
              <w:jc w:val="center"/>
              <w:rPr>
                <w:szCs w:val="20"/>
              </w:rPr>
            </w:pPr>
            <w:r w:rsidRPr="008A0138">
              <w:rPr>
                <w:szCs w:val="20"/>
              </w:rPr>
              <w:t>40.0%</w:t>
            </w:r>
          </w:p>
        </w:tc>
        <w:tc>
          <w:tcPr>
            <w:tcW w:w="960" w:type="pct"/>
            <w:tcBorders>
              <w:bottom w:val="single" w:sz="4" w:space="0" w:color="auto"/>
            </w:tcBorders>
            <w:vAlign w:val="center"/>
          </w:tcPr>
          <w:p w:rsidR="00EB1761" w:rsidRPr="008A0138" w:rsidRDefault="00EB1761" w:rsidP="00EB1761">
            <w:pPr>
              <w:pStyle w:val="TableText0"/>
              <w:jc w:val="center"/>
              <w:rPr>
                <w:szCs w:val="20"/>
              </w:rPr>
            </w:pPr>
            <w:r w:rsidRPr="008A0138">
              <w:rPr>
                <w:szCs w:val="20"/>
              </w:rPr>
              <w:t>64.7%</w:t>
            </w:r>
          </w:p>
        </w:tc>
        <w:tc>
          <w:tcPr>
            <w:tcW w:w="960" w:type="pct"/>
            <w:tcBorders>
              <w:bottom w:val="single" w:sz="4" w:space="0" w:color="auto"/>
            </w:tcBorders>
            <w:vAlign w:val="center"/>
          </w:tcPr>
          <w:p w:rsidR="00EB1761" w:rsidRPr="008A0138" w:rsidRDefault="00EB1761" w:rsidP="00EB1761">
            <w:pPr>
              <w:pStyle w:val="TableText0"/>
              <w:jc w:val="center"/>
              <w:rPr>
                <w:szCs w:val="20"/>
              </w:rPr>
            </w:pPr>
            <w:r w:rsidRPr="008A0138">
              <w:rPr>
                <w:szCs w:val="20"/>
              </w:rPr>
              <w:t>49.6%</w:t>
            </w:r>
          </w:p>
        </w:tc>
      </w:tr>
      <w:tr w:rsidR="00EB1761" w:rsidRPr="008A0138" w:rsidTr="008A0138">
        <w:tc>
          <w:tcPr>
            <w:tcW w:w="3080" w:type="pct"/>
            <w:gridSpan w:val="3"/>
            <w:tcBorders>
              <w:top w:val="single" w:sz="4" w:space="0" w:color="auto"/>
              <w:bottom w:val="single" w:sz="4" w:space="0" w:color="auto"/>
            </w:tcBorders>
            <w:vAlign w:val="center"/>
          </w:tcPr>
          <w:p w:rsidR="00EB1761" w:rsidRPr="008A0138" w:rsidRDefault="00EB1761" w:rsidP="00EB1761">
            <w:pPr>
              <w:pStyle w:val="TableText0"/>
              <w:rPr>
                <w:b/>
                <w:szCs w:val="20"/>
              </w:rPr>
            </w:pPr>
            <w:r w:rsidRPr="008A0138">
              <w:rPr>
                <w:b/>
                <w:szCs w:val="20"/>
              </w:rPr>
              <w:t>Indirect estimate of effect, HR (95% CI)</w:t>
            </w:r>
            <w:r w:rsidRPr="008A0138">
              <w:rPr>
                <w:b/>
                <w:szCs w:val="20"/>
                <w:vertAlign w:val="superscript"/>
              </w:rPr>
              <w:t>a</w:t>
            </w:r>
          </w:p>
        </w:tc>
        <w:tc>
          <w:tcPr>
            <w:tcW w:w="1920" w:type="pct"/>
            <w:gridSpan w:val="2"/>
            <w:tcBorders>
              <w:top w:val="single" w:sz="4" w:space="0" w:color="auto"/>
              <w:bottom w:val="single" w:sz="4" w:space="0" w:color="auto"/>
            </w:tcBorders>
            <w:vAlign w:val="center"/>
          </w:tcPr>
          <w:p w:rsidR="00EB1761" w:rsidRPr="008A0138" w:rsidRDefault="00EB1761" w:rsidP="00EB1761">
            <w:pPr>
              <w:pStyle w:val="TableText0"/>
              <w:jc w:val="center"/>
              <w:rPr>
                <w:b/>
                <w:szCs w:val="20"/>
              </w:rPr>
            </w:pPr>
            <w:r w:rsidRPr="008A0138">
              <w:rPr>
                <w:b/>
                <w:szCs w:val="20"/>
              </w:rPr>
              <w:t>0.87 (0.59, 1.28)</w:t>
            </w:r>
          </w:p>
        </w:tc>
      </w:tr>
    </w:tbl>
    <w:p w:rsidR="00443273" w:rsidRPr="0087043D" w:rsidRDefault="00443273" w:rsidP="00443273">
      <w:pPr>
        <w:pStyle w:val="TableFigureFooter"/>
      </w:pPr>
      <w:r w:rsidRPr="0087043D">
        <w:t>Source: Table 84, p160 of the submission.</w:t>
      </w:r>
    </w:p>
    <w:p w:rsidR="00443273" w:rsidRPr="0087043D" w:rsidRDefault="004A6C0B" w:rsidP="00443273">
      <w:pPr>
        <w:pStyle w:val="TableFigureFooter"/>
      </w:pPr>
      <w:r w:rsidRPr="0087043D">
        <w:t xml:space="preserve">Chemo = chemotherapy; </w:t>
      </w:r>
      <w:r w:rsidR="00443273" w:rsidRPr="0087043D">
        <w:t xml:space="preserve">CI = confidence interval; HR = hazard ratio; IPI = ipilimumab; ITC = indirect treatment comparison; ITT = intention to treat; NIVO= nivolumab; OS = overall survival; PEMBRO = </w:t>
      </w:r>
      <w:proofErr w:type="spellStart"/>
      <w:r w:rsidR="00443273" w:rsidRPr="0087043D">
        <w:t>pembrolizumab</w:t>
      </w:r>
      <w:proofErr w:type="spellEnd"/>
    </w:p>
    <w:p w:rsidR="00443273" w:rsidRPr="0087043D" w:rsidRDefault="00443273" w:rsidP="00443273">
      <w:pPr>
        <w:pStyle w:val="TableFigureFooter"/>
      </w:pPr>
      <w:proofErr w:type="spellStart"/>
      <w:proofErr w:type="gramStart"/>
      <w:r w:rsidRPr="0087043D">
        <w:rPr>
          <w:vertAlign w:val="superscript"/>
        </w:rPr>
        <w:t>a</w:t>
      </w:r>
      <w:proofErr w:type="spellEnd"/>
      <w:proofErr w:type="gramEnd"/>
      <w:r w:rsidRPr="0087043D">
        <w:t xml:space="preserve"> Adjusted for the common reference.</w:t>
      </w:r>
    </w:p>
    <w:p w:rsidR="00443273" w:rsidRPr="0087043D" w:rsidRDefault="00443273" w:rsidP="00443273">
      <w:pPr>
        <w:pStyle w:val="TableFigureFooter"/>
      </w:pPr>
      <w:proofErr w:type="gramStart"/>
      <w:r w:rsidRPr="0087043D">
        <w:rPr>
          <w:vertAlign w:val="superscript"/>
        </w:rPr>
        <w:t>b</w:t>
      </w:r>
      <w:proofErr w:type="gramEnd"/>
      <w:r w:rsidRPr="0087043D">
        <w:t xml:space="preserve"> The HR for OS in KN407 for the ITT population at median follow-up of 7.8 months (November 2017 data cut-off) was 0.64 (0.49, 0.85)</w:t>
      </w:r>
    </w:p>
    <w:p w:rsidR="00443273" w:rsidRPr="0087043D" w:rsidRDefault="00443273" w:rsidP="00443273">
      <w:pPr>
        <w:pStyle w:val="3-BodyText"/>
      </w:pPr>
      <w:r w:rsidRPr="0087043D">
        <w:t xml:space="preserve">The submission stated that the indirectly derived HRs for OS for the primary analysis (CM9LA ITT: HR 0.93) and the supplementary analysis (squamous subgroup CM9LA: HR </w:t>
      </w:r>
      <w:r w:rsidR="001870E0" w:rsidRPr="0087043D">
        <w:t>0.87</w:t>
      </w:r>
      <w:r w:rsidRPr="0087043D">
        <w:t xml:space="preserve">) were both less than the proposed non-inferiority margin of 1.30 for squamous NSCLC. On this basis, the submission claimed that, in patients with squamous NSCLC, </w:t>
      </w:r>
      <w:proofErr w:type="spellStart"/>
      <w:r w:rsidRPr="0087043D">
        <w:t>NIVO+IPI+platinum</w:t>
      </w:r>
      <w:proofErr w:type="spellEnd"/>
      <w:r w:rsidRPr="0087043D">
        <w:t xml:space="preserve"> is non-inferior to </w:t>
      </w:r>
      <w:proofErr w:type="spellStart"/>
      <w:r w:rsidRPr="0087043D">
        <w:t>pembrolizumab+platinum</w:t>
      </w:r>
      <w:proofErr w:type="spellEnd"/>
      <w:r w:rsidRPr="0087043D">
        <w:t xml:space="preserve"> for the patient relevant outcome of OS. As stated above, it </w:t>
      </w:r>
      <w:r w:rsidR="00BB7E68" w:rsidRPr="0087043D">
        <w:t xml:space="preserve">is </w:t>
      </w:r>
      <w:r w:rsidRPr="0087043D">
        <w:t>not appropriate to use the point estimate of the indirectly derived HR to evaluate non-inferiority.</w:t>
      </w:r>
      <w:r w:rsidRPr="0087043D">
        <w:rPr>
          <w:i/>
        </w:rPr>
        <w:t xml:space="preserve"> </w:t>
      </w:r>
    </w:p>
    <w:p w:rsidR="004A0D50" w:rsidRPr="0087043D" w:rsidRDefault="004A0D50" w:rsidP="000F6871">
      <w:pPr>
        <w:pStyle w:val="3-BodyText"/>
        <w:rPr>
          <w:i/>
        </w:rPr>
      </w:pPr>
      <w:r w:rsidRPr="0087043D">
        <w:t xml:space="preserve">The ESC noted the </w:t>
      </w:r>
      <w:r w:rsidR="00BB7E68" w:rsidRPr="0087043D">
        <w:t xml:space="preserve">upper 95% CI </w:t>
      </w:r>
      <w:r w:rsidRPr="0087043D">
        <w:t xml:space="preserve">for </w:t>
      </w:r>
      <w:r w:rsidR="00BB7E68" w:rsidRPr="0087043D">
        <w:t xml:space="preserve">the </w:t>
      </w:r>
      <w:r w:rsidRPr="0087043D">
        <w:t xml:space="preserve">OS </w:t>
      </w:r>
      <w:r w:rsidR="00BB7E68" w:rsidRPr="0087043D">
        <w:t xml:space="preserve">HR </w:t>
      </w:r>
      <w:r w:rsidRPr="0087043D">
        <w:t xml:space="preserve">for the primary analysis (CM9LA ITT: </w:t>
      </w:r>
      <w:r w:rsidR="00BB7E68" w:rsidRPr="0087043D">
        <w:t>1.23</w:t>
      </w:r>
      <w:r w:rsidRPr="0087043D">
        <w:t>) and the supplementary analysis (squamous subgroup CM9LA:</w:t>
      </w:r>
      <w:r w:rsidR="0002550D" w:rsidRPr="0087043D">
        <w:t xml:space="preserve"> </w:t>
      </w:r>
      <w:r w:rsidR="00BB7E68" w:rsidRPr="0087043D">
        <w:t>1.28</w:t>
      </w:r>
      <w:r w:rsidRPr="0087043D">
        <w:t>) were both less than the proposed non-inferiority margin of 1.30 for squamous NSCLC. On this basis, the ESC considered the submission’</w:t>
      </w:r>
      <w:r w:rsidR="003934B8" w:rsidRPr="0087043D">
        <w:t xml:space="preserve">s claim that, </w:t>
      </w:r>
      <w:proofErr w:type="spellStart"/>
      <w:r w:rsidR="00090E60" w:rsidRPr="0087043D">
        <w:t>NIVO+IPI+platinum</w:t>
      </w:r>
      <w:proofErr w:type="spellEnd"/>
      <w:r w:rsidR="00090E60" w:rsidRPr="0087043D">
        <w:t xml:space="preserve"> is non</w:t>
      </w:r>
      <w:r w:rsidR="00172AED" w:rsidRPr="0087043D">
        <w:t>-</w:t>
      </w:r>
      <w:r w:rsidRPr="0087043D">
        <w:t xml:space="preserve">inferior to </w:t>
      </w:r>
      <w:proofErr w:type="spellStart"/>
      <w:r w:rsidRPr="0087043D">
        <w:t>pembrolizumab+platinum</w:t>
      </w:r>
      <w:proofErr w:type="spellEnd"/>
      <w:r w:rsidRPr="0087043D">
        <w:t xml:space="preserve"> </w:t>
      </w:r>
      <w:r w:rsidR="001236C9" w:rsidRPr="0087043D">
        <w:t>for the</w:t>
      </w:r>
      <w:r w:rsidRPr="0087043D">
        <w:t xml:space="preserve"> patient relevant outcome of OS</w:t>
      </w:r>
      <w:r w:rsidR="003934B8" w:rsidRPr="0087043D">
        <w:t xml:space="preserve"> i</w:t>
      </w:r>
      <w:r w:rsidR="00342057" w:rsidRPr="0087043D">
        <w:t>n patients with squamous NSCLC</w:t>
      </w:r>
      <w:r w:rsidR="0002550D" w:rsidRPr="0087043D">
        <w:t xml:space="preserve"> may be</w:t>
      </w:r>
      <w:r w:rsidR="00703784" w:rsidRPr="0087043D">
        <w:t xml:space="preserve"> </w:t>
      </w:r>
      <w:r w:rsidRPr="0087043D">
        <w:t>reasonable</w:t>
      </w:r>
      <w:r w:rsidRPr="0087043D">
        <w:rPr>
          <w:i/>
        </w:rPr>
        <w:t>.</w:t>
      </w:r>
    </w:p>
    <w:p w:rsidR="00AD1B1B" w:rsidRPr="0087043D" w:rsidRDefault="00B466A0" w:rsidP="004D1E4B">
      <w:pPr>
        <w:pStyle w:val="3-BodyText"/>
        <w:numPr>
          <w:ilvl w:val="0"/>
          <w:numId w:val="0"/>
        </w:numPr>
      </w:pPr>
      <w:proofErr w:type="spellStart"/>
      <w:r w:rsidRPr="0087043D">
        <w:rPr>
          <w:b/>
        </w:rPr>
        <w:t>NIVO+IPI+platinum</w:t>
      </w:r>
      <w:proofErr w:type="spellEnd"/>
      <w:r w:rsidRPr="0087043D">
        <w:rPr>
          <w:b/>
        </w:rPr>
        <w:t xml:space="preserve"> versus </w:t>
      </w:r>
      <w:proofErr w:type="spellStart"/>
      <w:r w:rsidRPr="0087043D">
        <w:rPr>
          <w:b/>
        </w:rPr>
        <w:t>atezolizumab+bevacizumab+platinum</w:t>
      </w:r>
      <w:proofErr w:type="spellEnd"/>
    </w:p>
    <w:p w:rsidR="00B466A0" w:rsidRPr="0087043D" w:rsidRDefault="00B466A0" w:rsidP="00B466A0">
      <w:pPr>
        <w:pStyle w:val="3-BodyText"/>
      </w:pPr>
      <w:r w:rsidRPr="0087043D">
        <w:t xml:space="preserve">In the absence of a common comparator arm, the submission presented a naïve indirect comparison of </w:t>
      </w:r>
      <w:proofErr w:type="spellStart"/>
      <w:r w:rsidRPr="0087043D">
        <w:t>NIVO+IPI+platinum</w:t>
      </w:r>
      <w:proofErr w:type="spellEnd"/>
      <w:r w:rsidRPr="0087043D">
        <w:t xml:space="preserve"> and </w:t>
      </w:r>
      <w:proofErr w:type="spellStart"/>
      <w:r w:rsidRPr="0087043D">
        <w:t>atezolizumab+bevacizumab+platinum</w:t>
      </w:r>
      <w:proofErr w:type="spellEnd"/>
      <w:r w:rsidRPr="0087043D">
        <w:t xml:space="preserve">, based on </w:t>
      </w:r>
      <w:r w:rsidR="007E085B" w:rsidRPr="0087043D">
        <w:t>the outcome of median OS from CM9LA and IMpower150.</w:t>
      </w:r>
    </w:p>
    <w:p w:rsidR="007E085B" w:rsidRPr="0087043D" w:rsidRDefault="00B466A0" w:rsidP="00D17C1E">
      <w:pPr>
        <w:pStyle w:val="3-BodyText"/>
      </w:pPr>
      <w:r w:rsidRPr="0087043D">
        <w:t>The submission stated that, compared with CM9LA, IMpower150 reported a greater proportion of patients with PD-L1 TPS &lt;1% (40% versus 47%). However, it also noted that IMpower150 applied a different PD-L1 expression scoring system compared with that used in CM9LA.</w:t>
      </w:r>
      <w:r w:rsidR="007E085B" w:rsidRPr="0087043D">
        <w:t xml:space="preserve"> There were insufficient details available for the IMpower150 trial to allow an adequate assessment of the potential for confounding. Furthermore, in an unadjusted indirect comparison of single treatment arms, it is not possible to use the event rate in a common reference arm to assess and adjust for any imbalances in both observed and unobserved confounding factors that may exist. Therefore, the results of the indirect comparison should be interpreted with caution.</w:t>
      </w:r>
    </w:p>
    <w:p w:rsidR="004D1E4B" w:rsidRPr="0087043D" w:rsidRDefault="006C7F44" w:rsidP="00B466A0">
      <w:pPr>
        <w:pStyle w:val="3-BodyText"/>
      </w:pPr>
      <w:r w:rsidRPr="0087043D">
        <w:t xml:space="preserve">A comparison of the OS outcomes in the </w:t>
      </w:r>
      <w:proofErr w:type="spellStart"/>
      <w:r w:rsidRPr="0087043D">
        <w:t>NIVO+IPI+platinum</w:t>
      </w:r>
      <w:proofErr w:type="spellEnd"/>
      <w:r w:rsidRPr="0087043D">
        <w:t xml:space="preserve"> arm of CM9LA and the </w:t>
      </w:r>
      <w:proofErr w:type="spellStart"/>
      <w:r w:rsidRPr="0087043D">
        <w:t>atezolizumab+bevacizumab+platinum</w:t>
      </w:r>
      <w:proofErr w:type="spellEnd"/>
      <w:r w:rsidRPr="0087043D">
        <w:t xml:space="preserve"> arm of IMpower150 is presented below.</w:t>
      </w:r>
    </w:p>
    <w:p w:rsidR="007E085B" w:rsidRPr="0087043D" w:rsidRDefault="007E085B" w:rsidP="007E085B">
      <w:pPr>
        <w:pStyle w:val="TableFigureHeading"/>
      </w:pPr>
      <w:r w:rsidRPr="0087043D">
        <w:t xml:space="preserve">Table </w:t>
      </w:r>
      <w:r w:rsidR="00C71489" w:rsidRPr="0087043D">
        <w:t>9</w:t>
      </w:r>
      <w:r w:rsidRPr="0087043D">
        <w:t xml:space="preserve">: Unadjusted indirect comparison of OS, </w:t>
      </w:r>
      <w:proofErr w:type="spellStart"/>
      <w:r w:rsidRPr="0087043D">
        <w:t>NIVO+IPI+platinum</w:t>
      </w:r>
      <w:proofErr w:type="spellEnd"/>
      <w:r w:rsidRPr="0087043D">
        <w:t xml:space="preserve"> vs </w:t>
      </w:r>
      <w:proofErr w:type="spellStart"/>
      <w:r w:rsidRPr="0087043D">
        <w:t>atezolizumab+bevacizumab+platinum</w:t>
      </w:r>
      <w:proofErr w:type="spellEnd"/>
    </w:p>
    <w:tbl>
      <w:tblPr>
        <w:tblStyle w:val="TableGrid"/>
        <w:tblW w:w="5000" w:type="pct"/>
        <w:tblLook w:val="04A0" w:firstRow="1" w:lastRow="0" w:firstColumn="1" w:lastColumn="0" w:noHBand="0" w:noVBand="1"/>
        <w:tblCaption w:val="Table 9: Unadjusted indirect comparison of OS, NIVO+IPI+platinum vs atezolizumab+bevacizumab+platinum"/>
      </w:tblPr>
      <w:tblGrid>
        <w:gridCol w:w="1803"/>
        <w:gridCol w:w="1634"/>
        <w:gridCol w:w="1293"/>
        <w:gridCol w:w="1632"/>
        <w:gridCol w:w="1425"/>
        <w:gridCol w:w="1230"/>
      </w:tblGrid>
      <w:tr w:rsidR="005A5DDE" w:rsidRPr="0087043D" w:rsidTr="00EC78BA">
        <w:trPr>
          <w:tblHeader/>
        </w:trPr>
        <w:tc>
          <w:tcPr>
            <w:tcW w:w="1000" w:type="pct"/>
          </w:tcPr>
          <w:p w:rsidR="005A5DDE" w:rsidRPr="0087043D" w:rsidRDefault="005A5DDE" w:rsidP="00504BF4">
            <w:pPr>
              <w:pStyle w:val="In-tableHeading"/>
              <w:jc w:val="center"/>
              <w:rPr>
                <w:lang w:val="en-AU"/>
              </w:rPr>
            </w:pPr>
          </w:p>
        </w:tc>
        <w:tc>
          <w:tcPr>
            <w:tcW w:w="1623" w:type="pct"/>
            <w:gridSpan w:val="2"/>
          </w:tcPr>
          <w:p w:rsidR="005A5DDE" w:rsidRPr="0087043D" w:rsidRDefault="005A5DDE" w:rsidP="00504BF4">
            <w:pPr>
              <w:pStyle w:val="In-tableHeading"/>
              <w:jc w:val="center"/>
              <w:rPr>
                <w:lang w:val="en-AU"/>
              </w:rPr>
            </w:pPr>
            <w:proofErr w:type="spellStart"/>
            <w:r w:rsidRPr="0087043D">
              <w:rPr>
                <w:lang w:val="en-AU"/>
              </w:rPr>
              <w:t>NIVO+IPI+platinum</w:t>
            </w:r>
            <w:proofErr w:type="spellEnd"/>
          </w:p>
          <w:p w:rsidR="005A5DDE" w:rsidRPr="0087043D" w:rsidRDefault="005A5DDE" w:rsidP="00504BF4">
            <w:pPr>
              <w:pStyle w:val="In-tableHeading"/>
              <w:jc w:val="center"/>
              <w:rPr>
                <w:lang w:val="en-AU"/>
              </w:rPr>
            </w:pPr>
            <w:r w:rsidRPr="0087043D">
              <w:rPr>
                <w:lang w:val="en-AU"/>
              </w:rPr>
              <w:t>(</w:t>
            </w:r>
            <w:proofErr w:type="spellStart"/>
            <w:r w:rsidRPr="0087043D">
              <w:rPr>
                <w:lang w:val="en-AU"/>
              </w:rPr>
              <w:t>CheckMate</w:t>
            </w:r>
            <w:proofErr w:type="spellEnd"/>
            <w:r w:rsidRPr="0087043D">
              <w:rPr>
                <w:lang w:val="en-AU"/>
              </w:rPr>
              <w:t xml:space="preserve"> 9LA)</w:t>
            </w:r>
          </w:p>
        </w:tc>
        <w:tc>
          <w:tcPr>
            <w:tcW w:w="1695" w:type="pct"/>
            <w:gridSpan w:val="2"/>
          </w:tcPr>
          <w:p w:rsidR="005A5DDE" w:rsidRPr="0087043D" w:rsidRDefault="005A5DDE" w:rsidP="00504BF4">
            <w:pPr>
              <w:pStyle w:val="In-tableHeading"/>
              <w:jc w:val="center"/>
              <w:rPr>
                <w:lang w:val="en-AU"/>
              </w:rPr>
            </w:pPr>
            <w:proofErr w:type="spellStart"/>
            <w:r w:rsidRPr="0087043D">
              <w:rPr>
                <w:lang w:val="en-AU"/>
              </w:rPr>
              <w:t>ATEZO+BEVA+platinum</w:t>
            </w:r>
            <w:proofErr w:type="spellEnd"/>
          </w:p>
          <w:p w:rsidR="005A5DDE" w:rsidRPr="0087043D" w:rsidRDefault="005A5DDE" w:rsidP="00504BF4">
            <w:pPr>
              <w:pStyle w:val="In-tableHeading"/>
              <w:jc w:val="center"/>
              <w:rPr>
                <w:lang w:val="en-AU"/>
              </w:rPr>
            </w:pPr>
            <w:r w:rsidRPr="0087043D">
              <w:rPr>
                <w:lang w:val="en-AU"/>
              </w:rPr>
              <w:t>(</w:t>
            </w:r>
            <w:proofErr w:type="spellStart"/>
            <w:r w:rsidRPr="0087043D">
              <w:rPr>
                <w:lang w:val="en-AU"/>
              </w:rPr>
              <w:t>IMpower</w:t>
            </w:r>
            <w:proofErr w:type="spellEnd"/>
            <w:r w:rsidRPr="0087043D">
              <w:rPr>
                <w:lang w:val="en-AU"/>
              </w:rPr>
              <w:t xml:space="preserve"> 150)</w:t>
            </w:r>
          </w:p>
        </w:tc>
        <w:tc>
          <w:tcPr>
            <w:tcW w:w="682" w:type="pct"/>
            <w:vMerge w:val="restart"/>
          </w:tcPr>
          <w:p w:rsidR="005A5DDE" w:rsidRPr="0087043D" w:rsidRDefault="005A5DDE" w:rsidP="00504BF4">
            <w:pPr>
              <w:pStyle w:val="In-tableHeading"/>
              <w:jc w:val="center"/>
              <w:rPr>
                <w:lang w:val="en-AU"/>
              </w:rPr>
            </w:pPr>
          </w:p>
        </w:tc>
      </w:tr>
      <w:tr w:rsidR="005A5DDE" w:rsidRPr="0087043D" w:rsidTr="00EC78BA">
        <w:trPr>
          <w:tblHeader/>
        </w:trPr>
        <w:tc>
          <w:tcPr>
            <w:tcW w:w="1000" w:type="pct"/>
          </w:tcPr>
          <w:p w:rsidR="005A5DDE" w:rsidRPr="0087043D" w:rsidRDefault="005A5DDE" w:rsidP="005A5DDE">
            <w:pPr>
              <w:pStyle w:val="TableText0"/>
            </w:pPr>
            <w:r w:rsidRPr="0087043D">
              <w:t>Median follow-up</w:t>
            </w:r>
          </w:p>
        </w:tc>
        <w:tc>
          <w:tcPr>
            <w:tcW w:w="1623" w:type="pct"/>
            <w:gridSpan w:val="2"/>
            <w:vAlign w:val="center"/>
          </w:tcPr>
          <w:p w:rsidR="005A5DDE" w:rsidRPr="0087043D" w:rsidRDefault="005A5DDE" w:rsidP="005A5DDE">
            <w:pPr>
              <w:pStyle w:val="TableText0"/>
              <w:jc w:val="center"/>
            </w:pPr>
            <w:r w:rsidRPr="0087043D">
              <w:t>14.2 months</w:t>
            </w:r>
          </w:p>
        </w:tc>
        <w:tc>
          <w:tcPr>
            <w:tcW w:w="1695" w:type="pct"/>
            <w:gridSpan w:val="2"/>
            <w:vAlign w:val="center"/>
          </w:tcPr>
          <w:p w:rsidR="005A5DDE" w:rsidRPr="0087043D" w:rsidRDefault="005A5DDE" w:rsidP="005A5DDE">
            <w:pPr>
              <w:pStyle w:val="TableText0"/>
              <w:jc w:val="center"/>
            </w:pPr>
            <w:r w:rsidRPr="0087043D">
              <w:t xml:space="preserve">39.3 months </w:t>
            </w:r>
            <w:r w:rsidRPr="0087043D">
              <w:rPr>
                <w:i/>
              </w:rPr>
              <w:t>(20 months)</w:t>
            </w:r>
            <w:proofErr w:type="spellStart"/>
            <w:r w:rsidRPr="0087043D">
              <w:rPr>
                <w:vertAlign w:val="superscript"/>
              </w:rPr>
              <w:t>b</w:t>
            </w:r>
            <w:r w:rsidR="00414176" w:rsidRPr="0087043D">
              <w:rPr>
                <w:vertAlign w:val="superscript"/>
              </w:rPr>
              <w:t>a</w:t>
            </w:r>
            <w:proofErr w:type="spellEnd"/>
          </w:p>
        </w:tc>
        <w:tc>
          <w:tcPr>
            <w:tcW w:w="682" w:type="pct"/>
            <w:vMerge/>
          </w:tcPr>
          <w:p w:rsidR="005A5DDE" w:rsidRPr="0087043D" w:rsidRDefault="005A5DDE" w:rsidP="005A5DDE">
            <w:pPr>
              <w:pStyle w:val="TableText0"/>
              <w:jc w:val="center"/>
            </w:pPr>
          </w:p>
        </w:tc>
      </w:tr>
      <w:tr w:rsidR="005A5DDE" w:rsidRPr="0087043D" w:rsidTr="008A0138">
        <w:tc>
          <w:tcPr>
            <w:tcW w:w="1000" w:type="pct"/>
          </w:tcPr>
          <w:p w:rsidR="007E085B" w:rsidRPr="0087043D" w:rsidRDefault="007E085B" w:rsidP="007E085B">
            <w:pPr>
              <w:pStyle w:val="TableText0"/>
            </w:pPr>
          </w:p>
        </w:tc>
        <w:tc>
          <w:tcPr>
            <w:tcW w:w="906" w:type="pct"/>
          </w:tcPr>
          <w:p w:rsidR="007E085B" w:rsidRPr="0087043D" w:rsidRDefault="007E085B" w:rsidP="007E085B">
            <w:pPr>
              <w:pStyle w:val="TableText0"/>
              <w:jc w:val="center"/>
            </w:pPr>
            <w:r w:rsidRPr="0087043D">
              <w:t>Patients with event</w:t>
            </w:r>
            <w:r w:rsidRPr="0087043D">
              <w:br/>
              <w:t>n/N (%)</w:t>
            </w:r>
          </w:p>
        </w:tc>
        <w:tc>
          <w:tcPr>
            <w:tcW w:w="717" w:type="pct"/>
          </w:tcPr>
          <w:p w:rsidR="007E085B" w:rsidRPr="0087043D" w:rsidRDefault="007E085B" w:rsidP="007E085B">
            <w:pPr>
              <w:pStyle w:val="TableText0"/>
              <w:jc w:val="center"/>
            </w:pPr>
            <w:r w:rsidRPr="0087043D">
              <w:t>Median OS</w:t>
            </w:r>
          </w:p>
          <w:p w:rsidR="007E085B" w:rsidRPr="0087043D" w:rsidRDefault="007E085B" w:rsidP="007E085B">
            <w:pPr>
              <w:pStyle w:val="TableText0"/>
              <w:jc w:val="center"/>
            </w:pPr>
            <w:r w:rsidRPr="0087043D">
              <w:t>(95% CI)</w:t>
            </w:r>
          </w:p>
        </w:tc>
        <w:tc>
          <w:tcPr>
            <w:tcW w:w="905" w:type="pct"/>
          </w:tcPr>
          <w:p w:rsidR="007E085B" w:rsidRPr="0087043D" w:rsidRDefault="007E085B" w:rsidP="007E085B">
            <w:pPr>
              <w:pStyle w:val="TableText0"/>
              <w:jc w:val="center"/>
            </w:pPr>
            <w:r w:rsidRPr="0087043D">
              <w:t>Patients with event</w:t>
            </w:r>
            <w:r w:rsidRPr="0087043D">
              <w:br/>
              <w:t>n/N (%)</w:t>
            </w:r>
          </w:p>
        </w:tc>
        <w:tc>
          <w:tcPr>
            <w:tcW w:w="790" w:type="pct"/>
          </w:tcPr>
          <w:p w:rsidR="007E085B" w:rsidRPr="0087043D" w:rsidRDefault="007E085B" w:rsidP="007E085B">
            <w:pPr>
              <w:pStyle w:val="TableText0"/>
              <w:jc w:val="center"/>
            </w:pPr>
            <w:r w:rsidRPr="0087043D">
              <w:t>Median OS</w:t>
            </w:r>
          </w:p>
          <w:p w:rsidR="007E085B" w:rsidRPr="0087043D" w:rsidRDefault="007E085B" w:rsidP="007E085B">
            <w:pPr>
              <w:pStyle w:val="TableText0"/>
              <w:jc w:val="center"/>
            </w:pPr>
            <w:r w:rsidRPr="0087043D">
              <w:t>(95% CI)</w:t>
            </w:r>
          </w:p>
        </w:tc>
        <w:tc>
          <w:tcPr>
            <w:tcW w:w="682" w:type="pct"/>
          </w:tcPr>
          <w:p w:rsidR="007E085B" w:rsidRPr="0087043D" w:rsidRDefault="007E085B" w:rsidP="007E085B">
            <w:pPr>
              <w:pStyle w:val="TableText0"/>
              <w:jc w:val="center"/>
            </w:pPr>
            <w:r w:rsidRPr="0087043D">
              <w:t>Difference in median OS</w:t>
            </w:r>
          </w:p>
        </w:tc>
      </w:tr>
      <w:tr w:rsidR="005A5DDE" w:rsidRPr="0087043D" w:rsidTr="008A0138">
        <w:tc>
          <w:tcPr>
            <w:tcW w:w="1000" w:type="pct"/>
          </w:tcPr>
          <w:p w:rsidR="007E085B" w:rsidRPr="0087043D" w:rsidRDefault="007E085B" w:rsidP="007E085B">
            <w:pPr>
              <w:pStyle w:val="TableText0"/>
            </w:pPr>
            <w:r w:rsidRPr="0087043D">
              <w:t xml:space="preserve">CM9LA: </w:t>
            </w:r>
            <w:r w:rsidR="005A5DDE" w:rsidRPr="0087043D">
              <w:t>(NSQ+SQ)</w:t>
            </w:r>
          </w:p>
          <w:p w:rsidR="007E085B" w:rsidRPr="0087043D" w:rsidRDefault="007E085B" w:rsidP="007E085B">
            <w:pPr>
              <w:pStyle w:val="TableText0"/>
            </w:pPr>
            <w:r w:rsidRPr="0087043D">
              <w:t>Impower150: ITT-WT (NSQ)</w:t>
            </w:r>
          </w:p>
        </w:tc>
        <w:tc>
          <w:tcPr>
            <w:tcW w:w="906" w:type="pct"/>
            <w:vAlign w:val="center"/>
          </w:tcPr>
          <w:p w:rsidR="007E085B" w:rsidRPr="0087043D" w:rsidRDefault="007E085B" w:rsidP="007E085B">
            <w:pPr>
              <w:pStyle w:val="TableText0"/>
              <w:jc w:val="center"/>
            </w:pPr>
            <w:r w:rsidRPr="0087043D">
              <w:t>190/361 (53%)</w:t>
            </w:r>
          </w:p>
        </w:tc>
        <w:tc>
          <w:tcPr>
            <w:tcW w:w="717" w:type="pct"/>
            <w:vAlign w:val="center"/>
          </w:tcPr>
          <w:p w:rsidR="007E085B" w:rsidRPr="0087043D" w:rsidRDefault="007E085B" w:rsidP="007E085B">
            <w:pPr>
              <w:pStyle w:val="TableText0"/>
              <w:jc w:val="center"/>
            </w:pPr>
            <w:r w:rsidRPr="0087043D">
              <w:t xml:space="preserve">15.6 </w:t>
            </w:r>
            <w:r w:rsidR="005A5DDE" w:rsidRPr="0087043D">
              <w:br/>
            </w:r>
            <w:r w:rsidRPr="0087043D">
              <w:t>(13.9, 20.0)</w:t>
            </w:r>
          </w:p>
        </w:tc>
        <w:tc>
          <w:tcPr>
            <w:tcW w:w="905" w:type="pct"/>
            <w:vAlign w:val="center"/>
          </w:tcPr>
          <w:p w:rsidR="007E085B" w:rsidRPr="0087043D" w:rsidRDefault="007E085B" w:rsidP="007E085B">
            <w:pPr>
              <w:pStyle w:val="TableText0"/>
              <w:jc w:val="center"/>
            </w:pPr>
            <w:r w:rsidRPr="0087043D">
              <w:t>NR</w:t>
            </w:r>
          </w:p>
          <w:p w:rsidR="007E085B" w:rsidRPr="0087043D" w:rsidRDefault="007E085B" w:rsidP="007E085B">
            <w:pPr>
              <w:pStyle w:val="TableText0"/>
              <w:jc w:val="center"/>
              <w:rPr>
                <w:i/>
              </w:rPr>
            </w:pPr>
            <w:r w:rsidRPr="0087043D">
              <w:rPr>
                <w:i/>
              </w:rPr>
              <w:t>179/359 (50%)</w:t>
            </w:r>
          </w:p>
        </w:tc>
        <w:tc>
          <w:tcPr>
            <w:tcW w:w="790" w:type="pct"/>
            <w:vAlign w:val="center"/>
          </w:tcPr>
          <w:p w:rsidR="007E085B" w:rsidRPr="0087043D" w:rsidRDefault="007E085B" w:rsidP="007E085B">
            <w:pPr>
              <w:pStyle w:val="TableText0"/>
              <w:jc w:val="center"/>
            </w:pPr>
            <w:r w:rsidRPr="0087043D">
              <w:t>19.5 (17.0, 22.2)</w:t>
            </w:r>
          </w:p>
          <w:p w:rsidR="007E085B" w:rsidRPr="0087043D" w:rsidRDefault="007E085B" w:rsidP="007E085B">
            <w:pPr>
              <w:pStyle w:val="TableText0"/>
              <w:jc w:val="center"/>
              <w:rPr>
                <w:i/>
              </w:rPr>
            </w:pPr>
            <w:r w:rsidRPr="0087043D">
              <w:rPr>
                <w:i/>
              </w:rPr>
              <w:t>19.2 (17.0, 23.8)</w:t>
            </w:r>
          </w:p>
        </w:tc>
        <w:tc>
          <w:tcPr>
            <w:tcW w:w="682" w:type="pct"/>
            <w:vAlign w:val="center"/>
          </w:tcPr>
          <w:p w:rsidR="007E085B" w:rsidRPr="0087043D" w:rsidRDefault="007E085B" w:rsidP="007E085B">
            <w:pPr>
              <w:pStyle w:val="TableText0"/>
              <w:jc w:val="center"/>
            </w:pPr>
            <w:r w:rsidRPr="0087043D">
              <w:t>-3.9 months</w:t>
            </w:r>
          </w:p>
          <w:p w:rsidR="007E085B" w:rsidRPr="0087043D" w:rsidRDefault="007E085B" w:rsidP="007E085B">
            <w:pPr>
              <w:pStyle w:val="TableText0"/>
              <w:jc w:val="center"/>
              <w:rPr>
                <w:i/>
              </w:rPr>
            </w:pPr>
            <w:r w:rsidRPr="0087043D">
              <w:rPr>
                <w:i/>
              </w:rPr>
              <w:t>-3.6 months</w:t>
            </w:r>
          </w:p>
        </w:tc>
      </w:tr>
      <w:tr w:rsidR="005A5DDE" w:rsidRPr="0087043D" w:rsidTr="008A0138">
        <w:tc>
          <w:tcPr>
            <w:tcW w:w="1000" w:type="pct"/>
          </w:tcPr>
          <w:p w:rsidR="007E085B" w:rsidRPr="0087043D" w:rsidRDefault="007E085B" w:rsidP="007E085B">
            <w:pPr>
              <w:pStyle w:val="TableText0"/>
            </w:pPr>
            <w:r w:rsidRPr="0087043D">
              <w:t xml:space="preserve">CM9LA: NSQ </w:t>
            </w:r>
            <w:r w:rsidR="005A5DDE" w:rsidRPr="0087043D">
              <w:t>only</w:t>
            </w:r>
            <w:r w:rsidR="005A5DDE" w:rsidRPr="0087043D">
              <w:br/>
            </w:r>
            <w:r w:rsidRPr="0087043D">
              <w:t>Impower150: ITT-WT (NSQ)</w:t>
            </w:r>
          </w:p>
        </w:tc>
        <w:tc>
          <w:tcPr>
            <w:tcW w:w="906" w:type="pct"/>
            <w:vAlign w:val="center"/>
          </w:tcPr>
          <w:p w:rsidR="007E085B" w:rsidRPr="0087043D" w:rsidRDefault="007E085B" w:rsidP="007E085B">
            <w:pPr>
              <w:pStyle w:val="TableText0"/>
              <w:jc w:val="center"/>
            </w:pPr>
            <w:r w:rsidRPr="0087043D">
              <w:t>124/246 (50%)</w:t>
            </w:r>
          </w:p>
        </w:tc>
        <w:tc>
          <w:tcPr>
            <w:tcW w:w="717" w:type="pct"/>
            <w:vAlign w:val="center"/>
          </w:tcPr>
          <w:p w:rsidR="007E085B" w:rsidRPr="0087043D" w:rsidRDefault="007E085B" w:rsidP="007E085B">
            <w:pPr>
              <w:pStyle w:val="TableText0"/>
              <w:jc w:val="center"/>
            </w:pPr>
            <w:r w:rsidRPr="0087043D">
              <w:t xml:space="preserve">17.0 </w:t>
            </w:r>
            <w:r w:rsidR="005A5DDE" w:rsidRPr="0087043D">
              <w:br/>
            </w:r>
            <w:r w:rsidRPr="0087043D">
              <w:t>(14.0, NE)</w:t>
            </w:r>
          </w:p>
        </w:tc>
        <w:tc>
          <w:tcPr>
            <w:tcW w:w="905" w:type="pct"/>
            <w:vAlign w:val="center"/>
          </w:tcPr>
          <w:p w:rsidR="007E085B" w:rsidRPr="0087043D" w:rsidRDefault="007E085B" w:rsidP="007E085B">
            <w:pPr>
              <w:pStyle w:val="TableText0"/>
              <w:jc w:val="center"/>
            </w:pPr>
            <w:r w:rsidRPr="0087043D">
              <w:t>NR</w:t>
            </w:r>
          </w:p>
          <w:p w:rsidR="007E085B" w:rsidRPr="0087043D" w:rsidRDefault="007E085B" w:rsidP="007E085B">
            <w:pPr>
              <w:pStyle w:val="TableText0"/>
              <w:jc w:val="center"/>
              <w:rPr>
                <w:i/>
              </w:rPr>
            </w:pPr>
            <w:r w:rsidRPr="0087043D">
              <w:rPr>
                <w:i/>
              </w:rPr>
              <w:t>179/359 (50%)</w:t>
            </w:r>
          </w:p>
        </w:tc>
        <w:tc>
          <w:tcPr>
            <w:tcW w:w="790" w:type="pct"/>
            <w:vAlign w:val="center"/>
          </w:tcPr>
          <w:p w:rsidR="007E085B" w:rsidRPr="0087043D" w:rsidRDefault="007E085B" w:rsidP="007E085B">
            <w:pPr>
              <w:pStyle w:val="TableText0"/>
              <w:jc w:val="center"/>
            </w:pPr>
            <w:r w:rsidRPr="0087043D">
              <w:t>19.5 (17.0, 22.2)</w:t>
            </w:r>
          </w:p>
          <w:p w:rsidR="007E085B" w:rsidRPr="0087043D" w:rsidRDefault="007E085B" w:rsidP="007E085B">
            <w:pPr>
              <w:pStyle w:val="TableText0"/>
              <w:jc w:val="center"/>
              <w:rPr>
                <w:i/>
              </w:rPr>
            </w:pPr>
            <w:r w:rsidRPr="0087043D">
              <w:rPr>
                <w:i/>
              </w:rPr>
              <w:t>19.2 (17.0, 23.8)</w:t>
            </w:r>
          </w:p>
        </w:tc>
        <w:tc>
          <w:tcPr>
            <w:tcW w:w="682" w:type="pct"/>
            <w:vAlign w:val="center"/>
          </w:tcPr>
          <w:p w:rsidR="007E085B" w:rsidRPr="0087043D" w:rsidRDefault="007E085B" w:rsidP="007E085B">
            <w:pPr>
              <w:pStyle w:val="TableText0"/>
              <w:jc w:val="center"/>
            </w:pPr>
            <w:r w:rsidRPr="0087043D">
              <w:t>-2.5 months</w:t>
            </w:r>
          </w:p>
          <w:p w:rsidR="007E085B" w:rsidRPr="0087043D" w:rsidRDefault="007E085B" w:rsidP="007E085B">
            <w:pPr>
              <w:pStyle w:val="TableText0"/>
              <w:jc w:val="center"/>
              <w:rPr>
                <w:i/>
              </w:rPr>
            </w:pPr>
            <w:r w:rsidRPr="0087043D">
              <w:rPr>
                <w:i/>
              </w:rPr>
              <w:t>-2.2 months</w:t>
            </w:r>
          </w:p>
        </w:tc>
      </w:tr>
    </w:tbl>
    <w:p w:rsidR="007E085B" w:rsidRPr="0087043D" w:rsidRDefault="007E085B" w:rsidP="007E085B">
      <w:pPr>
        <w:pStyle w:val="TableFigureFooter"/>
      </w:pPr>
      <w:r w:rsidRPr="0087043D">
        <w:t xml:space="preserve">Source: Table 92 p169 and Table 93 p170 of the submission; </w:t>
      </w:r>
      <w:proofErr w:type="spellStart"/>
      <w:r w:rsidRPr="0087043D">
        <w:t>Socinski</w:t>
      </w:r>
      <w:proofErr w:type="spellEnd"/>
      <w:r w:rsidRPr="0087043D">
        <w:t xml:space="preserve"> et al (2018).</w:t>
      </w:r>
    </w:p>
    <w:p w:rsidR="007E085B" w:rsidRPr="0087043D" w:rsidRDefault="007E085B" w:rsidP="007E085B">
      <w:pPr>
        <w:pStyle w:val="TableFigureFooter"/>
      </w:pPr>
      <w:r w:rsidRPr="0087043D">
        <w:t>ATEZO = atezolizumab; BEVA = bevacizumab; CI = confidence interval; HR = hazard ratio; IPI = ipilimumab; ITC = indirect treatment comparison; ITT</w:t>
      </w:r>
      <w:r w:rsidR="005A5DDE" w:rsidRPr="0087043D">
        <w:t>-WT</w:t>
      </w:r>
      <w:r w:rsidRPr="0087043D">
        <w:t xml:space="preserve"> = intention to treat</w:t>
      </w:r>
      <w:r w:rsidR="005A5DDE" w:rsidRPr="0087043D">
        <w:t xml:space="preserve"> wild type</w:t>
      </w:r>
      <w:r w:rsidRPr="0087043D">
        <w:t>; NIVO= nivolumab; NE = not evaluable; NR = not reported; NSQ = non-squamous; OS = overall survival</w:t>
      </w:r>
      <w:r w:rsidR="005A5DDE" w:rsidRPr="0087043D">
        <w:t>; SQ = squamous.</w:t>
      </w:r>
    </w:p>
    <w:p w:rsidR="007E085B" w:rsidRPr="0087043D" w:rsidRDefault="007E085B" w:rsidP="007E085B">
      <w:pPr>
        <w:pStyle w:val="TableFigureFooter"/>
        <w:ind w:left="142" w:hanging="142"/>
      </w:pPr>
      <w:proofErr w:type="gramStart"/>
      <w:r w:rsidRPr="0087043D">
        <w:rPr>
          <w:vertAlign w:val="superscript"/>
        </w:rPr>
        <w:t>a</w:t>
      </w:r>
      <w:proofErr w:type="gramEnd"/>
      <w:r w:rsidRPr="0087043D">
        <w:rPr>
          <w:vertAlign w:val="superscript"/>
        </w:rPr>
        <w:t xml:space="preserve"> </w:t>
      </w:r>
      <w:r w:rsidRPr="0087043D">
        <w:t xml:space="preserve">The submission presented the median OS from the September 2019 data cut-off (median follow-up 39.3 months). The results from the interim analysis of OS (data cut-off January 2018) </w:t>
      </w:r>
      <w:r w:rsidR="00BB7E68" w:rsidRPr="0087043D">
        <w:t xml:space="preserve">are </w:t>
      </w:r>
      <w:r w:rsidRPr="0087043D">
        <w:t>also presented as the duration of follow-up (20 months) was more consistent with that in CM9LA.</w:t>
      </w:r>
    </w:p>
    <w:p w:rsidR="007E085B" w:rsidRPr="0087043D" w:rsidRDefault="007E085B" w:rsidP="00D87167">
      <w:pPr>
        <w:pStyle w:val="TableFigureFooter"/>
        <w:rPr>
          <w:i/>
        </w:rPr>
      </w:pPr>
      <w:r w:rsidRPr="0087043D">
        <w:rPr>
          <w:i/>
        </w:rPr>
        <w:t xml:space="preserve">Figures in italics are from the January 2018 data cut-off for </w:t>
      </w:r>
      <w:proofErr w:type="spellStart"/>
      <w:r w:rsidRPr="0087043D">
        <w:rPr>
          <w:i/>
        </w:rPr>
        <w:t>IMpower</w:t>
      </w:r>
      <w:proofErr w:type="spellEnd"/>
      <w:r w:rsidRPr="0087043D">
        <w:rPr>
          <w:i/>
        </w:rPr>
        <w:t xml:space="preserve"> 150</w:t>
      </w:r>
      <w:r w:rsidR="00D87167" w:rsidRPr="0087043D">
        <w:rPr>
          <w:i/>
        </w:rPr>
        <w:t xml:space="preserve">. These are the data on which the PBAC’s recommendation to list </w:t>
      </w:r>
      <w:proofErr w:type="spellStart"/>
      <w:r w:rsidR="00D87167" w:rsidRPr="0087043D">
        <w:rPr>
          <w:i/>
        </w:rPr>
        <w:t>atezolizumab+bevacizumab+platinum</w:t>
      </w:r>
      <w:proofErr w:type="spellEnd"/>
      <w:r w:rsidR="00D87167" w:rsidRPr="0087043D">
        <w:rPr>
          <w:i/>
        </w:rPr>
        <w:t xml:space="preserve"> was based (Atezolizumab plus bevacizumab PSD, March 2019 PBAC meeting).</w:t>
      </w:r>
    </w:p>
    <w:p w:rsidR="006C7F44" w:rsidRPr="0087043D" w:rsidRDefault="006C7F44" w:rsidP="006C7F44">
      <w:pPr>
        <w:pStyle w:val="3-BodyText"/>
      </w:pPr>
      <w:r w:rsidRPr="0087043D">
        <w:t xml:space="preserve">The submission stated that, as the difference in the median OS reported for </w:t>
      </w:r>
      <w:proofErr w:type="spellStart"/>
      <w:r w:rsidRPr="0087043D">
        <w:t>NIVO+IPI+platinum</w:t>
      </w:r>
      <w:proofErr w:type="spellEnd"/>
      <w:r w:rsidRPr="0087043D">
        <w:t xml:space="preserve"> and </w:t>
      </w:r>
      <w:proofErr w:type="spellStart"/>
      <w:r w:rsidRPr="0087043D">
        <w:t>atezolizumab+bevacizumab+platinum</w:t>
      </w:r>
      <w:proofErr w:type="spellEnd"/>
      <w:r w:rsidRPr="0087043D">
        <w:t xml:space="preserve">, in both the primary analysis and the supplementary analysis were both within the proposed non-inferiority margin of ± 4 months, it inferred that </w:t>
      </w:r>
      <w:proofErr w:type="spellStart"/>
      <w:r w:rsidRPr="0087043D">
        <w:t>NIVO+IPI+platinum</w:t>
      </w:r>
      <w:proofErr w:type="spellEnd"/>
      <w:r w:rsidRPr="0087043D">
        <w:t xml:space="preserve"> was non-inferior to </w:t>
      </w:r>
      <w:proofErr w:type="spellStart"/>
      <w:r w:rsidRPr="0087043D">
        <w:t>atezolizumab+bevacizumab+platinum</w:t>
      </w:r>
      <w:proofErr w:type="spellEnd"/>
      <w:r w:rsidRPr="0087043D">
        <w:t xml:space="preserve"> for the patient relevant outcome of OS. The comparison of the median OS is relatively uninformative, as median OS represents only one point on the Kaplan-Meier curve. </w:t>
      </w:r>
      <w:r w:rsidR="000F5B21" w:rsidRPr="0087043D">
        <w:t>As above</w:t>
      </w:r>
      <w:r w:rsidRPr="0087043D">
        <w:t xml:space="preserve">, the fact that the point estimate of the difference in the outcomes between the treatment arms lies within the non-inferiority margin is not sufficient to support a claim of non-inferiority. In order to demonstrate non-inferiority, </w:t>
      </w:r>
      <w:r w:rsidR="007C437E" w:rsidRPr="0087043D">
        <w:t xml:space="preserve">it </w:t>
      </w:r>
      <w:r w:rsidR="00B82088" w:rsidRPr="0087043D">
        <w:t>is</w:t>
      </w:r>
      <w:r w:rsidR="007C437E" w:rsidRPr="0087043D">
        <w:t xml:space="preserve"> necessary to estimate the confidence interval for the difference in </w:t>
      </w:r>
      <w:r w:rsidR="00F94DF1" w:rsidRPr="0087043D">
        <w:t>OS</w:t>
      </w:r>
      <w:r w:rsidR="007C437E" w:rsidRPr="0087043D">
        <w:t xml:space="preserve"> and</w:t>
      </w:r>
      <w:r w:rsidR="001A3625" w:rsidRPr="0087043D">
        <w:t xml:space="preserve"> </w:t>
      </w:r>
      <w:r w:rsidRPr="0087043D">
        <w:t xml:space="preserve">the lower boundary of the 95% </w:t>
      </w:r>
      <w:r w:rsidR="000F5B21" w:rsidRPr="0087043D">
        <w:t>CI</w:t>
      </w:r>
      <w:r w:rsidRPr="0087043D">
        <w:t xml:space="preserve"> for the comparative treatment effect must be within the predefined non-inferiority margin</w:t>
      </w:r>
      <w:r w:rsidR="00B82088" w:rsidRPr="0087043D">
        <w:t xml:space="preserve"> to establish non-inferiority</w:t>
      </w:r>
      <w:r w:rsidRPr="0087043D">
        <w:t xml:space="preserve">. </w:t>
      </w:r>
    </w:p>
    <w:p w:rsidR="0091232E" w:rsidRPr="0087043D" w:rsidRDefault="004733EA" w:rsidP="006C7F44">
      <w:pPr>
        <w:pStyle w:val="3-BodyText"/>
      </w:pPr>
      <w:r w:rsidRPr="0087043D">
        <w:t xml:space="preserve">The ESC agreed </w:t>
      </w:r>
      <w:r w:rsidR="00E47AE8" w:rsidRPr="0087043D">
        <w:t xml:space="preserve">with the evaluation </w:t>
      </w:r>
      <w:r w:rsidRPr="0087043D">
        <w:t>that d</w:t>
      </w:r>
      <w:r w:rsidR="0091232E" w:rsidRPr="0087043D">
        <w:t>ue to the considerable potential for confounding in the unadjusted indirect comparison, the uninformative nature of the outcome used in the indirect comparison (median OS), and the absence of a reliable estimate of the confidence interval associated with the indirectly derived comparative treatment effect, it is difficult to draw any reliable conclusions regarding the comparative effectiveness</w:t>
      </w:r>
      <w:r w:rsidR="00E47AE8" w:rsidRPr="0087043D">
        <w:t xml:space="preserve"> of</w:t>
      </w:r>
      <w:r w:rsidR="0091232E" w:rsidRPr="0087043D">
        <w:t xml:space="preserve"> </w:t>
      </w:r>
      <w:proofErr w:type="spellStart"/>
      <w:r w:rsidR="0091232E" w:rsidRPr="0087043D">
        <w:t>NIVO+IPI+platinum</w:t>
      </w:r>
      <w:proofErr w:type="spellEnd"/>
      <w:r w:rsidR="0091232E" w:rsidRPr="0087043D">
        <w:t xml:space="preserve"> and </w:t>
      </w:r>
      <w:proofErr w:type="spellStart"/>
      <w:r w:rsidR="0091232E" w:rsidRPr="0087043D">
        <w:t>atezolizumab+bevacizumab+platinum</w:t>
      </w:r>
      <w:proofErr w:type="spellEnd"/>
      <w:r w:rsidR="0091232E" w:rsidRPr="0087043D">
        <w:t xml:space="preserve"> in this patient population.</w:t>
      </w:r>
    </w:p>
    <w:p w:rsidR="00744BF2" w:rsidRPr="0087043D" w:rsidRDefault="00744BF2" w:rsidP="000F6871">
      <w:pPr>
        <w:pStyle w:val="3-BodyText"/>
      </w:pPr>
      <w:r w:rsidRPr="0087043D">
        <w:t xml:space="preserve">The PSCR </w:t>
      </w:r>
      <w:r w:rsidR="00580148" w:rsidRPr="0087043D">
        <w:t>acknowledged</w:t>
      </w:r>
      <w:r w:rsidRPr="0087043D">
        <w:t xml:space="preserve"> that there are several parameters limiting the robustness of an adjusted indirect comparison between </w:t>
      </w:r>
      <w:proofErr w:type="spellStart"/>
      <w:r w:rsidRPr="0087043D">
        <w:t>NIVO+IPI+platinum</w:t>
      </w:r>
      <w:proofErr w:type="spellEnd"/>
      <w:r w:rsidRPr="0087043D">
        <w:t xml:space="preserve"> and </w:t>
      </w:r>
      <w:proofErr w:type="spellStart"/>
      <w:r w:rsidRPr="0087043D">
        <w:t>atezolizumab+bevacizumab+platinum</w:t>
      </w:r>
      <w:proofErr w:type="spellEnd"/>
      <w:r w:rsidR="00160135" w:rsidRPr="0087043D">
        <w:t>, however the Sponsor</w:t>
      </w:r>
      <w:r w:rsidRPr="0087043D">
        <w:t xml:space="preserve"> considered this</w:t>
      </w:r>
      <w:r w:rsidR="00160135" w:rsidRPr="0087043D">
        <w:t xml:space="preserve"> justified the</w:t>
      </w:r>
      <w:r w:rsidRPr="0087043D">
        <w:t xml:space="preserve"> presentation of a naïve </w:t>
      </w:r>
      <w:r w:rsidR="00F10F2C" w:rsidRPr="0087043D">
        <w:t>indirect comparison i</w:t>
      </w:r>
      <w:r w:rsidR="00160135" w:rsidRPr="0087043D">
        <w:t>n the submission.</w:t>
      </w:r>
      <w:r w:rsidR="00264317" w:rsidRPr="0087043D">
        <w:t xml:space="preserve"> </w:t>
      </w:r>
      <w:r w:rsidR="00160135" w:rsidRPr="0087043D">
        <w:t>The PSCR included the results of an adjusted indirect treatment comparison presented in overseas reimbursement submissions for consideration by the PBAC, which it considered</w:t>
      </w:r>
      <w:r w:rsidR="002F72C0" w:rsidRPr="0087043D">
        <w:t xml:space="preserve"> </w:t>
      </w:r>
      <w:r w:rsidR="00160135" w:rsidRPr="0087043D">
        <w:t>support</w:t>
      </w:r>
      <w:r w:rsidR="002F72C0" w:rsidRPr="0087043D">
        <w:t>ed</w:t>
      </w:r>
      <w:r w:rsidR="00160135" w:rsidRPr="0087043D">
        <w:t xml:space="preserve"> a claim of non-inferiority of </w:t>
      </w:r>
      <w:proofErr w:type="spellStart"/>
      <w:r w:rsidR="00160135" w:rsidRPr="0087043D">
        <w:t>NIVO+IPI+platinum</w:t>
      </w:r>
      <w:proofErr w:type="spellEnd"/>
      <w:r w:rsidR="00160135" w:rsidRPr="0087043D">
        <w:t xml:space="preserve"> and </w:t>
      </w:r>
      <w:proofErr w:type="spellStart"/>
      <w:r w:rsidR="00160135" w:rsidRPr="0087043D">
        <w:t>atezolizumab+bevacizumab+platinum</w:t>
      </w:r>
      <w:proofErr w:type="spellEnd"/>
      <w:r w:rsidR="00D17C1E" w:rsidRPr="0087043D">
        <w:t>,</w:t>
      </w:r>
      <w:r w:rsidR="00160135" w:rsidRPr="0087043D">
        <w:t xml:space="preserve"> given the point estimate and upper 95% CI for the indirect comparison </w:t>
      </w:r>
      <w:r w:rsidR="00576B4F" w:rsidRPr="0087043D">
        <w:t xml:space="preserve">of </w:t>
      </w:r>
      <w:r w:rsidR="00160135" w:rsidRPr="0087043D">
        <w:t>OS HR are all below the proposed non-inferiority margin for non-squamous NSCLC of 1.32</w:t>
      </w:r>
      <w:r w:rsidR="00090E60" w:rsidRPr="0087043D">
        <w:t>.</w:t>
      </w:r>
      <w:r w:rsidR="00D17C1E" w:rsidRPr="0087043D">
        <w:t xml:space="preserve"> The ESC noted this analysis had not been evaluated. </w:t>
      </w:r>
    </w:p>
    <w:p w:rsidR="00B60939" w:rsidRPr="0087043D" w:rsidRDefault="00B60939" w:rsidP="00D86231">
      <w:pPr>
        <w:pStyle w:val="4-SubsectionHeading"/>
      </w:pPr>
      <w:bookmarkStart w:id="26" w:name="_Toc22897642"/>
      <w:bookmarkStart w:id="27" w:name="_Toc51147795"/>
      <w:r w:rsidRPr="0087043D">
        <w:t>Comparative harms</w:t>
      </w:r>
      <w:bookmarkEnd w:id="26"/>
      <w:bookmarkEnd w:id="27"/>
    </w:p>
    <w:p w:rsidR="00B60939" w:rsidRPr="0087043D" w:rsidRDefault="00950B1A" w:rsidP="00D86231">
      <w:pPr>
        <w:pStyle w:val="3-BodyText"/>
      </w:pPr>
      <w:r w:rsidRPr="0087043D">
        <w:t xml:space="preserve">A comparison of key adverse events across the </w:t>
      </w:r>
      <w:proofErr w:type="spellStart"/>
      <w:r w:rsidRPr="0087043D">
        <w:t>NIVO+IPI+platinum</w:t>
      </w:r>
      <w:proofErr w:type="spellEnd"/>
      <w:r w:rsidRPr="0087043D">
        <w:t xml:space="preserve"> and </w:t>
      </w:r>
      <w:proofErr w:type="spellStart"/>
      <w:r w:rsidRPr="0087043D">
        <w:t>pembrolizumab+platinum</w:t>
      </w:r>
      <w:proofErr w:type="spellEnd"/>
      <w:r w:rsidRPr="0087043D">
        <w:t xml:space="preserve"> trials is provided below. </w:t>
      </w:r>
    </w:p>
    <w:p w:rsidR="00B60939" w:rsidRPr="0087043D" w:rsidRDefault="00950B1A" w:rsidP="00950B1A">
      <w:pPr>
        <w:pStyle w:val="TableFigureHeading"/>
        <w:rPr>
          <w:rStyle w:val="CommentReference"/>
          <w:b/>
          <w:szCs w:val="24"/>
        </w:rPr>
      </w:pPr>
      <w:r w:rsidRPr="0087043D">
        <w:t xml:space="preserve">Table </w:t>
      </w:r>
      <w:r w:rsidR="00C71489" w:rsidRPr="0087043D">
        <w:t>10</w:t>
      </w:r>
      <w:r w:rsidRPr="0087043D">
        <w:t xml:space="preserve">: </w:t>
      </w:r>
      <w:r w:rsidR="00193F56" w:rsidRPr="0087043D">
        <w:rPr>
          <w:rStyle w:val="CommentReference"/>
          <w:b/>
          <w:szCs w:val="24"/>
        </w:rPr>
        <w:t xml:space="preserve">Comparison of key adverse events </w:t>
      </w:r>
      <w:r w:rsidRPr="0087043D">
        <w:rPr>
          <w:rStyle w:val="CommentReference"/>
          <w:b/>
          <w:szCs w:val="24"/>
        </w:rPr>
        <w:t xml:space="preserve">across the </w:t>
      </w:r>
      <w:proofErr w:type="spellStart"/>
      <w:r w:rsidRPr="0087043D">
        <w:rPr>
          <w:rStyle w:val="CommentReference"/>
          <w:b/>
          <w:szCs w:val="24"/>
        </w:rPr>
        <w:t>NIVO+IPI+platinum</w:t>
      </w:r>
      <w:proofErr w:type="spellEnd"/>
      <w:r w:rsidRPr="0087043D">
        <w:rPr>
          <w:rStyle w:val="CommentReference"/>
          <w:b/>
          <w:szCs w:val="24"/>
        </w:rPr>
        <w:t xml:space="preserve"> and </w:t>
      </w:r>
      <w:proofErr w:type="spellStart"/>
      <w:r w:rsidRPr="0087043D">
        <w:rPr>
          <w:rStyle w:val="CommentReference"/>
          <w:b/>
          <w:szCs w:val="24"/>
        </w:rPr>
        <w:t>pembrolizumab+platinum</w:t>
      </w:r>
      <w:proofErr w:type="spellEnd"/>
      <w:r w:rsidRPr="0087043D">
        <w:rPr>
          <w:rStyle w:val="CommentReference"/>
          <w:b/>
          <w:szCs w:val="24"/>
        </w:rPr>
        <w:t xml:space="preserv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787"/>
        <w:gridCol w:w="1791"/>
        <w:gridCol w:w="1791"/>
        <w:gridCol w:w="1780"/>
      </w:tblGrid>
      <w:tr w:rsidR="00193F56" w:rsidRPr="008A0138" w:rsidTr="008A0138">
        <w:trPr>
          <w:cantSplit/>
          <w:tblHeader/>
        </w:trPr>
        <w:tc>
          <w:tcPr>
            <w:tcW w:w="1036" w:type="pct"/>
            <w:vAlign w:val="center"/>
          </w:tcPr>
          <w:p w:rsidR="00193F56" w:rsidRPr="008A0138" w:rsidRDefault="00193F56" w:rsidP="00D86231">
            <w:pPr>
              <w:pStyle w:val="In-tableHeading"/>
              <w:rPr>
                <w:szCs w:val="20"/>
                <w:lang w:val="en-AU"/>
              </w:rPr>
            </w:pPr>
          </w:p>
        </w:tc>
        <w:tc>
          <w:tcPr>
            <w:tcW w:w="1984" w:type="pct"/>
            <w:gridSpan w:val="2"/>
            <w:vAlign w:val="center"/>
          </w:tcPr>
          <w:p w:rsidR="00193F56" w:rsidRPr="008A0138" w:rsidRDefault="00193F56" w:rsidP="00D86231">
            <w:pPr>
              <w:pStyle w:val="In-tableHeading"/>
              <w:jc w:val="center"/>
              <w:rPr>
                <w:szCs w:val="20"/>
                <w:lang w:val="en-AU"/>
              </w:rPr>
            </w:pPr>
            <w:proofErr w:type="spellStart"/>
            <w:r w:rsidRPr="008A0138">
              <w:rPr>
                <w:szCs w:val="20"/>
                <w:lang w:val="en-AU"/>
              </w:rPr>
              <w:t>NIVO+IPI+platinum</w:t>
            </w:r>
            <w:proofErr w:type="spellEnd"/>
            <w:r w:rsidRPr="008A0138">
              <w:rPr>
                <w:szCs w:val="20"/>
                <w:lang w:val="en-AU"/>
              </w:rPr>
              <w:t xml:space="preserve"> </w:t>
            </w:r>
          </w:p>
        </w:tc>
        <w:tc>
          <w:tcPr>
            <w:tcW w:w="1980" w:type="pct"/>
            <w:gridSpan w:val="2"/>
            <w:vAlign w:val="center"/>
          </w:tcPr>
          <w:p w:rsidR="00193F56" w:rsidRPr="008A0138" w:rsidRDefault="00193F56" w:rsidP="00D86231">
            <w:pPr>
              <w:pStyle w:val="In-tableHeading"/>
              <w:jc w:val="center"/>
              <w:rPr>
                <w:szCs w:val="20"/>
                <w:lang w:val="en-AU"/>
              </w:rPr>
            </w:pPr>
            <w:proofErr w:type="spellStart"/>
            <w:r w:rsidRPr="008A0138">
              <w:rPr>
                <w:szCs w:val="20"/>
                <w:lang w:val="en-AU"/>
              </w:rPr>
              <w:t>Pembrolizumab+platinum</w:t>
            </w:r>
            <w:proofErr w:type="spellEnd"/>
          </w:p>
        </w:tc>
      </w:tr>
      <w:tr w:rsidR="00193F56" w:rsidRPr="008A0138" w:rsidTr="008A0138">
        <w:trPr>
          <w:cantSplit/>
          <w:tblHeader/>
        </w:trPr>
        <w:tc>
          <w:tcPr>
            <w:tcW w:w="1036" w:type="pct"/>
            <w:vAlign w:val="center"/>
          </w:tcPr>
          <w:p w:rsidR="00193F56" w:rsidRPr="008A0138" w:rsidRDefault="00193F56" w:rsidP="00D86231">
            <w:pPr>
              <w:pStyle w:val="In-tableHeading"/>
              <w:rPr>
                <w:szCs w:val="20"/>
                <w:lang w:val="en-AU"/>
              </w:rPr>
            </w:pPr>
            <w:r w:rsidRPr="008A0138">
              <w:rPr>
                <w:szCs w:val="20"/>
                <w:lang w:val="en-AU"/>
              </w:rPr>
              <w:t>Trial ID</w:t>
            </w:r>
          </w:p>
        </w:tc>
        <w:tc>
          <w:tcPr>
            <w:tcW w:w="1984" w:type="pct"/>
            <w:gridSpan w:val="2"/>
            <w:vAlign w:val="center"/>
          </w:tcPr>
          <w:p w:rsidR="00193F56" w:rsidRPr="008A0138" w:rsidRDefault="00193F56" w:rsidP="00D86231">
            <w:pPr>
              <w:pStyle w:val="In-tableHeading"/>
              <w:jc w:val="center"/>
              <w:rPr>
                <w:szCs w:val="20"/>
                <w:lang w:val="en-AU"/>
              </w:rPr>
            </w:pPr>
            <w:r w:rsidRPr="008A0138">
              <w:rPr>
                <w:szCs w:val="20"/>
                <w:lang w:val="en-AU"/>
              </w:rPr>
              <w:t>CM9LA (ITT)</w:t>
            </w:r>
          </w:p>
        </w:tc>
        <w:tc>
          <w:tcPr>
            <w:tcW w:w="1980" w:type="pct"/>
            <w:gridSpan w:val="2"/>
            <w:vAlign w:val="center"/>
          </w:tcPr>
          <w:p w:rsidR="00193F56" w:rsidRPr="008A0138" w:rsidRDefault="00193F56" w:rsidP="00D86231">
            <w:pPr>
              <w:pStyle w:val="In-tableHeading"/>
              <w:jc w:val="center"/>
              <w:rPr>
                <w:szCs w:val="20"/>
                <w:lang w:val="en-AU"/>
              </w:rPr>
            </w:pPr>
            <w:r w:rsidRPr="008A0138">
              <w:rPr>
                <w:szCs w:val="20"/>
                <w:lang w:val="en-AU"/>
              </w:rPr>
              <w:t>KN189 (non-squamous NSCLC)</w:t>
            </w:r>
          </w:p>
        </w:tc>
      </w:tr>
      <w:tr w:rsidR="00504BF4" w:rsidRPr="008A0138" w:rsidTr="008A0138">
        <w:trPr>
          <w:cantSplit/>
          <w:tblHeader/>
        </w:trPr>
        <w:tc>
          <w:tcPr>
            <w:tcW w:w="1036" w:type="pct"/>
            <w:vAlign w:val="center"/>
          </w:tcPr>
          <w:p w:rsidR="00504BF4" w:rsidRPr="008A0138" w:rsidRDefault="00504BF4" w:rsidP="00504BF4">
            <w:pPr>
              <w:pStyle w:val="In-tableHeading"/>
              <w:rPr>
                <w:szCs w:val="20"/>
                <w:lang w:val="en-AU"/>
              </w:rPr>
            </w:pPr>
          </w:p>
        </w:tc>
        <w:tc>
          <w:tcPr>
            <w:tcW w:w="991" w:type="pct"/>
          </w:tcPr>
          <w:p w:rsidR="00504BF4" w:rsidRPr="008A0138" w:rsidRDefault="00504BF4" w:rsidP="00504BF4">
            <w:pPr>
              <w:pStyle w:val="In-tableHeading"/>
              <w:jc w:val="center"/>
              <w:rPr>
                <w:szCs w:val="20"/>
                <w:lang w:val="en-AU"/>
              </w:rPr>
            </w:pPr>
            <w:proofErr w:type="spellStart"/>
            <w:r w:rsidRPr="008A0138">
              <w:rPr>
                <w:szCs w:val="20"/>
                <w:lang w:val="en-AU"/>
              </w:rPr>
              <w:t>NIVO+IPI+platinum</w:t>
            </w:r>
            <w:proofErr w:type="spellEnd"/>
          </w:p>
          <w:p w:rsidR="00504BF4" w:rsidRPr="008A0138" w:rsidRDefault="00504BF4" w:rsidP="00504BF4">
            <w:pPr>
              <w:pStyle w:val="In-tableHeading"/>
              <w:jc w:val="center"/>
              <w:rPr>
                <w:szCs w:val="20"/>
                <w:lang w:val="en-AU"/>
              </w:rPr>
            </w:pPr>
            <w:r w:rsidRPr="008A0138">
              <w:rPr>
                <w:szCs w:val="20"/>
                <w:lang w:val="en-AU"/>
              </w:rPr>
              <w:t>N=358</w:t>
            </w:r>
          </w:p>
        </w:tc>
        <w:tc>
          <w:tcPr>
            <w:tcW w:w="993" w:type="pct"/>
          </w:tcPr>
          <w:p w:rsidR="00504BF4" w:rsidRPr="008A0138" w:rsidRDefault="00504BF4" w:rsidP="00504BF4">
            <w:pPr>
              <w:pStyle w:val="In-tableHeading"/>
              <w:jc w:val="center"/>
              <w:rPr>
                <w:szCs w:val="20"/>
                <w:lang w:val="en-AU"/>
              </w:rPr>
            </w:pPr>
            <w:r w:rsidRPr="008A0138">
              <w:rPr>
                <w:szCs w:val="20"/>
                <w:lang w:val="en-AU"/>
              </w:rPr>
              <w:t>Platinum chemo</w:t>
            </w:r>
          </w:p>
          <w:p w:rsidR="00504BF4" w:rsidRPr="008A0138" w:rsidRDefault="00504BF4" w:rsidP="00504BF4">
            <w:pPr>
              <w:pStyle w:val="In-tableHeading"/>
              <w:jc w:val="center"/>
              <w:rPr>
                <w:szCs w:val="20"/>
                <w:lang w:val="en-AU"/>
              </w:rPr>
            </w:pPr>
            <w:r w:rsidRPr="008A0138">
              <w:rPr>
                <w:szCs w:val="20"/>
                <w:lang w:val="en-AU"/>
              </w:rPr>
              <w:t>N=349</w:t>
            </w:r>
          </w:p>
        </w:tc>
        <w:tc>
          <w:tcPr>
            <w:tcW w:w="993" w:type="pct"/>
          </w:tcPr>
          <w:p w:rsidR="00504BF4" w:rsidRPr="008A0138" w:rsidRDefault="00504BF4" w:rsidP="00504BF4">
            <w:pPr>
              <w:pStyle w:val="In-tableHeading"/>
              <w:jc w:val="center"/>
              <w:rPr>
                <w:szCs w:val="20"/>
                <w:lang w:val="en-AU"/>
              </w:rPr>
            </w:pPr>
            <w:proofErr w:type="spellStart"/>
            <w:r w:rsidRPr="008A0138">
              <w:rPr>
                <w:szCs w:val="20"/>
                <w:lang w:val="en-AU"/>
              </w:rPr>
              <w:t>PEMBRO+platinum</w:t>
            </w:r>
            <w:proofErr w:type="spellEnd"/>
          </w:p>
          <w:p w:rsidR="00504BF4" w:rsidRPr="008A0138" w:rsidRDefault="00504BF4" w:rsidP="00504BF4">
            <w:pPr>
              <w:pStyle w:val="In-tableHeading"/>
              <w:jc w:val="center"/>
              <w:rPr>
                <w:szCs w:val="20"/>
                <w:lang w:val="en-AU"/>
              </w:rPr>
            </w:pPr>
            <w:r w:rsidRPr="008A0138">
              <w:rPr>
                <w:szCs w:val="20"/>
                <w:lang w:val="en-AU"/>
              </w:rPr>
              <w:t>N=405</w:t>
            </w:r>
          </w:p>
        </w:tc>
        <w:tc>
          <w:tcPr>
            <w:tcW w:w="987" w:type="pct"/>
          </w:tcPr>
          <w:p w:rsidR="00504BF4" w:rsidRPr="008A0138" w:rsidRDefault="00504BF4" w:rsidP="00504BF4">
            <w:pPr>
              <w:pStyle w:val="In-tableHeading"/>
              <w:jc w:val="center"/>
              <w:rPr>
                <w:szCs w:val="20"/>
                <w:lang w:val="en-AU"/>
              </w:rPr>
            </w:pPr>
            <w:proofErr w:type="spellStart"/>
            <w:r w:rsidRPr="008A0138">
              <w:rPr>
                <w:szCs w:val="20"/>
                <w:lang w:val="en-AU"/>
              </w:rPr>
              <w:t>Placebo+platinum</w:t>
            </w:r>
            <w:proofErr w:type="spellEnd"/>
          </w:p>
          <w:p w:rsidR="00504BF4" w:rsidRPr="008A0138" w:rsidRDefault="00504BF4" w:rsidP="00504BF4">
            <w:pPr>
              <w:pStyle w:val="In-tableHeading"/>
              <w:jc w:val="center"/>
              <w:rPr>
                <w:szCs w:val="20"/>
                <w:lang w:val="en-AU"/>
              </w:rPr>
            </w:pPr>
            <w:r w:rsidRPr="008A0138">
              <w:rPr>
                <w:szCs w:val="20"/>
                <w:lang w:val="en-AU"/>
              </w:rPr>
              <w:t>N=202</w:t>
            </w:r>
          </w:p>
        </w:tc>
      </w:tr>
      <w:tr w:rsidR="00950B1A" w:rsidRPr="008A0138" w:rsidTr="008A0138">
        <w:trPr>
          <w:cantSplit/>
          <w:tblHeader/>
        </w:trPr>
        <w:tc>
          <w:tcPr>
            <w:tcW w:w="1036" w:type="pct"/>
          </w:tcPr>
          <w:p w:rsidR="00950B1A" w:rsidRPr="008A0138" w:rsidRDefault="00950B1A" w:rsidP="00B257B8">
            <w:pPr>
              <w:pStyle w:val="TableText0"/>
              <w:rPr>
                <w:szCs w:val="20"/>
              </w:rPr>
            </w:pPr>
            <w:r w:rsidRPr="008A0138">
              <w:rPr>
                <w:szCs w:val="20"/>
              </w:rPr>
              <w:t>Population</w:t>
            </w:r>
          </w:p>
        </w:tc>
        <w:tc>
          <w:tcPr>
            <w:tcW w:w="1984" w:type="pct"/>
            <w:gridSpan w:val="2"/>
          </w:tcPr>
          <w:p w:rsidR="00950B1A" w:rsidRPr="008A0138" w:rsidRDefault="00950B1A" w:rsidP="00B257B8">
            <w:pPr>
              <w:pStyle w:val="TableText0"/>
              <w:jc w:val="center"/>
              <w:rPr>
                <w:szCs w:val="20"/>
              </w:rPr>
            </w:pPr>
            <w:r w:rsidRPr="008A0138">
              <w:rPr>
                <w:szCs w:val="20"/>
              </w:rPr>
              <w:t>All histology</w:t>
            </w:r>
          </w:p>
        </w:tc>
        <w:tc>
          <w:tcPr>
            <w:tcW w:w="1980" w:type="pct"/>
            <w:gridSpan w:val="2"/>
            <w:vAlign w:val="center"/>
          </w:tcPr>
          <w:p w:rsidR="00950B1A" w:rsidRPr="008A0138" w:rsidRDefault="00950B1A" w:rsidP="00B257B8">
            <w:pPr>
              <w:pStyle w:val="TableText0"/>
              <w:jc w:val="center"/>
              <w:rPr>
                <w:szCs w:val="20"/>
              </w:rPr>
            </w:pPr>
            <w:r w:rsidRPr="008A0138">
              <w:rPr>
                <w:szCs w:val="20"/>
              </w:rPr>
              <w:t>Non-squamous</w:t>
            </w:r>
          </w:p>
        </w:tc>
      </w:tr>
      <w:tr w:rsidR="00950B1A" w:rsidRPr="008A0138" w:rsidTr="008A0138">
        <w:trPr>
          <w:cantSplit/>
          <w:tblHeader/>
        </w:trPr>
        <w:tc>
          <w:tcPr>
            <w:tcW w:w="1036" w:type="pct"/>
          </w:tcPr>
          <w:p w:rsidR="00950B1A" w:rsidRPr="008A0138" w:rsidRDefault="00950B1A" w:rsidP="00B257B8">
            <w:pPr>
              <w:pStyle w:val="TableText0"/>
              <w:rPr>
                <w:szCs w:val="20"/>
              </w:rPr>
            </w:pPr>
            <w:r w:rsidRPr="008A0138">
              <w:rPr>
                <w:szCs w:val="20"/>
              </w:rPr>
              <w:t>Median follow-up</w:t>
            </w:r>
          </w:p>
        </w:tc>
        <w:tc>
          <w:tcPr>
            <w:tcW w:w="991" w:type="pct"/>
          </w:tcPr>
          <w:p w:rsidR="00950B1A" w:rsidRPr="008A0138" w:rsidRDefault="00950B1A" w:rsidP="00B257B8">
            <w:pPr>
              <w:pStyle w:val="TableText0"/>
              <w:jc w:val="center"/>
              <w:rPr>
                <w:szCs w:val="20"/>
              </w:rPr>
            </w:pPr>
            <w:r w:rsidRPr="008A0138">
              <w:rPr>
                <w:szCs w:val="20"/>
              </w:rPr>
              <w:t xml:space="preserve">14.2 </w:t>
            </w:r>
            <w:proofErr w:type="spellStart"/>
            <w:r w:rsidRPr="008A0138">
              <w:rPr>
                <w:szCs w:val="20"/>
              </w:rPr>
              <w:t>months</w:t>
            </w:r>
            <w:r w:rsidRPr="008A0138">
              <w:rPr>
                <w:szCs w:val="20"/>
                <w:vertAlign w:val="superscript"/>
              </w:rPr>
              <w:t>b</w:t>
            </w:r>
            <w:proofErr w:type="spellEnd"/>
          </w:p>
        </w:tc>
        <w:tc>
          <w:tcPr>
            <w:tcW w:w="993" w:type="pct"/>
          </w:tcPr>
          <w:p w:rsidR="00950B1A" w:rsidRPr="008A0138" w:rsidRDefault="00950B1A" w:rsidP="00B257B8">
            <w:pPr>
              <w:pStyle w:val="TableText0"/>
              <w:jc w:val="center"/>
              <w:rPr>
                <w:szCs w:val="20"/>
              </w:rPr>
            </w:pPr>
            <w:r w:rsidRPr="008A0138">
              <w:rPr>
                <w:szCs w:val="20"/>
              </w:rPr>
              <w:t xml:space="preserve">10.9 </w:t>
            </w:r>
            <w:proofErr w:type="spellStart"/>
            <w:r w:rsidRPr="008A0138">
              <w:rPr>
                <w:szCs w:val="20"/>
              </w:rPr>
              <w:t>months</w:t>
            </w:r>
            <w:r w:rsidRPr="008A0138">
              <w:rPr>
                <w:szCs w:val="20"/>
                <w:vertAlign w:val="superscript"/>
              </w:rPr>
              <w:t>b</w:t>
            </w:r>
            <w:proofErr w:type="spellEnd"/>
          </w:p>
        </w:tc>
        <w:tc>
          <w:tcPr>
            <w:tcW w:w="1980" w:type="pct"/>
            <w:gridSpan w:val="2"/>
            <w:vAlign w:val="center"/>
          </w:tcPr>
          <w:p w:rsidR="00950B1A" w:rsidRPr="008A0138" w:rsidRDefault="00950B1A" w:rsidP="00B257B8">
            <w:pPr>
              <w:pStyle w:val="TableText0"/>
              <w:jc w:val="center"/>
              <w:rPr>
                <w:szCs w:val="20"/>
              </w:rPr>
            </w:pPr>
            <w:r w:rsidRPr="008A0138">
              <w:rPr>
                <w:szCs w:val="20"/>
              </w:rPr>
              <w:t>23.1 months</w:t>
            </w:r>
          </w:p>
        </w:tc>
      </w:tr>
      <w:tr w:rsidR="00B257B8" w:rsidRPr="008A0138" w:rsidTr="008A0138">
        <w:trPr>
          <w:cantSplit/>
          <w:tblHeader/>
        </w:trPr>
        <w:tc>
          <w:tcPr>
            <w:tcW w:w="1036" w:type="pct"/>
          </w:tcPr>
          <w:p w:rsidR="00B257B8" w:rsidRPr="008A0138" w:rsidRDefault="00B257B8" w:rsidP="00B257B8">
            <w:pPr>
              <w:pStyle w:val="TableText0"/>
              <w:rPr>
                <w:szCs w:val="20"/>
              </w:rPr>
            </w:pPr>
            <w:r w:rsidRPr="008A0138">
              <w:rPr>
                <w:szCs w:val="20"/>
              </w:rPr>
              <w:t>AEs of any causality</w:t>
            </w:r>
          </w:p>
        </w:tc>
        <w:tc>
          <w:tcPr>
            <w:tcW w:w="991" w:type="pct"/>
          </w:tcPr>
          <w:p w:rsidR="00B257B8" w:rsidRPr="008A0138" w:rsidRDefault="00B257B8" w:rsidP="00B257B8">
            <w:pPr>
              <w:pStyle w:val="TableText0"/>
              <w:jc w:val="center"/>
              <w:rPr>
                <w:szCs w:val="20"/>
              </w:rPr>
            </w:pPr>
            <w:proofErr w:type="gramStart"/>
            <w:r w:rsidRPr="008A0138">
              <w:rPr>
                <w:szCs w:val="20"/>
              </w:rPr>
              <w:t>n</w:t>
            </w:r>
            <w:proofErr w:type="gramEnd"/>
            <w:r w:rsidRPr="008A0138">
              <w:rPr>
                <w:szCs w:val="20"/>
              </w:rPr>
              <w:t xml:space="preserve"> (%)</w:t>
            </w:r>
          </w:p>
        </w:tc>
        <w:tc>
          <w:tcPr>
            <w:tcW w:w="993" w:type="pct"/>
          </w:tcPr>
          <w:p w:rsidR="00B257B8" w:rsidRPr="008A0138" w:rsidRDefault="00B257B8" w:rsidP="00B257B8">
            <w:pPr>
              <w:pStyle w:val="TableText0"/>
              <w:jc w:val="center"/>
              <w:rPr>
                <w:szCs w:val="20"/>
              </w:rPr>
            </w:pPr>
            <w:proofErr w:type="gramStart"/>
            <w:r w:rsidRPr="008A0138">
              <w:rPr>
                <w:szCs w:val="20"/>
              </w:rPr>
              <w:t>n</w:t>
            </w:r>
            <w:proofErr w:type="gramEnd"/>
            <w:r w:rsidRPr="008A0138">
              <w:rPr>
                <w:szCs w:val="20"/>
              </w:rPr>
              <w:t xml:space="preserve"> (%)</w:t>
            </w:r>
          </w:p>
        </w:tc>
        <w:tc>
          <w:tcPr>
            <w:tcW w:w="993" w:type="pct"/>
          </w:tcPr>
          <w:p w:rsidR="00B257B8" w:rsidRPr="008A0138" w:rsidRDefault="00B257B8" w:rsidP="00B257B8">
            <w:pPr>
              <w:pStyle w:val="TableText0"/>
              <w:jc w:val="center"/>
              <w:rPr>
                <w:szCs w:val="20"/>
              </w:rPr>
            </w:pPr>
            <w:proofErr w:type="gramStart"/>
            <w:r w:rsidRPr="008A0138">
              <w:rPr>
                <w:szCs w:val="20"/>
              </w:rPr>
              <w:t>n</w:t>
            </w:r>
            <w:proofErr w:type="gramEnd"/>
            <w:r w:rsidRPr="008A0138">
              <w:rPr>
                <w:szCs w:val="20"/>
              </w:rPr>
              <w:t xml:space="preserve"> (%)</w:t>
            </w:r>
          </w:p>
        </w:tc>
        <w:tc>
          <w:tcPr>
            <w:tcW w:w="987" w:type="pct"/>
          </w:tcPr>
          <w:p w:rsidR="00B257B8" w:rsidRPr="008A0138" w:rsidRDefault="00B257B8" w:rsidP="00B257B8">
            <w:pPr>
              <w:pStyle w:val="TableText0"/>
              <w:jc w:val="center"/>
              <w:rPr>
                <w:szCs w:val="20"/>
              </w:rPr>
            </w:pPr>
            <w:proofErr w:type="gramStart"/>
            <w:r w:rsidRPr="008A0138">
              <w:rPr>
                <w:szCs w:val="20"/>
              </w:rPr>
              <w:t>n</w:t>
            </w:r>
            <w:proofErr w:type="gramEnd"/>
            <w:r w:rsidRPr="008A0138">
              <w:rPr>
                <w:szCs w:val="20"/>
              </w:rPr>
              <w:t xml:space="preserve"> (%)</w:t>
            </w:r>
          </w:p>
        </w:tc>
      </w:tr>
      <w:tr w:rsidR="00B257B8" w:rsidRPr="008A0138" w:rsidTr="008A0138">
        <w:trPr>
          <w:cantSplit/>
          <w:tblHeader/>
        </w:trPr>
        <w:tc>
          <w:tcPr>
            <w:tcW w:w="1036" w:type="pct"/>
          </w:tcPr>
          <w:p w:rsidR="00B257B8" w:rsidRPr="008A0138" w:rsidRDefault="00B257B8" w:rsidP="00B257B8">
            <w:pPr>
              <w:pStyle w:val="TableText0"/>
              <w:rPr>
                <w:szCs w:val="20"/>
              </w:rPr>
            </w:pPr>
            <w:r w:rsidRPr="008A0138">
              <w:rPr>
                <w:szCs w:val="20"/>
              </w:rPr>
              <w:t>Any AE</w:t>
            </w:r>
          </w:p>
        </w:tc>
        <w:tc>
          <w:tcPr>
            <w:tcW w:w="991" w:type="pct"/>
          </w:tcPr>
          <w:p w:rsidR="00B257B8" w:rsidRPr="008A0138" w:rsidRDefault="00B257B8" w:rsidP="00B257B8">
            <w:pPr>
              <w:pStyle w:val="TableText0"/>
              <w:jc w:val="center"/>
              <w:rPr>
                <w:szCs w:val="20"/>
              </w:rPr>
            </w:pPr>
          </w:p>
        </w:tc>
        <w:tc>
          <w:tcPr>
            <w:tcW w:w="993" w:type="pct"/>
          </w:tcPr>
          <w:p w:rsidR="00B257B8" w:rsidRPr="008A0138" w:rsidRDefault="00B257B8" w:rsidP="00B257B8">
            <w:pPr>
              <w:pStyle w:val="TableText0"/>
              <w:jc w:val="center"/>
              <w:rPr>
                <w:szCs w:val="20"/>
              </w:rPr>
            </w:pPr>
          </w:p>
        </w:tc>
        <w:tc>
          <w:tcPr>
            <w:tcW w:w="993" w:type="pct"/>
            <w:vAlign w:val="center"/>
          </w:tcPr>
          <w:p w:rsidR="00B257B8" w:rsidRPr="008A0138" w:rsidRDefault="00B257B8" w:rsidP="00B257B8">
            <w:pPr>
              <w:pStyle w:val="TableText0"/>
              <w:jc w:val="center"/>
              <w:rPr>
                <w:szCs w:val="20"/>
              </w:rPr>
            </w:pPr>
          </w:p>
        </w:tc>
        <w:tc>
          <w:tcPr>
            <w:tcW w:w="987" w:type="pct"/>
            <w:vAlign w:val="center"/>
          </w:tcPr>
          <w:p w:rsidR="00B257B8" w:rsidRPr="008A0138" w:rsidRDefault="00B257B8" w:rsidP="00B257B8">
            <w:pPr>
              <w:pStyle w:val="TableText0"/>
              <w:jc w:val="center"/>
              <w:rPr>
                <w:szCs w:val="20"/>
              </w:rPr>
            </w:pPr>
          </w:p>
        </w:tc>
      </w:tr>
      <w:tr w:rsidR="00B257B8" w:rsidRPr="008A0138" w:rsidTr="008A0138">
        <w:trPr>
          <w:cantSplit/>
          <w:tblHeader/>
        </w:trPr>
        <w:tc>
          <w:tcPr>
            <w:tcW w:w="1036" w:type="pct"/>
          </w:tcPr>
          <w:p w:rsidR="00B257B8" w:rsidRPr="008A0138" w:rsidRDefault="00B257B8" w:rsidP="00B257B8">
            <w:pPr>
              <w:pStyle w:val="TableText0"/>
              <w:rPr>
                <w:szCs w:val="20"/>
              </w:rPr>
            </w:pPr>
            <w:r w:rsidRPr="008A0138">
              <w:rPr>
                <w:szCs w:val="20"/>
              </w:rPr>
              <w:t>Any grade</w:t>
            </w:r>
          </w:p>
        </w:tc>
        <w:tc>
          <w:tcPr>
            <w:tcW w:w="991" w:type="pct"/>
          </w:tcPr>
          <w:p w:rsidR="00B257B8" w:rsidRPr="008A0138" w:rsidRDefault="00B257B8" w:rsidP="00B257B8">
            <w:pPr>
              <w:pStyle w:val="TableText0"/>
              <w:jc w:val="center"/>
              <w:rPr>
                <w:szCs w:val="20"/>
              </w:rPr>
            </w:pPr>
            <w:r w:rsidRPr="008A0138">
              <w:rPr>
                <w:szCs w:val="20"/>
              </w:rPr>
              <w:t>356 (99.4)</w:t>
            </w:r>
          </w:p>
        </w:tc>
        <w:tc>
          <w:tcPr>
            <w:tcW w:w="993" w:type="pct"/>
          </w:tcPr>
          <w:p w:rsidR="00B257B8" w:rsidRPr="008A0138" w:rsidRDefault="00B257B8" w:rsidP="00B257B8">
            <w:pPr>
              <w:pStyle w:val="TableText0"/>
              <w:jc w:val="center"/>
              <w:rPr>
                <w:szCs w:val="20"/>
              </w:rPr>
            </w:pPr>
            <w:r w:rsidRPr="008A0138">
              <w:rPr>
                <w:szCs w:val="20"/>
              </w:rPr>
              <w:t>342 (98.0)</w:t>
            </w:r>
          </w:p>
        </w:tc>
        <w:tc>
          <w:tcPr>
            <w:tcW w:w="993" w:type="pct"/>
            <w:vAlign w:val="center"/>
          </w:tcPr>
          <w:p w:rsidR="00B257B8" w:rsidRPr="008A0138" w:rsidRDefault="00B257B8" w:rsidP="00B257B8">
            <w:pPr>
              <w:pStyle w:val="TableText0"/>
              <w:jc w:val="center"/>
              <w:rPr>
                <w:szCs w:val="20"/>
              </w:rPr>
            </w:pPr>
            <w:r w:rsidRPr="008A0138">
              <w:rPr>
                <w:szCs w:val="20"/>
              </w:rPr>
              <w:t>404 (99.8)</w:t>
            </w:r>
          </w:p>
        </w:tc>
        <w:tc>
          <w:tcPr>
            <w:tcW w:w="987" w:type="pct"/>
            <w:vAlign w:val="center"/>
          </w:tcPr>
          <w:p w:rsidR="00B257B8" w:rsidRPr="008A0138" w:rsidRDefault="00B257B8" w:rsidP="00B257B8">
            <w:pPr>
              <w:pStyle w:val="TableText0"/>
              <w:jc w:val="center"/>
              <w:rPr>
                <w:szCs w:val="20"/>
              </w:rPr>
            </w:pPr>
            <w:r w:rsidRPr="008A0138">
              <w:rPr>
                <w:szCs w:val="20"/>
              </w:rPr>
              <w:t>200 (99.0)</w:t>
            </w:r>
          </w:p>
        </w:tc>
      </w:tr>
      <w:tr w:rsidR="00B257B8" w:rsidRPr="008A0138" w:rsidTr="008A0138">
        <w:trPr>
          <w:cantSplit/>
          <w:tblHeader/>
        </w:trPr>
        <w:tc>
          <w:tcPr>
            <w:tcW w:w="1036" w:type="pct"/>
          </w:tcPr>
          <w:p w:rsidR="00B257B8" w:rsidRPr="008A0138" w:rsidRDefault="00B257B8" w:rsidP="00B257B8">
            <w:pPr>
              <w:pStyle w:val="TableText0"/>
              <w:rPr>
                <w:szCs w:val="20"/>
              </w:rPr>
            </w:pPr>
            <w:r w:rsidRPr="008A0138">
              <w:rPr>
                <w:szCs w:val="20"/>
              </w:rPr>
              <w:t>Grade 3-4/5</w:t>
            </w:r>
            <w:r w:rsidRPr="008A0138">
              <w:rPr>
                <w:szCs w:val="20"/>
                <w:vertAlign w:val="superscript"/>
              </w:rPr>
              <w:t>a</w:t>
            </w:r>
          </w:p>
        </w:tc>
        <w:tc>
          <w:tcPr>
            <w:tcW w:w="991" w:type="pct"/>
          </w:tcPr>
          <w:p w:rsidR="00B257B8" w:rsidRPr="008A0138" w:rsidRDefault="00B257B8" w:rsidP="00B257B8">
            <w:pPr>
              <w:pStyle w:val="TableText0"/>
              <w:jc w:val="center"/>
              <w:rPr>
                <w:szCs w:val="20"/>
              </w:rPr>
            </w:pPr>
            <w:r w:rsidRPr="008A0138">
              <w:rPr>
                <w:szCs w:val="20"/>
              </w:rPr>
              <w:t>245 (68.4)</w:t>
            </w:r>
          </w:p>
        </w:tc>
        <w:tc>
          <w:tcPr>
            <w:tcW w:w="993" w:type="pct"/>
          </w:tcPr>
          <w:p w:rsidR="00B257B8" w:rsidRPr="008A0138" w:rsidRDefault="00B257B8" w:rsidP="00B257B8">
            <w:pPr>
              <w:pStyle w:val="TableText0"/>
              <w:jc w:val="center"/>
              <w:rPr>
                <w:szCs w:val="20"/>
              </w:rPr>
            </w:pPr>
            <w:r w:rsidRPr="008A0138">
              <w:rPr>
                <w:szCs w:val="20"/>
              </w:rPr>
              <w:t>188 (53.9)</w:t>
            </w:r>
          </w:p>
        </w:tc>
        <w:tc>
          <w:tcPr>
            <w:tcW w:w="993" w:type="pct"/>
            <w:vAlign w:val="center"/>
          </w:tcPr>
          <w:p w:rsidR="00B257B8" w:rsidRPr="008A0138" w:rsidRDefault="00B257B8" w:rsidP="00B257B8">
            <w:pPr>
              <w:pStyle w:val="TableText0"/>
              <w:jc w:val="center"/>
              <w:rPr>
                <w:szCs w:val="20"/>
              </w:rPr>
            </w:pPr>
            <w:r w:rsidRPr="008A0138">
              <w:rPr>
                <w:szCs w:val="20"/>
              </w:rPr>
              <w:t>291 (71.9)</w:t>
            </w:r>
          </w:p>
        </w:tc>
        <w:tc>
          <w:tcPr>
            <w:tcW w:w="987" w:type="pct"/>
            <w:vAlign w:val="center"/>
          </w:tcPr>
          <w:p w:rsidR="00B257B8" w:rsidRPr="008A0138" w:rsidRDefault="00B257B8" w:rsidP="00B257B8">
            <w:pPr>
              <w:pStyle w:val="TableText0"/>
              <w:jc w:val="center"/>
              <w:rPr>
                <w:szCs w:val="20"/>
              </w:rPr>
            </w:pPr>
            <w:r w:rsidRPr="008A0138">
              <w:rPr>
                <w:szCs w:val="20"/>
              </w:rPr>
              <w:t>135 (66.8)</w:t>
            </w:r>
          </w:p>
        </w:tc>
      </w:tr>
      <w:tr w:rsidR="00B257B8" w:rsidRPr="008A0138" w:rsidTr="008A0138">
        <w:trPr>
          <w:cantSplit/>
          <w:tblHeader/>
        </w:trPr>
        <w:tc>
          <w:tcPr>
            <w:tcW w:w="1036" w:type="pct"/>
          </w:tcPr>
          <w:p w:rsidR="00B257B8" w:rsidRPr="008A0138" w:rsidRDefault="00B257B8" w:rsidP="00B257B8">
            <w:pPr>
              <w:pStyle w:val="TableText0"/>
              <w:rPr>
                <w:szCs w:val="20"/>
              </w:rPr>
            </w:pPr>
            <w:r w:rsidRPr="008A0138">
              <w:rPr>
                <w:szCs w:val="20"/>
              </w:rPr>
              <w:t xml:space="preserve">AE leading to discontinuation </w:t>
            </w:r>
          </w:p>
        </w:tc>
        <w:tc>
          <w:tcPr>
            <w:tcW w:w="991" w:type="pct"/>
          </w:tcPr>
          <w:p w:rsidR="00B257B8" w:rsidRPr="008A0138" w:rsidRDefault="00B257B8" w:rsidP="00B257B8">
            <w:pPr>
              <w:pStyle w:val="TableText0"/>
              <w:jc w:val="center"/>
              <w:rPr>
                <w:szCs w:val="20"/>
              </w:rPr>
            </w:pPr>
          </w:p>
        </w:tc>
        <w:tc>
          <w:tcPr>
            <w:tcW w:w="993" w:type="pct"/>
          </w:tcPr>
          <w:p w:rsidR="00B257B8" w:rsidRPr="008A0138" w:rsidRDefault="00B257B8" w:rsidP="00B257B8">
            <w:pPr>
              <w:pStyle w:val="TableText0"/>
              <w:jc w:val="center"/>
              <w:rPr>
                <w:szCs w:val="20"/>
              </w:rPr>
            </w:pPr>
          </w:p>
        </w:tc>
        <w:tc>
          <w:tcPr>
            <w:tcW w:w="993" w:type="pct"/>
            <w:vAlign w:val="center"/>
          </w:tcPr>
          <w:p w:rsidR="00B257B8" w:rsidRPr="008A0138" w:rsidRDefault="00B257B8" w:rsidP="00B257B8">
            <w:pPr>
              <w:pStyle w:val="TableText0"/>
              <w:jc w:val="center"/>
              <w:rPr>
                <w:szCs w:val="20"/>
              </w:rPr>
            </w:pPr>
          </w:p>
        </w:tc>
        <w:tc>
          <w:tcPr>
            <w:tcW w:w="987" w:type="pct"/>
            <w:vAlign w:val="center"/>
          </w:tcPr>
          <w:p w:rsidR="00B257B8" w:rsidRPr="008A0138" w:rsidRDefault="00B257B8" w:rsidP="00B257B8">
            <w:pPr>
              <w:pStyle w:val="TableText0"/>
              <w:jc w:val="center"/>
              <w:rPr>
                <w:szCs w:val="20"/>
              </w:rPr>
            </w:pPr>
          </w:p>
        </w:tc>
      </w:tr>
      <w:tr w:rsidR="00B257B8" w:rsidRPr="008A0138" w:rsidTr="008A0138">
        <w:trPr>
          <w:cantSplit/>
          <w:tblHeader/>
        </w:trPr>
        <w:tc>
          <w:tcPr>
            <w:tcW w:w="1036" w:type="pct"/>
          </w:tcPr>
          <w:p w:rsidR="00B257B8" w:rsidRPr="008A0138" w:rsidRDefault="00B257B8" w:rsidP="00950B1A">
            <w:pPr>
              <w:pStyle w:val="TableText0"/>
              <w:ind w:left="171"/>
              <w:rPr>
                <w:szCs w:val="20"/>
              </w:rPr>
            </w:pPr>
            <w:r w:rsidRPr="008A0138">
              <w:rPr>
                <w:szCs w:val="20"/>
              </w:rPr>
              <w:t>Any grade</w:t>
            </w:r>
          </w:p>
        </w:tc>
        <w:tc>
          <w:tcPr>
            <w:tcW w:w="991" w:type="pct"/>
          </w:tcPr>
          <w:p w:rsidR="00B257B8" w:rsidRPr="008A0138" w:rsidRDefault="00B257B8" w:rsidP="00B257B8">
            <w:pPr>
              <w:pStyle w:val="TableText0"/>
              <w:jc w:val="center"/>
              <w:rPr>
                <w:szCs w:val="20"/>
              </w:rPr>
            </w:pPr>
            <w:r w:rsidRPr="008A0138">
              <w:rPr>
                <w:szCs w:val="20"/>
              </w:rPr>
              <w:t>101 (28.2)</w:t>
            </w:r>
          </w:p>
        </w:tc>
        <w:tc>
          <w:tcPr>
            <w:tcW w:w="993" w:type="pct"/>
          </w:tcPr>
          <w:p w:rsidR="00B257B8" w:rsidRPr="008A0138" w:rsidRDefault="00B257B8" w:rsidP="00B257B8">
            <w:pPr>
              <w:pStyle w:val="TableText0"/>
              <w:jc w:val="center"/>
              <w:rPr>
                <w:szCs w:val="20"/>
              </w:rPr>
            </w:pPr>
            <w:r w:rsidRPr="008A0138">
              <w:rPr>
                <w:szCs w:val="20"/>
              </w:rPr>
              <w:t>61 (17.5)</w:t>
            </w:r>
          </w:p>
        </w:tc>
        <w:tc>
          <w:tcPr>
            <w:tcW w:w="993" w:type="pct"/>
            <w:vAlign w:val="center"/>
          </w:tcPr>
          <w:p w:rsidR="00B257B8" w:rsidRPr="008A0138" w:rsidRDefault="00B257B8" w:rsidP="00B257B8">
            <w:pPr>
              <w:pStyle w:val="TableText0"/>
              <w:jc w:val="center"/>
              <w:rPr>
                <w:szCs w:val="20"/>
              </w:rPr>
            </w:pPr>
            <w:r w:rsidRPr="008A0138">
              <w:rPr>
                <w:szCs w:val="20"/>
              </w:rPr>
              <w:t>136 (33.6)</w:t>
            </w:r>
            <w:r w:rsidRPr="008A0138">
              <w:rPr>
                <w:szCs w:val="20"/>
                <w:vertAlign w:val="superscript"/>
              </w:rPr>
              <w:t>c</w:t>
            </w:r>
          </w:p>
        </w:tc>
        <w:tc>
          <w:tcPr>
            <w:tcW w:w="987" w:type="pct"/>
            <w:vAlign w:val="center"/>
          </w:tcPr>
          <w:p w:rsidR="00B257B8" w:rsidRPr="008A0138" w:rsidRDefault="00B257B8" w:rsidP="00B257B8">
            <w:pPr>
              <w:pStyle w:val="TableText0"/>
              <w:jc w:val="center"/>
              <w:rPr>
                <w:szCs w:val="20"/>
              </w:rPr>
            </w:pPr>
            <w:r w:rsidRPr="008A0138">
              <w:rPr>
                <w:szCs w:val="20"/>
              </w:rPr>
              <w:t>33 (16.3)</w:t>
            </w:r>
            <w:r w:rsidRPr="008A0138">
              <w:rPr>
                <w:szCs w:val="20"/>
                <w:vertAlign w:val="superscript"/>
              </w:rPr>
              <w:t>c</w:t>
            </w:r>
          </w:p>
        </w:tc>
      </w:tr>
      <w:tr w:rsidR="00B257B8" w:rsidRPr="008A0138" w:rsidTr="008A0138">
        <w:trPr>
          <w:cantSplit/>
          <w:tblHeader/>
        </w:trPr>
        <w:tc>
          <w:tcPr>
            <w:tcW w:w="1036" w:type="pct"/>
          </w:tcPr>
          <w:p w:rsidR="00B257B8" w:rsidRPr="008A0138" w:rsidRDefault="00B257B8" w:rsidP="00950B1A">
            <w:pPr>
              <w:pStyle w:val="TableText0"/>
              <w:ind w:left="171"/>
              <w:rPr>
                <w:szCs w:val="20"/>
              </w:rPr>
            </w:pPr>
            <w:r w:rsidRPr="008A0138">
              <w:rPr>
                <w:szCs w:val="20"/>
              </w:rPr>
              <w:t>Grade 3-4</w:t>
            </w:r>
          </w:p>
        </w:tc>
        <w:tc>
          <w:tcPr>
            <w:tcW w:w="991" w:type="pct"/>
          </w:tcPr>
          <w:p w:rsidR="00B257B8" w:rsidRPr="00AE736A" w:rsidRDefault="00B257B8" w:rsidP="00B257B8">
            <w:pPr>
              <w:pStyle w:val="TableText0"/>
              <w:jc w:val="center"/>
              <w:rPr>
                <w:szCs w:val="20"/>
              </w:rPr>
            </w:pPr>
            <w:r w:rsidRPr="00AE736A">
              <w:rPr>
                <w:szCs w:val="20"/>
              </w:rPr>
              <w:t>81 (22.6)</w:t>
            </w:r>
          </w:p>
        </w:tc>
        <w:tc>
          <w:tcPr>
            <w:tcW w:w="993" w:type="pct"/>
          </w:tcPr>
          <w:p w:rsidR="00B257B8" w:rsidRPr="00AE736A" w:rsidRDefault="00B257B8" w:rsidP="00B257B8">
            <w:pPr>
              <w:pStyle w:val="TableText0"/>
              <w:jc w:val="center"/>
              <w:rPr>
                <w:szCs w:val="20"/>
              </w:rPr>
            </w:pPr>
            <w:r w:rsidRPr="00AE736A">
              <w:rPr>
                <w:szCs w:val="20"/>
              </w:rPr>
              <w:t>4</w:t>
            </w:r>
            <w:r w:rsidR="00A97524" w:rsidRPr="00AE736A">
              <w:rPr>
                <w:szCs w:val="20"/>
              </w:rPr>
              <w:t>3</w:t>
            </w:r>
            <w:r w:rsidRPr="00AE736A">
              <w:rPr>
                <w:szCs w:val="20"/>
              </w:rPr>
              <w:t xml:space="preserve"> (12.3)</w:t>
            </w:r>
          </w:p>
        </w:tc>
        <w:tc>
          <w:tcPr>
            <w:tcW w:w="993" w:type="pct"/>
            <w:vAlign w:val="center"/>
          </w:tcPr>
          <w:p w:rsidR="00B257B8" w:rsidRPr="008A0138" w:rsidRDefault="00B257B8" w:rsidP="00B257B8">
            <w:pPr>
              <w:pStyle w:val="TableText0"/>
              <w:jc w:val="center"/>
              <w:rPr>
                <w:szCs w:val="20"/>
              </w:rPr>
            </w:pPr>
            <w:r w:rsidRPr="008A0138">
              <w:rPr>
                <w:szCs w:val="20"/>
              </w:rPr>
              <w:t>NR</w:t>
            </w:r>
          </w:p>
        </w:tc>
        <w:tc>
          <w:tcPr>
            <w:tcW w:w="987" w:type="pct"/>
            <w:vAlign w:val="center"/>
          </w:tcPr>
          <w:p w:rsidR="00B257B8" w:rsidRPr="008A0138" w:rsidRDefault="00B257B8" w:rsidP="00B257B8">
            <w:pPr>
              <w:pStyle w:val="TableText0"/>
              <w:jc w:val="center"/>
              <w:rPr>
                <w:szCs w:val="20"/>
              </w:rPr>
            </w:pPr>
            <w:r w:rsidRPr="008A0138">
              <w:rPr>
                <w:szCs w:val="20"/>
              </w:rPr>
              <w:t>NR</w:t>
            </w:r>
          </w:p>
        </w:tc>
      </w:tr>
      <w:tr w:rsidR="00B257B8" w:rsidRPr="008A0138" w:rsidTr="008A0138">
        <w:trPr>
          <w:cantSplit/>
          <w:tblHeader/>
        </w:trPr>
        <w:tc>
          <w:tcPr>
            <w:tcW w:w="1036" w:type="pct"/>
          </w:tcPr>
          <w:p w:rsidR="00B257B8" w:rsidRPr="008A0138" w:rsidRDefault="00B257B8" w:rsidP="00B257B8">
            <w:pPr>
              <w:pStyle w:val="TableText0"/>
              <w:rPr>
                <w:szCs w:val="20"/>
              </w:rPr>
            </w:pPr>
            <w:r w:rsidRPr="008A0138">
              <w:rPr>
                <w:szCs w:val="20"/>
              </w:rPr>
              <w:t>Death due to AE</w:t>
            </w:r>
          </w:p>
        </w:tc>
        <w:tc>
          <w:tcPr>
            <w:tcW w:w="991" w:type="pct"/>
          </w:tcPr>
          <w:p w:rsidR="00B257B8" w:rsidRPr="00AE736A" w:rsidRDefault="00B257B8" w:rsidP="00B257B8">
            <w:pPr>
              <w:pStyle w:val="TableText0"/>
              <w:jc w:val="center"/>
              <w:rPr>
                <w:szCs w:val="20"/>
              </w:rPr>
            </w:pPr>
            <w:r w:rsidRPr="00AE736A">
              <w:rPr>
                <w:szCs w:val="20"/>
              </w:rPr>
              <w:t>NR</w:t>
            </w:r>
          </w:p>
        </w:tc>
        <w:tc>
          <w:tcPr>
            <w:tcW w:w="993" w:type="pct"/>
          </w:tcPr>
          <w:p w:rsidR="00B257B8" w:rsidRPr="00AE736A" w:rsidRDefault="00B257B8" w:rsidP="00B257B8">
            <w:pPr>
              <w:pStyle w:val="TableText0"/>
              <w:jc w:val="center"/>
              <w:rPr>
                <w:szCs w:val="20"/>
              </w:rPr>
            </w:pPr>
            <w:r w:rsidRPr="00AE736A">
              <w:rPr>
                <w:szCs w:val="20"/>
              </w:rPr>
              <w:t>NR</w:t>
            </w:r>
          </w:p>
        </w:tc>
        <w:tc>
          <w:tcPr>
            <w:tcW w:w="993" w:type="pct"/>
            <w:vAlign w:val="center"/>
          </w:tcPr>
          <w:p w:rsidR="00B257B8" w:rsidRPr="008A0138" w:rsidRDefault="00B257B8" w:rsidP="00B257B8">
            <w:pPr>
              <w:pStyle w:val="TableText0"/>
              <w:jc w:val="center"/>
              <w:rPr>
                <w:szCs w:val="20"/>
              </w:rPr>
            </w:pPr>
            <w:r w:rsidRPr="008A0138">
              <w:rPr>
                <w:szCs w:val="20"/>
              </w:rPr>
              <w:t>29 (7.2)</w:t>
            </w:r>
          </w:p>
        </w:tc>
        <w:tc>
          <w:tcPr>
            <w:tcW w:w="987" w:type="pct"/>
            <w:vAlign w:val="center"/>
          </w:tcPr>
          <w:p w:rsidR="00B257B8" w:rsidRPr="008A0138" w:rsidRDefault="00B257B8" w:rsidP="00B257B8">
            <w:pPr>
              <w:pStyle w:val="TableText0"/>
              <w:jc w:val="center"/>
              <w:rPr>
                <w:szCs w:val="20"/>
              </w:rPr>
            </w:pPr>
            <w:r w:rsidRPr="008A0138">
              <w:rPr>
                <w:szCs w:val="20"/>
              </w:rPr>
              <w:t>14 (6.9)</w:t>
            </w:r>
          </w:p>
        </w:tc>
      </w:tr>
      <w:tr w:rsidR="00B257B8" w:rsidRPr="008A0138" w:rsidTr="008A0138">
        <w:trPr>
          <w:cantSplit/>
          <w:tblHeader/>
        </w:trPr>
        <w:tc>
          <w:tcPr>
            <w:tcW w:w="1036" w:type="pct"/>
          </w:tcPr>
          <w:p w:rsidR="00B257B8" w:rsidRPr="008A0138" w:rsidRDefault="00B257B8" w:rsidP="00B257B8">
            <w:pPr>
              <w:pStyle w:val="TableText0"/>
              <w:rPr>
                <w:szCs w:val="20"/>
              </w:rPr>
            </w:pPr>
            <w:r w:rsidRPr="008A0138">
              <w:rPr>
                <w:szCs w:val="20"/>
              </w:rPr>
              <w:t>Death due to TRAE</w:t>
            </w:r>
          </w:p>
        </w:tc>
        <w:tc>
          <w:tcPr>
            <w:tcW w:w="991" w:type="pct"/>
          </w:tcPr>
          <w:p w:rsidR="00B257B8" w:rsidRPr="00AE736A" w:rsidRDefault="00B257B8" w:rsidP="00B257B8">
            <w:pPr>
              <w:pStyle w:val="TableText0"/>
              <w:jc w:val="center"/>
              <w:rPr>
                <w:szCs w:val="20"/>
              </w:rPr>
            </w:pPr>
            <w:r w:rsidRPr="00AE736A">
              <w:rPr>
                <w:szCs w:val="20"/>
              </w:rPr>
              <w:t>7 (2.0)</w:t>
            </w:r>
          </w:p>
        </w:tc>
        <w:tc>
          <w:tcPr>
            <w:tcW w:w="993" w:type="pct"/>
          </w:tcPr>
          <w:p w:rsidR="00B257B8" w:rsidRPr="00AE736A" w:rsidRDefault="00B257B8" w:rsidP="00B257B8">
            <w:pPr>
              <w:pStyle w:val="TableText0"/>
              <w:jc w:val="center"/>
              <w:rPr>
                <w:szCs w:val="20"/>
              </w:rPr>
            </w:pPr>
            <w:r w:rsidRPr="00AE736A">
              <w:rPr>
                <w:szCs w:val="20"/>
              </w:rPr>
              <w:t>6 (1.8)</w:t>
            </w:r>
          </w:p>
        </w:tc>
        <w:tc>
          <w:tcPr>
            <w:tcW w:w="993" w:type="pct"/>
            <w:vAlign w:val="center"/>
          </w:tcPr>
          <w:p w:rsidR="00B257B8" w:rsidRPr="008A0138" w:rsidRDefault="00B257B8" w:rsidP="00B257B8">
            <w:pPr>
              <w:pStyle w:val="TableText0"/>
              <w:jc w:val="center"/>
              <w:rPr>
                <w:szCs w:val="20"/>
              </w:rPr>
            </w:pPr>
            <w:r w:rsidRPr="008A0138">
              <w:rPr>
                <w:szCs w:val="20"/>
              </w:rPr>
              <w:t>NR</w:t>
            </w:r>
          </w:p>
        </w:tc>
        <w:tc>
          <w:tcPr>
            <w:tcW w:w="987" w:type="pct"/>
            <w:vAlign w:val="center"/>
          </w:tcPr>
          <w:p w:rsidR="00B257B8" w:rsidRPr="008A0138" w:rsidRDefault="00B257B8" w:rsidP="00B257B8">
            <w:pPr>
              <w:pStyle w:val="TableText0"/>
              <w:jc w:val="center"/>
              <w:rPr>
                <w:szCs w:val="20"/>
              </w:rPr>
            </w:pPr>
            <w:r w:rsidRPr="008A0138">
              <w:rPr>
                <w:szCs w:val="20"/>
              </w:rPr>
              <w:t>NR</w:t>
            </w:r>
          </w:p>
        </w:tc>
      </w:tr>
      <w:tr w:rsidR="00193F56" w:rsidRPr="008A0138" w:rsidTr="008A0138">
        <w:trPr>
          <w:cantSplit/>
          <w:tblHeader/>
        </w:trPr>
        <w:tc>
          <w:tcPr>
            <w:tcW w:w="1036" w:type="pct"/>
            <w:vAlign w:val="center"/>
          </w:tcPr>
          <w:p w:rsidR="00193F56" w:rsidRPr="008A0138" w:rsidRDefault="00193F56" w:rsidP="00DA07D6">
            <w:pPr>
              <w:pStyle w:val="In-tableHeading"/>
              <w:rPr>
                <w:szCs w:val="20"/>
                <w:lang w:val="en-AU"/>
              </w:rPr>
            </w:pPr>
            <w:r w:rsidRPr="008A0138">
              <w:rPr>
                <w:szCs w:val="20"/>
                <w:lang w:val="en-AU"/>
              </w:rPr>
              <w:t>Trial ID</w:t>
            </w:r>
          </w:p>
        </w:tc>
        <w:tc>
          <w:tcPr>
            <w:tcW w:w="1984" w:type="pct"/>
            <w:gridSpan w:val="2"/>
          </w:tcPr>
          <w:p w:rsidR="00193F56" w:rsidRPr="00AE736A" w:rsidRDefault="00193F56" w:rsidP="00DA07D6">
            <w:pPr>
              <w:pStyle w:val="In-tableHeading"/>
              <w:jc w:val="center"/>
              <w:rPr>
                <w:szCs w:val="20"/>
                <w:lang w:val="en-AU"/>
              </w:rPr>
            </w:pPr>
            <w:r w:rsidRPr="00AE736A">
              <w:rPr>
                <w:szCs w:val="20"/>
                <w:lang w:val="en-AU"/>
              </w:rPr>
              <w:t>CM9LA (ITT)</w:t>
            </w:r>
          </w:p>
        </w:tc>
        <w:tc>
          <w:tcPr>
            <w:tcW w:w="1980" w:type="pct"/>
            <w:gridSpan w:val="2"/>
          </w:tcPr>
          <w:p w:rsidR="00193F56" w:rsidRPr="008A0138" w:rsidRDefault="00193F56" w:rsidP="00DA07D6">
            <w:pPr>
              <w:pStyle w:val="In-tableHeading"/>
              <w:jc w:val="center"/>
              <w:rPr>
                <w:szCs w:val="20"/>
                <w:lang w:val="en-AU"/>
              </w:rPr>
            </w:pPr>
            <w:r w:rsidRPr="008A0138">
              <w:rPr>
                <w:szCs w:val="20"/>
                <w:lang w:val="en-AU"/>
              </w:rPr>
              <w:t>KN407 (squamous NSCLC)</w:t>
            </w:r>
          </w:p>
        </w:tc>
      </w:tr>
      <w:tr w:rsidR="00DA07D6" w:rsidRPr="008A0138" w:rsidTr="008A0138">
        <w:trPr>
          <w:cantSplit/>
          <w:tblHeader/>
        </w:trPr>
        <w:tc>
          <w:tcPr>
            <w:tcW w:w="1036" w:type="pct"/>
            <w:vAlign w:val="center"/>
          </w:tcPr>
          <w:p w:rsidR="00DA07D6" w:rsidRPr="008A0138" w:rsidRDefault="00DA07D6" w:rsidP="00FD1129">
            <w:pPr>
              <w:pStyle w:val="In-tableHeading"/>
              <w:rPr>
                <w:szCs w:val="20"/>
                <w:lang w:val="en-AU"/>
              </w:rPr>
            </w:pPr>
          </w:p>
        </w:tc>
        <w:tc>
          <w:tcPr>
            <w:tcW w:w="991" w:type="pct"/>
          </w:tcPr>
          <w:p w:rsidR="00DA07D6" w:rsidRPr="00AE736A" w:rsidRDefault="00DA07D6" w:rsidP="00FD1129">
            <w:pPr>
              <w:pStyle w:val="In-tableHeading"/>
              <w:jc w:val="center"/>
              <w:rPr>
                <w:szCs w:val="20"/>
                <w:lang w:val="en-AU"/>
              </w:rPr>
            </w:pPr>
            <w:proofErr w:type="spellStart"/>
            <w:r w:rsidRPr="00AE736A">
              <w:rPr>
                <w:szCs w:val="20"/>
                <w:lang w:val="en-AU"/>
              </w:rPr>
              <w:t>NIVO+IPI+platinum</w:t>
            </w:r>
            <w:proofErr w:type="spellEnd"/>
          </w:p>
          <w:p w:rsidR="00DA07D6" w:rsidRPr="00AE736A" w:rsidRDefault="00DA07D6" w:rsidP="00FD1129">
            <w:pPr>
              <w:pStyle w:val="In-tableHeading"/>
              <w:jc w:val="center"/>
              <w:rPr>
                <w:szCs w:val="20"/>
                <w:lang w:val="en-AU"/>
              </w:rPr>
            </w:pPr>
            <w:r w:rsidRPr="00AE736A">
              <w:rPr>
                <w:szCs w:val="20"/>
                <w:lang w:val="en-AU"/>
              </w:rPr>
              <w:t>N=358</w:t>
            </w:r>
          </w:p>
        </w:tc>
        <w:tc>
          <w:tcPr>
            <w:tcW w:w="993" w:type="pct"/>
          </w:tcPr>
          <w:p w:rsidR="00DA07D6" w:rsidRPr="00AE736A" w:rsidRDefault="00DA07D6" w:rsidP="00FD1129">
            <w:pPr>
              <w:pStyle w:val="In-tableHeading"/>
              <w:jc w:val="center"/>
              <w:rPr>
                <w:szCs w:val="20"/>
                <w:lang w:val="en-AU"/>
              </w:rPr>
            </w:pPr>
            <w:r w:rsidRPr="00AE736A">
              <w:rPr>
                <w:szCs w:val="20"/>
                <w:lang w:val="en-AU"/>
              </w:rPr>
              <w:t>Platinum chemo</w:t>
            </w:r>
          </w:p>
          <w:p w:rsidR="00DA07D6" w:rsidRPr="00AE736A" w:rsidRDefault="00DA07D6" w:rsidP="00FD1129">
            <w:pPr>
              <w:pStyle w:val="In-tableHeading"/>
              <w:jc w:val="center"/>
              <w:rPr>
                <w:szCs w:val="20"/>
                <w:lang w:val="en-AU"/>
              </w:rPr>
            </w:pPr>
            <w:r w:rsidRPr="00AE736A">
              <w:rPr>
                <w:szCs w:val="20"/>
                <w:lang w:val="en-AU"/>
              </w:rPr>
              <w:t>N=349</w:t>
            </w:r>
          </w:p>
        </w:tc>
        <w:tc>
          <w:tcPr>
            <w:tcW w:w="993" w:type="pct"/>
          </w:tcPr>
          <w:p w:rsidR="00DA07D6" w:rsidRPr="008A0138" w:rsidRDefault="00DA07D6" w:rsidP="00FD1129">
            <w:pPr>
              <w:pStyle w:val="In-tableHeading"/>
              <w:jc w:val="center"/>
              <w:rPr>
                <w:szCs w:val="20"/>
                <w:lang w:val="en-AU"/>
              </w:rPr>
            </w:pPr>
            <w:proofErr w:type="spellStart"/>
            <w:r w:rsidRPr="008A0138">
              <w:rPr>
                <w:szCs w:val="20"/>
                <w:lang w:val="en-AU"/>
              </w:rPr>
              <w:t>PEMBRO+platinum</w:t>
            </w:r>
            <w:proofErr w:type="spellEnd"/>
          </w:p>
          <w:p w:rsidR="00DA07D6" w:rsidRPr="008A0138" w:rsidRDefault="00DA07D6" w:rsidP="00FD1129">
            <w:pPr>
              <w:pStyle w:val="In-tableHeading"/>
              <w:jc w:val="center"/>
              <w:rPr>
                <w:szCs w:val="20"/>
                <w:lang w:val="en-AU"/>
              </w:rPr>
            </w:pPr>
            <w:r w:rsidRPr="008A0138">
              <w:rPr>
                <w:szCs w:val="20"/>
                <w:lang w:val="en-AU"/>
              </w:rPr>
              <w:t>N=405</w:t>
            </w:r>
          </w:p>
        </w:tc>
        <w:tc>
          <w:tcPr>
            <w:tcW w:w="987" w:type="pct"/>
          </w:tcPr>
          <w:p w:rsidR="00DA07D6" w:rsidRPr="008A0138" w:rsidRDefault="00DA07D6" w:rsidP="00FD1129">
            <w:pPr>
              <w:pStyle w:val="In-tableHeading"/>
              <w:jc w:val="center"/>
              <w:rPr>
                <w:szCs w:val="20"/>
                <w:lang w:val="en-AU"/>
              </w:rPr>
            </w:pPr>
            <w:proofErr w:type="spellStart"/>
            <w:r w:rsidRPr="008A0138">
              <w:rPr>
                <w:szCs w:val="20"/>
                <w:lang w:val="en-AU"/>
              </w:rPr>
              <w:t>Placebo+platinum</w:t>
            </w:r>
            <w:proofErr w:type="spellEnd"/>
          </w:p>
          <w:p w:rsidR="00DA07D6" w:rsidRPr="008A0138" w:rsidRDefault="00DA07D6" w:rsidP="00FD1129">
            <w:pPr>
              <w:pStyle w:val="In-tableHeading"/>
              <w:jc w:val="center"/>
              <w:rPr>
                <w:szCs w:val="20"/>
                <w:lang w:val="en-AU"/>
              </w:rPr>
            </w:pPr>
            <w:r w:rsidRPr="008A0138">
              <w:rPr>
                <w:szCs w:val="20"/>
                <w:lang w:val="en-AU"/>
              </w:rPr>
              <w:t>N=202</w:t>
            </w:r>
          </w:p>
        </w:tc>
      </w:tr>
      <w:tr w:rsidR="00950B1A" w:rsidRPr="008A0138" w:rsidTr="008A0138">
        <w:trPr>
          <w:cantSplit/>
          <w:tblHeader/>
        </w:trPr>
        <w:tc>
          <w:tcPr>
            <w:tcW w:w="1036" w:type="pct"/>
          </w:tcPr>
          <w:p w:rsidR="00950B1A" w:rsidRPr="008A0138" w:rsidRDefault="00950B1A" w:rsidP="00DA07D6">
            <w:pPr>
              <w:pStyle w:val="TableText0"/>
              <w:rPr>
                <w:szCs w:val="20"/>
              </w:rPr>
            </w:pPr>
            <w:r w:rsidRPr="008A0138">
              <w:rPr>
                <w:szCs w:val="20"/>
              </w:rPr>
              <w:t>Population</w:t>
            </w:r>
          </w:p>
        </w:tc>
        <w:tc>
          <w:tcPr>
            <w:tcW w:w="1984" w:type="pct"/>
            <w:gridSpan w:val="2"/>
          </w:tcPr>
          <w:p w:rsidR="00950B1A" w:rsidRPr="00AE736A" w:rsidRDefault="00950B1A" w:rsidP="00DA07D6">
            <w:pPr>
              <w:pStyle w:val="TableText0"/>
              <w:jc w:val="center"/>
              <w:rPr>
                <w:szCs w:val="20"/>
              </w:rPr>
            </w:pPr>
            <w:r w:rsidRPr="00AE736A">
              <w:rPr>
                <w:szCs w:val="20"/>
              </w:rPr>
              <w:t>All histology</w:t>
            </w:r>
          </w:p>
        </w:tc>
        <w:tc>
          <w:tcPr>
            <w:tcW w:w="1980" w:type="pct"/>
            <w:gridSpan w:val="2"/>
            <w:vAlign w:val="center"/>
          </w:tcPr>
          <w:p w:rsidR="00950B1A" w:rsidRPr="008A0138" w:rsidRDefault="00950B1A" w:rsidP="00DA07D6">
            <w:pPr>
              <w:pStyle w:val="TableText0"/>
              <w:jc w:val="center"/>
              <w:rPr>
                <w:szCs w:val="20"/>
              </w:rPr>
            </w:pPr>
            <w:r w:rsidRPr="008A0138">
              <w:rPr>
                <w:szCs w:val="20"/>
              </w:rPr>
              <w:t>Squamous</w:t>
            </w:r>
          </w:p>
        </w:tc>
      </w:tr>
      <w:tr w:rsidR="00950B1A" w:rsidRPr="008A0138" w:rsidTr="008A0138">
        <w:trPr>
          <w:cantSplit/>
          <w:tblHeader/>
        </w:trPr>
        <w:tc>
          <w:tcPr>
            <w:tcW w:w="1036" w:type="pct"/>
          </w:tcPr>
          <w:p w:rsidR="00950B1A" w:rsidRPr="008A0138" w:rsidRDefault="00950B1A" w:rsidP="00DA07D6">
            <w:pPr>
              <w:pStyle w:val="TableText0"/>
              <w:rPr>
                <w:szCs w:val="20"/>
              </w:rPr>
            </w:pPr>
            <w:r w:rsidRPr="008A0138">
              <w:rPr>
                <w:szCs w:val="20"/>
              </w:rPr>
              <w:t>Median follow-up</w:t>
            </w:r>
          </w:p>
        </w:tc>
        <w:tc>
          <w:tcPr>
            <w:tcW w:w="991" w:type="pct"/>
          </w:tcPr>
          <w:p w:rsidR="00950B1A" w:rsidRPr="00AE736A" w:rsidRDefault="00950B1A" w:rsidP="00DA07D6">
            <w:pPr>
              <w:pStyle w:val="TableText0"/>
              <w:jc w:val="center"/>
              <w:rPr>
                <w:szCs w:val="20"/>
              </w:rPr>
            </w:pPr>
            <w:r w:rsidRPr="00AE736A">
              <w:rPr>
                <w:szCs w:val="20"/>
              </w:rPr>
              <w:t xml:space="preserve">14.2 </w:t>
            </w:r>
            <w:proofErr w:type="spellStart"/>
            <w:r w:rsidRPr="00AE736A">
              <w:rPr>
                <w:szCs w:val="20"/>
              </w:rPr>
              <w:t>months</w:t>
            </w:r>
            <w:r w:rsidRPr="00AE736A">
              <w:rPr>
                <w:szCs w:val="20"/>
                <w:vertAlign w:val="superscript"/>
              </w:rPr>
              <w:t>b</w:t>
            </w:r>
            <w:proofErr w:type="spellEnd"/>
          </w:p>
        </w:tc>
        <w:tc>
          <w:tcPr>
            <w:tcW w:w="993" w:type="pct"/>
          </w:tcPr>
          <w:p w:rsidR="00950B1A" w:rsidRPr="00AE736A" w:rsidRDefault="00950B1A" w:rsidP="00DA07D6">
            <w:pPr>
              <w:pStyle w:val="TableText0"/>
              <w:jc w:val="center"/>
              <w:rPr>
                <w:szCs w:val="20"/>
              </w:rPr>
            </w:pPr>
            <w:r w:rsidRPr="00AE736A">
              <w:rPr>
                <w:szCs w:val="20"/>
              </w:rPr>
              <w:t xml:space="preserve">10.9 </w:t>
            </w:r>
            <w:proofErr w:type="spellStart"/>
            <w:r w:rsidRPr="00AE736A">
              <w:rPr>
                <w:szCs w:val="20"/>
              </w:rPr>
              <w:t>months</w:t>
            </w:r>
            <w:r w:rsidRPr="00AE736A">
              <w:rPr>
                <w:szCs w:val="20"/>
                <w:vertAlign w:val="superscript"/>
              </w:rPr>
              <w:t>b</w:t>
            </w:r>
            <w:proofErr w:type="spellEnd"/>
          </w:p>
        </w:tc>
        <w:tc>
          <w:tcPr>
            <w:tcW w:w="1980" w:type="pct"/>
            <w:gridSpan w:val="2"/>
            <w:vAlign w:val="center"/>
          </w:tcPr>
          <w:p w:rsidR="00950B1A" w:rsidRPr="008A0138" w:rsidRDefault="00950B1A" w:rsidP="00DA07D6">
            <w:pPr>
              <w:pStyle w:val="TableText0"/>
              <w:jc w:val="center"/>
              <w:rPr>
                <w:szCs w:val="20"/>
              </w:rPr>
            </w:pPr>
            <w:r w:rsidRPr="008A0138">
              <w:rPr>
                <w:szCs w:val="20"/>
              </w:rPr>
              <w:t xml:space="preserve">14.3 </w:t>
            </w:r>
            <w:proofErr w:type="spellStart"/>
            <w:r w:rsidRPr="008A0138">
              <w:rPr>
                <w:szCs w:val="20"/>
              </w:rPr>
              <w:t>months</w:t>
            </w:r>
            <w:r w:rsidRPr="008A0138">
              <w:rPr>
                <w:szCs w:val="20"/>
                <w:vertAlign w:val="superscript"/>
              </w:rPr>
              <w:t>d</w:t>
            </w:r>
            <w:proofErr w:type="spellEnd"/>
          </w:p>
        </w:tc>
      </w:tr>
      <w:tr w:rsidR="00193F56" w:rsidRPr="008A0138" w:rsidTr="008A0138">
        <w:trPr>
          <w:cantSplit/>
          <w:tblHeader/>
        </w:trPr>
        <w:tc>
          <w:tcPr>
            <w:tcW w:w="1036" w:type="pct"/>
          </w:tcPr>
          <w:p w:rsidR="00193F56" w:rsidRPr="008A0138" w:rsidRDefault="00193F56" w:rsidP="00193F56">
            <w:pPr>
              <w:pStyle w:val="TableText0"/>
              <w:rPr>
                <w:szCs w:val="20"/>
              </w:rPr>
            </w:pPr>
            <w:r w:rsidRPr="008A0138">
              <w:rPr>
                <w:szCs w:val="20"/>
              </w:rPr>
              <w:t>AEs of any causality</w:t>
            </w:r>
          </w:p>
        </w:tc>
        <w:tc>
          <w:tcPr>
            <w:tcW w:w="991" w:type="pct"/>
          </w:tcPr>
          <w:p w:rsidR="00193F56" w:rsidRPr="00AE736A" w:rsidRDefault="00193F56" w:rsidP="00193F56">
            <w:pPr>
              <w:pStyle w:val="TableText0"/>
              <w:jc w:val="center"/>
              <w:rPr>
                <w:szCs w:val="20"/>
              </w:rPr>
            </w:pPr>
            <w:proofErr w:type="gramStart"/>
            <w:r w:rsidRPr="00AE736A">
              <w:rPr>
                <w:szCs w:val="20"/>
              </w:rPr>
              <w:t>n</w:t>
            </w:r>
            <w:proofErr w:type="gramEnd"/>
            <w:r w:rsidRPr="00AE736A">
              <w:rPr>
                <w:szCs w:val="20"/>
              </w:rPr>
              <w:t xml:space="preserve"> (%)</w:t>
            </w:r>
          </w:p>
        </w:tc>
        <w:tc>
          <w:tcPr>
            <w:tcW w:w="993" w:type="pct"/>
          </w:tcPr>
          <w:p w:rsidR="00193F56" w:rsidRPr="00AE736A" w:rsidRDefault="00193F56" w:rsidP="00193F56">
            <w:pPr>
              <w:pStyle w:val="TableText0"/>
              <w:jc w:val="center"/>
              <w:rPr>
                <w:szCs w:val="20"/>
              </w:rPr>
            </w:pPr>
            <w:proofErr w:type="gramStart"/>
            <w:r w:rsidRPr="00AE736A">
              <w:rPr>
                <w:szCs w:val="20"/>
              </w:rPr>
              <w:t>n</w:t>
            </w:r>
            <w:proofErr w:type="gramEnd"/>
            <w:r w:rsidRPr="00AE736A">
              <w:rPr>
                <w:szCs w:val="20"/>
              </w:rPr>
              <w:t xml:space="preserve"> (%)</w:t>
            </w:r>
          </w:p>
        </w:tc>
        <w:tc>
          <w:tcPr>
            <w:tcW w:w="993" w:type="pct"/>
          </w:tcPr>
          <w:p w:rsidR="00193F56" w:rsidRPr="008A0138" w:rsidRDefault="00193F56" w:rsidP="00193F56">
            <w:pPr>
              <w:pStyle w:val="TableText0"/>
              <w:jc w:val="center"/>
              <w:rPr>
                <w:szCs w:val="20"/>
              </w:rPr>
            </w:pPr>
            <w:proofErr w:type="gramStart"/>
            <w:r w:rsidRPr="008A0138">
              <w:rPr>
                <w:szCs w:val="20"/>
              </w:rPr>
              <w:t>n</w:t>
            </w:r>
            <w:proofErr w:type="gramEnd"/>
            <w:r w:rsidRPr="008A0138">
              <w:rPr>
                <w:szCs w:val="20"/>
              </w:rPr>
              <w:t xml:space="preserve"> (%)</w:t>
            </w:r>
          </w:p>
        </w:tc>
        <w:tc>
          <w:tcPr>
            <w:tcW w:w="987" w:type="pct"/>
          </w:tcPr>
          <w:p w:rsidR="00193F56" w:rsidRPr="008A0138" w:rsidRDefault="00193F56" w:rsidP="00193F56">
            <w:pPr>
              <w:pStyle w:val="TableText0"/>
              <w:jc w:val="center"/>
              <w:rPr>
                <w:szCs w:val="20"/>
              </w:rPr>
            </w:pPr>
            <w:proofErr w:type="gramStart"/>
            <w:r w:rsidRPr="008A0138">
              <w:rPr>
                <w:szCs w:val="20"/>
              </w:rPr>
              <w:t>n</w:t>
            </w:r>
            <w:proofErr w:type="gramEnd"/>
            <w:r w:rsidRPr="008A0138">
              <w:rPr>
                <w:szCs w:val="20"/>
              </w:rPr>
              <w:t xml:space="preserve"> (%)</w:t>
            </w:r>
          </w:p>
        </w:tc>
      </w:tr>
      <w:tr w:rsidR="00193F56" w:rsidRPr="008A0138" w:rsidTr="008A0138">
        <w:trPr>
          <w:cantSplit/>
          <w:tblHeader/>
        </w:trPr>
        <w:tc>
          <w:tcPr>
            <w:tcW w:w="1036" w:type="pct"/>
          </w:tcPr>
          <w:p w:rsidR="00193F56" w:rsidRPr="008A0138" w:rsidRDefault="00193F56" w:rsidP="00193F56">
            <w:pPr>
              <w:pStyle w:val="TableText0"/>
              <w:rPr>
                <w:szCs w:val="20"/>
              </w:rPr>
            </w:pPr>
            <w:r w:rsidRPr="008A0138">
              <w:rPr>
                <w:szCs w:val="20"/>
              </w:rPr>
              <w:t>Any AE</w:t>
            </w:r>
          </w:p>
        </w:tc>
        <w:tc>
          <w:tcPr>
            <w:tcW w:w="991" w:type="pct"/>
          </w:tcPr>
          <w:p w:rsidR="00193F56" w:rsidRPr="00AE736A" w:rsidRDefault="00193F56" w:rsidP="00193F56">
            <w:pPr>
              <w:pStyle w:val="TableText0"/>
              <w:jc w:val="center"/>
              <w:rPr>
                <w:szCs w:val="20"/>
              </w:rPr>
            </w:pPr>
          </w:p>
        </w:tc>
        <w:tc>
          <w:tcPr>
            <w:tcW w:w="993" w:type="pct"/>
          </w:tcPr>
          <w:p w:rsidR="00193F56" w:rsidRPr="00AE736A" w:rsidRDefault="00193F56" w:rsidP="00193F56">
            <w:pPr>
              <w:pStyle w:val="TableText0"/>
              <w:jc w:val="center"/>
              <w:rPr>
                <w:szCs w:val="20"/>
              </w:rPr>
            </w:pPr>
          </w:p>
        </w:tc>
        <w:tc>
          <w:tcPr>
            <w:tcW w:w="993" w:type="pct"/>
            <w:vAlign w:val="center"/>
          </w:tcPr>
          <w:p w:rsidR="00193F56" w:rsidRPr="008A0138" w:rsidRDefault="00193F56" w:rsidP="00193F56">
            <w:pPr>
              <w:pStyle w:val="TableText0"/>
              <w:jc w:val="center"/>
              <w:rPr>
                <w:szCs w:val="20"/>
              </w:rPr>
            </w:pPr>
          </w:p>
        </w:tc>
        <w:tc>
          <w:tcPr>
            <w:tcW w:w="987" w:type="pct"/>
            <w:vAlign w:val="center"/>
          </w:tcPr>
          <w:p w:rsidR="00193F56" w:rsidRPr="008A0138" w:rsidRDefault="00193F56" w:rsidP="00193F56">
            <w:pPr>
              <w:pStyle w:val="TableText0"/>
              <w:jc w:val="center"/>
              <w:rPr>
                <w:szCs w:val="20"/>
              </w:rPr>
            </w:pPr>
          </w:p>
        </w:tc>
      </w:tr>
      <w:tr w:rsidR="00193F56" w:rsidRPr="008A0138" w:rsidTr="008A0138">
        <w:trPr>
          <w:cantSplit/>
          <w:tblHeader/>
        </w:trPr>
        <w:tc>
          <w:tcPr>
            <w:tcW w:w="1036" w:type="pct"/>
          </w:tcPr>
          <w:p w:rsidR="00193F56" w:rsidRPr="008A0138" w:rsidRDefault="00193F56" w:rsidP="00193F56">
            <w:pPr>
              <w:pStyle w:val="TableText0"/>
              <w:rPr>
                <w:szCs w:val="20"/>
              </w:rPr>
            </w:pPr>
            <w:r w:rsidRPr="008A0138">
              <w:rPr>
                <w:szCs w:val="20"/>
              </w:rPr>
              <w:t>Any grade</w:t>
            </w:r>
          </w:p>
        </w:tc>
        <w:tc>
          <w:tcPr>
            <w:tcW w:w="991" w:type="pct"/>
          </w:tcPr>
          <w:p w:rsidR="00193F56" w:rsidRPr="00AE736A" w:rsidRDefault="00193F56" w:rsidP="00193F56">
            <w:pPr>
              <w:pStyle w:val="TableText0"/>
              <w:jc w:val="center"/>
              <w:rPr>
                <w:szCs w:val="20"/>
              </w:rPr>
            </w:pPr>
            <w:r w:rsidRPr="00AE736A">
              <w:rPr>
                <w:szCs w:val="20"/>
              </w:rPr>
              <w:t>356 (99.4)</w:t>
            </w:r>
          </w:p>
        </w:tc>
        <w:tc>
          <w:tcPr>
            <w:tcW w:w="993" w:type="pct"/>
          </w:tcPr>
          <w:p w:rsidR="00193F56" w:rsidRPr="00AE736A" w:rsidRDefault="00193F56" w:rsidP="00193F56">
            <w:pPr>
              <w:pStyle w:val="TableText0"/>
              <w:jc w:val="center"/>
              <w:rPr>
                <w:szCs w:val="20"/>
              </w:rPr>
            </w:pPr>
            <w:r w:rsidRPr="00AE736A">
              <w:rPr>
                <w:szCs w:val="20"/>
              </w:rPr>
              <w:t>342 (98.0)</w:t>
            </w:r>
          </w:p>
        </w:tc>
        <w:tc>
          <w:tcPr>
            <w:tcW w:w="993" w:type="pct"/>
            <w:vAlign w:val="center"/>
          </w:tcPr>
          <w:p w:rsidR="00193F56" w:rsidRPr="008A0138" w:rsidRDefault="00193F56" w:rsidP="00193F56">
            <w:pPr>
              <w:pStyle w:val="TableText0"/>
              <w:jc w:val="center"/>
              <w:rPr>
                <w:szCs w:val="20"/>
              </w:rPr>
            </w:pPr>
            <w:r w:rsidRPr="008A0138">
              <w:rPr>
                <w:szCs w:val="20"/>
              </w:rPr>
              <w:t>274 (98.6)</w:t>
            </w:r>
          </w:p>
        </w:tc>
        <w:tc>
          <w:tcPr>
            <w:tcW w:w="987" w:type="pct"/>
            <w:vAlign w:val="center"/>
          </w:tcPr>
          <w:p w:rsidR="00193F56" w:rsidRPr="008A0138" w:rsidRDefault="00193F56" w:rsidP="00193F56">
            <w:pPr>
              <w:pStyle w:val="TableText0"/>
              <w:jc w:val="center"/>
              <w:rPr>
                <w:szCs w:val="20"/>
              </w:rPr>
            </w:pPr>
            <w:r w:rsidRPr="008A0138">
              <w:rPr>
                <w:szCs w:val="20"/>
              </w:rPr>
              <w:t>275 (98.2)</w:t>
            </w:r>
          </w:p>
        </w:tc>
      </w:tr>
      <w:tr w:rsidR="00193F56" w:rsidRPr="008A0138" w:rsidTr="008A0138">
        <w:trPr>
          <w:cantSplit/>
          <w:tblHeader/>
        </w:trPr>
        <w:tc>
          <w:tcPr>
            <w:tcW w:w="1036" w:type="pct"/>
          </w:tcPr>
          <w:p w:rsidR="00193F56" w:rsidRPr="008A0138" w:rsidRDefault="00193F56" w:rsidP="00193F56">
            <w:pPr>
              <w:pStyle w:val="TableText0"/>
              <w:rPr>
                <w:szCs w:val="20"/>
              </w:rPr>
            </w:pPr>
            <w:r w:rsidRPr="008A0138">
              <w:rPr>
                <w:szCs w:val="20"/>
              </w:rPr>
              <w:t>Grade 3-4/5</w:t>
            </w:r>
            <w:r w:rsidRPr="008A0138">
              <w:rPr>
                <w:szCs w:val="20"/>
                <w:vertAlign w:val="superscript"/>
              </w:rPr>
              <w:t>a</w:t>
            </w:r>
          </w:p>
        </w:tc>
        <w:tc>
          <w:tcPr>
            <w:tcW w:w="991" w:type="pct"/>
          </w:tcPr>
          <w:p w:rsidR="00193F56" w:rsidRPr="00AE736A" w:rsidRDefault="00193F56" w:rsidP="00193F56">
            <w:pPr>
              <w:pStyle w:val="TableText0"/>
              <w:jc w:val="center"/>
              <w:rPr>
                <w:szCs w:val="20"/>
              </w:rPr>
            </w:pPr>
            <w:r w:rsidRPr="00AE736A">
              <w:rPr>
                <w:szCs w:val="20"/>
              </w:rPr>
              <w:t>245 (68.4)</w:t>
            </w:r>
          </w:p>
        </w:tc>
        <w:tc>
          <w:tcPr>
            <w:tcW w:w="993" w:type="pct"/>
          </w:tcPr>
          <w:p w:rsidR="00193F56" w:rsidRPr="00AE736A" w:rsidRDefault="00193F56" w:rsidP="00193F56">
            <w:pPr>
              <w:pStyle w:val="TableText0"/>
              <w:jc w:val="center"/>
              <w:rPr>
                <w:szCs w:val="20"/>
              </w:rPr>
            </w:pPr>
            <w:r w:rsidRPr="00AE736A">
              <w:rPr>
                <w:szCs w:val="20"/>
              </w:rPr>
              <w:t>188 (53.9)</w:t>
            </w:r>
          </w:p>
        </w:tc>
        <w:tc>
          <w:tcPr>
            <w:tcW w:w="993" w:type="pct"/>
            <w:vAlign w:val="center"/>
          </w:tcPr>
          <w:p w:rsidR="00193F56" w:rsidRPr="008A0138" w:rsidRDefault="00193F56" w:rsidP="00193F56">
            <w:pPr>
              <w:pStyle w:val="TableText0"/>
              <w:jc w:val="center"/>
              <w:rPr>
                <w:szCs w:val="20"/>
              </w:rPr>
            </w:pPr>
            <w:r w:rsidRPr="008A0138">
              <w:rPr>
                <w:szCs w:val="20"/>
              </w:rPr>
              <w:t>206 (74.1)</w:t>
            </w:r>
          </w:p>
        </w:tc>
        <w:tc>
          <w:tcPr>
            <w:tcW w:w="987" w:type="pct"/>
            <w:vAlign w:val="center"/>
          </w:tcPr>
          <w:p w:rsidR="00193F56" w:rsidRPr="008A0138" w:rsidRDefault="00193F56" w:rsidP="00193F56">
            <w:pPr>
              <w:pStyle w:val="TableText0"/>
              <w:jc w:val="center"/>
              <w:rPr>
                <w:szCs w:val="20"/>
              </w:rPr>
            </w:pPr>
            <w:r w:rsidRPr="008A0138">
              <w:rPr>
                <w:szCs w:val="20"/>
              </w:rPr>
              <w:t>195 (69.6)</w:t>
            </w:r>
          </w:p>
        </w:tc>
      </w:tr>
      <w:tr w:rsidR="00193F56" w:rsidRPr="008A0138" w:rsidTr="008A0138">
        <w:trPr>
          <w:cantSplit/>
          <w:tblHeader/>
        </w:trPr>
        <w:tc>
          <w:tcPr>
            <w:tcW w:w="1036" w:type="pct"/>
          </w:tcPr>
          <w:p w:rsidR="00193F56" w:rsidRPr="008A0138" w:rsidRDefault="00193F56" w:rsidP="00193F56">
            <w:pPr>
              <w:pStyle w:val="TableText0"/>
              <w:rPr>
                <w:szCs w:val="20"/>
              </w:rPr>
            </w:pPr>
            <w:r w:rsidRPr="008A0138">
              <w:rPr>
                <w:szCs w:val="20"/>
              </w:rPr>
              <w:t xml:space="preserve">AE leading to discontinuation </w:t>
            </w:r>
          </w:p>
        </w:tc>
        <w:tc>
          <w:tcPr>
            <w:tcW w:w="991" w:type="pct"/>
          </w:tcPr>
          <w:p w:rsidR="00193F56" w:rsidRPr="00AE736A" w:rsidRDefault="00193F56" w:rsidP="00193F56">
            <w:pPr>
              <w:pStyle w:val="TableText0"/>
              <w:jc w:val="center"/>
              <w:rPr>
                <w:szCs w:val="20"/>
              </w:rPr>
            </w:pPr>
          </w:p>
        </w:tc>
        <w:tc>
          <w:tcPr>
            <w:tcW w:w="993" w:type="pct"/>
          </w:tcPr>
          <w:p w:rsidR="00193F56" w:rsidRPr="00AE736A" w:rsidRDefault="00193F56" w:rsidP="00193F56">
            <w:pPr>
              <w:pStyle w:val="TableText0"/>
              <w:jc w:val="center"/>
              <w:rPr>
                <w:szCs w:val="20"/>
              </w:rPr>
            </w:pPr>
          </w:p>
        </w:tc>
        <w:tc>
          <w:tcPr>
            <w:tcW w:w="993" w:type="pct"/>
            <w:vAlign w:val="center"/>
          </w:tcPr>
          <w:p w:rsidR="00193F56" w:rsidRPr="008A0138" w:rsidRDefault="00193F56" w:rsidP="00193F56">
            <w:pPr>
              <w:pStyle w:val="TableText0"/>
              <w:jc w:val="center"/>
              <w:rPr>
                <w:szCs w:val="20"/>
              </w:rPr>
            </w:pPr>
          </w:p>
        </w:tc>
        <w:tc>
          <w:tcPr>
            <w:tcW w:w="987" w:type="pct"/>
            <w:vAlign w:val="center"/>
          </w:tcPr>
          <w:p w:rsidR="00193F56" w:rsidRPr="008A0138" w:rsidRDefault="00193F56" w:rsidP="00193F56">
            <w:pPr>
              <w:pStyle w:val="TableText0"/>
              <w:jc w:val="center"/>
              <w:rPr>
                <w:szCs w:val="20"/>
              </w:rPr>
            </w:pPr>
          </w:p>
        </w:tc>
      </w:tr>
      <w:tr w:rsidR="00193F56" w:rsidRPr="008A0138" w:rsidTr="008A0138">
        <w:trPr>
          <w:cantSplit/>
          <w:tblHeader/>
        </w:trPr>
        <w:tc>
          <w:tcPr>
            <w:tcW w:w="1036" w:type="pct"/>
          </w:tcPr>
          <w:p w:rsidR="00193F56" w:rsidRPr="008A0138" w:rsidRDefault="00193F56" w:rsidP="00950B1A">
            <w:pPr>
              <w:pStyle w:val="TableText0"/>
              <w:ind w:left="171"/>
              <w:rPr>
                <w:szCs w:val="20"/>
              </w:rPr>
            </w:pPr>
            <w:r w:rsidRPr="008A0138">
              <w:rPr>
                <w:szCs w:val="20"/>
              </w:rPr>
              <w:t>Any grade</w:t>
            </w:r>
          </w:p>
        </w:tc>
        <w:tc>
          <w:tcPr>
            <w:tcW w:w="991" w:type="pct"/>
          </w:tcPr>
          <w:p w:rsidR="00193F56" w:rsidRPr="00AE736A" w:rsidRDefault="00193F56" w:rsidP="00193F56">
            <w:pPr>
              <w:pStyle w:val="TableText0"/>
              <w:jc w:val="center"/>
              <w:rPr>
                <w:szCs w:val="20"/>
              </w:rPr>
            </w:pPr>
            <w:r w:rsidRPr="00AE736A">
              <w:rPr>
                <w:szCs w:val="20"/>
              </w:rPr>
              <w:t>101 (28.2)</w:t>
            </w:r>
          </w:p>
        </w:tc>
        <w:tc>
          <w:tcPr>
            <w:tcW w:w="993" w:type="pct"/>
          </w:tcPr>
          <w:p w:rsidR="00193F56" w:rsidRPr="00AE736A" w:rsidRDefault="00193F56" w:rsidP="00193F56">
            <w:pPr>
              <w:pStyle w:val="TableText0"/>
              <w:jc w:val="center"/>
              <w:rPr>
                <w:szCs w:val="20"/>
              </w:rPr>
            </w:pPr>
            <w:r w:rsidRPr="00AE736A">
              <w:rPr>
                <w:szCs w:val="20"/>
              </w:rPr>
              <w:t>61 (17.5)</w:t>
            </w:r>
          </w:p>
        </w:tc>
        <w:tc>
          <w:tcPr>
            <w:tcW w:w="993" w:type="pct"/>
            <w:vAlign w:val="center"/>
          </w:tcPr>
          <w:p w:rsidR="00193F56" w:rsidRPr="008A0138" w:rsidRDefault="00193F56" w:rsidP="00193F56">
            <w:pPr>
              <w:pStyle w:val="TableText0"/>
              <w:jc w:val="center"/>
              <w:rPr>
                <w:szCs w:val="20"/>
              </w:rPr>
            </w:pPr>
            <w:r w:rsidRPr="008A0138">
              <w:rPr>
                <w:szCs w:val="20"/>
              </w:rPr>
              <w:t>76 (27.3)</w:t>
            </w:r>
          </w:p>
        </w:tc>
        <w:tc>
          <w:tcPr>
            <w:tcW w:w="987" w:type="pct"/>
            <w:vAlign w:val="center"/>
          </w:tcPr>
          <w:p w:rsidR="00193F56" w:rsidRPr="008A0138" w:rsidRDefault="00193F56" w:rsidP="00193F56">
            <w:pPr>
              <w:pStyle w:val="TableText0"/>
              <w:jc w:val="center"/>
              <w:rPr>
                <w:szCs w:val="20"/>
              </w:rPr>
            </w:pPr>
            <w:r w:rsidRPr="008A0138">
              <w:rPr>
                <w:szCs w:val="20"/>
              </w:rPr>
              <w:t>37 (13.2)</w:t>
            </w:r>
          </w:p>
        </w:tc>
      </w:tr>
      <w:tr w:rsidR="00193F56" w:rsidRPr="008A0138" w:rsidTr="008A0138">
        <w:trPr>
          <w:cantSplit/>
          <w:tblHeader/>
        </w:trPr>
        <w:tc>
          <w:tcPr>
            <w:tcW w:w="1036" w:type="pct"/>
          </w:tcPr>
          <w:p w:rsidR="00193F56" w:rsidRPr="008A0138" w:rsidRDefault="00193F56" w:rsidP="00950B1A">
            <w:pPr>
              <w:pStyle w:val="TableText0"/>
              <w:ind w:left="171"/>
              <w:rPr>
                <w:szCs w:val="20"/>
              </w:rPr>
            </w:pPr>
            <w:r w:rsidRPr="008A0138">
              <w:rPr>
                <w:szCs w:val="20"/>
              </w:rPr>
              <w:t>Grade 3-4</w:t>
            </w:r>
          </w:p>
        </w:tc>
        <w:tc>
          <w:tcPr>
            <w:tcW w:w="991" w:type="pct"/>
          </w:tcPr>
          <w:p w:rsidR="00193F56" w:rsidRPr="00AE736A" w:rsidRDefault="00193F56" w:rsidP="00193F56">
            <w:pPr>
              <w:pStyle w:val="TableText0"/>
              <w:jc w:val="center"/>
              <w:rPr>
                <w:szCs w:val="20"/>
              </w:rPr>
            </w:pPr>
            <w:r w:rsidRPr="00AE736A">
              <w:rPr>
                <w:szCs w:val="20"/>
              </w:rPr>
              <w:t>81 (22.6)</w:t>
            </w:r>
          </w:p>
        </w:tc>
        <w:tc>
          <w:tcPr>
            <w:tcW w:w="993" w:type="pct"/>
          </w:tcPr>
          <w:p w:rsidR="00193F56" w:rsidRPr="00AE736A" w:rsidRDefault="00193F56" w:rsidP="00193F56">
            <w:pPr>
              <w:pStyle w:val="TableText0"/>
              <w:jc w:val="center"/>
              <w:rPr>
                <w:szCs w:val="20"/>
              </w:rPr>
            </w:pPr>
            <w:r w:rsidRPr="00AE736A">
              <w:rPr>
                <w:szCs w:val="20"/>
              </w:rPr>
              <w:t>4</w:t>
            </w:r>
            <w:r w:rsidR="00A97524" w:rsidRPr="00AE736A">
              <w:rPr>
                <w:szCs w:val="20"/>
              </w:rPr>
              <w:t>3</w:t>
            </w:r>
            <w:r w:rsidRPr="00AE736A">
              <w:rPr>
                <w:szCs w:val="20"/>
              </w:rPr>
              <w:t xml:space="preserve"> (12.3)</w:t>
            </w:r>
          </w:p>
        </w:tc>
        <w:tc>
          <w:tcPr>
            <w:tcW w:w="993" w:type="pct"/>
            <w:vAlign w:val="center"/>
          </w:tcPr>
          <w:p w:rsidR="00193F56" w:rsidRPr="008A0138" w:rsidRDefault="00193F56" w:rsidP="00193F56">
            <w:pPr>
              <w:pStyle w:val="TableText0"/>
              <w:jc w:val="center"/>
              <w:rPr>
                <w:szCs w:val="20"/>
              </w:rPr>
            </w:pPr>
            <w:r w:rsidRPr="008A0138">
              <w:rPr>
                <w:szCs w:val="20"/>
              </w:rPr>
              <w:t>NR</w:t>
            </w:r>
          </w:p>
        </w:tc>
        <w:tc>
          <w:tcPr>
            <w:tcW w:w="987" w:type="pct"/>
            <w:vAlign w:val="center"/>
          </w:tcPr>
          <w:p w:rsidR="00193F56" w:rsidRPr="008A0138" w:rsidRDefault="00193F56" w:rsidP="00193F56">
            <w:pPr>
              <w:pStyle w:val="TableText0"/>
              <w:jc w:val="center"/>
              <w:rPr>
                <w:szCs w:val="20"/>
              </w:rPr>
            </w:pPr>
            <w:r w:rsidRPr="008A0138">
              <w:rPr>
                <w:szCs w:val="20"/>
              </w:rPr>
              <w:t>NR</w:t>
            </w:r>
          </w:p>
        </w:tc>
      </w:tr>
      <w:tr w:rsidR="00193F56" w:rsidRPr="008A0138" w:rsidTr="008A0138">
        <w:trPr>
          <w:cantSplit/>
          <w:tblHeader/>
        </w:trPr>
        <w:tc>
          <w:tcPr>
            <w:tcW w:w="1036" w:type="pct"/>
          </w:tcPr>
          <w:p w:rsidR="00193F56" w:rsidRPr="008A0138" w:rsidRDefault="00193F56" w:rsidP="00193F56">
            <w:pPr>
              <w:pStyle w:val="TableText0"/>
              <w:rPr>
                <w:szCs w:val="20"/>
              </w:rPr>
            </w:pPr>
            <w:r w:rsidRPr="008A0138">
              <w:rPr>
                <w:szCs w:val="20"/>
              </w:rPr>
              <w:t>Death due to AE</w:t>
            </w:r>
          </w:p>
        </w:tc>
        <w:tc>
          <w:tcPr>
            <w:tcW w:w="991" w:type="pct"/>
          </w:tcPr>
          <w:p w:rsidR="00193F56" w:rsidRPr="00AE736A" w:rsidRDefault="00193F56" w:rsidP="00193F56">
            <w:pPr>
              <w:pStyle w:val="TableText0"/>
              <w:jc w:val="center"/>
              <w:rPr>
                <w:szCs w:val="20"/>
              </w:rPr>
            </w:pPr>
            <w:r w:rsidRPr="00AE736A">
              <w:rPr>
                <w:szCs w:val="20"/>
              </w:rPr>
              <w:t>NR</w:t>
            </w:r>
          </w:p>
        </w:tc>
        <w:tc>
          <w:tcPr>
            <w:tcW w:w="993" w:type="pct"/>
          </w:tcPr>
          <w:p w:rsidR="00193F56" w:rsidRPr="00AE736A" w:rsidRDefault="00193F56" w:rsidP="00193F56">
            <w:pPr>
              <w:pStyle w:val="TableText0"/>
              <w:jc w:val="center"/>
              <w:rPr>
                <w:szCs w:val="20"/>
              </w:rPr>
            </w:pPr>
            <w:r w:rsidRPr="00AE736A">
              <w:rPr>
                <w:szCs w:val="20"/>
              </w:rPr>
              <w:t>NR</w:t>
            </w:r>
          </w:p>
        </w:tc>
        <w:tc>
          <w:tcPr>
            <w:tcW w:w="993" w:type="pct"/>
            <w:vAlign w:val="center"/>
          </w:tcPr>
          <w:p w:rsidR="00193F56" w:rsidRPr="008A0138" w:rsidRDefault="00193F56" w:rsidP="00193F56">
            <w:pPr>
              <w:pStyle w:val="TableText0"/>
              <w:jc w:val="center"/>
              <w:rPr>
                <w:szCs w:val="20"/>
              </w:rPr>
            </w:pPr>
            <w:r w:rsidRPr="008A0138">
              <w:rPr>
                <w:szCs w:val="20"/>
              </w:rPr>
              <w:t>31 (11.2)</w:t>
            </w:r>
          </w:p>
        </w:tc>
        <w:tc>
          <w:tcPr>
            <w:tcW w:w="987" w:type="pct"/>
            <w:vAlign w:val="center"/>
          </w:tcPr>
          <w:p w:rsidR="00193F56" w:rsidRPr="008A0138" w:rsidRDefault="00193F56" w:rsidP="00193F56">
            <w:pPr>
              <w:pStyle w:val="TableText0"/>
              <w:jc w:val="center"/>
              <w:rPr>
                <w:szCs w:val="20"/>
              </w:rPr>
            </w:pPr>
            <w:r w:rsidRPr="008A0138">
              <w:rPr>
                <w:szCs w:val="20"/>
              </w:rPr>
              <w:t>19 (6.8)</w:t>
            </w:r>
          </w:p>
        </w:tc>
      </w:tr>
      <w:tr w:rsidR="00193F56" w:rsidRPr="008A0138" w:rsidTr="008A0138">
        <w:trPr>
          <w:cantSplit/>
          <w:tblHeader/>
        </w:trPr>
        <w:tc>
          <w:tcPr>
            <w:tcW w:w="1036" w:type="pct"/>
          </w:tcPr>
          <w:p w:rsidR="00193F56" w:rsidRPr="008A0138" w:rsidRDefault="00193F56" w:rsidP="00193F56">
            <w:pPr>
              <w:pStyle w:val="TableText0"/>
              <w:rPr>
                <w:szCs w:val="20"/>
              </w:rPr>
            </w:pPr>
            <w:r w:rsidRPr="008A0138">
              <w:rPr>
                <w:szCs w:val="20"/>
              </w:rPr>
              <w:t>Death due to TRAE</w:t>
            </w:r>
          </w:p>
        </w:tc>
        <w:tc>
          <w:tcPr>
            <w:tcW w:w="991" w:type="pct"/>
          </w:tcPr>
          <w:p w:rsidR="00193F56" w:rsidRPr="008A0138" w:rsidRDefault="00193F56" w:rsidP="00193F56">
            <w:pPr>
              <w:pStyle w:val="TableText0"/>
              <w:jc w:val="center"/>
              <w:rPr>
                <w:szCs w:val="20"/>
              </w:rPr>
            </w:pPr>
            <w:r w:rsidRPr="008A0138">
              <w:rPr>
                <w:szCs w:val="20"/>
              </w:rPr>
              <w:t>7 (2.0)</w:t>
            </w:r>
          </w:p>
        </w:tc>
        <w:tc>
          <w:tcPr>
            <w:tcW w:w="993" w:type="pct"/>
          </w:tcPr>
          <w:p w:rsidR="00193F56" w:rsidRPr="008A0138" w:rsidRDefault="00193F56" w:rsidP="00193F56">
            <w:pPr>
              <w:pStyle w:val="TableText0"/>
              <w:jc w:val="center"/>
              <w:rPr>
                <w:szCs w:val="20"/>
              </w:rPr>
            </w:pPr>
            <w:r w:rsidRPr="008A0138">
              <w:rPr>
                <w:szCs w:val="20"/>
              </w:rPr>
              <w:t>6 (1.8)</w:t>
            </w:r>
          </w:p>
        </w:tc>
        <w:tc>
          <w:tcPr>
            <w:tcW w:w="993" w:type="pct"/>
            <w:vAlign w:val="center"/>
          </w:tcPr>
          <w:p w:rsidR="00193F56" w:rsidRPr="008A0138" w:rsidRDefault="00193F56" w:rsidP="00193F56">
            <w:pPr>
              <w:pStyle w:val="TableText0"/>
              <w:jc w:val="center"/>
              <w:rPr>
                <w:szCs w:val="20"/>
              </w:rPr>
            </w:pPr>
            <w:r w:rsidRPr="008A0138">
              <w:rPr>
                <w:szCs w:val="20"/>
              </w:rPr>
              <w:t>12 (4.3)</w:t>
            </w:r>
          </w:p>
        </w:tc>
        <w:tc>
          <w:tcPr>
            <w:tcW w:w="987" w:type="pct"/>
            <w:vAlign w:val="center"/>
          </w:tcPr>
          <w:p w:rsidR="00193F56" w:rsidRPr="008A0138" w:rsidRDefault="00193F56" w:rsidP="00193F56">
            <w:pPr>
              <w:pStyle w:val="TableText0"/>
              <w:jc w:val="center"/>
              <w:rPr>
                <w:szCs w:val="20"/>
              </w:rPr>
            </w:pPr>
            <w:r w:rsidRPr="008A0138">
              <w:rPr>
                <w:szCs w:val="20"/>
              </w:rPr>
              <w:t>5 (1.8)</w:t>
            </w:r>
          </w:p>
        </w:tc>
      </w:tr>
    </w:tbl>
    <w:p w:rsidR="00193F56" w:rsidRPr="0087043D" w:rsidRDefault="00193F56" w:rsidP="00193F56">
      <w:pPr>
        <w:pStyle w:val="TableFigureFooter"/>
      </w:pPr>
      <w:r w:rsidRPr="0087043D">
        <w:t xml:space="preserve">Source: Table 102 p178, Table 106 p183 and Table 109 p 189 of the submission; Table 7.1-1 p120-122 and Table 7.2-1 p123, </w:t>
      </w:r>
      <w:proofErr w:type="spellStart"/>
      <w:r w:rsidRPr="0087043D">
        <w:t>CheckMate</w:t>
      </w:r>
      <w:proofErr w:type="spellEnd"/>
      <w:r w:rsidRPr="0087043D">
        <w:t xml:space="preserve"> 9LA updated analysis CSR; Table 3, </w:t>
      </w:r>
      <w:proofErr w:type="spellStart"/>
      <w:r w:rsidRPr="0087043D">
        <w:t>Gadgeel</w:t>
      </w:r>
      <w:proofErr w:type="spellEnd"/>
      <w:r w:rsidRPr="0087043D">
        <w:t xml:space="preserve"> et al (2020); Table 3 Paz-Ares et al (2020).</w:t>
      </w:r>
    </w:p>
    <w:p w:rsidR="00193F56" w:rsidRPr="0087043D" w:rsidRDefault="00193F56" w:rsidP="00193F56">
      <w:pPr>
        <w:pStyle w:val="TableFigureFooter"/>
      </w:pPr>
      <w:r w:rsidRPr="0087043D">
        <w:t xml:space="preserve">AE = adverse event; IPI = ipilimumab; </w:t>
      </w:r>
      <w:r w:rsidR="003D16A5" w:rsidRPr="0087043D">
        <w:t xml:space="preserve">ITT = intention to treat; </w:t>
      </w:r>
      <w:r w:rsidRPr="0087043D">
        <w:t xml:space="preserve">NIVO = nivolumab; NR = not reported; </w:t>
      </w:r>
      <w:r w:rsidR="003D16A5" w:rsidRPr="0087043D">
        <w:t xml:space="preserve">NSCLC = non-small cell lung cancer; </w:t>
      </w:r>
      <w:r w:rsidRPr="0087043D">
        <w:t xml:space="preserve">PEMBRO = </w:t>
      </w:r>
      <w:proofErr w:type="spellStart"/>
      <w:r w:rsidRPr="0087043D">
        <w:t>pembrolizumab</w:t>
      </w:r>
      <w:proofErr w:type="spellEnd"/>
      <w:r w:rsidRPr="0087043D">
        <w:t>; TRAE = treatment-related adverse event</w:t>
      </w:r>
      <w:r w:rsidR="001D1526" w:rsidRPr="0087043D">
        <w:t>.</w:t>
      </w:r>
    </w:p>
    <w:p w:rsidR="00193F56" w:rsidRPr="0087043D" w:rsidRDefault="00193F56" w:rsidP="00193F56">
      <w:pPr>
        <w:pStyle w:val="TableFigureFooter"/>
      </w:pPr>
      <w:r w:rsidRPr="0087043D">
        <w:rPr>
          <w:vertAlign w:val="superscript"/>
        </w:rPr>
        <w:t>a</w:t>
      </w:r>
      <w:r w:rsidRPr="0087043D">
        <w:t xml:space="preserve"> </w:t>
      </w:r>
      <w:proofErr w:type="spellStart"/>
      <w:r w:rsidRPr="0087043D">
        <w:t>CheckMate</w:t>
      </w:r>
      <w:proofErr w:type="spellEnd"/>
      <w:r w:rsidRPr="0087043D">
        <w:t xml:space="preserve"> 9LA reported Grade 3-4 AEs, Keynote 189 and Keynote 407 reported Grade 3-5 AEs; Table 3, Paz-Ares et al (2020).</w:t>
      </w:r>
    </w:p>
    <w:p w:rsidR="00193F56" w:rsidRPr="0087043D" w:rsidRDefault="00193F56" w:rsidP="00193F56">
      <w:pPr>
        <w:pStyle w:val="TableFigureFooter"/>
      </w:pPr>
      <w:proofErr w:type="gramStart"/>
      <w:r w:rsidRPr="0087043D">
        <w:rPr>
          <w:vertAlign w:val="superscript"/>
        </w:rPr>
        <w:t>b</w:t>
      </w:r>
      <w:proofErr w:type="gramEnd"/>
      <w:r w:rsidRPr="0087043D">
        <w:t xml:space="preserve"> February 2020 data cut-off</w:t>
      </w:r>
    </w:p>
    <w:p w:rsidR="00193F56" w:rsidRPr="0087043D" w:rsidRDefault="00193F56" w:rsidP="00193F56">
      <w:pPr>
        <w:pStyle w:val="TableFigureFooter"/>
      </w:pPr>
      <w:proofErr w:type="gramStart"/>
      <w:r w:rsidRPr="0087043D">
        <w:rPr>
          <w:vertAlign w:val="superscript"/>
        </w:rPr>
        <w:t>c</w:t>
      </w:r>
      <w:proofErr w:type="gramEnd"/>
      <w:r w:rsidRPr="0087043D">
        <w:t xml:space="preserve"> Event leading to discontinuation of any treatment component</w:t>
      </w:r>
    </w:p>
    <w:p w:rsidR="00950B1A" w:rsidRPr="0087043D" w:rsidRDefault="00193F56" w:rsidP="008A0138">
      <w:pPr>
        <w:pStyle w:val="TableFigureFooter"/>
      </w:pPr>
      <w:proofErr w:type="gramStart"/>
      <w:r w:rsidRPr="0087043D">
        <w:rPr>
          <w:vertAlign w:val="superscript"/>
        </w:rPr>
        <w:t>d</w:t>
      </w:r>
      <w:proofErr w:type="gramEnd"/>
      <w:r w:rsidRPr="0087043D">
        <w:t xml:space="preserve"> May 2019 data cut-off. Source: Paz-Ares et al (2020).</w:t>
      </w:r>
    </w:p>
    <w:p w:rsidR="00950B1A" w:rsidRPr="0087043D" w:rsidRDefault="00950B1A" w:rsidP="00950B1A">
      <w:pPr>
        <w:pStyle w:val="3-BodyText"/>
        <w:spacing w:after="0"/>
      </w:pPr>
      <w:r w:rsidRPr="0087043D">
        <w:t xml:space="preserve">The submission noted the following differences in the rate of </w:t>
      </w:r>
      <w:r w:rsidR="000F5B21" w:rsidRPr="0087043D">
        <w:t>adverse events (</w:t>
      </w:r>
      <w:r w:rsidRPr="0087043D">
        <w:t>AEs</w:t>
      </w:r>
      <w:r w:rsidR="000F5B21" w:rsidRPr="0087043D">
        <w:t>)</w:t>
      </w:r>
      <w:r w:rsidRPr="0087043D">
        <w:t xml:space="preserve"> in the immunotherapy arms of CM9LA and KN189:</w:t>
      </w:r>
    </w:p>
    <w:p w:rsidR="00950B1A" w:rsidRPr="0087043D" w:rsidRDefault="00950B1A" w:rsidP="008A0138">
      <w:pPr>
        <w:pStyle w:val="ListParagraph"/>
        <w:numPr>
          <w:ilvl w:val="0"/>
          <w:numId w:val="10"/>
        </w:numPr>
        <w:spacing w:after="0"/>
        <w:ind w:left="1077" w:hanging="357"/>
        <w:rPr>
          <w:i/>
        </w:rPr>
      </w:pPr>
      <w:r w:rsidRPr="0087043D">
        <w:t xml:space="preserve">AEs ≥ Grade 3: a 4% risk reduction for patients receiving </w:t>
      </w:r>
      <w:proofErr w:type="spellStart"/>
      <w:r w:rsidRPr="0087043D">
        <w:t>NIVO+IPI+platinum</w:t>
      </w:r>
      <w:proofErr w:type="spellEnd"/>
      <w:r w:rsidRPr="0087043D">
        <w:t xml:space="preserve"> (68%) compared with patients treated with </w:t>
      </w:r>
      <w:proofErr w:type="spellStart"/>
      <w:r w:rsidRPr="0087043D">
        <w:t>pembrolizumab+platinum</w:t>
      </w:r>
      <w:proofErr w:type="spellEnd"/>
      <w:r w:rsidRPr="0087043D">
        <w:t xml:space="preserve"> in KN189 (72%) and a 6% risk reduction compared patient in KN407 (74%). The 68% reported for CM9LA was only Grade 3-4 AEs, while KN189 and KN407 reported Grade 3-5 AEs.</w:t>
      </w:r>
    </w:p>
    <w:p w:rsidR="00950B1A" w:rsidRPr="0087043D" w:rsidRDefault="00950B1A" w:rsidP="008A0138">
      <w:pPr>
        <w:pStyle w:val="ListParagraph"/>
        <w:spacing w:after="0"/>
        <w:ind w:left="1077" w:hanging="357"/>
      </w:pPr>
      <w:r w:rsidRPr="0087043D">
        <w:t xml:space="preserve">AEs of any causality resulting in treatment discontinuation, with a 6% risk reduction for patients treated with </w:t>
      </w:r>
      <w:proofErr w:type="spellStart"/>
      <w:r w:rsidRPr="0087043D">
        <w:t>NIVO+IPI+platinum</w:t>
      </w:r>
      <w:proofErr w:type="spellEnd"/>
      <w:r w:rsidRPr="0087043D">
        <w:t xml:space="preserve"> (28%) compared with patients treated with </w:t>
      </w:r>
      <w:proofErr w:type="spellStart"/>
      <w:r w:rsidRPr="0087043D">
        <w:t>pembrolizumab+platinum</w:t>
      </w:r>
      <w:proofErr w:type="spellEnd"/>
      <w:r w:rsidRPr="0087043D">
        <w:t xml:space="preserve"> (34%); and</w:t>
      </w:r>
    </w:p>
    <w:p w:rsidR="00950B1A" w:rsidRPr="0087043D" w:rsidRDefault="00950B1A" w:rsidP="008A0138">
      <w:pPr>
        <w:pStyle w:val="ListParagraph"/>
        <w:ind w:left="1077" w:hanging="357"/>
        <w:rPr>
          <w:i/>
        </w:rPr>
      </w:pPr>
      <w:r w:rsidRPr="0087043D">
        <w:t>AEs leading to death, with a 5% risk reduction for patient</w:t>
      </w:r>
      <w:r w:rsidR="008E1937" w:rsidRPr="0087043D">
        <w:t>s</w:t>
      </w:r>
      <w:r w:rsidRPr="0087043D">
        <w:t xml:space="preserve"> treated with </w:t>
      </w:r>
      <w:proofErr w:type="spellStart"/>
      <w:r w:rsidRPr="0087043D">
        <w:t>NIVO+IPI+platinum</w:t>
      </w:r>
      <w:proofErr w:type="spellEnd"/>
      <w:r w:rsidRPr="0087043D">
        <w:t xml:space="preserve"> (2%) compared with patients treated with </w:t>
      </w:r>
      <w:proofErr w:type="spellStart"/>
      <w:r w:rsidRPr="0087043D">
        <w:t>pembrolizumab+platinum</w:t>
      </w:r>
      <w:proofErr w:type="spellEnd"/>
      <w:r w:rsidRPr="0087043D">
        <w:t xml:space="preserve"> in KN189 (7%) and a 9% risk reduction compared to patients in KN407 (11%). It is inappropriate to compare these statistics as CM9LA reported deaths due to drug toxicity while KN189 and KN 407 reported deaths due to AEs of any causality. Treatment related deaths (Grade 5 AEs) were reported in 12/278 (4%) of patients in the </w:t>
      </w:r>
      <w:proofErr w:type="spellStart"/>
      <w:r w:rsidRPr="0087043D">
        <w:t>pembrolizumab+platinum</w:t>
      </w:r>
      <w:proofErr w:type="spellEnd"/>
      <w:r w:rsidRPr="0087043D">
        <w:t xml:space="preserve"> arm of KN407 (Paz-Ares et al, 2020).</w:t>
      </w:r>
    </w:p>
    <w:p w:rsidR="00950B1A" w:rsidRPr="0087043D" w:rsidRDefault="00950B1A" w:rsidP="00EC740A">
      <w:pPr>
        <w:pStyle w:val="3-BodyText"/>
      </w:pPr>
      <w:r w:rsidRPr="0087043D">
        <w:t xml:space="preserve">There was no clear indication of any major difference in the rate of Grade ≥3 AEs or AEs leading to discontinuation across the trials. While the rate of some </w:t>
      </w:r>
      <w:r w:rsidR="00B82088" w:rsidRPr="0087043D">
        <w:t xml:space="preserve">immune-mediated AEs </w:t>
      </w:r>
      <w:r w:rsidRPr="0087043D">
        <w:t>differed across the trials, these should be interpreted with caution given the considerable potential for confounding in any comparison of AE event rates across trials.</w:t>
      </w:r>
    </w:p>
    <w:p w:rsidR="00950B1A" w:rsidRPr="0087043D" w:rsidRDefault="00A15486" w:rsidP="00FD1129">
      <w:pPr>
        <w:pStyle w:val="3-BodyText"/>
      </w:pPr>
      <w:r w:rsidRPr="0087043D">
        <w:t xml:space="preserve">The submission claimed that, compared with </w:t>
      </w:r>
      <w:proofErr w:type="spellStart"/>
      <w:r w:rsidRPr="0087043D">
        <w:t>pembrolizumab+platinum</w:t>
      </w:r>
      <w:proofErr w:type="spellEnd"/>
      <w:r w:rsidRPr="0087043D">
        <w:t xml:space="preserve">, </w:t>
      </w:r>
      <w:proofErr w:type="spellStart"/>
      <w:r w:rsidRPr="0087043D">
        <w:t>NIVO+IPI+platinum</w:t>
      </w:r>
      <w:proofErr w:type="spellEnd"/>
      <w:r w:rsidRPr="0087043D">
        <w:t xml:space="preserve"> was associated with lower rates of AEs, including Grade 3-4 AEs, associated with the use of platinum chemotherapy, such as anaemia and neutropenia. </w:t>
      </w:r>
      <w:r w:rsidR="0083641A" w:rsidRPr="0087043D">
        <w:rPr>
          <w:rFonts w:eastAsia="Calibri"/>
        </w:rPr>
        <w:t xml:space="preserve">Given that only two cycles of platinum-based chemotherapy are administered in combination with nivolumab plus ipilimumab, compared to four cycles when administered in combination with </w:t>
      </w:r>
      <w:proofErr w:type="spellStart"/>
      <w:r w:rsidR="0083641A" w:rsidRPr="0087043D">
        <w:rPr>
          <w:rFonts w:eastAsia="Calibri"/>
        </w:rPr>
        <w:t>pembrolizumab</w:t>
      </w:r>
      <w:proofErr w:type="spellEnd"/>
      <w:r w:rsidR="0083641A" w:rsidRPr="0087043D">
        <w:rPr>
          <w:rFonts w:eastAsia="Calibri"/>
        </w:rPr>
        <w:t xml:space="preserve">, it was reasonable to expect that there would be fewer AEs associated with platinum-based chemotherapy. However there is potential for more immunological AEs related to immunotherapy with </w:t>
      </w:r>
      <w:proofErr w:type="spellStart"/>
      <w:r w:rsidR="0083641A" w:rsidRPr="0087043D">
        <w:rPr>
          <w:rFonts w:eastAsia="Calibri"/>
        </w:rPr>
        <w:t>NIVO+IPI+platinum</w:t>
      </w:r>
      <w:proofErr w:type="spellEnd"/>
      <w:r w:rsidR="0083641A" w:rsidRPr="0087043D">
        <w:rPr>
          <w:rFonts w:eastAsia="Calibri"/>
        </w:rPr>
        <w:t xml:space="preserve"> compared with </w:t>
      </w:r>
      <w:proofErr w:type="spellStart"/>
      <w:r w:rsidR="0083641A" w:rsidRPr="0087043D">
        <w:rPr>
          <w:rFonts w:eastAsia="Calibri"/>
        </w:rPr>
        <w:t>pembrolizumab+platinum</w:t>
      </w:r>
      <w:proofErr w:type="spellEnd"/>
      <w:r w:rsidR="0083641A" w:rsidRPr="0087043D">
        <w:rPr>
          <w:rFonts w:eastAsia="Calibri"/>
        </w:rPr>
        <w:t>.</w:t>
      </w:r>
      <w:r w:rsidR="0083641A" w:rsidRPr="0087043D">
        <w:rPr>
          <w:rFonts w:eastAsia="Calibri"/>
          <w:i/>
        </w:rPr>
        <w:t xml:space="preserve"> </w:t>
      </w:r>
    </w:p>
    <w:p w:rsidR="00F04F0F" w:rsidRPr="0087043D" w:rsidRDefault="00F04F0F" w:rsidP="00F04F0F">
      <w:pPr>
        <w:pStyle w:val="3-BodyText"/>
        <w:rPr>
          <w:b/>
          <w:bCs/>
        </w:rPr>
      </w:pPr>
      <w:r w:rsidRPr="0087043D">
        <w:rPr>
          <w:rFonts w:eastAsia="Calibri"/>
        </w:rPr>
        <w:t>The ESC considered the claim of non</w:t>
      </w:r>
      <w:r w:rsidR="008E1937" w:rsidRPr="0087043D">
        <w:rPr>
          <w:rFonts w:eastAsia="Calibri"/>
        </w:rPr>
        <w:t>-</w:t>
      </w:r>
      <w:r w:rsidRPr="0087043D">
        <w:rPr>
          <w:rFonts w:eastAsia="Calibri"/>
        </w:rPr>
        <w:t>inferior safety may be premature, given the follow-</w:t>
      </w:r>
      <w:r w:rsidRPr="0087043D">
        <w:rPr>
          <w:bCs/>
        </w:rPr>
        <w:t xml:space="preserve">up for the </w:t>
      </w:r>
      <w:proofErr w:type="spellStart"/>
      <w:r w:rsidRPr="0087043D">
        <w:rPr>
          <w:rFonts w:eastAsia="Calibri"/>
        </w:rPr>
        <w:t>NIVO+IPI+platinum</w:t>
      </w:r>
      <w:proofErr w:type="spellEnd"/>
      <w:r w:rsidRPr="0087043D">
        <w:rPr>
          <w:bCs/>
        </w:rPr>
        <w:t xml:space="preserve"> </w:t>
      </w:r>
      <w:r w:rsidR="003E000F" w:rsidRPr="0087043D">
        <w:rPr>
          <w:bCs/>
        </w:rPr>
        <w:t xml:space="preserve">trial </w:t>
      </w:r>
      <w:r w:rsidRPr="0087043D">
        <w:rPr>
          <w:bCs/>
        </w:rPr>
        <w:t xml:space="preserve">was </w:t>
      </w:r>
      <w:r w:rsidR="000F6871" w:rsidRPr="0087043D">
        <w:rPr>
          <w:bCs/>
        </w:rPr>
        <w:t>substantially</w:t>
      </w:r>
      <w:r w:rsidRPr="0087043D">
        <w:rPr>
          <w:bCs/>
        </w:rPr>
        <w:t xml:space="preserve"> shorter than that of the </w:t>
      </w:r>
      <w:proofErr w:type="spellStart"/>
      <w:r w:rsidRPr="0087043D">
        <w:rPr>
          <w:bCs/>
        </w:rPr>
        <w:t>pembrolizumab+platinum</w:t>
      </w:r>
      <w:proofErr w:type="spellEnd"/>
      <w:r w:rsidRPr="0087043D">
        <w:rPr>
          <w:bCs/>
        </w:rPr>
        <w:t xml:space="preserve"> trials. The ESC noted that immunological AEs can often have a delayed onset and in the context of continuous co</w:t>
      </w:r>
      <w:r w:rsidR="00580148" w:rsidRPr="0087043D">
        <w:rPr>
          <w:bCs/>
        </w:rPr>
        <w:t>-</w:t>
      </w:r>
      <w:r w:rsidRPr="0087043D">
        <w:rPr>
          <w:bCs/>
        </w:rPr>
        <w:t xml:space="preserve">administration of </w:t>
      </w:r>
      <w:r w:rsidR="00DE3ED6" w:rsidRPr="0087043D">
        <w:rPr>
          <w:bCs/>
        </w:rPr>
        <w:t>NIVO+IPI</w:t>
      </w:r>
      <w:r w:rsidRPr="0087043D">
        <w:rPr>
          <w:bCs/>
        </w:rPr>
        <w:t xml:space="preserve"> versus </w:t>
      </w:r>
      <w:proofErr w:type="spellStart"/>
      <w:r w:rsidRPr="0087043D">
        <w:rPr>
          <w:bCs/>
        </w:rPr>
        <w:t>pembrolizumab</w:t>
      </w:r>
      <w:proofErr w:type="spellEnd"/>
      <w:r w:rsidR="001A4471" w:rsidRPr="0087043D">
        <w:rPr>
          <w:bCs/>
        </w:rPr>
        <w:t xml:space="preserve"> (post</w:t>
      </w:r>
      <w:r w:rsidR="005C64AE" w:rsidRPr="0087043D">
        <w:rPr>
          <w:bCs/>
        </w:rPr>
        <w:t>-</w:t>
      </w:r>
      <w:r w:rsidR="001A4471" w:rsidRPr="0087043D">
        <w:rPr>
          <w:bCs/>
        </w:rPr>
        <w:t>chemotherapy)</w:t>
      </w:r>
      <w:r w:rsidRPr="0087043D">
        <w:rPr>
          <w:bCs/>
        </w:rPr>
        <w:t xml:space="preserve">, the AEs of </w:t>
      </w:r>
      <w:r w:rsidR="001A4471" w:rsidRPr="0087043D">
        <w:rPr>
          <w:rFonts w:eastAsia="Calibri"/>
        </w:rPr>
        <w:t>NIVO+IPI</w:t>
      </w:r>
      <w:r w:rsidR="001A4471" w:rsidRPr="0087043D">
        <w:rPr>
          <w:bCs/>
        </w:rPr>
        <w:t xml:space="preserve"> </w:t>
      </w:r>
      <w:r w:rsidRPr="0087043D">
        <w:rPr>
          <w:bCs/>
        </w:rPr>
        <w:t xml:space="preserve">may be underestimated. </w:t>
      </w:r>
    </w:p>
    <w:p w:rsidR="007F1017" w:rsidRPr="0087043D" w:rsidRDefault="007F1017" w:rsidP="00D86231">
      <w:pPr>
        <w:pStyle w:val="4-SubsectionHeading"/>
      </w:pPr>
      <w:bookmarkStart w:id="28" w:name="_Toc22897643"/>
      <w:bookmarkStart w:id="29" w:name="_Toc51147796"/>
      <w:r w:rsidRPr="0087043D">
        <w:t>Benefits/harms</w:t>
      </w:r>
      <w:bookmarkEnd w:id="28"/>
      <w:bookmarkEnd w:id="29"/>
    </w:p>
    <w:p w:rsidR="00F04F0F" w:rsidRPr="0087043D" w:rsidRDefault="00A31C7F" w:rsidP="005C64AE">
      <w:pPr>
        <w:pStyle w:val="3-BodyText"/>
      </w:pPr>
      <w:r w:rsidRPr="0087043D">
        <w:t xml:space="preserve">The submission claimed that </w:t>
      </w:r>
      <w:proofErr w:type="spellStart"/>
      <w:r w:rsidRPr="0087043D">
        <w:t>NIVO+IPI+platinum</w:t>
      </w:r>
      <w:proofErr w:type="spellEnd"/>
      <w:r w:rsidRPr="0087043D">
        <w:t xml:space="preserve"> is non-inferior, in terms of both comparative effectiveness and safety, to both </w:t>
      </w:r>
      <w:proofErr w:type="spellStart"/>
      <w:r w:rsidRPr="0087043D">
        <w:t>pembrolizumab+platinum</w:t>
      </w:r>
      <w:proofErr w:type="spellEnd"/>
      <w:r w:rsidRPr="0087043D">
        <w:t xml:space="preserve"> and </w:t>
      </w:r>
      <w:proofErr w:type="spellStart"/>
      <w:r w:rsidRPr="0087043D">
        <w:t>atezolizumab+bevacizumab+platinum</w:t>
      </w:r>
      <w:proofErr w:type="spellEnd"/>
      <w:r w:rsidRPr="0087043D">
        <w:t xml:space="preserve">. Accordingly, a benefits/harms table has not been presented. </w:t>
      </w:r>
    </w:p>
    <w:p w:rsidR="00B60939" w:rsidRPr="0087043D" w:rsidRDefault="00B60939" w:rsidP="00E9094A">
      <w:pPr>
        <w:pStyle w:val="4-SubsectionHeading"/>
      </w:pPr>
      <w:bookmarkStart w:id="30" w:name="_Toc22897644"/>
      <w:bookmarkStart w:id="31" w:name="_Toc51147797"/>
      <w:r w:rsidRPr="0087043D">
        <w:t>Clinical claim</w:t>
      </w:r>
      <w:bookmarkEnd w:id="30"/>
      <w:bookmarkEnd w:id="31"/>
    </w:p>
    <w:p w:rsidR="00FD1129" w:rsidRPr="0087043D" w:rsidRDefault="005F7588" w:rsidP="00E9094A">
      <w:pPr>
        <w:pStyle w:val="3-BodyText"/>
        <w:rPr>
          <w:rFonts w:eastAsia="Calibri"/>
        </w:rPr>
      </w:pPr>
      <w:r w:rsidRPr="0087043D">
        <w:rPr>
          <w:rFonts w:eastAsia="Calibri"/>
        </w:rPr>
        <w:t xml:space="preserve">The submission described </w:t>
      </w:r>
      <w:proofErr w:type="spellStart"/>
      <w:r w:rsidR="00FD1129" w:rsidRPr="0087043D">
        <w:rPr>
          <w:rFonts w:eastAsia="Calibri"/>
        </w:rPr>
        <w:t>NIVO+IPI+platinum</w:t>
      </w:r>
      <w:proofErr w:type="spellEnd"/>
      <w:r w:rsidRPr="0087043D">
        <w:rPr>
          <w:rFonts w:eastAsia="Calibri"/>
        </w:rPr>
        <w:t xml:space="preserve"> </w:t>
      </w:r>
      <w:r w:rsidR="00FD1129" w:rsidRPr="0087043D">
        <w:rPr>
          <w:rFonts w:eastAsia="Calibri"/>
        </w:rPr>
        <w:t xml:space="preserve">as </w:t>
      </w:r>
      <w:r w:rsidRPr="0087043D">
        <w:rPr>
          <w:rFonts w:eastAsia="Calibri"/>
        </w:rPr>
        <w:t>non-i</w:t>
      </w:r>
      <w:r w:rsidR="00FD1129" w:rsidRPr="0087043D">
        <w:rPr>
          <w:rFonts w:eastAsia="Calibri"/>
        </w:rPr>
        <w:t>nferior</w:t>
      </w:r>
      <w:r w:rsidRPr="0087043D">
        <w:rPr>
          <w:rFonts w:eastAsia="Calibri"/>
        </w:rPr>
        <w:t xml:space="preserve"> in term</w:t>
      </w:r>
      <w:r w:rsidR="00156F8F" w:rsidRPr="0087043D">
        <w:rPr>
          <w:rFonts w:eastAsia="Calibri"/>
        </w:rPr>
        <w:t>s</w:t>
      </w:r>
      <w:r w:rsidRPr="0087043D">
        <w:rPr>
          <w:rFonts w:eastAsia="Calibri"/>
        </w:rPr>
        <w:t xml:space="preserve"> of </w:t>
      </w:r>
      <w:r w:rsidR="00FD1129" w:rsidRPr="0087043D">
        <w:rPr>
          <w:rFonts w:eastAsia="Calibri"/>
        </w:rPr>
        <w:t xml:space="preserve">both effectiveness and </w:t>
      </w:r>
      <w:r w:rsidRPr="0087043D">
        <w:rPr>
          <w:rFonts w:eastAsia="Calibri"/>
        </w:rPr>
        <w:t xml:space="preserve">safety compared to </w:t>
      </w:r>
      <w:proofErr w:type="spellStart"/>
      <w:r w:rsidR="00FD1129" w:rsidRPr="0087043D">
        <w:rPr>
          <w:rFonts w:eastAsia="Calibri"/>
        </w:rPr>
        <w:t>pembrolizumab+platinum</w:t>
      </w:r>
      <w:proofErr w:type="spellEnd"/>
      <w:r w:rsidR="00FD1129" w:rsidRPr="0087043D">
        <w:rPr>
          <w:rFonts w:eastAsia="Calibri"/>
        </w:rPr>
        <w:t>.</w:t>
      </w:r>
      <w:r w:rsidRPr="0087043D">
        <w:rPr>
          <w:rFonts w:eastAsia="Calibri"/>
        </w:rPr>
        <w:t xml:space="preserve"> </w:t>
      </w:r>
      <w:r w:rsidR="008E1937" w:rsidRPr="0087043D">
        <w:rPr>
          <w:rFonts w:eastAsia="Calibri"/>
        </w:rPr>
        <w:t>T</w:t>
      </w:r>
      <w:r w:rsidR="0083641A" w:rsidRPr="0087043D">
        <w:rPr>
          <w:rFonts w:eastAsia="Calibri"/>
        </w:rPr>
        <w:t xml:space="preserve">he </w:t>
      </w:r>
      <w:r w:rsidR="008E1937" w:rsidRPr="0087043D">
        <w:rPr>
          <w:rFonts w:eastAsia="Calibri"/>
        </w:rPr>
        <w:t xml:space="preserve">evaluation considered that while the </w:t>
      </w:r>
      <w:r w:rsidRPr="0087043D">
        <w:rPr>
          <w:rFonts w:eastAsia="Calibri"/>
        </w:rPr>
        <w:t xml:space="preserve">claim </w:t>
      </w:r>
      <w:r w:rsidR="00FD1129" w:rsidRPr="0087043D">
        <w:rPr>
          <w:rFonts w:eastAsia="Calibri"/>
        </w:rPr>
        <w:t xml:space="preserve">that </w:t>
      </w:r>
      <w:proofErr w:type="spellStart"/>
      <w:r w:rsidR="00FD1129" w:rsidRPr="0087043D">
        <w:rPr>
          <w:rFonts w:eastAsia="Calibri"/>
        </w:rPr>
        <w:t>NIVO+IPI+platinum</w:t>
      </w:r>
      <w:proofErr w:type="spellEnd"/>
      <w:r w:rsidR="00FD1129" w:rsidRPr="0087043D">
        <w:rPr>
          <w:rFonts w:eastAsia="Calibri"/>
        </w:rPr>
        <w:t xml:space="preserve"> was non-inferior to </w:t>
      </w:r>
      <w:proofErr w:type="spellStart"/>
      <w:r w:rsidR="00FD1129" w:rsidRPr="0087043D">
        <w:rPr>
          <w:rFonts w:eastAsia="Calibri"/>
        </w:rPr>
        <w:t>pembrolizumab+platinum</w:t>
      </w:r>
      <w:proofErr w:type="spellEnd"/>
      <w:r w:rsidR="00FD1129" w:rsidRPr="0087043D">
        <w:rPr>
          <w:rFonts w:eastAsia="Calibri"/>
        </w:rPr>
        <w:t xml:space="preserve"> in terms of comparative </w:t>
      </w:r>
      <w:r w:rsidR="0083641A" w:rsidRPr="0087043D">
        <w:rPr>
          <w:rFonts w:eastAsia="Calibri"/>
        </w:rPr>
        <w:t xml:space="preserve">safety was reasonable, the claim regarding the comparative </w:t>
      </w:r>
      <w:r w:rsidR="00FD1129" w:rsidRPr="0087043D">
        <w:rPr>
          <w:rFonts w:eastAsia="Calibri"/>
        </w:rPr>
        <w:t>effectiveness was not</w:t>
      </w:r>
      <w:r w:rsidR="007C70FF" w:rsidRPr="0087043D">
        <w:rPr>
          <w:rFonts w:eastAsia="Calibri"/>
        </w:rPr>
        <w:t xml:space="preserve"> </w:t>
      </w:r>
      <w:r w:rsidRPr="0087043D">
        <w:rPr>
          <w:rFonts w:eastAsia="Calibri"/>
        </w:rPr>
        <w:t>adequately supported</w:t>
      </w:r>
      <w:r w:rsidR="00FD1129" w:rsidRPr="0087043D">
        <w:rPr>
          <w:rFonts w:eastAsia="Calibri"/>
        </w:rPr>
        <w:t>:</w:t>
      </w:r>
    </w:p>
    <w:p w:rsidR="00FD1129" w:rsidRPr="0087043D" w:rsidRDefault="00FD1129" w:rsidP="00CE2894">
      <w:pPr>
        <w:pStyle w:val="ListParagraph"/>
        <w:numPr>
          <w:ilvl w:val="0"/>
          <w:numId w:val="10"/>
        </w:numPr>
        <w:spacing w:after="0"/>
        <w:ind w:left="992" w:hanging="357"/>
      </w:pPr>
      <w:r w:rsidRPr="0087043D">
        <w:t xml:space="preserve">For the comparison of CM9LA (non-squamous and squamous NSCLC) and KN189 (non-squamous NSCLC): </w:t>
      </w:r>
    </w:p>
    <w:p w:rsidR="00FD1129" w:rsidRPr="0087043D" w:rsidRDefault="00FD1129" w:rsidP="00157B29">
      <w:pPr>
        <w:pStyle w:val="ListParagraph"/>
        <w:numPr>
          <w:ilvl w:val="1"/>
          <w:numId w:val="10"/>
        </w:numPr>
        <w:spacing w:after="0"/>
        <w:ind w:left="1418" w:hanging="284"/>
      </w:pPr>
      <w:r w:rsidRPr="0087043D">
        <w:t xml:space="preserve">The median duration of follow-up in CM9LA (14.2 months in the </w:t>
      </w:r>
      <w:proofErr w:type="spellStart"/>
      <w:r w:rsidRPr="0087043D">
        <w:t>NIVO+IPI+platinum</w:t>
      </w:r>
      <w:proofErr w:type="spellEnd"/>
      <w:r w:rsidRPr="0087043D">
        <w:t xml:space="preserve"> and 10.9 months in the platinum chemotherapy arm) was considerably shorter than the duration of follow-up in KN189 (23.1 months). The indirect comparison was likely to be confounded by this difference in the duration of follow-up between the trials</w:t>
      </w:r>
      <w:r w:rsidR="007F59A5" w:rsidRPr="0087043D">
        <w:t>;</w:t>
      </w:r>
    </w:p>
    <w:p w:rsidR="00FD1129" w:rsidRPr="0087043D" w:rsidRDefault="00FD1129" w:rsidP="00157B29">
      <w:pPr>
        <w:pStyle w:val="ListParagraph"/>
        <w:numPr>
          <w:ilvl w:val="1"/>
          <w:numId w:val="10"/>
        </w:numPr>
      </w:pPr>
      <w:r w:rsidRPr="0087043D">
        <w:t>The indirectly derived HR for OS based on the ITT populations of the trials was 1.18 (</w:t>
      </w:r>
      <w:r w:rsidR="000F5B21" w:rsidRPr="0087043D">
        <w:t xml:space="preserve">95% CI: </w:t>
      </w:r>
      <w:r w:rsidRPr="0087043D">
        <w:t>0.88, 1.58), while that based on the comparison of the non-squamous subgroup f</w:t>
      </w:r>
      <w:r w:rsidR="001A5B8D" w:rsidRPr="0087043D">
        <w:t>ro</w:t>
      </w:r>
      <w:r w:rsidRPr="0087043D">
        <w:t>m CM9LA and the ITT population of KN189 was 1.23 (</w:t>
      </w:r>
      <w:r w:rsidR="000F5B21" w:rsidRPr="0087043D">
        <w:t xml:space="preserve">95% CI: </w:t>
      </w:r>
      <w:r w:rsidRPr="0087043D">
        <w:t>0.90, 1.69). The upper limit of the 95% CI in both comparisons exceeded the nomina</w:t>
      </w:r>
      <w:r w:rsidR="007F59A5" w:rsidRPr="0087043D">
        <w:t>ted non-inferior margin of 1.32.</w:t>
      </w:r>
      <w:r w:rsidR="00157B29" w:rsidRPr="0087043D">
        <w:t xml:space="preserve"> The PBAC noted the indirectly derived HR for OS for non-squamous NSCLC favoured </w:t>
      </w:r>
      <w:proofErr w:type="spellStart"/>
      <w:r w:rsidR="00157B29" w:rsidRPr="0087043D">
        <w:t>pembrolizumab+platinum</w:t>
      </w:r>
      <w:proofErr w:type="spellEnd"/>
      <w:r w:rsidR="00157B29" w:rsidRPr="0087043D">
        <w:t xml:space="preserve"> for both comparisons (i.e., HR &gt;1).  </w:t>
      </w:r>
    </w:p>
    <w:p w:rsidR="00FD1129" w:rsidRPr="0087043D" w:rsidRDefault="00FD1129" w:rsidP="00CE2894">
      <w:pPr>
        <w:pStyle w:val="ListParagraph"/>
        <w:numPr>
          <w:ilvl w:val="0"/>
          <w:numId w:val="10"/>
        </w:numPr>
        <w:spacing w:after="0"/>
        <w:ind w:left="992" w:hanging="357"/>
      </w:pPr>
      <w:r w:rsidRPr="0087043D">
        <w:t xml:space="preserve">For the comparison CM9LA </w:t>
      </w:r>
      <w:r w:rsidR="006B24AD" w:rsidRPr="0087043D">
        <w:t>(</w:t>
      </w:r>
      <w:r w:rsidRPr="0087043D">
        <w:t xml:space="preserve">non-squamous and squamous NSCLC) and KN407 (squamous NSCLC): </w:t>
      </w:r>
    </w:p>
    <w:p w:rsidR="008A4D37" w:rsidRPr="0087043D" w:rsidRDefault="00FD1129" w:rsidP="00157B29">
      <w:pPr>
        <w:pStyle w:val="ListParagraph"/>
        <w:numPr>
          <w:ilvl w:val="1"/>
          <w:numId w:val="10"/>
        </w:numPr>
        <w:ind w:left="1418" w:hanging="284"/>
      </w:pPr>
      <w:r w:rsidRPr="0087043D">
        <w:t>The indirectly derived HR for OS based on the ITT populations of the trials was 0.93 (</w:t>
      </w:r>
      <w:r w:rsidR="000F5B21" w:rsidRPr="0087043D">
        <w:t xml:space="preserve">95% CI: </w:t>
      </w:r>
      <w:r w:rsidRPr="0087043D">
        <w:t>0.70, 1.23), while that based on the comparison of the squamous subgroup form CM9LA and the ITT population of KN407 was 0.87 (</w:t>
      </w:r>
      <w:r w:rsidR="000F5B21" w:rsidRPr="0087043D">
        <w:t xml:space="preserve">95% CI: </w:t>
      </w:r>
      <w:r w:rsidRPr="0087043D">
        <w:t xml:space="preserve">0.59, 1.28). </w:t>
      </w:r>
      <w:r w:rsidR="003910CC" w:rsidRPr="0087043D">
        <w:t>T</w:t>
      </w:r>
      <w:r w:rsidRPr="0087043D">
        <w:t xml:space="preserve">he upper limit of the 95% CI </w:t>
      </w:r>
      <w:r w:rsidR="003910CC" w:rsidRPr="0087043D">
        <w:t>(1.</w:t>
      </w:r>
      <w:r w:rsidR="00E74617" w:rsidRPr="0087043D">
        <w:t>23</w:t>
      </w:r>
      <w:r w:rsidR="003910CC" w:rsidRPr="0087043D">
        <w:t xml:space="preserve">) </w:t>
      </w:r>
      <w:r w:rsidRPr="0087043D">
        <w:t>was below the non-inferiority margin proposed by the submission (1.30)</w:t>
      </w:r>
      <w:r w:rsidR="003910CC" w:rsidRPr="0087043D">
        <w:t xml:space="preserve">. </w:t>
      </w:r>
    </w:p>
    <w:p w:rsidR="00FA3D41" w:rsidRPr="0087043D" w:rsidRDefault="005C64AE" w:rsidP="00FA3D41">
      <w:pPr>
        <w:pStyle w:val="3-BodyText"/>
        <w:rPr>
          <w:b/>
          <w:bCs/>
        </w:rPr>
      </w:pPr>
      <w:r w:rsidRPr="0087043D">
        <w:rPr>
          <w:rFonts w:eastAsia="Calibri"/>
        </w:rPr>
        <w:t>T</w:t>
      </w:r>
      <w:r w:rsidR="00EB7902" w:rsidRPr="0087043D">
        <w:rPr>
          <w:rFonts w:eastAsia="Calibri"/>
        </w:rPr>
        <w:t xml:space="preserve">he ESC </w:t>
      </w:r>
      <w:r w:rsidR="00CE224B" w:rsidRPr="0087043D">
        <w:rPr>
          <w:rFonts w:eastAsia="Calibri"/>
        </w:rPr>
        <w:t>considered that the</w:t>
      </w:r>
      <w:r w:rsidR="00EB7902" w:rsidRPr="0087043D">
        <w:rPr>
          <w:rFonts w:eastAsia="Calibri"/>
        </w:rPr>
        <w:t xml:space="preserve"> claim </w:t>
      </w:r>
      <w:r w:rsidR="003934B8" w:rsidRPr="0087043D">
        <w:rPr>
          <w:rFonts w:eastAsia="Calibri"/>
        </w:rPr>
        <w:t>of</w:t>
      </w:r>
      <w:r w:rsidR="00EB7902" w:rsidRPr="0087043D">
        <w:rPr>
          <w:rFonts w:eastAsia="Calibri"/>
        </w:rPr>
        <w:t xml:space="preserve"> </w:t>
      </w:r>
      <w:r w:rsidR="003934B8" w:rsidRPr="0087043D">
        <w:rPr>
          <w:rFonts w:eastAsia="Calibri"/>
        </w:rPr>
        <w:t>non</w:t>
      </w:r>
      <w:r w:rsidR="00DD7A52" w:rsidRPr="0087043D">
        <w:rPr>
          <w:rFonts w:eastAsia="Calibri"/>
        </w:rPr>
        <w:t>-</w:t>
      </w:r>
      <w:r w:rsidR="00EB7902" w:rsidRPr="0087043D">
        <w:rPr>
          <w:rFonts w:eastAsia="Calibri"/>
        </w:rPr>
        <w:t>inferior comparative effectiveness</w:t>
      </w:r>
      <w:r w:rsidR="003934B8" w:rsidRPr="0087043D">
        <w:rPr>
          <w:rFonts w:eastAsia="Calibri"/>
        </w:rPr>
        <w:t xml:space="preserve"> of </w:t>
      </w:r>
      <w:proofErr w:type="spellStart"/>
      <w:r w:rsidR="003934B8" w:rsidRPr="0087043D">
        <w:rPr>
          <w:rFonts w:eastAsia="Calibri"/>
        </w:rPr>
        <w:t>NIVO+IPI+platinum</w:t>
      </w:r>
      <w:proofErr w:type="spellEnd"/>
      <w:r w:rsidR="00EB7902" w:rsidRPr="0087043D">
        <w:rPr>
          <w:rFonts w:eastAsia="Calibri"/>
        </w:rPr>
        <w:t xml:space="preserve"> </w:t>
      </w:r>
      <w:r w:rsidR="003934B8" w:rsidRPr="0087043D">
        <w:rPr>
          <w:rFonts w:eastAsia="Calibri"/>
        </w:rPr>
        <w:t>versus</w:t>
      </w:r>
      <w:r w:rsidR="00EB7902" w:rsidRPr="0087043D">
        <w:rPr>
          <w:rFonts w:eastAsia="Calibri"/>
        </w:rPr>
        <w:t xml:space="preserve"> </w:t>
      </w:r>
      <w:proofErr w:type="spellStart"/>
      <w:r w:rsidR="00EB7902" w:rsidRPr="0087043D">
        <w:rPr>
          <w:rFonts w:eastAsia="Calibri"/>
        </w:rPr>
        <w:t>pembrolizumab+platinum</w:t>
      </w:r>
      <w:proofErr w:type="spellEnd"/>
      <w:r w:rsidR="00EB7902" w:rsidRPr="0087043D">
        <w:rPr>
          <w:rFonts w:eastAsia="Calibri"/>
        </w:rPr>
        <w:t xml:space="preserve"> was not adequately supported in the non-squamous NSCLC patient population</w:t>
      </w:r>
      <w:r w:rsidR="003934B8" w:rsidRPr="0087043D">
        <w:rPr>
          <w:rFonts w:eastAsia="Calibri"/>
        </w:rPr>
        <w:t>,</w:t>
      </w:r>
      <w:r w:rsidR="00EB7902" w:rsidRPr="0087043D">
        <w:rPr>
          <w:rFonts w:eastAsia="Calibri"/>
        </w:rPr>
        <w:t xml:space="preserve"> </w:t>
      </w:r>
      <w:r w:rsidR="003624C8" w:rsidRPr="0087043D">
        <w:rPr>
          <w:rFonts w:eastAsia="Calibri"/>
        </w:rPr>
        <w:t>but</w:t>
      </w:r>
      <w:r w:rsidR="00EB7902" w:rsidRPr="0087043D">
        <w:rPr>
          <w:rFonts w:eastAsia="Calibri"/>
        </w:rPr>
        <w:t xml:space="preserve"> </w:t>
      </w:r>
      <w:r w:rsidR="003624C8" w:rsidRPr="0087043D">
        <w:rPr>
          <w:rFonts w:eastAsia="Calibri"/>
        </w:rPr>
        <w:t>may be</w:t>
      </w:r>
      <w:r w:rsidR="00EB7902" w:rsidRPr="0087043D">
        <w:rPr>
          <w:rFonts w:eastAsia="Calibri"/>
        </w:rPr>
        <w:t xml:space="preserve"> </w:t>
      </w:r>
      <w:r w:rsidR="00625C7C" w:rsidRPr="0087043D">
        <w:rPr>
          <w:rFonts w:eastAsia="Calibri"/>
        </w:rPr>
        <w:t xml:space="preserve">adequately </w:t>
      </w:r>
      <w:r w:rsidR="00EB7902" w:rsidRPr="0087043D">
        <w:rPr>
          <w:rFonts w:eastAsia="Calibri"/>
        </w:rPr>
        <w:t xml:space="preserve">supported in the squamous NSCLC patient population. </w:t>
      </w:r>
      <w:r w:rsidR="003934B8" w:rsidRPr="0087043D">
        <w:t xml:space="preserve">The ESC considered that </w:t>
      </w:r>
      <w:r w:rsidR="00FA3D41" w:rsidRPr="0087043D">
        <w:t>further follo</w:t>
      </w:r>
      <w:r w:rsidR="003934B8" w:rsidRPr="0087043D">
        <w:t>w-up</w:t>
      </w:r>
      <w:r w:rsidR="003624C8" w:rsidRPr="0087043D">
        <w:t xml:space="preserve"> data</w:t>
      </w:r>
      <w:r w:rsidR="003934B8" w:rsidRPr="0087043D">
        <w:t xml:space="preserve"> from </w:t>
      </w:r>
      <w:r w:rsidR="00FA3D41" w:rsidRPr="0087043D">
        <w:t>the CM9LA trial</w:t>
      </w:r>
      <w:r w:rsidR="003934B8" w:rsidRPr="0087043D">
        <w:t xml:space="preserve"> </w:t>
      </w:r>
      <w:r w:rsidR="003624C8" w:rsidRPr="0087043D">
        <w:t>would be informative</w:t>
      </w:r>
      <w:r w:rsidR="00FA3D41" w:rsidRPr="0087043D">
        <w:rPr>
          <w:i/>
        </w:rPr>
        <w:t xml:space="preserve">. </w:t>
      </w:r>
    </w:p>
    <w:p w:rsidR="00DD7A52" w:rsidRPr="0087043D" w:rsidRDefault="00DD7A52" w:rsidP="00FA3D41">
      <w:pPr>
        <w:pStyle w:val="3-BodyText"/>
        <w:rPr>
          <w:b/>
          <w:bCs/>
        </w:rPr>
      </w:pPr>
      <w:r w:rsidRPr="0087043D">
        <w:rPr>
          <w:rFonts w:eastAsia="Calibri"/>
        </w:rPr>
        <w:t>The ESC considered th</w:t>
      </w:r>
      <w:r w:rsidR="005C64AE" w:rsidRPr="0087043D">
        <w:rPr>
          <w:rFonts w:eastAsia="Calibri"/>
        </w:rPr>
        <w:t xml:space="preserve">e </w:t>
      </w:r>
      <w:r w:rsidR="00724975" w:rsidRPr="0087043D">
        <w:rPr>
          <w:rFonts w:eastAsia="Calibri"/>
        </w:rPr>
        <w:t>claim of non-inferior comparative</w:t>
      </w:r>
      <w:r w:rsidR="005C64AE" w:rsidRPr="0087043D">
        <w:rPr>
          <w:rFonts w:eastAsia="Calibri"/>
        </w:rPr>
        <w:t xml:space="preserve"> </w:t>
      </w:r>
      <w:r w:rsidRPr="0087043D">
        <w:rPr>
          <w:rFonts w:eastAsia="Calibri"/>
        </w:rPr>
        <w:t>safety</w:t>
      </w:r>
      <w:r w:rsidR="00724975" w:rsidRPr="0087043D">
        <w:rPr>
          <w:rFonts w:eastAsia="Calibri"/>
        </w:rPr>
        <w:t xml:space="preserve"> for </w:t>
      </w:r>
      <w:proofErr w:type="spellStart"/>
      <w:r w:rsidR="00724975" w:rsidRPr="0087043D">
        <w:rPr>
          <w:rFonts w:eastAsia="Calibri"/>
        </w:rPr>
        <w:t>NIVO+IPI+platinum</w:t>
      </w:r>
      <w:proofErr w:type="spellEnd"/>
      <w:r w:rsidR="00724975" w:rsidRPr="0087043D">
        <w:rPr>
          <w:rFonts w:eastAsia="Calibri"/>
        </w:rPr>
        <w:t xml:space="preserve"> versus </w:t>
      </w:r>
      <w:proofErr w:type="spellStart"/>
      <w:r w:rsidR="00724975" w:rsidRPr="0087043D">
        <w:rPr>
          <w:rFonts w:eastAsia="Calibri"/>
        </w:rPr>
        <w:t>pembrolizumab+platinum</w:t>
      </w:r>
      <w:proofErr w:type="spellEnd"/>
      <w:r w:rsidR="005C64AE" w:rsidRPr="0087043D">
        <w:rPr>
          <w:rFonts w:eastAsia="Calibri"/>
        </w:rPr>
        <w:t xml:space="preserve"> was not adequately supported by the data presented in the submission (paragraph </w:t>
      </w:r>
      <w:r w:rsidR="00724975" w:rsidRPr="0087043D">
        <w:rPr>
          <w:rFonts w:eastAsia="Calibri"/>
        </w:rPr>
        <w:t>6.3</w:t>
      </w:r>
      <w:r w:rsidR="00720BAA" w:rsidRPr="0087043D">
        <w:rPr>
          <w:rFonts w:eastAsia="Calibri"/>
        </w:rPr>
        <w:t>7</w:t>
      </w:r>
      <w:r w:rsidR="00724975" w:rsidRPr="0087043D">
        <w:rPr>
          <w:rFonts w:eastAsia="Calibri"/>
        </w:rPr>
        <w:t>).</w:t>
      </w:r>
    </w:p>
    <w:p w:rsidR="00D92592" w:rsidRPr="0087043D" w:rsidRDefault="00D92592" w:rsidP="00D92592">
      <w:pPr>
        <w:pStyle w:val="3-BodyText"/>
      </w:pPr>
      <w:r w:rsidRPr="0087043D">
        <w:t>The PBAC considered that the claim of non-inferior comparative effectiveness was reasonable</w:t>
      </w:r>
      <w:r w:rsidR="00E74617" w:rsidRPr="0087043D">
        <w:t xml:space="preserve"> for the squamous population but </w:t>
      </w:r>
      <w:r w:rsidRPr="0087043D">
        <w:t>was not adequately supported by the data</w:t>
      </w:r>
      <w:r w:rsidR="00E74617" w:rsidRPr="0087043D">
        <w:t xml:space="preserve"> for the non-squamous population</w:t>
      </w:r>
      <w:r w:rsidRPr="0087043D">
        <w:t>.</w:t>
      </w:r>
    </w:p>
    <w:p w:rsidR="00D92592" w:rsidRPr="0087043D" w:rsidRDefault="00D92592" w:rsidP="00D92592">
      <w:pPr>
        <w:pStyle w:val="3-BodyText"/>
      </w:pPr>
      <w:r w:rsidRPr="0087043D">
        <w:t>The PBAC considered that the claim of non-inferior comparative safety was</w:t>
      </w:r>
      <w:r w:rsidR="001A5B8D" w:rsidRPr="0087043D">
        <w:t xml:space="preserve"> supported by the clinical data provided in the </w:t>
      </w:r>
      <w:r w:rsidR="00186CC6" w:rsidRPr="0087043D">
        <w:t>submission</w:t>
      </w:r>
      <w:r w:rsidR="001A5B8D" w:rsidRPr="0087043D">
        <w:t xml:space="preserve"> but was uncertain in the longer term. </w:t>
      </w:r>
    </w:p>
    <w:p w:rsidR="00B60939" w:rsidRPr="0087043D" w:rsidRDefault="00B60939" w:rsidP="00E9094A">
      <w:pPr>
        <w:pStyle w:val="4-SubsectionHeading"/>
      </w:pPr>
      <w:bookmarkStart w:id="32" w:name="_Toc22897645"/>
      <w:bookmarkStart w:id="33" w:name="_Toc51147798"/>
      <w:r w:rsidRPr="0087043D">
        <w:t>Economic analysis</w:t>
      </w:r>
      <w:bookmarkEnd w:id="32"/>
      <w:bookmarkEnd w:id="33"/>
      <w:r w:rsidR="00491B3A" w:rsidRPr="0087043D">
        <w:t xml:space="preserve"> </w:t>
      </w:r>
    </w:p>
    <w:p w:rsidR="00FA3D41" w:rsidRPr="0087043D" w:rsidRDefault="00D515E5" w:rsidP="00724975">
      <w:pPr>
        <w:pStyle w:val="3-BodyText"/>
        <w:rPr>
          <w:b/>
          <w:bCs/>
        </w:rPr>
      </w:pPr>
      <w:r w:rsidRPr="0087043D">
        <w:t xml:space="preserve">The submission presented a cost minimisation analysis </w:t>
      </w:r>
      <w:r w:rsidR="002C6B14" w:rsidRPr="0087043D">
        <w:t xml:space="preserve">(CMA) </w:t>
      </w:r>
      <w:r w:rsidRPr="0087043D">
        <w:t xml:space="preserve">of </w:t>
      </w:r>
      <w:proofErr w:type="spellStart"/>
      <w:r w:rsidRPr="0087043D">
        <w:t>NIVO+IPI+platinum</w:t>
      </w:r>
      <w:proofErr w:type="spellEnd"/>
      <w:r w:rsidRPr="0087043D">
        <w:t xml:space="preserve"> versus </w:t>
      </w:r>
      <w:proofErr w:type="spellStart"/>
      <w:r w:rsidRPr="0087043D">
        <w:t>pembrolizumab+platinum</w:t>
      </w:r>
      <w:proofErr w:type="spellEnd"/>
      <w:r w:rsidRPr="0087043D">
        <w:t xml:space="preserve">. </w:t>
      </w:r>
      <w:r w:rsidR="00724975" w:rsidRPr="0087043D">
        <w:t xml:space="preserve">The ESC considered that the claim of non-inferior comparative effectiveness was not adequately supported for patients with non-squamous NSCLC and therefore a CMA was not appropriate for this population which the submission estimated accounted for 77.6% of the total population. </w:t>
      </w:r>
    </w:p>
    <w:p w:rsidR="00A86E8B" w:rsidRPr="0087043D" w:rsidRDefault="00954A81" w:rsidP="00BB732D">
      <w:pPr>
        <w:pStyle w:val="3-BodyText"/>
      </w:pPr>
      <w:r w:rsidRPr="0087043D">
        <w:t xml:space="preserve">The key components of the </w:t>
      </w:r>
      <w:r w:rsidR="002C6B14" w:rsidRPr="0087043D">
        <w:t>CMA</w:t>
      </w:r>
      <w:r w:rsidRPr="0087043D">
        <w:t xml:space="preserve"> are presented in </w:t>
      </w:r>
      <w:r w:rsidR="00C71489" w:rsidRPr="0087043D">
        <w:t>Table 11</w:t>
      </w:r>
      <w:r w:rsidR="000E4AB1" w:rsidRPr="0087043D">
        <w:t xml:space="preserve">. </w:t>
      </w:r>
      <w:r w:rsidR="00A86E8B" w:rsidRPr="0087043D">
        <w:t xml:space="preserve">The </w:t>
      </w:r>
      <w:proofErr w:type="spellStart"/>
      <w:r w:rsidR="00A86E8B" w:rsidRPr="0087043D">
        <w:t>equi</w:t>
      </w:r>
      <w:proofErr w:type="spellEnd"/>
      <w:r w:rsidR="00A86E8B" w:rsidRPr="0087043D">
        <w:t xml:space="preserve">-effective doses </w:t>
      </w:r>
      <w:r w:rsidR="00F61C18" w:rsidRPr="0087043D">
        <w:t>we</w:t>
      </w:r>
      <w:r w:rsidR="00A86E8B" w:rsidRPr="0087043D">
        <w:t xml:space="preserve">re </w:t>
      </w:r>
      <w:r w:rsidRPr="0087043D">
        <w:t xml:space="preserve">based on the doses and the </w:t>
      </w:r>
      <w:r w:rsidR="000E4AB1" w:rsidRPr="0087043D">
        <w:t>truncated</w:t>
      </w:r>
      <w:r w:rsidR="000E4AB1" w:rsidRPr="0087043D">
        <w:rPr>
          <w:i/>
        </w:rPr>
        <w:t xml:space="preserve"> </w:t>
      </w:r>
      <w:r w:rsidRPr="0087043D">
        <w:t xml:space="preserve">mean duration of treatment </w:t>
      </w:r>
      <w:r w:rsidR="000E4AB1" w:rsidRPr="0087043D">
        <w:t>used in</w:t>
      </w:r>
      <w:r w:rsidRPr="0087043D">
        <w:t xml:space="preserve"> the key clinical trials.</w:t>
      </w:r>
      <w:r w:rsidR="00766A5D" w:rsidRPr="0087043D">
        <w:t xml:space="preserve"> As appropriate data on the duration of treatment in KN407 were not available for the data cut-off used for the indirect comparison (May 2019), the submission used the duration of treatment from the April 2018 data cut-off (median duration of follow-up 7.8 months).</w:t>
      </w:r>
    </w:p>
    <w:p w:rsidR="00B52087" w:rsidRPr="0087043D" w:rsidRDefault="00B52087" w:rsidP="00B52087">
      <w:pPr>
        <w:pStyle w:val="TableFigureHeading"/>
      </w:pPr>
      <w:bookmarkStart w:id="34" w:name="_Ref49407585"/>
      <w:r w:rsidRPr="0087043D">
        <w:t xml:space="preserve">Table </w:t>
      </w:r>
      <w:r w:rsidR="00C71489" w:rsidRPr="0087043D">
        <w:t>11</w:t>
      </w:r>
      <w:bookmarkEnd w:id="34"/>
      <w:r w:rsidRPr="0087043D">
        <w:t xml:space="preserve">: </w:t>
      </w:r>
      <w:r w:rsidRPr="0087043D">
        <w:rPr>
          <w:rStyle w:val="CommentReference"/>
          <w:b/>
          <w:szCs w:val="24"/>
        </w:rPr>
        <w:t>Key components and assumptions of the cost-minimisation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757"/>
        <w:gridCol w:w="682"/>
        <w:gridCol w:w="2683"/>
        <w:gridCol w:w="681"/>
      </w:tblGrid>
      <w:tr w:rsidR="00BE53D0" w:rsidRPr="008A0138" w:rsidTr="008A0138">
        <w:tc>
          <w:tcPr>
            <w:tcW w:w="1228" w:type="pct"/>
            <w:tcBorders>
              <w:bottom w:val="dashed" w:sz="4" w:space="0" w:color="auto"/>
            </w:tcBorders>
            <w:vAlign w:val="center"/>
          </w:tcPr>
          <w:p w:rsidR="00BE53D0" w:rsidRPr="008A0138" w:rsidRDefault="00BE53D0" w:rsidP="00BE53D0">
            <w:pPr>
              <w:pStyle w:val="In-tableHeading"/>
              <w:rPr>
                <w:szCs w:val="20"/>
                <w:lang w:val="en-AU"/>
              </w:rPr>
            </w:pPr>
            <w:r w:rsidRPr="008A0138">
              <w:rPr>
                <w:szCs w:val="20"/>
                <w:lang w:val="en-AU"/>
              </w:rPr>
              <w:t>Component</w:t>
            </w:r>
          </w:p>
        </w:tc>
        <w:tc>
          <w:tcPr>
            <w:tcW w:w="3772" w:type="pct"/>
            <w:gridSpan w:val="4"/>
            <w:tcBorders>
              <w:bottom w:val="dashed" w:sz="4" w:space="0" w:color="auto"/>
            </w:tcBorders>
            <w:vAlign w:val="center"/>
          </w:tcPr>
          <w:p w:rsidR="00BE53D0" w:rsidRPr="008A0138" w:rsidRDefault="00BE53D0" w:rsidP="00BE53D0">
            <w:pPr>
              <w:pStyle w:val="In-tableHeading"/>
              <w:rPr>
                <w:szCs w:val="20"/>
                <w:lang w:val="en-AU"/>
              </w:rPr>
            </w:pPr>
            <w:r w:rsidRPr="008A0138">
              <w:rPr>
                <w:szCs w:val="20"/>
                <w:lang w:val="en-AU"/>
              </w:rPr>
              <w:t>Claim or assumption</w:t>
            </w:r>
          </w:p>
        </w:tc>
      </w:tr>
      <w:tr w:rsidR="00BE53D0" w:rsidRPr="008A0138" w:rsidTr="008A0138">
        <w:tc>
          <w:tcPr>
            <w:tcW w:w="1228" w:type="pct"/>
            <w:tcBorders>
              <w:bottom w:val="dashed" w:sz="4" w:space="0" w:color="auto"/>
            </w:tcBorders>
            <w:vAlign w:val="center"/>
          </w:tcPr>
          <w:p w:rsidR="00BE53D0" w:rsidRPr="008A0138" w:rsidRDefault="00BE53D0" w:rsidP="00BE53D0">
            <w:pPr>
              <w:pStyle w:val="TableText0"/>
              <w:rPr>
                <w:szCs w:val="20"/>
              </w:rPr>
            </w:pPr>
            <w:r w:rsidRPr="008A0138">
              <w:rPr>
                <w:szCs w:val="20"/>
              </w:rPr>
              <w:t>Therapeutic claim: effectiveness</w:t>
            </w:r>
          </w:p>
        </w:tc>
        <w:tc>
          <w:tcPr>
            <w:tcW w:w="3772" w:type="pct"/>
            <w:gridSpan w:val="4"/>
            <w:tcBorders>
              <w:bottom w:val="dashed" w:sz="4" w:space="0" w:color="auto"/>
            </w:tcBorders>
            <w:vAlign w:val="center"/>
          </w:tcPr>
          <w:p w:rsidR="00BE53D0" w:rsidRPr="008A0138" w:rsidRDefault="00BE53D0" w:rsidP="000C308B">
            <w:pPr>
              <w:pStyle w:val="TableText0"/>
              <w:rPr>
                <w:szCs w:val="20"/>
              </w:rPr>
            </w:pPr>
            <w:r w:rsidRPr="008A0138">
              <w:rPr>
                <w:szCs w:val="20"/>
              </w:rPr>
              <w:t>Based on evidence presented in Section 2, effectiveness is assumed to be non-inferior</w:t>
            </w:r>
            <w:r w:rsidR="000E4AB1" w:rsidRPr="008A0138">
              <w:rPr>
                <w:szCs w:val="20"/>
              </w:rPr>
              <w:t>. This claim was poorly supported by the clinical evidence presented in the submission.</w:t>
            </w:r>
          </w:p>
        </w:tc>
      </w:tr>
      <w:tr w:rsidR="00BE53D0" w:rsidRPr="008A0138" w:rsidTr="008A0138">
        <w:tc>
          <w:tcPr>
            <w:tcW w:w="1228" w:type="pct"/>
            <w:tcBorders>
              <w:bottom w:val="dashed" w:sz="4" w:space="0" w:color="auto"/>
            </w:tcBorders>
            <w:vAlign w:val="center"/>
          </w:tcPr>
          <w:p w:rsidR="00BE53D0" w:rsidRPr="008A0138" w:rsidRDefault="00BE53D0" w:rsidP="00BE53D0">
            <w:pPr>
              <w:pStyle w:val="TableText0"/>
              <w:rPr>
                <w:szCs w:val="20"/>
              </w:rPr>
            </w:pPr>
            <w:r w:rsidRPr="008A0138">
              <w:rPr>
                <w:szCs w:val="20"/>
              </w:rPr>
              <w:t>Therapeutic claim: safety</w:t>
            </w:r>
          </w:p>
        </w:tc>
        <w:tc>
          <w:tcPr>
            <w:tcW w:w="3772" w:type="pct"/>
            <w:gridSpan w:val="4"/>
            <w:tcBorders>
              <w:bottom w:val="dashed" w:sz="4" w:space="0" w:color="auto"/>
            </w:tcBorders>
            <w:vAlign w:val="center"/>
          </w:tcPr>
          <w:p w:rsidR="00BE53D0" w:rsidRPr="008A0138" w:rsidRDefault="00BE53D0" w:rsidP="00BE53D0">
            <w:pPr>
              <w:pStyle w:val="TableText0"/>
              <w:rPr>
                <w:szCs w:val="20"/>
              </w:rPr>
            </w:pPr>
            <w:r w:rsidRPr="008A0138">
              <w:rPr>
                <w:szCs w:val="20"/>
              </w:rPr>
              <w:t>Based on evidence presented in Section 2, safety is assumed to be non-inferior</w:t>
            </w:r>
            <w:r w:rsidR="000E4AB1" w:rsidRPr="008A0138">
              <w:rPr>
                <w:szCs w:val="20"/>
              </w:rPr>
              <w:t>.</w:t>
            </w:r>
          </w:p>
        </w:tc>
      </w:tr>
      <w:tr w:rsidR="00BE53D0" w:rsidRPr="008A0138" w:rsidTr="008A0138">
        <w:tc>
          <w:tcPr>
            <w:tcW w:w="1228" w:type="pct"/>
            <w:tcBorders>
              <w:bottom w:val="dashed" w:sz="4" w:space="0" w:color="auto"/>
            </w:tcBorders>
            <w:vAlign w:val="center"/>
          </w:tcPr>
          <w:p w:rsidR="00BE53D0" w:rsidRPr="008A0138" w:rsidRDefault="00BE53D0" w:rsidP="00BE53D0">
            <w:pPr>
              <w:pStyle w:val="TableText0"/>
              <w:rPr>
                <w:szCs w:val="20"/>
              </w:rPr>
            </w:pPr>
            <w:r w:rsidRPr="008A0138">
              <w:rPr>
                <w:szCs w:val="20"/>
              </w:rPr>
              <w:t>Evidence base</w:t>
            </w:r>
          </w:p>
        </w:tc>
        <w:tc>
          <w:tcPr>
            <w:tcW w:w="3772" w:type="pct"/>
            <w:gridSpan w:val="4"/>
            <w:tcBorders>
              <w:bottom w:val="dashed" w:sz="4" w:space="0" w:color="auto"/>
            </w:tcBorders>
            <w:vAlign w:val="center"/>
          </w:tcPr>
          <w:p w:rsidR="00BE53D0" w:rsidRPr="008A0138" w:rsidRDefault="00BE53D0" w:rsidP="00BE53D0">
            <w:pPr>
              <w:pStyle w:val="TableText0"/>
              <w:rPr>
                <w:szCs w:val="20"/>
              </w:rPr>
            </w:pPr>
            <w:r w:rsidRPr="008A0138">
              <w:rPr>
                <w:szCs w:val="20"/>
              </w:rPr>
              <w:t xml:space="preserve">Indirect comparison of </w:t>
            </w:r>
            <w:proofErr w:type="spellStart"/>
            <w:r w:rsidRPr="008A0138">
              <w:rPr>
                <w:szCs w:val="20"/>
              </w:rPr>
              <w:t>NIVO+IPI+platinum</w:t>
            </w:r>
            <w:proofErr w:type="spellEnd"/>
            <w:r w:rsidRPr="008A0138">
              <w:rPr>
                <w:szCs w:val="20"/>
              </w:rPr>
              <w:t xml:space="preserve"> and </w:t>
            </w:r>
            <w:proofErr w:type="spellStart"/>
            <w:r w:rsidRPr="008A0138">
              <w:rPr>
                <w:szCs w:val="20"/>
              </w:rPr>
              <w:t>pembrolizumab+platinum</w:t>
            </w:r>
            <w:proofErr w:type="spellEnd"/>
            <w:r w:rsidRPr="008A0138">
              <w:rPr>
                <w:szCs w:val="20"/>
              </w:rPr>
              <w:t>.</w:t>
            </w:r>
          </w:p>
        </w:tc>
      </w:tr>
      <w:tr w:rsidR="008E0AD6" w:rsidRPr="008A0138" w:rsidTr="008A0138">
        <w:tc>
          <w:tcPr>
            <w:tcW w:w="1228" w:type="pct"/>
            <w:tcBorders>
              <w:bottom w:val="dashed" w:sz="4" w:space="0" w:color="auto"/>
            </w:tcBorders>
            <w:vAlign w:val="center"/>
          </w:tcPr>
          <w:p w:rsidR="008E0AD6" w:rsidRPr="008A0138" w:rsidRDefault="008E0AD6" w:rsidP="008E0AD6">
            <w:pPr>
              <w:pStyle w:val="TableText0"/>
              <w:rPr>
                <w:szCs w:val="20"/>
                <w:vertAlign w:val="superscript"/>
              </w:rPr>
            </w:pPr>
            <w:proofErr w:type="spellStart"/>
            <w:r w:rsidRPr="008A0138">
              <w:rPr>
                <w:szCs w:val="20"/>
              </w:rPr>
              <w:t>Equi</w:t>
            </w:r>
            <w:proofErr w:type="spellEnd"/>
            <w:r w:rsidRPr="008A0138">
              <w:rPr>
                <w:szCs w:val="20"/>
              </w:rPr>
              <w:t xml:space="preserve">-effective doses </w:t>
            </w:r>
          </w:p>
        </w:tc>
        <w:tc>
          <w:tcPr>
            <w:tcW w:w="1529" w:type="pct"/>
            <w:tcBorders>
              <w:bottom w:val="dashed" w:sz="4" w:space="0" w:color="auto"/>
            </w:tcBorders>
            <w:vAlign w:val="center"/>
          </w:tcPr>
          <w:p w:rsidR="008E0AD6" w:rsidRPr="008A0138" w:rsidRDefault="008E0AD6" w:rsidP="008E0AD6">
            <w:pPr>
              <w:pStyle w:val="TableText0"/>
              <w:rPr>
                <w:szCs w:val="20"/>
              </w:rPr>
            </w:pPr>
            <w:r w:rsidRPr="008A0138">
              <w:rPr>
                <w:szCs w:val="20"/>
              </w:rPr>
              <w:t>Dose</w:t>
            </w:r>
          </w:p>
        </w:tc>
        <w:tc>
          <w:tcPr>
            <w:tcW w:w="378" w:type="pct"/>
            <w:tcBorders>
              <w:bottom w:val="dashed" w:sz="4" w:space="0" w:color="auto"/>
            </w:tcBorders>
          </w:tcPr>
          <w:p w:rsidR="008E0AD6" w:rsidRPr="008A0138" w:rsidRDefault="008E0AD6" w:rsidP="008E0AD6">
            <w:pPr>
              <w:pStyle w:val="TableText0"/>
              <w:rPr>
                <w:szCs w:val="20"/>
              </w:rPr>
            </w:pPr>
            <w:r w:rsidRPr="008A0138">
              <w:rPr>
                <w:szCs w:val="20"/>
              </w:rPr>
              <w:t>Doses</w:t>
            </w:r>
          </w:p>
        </w:tc>
        <w:tc>
          <w:tcPr>
            <w:tcW w:w="1488" w:type="pct"/>
            <w:tcBorders>
              <w:bottom w:val="dashed" w:sz="4" w:space="0" w:color="auto"/>
            </w:tcBorders>
            <w:vAlign w:val="center"/>
          </w:tcPr>
          <w:p w:rsidR="008E0AD6" w:rsidRPr="008A0138" w:rsidRDefault="008E0AD6" w:rsidP="008E0AD6">
            <w:pPr>
              <w:pStyle w:val="TableText0"/>
              <w:rPr>
                <w:szCs w:val="20"/>
              </w:rPr>
            </w:pPr>
            <w:r w:rsidRPr="008A0138">
              <w:rPr>
                <w:szCs w:val="20"/>
              </w:rPr>
              <w:t>Dose</w:t>
            </w:r>
          </w:p>
        </w:tc>
        <w:tc>
          <w:tcPr>
            <w:tcW w:w="378" w:type="pct"/>
            <w:tcBorders>
              <w:bottom w:val="dashed" w:sz="4" w:space="0" w:color="auto"/>
            </w:tcBorders>
          </w:tcPr>
          <w:p w:rsidR="008E0AD6" w:rsidRPr="008A0138" w:rsidRDefault="008E0AD6" w:rsidP="008E0AD6">
            <w:pPr>
              <w:pStyle w:val="TableText0"/>
              <w:rPr>
                <w:szCs w:val="20"/>
              </w:rPr>
            </w:pPr>
            <w:r w:rsidRPr="008A0138">
              <w:rPr>
                <w:szCs w:val="20"/>
              </w:rPr>
              <w:t>Doses</w:t>
            </w:r>
          </w:p>
        </w:tc>
      </w:tr>
      <w:tr w:rsidR="00E463DF" w:rsidRPr="008A0138" w:rsidTr="008A0138">
        <w:tc>
          <w:tcPr>
            <w:tcW w:w="1228" w:type="pct"/>
            <w:vMerge w:val="restart"/>
            <w:tcBorders>
              <w:top w:val="dashed" w:sz="4" w:space="0" w:color="auto"/>
            </w:tcBorders>
            <w:vAlign w:val="center"/>
          </w:tcPr>
          <w:p w:rsidR="00E463DF" w:rsidRPr="008A0138" w:rsidRDefault="00E463DF" w:rsidP="00E463DF">
            <w:pPr>
              <w:pStyle w:val="TableText0"/>
              <w:rPr>
                <w:szCs w:val="20"/>
                <w:vertAlign w:val="superscript"/>
              </w:rPr>
            </w:pPr>
            <w:r w:rsidRPr="008A0138">
              <w:rPr>
                <w:szCs w:val="20"/>
              </w:rPr>
              <w:t xml:space="preserve">Non-squamous </w:t>
            </w:r>
            <w:proofErr w:type="spellStart"/>
            <w:r w:rsidRPr="008A0138">
              <w:rPr>
                <w:szCs w:val="20"/>
              </w:rPr>
              <w:t>NSCLC</w:t>
            </w:r>
            <w:r w:rsidR="00F5772A" w:rsidRPr="008A0138">
              <w:rPr>
                <w:szCs w:val="20"/>
                <w:vertAlign w:val="superscript"/>
              </w:rPr>
              <w:t>a</w:t>
            </w:r>
            <w:proofErr w:type="spellEnd"/>
          </w:p>
        </w:tc>
        <w:tc>
          <w:tcPr>
            <w:tcW w:w="1529" w:type="pct"/>
            <w:vMerge w:val="restart"/>
            <w:tcBorders>
              <w:top w:val="dashed" w:sz="4" w:space="0" w:color="auto"/>
            </w:tcBorders>
            <w:vAlign w:val="center"/>
          </w:tcPr>
          <w:p w:rsidR="00E463DF" w:rsidRPr="008A0138" w:rsidRDefault="00E463DF" w:rsidP="00E463DF">
            <w:pPr>
              <w:pStyle w:val="TableText0"/>
              <w:rPr>
                <w:szCs w:val="20"/>
              </w:rPr>
            </w:pPr>
            <w:r w:rsidRPr="008A0138">
              <w:rPr>
                <w:szCs w:val="20"/>
              </w:rPr>
              <w:t>Nivolumab 3</w:t>
            </w:r>
            <w:r w:rsidR="00E74617" w:rsidRPr="008A0138">
              <w:rPr>
                <w:szCs w:val="20"/>
              </w:rPr>
              <w:t>6</w:t>
            </w:r>
            <w:r w:rsidRPr="008A0138">
              <w:rPr>
                <w:szCs w:val="20"/>
              </w:rPr>
              <w:t>0 mg Q3W</w:t>
            </w:r>
          </w:p>
          <w:p w:rsidR="001870E0" w:rsidRPr="008A0138" w:rsidRDefault="001870E0" w:rsidP="001870E0">
            <w:pPr>
              <w:pStyle w:val="TableText0"/>
              <w:rPr>
                <w:szCs w:val="20"/>
              </w:rPr>
            </w:pPr>
            <w:r w:rsidRPr="008A0138">
              <w:rPr>
                <w:szCs w:val="20"/>
              </w:rPr>
              <w:t>Ipilimumab 72.55 mg Q6W</w:t>
            </w:r>
          </w:p>
          <w:p w:rsidR="00E463DF" w:rsidRPr="008A0138" w:rsidRDefault="00E463DF" w:rsidP="00E463DF">
            <w:pPr>
              <w:pStyle w:val="TableText0"/>
              <w:rPr>
                <w:szCs w:val="20"/>
              </w:rPr>
            </w:pPr>
            <w:proofErr w:type="spellStart"/>
            <w:r w:rsidRPr="008A0138">
              <w:rPr>
                <w:szCs w:val="20"/>
              </w:rPr>
              <w:t>Pemetrexed</w:t>
            </w:r>
            <w:proofErr w:type="spellEnd"/>
            <w:r w:rsidRPr="008A0138">
              <w:rPr>
                <w:szCs w:val="20"/>
              </w:rPr>
              <w:t xml:space="preserve"> 905 mg Q3W</w:t>
            </w:r>
          </w:p>
          <w:p w:rsidR="00E463DF" w:rsidRPr="008A0138" w:rsidRDefault="00E463DF" w:rsidP="00E463DF">
            <w:pPr>
              <w:pStyle w:val="TableText0"/>
              <w:rPr>
                <w:szCs w:val="20"/>
              </w:rPr>
            </w:pPr>
            <w:r w:rsidRPr="008A0138">
              <w:rPr>
                <w:szCs w:val="20"/>
              </w:rPr>
              <w:t>Carboplatin 600 mg Q3W, or</w:t>
            </w:r>
          </w:p>
          <w:p w:rsidR="00E463DF" w:rsidRPr="008A0138" w:rsidRDefault="00E463DF" w:rsidP="00E463DF">
            <w:pPr>
              <w:pStyle w:val="TableText0"/>
              <w:rPr>
                <w:szCs w:val="20"/>
                <w:vertAlign w:val="superscript"/>
              </w:rPr>
            </w:pPr>
            <w:r w:rsidRPr="008A0138">
              <w:rPr>
                <w:szCs w:val="20"/>
              </w:rPr>
              <w:t>cisplatin 136 mg Q3W</w:t>
            </w:r>
            <w:r w:rsidR="00F5772A" w:rsidRPr="008A0138">
              <w:rPr>
                <w:szCs w:val="20"/>
                <w:vertAlign w:val="superscript"/>
              </w:rPr>
              <w:t>b</w:t>
            </w:r>
          </w:p>
        </w:tc>
        <w:tc>
          <w:tcPr>
            <w:tcW w:w="378" w:type="pct"/>
            <w:vMerge w:val="restart"/>
            <w:tcBorders>
              <w:top w:val="dashed" w:sz="4" w:space="0" w:color="auto"/>
            </w:tcBorders>
            <w:vAlign w:val="center"/>
          </w:tcPr>
          <w:p w:rsidR="00E463DF" w:rsidRPr="008A0138" w:rsidRDefault="00E463DF" w:rsidP="00E463DF">
            <w:pPr>
              <w:pStyle w:val="TableText0"/>
              <w:jc w:val="center"/>
              <w:rPr>
                <w:szCs w:val="20"/>
              </w:rPr>
            </w:pPr>
            <w:r w:rsidRPr="008A0138">
              <w:rPr>
                <w:szCs w:val="20"/>
              </w:rPr>
              <w:t>11.7</w:t>
            </w:r>
          </w:p>
          <w:p w:rsidR="00E463DF" w:rsidRPr="008A0138" w:rsidRDefault="00E463DF" w:rsidP="00E463DF">
            <w:pPr>
              <w:pStyle w:val="TableText0"/>
              <w:jc w:val="center"/>
              <w:rPr>
                <w:szCs w:val="20"/>
              </w:rPr>
            </w:pPr>
            <w:r w:rsidRPr="008A0138">
              <w:rPr>
                <w:szCs w:val="20"/>
              </w:rPr>
              <w:t>6.0</w:t>
            </w:r>
          </w:p>
          <w:p w:rsidR="00E463DF" w:rsidRPr="008A0138" w:rsidRDefault="00E463DF" w:rsidP="00E463DF">
            <w:pPr>
              <w:pStyle w:val="TableText0"/>
              <w:jc w:val="center"/>
              <w:rPr>
                <w:szCs w:val="20"/>
              </w:rPr>
            </w:pPr>
            <w:r w:rsidRPr="008A0138">
              <w:rPr>
                <w:szCs w:val="20"/>
              </w:rPr>
              <w:t>1.9</w:t>
            </w:r>
          </w:p>
          <w:p w:rsidR="00E463DF" w:rsidRPr="008A0138" w:rsidRDefault="00E463DF" w:rsidP="00E463DF">
            <w:pPr>
              <w:pStyle w:val="TableText0"/>
              <w:jc w:val="center"/>
              <w:rPr>
                <w:szCs w:val="20"/>
              </w:rPr>
            </w:pPr>
            <w:r w:rsidRPr="008A0138">
              <w:rPr>
                <w:szCs w:val="20"/>
              </w:rPr>
              <w:t>1.9</w:t>
            </w:r>
          </w:p>
          <w:p w:rsidR="00E463DF" w:rsidRPr="008A0138" w:rsidRDefault="00E463DF" w:rsidP="00E463DF">
            <w:pPr>
              <w:pStyle w:val="TableText0"/>
              <w:jc w:val="center"/>
              <w:rPr>
                <w:szCs w:val="20"/>
              </w:rPr>
            </w:pPr>
            <w:r w:rsidRPr="008A0138">
              <w:rPr>
                <w:szCs w:val="20"/>
              </w:rPr>
              <w:t>1.9</w:t>
            </w:r>
          </w:p>
        </w:tc>
        <w:tc>
          <w:tcPr>
            <w:tcW w:w="1488" w:type="pct"/>
            <w:tcBorders>
              <w:top w:val="dashed" w:sz="4" w:space="0" w:color="auto"/>
              <w:bottom w:val="nil"/>
            </w:tcBorders>
            <w:vAlign w:val="center"/>
          </w:tcPr>
          <w:p w:rsidR="00E463DF" w:rsidRPr="008A0138" w:rsidRDefault="00E463DF" w:rsidP="00E463DF">
            <w:pPr>
              <w:pStyle w:val="TableText0"/>
              <w:rPr>
                <w:szCs w:val="20"/>
                <w:vertAlign w:val="superscript"/>
              </w:rPr>
            </w:pPr>
            <w:proofErr w:type="spellStart"/>
            <w:r w:rsidRPr="008A0138">
              <w:rPr>
                <w:szCs w:val="20"/>
              </w:rPr>
              <w:t>P</w:t>
            </w:r>
            <w:r w:rsidR="004C3A17" w:rsidRPr="008A0138">
              <w:rPr>
                <w:szCs w:val="20"/>
              </w:rPr>
              <w:t>embro</w:t>
            </w:r>
            <w:proofErr w:type="spellEnd"/>
            <w:r w:rsidR="004C3A17" w:rsidRPr="008A0138">
              <w:rPr>
                <w:szCs w:val="20"/>
              </w:rPr>
              <w:t>/</w:t>
            </w:r>
            <w:proofErr w:type="spellStart"/>
            <w:r w:rsidR="004C3A17" w:rsidRPr="008A0138">
              <w:rPr>
                <w:szCs w:val="20"/>
              </w:rPr>
              <w:t>pemetrexed</w:t>
            </w:r>
            <w:proofErr w:type="spellEnd"/>
            <w:r w:rsidR="004C3A17" w:rsidRPr="008A0138">
              <w:rPr>
                <w:szCs w:val="20"/>
              </w:rPr>
              <w:t>/</w:t>
            </w:r>
            <w:proofErr w:type="spellStart"/>
            <w:r w:rsidR="004C3A17" w:rsidRPr="008A0138">
              <w:rPr>
                <w:szCs w:val="20"/>
              </w:rPr>
              <w:t>carboplatin</w:t>
            </w:r>
            <w:r w:rsidR="00F5772A" w:rsidRPr="008A0138">
              <w:rPr>
                <w:szCs w:val="20"/>
                <w:vertAlign w:val="superscript"/>
              </w:rPr>
              <w:t>c</w:t>
            </w:r>
            <w:proofErr w:type="spellEnd"/>
          </w:p>
          <w:p w:rsidR="00E463DF" w:rsidRPr="008A0138" w:rsidRDefault="00E463DF" w:rsidP="00E463DF">
            <w:pPr>
              <w:pStyle w:val="TableText0"/>
              <w:rPr>
                <w:szCs w:val="20"/>
              </w:rPr>
            </w:pPr>
            <w:proofErr w:type="spellStart"/>
            <w:r w:rsidRPr="008A0138">
              <w:rPr>
                <w:szCs w:val="20"/>
              </w:rPr>
              <w:t>Pembrolizumab</w:t>
            </w:r>
            <w:proofErr w:type="spellEnd"/>
            <w:r w:rsidRPr="008A0138">
              <w:rPr>
                <w:szCs w:val="20"/>
              </w:rPr>
              <w:t xml:space="preserve"> 200 mg Q3W</w:t>
            </w:r>
          </w:p>
          <w:p w:rsidR="00E463DF" w:rsidRPr="008A0138" w:rsidRDefault="00E463DF" w:rsidP="00E463DF">
            <w:pPr>
              <w:pStyle w:val="TableText0"/>
              <w:rPr>
                <w:szCs w:val="20"/>
              </w:rPr>
            </w:pPr>
            <w:proofErr w:type="spellStart"/>
            <w:r w:rsidRPr="008A0138">
              <w:rPr>
                <w:szCs w:val="20"/>
              </w:rPr>
              <w:t>pemetrexed</w:t>
            </w:r>
            <w:proofErr w:type="spellEnd"/>
            <w:r w:rsidRPr="008A0138">
              <w:rPr>
                <w:szCs w:val="20"/>
              </w:rPr>
              <w:t xml:space="preserve"> 905 mg Q3W</w:t>
            </w:r>
          </w:p>
          <w:p w:rsidR="00E463DF" w:rsidRPr="008A0138" w:rsidRDefault="00E463DF" w:rsidP="00E463DF">
            <w:pPr>
              <w:pStyle w:val="TableText0"/>
              <w:rPr>
                <w:szCs w:val="20"/>
              </w:rPr>
            </w:pPr>
            <w:r w:rsidRPr="008A0138">
              <w:rPr>
                <w:szCs w:val="20"/>
              </w:rPr>
              <w:t>Carboplatin 600 mg Q3W</w:t>
            </w:r>
          </w:p>
          <w:p w:rsidR="00E463DF" w:rsidRPr="008A0138" w:rsidRDefault="00E463DF" w:rsidP="00E463DF">
            <w:pPr>
              <w:pStyle w:val="TableText0"/>
              <w:rPr>
                <w:szCs w:val="20"/>
              </w:rPr>
            </w:pPr>
            <w:r w:rsidRPr="008A0138">
              <w:rPr>
                <w:szCs w:val="20"/>
              </w:rPr>
              <w:t>OR</w:t>
            </w:r>
          </w:p>
        </w:tc>
        <w:tc>
          <w:tcPr>
            <w:tcW w:w="378" w:type="pct"/>
            <w:tcBorders>
              <w:top w:val="dashed" w:sz="4" w:space="0" w:color="auto"/>
              <w:bottom w:val="nil"/>
            </w:tcBorders>
            <w:vAlign w:val="center"/>
          </w:tcPr>
          <w:p w:rsidR="00E463DF" w:rsidRPr="008A0138" w:rsidRDefault="00E463DF" w:rsidP="00E463DF">
            <w:pPr>
              <w:pStyle w:val="TableText0"/>
              <w:jc w:val="center"/>
              <w:rPr>
                <w:szCs w:val="20"/>
              </w:rPr>
            </w:pPr>
          </w:p>
          <w:p w:rsidR="00E463DF" w:rsidRPr="008A0138" w:rsidRDefault="00E463DF" w:rsidP="00E463DF">
            <w:pPr>
              <w:pStyle w:val="TableText0"/>
              <w:jc w:val="center"/>
              <w:rPr>
                <w:szCs w:val="20"/>
              </w:rPr>
            </w:pPr>
            <w:r w:rsidRPr="008A0138">
              <w:rPr>
                <w:szCs w:val="20"/>
              </w:rPr>
              <w:t>13.4</w:t>
            </w:r>
          </w:p>
          <w:p w:rsidR="00E463DF" w:rsidRPr="008A0138" w:rsidRDefault="00E463DF" w:rsidP="00E463DF">
            <w:pPr>
              <w:pStyle w:val="TableText0"/>
              <w:jc w:val="center"/>
              <w:rPr>
                <w:szCs w:val="20"/>
              </w:rPr>
            </w:pPr>
            <w:r w:rsidRPr="008A0138">
              <w:rPr>
                <w:szCs w:val="20"/>
              </w:rPr>
              <w:t>11.2</w:t>
            </w:r>
          </w:p>
          <w:p w:rsidR="00E463DF" w:rsidRPr="008A0138" w:rsidRDefault="00E463DF" w:rsidP="00E463DF">
            <w:pPr>
              <w:pStyle w:val="TableText0"/>
              <w:jc w:val="center"/>
              <w:rPr>
                <w:szCs w:val="20"/>
              </w:rPr>
            </w:pPr>
            <w:r w:rsidRPr="008A0138">
              <w:rPr>
                <w:szCs w:val="20"/>
              </w:rPr>
              <w:t>3.6</w:t>
            </w:r>
          </w:p>
        </w:tc>
      </w:tr>
      <w:tr w:rsidR="00E463DF" w:rsidRPr="008A0138" w:rsidTr="008A0138">
        <w:tc>
          <w:tcPr>
            <w:tcW w:w="1228" w:type="pct"/>
            <w:vMerge/>
            <w:tcBorders>
              <w:bottom w:val="dashed" w:sz="4" w:space="0" w:color="auto"/>
            </w:tcBorders>
            <w:vAlign w:val="center"/>
          </w:tcPr>
          <w:p w:rsidR="00E463DF" w:rsidRPr="008A0138" w:rsidRDefault="00E463DF" w:rsidP="00E463DF">
            <w:pPr>
              <w:pStyle w:val="TableText0"/>
              <w:jc w:val="center"/>
              <w:rPr>
                <w:szCs w:val="20"/>
              </w:rPr>
            </w:pPr>
          </w:p>
        </w:tc>
        <w:tc>
          <w:tcPr>
            <w:tcW w:w="1529" w:type="pct"/>
            <w:vMerge/>
            <w:tcBorders>
              <w:bottom w:val="dashed" w:sz="4" w:space="0" w:color="auto"/>
            </w:tcBorders>
            <w:vAlign w:val="center"/>
          </w:tcPr>
          <w:p w:rsidR="00E463DF" w:rsidRPr="008A0138" w:rsidRDefault="00E463DF" w:rsidP="00E463DF">
            <w:pPr>
              <w:pStyle w:val="TableText0"/>
              <w:jc w:val="center"/>
              <w:rPr>
                <w:szCs w:val="20"/>
              </w:rPr>
            </w:pPr>
          </w:p>
        </w:tc>
        <w:tc>
          <w:tcPr>
            <w:tcW w:w="378" w:type="pct"/>
            <w:vMerge/>
            <w:tcBorders>
              <w:bottom w:val="dashed" w:sz="4" w:space="0" w:color="auto"/>
            </w:tcBorders>
            <w:vAlign w:val="center"/>
          </w:tcPr>
          <w:p w:rsidR="00E463DF" w:rsidRPr="008A0138" w:rsidRDefault="00E463DF" w:rsidP="00E463DF">
            <w:pPr>
              <w:pStyle w:val="TableText0"/>
              <w:jc w:val="center"/>
              <w:rPr>
                <w:szCs w:val="20"/>
              </w:rPr>
            </w:pPr>
          </w:p>
        </w:tc>
        <w:tc>
          <w:tcPr>
            <w:tcW w:w="1488" w:type="pct"/>
            <w:tcBorders>
              <w:top w:val="nil"/>
              <w:bottom w:val="dashed" w:sz="4" w:space="0" w:color="auto"/>
            </w:tcBorders>
            <w:vAlign w:val="center"/>
          </w:tcPr>
          <w:p w:rsidR="00E463DF" w:rsidRPr="008A0138" w:rsidRDefault="00E463DF" w:rsidP="00E463DF">
            <w:pPr>
              <w:pStyle w:val="TableText0"/>
              <w:rPr>
                <w:szCs w:val="20"/>
                <w:vertAlign w:val="superscript"/>
              </w:rPr>
            </w:pPr>
            <w:proofErr w:type="spellStart"/>
            <w:r w:rsidRPr="008A0138">
              <w:rPr>
                <w:szCs w:val="20"/>
              </w:rPr>
              <w:t>Pembro</w:t>
            </w:r>
            <w:proofErr w:type="spellEnd"/>
            <w:r w:rsidRPr="008A0138">
              <w:rPr>
                <w:szCs w:val="20"/>
              </w:rPr>
              <w:t>/</w:t>
            </w:r>
            <w:proofErr w:type="spellStart"/>
            <w:r w:rsidRPr="008A0138">
              <w:rPr>
                <w:szCs w:val="20"/>
              </w:rPr>
              <w:t>pemetrexed</w:t>
            </w:r>
            <w:proofErr w:type="spellEnd"/>
            <w:r w:rsidRPr="008A0138">
              <w:rPr>
                <w:szCs w:val="20"/>
              </w:rPr>
              <w:t>/</w:t>
            </w:r>
            <w:proofErr w:type="spellStart"/>
            <w:r w:rsidRPr="008A0138">
              <w:rPr>
                <w:szCs w:val="20"/>
              </w:rPr>
              <w:t>cisplatin</w:t>
            </w:r>
            <w:r w:rsidR="00F5772A" w:rsidRPr="008A0138">
              <w:rPr>
                <w:szCs w:val="20"/>
                <w:vertAlign w:val="superscript"/>
              </w:rPr>
              <w:t>c</w:t>
            </w:r>
            <w:proofErr w:type="spellEnd"/>
          </w:p>
          <w:p w:rsidR="00E463DF" w:rsidRPr="008A0138" w:rsidRDefault="00E463DF" w:rsidP="00E463DF">
            <w:pPr>
              <w:pStyle w:val="TableText0"/>
              <w:rPr>
                <w:szCs w:val="20"/>
              </w:rPr>
            </w:pPr>
            <w:proofErr w:type="spellStart"/>
            <w:r w:rsidRPr="008A0138">
              <w:rPr>
                <w:szCs w:val="20"/>
              </w:rPr>
              <w:t>Pembrolizumab</w:t>
            </w:r>
            <w:proofErr w:type="spellEnd"/>
            <w:r w:rsidRPr="008A0138">
              <w:rPr>
                <w:szCs w:val="20"/>
              </w:rPr>
              <w:t xml:space="preserve"> 200 mg Q3W</w:t>
            </w:r>
          </w:p>
          <w:p w:rsidR="00E463DF" w:rsidRPr="008A0138" w:rsidRDefault="00E463DF" w:rsidP="00E463DF">
            <w:pPr>
              <w:pStyle w:val="TableText0"/>
              <w:rPr>
                <w:szCs w:val="20"/>
              </w:rPr>
            </w:pPr>
            <w:proofErr w:type="spellStart"/>
            <w:r w:rsidRPr="008A0138">
              <w:rPr>
                <w:szCs w:val="20"/>
              </w:rPr>
              <w:t>pemetrexed</w:t>
            </w:r>
            <w:proofErr w:type="spellEnd"/>
            <w:r w:rsidRPr="008A0138">
              <w:rPr>
                <w:szCs w:val="20"/>
              </w:rPr>
              <w:t xml:space="preserve"> 905 mg Q3W</w:t>
            </w:r>
          </w:p>
          <w:p w:rsidR="00E463DF" w:rsidRPr="008A0138" w:rsidRDefault="00E463DF" w:rsidP="00E463DF">
            <w:pPr>
              <w:pStyle w:val="TableText0"/>
              <w:rPr>
                <w:szCs w:val="20"/>
              </w:rPr>
            </w:pPr>
            <w:r w:rsidRPr="008A0138">
              <w:rPr>
                <w:szCs w:val="20"/>
              </w:rPr>
              <w:t>Cisplatin 136 mg Q3W</w:t>
            </w:r>
          </w:p>
        </w:tc>
        <w:tc>
          <w:tcPr>
            <w:tcW w:w="378" w:type="pct"/>
            <w:tcBorders>
              <w:top w:val="nil"/>
              <w:bottom w:val="dashed" w:sz="4" w:space="0" w:color="auto"/>
            </w:tcBorders>
            <w:vAlign w:val="center"/>
          </w:tcPr>
          <w:p w:rsidR="00E463DF" w:rsidRPr="008A0138" w:rsidRDefault="00E463DF" w:rsidP="00E463DF">
            <w:pPr>
              <w:pStyle w:val="TableText0"/>
              <w:jc w:val="center"/>
              <w:rPr>
                <w:szCs w:val="20"/>
              </w:rPr>
            </w:pPr>
          </w:p>
          <w:p w:rsidR="00E463DF" w:rsidRPr="008A0138" w:rsidRDefault="00E463DF" w:rsidP="00E463DF">
            <w:pPr>
              <w:pStyle w:val="TableText0"/>
              <w:jc w:val="center"/>
              <w:rPr>
                <w:szCs w:val="20"/>
              </w:rPr>
            </w:pPr>
            <w:r w:rsidRPr="008A0138">
              <w:rPr>
                <w:szCs w:val="20"/>
              </w:rPr>
              <w:t>14.4</w:t>
            </w:r>
          </w:p>
          <w:p w:rsidR="00E463DF" w:rsidRPr="008A0138" w:rsidRDefault="00E463DF" w:rsidP="00E463DF">
            <w:pPr>
              <w:pStyle w:val="TableText0"/>
              <w:jc w:val="center"/>
              <w:rPr>
                <w:szCs w:val="20"/>
              </w:rPr>
            </w:pPr>
            <w:r w:rsidRPr="008A0138">
              <w:rPr>
                <w:szCs w:val="20"/>
              </w:rPr>
              <w:t>13.0</w:t>
            </w:r>
          </w:p>
          <w:p w:rsidR="00E463DF" w:rsidRPr="008A0138" w:rsidRDefault="00E463DF" w:rsidP="00E463DF">
            <w:pPr>
              <w:pStyle w:val="TableText0"/>
              <w:jc w:val="center"/>
              <w:rPr>
                <w:szCs w:val="20"/>
              </w:rPr>
            </w:pPr>
            <w:r w:rsidRPr="008A0138">
              <w:rPr>
                <w:szCs w:val="20"/>
              </w:rPr>
              <w:t>3.6</w:t>
            </w:r>
          </w:p>
        </w:tc>
      </w:tr>
      <w:tr w:rsidR="00DE349C" w:rsidRPr="008A0138" w:rsidTr="008A0138">
        <w:tc>
          <w:tcPr>
            <w:tcW w:w="1228" w:type="pct"/>
            <w:tcBorders>
              <w:top w:val="dashed" w:sz="4" w:space="0" w:color="auto"/>
              <w:bottom w:val="single" w:sz="4" w:space="0" w:color="auto"/>
            </w:tcBorders>
            <w:vAlign w:val="center"/>
          </w:tcPr>
          <w:p w:rsidR="008E0AD6" w:rsidRPr="008A0138" w:rsidRDefault="008E0AD6" w:rsidP="00E463DF">
            <w:pPr>
              <w:pStyle w:val="TableText0"/>
              <w:rPr>
                <w:szCs w:val="20"/>
                <w:vertAlign w:val="superscript"/>
              </w:rPr>
            </w:pPr>
            <w:r w:rsidRPr="008A0138">
              <w:rPr>
                <w:szCs w:val="20"/>
              </w:rPr>
              <w:t xml:space="preserve">Squamous </w:t>
            </w:r>
            <w:proofErr w:type="spellStart"/>
            <w:r w:rsidRPr="008A0138">
              <w:rPr>
                <w:szCs w:val="20"/>
              </w:rPr>
              <w:t>NSCLC</w:t>
            </w:r>
            <w:r w:rsidR="00F5772A" w:rsidRPr="008A0138">
              <w:rPr>
                <w:szCs w:val="20"/>
                <w:vertAlign w:val="superscript"/>
              </w:rPr>
              <w:t>a</w:t>
            </w:r>
            <w:proofErr w:type="spellEnd"/>
          </w:p>
        </w:tc>
        <w:tc>
          <w:tcPr>
            <w:tcW w:w="1529" w:type="pct"/>
            <w:tcBorders>
              <w:top w:val="dashed" w:sz="4" w:space="0" w:color="auto"/>
              <w:bottom w:val="single" w:sz="4" w:space="0" w:color="auto"/>
            </w:tcBorders>
            <w:vAlign w:val="center"/>
          </w:tcPr>
          <w:p w:rsidR="008E0AD6" w:rsidRPr="008A0138" w:rsidRDefault="008E0AD6" w:rsidP="00E463DF">
            <w:pPr>
              <w:pStyle w:val="TableText0"/>
              <w:rPr>
                <w:szCs w:val="20"/>
              </w:rPr>
            </w:pPr>
            <w:r w:rsidRPr="008A0138">
              <w:rPr>
                <w:szCs w:val="20"/>
              </w:rPr>
              <w:t>Nivolumab 3</w:t>
            </w:r>
            <w:r w:rsidR="00E74617" w:rsidRPr="008A0138">
              <w:rPr>
                <w:szCs w:val="20"/>
              </w:rPr>
              <w:t>6</w:t>
            </w:r>
            <w:r w:rsidRPr="008A0138">
              <w:rPr>
                <w:szCs w:val="20"/>
              </w:rPr>
              <w:t xml:space="preserve">0 mg Q3W </w:t>
            </w:r>
          </w:p>
          <w:p w:rsidR="008E0AD6" w:rsidRPr="008A0138" w:rsidRDefault="008E0AD6" w:rsidP="00E463DF">
            <w:pPr>
              <w:pStyle w:val="TableText0"/>
              <w:rPr>
                <w:szCs w:val="20"/>
              </w:rPr>
            </w:pPr>
            <w:r w:rsidRPr="008A0138">
              <w:rPr>
                <w:szCs w:val="20"/>
              </w:rPr>
              <w:t>Ipilimumab 72.55 mg Q6W</w:t>
            </w:r>
          </w:p>
          <w:p w:rsidR="008E0AD6" w:rsidRPr="008A0138" w:rsidRDefault="00C007B1" w:rsidP="00E463DF">
            <w:pPr>
              <w:pStyle w:val="TableText0"/>
              <w:rPr>
                <w:szCs w:val="20"/>
              </w:rPr>
            </w:pPr>
            <w:r w:rsidRPr="008A0138">
              <w:rPr>
                <w:szCs w:val="20"/>
              </w:rPr>
              <w:t xml:space="preserve">Paclitaxel 374 mg Q3W </w:t>
            </w:r>
            <w:r w:rsidR="008E0AD6" w:rsidRPr="008A0138">
              <w:rPr>
                <w:szCs w:val="20"/>
              </w:rPr>
              <w:t>Carboplatin 600 mg Q3W</w:t>
            </w:r>
          </w:p>
        </w:tc>
        <w:tc>
          <w:tcPr>
            <w:tcW w:w="378" w:type="pct"/>
            <w:tcBorders>
              <w:top w:val="dashed" w:sz="4" w:space="0" w:color="auto"/>
              <w:bottom w:val="single" w:sz="4" w:space="0" w:color="auto"/>
            </w:tcBorders>
            <w:vAlign w:val="center"/>
          </w:tcPr>
          <w:p w:rsidR="008E0AD6" w:rsidRPr="008A0138" w:rsidRDefault="008E0AD6" w:rsidP="00E463DF">
            <w:pPr>
              <w:pStyle w:val="TableText0"/>
              <w:jc w:val="center"/>
              <w:rPr>
                <w:szCs w:val="20"/>
              </w:rPr>
            </w:pPr>
            <w:r w:rsidRPr="008A0138">
              <w:rPr>
                <w:szCs w:val="20"/>
              </w:rPr>
              <w:t>11.7</w:t>
            </w:r>
          </w:p>
          <w:p w:rsidR="008E0AD6" w:rsidRPr="008A0138" w:rsidRDefault="008E0AD6" w:rsidP="00E463DF">
            <w:pPr>
              <w:pStyle w:val="TableText0"/>
              <w:jc w:val="center"/>
              <w:rPr>
                <w:szCs w:val="20"/>
              </w:rPr>
            </w:pPr>
            <w:r w:rsidRPr="008A0138">
              <w:rPr>
                <w:szCs w:val="20"/>
              </w:rPr>
              <w:t>6.0</w:t>
            </w:r>
          </w:p>
          <w:p w:rsidR="008E0AD6" w:rsidRPr="008A0138" w:rsidRDefault="008E0AD6" w:rsidP="00E463DF">
            <w:pPr>
              <w:pStyle w:val="TableText0"/>
              <w:jc w:val="center"/>
              <w:rPr>
                <w:szCs w:val="20"/>
              </w:rPr>
            </w:pPr>
            <w:r w:rsidRPr="008A0138">
              <w:rPr>
                <w:szCs w:val="20"/>
              </w:rPr>
              <w:t>1.9</w:t>
            </w:r>
          </w:p>
          <w:p w:rsidR="00E463DF" w:rsidRPr="008A0138" w:rsidRDefault="008E0AD6" w:rsidP="00C007B1">
            <w:pPr>
              <w:pStyle w:val="TableText0"/>
              <w:jc w:val="center"/>
              <w:rPr>
                <w:szCs w:val="20"/>
              </w:rPr>
            </w:pPr>
            <w:r w:rsidRPr="008A0138">
              <w:rPr>
                <w:szCs w:val="20"/>
              </w:rPr>
              <w:t>1.9</w:t>
            </w:r>
          </w:p>
        </w:tc>
        <w:tc>
          <w:tcPr>
            <w:tcW w:w="1488" w:type="pct"/>
            <w:tcBorders>
              <w:top w:val="dashed" w:sz="4" w:space="0" w:color="auto"/>
              <w:bottom w:val="single" w:sz="4" w:space="0" w:color="auto"/>
            </w:tcBorders>
            <w:vAlign w:val="center"/>
          </w:tcPr>
          <w:p w:rsidR="008E0AD6" w:rsidRPr="008A0138" w:rsidRDefault="008E0AD6" w:rsidP="00E463DF">
            <w:pPr>
              <w:pStyle w:val="TableText0"/>
              <w:rPr>
                <w:szCs w:val="20"/>
              </w:rPr>
            </w:pPr>
            <w:proofErr w:type="spellStart"/>
            <w:r w:rsidRPr="008A0138">
              <w:rPr>
                <w:szCs w:val="20"/>
              </w:rPr>
              <w:t>Pembrolizumab</w:t>
            </w:r>
            <w:proofErr w:type="spellEnd"/>
            <w:r w:rsidRPr="008A0138">
              <w:rPr>
                <w:szCs w:val="20"/>
              </w:rPr>
              <w:t xml:space="preserve"> </w:t>
            </w:r>
            <w:r w:rsidR="00C007B1" w:rsidRPr="008A0138">
              <w:rPr>
                <w:szCs w:val="20"/>
              </w:rPr>
              <w:t xml:space="preserve">200 mg Q3W </w:t>
            </w:r>
            <w:r w:rsidRPr="008A0138">
              <w:rPr>
                <w:szCs w:val="20"/>
              </w:rPr>
              <w:t xml:space="preserve">Paclitaxel </w:t>
            </w:r>
            <w:r w:rsidR="00C007B1" w:rsidRPr="008A0138">
              <w:rPr>
                <w:szCs w:val="20"/>
              </w:rPr>
              <w:t>374 mg Q3W</w:t>
            </w:r>
            <w:r w:rsidRPr="008A0138">
              <w:rPr>
                <w:szCs w:val="20"/>
              </w:rPr>
              <w:t xml:space="preserve"> </w:t>
            </w:r>
          </w:p>
          <w:p w:rsidR="008E0AD6" w:rsidRPr="008A0138" w:rsidRDefault="008E0AD6" w:rsidP="00E463DF">
            <w:pPr>
              <w:pStyle w:val="TableText0"/>
              <w:rPr>
                <w:szCs w:val="20"/>
              </w:rPr>
            </w:pPr>
            <w:r w:rsidRPr="008A0138">
              <w:rPr>
                <w:szCs w:val="20"/>
              </w:rPr>
              <w:t xml:space="preserve">Carboplatin </w:t>
            </w:r>
            <w:r w:rsidR="00C007B1" w:rsidRPr="008A0138">
              <w:rPr>
                <w:szCs w:val="20"/>
              </w:rPr>
              <w:t>600 mg Q3W</w:t>
            </w:r>
          </w:p>
        </w:tc>
        <w:tc>
          <w:tcPr>
            <w:tcW w:w="378" w:type="pct"/>
            <w:tcBorders>
              <w:top w:val="dashed" w:sz="4" w:space="0" w:color="auto"/>
              <w:bottom w:val="single" w:sz="4" w:space="0" w:color="auto"/>
            </w:tcBorders>
            <w:vAlign w:val="center"/>
          </w:tcPr>
          <w:p w:rsidR="008E0AD6" w:rsidRPr="008A0138" w:rsidRDefault="008E0AD6" w:rsidP="00E463DF">
            <w:pPr>
              <w:pStyle w:val="TableText0"/>
              <w:jc w:val="center"/>
              <w:rPr>
                <w:szCs w:val="20"/>
              </w:rPr>
            </w:pPr>
            <w:r w:rsidRPr="008A0138">
              <w:rPr>
                <w:szCs w:val="20"/>
              </w:rPr>
              <w:t>9.6</w:t>
            </w:r>
          </w:p>
          <w:p w:rsidR="008E0AD6" w:rsidRPr="008A0138" w:rsidRDefault="008E0AD6" w:rsidP="00E463DF">
            <w:pPr>
              <w:pStyle w:val="TableText0"/>
              <w:jc w:val="center"/>
              <w:rPr>
                <w:szCs w:val="20"/>
              </w:rPr>
            </w:pPr>
            <w:r w:rsidRPr="008A0138">
              <w:rPr>
                <w:szCs w:val="20"/>
              </w:rPr>
              <w:t>3.6</w:t>
            </w:r>
          </w:p>
          <w:p w:rsidR="008E0AD6" w:rsidRPr="008A0138" w:rsidRDefault="008E0AD6" w:rsidP="00E463DF">
            <w:pPr>
              <w:pStyle w:val="TableText0"/>
              <w:jc w:val="center"/>
              <w:rPr>
                <w:szCs w:val="20"/>
              </w:rPr>
            </w:pPr>
            <w:r w:rsidRPr="008A0138">
              <w:rPr>
                <w:szCs w:val="20"/>
              </w:rPr>
              <w:t>3.7</w:t>
            </w:r>
          </w:p>
        </w:tc>
      </w:tr>
      <w:tr w:rsidR="00BE53D0" w:rsidRPr="008A0138" w:rsidTr="008A0138">
        <w:tc>
          <w:tcPr>
            <w:tcW w:w="1228" w:type="pct"/>
            <w:tcBorders>
              <w:top w:val="single" w:sz="4" w:space="0" w:color="auto"/>
              <w:bottom w:val="single" w:sz="4" w:space="0" w:color="auto"/>
            </w:tcBorders>
            <w:vAlign w:val="center"/>
          </w:tcPr>
          <w:p w:rsidR="00BE53D0" w:rsidRPr="008A0138" w:rsidRDefault="00BE53D0" w:rsidP="00BE53D0">
            <w:pPr>
              <w:pStyle w:val="TableText0"/>
              <w:rPr>
                <w:szCs w:val="20"/>
              </w:rPr>
            </w:pPr>
            <w:r w:rsidRPr="008A0138">
              <w:rPr>
                <w:szCs w:val="20"/>
              </w:rPr>
              <w:t>Direct medicine costs</w:t>
            </w:r>
          </w:p>
        </w:tc>
        <w:tc>
          <w:tcPr>
            <w:tcW w:w="3772" w:type="pct"/>
            <w:gridSpan w:val="4"/>
            <w:tcBorders>
              <w:top w:val="single" w:sz="4" w:space="0" w:color="auto"/>
              <w:bottom w:val="single" w:sz="4" w:space="0" w:color="auto"/>
            </w:tcBorders>
            <w:vAlign w:val="center"/>
          </w:tcPr>
          <w:p w:rsidR="00F60260" w:rsidRPr="008A0138" w:rsidRDefault="00F60260" w:rsidP="00F60260">
            <w:pPr>
              <w:pStyle w:val="TableText0"/>
              <w:rPr>
                <w:szCs w:val="20"/>
              </w:rPr>
            </w:pPr>
            <w:r w:rsidRPr="008A0138">
              <w:rPr>
                <w:szCs w:val="20"/>
              </w:rPr>
              <w:t xml:space="preserve">As special pricing arrangements apply to </w:t>
            </w:r>
            <w:proofErr w:type="spellStart"/>
            <w:r w:rsidRPr="008A0138">
              <w:rPr>
                <w:szCs w:val="20"/>
              </w:rPr>
              <w:t>pembrolizumab</w:t>
            </w:r>
            <w:proofErr w:type="spellEnd"/>
            <w:r w:rsidRPr="008A0138">
              <w:rPr>
                <w:szCs w:val="20"/>
              </w:rPr>
              <w:t xml:space="preserve">, the submission applied an assumed </w:t>
            </w:r>
            <w:r w:rsidRPr="00117AEA">
              <w:rPr>
                <w:szCs w:val="20"/>
              </w:rPr>
              <w:t>30</w:t>
            </w:r>
            <w:r w:rsidRPr="008A0138">
              <w:rPr>
                <w:szCs w:val="20"/>
              </w:rPr>
              <w:t>% rebate on the published price.</w:t>
            </w:r>
          </w:p>
          <w:p w:rsidR="00BE53D0" w:rsidRPr="008A0138" w:rsidRDefault="00F60260" w:rsidP="00F60260">
            <w:pPr>
              <w:pStyle w:val="TableText0"/>
              <w:rPr>
                <w:szCs w:val="20"/>
              </w:rPr>
            </w:pPr>
            <w:r w:rsidRPr="008A0138">
              <w:rPr>
                <w:szCs w:val="20"/>
              </w:rPr>
              <w:t xml:space="preserve">The total direct medicine costs per patient per course were marginally higher for </w:t>
            </w:r>
            <w:proofErr w:type="spellStart"/>
            <w:r w:rsidRPr="008A0138">
              <w:rPr>
                <w:szCs w:val="20"/>
              </w:rPr>
              <w:t>NIVO+IPI+platinum</w:t>
            </w:r>
            <w:proofErr w:type="spellEnd"/>
            <w:r w:rsidRPr="008A0138">
              <w:rPr>
                <w:szCs w:val="20"/>
              </w:rPr>
              <w:t xml:space="preserve"> (effective AEMP $</w:t>
            </w:r>
            <w:r w:rsidR="00115F96">
              <w:rPr>
                <w:noProof/>
                <w:color w:val="000000"/>
                <w:szCs w:val="20"/>
                <w:highlight w:val="black"/>
              </w:rPr>
              <w:t>'''''''''''''''''</w:t>
            </w:r>
            <w:proofErr w:type="gramStart"/>
            <w:r w:rsidRPr="008A0138">
              <w:rPr>
                <w:szCs w:val="20"/>
              </w:rPr>
              <w:t>)</w:t>
            </w:r>
            <w:r w:rsidR="006323C8" w:rsidRPr="008A0138">
              <w:rPr>
                <w:szCs w:val="20"/>
                <w:vertAlign w:val="superscript"/>
              </w:rPr>
              <w:t>d</w:t>
            </w:r>
            <w:proofErr w:type="gramEnd"/>
            <w:r w:rsidRPr="008A0138">
              <w:rPr>
                <w:szCs w:val="20"/>
              </w:rPr>
              <w:t xml:space="preserve"> than for </w:t>
            </w:r>
            <w:proofErr w:type="spellStart"/>
            <w:r w:rsidRPr="008A0138">
              <w:rPr>
                <w:szCs w:val="20"/>
              </w:rPr>
              <w:t>pembrolizumab+platinum</w:t>
            </w:r>
            <w:proofErr w:type="spellEnd"/>
            <w:r w:rsidRPr="008A0138">
              <w:rPr>
                <w:szCs w:val="20"/>
              </w:rPr>
              <w:t xml:space="preserve"> (</w:t>
            </w:r>
            <w:r w:rsidR="006323C8" w:rsidRPr="008A0138">
              <w:rPr>
                <w:szCs w:val="20"/>
              </w:rPr>
              <w:t xml:space="preserve">assumed </w:t>
            </w:r>
            <w:r w:rsidRPr="008A0138">
              <w:rPr>
                <w:szCs w:val="20"/>
              </w:rPr>
              <w:t>effective AEMP $</w:t>
            </w:r>
            <w:r w:rsidR="00115F96">
              <w:rPr>
                <w:noProof/>
                <w:color w:val="000000"/>
                <w:szCs w:val="20"/>
                <w:highlight w:val="black"/>
              </w:rPr>
              <w:t>'''''''''''''''</w:t>
            </w:r>
            <w:r w:rsidRPr="008A0138">
              <w:rPr>
                <w:szCs w:val="20"/>
              </w:rPr>
              <w:t>).</w:t>
            </w:r>
          </w:p>
        </w:tc>
      </w:tr>
      <w:tr w:rsidR="00BE53D0" w:rsidRPr="008A0138" w:rsidTr="008A0138">
        <w:tc>
          <w:tcPr>
            <w:tcW w:w="1228" w:type="pct"/>
            <w:tcBorders>
              <w:top w:val="single" w:sz="4" w:space="0" w:color="auto"/>
            </w:tcBorders>
            <w:vAlign w:val="center"/>
          </w:tcPr>
          <w:p w:rsidR="00BE53D0" w:rsidRPr="008A0138" w:rsidRDefault="00BE53D0" w:rsidP="00BE53D0">
            <w:pPr>
              <w:pStyle w:val="TableText0"/>
              <w:rPr>
                <w:szCs w:val="20"/>
              </w:rPr>
            </w:pPr>
            <w:r w:rsidRPr="008A0138">
              <w:rPr>
                <w:szCs w:val="20"/>
              </w:rPr>
              <w:t>Other costs or cost offsets</w:t>
            </w:r>
          </w:p>
        </w:tc>
        <w:tc>
          <w:tcPr>
            <w:tcW w:w="3772" w:type="pct"/>
            <w:gridSpan w:val="4"/>
            <w:tcBorders>
              <w:top w:val="single" w:sz="4" w:space="0" w:color="auto"/>
            </w:tcBorders>
            <w:vAlign w:val="center"/>
          </w:tcPr>
          <w:p w:rsidR="00BE53D0" w:rsidRPr="008A0138" w:rsidRDefault="00BE53D0" w:rsidP="00BE53D0">
            <w:pPr>
              <w:pStyle w:val="TableText0"/>
              <w:rPr>
                <w:szCs w:val="20"/>
              </w:rPr>
            </w:pPr>
            <w:r w:rsidRPr="008A0138">
              <w:rPr>
                <w:szCs w:val="20"/>
              </w:rPr>
              <w:t>Yes</w:t>
            </w:r>
          </w:p>
          <w:p w:rsidR="00BE53D0" w:rsidRPr="008A0138" w:rsidRDefault="00BE53D0" w:rsidP="00BE53D0">
            <w:pPr>
              <w:pStyle w:val="TableText0"/>
              <w:rPr>
                <w:szCs w:val="20"/>
              </w:rPr>
            </w:pPr>
            <w:r w:rsidRPr="008A0138">
              <w:rPr>
                <w:szCs w:val="20"/>
              </w:rPr>
              <w:t xml:space="preserve">Administration costs </w:t>
            </w:r>
          </w:p>
        </w:tc>
      </w:tr>
    </w:tbl>
    <w:p w:rsidR="00BE53D0" w:rsidRPr="0087043D" w:rsidRDefault="00BE53D0" w:rsidP="00BE53D0">
      <w:pPr>
        <w:pStyle w:val="TableFigureFooter"/>
      </w:pPr>
      <w:r w:rsidRPr="0087043D">
        <w:t>Source: Table 124, p 214-215 of the submission.</w:t>
      </w:r>
    </w:p>
    <w:p w:rsidR="00BE53D0" w:rsidRPr="0087043D" w:rsidRDefault="00AA7A03" w:rsidP="00BE53D0">
      <w:pPr>
        <w:pStyle w:val="TableFigureFooter"/>
      </w:pPr>
      <w:r w:rsidRPr="0087043D">
        <w:t xml:space="preserve">AEMP = approved ex-manufacturer price; </w:t>
      </w:r>
      <w:r w:rsidR="00BE53D0" w:rsidRPr="0087043D">
        <w:t>IPI = ipilimumab; NIVO = nivolumab; NSCLC = non-small cell lung cancer</w:t>
      </w:r>
      <w:r w:rsidR="004C3A17" w:rsidRPr="0087043D">
        <w:t>; Q3W = every 3 weeks; Q6W = every 6 weeks.</w:t>
      </w:r>
    </w:p>
    <w:p w:rsidR="001870E0" w:rsidRPr="0087043D" w:rsidRDefault="001870E0" w:rsidP="001870E0">
      <w:pPr>
        <w:pStyle w:val="TableFigureFooter"/>
      </w:pPr>
      <w:proofErr w:type="spellStart"/>
      <w:proofErr w:type="gramStart"/>
      <w:r w:rsidRPr="0087043D">
        <w:rPr>
          <w:vertAlign w:val="superscript"/>
        </w:rPr>
        <w:t>a</w:t>
      </w:r>
      <w:proofErr w:type="spellEnd"/>
      <w:proofErr w:type="gramEnd"/>
      <w:r w:rsidRPr="0087043D">
        <w:rPr>
          <w:vertAlign w:val="superscript"/>
        </w:rPr>
        <w:t xml:space="preserve"> </w:t>
      </w:r>
      <w:r w:rsidRPr="0087043D">
        <w:t>Assumed 77.6% of patients have non-squamous NSCLC and 22.4% have squamous NSCLC</w:t>
      </w:r>
    </w:p>
    <w:p w:rsidR="00BE53D0" w:rsidRPr="0087043D" w:rsidRDefault="00F5772A" w:rsidP="00BE53D0">
      <w:pPr>
        <w:pStyle w:val="TableFigureFooter"/>
      </w:pPr>
      <w:proofErr w:type="gramStart"/>
      <w:r w:rsidRPr="0087043D">
        <w:rPr>
          <w:vertAlign w:val="superscript"/>
        </w:rPr>
        <w:t>b</w:t>
      </w:r>
      <w:proofErr w:type="gramEnd"/>
      <w:r w:rsidR="00BE53D0" w:rsidRPr="0087043D">
        <w:t xml:space="preserve"> Assumed 70% of patients received carboplatin and 30% received cisplatin, based on usage in CM9LA</w:t>
      </w:r>
    </w:p>
    <w:p w:rsidR="00BE53D0" w:rsidRPr="0087043D" w:rsidRDefault="00F5772A" w:rsidP="00BE53D0">
      <w:pPr>
        <w:pStyle w:val="TableFigureFooter"/>
      </w:pPr>
      <w:proofErr w:type="gramStart"/>
      <w:r w:rsidRPr="0087043D">
        <w:rPr>
          <w:vertAlign w:val="superscript"/>
        </w:rPr>
        <w:t>c</w:t>
      </w:r>
      <w:proofErr w:type="gramEnd"/>
      <w:r w:rsidRPr="0087043D">
        <w:rPr>
          <w:vertAlign w:val="superscript"/>
        </w:rPr>
        <w:t xml:space="preserve"> </w:t>
      </w:r>
      <w:r w:rsidR="00BE53D0" w:rsidRPr="0087043D">
        <w:t>Assumed 72.2% received carboplatin and 27.8% received cisplatin, as in KN189.</w:t>
      </w:r>
    </w:p>
    <w:p w:rsidR="006323C8" w:rsidRPr="0087043D" w:rsidRDefault="006323C8" w:rsidP="006323C8">
      <w:pPr>
        <w:pStyle w:val="TableFigureFooter"/>
        <w:ind w:left="142" w:hanging="142"/>
      </w:pPr>
      <w:proofErr w:type="gramStart"/>
      <w:r w:rsidRPr="0087043D">
        <w:rPr>
          <w:vertAlign w:val="superscript"/>
        </w:rPr>
        <w:t>d</w:t>
      </w:r>
      <w:proofErr w:type="gramEnd"/>
      <w:r w:rsidRPr="0087043D">
        <w:t xml:space="preserve"> The effective prices were derived in the cost-minimisation analysis based on an assumed </w:t>
      </w:r>
      <w:r w:rsidRPr="00117AEA">
        <w:t>30</w:t>
      </w:r>
      <w:r w:rsidRPr="0087043D">
        <w:t xml:space="preserve">% rebate for </w:t>
      </w:r>
      <w:proofErr w:type="spellStart"/>
      <w:r w:rsidRPr="0087043D">
        <w:t>pembrolizumab</w:t>
      </w:r>
      <w:proofErr w:type="spellEnd"/>
      <w:r w:rsidRPr="0087043D">
        <w:t xml:space="preserve"> and are only a placeholder.</w:t>
      </w:r>
    </w:p>
    <w:p w:rsidR="00CD36DD" w:rsidRPr="0087043D" w:rsidRDefault="00CD36DD" w:rsidP="00BB732D">
      <w:pPr>
        <w:pStyle w:val="3-BodyText"/>
      </w:pPr>
      <w:r w:rsidRPr="0087043D">
        <w:t xml:space="preserve">The dose regimens in the proposed </w:t>
      </w:r>
      <w:proofErr w:type="spellStart"/>
      <w:r w:rsidRPr="0087043D">
        <w:t>equi</w:t>
      </w:r>
      <w:proofErr w:type="spellEnd"/>
      <w:r w:rsidRPr="0087043D">
        <w:t xml:space="preserve">-effective doses were consistent with those used in the clinical trials </w:t>
      </w:r>
      <w:r w:rsidR="00C45D71" w:rsidRPr="0087043D">
        <w:t xml:space="preserve">and </w:t>
      </w:r>
      <w:r w:rsidRPr="0087043D">
        <w:t xml:space="preserve">the respective </w:t>
      </w:r>
      <w:r w:rsidR="00232233" w:rsidRPr="0087043D">
        <w:t>PI documents</w:t>
      </w:r>
      <w:r w:rsidRPr="0087043D">
        <w:t xml:space="preserve">. The dosage of each component of the platinum-doublet chemotherapy regimens used </w:t>
      </w:r>
      <w:r w:rsidR="00DD7A52" w:rsidRPr="0087043D">
        <w:t xml:space="preserve">in </w:t>
      </w:r>
      <w:r w:rsidRPr="0087043D">
        <w:t xml:space="preserve">the CMA were consistent with Cancer Institute of NSW </w:t>
      </w:r>
      <w:proofErr w:type="spellStart"/>
      <w:r w:rsidRPr="0087043D">
        <w:t>eviQ</w:t>
      </w:r>
      <w:proofErr w:type="spellEnd"/>
      <w:r w:rsidRPr="0087043D">
        <w:t xml:space="preserve"> recommendations for each regimen</w:t>
      </w:r>
      <w:r w:rsidR="00B71954" w:rsidRPr="0087043D">
        <w:rPr>
          <w:rStyle w:val="FootnoteReference"/>
        </w:rPr>
        <w:footnoteReference w:id="3"/>
      </w:r>
      <w:r w:rsidRPr="0087043D">
        <w:t>, as well as with those used in the key trials.</w:t>
      </w:r>
    </w:p>
    <w:p w:rsidR="0040036A" w:rsidRPr="0087043D" w:rsidRDefault="0040036A" w:rsidP="00847CB2">
      <w:pPr>
        <w:pStyle w:val="3-BodyText"/>
        <w:rPr>
          <w:i/>
        </w:rPr>
      </w:pPr>
      <w:r w:rsidRPr="0087043D">
        <w:t xml:space="preserve">The proposed </w:t>
      </w:r>
      <w:proofErr w:type="spellStart"/>
      <w:r w:rsidRPr="0087043D">
        <w:t>equi</w:t>
      </w:r>
      <w:proofErr w:type="spellEnd"/>
      <w:r w:rsidRPr="0087043D">
        <w:t xml:space="preserve">-effective duration of therapy (number of doses per patient per course) for </w:t>
      </w:r>
      <w:proofErr w:type="spellStart"/>
      <w:r w:rsidRPr="0087043D">
        <w:t>NIVO+IPI+platinum</w:t>
      </w:r>
      <w:proofErr w:type="spellEnd"/>
      <w:r w:rsidRPr="0087043D">
        <w:t xml:space="preserve"> and </w:t>
      </w:r>
      <w:proofErr w:type="spellStart"/>
      <w:r w:rsidRPr="0087043D">
        <w:t>pembrolizumab+platinum</w:t>
      </w:r>
      <w:proofErr w:type="spellEnd"/>
      <w:r w:rsidRPr="0087043D">
        <w:t xml:space="preserve"> was based on the mean duration of treatment for each drug from CM9LA (March 2020 data cut-off), KN189 (September 2018 data cut-off) and KN407 (April 2018 data cut-off). At the data cut-offs from which the mean duration of treatment was sourced, 21% of patients in the </w:t>
      </w:r>
      <w:proofErr w:type="spellStart"/>
      <w:r w:rsidRPr="0087043D">
        <w:t>NIVO+IPI+platinum</w:t>
      </w:r>
      <w:proofErr w:type="spellEnd"/>
      <w:r w:rsidRPr="0087043D">
        <w:t xml:space="preserve"> arm of CM9LA, 14% of patients in the </w:t>
      </w:r>
      <w:proofErr w:type="spellStart"/>
      <w:r w:rsidRPr="0087043D">
        <w:t>pembrolizumab+platinum</w:t>
      </w:r>
      <w:proofErr w:type="spellEnd"/>
      <w:r w:rsidRPr="0087043D">
        <w:t xml:space="preserve"> arm of KN189 and 44% of patients in the </w:t>
      </w:r>
      <w:proofErr w:type="spellStart"/>
      <w:r w:rsidRPr="0087043D">
        <w:t>pembrolizumab+platinum</w:t>
      </w:r>
      <w:proofErr w:type="spellEnd"/>
      <w:r w:rsidRPr="0087043D">
        <w:t xml:space="preserve"> arm of KN407 were still receiving at least one component of randomised treatment. </w:t>
      </w:r>
      <w:r w:rsidR="002C6B14" w:rsidRPr="0087043D">
        <w:t xml:space="preserve">Therefore, the duration of therapy used in the cost-minimisation analysis for ongoing components of the treatment regimens (i.e. nivolumab, ipilimumab, </w:t>
      </w:r>
      <w:proofErr w:type="spellStart"/>
      <w:r w:rsidR="002C6B14" w:rsidRPr="0087043D">
        <w:t>pembrolizumab</w:t>
      </w:r>
      <w:proofErr w:type="spellEnd"/>
      <w:r w:rsidR="00A35463" w:rsidRPr="0087043D">
        <w:t>,</w:t>
      </w:r>
      <w:r w:rsidR="002C6B14" w:rsidRPr="0087043D">
        <w:t xml:space="preserve"> and </w:t>
      </w:r>
      <w:proofErr w:type="spellStart"/>
      <w:r w:rsidR="002C6B14" w:rsidRPr="0087043D">
        <w:t>pemetrexed</w:t>
      </w:r>
      <w:proofErr w:type="spellEnd"/>
      <w:r w:rsidR="002C6B14" w:rsidRPr="0087043D">
        <w:t xml:space="preserve"> maintenance therapy) were truncated mean durations, and their use will have underestimated the true mean duration of treatment for each of these components.</w:t>
      </w:r>
      <w:r w:rsidR="00847CB2" w:rsidRPr="0087043D">
        <w:t xml:space="preserve"> The PSCR acknowledged this issue and stated its willingness to</w:t>
      </w:r>
      <w:r w:rsidR="00264317" w:rsidRPr="0087043D">
        <w:t xml:space="preserve"> </w:t>
      </w:r>
      <w:r w:rsidR="00847CB2" w:rsidRPr="0087043D">
        <w:t xml:space="preserve">work with the Department of Health post-PBAC recommendation to ensure that the most up-to-date and appropriate duration of therapy from the CM9LA trial is applied to derive an </w:t>
      </w:r>
      <w:proofErr w:type="spellStart"/>
      <w:r w:rsidR="00847CB2" w:rsidRPr="0087043D">
        <w:t>equi</w:t>
      </w:r>
      <w:proofErr w:type="spellEnd"/>
      <w:r w:rsidR="00847CB2" w:rsidRPr="0087043D">
        <w:t xml:space="preserve">-effective cost per patient per treatment course versus </w:t>
      </w:r>
      <w:proofErr w:type="spellStart"/>
      <w:r w:rsidR="00847CB2" w:rsidRPr="0087043D">
        <w:t>pembrolizumab+platinum</w:t>
      </w:r>
      <w:proofErr w:type="spellEnd"/>
      <w:r w:rsidR="00847CB2" w:rsidRPr="0087043D">
        <w:t>.</w:t>
      </w:r>
      <w:r w:rsidR="008B4081" w:rsidRPr="0087043D">
        <w:t xml:space="preserve"> </w:t>
      </w:r>
    </w:p>
    <w:p w:rsidR="00CD36DD" w:rsidRPr="0087043D" w:rsidRDefault="002C6B14" w:rsidP="00BB732D">
      <w:pPr>
        <w:pStyle w:val="3-BodyText"/>
      </w:pPr>
      <w:r w:rsidRPr="0087043D">
        <w:t xml:space="preserve">The submission noted that the limited duration of follow-up in KN407 will have underestimated the mean number of doses of </w:t>
      </w:r>
      <w:proofErr w:type="spellStart"/>
      <w:r w:rsidRPr="0087043D">
        <w:t>pembrolizumab+platinum</w:t>
      </w:r>
      <w:proofErr w:type="spellEnd"/>
      <w:r w:rsidRPr="0087043D">
        <w:t xml:space="preserve"> in patients with squamous NSCLC, and that this would have bi</w:t>
      </w:r>
      <w:r w:rsidR="001870E0" w:rsidRPr="0087043D">
        <w:t xml:space="preserve">ased </w:t>
      </w:r>
      <w:r w:rsidRPr="0087043D">
        <w:t xml:space="preserve">the results of the CMA against </w:t>
      </w:r>
      <w:proofErr w:type="spellStart"/>
      <w:r w:rsidRPr="0087043D">
        <w:t>NIVO+IPI+platinum</w:t>
      </w:r>
      <w:proofErr w:type="spellEnd"/>
      <w:r w:rsidRPr="0087043D">
        <w:t xml:space="preserve">. While this was reasonable, a greater proportion of patients were still receiving randomised treatment in the </w:t>
      </w:r>
      <w:proofErr w:type="spellStart"/>
      <w:r w:rsidRPr="0087043D">
        <w:t>NIVO+IPI+platinum</w:t>
      </w:r>
      <w:proofErr w:type="spellEnd"/>
      <w:r w:rsidRPr="0087043D">
        <w:t xml:space="preserve"> arm of CM9LA (21%) compared with the </w:t>
      </w:r>
      <w:proofErr w:type="spellStart"/>
      <w:r w:rsidRPr="0087043D">
        <w:t>pembrolizumab+platinum</w:t>
      </w:r>
      <w:proofErr w:type="spellEnd"/>
      <w:r w:rsidRPr="0087043D">
        <w:t xml:space="preserve"> arm of KN189 (14%). Therefore, the extent of the underestimation of the true mean duration of therapy in patients with non-squamous NSCLC, who account for approximately 78% of the first-line Stage IV NSCLC population, is likely to be greater for </w:t>
      </w:r>
      <w:proofErr w:type="spellStart"/>
      <w:r w:rsidRPr="0087043D">
        <w:t>NIVO+IPI+platinum</w:t>
      </w:r>
      <w:proofErr w:type="spellEnd"/>
      <w:r w:rsidRPr="0087043D">
        <w:t xml:space="preserve"> than for </w:t>
      </w:r>
      <w:proofErr w:type="spellStart"/>
      <w:r w:rsidRPr="0087043D">
        <w:t>pembrolizumab+platinum</w:t>
      </w:r>
      <w:proofErr w:type="spellEnd"/>
      <w:r w:rsidRPr="0087043D">
        <w:t xml:space="preserve">, potentially favouring </w:t>
      </w:r>
      <w:proofErr w:type="spellStart"/>
      <w:r w:rsidRPr="0087043D">
        <w:t>NIVO+IPI+platinum</w:t>
      </w:r>
      <w:proofErr w:type="spellEnd"/>
      <w:r w:rsidRPr="0087043D">
        <w:t>.</w:t>
      </w:r>
    </w:p>
    <w:p w:rsidR="00766A5D" w:rsidRPr="0087043D" w:rsidRDefault="00766A5D" w:rsidP="00BB732D">
      <w:pPr>
        <w:pStyle w:val="3-BodyText"/>
      </w:pPr>
      <w:r w:rsidRPr="0087043D">
        <w:t>Given the disparities in the maturity of the duration of treatment data across the trials,</w:t>
      </w:r>
      <w:r w:rsidR="004F34A8" w:rsidRPr="0087043D">
        <w:t xml:space="preserve"> the </w:t>
      </w:r>
      <w:proofErr w:type="spellStart"/>
      <w:r w:rsidR="004F34A8" w:rsidRPr="0087043D">
        <w:t>equi</w:t>
      </w:r>
      <w:proofErr w:type="spellEnd"/>
      <w:r w:rsidR="004F34A8" w:rsidRPr="0087043D">
        <w:t xml:space="preserve">-effective doses of </w:t>
      </w:r>
      <w:proofErr w:type="spellStart"/>
      <w:r w:rsidR="004F34A8" w:rsidRPr="0087043D">
        <w:t>NIVO+IPI+platinum</w:t>
      </w:r>
      <w:proofErr w:type="spellEnd"/>
      <w:r w:rsidR="004F34A8" w:rsidRPr="0087043D">
        <w:t xml:space="preserve"> and </w:t>
      </w:r>
      <w:proofErr w:type="spellStart"/>
      <w:r w:rsidR="004F34A8" w:rsidRPr="0087043D">
        <w:t>pembrolizumab+platinum</w:t>
      </w:r>
      <w:proofErr w:type="spellEnd"/>
      <w:r w:rsidR="004F34A8" w:rsidRPr="0087043D">
        <w:t xml:space="preserve"> are uncertain</w:t>
      </w:r>
      <w:r w:rsidR="00186CC6" w:rsidRPr="0087043D">
        <w:t xml:space="preserve">. </w:t>
      </w:r>
      <w:r w:rsidR="00264317" w:rsidRPr="0087043D">
        <w:t xml:space="preserve"> </w:t>
      </w:r>
    </w:p>
    <w:p w:rsidR="000A11F1" w:rsidRPr="0087043D" w:rsidRDefault="002C6B14" w:rsidP="002C6B14">
      <w:pPr>
        <w:pStyle w:val="3-BodyText"/>
      </w:pPr>
      <w:r w:rsidRPr="0087043D">
        <w:t xml:space="preserve">The submission assumed that 77.6% of patients have non-squamous NSCLC and 22.4% have squamous NSCLC. </w:t>
      </w:r>
      <w:r w:rsidR="000A11F1" w:rsidRPr="0087043D">
        <w:t xml:space="preserve">This is consistent with the proportions used in the estimated PBS usage and financial implications in the July 2019 submission for </w:t>
      </w:r>
      <w:proofErr w:type="spellStart"/>
      <w:r w:rsidR="000A11F1" w:rsidRPr="0087043D">
        <w:t>pembrolizumab+platinum</w:t>
      </w:r>
      <w:proofErr w:type="spellEnd"/>
      <w:r w:rsidR="000A11F1" w:rsidRPr="0087043D">
        <w:t xml:space="preserve"> (Table 19, </w:t>
      </w:r>
      <w:proofErr w:type="spellStart"/>
      <w:r w:rsidR="000A11F1" w:rsidRPr="0087043D">
        <w:t>pembrolizumab</w:t>
      </w:r>
      <w:proofErr w:type="spellEnd"/>
      <w:r w:rsidR="000A11F1" w:rsidRPr="0087043D">
        <w:t xml:space="preserve"> NSCLC PSD, July </w:t>
      </w:r>
      <w:r w:rsidR="00F907FB" w:rsidRPr="0087043D">
        <w:t xml:space="preserve">2019 </w:t>
      </w:r>
      <w:r w:rsidR="000A11F1" w:rsidRPr="0087043D">
        <w:t>PBAC Meeting). These estimates were originally sourced from the Australian cohort (n=208) in a multinational retrospective cohort of treatm</w:t>
      </w:r>
      <w:r w:rsidR="00232233" w:rsidRPr="0087043D">
        <w:t>ent patterns in patients with S</w:t>
      </w:r>
      <w:r w:rsidR="000A11F1" w:rsidRPr="0087043D">
        <w:t>tage IIIB/IV NSCLC.</w:t>
      </w:r>
      <w:r w:rsidR="00BA31F3" w:rsidRPr="0087043D">
        <w:rPr>
          <w:rStyle w:val="FootnoteReference"/>
        </w:rPr>
        <w:footnoteReference w:id="4"/>
      </w:r>
      <w:r w:rsidR="000A11F1" w:rsidRPr="0087043D">
        <w:t xml:space="preserve"> </w:t>
      </w:r>
    </w:p>
    <w:p w:rsidR="009F59D5" w:rsidRPr="0087043D" w:rsidRDefault="009F59D5" w:rsidP="009F59D5">
      <w:pPr>
        <w:pStyle w:val="3-BodyText"/>
      </w:pPr>
      <w:r w:rsidRPr="0087043D">
        <w:t xml:space="preserve">The submission included the costs of intravenous administration. For the initial phase of </w:t>
      </w:r>
      <w:proofErr w:type="spellStart"/>
      <w:r w:rsidRPr="0087043D">
        <w:t>NIVO+IPI+platinum</w:t>
      </w:r>
      <w:proofErr w:type="spellEnd"/>
      <w:r w:rsidRPr="0087043D">
        <w:t xml:space="preserve"> and </w:t>
      </w:r>
      <w:proofErr w:type="spellStart"/>
      <w:r w:rsidRPr="0087043D">
        <w:t>pembrolizumab+platinum</w:t>
      </w:r>
      <w:proofErr w:type="spellEnd"/>
      <w:r w:rsidRPr="0087043D">
        <w:t xml:space="preserve">, when nivolumab ± ipilimumab or </w:t>
      </w:r>
      <w:proofErr w:type="spellStart"/>
      <w:r w:rsidRPr="0087043D">
        <w:t>pembrolizumab</w:t>
      </w:r>
      <w:proofErr w:type="spellEnd"/>
      <w:r w:rsidRPr="0087043D">
        <w:t xml:space="preserve"> were administered in combination with platinum-doublet chemotherapy, an administration cost of $84.60 (85% benefit MBS item 13918) was applied. For the remaining infusions of nivolumab ± ipilimumab and </w:t>
      </w:r>
      <w:proofErr w:type="spellStart"/>
      <w:r w:rsidRPr="0087043D">
        <w:t>pembrolizumab</w:t>
      </w:r>
      <w:proofErr w:type="spellEnd"/>
      <w:r w:rsidRPr="0087043D">
        <w:t xml:space="preserve"> ± </w:t>
      </w:r>
      <w:proofErr w:type="spellStart"/>
      <w:r w:rsidRPr="0087043D">
        <w:t>pemetrexed</w:t>
      </w:r>
      <w:proofErr w:type="spellEnd"/>
      <w:r w:rsidRPr="0087043D">
        <w:t xml:space="preserve">, an administration cost of $56.20 (85% benefit MBS item 13915) was applied. The submission should have used the full MBS fee for these items. </w:t>
      </w:r>
    </w:p>
    <w:p w:rsidR="00F32A09" w:rsidRPr="0087043D" w:rsidRDefault="000A2B4E" w:rsidP="007B09F7">
      <w:pPr>
        <w:pStyle w:val="3-BodyText"/>
      </w:pPr>
      <w:r w:rsidRPr="0087043D">
        <w:t xml:space="preserve">As a </w:t>
      </w:r>
      <w:r w:rsidR="00100B92" w:rsidRPr="0087043D">
        <w:t>SPA</w:t>
      </w:r>
      <w:r w:rsidRPr="0087043D">
        <w:t xml:space="preserve"> applies to </w:t>
      </w:r>
      <w:proofErr w:type="spellStart"/>
      <w:r w:rsidRPr="0087043D">
        <w:t>pembrolizumab</w:t>
      </w:r>
      <w:proofErr w:type="spellEnd"/>
      <w:r w:rsidRPr="0087043D">
        <w:t xml:space="preserve"> for the treatment of metastatic NSCLC, the submission applied an assumed SPA rebate of </w:t>
      </w:r>
      <w:r w:rsidRPr="004D5BE5">
        <w:t>30</w:t>
      </w:r>
      <w:r w:rsidRPr="0087043D">
        <w:t xml:space="preserve">% to the published </w:t>
      </w:r>
      <w:r w:rsidR="00E65E36" w:rsidRPr="0087043D">
        <w:t>approved ex-manufacturer price (</w:t>
      </w:r>
      <w:r w:rsidRPr="0087043D">
        <w:t>AEMP</w:t>
      </w:r>
      <w:r w:rsidR="00E65E36" w:rsidRPr="0087043D">
        <w:t>)</w:t>
      </w:r>
      <w:r w:rsidRPr="0087043D">
        <w:t xml:space="preserve"> for </w:t>
      </w:r>
      <w:proofErr w:type="spellStart"/>
      <w:r w:rsidRPr="0087043D">
        <w:t>pembrolizumab</w:t>
      </w:r>
      <w:proofErr w:type="spellEnd"/>
      <w:r w:rsidR="00011C8F" w:rsidRPr="0087043D">
        <w:t xml:space="preserve"> (</w:t>
      </w:r>
      <w:r w:rsidR="00D834C3" w:rsidRPr="0087043D">
        <w:t xml:space="preserve">i.e. an assumed effective AEMP of </w:t>
      </w:r>
      <w:r w:rsidR="00011C8F" w:rsidRPr="0087043D">
        <w:t>$</w:t>
      </w:r>
      <w:r w:rsidR="00011C8F" w:rsidRPr="004D5BE5">
        <w:t>2,965.90</w:t>
      </w:r>
      <w:r w:rsidR="00F32A09" w:rsidRPr="0087043D">
        <w:t>/</w:t>
      </w:r>
      <w:r w:rsidR="00011C8F" w:rsidRPr="0087043D">
        <w:t xml:space="preserve">100 mg vial). The submission stated that the </w:t>
      </w:r>
      <w:r w:rsidR="00F32A09" w:rsidRPr="0087043D">
        <w:t>s</w:t>
      </w:r>
      <w:r w:rsidR="00011C8F" w:rsidRPr="0087043D">
        <w:t>ponsor proposed that the effective price for nivolumab in the first-line setting be equivalent to the effective price in the second-line setting (AEMP $</w:t>
      </w:r>
      <w:r w:rsidR="00115F96">
        <w:rPr>
          <w:noProof/>
          <w:color w:val="000000"/>
          <w:highlight w:val="black"/>
        </w:rPr>
        <w:t>''''''''''''''</w:t>
      </w:r>
      <w:r w:rsidR="00011C8F" w:rsidRPr="0087043D">
        <w:t>/100 mg vial). This was used to determine the proportion of the overall treatment cost per patient per course attributable to the nivolumab component</w:t>
      </w:r>
      <w:r w:rsidR="00011C8F" w:rsidRPr="0087043D">
        <w:rPr>
          <w:i/>
        </w:rPr>
        <w:t xml:space="preserve">. </w:t>
      </w:r>
    </w:p>
    <w:p w:rsidR="002C6B14" w:rsidRPr="0087043D" w:rsidRDefault="00011C8F" w:rsidP="002C6B14">
      <w:pPr>
        <w:pStyle w:val="3-BodyText"/>
      </w:pPr>
      <w:r w:rsidRPr="0087043D">
        <w:t>The overall cost of the ipilimumab component of the treatment regimen was derived in the CMA, as presented in</w:t>
      </w:r>
      <w:r w:rsidR="00535060" w:rsidRPr="0087043D">
        <w:t xml:space="preserve"> </w:t>
      </w:r>
      <w:r w:rsidR="00C71489" w:rsidRPr="0087043D">
        <w:t>Table 12</w:t>
      </w:r>
      <w:r w:rsidRPr="0087043D">
        <w:t xml:space="preserve">, and the effective </w:t>
      </w:r>
      <w:r w:rsidR="00F32A09" w:rsidRPr="0087043D">
        <w:t>A</w:t>
      </w:r>
      <w:r w:rsidRPr="0087043D">
        <w:t>EMP per 50 mg vial of ipilimumab ($</w:t>
      </w:r>
      <w:r w:rsidR="00115F96">
        <w:rPr>
          <w:noProof/>
          <w:color w:val="000000"/>
          <w:highlight w:val="black"/>
        </w:rPr>
        <w:t>'''''''''''''''''</w:t>
      </w:r>
      <w:r w:rsidRPr="0087043D">
        <w:t>) was subsequently derived as in</w:t>
      </w:r>
      <w:r w:rsidR="00535060" w:rsidRPr="0087043D">
        <w:t xml:space="preserve"> </w:t>
      </w:r>
      <w:r w:rsidR="00C71489" w:rsidRPr="0087043D">
        <w:t>Table 13</w:t>
      </w:r>
      <w:r w:rsidR="00EE2031" w:rsidRPr="0087043D">
        <w:t>.</w:t>
      </w:r>
      <w:r w:rsidR="0097462C" w:rsidRPr="0087043D">
        <w:rPr>
          <w:i/>
        </w:rPr>
        <w:t xml:space="preserve"> </w:t>
      </w:r>
    </w:p>
    <w:p w:rsidR="00011C8F" w:rsidRPr="0087043D" w:rsidRDefault="00F32A09" w:rsidP="00F32A09">
      <w:pPr>
        <w:pStyle w:val="TableFigureHeading"/>
      </w:pPr>
      <w:bookmarkStart w:id="35" w:name="_Ref49411323"/>
      <w:r w:rsidRPr="0087043D">
        <w:t xml:space="preserve">Table </w:t>
      </w:r>
      <w:r w:rsidR="00C71489" w:rsidRPr="0087043D">
        <w:t>12</w:t>
      </w:r>
      <w:bookmarkEnd w:id="35"/>
      <w:r w:rsidRPr="0087043D">
        <w:t xml:space="preserve">: </w:t>
      </w:r>
      <w:r w:rsidRPr="0087043D">
        <w:rPr>
          <w:rStyle w:val="CommentReference"/>
          <w:b/>
          <w:szCs w:val="24"/>
        </w:rPr>
        <w:t>Results of the cost-minimisation analysis – cost/patient/course (</w:t>
      </w:r>
      <w:r w:rsidR="00543D16" w:rsidRPr="0087043D">
        <w:rPr>
          <w:rStyle w:val="CommentReference"/>
          <w:b/>
          <w:szCs w:val="24"/>
        </w:rPr>
        <w:t xml:space="preserve">assumed </w:t>
      </w:r>
      <w:r w:rsidRPr="0087043D">
        <w:rPr>
          <w:rStyle w:val="CommentReference"/>
          <w:b/>
          <w:szCs w:val="24"/>
        </w:rPr>
        <w:t>effective AEMP)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3003"/>
        <w:gridCol w:w="3032"/>
      </w:tblGrid>
      <w:tr w:rsidR="009F59D5" w:rsidRPr="0087043D" w:rsidTr="008A0138">
        <w:tc>
          <w:tcPr>
            <w:tcW w:w="1654" w:type="pct"/>
            <w:tcBorders>
              <w:bottom w:val="single" w:sz="4" w:space="0" w:color="auto"/>
            </w:tcBorders>
          </w:tcPr>
          <w:p w:rsidR="009F59D5" w:rsidRPr="0087043D" w:rsidRDefault="009F59D5" w:rsidP="00F66AC9">
            <w:pPr>
              <w:pStyle w:val="In-tableHeading"/>
              <w:rPr>
                <w:lang w:val="en-AU"/>
              </w:rPr>
            </w:pPr>
            <w:r w:rsidRPr="0087043D">
              <w:rPr>
                <w:lang w:val="en-AU"/>
              </w:rPr>
              <w:t>Component</w:t>
            </w:r>
          </w:p>
        </w:tc>
        <w:tc>
          <w:tcPr>
            <w:tcW w:w="1665" w:type="pct"/>
            <w:tcBorders>
              <w:bottom w:val="single" w:sz="4" w:space="0" w:color="auto"/>
            </w:tcBorders>
          </w:tcPr>
          <w:p w:rsidR="009F59D5" w:rsidRPr="0087043D" w:rsidRDefault="009F59D5" w:rsidP="00F66AC9">
            <w:pPr>
              <w:pStyle w:val="In-tableHeading"/>
              <w:jc w:val="center"/>
              <w:rPr>
                <w:lang w:val="en-AU"/>
              </w:rPr>
            </w:pPr>
            <w:proofErr w:type="spellStart"/>
            <w:r w:rsidRPr="0087043D">
              <w:rPr>
                <w:lang w:val="en-AU"/>
              </w:rPr>
              <w:t>NIVO+IPI+platinum</w:t>
            </w:r>
            <w:proofErr w:type="spellEnd"/>
          </w:p>
        </w:tc>
        <w:tc>
          <w:tcPr>
            <w:tcW w:w="1681" w:type="pct"/>
            <w:tcBorders>
              <w:bottom w:val="single" w:sz="4" w:space="0" w:color="auto"/>
            </w:tcBorders>
          </w:tcPr>
          <w:p w:rsidR="009F59D5" w:rsidRPr="0087043D" w:rsidRDefault="009F59D5" w:rsidP="00F66AC9">
            <w:pPr>
              <w:pStyle w:val="In-tableHeading"/>
              <w:jc w:val="center"/>
              <w:rPr>
                <w:lang w:val="en-AU"/>
              </w:rPr>
            </w:pPr>
            <w:proofErr w:type="spellStart"/>
            <w:r w:rsidRPr="0087043D">
              <w:rPr>
                <w:lang w:val="en-AU"/>
              </w:rPr>
              <w:t>Pembrolizumab+platinum</w:t>
            </w:r>
            <w:proofErr w:type="spellEnd"/>
          </w:p>
        </w:tc>
      </w:tr>
      <w:tr w:rsidR="009F59D5" w:rsidRPr="0087043D" w:rsidTr="008A0138">
        <w:tc>
          <w:tcPr>
            <w:tcW w:w="1654" w:type="pct"/>
            <w:tcBorders>
              <w:top w:val="single" w:sz="4" w:space="0" w:color="auto"/>
            </w:tcBorders>
          </w:tcPr>
          <w:p w:rsidR="009F59D5" w:rsidRPr="0087043D" w:rsidRDefault="009F59D5" w:rsidP="00F66AC9">
            <w:pPr>
              <w:pStyle w:val="TableText0"/>
            </w:pPr>
            <w:r w:rsidRPr="0087043D">
              <w:t>Medicine costs</w:t>
            </w:r>
          </w:p>
        </w:tc>
        <w:tc>
          <w:tcPr>
            <w:tcW w:w="1665" w:type="pct"/>
            <w:tcBorders>
              <w:top w:val="single" w:sz="4" w:space="0" w:color="auto"/>
            </w:tcBorders>
            <w:vAlign w:val="center"/>
          </w:tcPr>
          <w:p w:rsidR="009F59D5" w:rsidRPr="0087043D" w:rsidRDefault="009F59D5" w:rsidP="00F66AC9">
            <w:pPr>
              <w:pStyle w:val="TableText0"/>
              <w:jc w:val="center"/>
            </w:pPr>
          </w:p>
        </w:tc>
        <w:tc>
          <w:tcPr>
            <w:tcW w:w="1681" w:type="pct"/>
            <w:tcBorders>
              <w:top w:val="single" w:sz="4" w:space="0" w:color="auto"/>
            </w:tcBorders>
            <w:vAlign w:val="center"/>
          </w:tcPr>
          <w:p w:rsidR="009F59D5" w:rsidRPr="0087043D" w:rsidRDefault="009F59D5" w:rsidP="00F66AC9">
            <w:pPr>
              <w:pStyle w:val="TableText0"/>
              <w:jc w:val="center"/>
            </w:pPr>
          </w:p>
        </w:tc>
      </w:tr>
      <w:tr w:rsidR="009F59D5" w:rsidRPr="0087043D" w:rsidTr="008A0138">
        <w:tc>
          <w:tcPr>
            <w:tcW w:w="1654" w:type="pct"/>
          </w:tcPr>
          <w:p w:rsidR="009F59D5" w:rsidRPr="0087043D" w:rsidRDefault="009F59D5" w:rsidP="00F66AC9">
            <w:pPr>
              <w:pStyle w:val="TableText0"/>
              <w:ind w:left="171"/>
            </w:pPr>
            <w:r w:rsidRPr="0087043D">
              <w:t>Nivolumab</w:t>
            </w:r>
          </w:p>
        </w:tc>
        <w:tc>
          <w:tcPr>
            <w:tcW w:w="1665" w:type="pct"/>
            <w:vAlign w:val="center"/>
          </w:tcPr>
          <w:p w:rsidR="009F59D5" w:rsidRPr="0087043D" w:rsidRDefault="009F59D5" w:rsidP="00F66AC9">
            <w:pPr>
              <w:pStyle w:val="TableText0"/>
              <w:jc w:val="center"/>
              <w:rPr>
                <w:vertAlign w:val="superscript"/>
              </w:rPr>
            </w:pPr>
            <w:r w:rsidRPr="0087043D">
              <w:t>$</w:t>
            </w:r>
            <w:r w:rsidR="00115F96">
              <w:rPr>
                <w:noProof/>
                <w:color w:val="000000"/>
                <w:highlight w:val="black"/>
              </w:rPr>
              <w:t>'''''''''''''''''''''''''</w:t>
            </w:r>
          </w:p>
        </w:tc>
        <w:tc>
          <w:tcPr>
            <w:tcW w:w="1681" w:type="pct"/>
            <w:vAlign w:val="center"/>
          </w:tcPr>
          <w:p w:rsidR="009F59D5" w:rsidRPr="0087043D" w:rsidRDefault="009F59D5" w:rsidP="00F66AC9">
            <w:pPr>
              <w:pStyle w:val="TableText0"/>
              <w:jc w:val="center"/>
            </w:pPr>
            <w:r w:rsidRPr="0087043D">
              <w:t>-</w:t>
            </w:r>
          </w:p>
        </w:tc>
      </w:tr>
      <w:tr w:rsidR="009F59D5" w:rsidRPr="0087043D" w:rsidTr="008A0138">
        <w:tc>
          <w:tcPr>
            <w:tcW w:w="1654" w:type="pct"/>
          </w:tcPr>
          <w:p w:rsidR="009F59D5" w:rsidRPr="0087043D" w:rsidRDefault="009F59D5" w:rsidP="00CA4529">
            <w:pPr>
              <w:pStyle w:val="TableText0"/>
              <w:ind w:left="171"/>
              <w:rPr>
                <w:i/>
              </w:rPr>
            </w:pPr>
            <w:r w:rsidRPr="0087043D">
              <w:t>Ipilimumab</w:t>
            </w:r>
          </w:p>
        </w:tc>
        <w:tc>
          <w:tcPr>
            <w:tcW w:w="1665" w:type="pct"/>
            <w:vAlign w:val="center"/>
          </w:tcPr>
          <w:p w:rsidR="009F59D5" w:rsidRPr="0087043D" w:rsidRDefault="009F59D5" w:rsidP="00F66AC9">
            <w:pPr>
              <w:pStyle w:val="TableText0"/>
              <w:jc w:val="center"/>
              <w:rPr>
                <w:vertAlign w:val="superscript"/>
              </w:rPr>
            </w:pPr>
            <w:r w:rsidRPr="0087043D">
              <w:t>$</w:t>
            </w:r>
            <w:r w:rsidR="00115F96">
              <w:rPr>
                <w:noProof/>
                <w:color w:val="000000"/>
                <w:highlight w:val="black"/>
              </w:rPr>
              <w:t>'''''''''''''''''''''''</w:t>
            </w:r>
            <w:r w:rsidRPr="0087043D">
              <w:rPr>
                <w:vertAlign w:val="superscript"/>
              </w:rPr>
              <w:t>a</w:t>
            </w:r>
          </w:p>
        </w:tc>
        <w:tc>
          <w:tcPr>
            <w:tcW w:w="1681" w:type="pct"/>
            <w:vAlign w:val="center"/>
          </w:tcPr>
          <w:p w:rsidR="009F59D5" w:rsidRPr="0087043D" w:rsidRDefault="009F59D5" w:rsidP="00F66AC9">
            <w:pPr>
              <w:pStyle w:val="TableText0"/>
              <w:jc w:val="center"/>
            </w:pPr>
            <w:r w:rsidRPr="0087043D">
              <w:t>-</w:t>
            </w:r>
          </w:p>
        </w:tc>
      </w:tr>
      <w:tr w:rsidR="009F59D5" w:rsidRPr="0087043D" w:rsidTr="008A0138">
        <w:tc>
          <w:tcPr>
            <w:tcW w:w="1654" w:type="pct"/>
          </w:tcPr>
          <w:p w:rsidR="009F59D5" w:rsidRPr="0087043D" w:rsidRDefault="009F59D5" w:rsidP="00F66AC9">
            <w:pPr>
              <w:pStyle w:val="TableText0"/>
              <w:ind w:left="171"/>
            </w:pPr>
            <w:proofErr w:type="spellStart"/>
            <w:r w:rsidRPr="0087043D">
              <w:t>Pembrolizumab</w:t>
            </w:r>
            <w:proofErr w:type="spellEnd"/>
            <w:r w:rsidRPr="0087043D">
              <w:t xml:space="preserve"> </w:t>
            </w:r>
          </w:p>
        </w:tc>
        <w:tc>
          <w:tcPr>
            <w:tcW w:w="1665" w:type="pct"/>
            <w:vAlign w:val="center"/>
          </w:tcPr>
          <w:p w:rsidR="009F59D5" w:rsidRPr="0087043D" w:rsidRDefault="009F59D5" w:rsidP="00F66AC9">
            <w:pPr>
              <w:pStyle w:val="TableText0"/>
              <w:jc w:val="center"/>
            </w:pPr>
            <w:r w:rsidRPr="0087043D">
              <w:t>-</w:t>
            </w:r>
          </w:p>
        </w:tc>
        <w:tc>
          <w:tcPr>
            <w:tcW w:w="1681" w:type="pct"/>
            <w:vAlign w:val="center"/>
          </w:tcPr>
          <w:p w:rsidR="009F59D5" w:rsidRPr="0087043D" w:rsidRDefault="009F59D5" w:rsidP="00F66AC9">
            <w:pPr>
              <w:pStyle w:val="TableText0"/>
              <w:jc w:val="center"/>
            </w:pPr>
            <w:r w:rsidRPr="0087043D">
              <w:t>$</w:t>
            </w:r>
            <w:r w:rsidR="00115F96">
              <w:rPr>
                <w:noProof/>
                <w:color w:val="000000"/>
                <w:highlight w:val="black"/>
              </w:rPr>
              <w:t>'''''''''''''''''''''''</w:t>
            </w:r>
          </w:p>
        </w:tc>
      </w:tr>
      <w:tr w:rsidR="009F59D5" w:rsidRPr="0087043D" w:rsidTr="008A0138">
        <w:tc>
          <w:tcPr>
            <w:tcW w:w="1654" w:type="pct"/>
            <w:vAlign w:val="center"/>
          </w:tcPr>
          <w:p w:rsidR="009F59D5" w:rsidRPr="0087043D" w:rsidRDefault="009F59D5" w:rsidP="00F66AC9">
            <w:pPr>
              <w:pStyle w:val="TableText0"/>
              <w:ind w:left="171"/>
            </w:pPr>
            <w:r w:rsidRPr="0087043D">
              <w:t>Platinum chemotherapy</w:t>
            </w:r>
          </w:p>
        </w:tc>
        <w:tc>
          <w:tcPr>
            <w:tcW w:w="1665" w:type="pct"/>
            <w:vAlign w:val="center"/>
          </w:tcPr>
          <w:p w:rsidR="009F59D5" w:rsidRPr="0087043D" w:rsidRDefault="009F59D5" w:rsidP="00F66AC9">
            <w:pPr>
              <w:pStyle w:val="TableText0"/>
              <w:jc w:val="center"/>
            </w:pPr>
            <w:r w:rsidRPr="0087043D">
              <w:t>$211.79</w:t>
            </w:r>
          </w:p>
        </w:tc>
        <w:tc>
          <w:tcPr>
            <w:tcW w:w="1681" w:type="pct"/>
            <w:vAlign w:val="center"/>
          </w:tcPr>
          <w:p w:rsidR="009F59D5" w:rsidRPr="0087043D" w:rsidRDefault="009F59D5" w:rsidP="008B4081">
            <w:pPr>
              <w:pStyle w:val="TableText0"/>
              <w:jc w:val="center"/>
              <w:rPr>
                <w:vertAlign w:val="superscript"/>
              </w:rPr>
            </w:pPr>
            <w:r w:rsidRPr="0087043D">
              <w:t>$839.67</w:t>
            </w:r>
            <w:r w:rsidRPr="0087043D">
              <w:rPr>
                <w:vertAlign w:val="superscript"/>
              </w:rPr>
              <w:t>a</w:t>
            </w:r>
          </w:p>
        </w:tc>
      </w:tr>
      <w:tr w:rsidR="009F59D5" w:rsidRPr="0087043D" w:rsidTr="008A0138">
        <w:tc>
          <w:tcPr>
            <w:tcW w:w="1654" w:type="pct"/>
          </w:tcPr>
          <w:p w:rsidR="009F59D5" w:rsidRPr="0087043D" w:rsidRDefault="009F59D5" w:rsidP="00F66AC9">
            <w:pPr>
              <w:pStyle w:val="TableText0"/>
            </w:pPr>
            <w:r w:rsidRPr="0087043D">
              <w:t>Total medicine cost/patient/course</w:t>
            </w:r>
          </w:p>
        </w:tc>
        <w:tc>
          <w:tcPr>
            <w:tcW w:w="1665" w:type="pct"/>
            <w:vAlign w:val="center"/>
          </w:tcPr>
          <w:p w:rsidR="009F59D5" w:rsidRPr="0087043D" w:rsidRDefault="001A0FC0" w:rsidP="00F66AC9">
            <w:pPr>
              <w:pStyle w:val="TableText0"/>
              <w:jc w:val="center"/>
              <w:rPr>
                <w:vertAlign w:val="superscript"/>
              </w:rPr>
            </w:pPr>
            <w:r w:rsidRPr="0087043D">
              <w:t>$</w:t>
            </w:r>
            <w:r w:rsidR="00115F96">
              <w:rPr>
                <w:noProof/>
                <w:color w:val="000000"/>
                <w:highlight w:val="black"/>
              </w:rPr>
              <w:t>''''''''''''''''''''''</w:t>
            </w:r>
            <w:r w:rsidRPr="00BF69A0">
              <w:rPr>
                <w:vertAlign w:val="superscript"/>
              </w:rPr>
              <w:t>a</w:t>
            </w:r>
          </w:p>
        </w:tc>
        <w:tc>
          <w:tcPr>
            <w:tcW w:w="1681" w:type="pct"/>
            <w:vAlign w:val="center"/>
          </w:tcPr>
          <w:p w:rsidR="009F59D5" w:rsidRPr="0087043D" w:rsidRDefault="009F59D5" w:rsidP="00F66AC9">
            <w:pPr>
              <w:pStyle w:val="TableText0"/>
              <w:jc w:val="center"/>
              <w:rPr>
                <w:vertAlign w:val="superscript"/>
              </w:rPr>
            </w:pPr>
            <w:r w:rsidRPr="0087043D">
              <w:t>$</w:t>
            </w:r>
            <w:r w:rsidR="00115F96">
              <w:rPr>
                <w:noProof/>
                <w:color w:val="000000"/>
                <w:highlight w:val="black"/>
              </w:rPr>
              <w:t>''''''''''''''''''</w:t>
            </w:r>
            <w:r w:rsidR="00C630FB">
              <w:rPr>
                <w:noProof/>
                <w:color w:val="000000"/>
                <w:highlight w:val="black"/>
              </w:rPr>
              <w:t>''''''</w:t>
            </w:r>
            <w:r w:rsidRPr="0087043D">
              <w:rPr>
                <w:vertAlign w:val="superscript"/>
              </w:rPr>
              <w:t>a</w:t>
            </w:r>
          </w:p>
        </w:tc>
      </w:tr>
      <w:tr w:rsidR="009F59D5" w:rsidRPr="0087043D" w:rsidTr="008A0138">
        <w:tc>
          <w:tcPr>
            <w:tcW w:w="1654" w:type="pct"/>
            <w:tcBorders>
              <w:bottom w:val="single" w:sz="4" w:space="0" w:color="auto"/>
            </w:tcBorders>
          </w:tcPr>
          <w:p w:rsidR="009F59D5" w:rsidRPr="0087043D" w:rsidRDefault="009F59D5" w:rsidP="00F66AC9">
            <w:pPr>
              <w:pStyle w:val="TableText0"/>
              <w:rPr>
                <w:i/>
              </w:rPr>
            </w:pPr>
            <w:r w:rsidRPr="0087043D">
              <w:t xml:space="preserve">Administration costs </w:t>
            </w:r>
          </w:p>
        </w:tc>
        <w:tc>
          <w:tcPr>
            <w:tcW w:w="1665" w:type="pct"/>
            <w:tcBorders>
              <w:bottom w:val="single" w:sz="4" w:space="0" w:color="auto"/>
            </w:tcBorders>
            <w:vAlign w:val="center"/>
          </w:tcPr>
          <w:p w:rsidR="009F59D5" w:rsidRPr="0087043D" w:rsidRDefault="009F59D5" w:rsidP="00F66AC9">
            <w:pPr>
              <w:pStyle w:val="TableText0"/>
              <w:jc w:val="center"/>
              <w:rPr>
                <w:vertAlign w:val="superscript"/>
              </w:rPr>
            </w:pPr>
            <w:r w:rsidRPr="0087043D">
              <w:t>$849.48</w:t>
            </w:r>
            <w:r w:rsidR="00D834C3" w:rsidRPr="0087043D">
              <w:rPr>
                <w:vertAlign w:val="superscript"/>
              </w:rPr>
              <w:t>b</w:t>
            </w:r>
          </w:p>
        </w:tc>
        <w:tc>
          <w:tcPr>
            <w:tcW w:w="1681" w:type="pct"/>
            <w:tcBorders>
              <w:bottom w:val="single" w:sz="4" w:space="0" w:color="auto"/>
            </w:tcBorders>
            <w:vAlign w:val="center"/>
          </w:tcPr>
          <w:p w:rsidR="009F59D5" w:rsidRPr="0087043D" w:rsidRDefault="009F59D5" w:rsidP="00F66AC9">
            <w:pPr>
              <w:pStyle w:val="TableText0"/>
              <w:jc w:val="center"/>
              <w:rPr>
                <w:vertAlign w:val="superscript"/>
              </w:rPr>
            </w:pPr>
            <w:r w:rsidRPr="0087043D">
              <w:t>$983.64</w:t>
            </w:r>
            <w:r w:rsidR="00D834C3" w:rsidRPr="0087043D">
              <w:rPr>
                <w:vertAlign w:val="superscript"/>
              </w:rPr>
              <w:t>b</w:t>
            </w:r>
          </w:p>
        </w:tc>
      </w:tr>
      <w:tr w:rsidR="009F59D5" w:rsidRPr="0087043D" w:rsidTr="008A0138">
        <w:tc>
          <w:tcPr>
            <w:tcW w:w="1654" w:type="pct"/>
            <w:tcBorders>
              <w:bottom w:val="single" w:sz="4" w:space="0" w:color="auto"/>
            </w:tcBorders>
          </w:tcPr>
          <w:p w:rsidR="009F59D5" w:rsidRPr="0087043D" w:rsidRDefault="009F59D5" w:rsidP="00F66AC9">
            <w:pPr>
              <w:pStyle w:val="TableText0"/>
            </w:pPr>
            <w:r w:rsidRPr="0087043D">
              <w:t xml:space="preserve">Total cost per patient per course </w:t>
            </w:r>
          </w:p>
        </w:tc>
        <w:tc>
          <w:tcPr>
            <w:tcW w:w="1665" w:type="pct"/>
            <w:tcBorders>
              <w:bottom w:val="single" w:sz="4" w:space="0" w:color="auto"/>
            </w:tcBorders>
            <w:vAlign w:val="center"/>
          </w:tcPr>
          <w:p w:rsidR="009F59D5" w:rsidRPr="0087043D" w:rsidRDefault="009F59D5" w:rsidP="00F66AC9">
            <w:pPr>
              <w:pStyle w:val="TableText0"/>
              <w:jc w:val="center"/>
              <w:rPr>
                <w:vertAlign w:val="superscript"/>
              </w:rPr>
            </w:pPr>
            <w:r w:rsidRPr="0087043D">
              <w:t>$</w:t>
            </w:r>
            <w:r w:rsidR="00115F96">
              <w:rPr>
                <w:noProof/>
                <w:color w:val="000000"/>
                <w:highlight w:val="black"/>
              </w:rPr>
              <w:t>''''''''''''''''''''''</w:t>
            </w:r>
            <w:r w:rsidRPr="0087043D">
              <w:rPr>
                <w:vertAlign w:val="superscript"/>
              </w:rPr>
              <w:t>a</w:t>
            </w:r>
            <w:r w:rsidR="00D834C3" w:rsidRPr="0087043D">
              <w:rPr>
                <w:vertAlign w:val="superscript"/>
              </w:rPr>
              <w:t>,</w:t>
            </w:r>
            <w:r w:rsidR="002C2B0B" w:rsidRPr="0087043D">
              <w:rPr>
                <w:vertAlign w:val="superscript"/>
              </w:rPr>
              <w:t xml:space="preserve"> </w:t>
            </w:r>
            <w:r w:rsidR="00D834C3" w:rsidRPr="0087043D">
              <w:rPr>
                <w:vertAlign w:val="superscript"/>
              </w:rPr>
              <w:t>b</w:t>
            </w:r>
          </w:p>
        </w:tc>
        <w:tc>
          <w:tcPr>
            <w:tcW w:w="1681" w:type="pct"/>
            <w:tcBorders>
              <w:bottom w:val="single" w:sz="4" w:space="0" w:color="auto"/>
            </w:tcBorders>
            <w:vAlign w:val="center"/>
          </w:tcPr>
          <w:p w:rsidR="009F59D5" w:rsidRPr="0087043D" w:rsidRDefault="009F59D5" w:rsidP="00F66AC9">
            <w:pPr>
              <w:pStyle w:val="TableText0"/>
              <w:jc w:val="center"/>
              <w:rPr>
                <w:vertAlign w:val="superscript"/>
              </w:rPr>
            </w:pPr>
            <w:r w:rsidRPr="0087043D">
              <w:t>$</w:t>
            </w:r>
            <w:r w:rsidR="00115F96">
              <w:rPr>
                <w:noProof/>
                <w:color w:val="000000"/>
                <w:highlight w:val="black"/>
              </w:rPr>
              <w:t>''''''''''''''''''''''''</w:t>
            </w:r>
            <w:r w:rsidRPr="0087043D">
              <w:rPr>
                <w:vertAlign w:val="superscript"/>
              </w:rPr>
              <w:t>a</w:t>
            </w:r>
            <w:r w:rsidR="00D834C3" w:rsidRPr="0087043D">
              <w:rPr>
                <w:vertAlign w:val="superscript"/>
              </w:rPr>
              <w:t>,</w:t>
            </w:r>
            <w:r w:rsidR="002C2B0B" w:rsidRPr="0087043D">
              <w:rPr>
                <w:vertAlign w:val="superscript"/>
              </w:rPr>
              <w:t xml:space="preserve"> </w:t>
            </w:r>
            <w:r w:rsidR="00D834C3" w:rsidRPr="0087043D">
              <w:rPr>
                <w:vertAlign w:val="superscript"/>
              </w:rPr>
              <w:t>b</w:t>
            </w:r>
          </w:p>
        </w:tc>
      </w:tr>
    </w:tbl>
    <w:p w:rsidR="00F32A09" w:rsidRPr="0087043D" w:rsidRDefault="00F32A09" w:rsidP="00F32A09">
      <w:pPr>
        <w:pStyle w:val="TableFigureFooter"/>
      </w:pPr>
      <w:r w:rsidRPr="0087043D">
        <w:t xml:space="preserve">Source: Table 131 p226, Table 132 p227 and Table 133 p228 of the submission; Excel workbook ‘Section 3 – 1L NSCLC </w:t>
      </w:r>
      <w:proofErr w:type="spellStart"/>
      <w:r w:rsidRPr="0087043D">
        <w:t>Nivo+Ipi+Chemo</w:t>
      </w:r>
      <w:proofErr w:type="spellEnd"/>
      <w:r w:rsidRPr="0087043D">
        <w:t xml:space="preserve"> Cost-Minimisation Analysis.’</w:t>
      </w:r>
    </w:p>
    <w:p w:rsidR="00F32A09" w:rsidRPr="0087043D" w:rsidRDefault="00F32A09" w:rsidP="00F32A09">
      <w:pPr>
        <w:pStyle w:val="TableFigureFooter"/>
      </w:pPr>
      <w:r w:rsidRPr="0087043D">
        <w:t xml:space="preserve">AEMP = approved ex-manufacturer price; IPI = ipilimumab; NIVO = nivolumab </w:t>
      </w:r>
    </w:p>
    <w:p w:rsidR="00F32A09" w:rsidRPr="0087043D" w:rsidRDefault="00F32A09" w:rsidP="00F32A09">
      <w:pPr>
        <w:pStyle w:val="TableFigureFooter"/>
      </w:pPr>
      <w:proofErr w:type="gramStart"/>
      <w:r w:rsidRPr="0087043D">
        <w:rPr>
          <w:vertAlign w:val="superscript"/>
        </w:rPr>
        <w:t>a</w:t>
      </w:r>
      <w:proofErr w:type="gramEnd"/>
      <w:r w:rsidRPr="0087043D">
        <w:t xml:space="preserve"> Corrected figures: there was a calculation error in cells E8:F9, Spreadsheet ‘SQ CMA’ of the section 3 Excel workbook. The price per milligram for paclitaxel had been derived by dividing the price for 400 mg by the dose of carboplatin (600 mg) in C14 ‘SQ dosing and Assumptions’, and the price per milligram for carboplatin had been derived by dividing the cost for 600 mg by the dose of paclitaxel (374 mg) in C15 ‘‘SQ dosing and Assumptions’.</w:t>
      </w:r>
    </w:p>
    <w:p w:rsidR="009F59D5" w:rsidRPr="0087043D" w:rsidRDefault="009F59D5" w:rsidP="008A0138">
      <w:pPr>
        <w:pStyle w:val="TableFigureFooter"/>
        <w:ind w:left="142" w:hanging="142"/>
      </w:pPr>
      <w:proofErr w:type="gramStart"/>
      <w:r w:rsidRPr="0087043D">
        <w:rPr>
          <w:vertAlign w:val="superscript"/>
        </w:rPr>
        <w:t>b</w:t>
      </w:r>
      <w:proofErr w:type="gramEnd"/>
      <w:r w:rsidRPr="0087043D">
        <w:rPr>
          <w:vertAlign w:val="superscript"/>
        </w:rPr>
        <w:t xml:space="preserve"> </w:t>
      </w:r>
      <w:r w:rsidRPr="0087043D">
        <w:t>Applying the full MBS fee as of July 2020 of $67.10 for MBS item 13915 and $101.00 for MBS item 13918.</w:t>
      </w:r>
    </w:p>
    <w:p w:rsidR="00F32A09" w:rsidRPr="0087043D" w:rsidRDefault="00F32A09" w:rsidP="00F32A09">
      <w:pPr>
        <w:pStyle w:val="TableFigureHeading"/>
      </w:pPr>
      <w:bookmarkStart w:id="36" w:name="_Ref49414328"/>
      <w:r w:rsidRPr="0087043D">
        <w:t xml:space="preserve">Table </w:t>
      </w:r>
      <w:r w:rsidR="00C71489" w:rsidRPr="0087043D">
        <w:t>13</w:t>
      </w:r>
      <w:bookmarkEnd w:id="36"/>
      <w:r w:rsidRPr="0087043D">
        <w:t>: Cost-minimised price for nivolumab and ipilimumab (</w:t>
      </w:r>
      <w:r w:rsidR="00543D16" w:rsidRPr="0087043D">
        <w:t xml:space="preserve">assumed </w:t>
      </w:r>
      <w:r w:rsidRPr="0087043D">
        <w:t>effective AEMP</w:t>
      </w:r>
      <w:proofErr w:type="gramStart"/>
      <w:r w:rsidRPr="0087043D">
        <w:t>)</w:t>
      </w:r>
      <w:r w:rsidR="00CA4529" w:rsidRPr="0087043D">
        <w:rPr>
          <w:vertAlign w:val="superscript"/>
        </w:rPr>
        <w:t>a</w:t>
      </w:r>
      <w:proofErr w:type="gramEnd"/>
    </w:p>
    <w:tbl>
      <w:tblPr>
        <w:tblStyle w:val="TableGrid"/>
        <w:tblW w:w="5000" w:type="pct"/>
        <w:tblLook w:val="04A0" w:firstRow="1" w:lastRow="0" w:firstColumn="1" w:lastColumn="0" w:noHBand="0" w:noVBand="1"/>
        <w:tblCaption w:val="Table 13: Cost-minimised price for nivolumab and ipilimumab (assumed effective AEMP)a"/>
      </w:tblPr>
      <w:tblGrid>
        <w:gridCol w:w="1724"/>
        <w:gridCol w:w="965"/>
        <w:gridCol w:w="1432"/>
        <w:gridCol w:w="1288"/>
        <w:gridCol w:w="1119"/>
        <w:gridCol w:w="1029"/>
        <w:gridCol w:w="1460"/>
      </w:tblGrid>
      <w:tr w:rsidR="009F59D5" w:rsidRPr="0087043D" w:rsidTr="00EC78BA">
        <w:trPr>
          <w:tblHeader/>
        </w:trPr>
        <w:tc>
          <w:tcPr>
            <w:tcW w:w="957" w:type="pct"/>
          </w:tcPr>
          <w:p w:rsidR="009F59D5" w:rsidRPr="0087043D" w:rsidRDefault="009F59D5" w:rsidP="00F66AC9">
            <w:pPr>
              <w:pStyle w:val="In-tableHeading"/>
              <w:rPr>
                <w:lang w:val="en-AU"/>
              </w:rPr>
            </w:pPr>
          </w:p>
        </w:tc>
        <w:tc>
          <w:tcPr>
            <w:tcW w:w="536" w:type="pct"/>
            <w:vAlign w:val="center"/>
          </w:tcPr>
          <w:p w:rsidR="009F59D5" w:rsidRPr="0087043D" w:rsidRDefault="009F59D5" w:rsidP="00F66AC9">
            <w:pPr>
              <w:pStyle w:val="In-tableHeading"/>
              <w:jc w:val="center"/>
              <w:rPr>
                <w:lang w:val="en-AU"/>
              </w:rPr>
            </w:pPr>
            <w:r w:rsidRPr="0087043D">
              <w:rPr>
                <w:lang w:val="en-AU"/>
              </w:rPr>
              <w:t xml:space="preserve">Unit </w:t>
            </w:r>
          </w:p>
        </w:tc>
        <w:tc>
          <w:tcPr>
            <w:tcW w:w="795" w:type="pct"/>
            <w:vAlign w:val="center"/>
          </w:tcPr>
          <w:p w:rsidR="009F59D5" w:rsidRPr="0087043D" w:rsidRDefault="009F59D5" w:rsidP="00F66AC9">
            <w:pPr>
              <w:pStyle w:val="In-tableHeading"/>
              <w:jc w:val="center"/>
              <w:rPr>
                <w:lang w:val="en-AU"/>
              </w:rPr>
            </w:pPr>
            <w:r w:rsidRPr="0087043D">
              <w:rPr>
                <w:lang w:val="en-AU"/>
              </w:rPr>
              <w:t>Unit cost</w:t>
            </w:r>
          </w:p>
          <w:p w:rsidR="009F59D5" w:rsidRPr="0087043D" w:rsidRDefault="009F59D5" w:rsidP="00F66AC9">
            <w:pPr>
              <w:pStyle w:val="In-tableHeading"/>
              <w:jc w:val="center"/>
              <w:rPr>
                <w:lang w:val="en-AU"/>
              </w:rPr>
            </w:pPr>
            <w:r w:rsidRPr="0087043D">
              <w:rPr>
                <w:lang w:val="en-AU"/>
              </w:rPr>
              <w:t>Effective</w:t>
            </w:r>
          </w:p>
          <w:p w:rsidR="009F59D5" w:rsidRPr="0087043D" w:rsidRDefault="009F59D5" w:rsidP="00F66AC9">
            <w:pPr>
              <w:pStyle w:val="In-tableHeading"/>
              <w:jc w:val="center"/>
              <w:rPr>
                <w:lang w:val="en-AU"/>
              </w:rPr>
            </w:pPr>
            <w:r w:rsidRPr="0087043D">
              <w:rPr>
                <w:lang w:val="en-AU"/>
              </w:rPr>
              <w:t>AEMP</w:t>
            </w:r>
          </w:p>
        </w:tc>
        <w:tc>
          <w:tcPr>
            <w:tcW w:w="715" w:type="pct"/>
            <w:vAlign w:val="center"/>
          </w:tcPr>
          <w:p w:rsidR="009F59D5" w:rsidRPr="0087043D" w:rsidRDefault="009F59D5" w:rsidP="00F66AC9">
            <w:pPr>
              <w:pStyle w:val="In-tableHeading"/>
              <w:jc w:val="center"/>
              <w:rPr>
                <w:lang w:val="en-AU"/>
              </w:rPr>
            </w:pPr>
            <w:r w:rsidRPr="0087043D">
              <w:rPr>
                <w:lang w:val="en-AU"/>
              </w:rPr>
              <w:t>Dose</w:t>
            </w:r>
          </w:p>
        </w:tc>
        <w:tc>
          <w:tcPr>
            <w:tcW w:w="615" w:type="pct"/>
            <w:vAlign w:val="center"/>
          </w:tcPr>
          <w:p w:rsidR="009F59D5" w:rsidRPr="0087043D" w:rsidRDefault="009F59D5" w:rsidP="00F66AC9">
            <w:pPr>
              <w:pStyle w:val="In-tableHeading"/>
              <w:jc w:val="center"/>
              <w:rPr>
                <w:lang w:val="en-AU"/>
              </w:rPr>
            </w:pPr>
            <w:r w:rsidRPr="0087043D">
              <w:rPr>
                <w:lang w:val="en-AU"/>
              </w:rPr>
              <w:t>Effective AEMP/dose</w:t>
            </w:r>
          </w:p>
        </w:tc>
        <w:tc>
          <w:tcPr>
            <w:tcW w:w="571" w:type="pct"/>
            <w:vAlign w:val="center"/>
          </w:tcPr>
          <w:p w:rsidR="009F59D5" w:rsidRPr="0087043D" w:rsidRDefault="009F59D5" w:rsidP="00F66AC9">
            <w:pPr>
              <w:pStyle w:val="In-tableHeading"/>
              <w:jc w:val="center"/>
              <w:rPr>
                <w:lang w:val="en-AU"/>
              </w:rPr>
            </w:pPr>
            <w:r w:rsidRPr="0087043D">
              <w:rPr>
                <w:lang w:val="en-AU"/>
              </w:rPr>
              <w:t>Duration treatment</w:t>
            </w:r>
          </w:p>
          <w:p w:rsidR="009F59D5" w:rsidRPr="0087043D" w:rsidRDefault="009F59D5" w:rsidP="00F66AC9">
            <w:pPr>
              <w:pStyle w:val="In-tableHeading"/>
              <w:jc w:val="center"/>
              <w:rPr>
                <w:lang w:val="en-AU"/>
              </w:rPr>
            </w:pPr>
            <w:r w:rsidRPr="0087043D">
              <w:rPr>
                <w:lang w:val="en-AU"/>
              </w:rPr>
              <w:t>(doses)</w:t>
            </w:r>
          </w:p>
        </w:tc>
        <w:tc>
          <w:tcPr>
            <w:tcW w:w="810" w:type="pct"/>
            <w:vAlign w:val="center"/>
          </w:tcPr>
          <w:p w:rsidR="009F59D5" w:rsidRPr="0087043D" w:rsidRDefault="009F59D5" w:rsidP="00F66AC9">
            <w:pPr>
              <w:pStyle w:val="In-tableHeading"/>
              <w:jc w:val="center"/>
              <w:rPr>
                <w:lang w:val="en-AU"/>
              </w:rPr>
            </w:pPr>
            <w:r w:rsidRPr="0087043D">
              <w:rPr>
                <w:lang w:val="en-AU"/>
              </w:rPr>
              <w:t>Total effective cost</w:t>
            </w:r>
          </w:p>
        </w:tc>
      </w:tr>
      <w:tr w:rsidR="009F59D5" w:rsidRPr="0087043D" w:rsidTr="008A0138">
        <w:tc>
          <w:tcPr>
            <w:tcW w:w="957" w:type="pct"/>
            <w:vMerge w:val="restart"/>
            <w:vAlign w:val="center"/>
          </w:tcPr>
          <w:p w:rsidR="009F59D5" w:rsidRPr="0087043D" w:rsidRDefault="009F59D5" w:rsidP="00F66AC9">
            <w:pPr>
              <w:pStyle w:val="TableText0"/>
              <w:ind w:left="29"/>
            </w:pPr>
            <w:r w:rsidRPr="0087043D">
              <w:t xml:space="preserve">Nivolumab </w:t>
            </w:r>
          </w:p>
        </w:tc>
        <w:tc>
          <w:tcPr>
            <w:tcW w:w="536" w:type="pct"/>
            <w:vAlign w:val="center"/>
          </w:tcPr>
          <w:p w:rsidR="009F59D5" w:rsidRPr="0087043D" w:rsidRDefault="009F59D5" w:rsidP="00F66AC9">
            <w:pPr>
              <w:pStyle w:val="TableText0"/>
              <w:jc w:val="center"/>
            </w:pPr>
            <w:r w:rsidRPr="0087043D">
              <w:t>100 mg</w:t>
            </w:r>
          </w:p>
        </w:tc>
        <w:tc>
          <w:tcPr>
            <w:tcW w:w="795" w:type="pct"/>
            <w:vAlign w:val="center"/>
          </w:tcPr>
          <w:p w:rsidR="009F59D5" w:rsidRPr="0087043D" w:rsidRDefault="009F59D5" w:rsidP="00F66AC9">
            <w:pPr>
              <w:pStyle w:val="TableText0"/>
              <w:jc w:val="center"/>
              <w:rPr>
                <w:b/>
              </w:rPr>
            </w:pPr>
            <w:r w:rsidRPr="0087043D">
              <w:rPr>
                <w:b/>
              </w:rPr>
              <w:t>$</w:t>
            </w:r>
            <w:r w:rsidR="00115F96">
              <w:rPr>
                <w:b/>
                <w:noProof/>
                <w:color w:val="000000"/>
                <w:highlight w:val="black"/>
              </w:rPr>
              <w:t>'''''''''''''</w:t>
            </w:r>
          </w:p>
        </w:tc>
        <w:tc>
          <w:tcPr>
            <w:tcW w:w="715" w:type="pct"/>
            <w:vMerge w:val="restart"/>
            <w:vAlign w:val="center"/>
          </w:tcPr>
          <w:p w:rsidR="009F59D5" w:rsidRPr="0087043D" w:rsidRDefault="009F59D5" w:rsidP="00F66AC9">
            <w:pPr>
              <w:pStyle w:val="TableText0"/>
              <w:jc w:val="center"/>
            </w:pPr>
            <w:r w:rsidRPr="0087043D">
              <w:t>360 mg</w:t>
            </w:r>
          </w:p>
        </w:tc>
        <w:tc>
          <w:tcPr>
            <w:tcW w:w="615" w:type="pct"/>
            <w:vMerge w:val="restart"/>
            <w:vAlign w:val="center"/>
          </w:tcPr>
          <w:p w:rsidR="009F59D5" w:rsidRPr="0087043D" w:rsidRDefault="009F59D5" w:rsidP="00F66AC9">
            <w:pPr>
              <w:pStyle w:val="TableText0"/>
              <w:jc w:val="center"/>
            </w:pPr>
            <w:r w:rsidRPr="0087043D">
              <w:t>$</w:t>
            </w:r>
            <w:r w:rsidR="00115F96">
              <w:rPr>
                <w:noProof/>
                <w:color w:val="000000"/>
                <w:highlight w:val="black"/>
              </w:rPr>
              <w:t>''''''''''''''''''''''</w:t>
            </w:r>
          </w:p>
        </w:tc>
        <w:tc>
          <w:tcPr>
            <w:tcW w:w="571" w:type="pct"/>
            <w:vMerge w:val="restart"/>
            <w:vAlign w:val="center"/>
          </w:tcPr>
          <w:p w:rsidR="009F59D5" w:rsidRPr="0087043D" w:rsidRDefault="009F59D5" w:rsidP="00F66AC9">
            <w:pPr>
              <w:pStyle w:val="TableText0"/>
              <w:jc w:val="center"/>
            </w:pPr>
            <w:r w:rsidRPr="0087043D">
              <w:t>11.7</w:t>
            </w:r>
          </w:p>
        </w:tc>
        <w:tc>
          <w:tcPr>
            <w:tcW w:w="810" w:type="pct"/>
            <w:vMerge w:val="restart"/>
            <w:vAlign w:val="center"/>
          </w:tcPr>
          <w:p w:rsidR="009F59D5" w:rsidRPr="0087043D" w:rsidRDefault="009F59D5" w:rsidP="00F66AC9">
            <w:pPr>
              <w:pStyle w:val="TableText0"/>
              <w:jc w:val="center"/>
            </w:pPr>
            <w:r w:rsidRPr="0087043D">
              <w:t>$</w:t>
            </w:r>
            <w:r w:rsidR="00115F96">
              <w:rPr>
                <w:noProof/>
                <w:color w:val="000000"/>
                <w:highlight w:val="black"/>
              </w:rPr>
              <w:t>''''''''''''''''''''''''</w:t>
            </w:r>
          </w:p>
        </w:tc>
      </w:tr>
      <w:tr w:rsidR="009F59D5" w:rsidRPr="0087043D" w:rsidTr="008A0138">
        <w:tc>
          <w:tcPr>
            <w:tcW w:w="957" w:type="pct"/>
            <w:vMerge/>
            <w:vAlign w:val="center"/>
          </w:tcPr>
          <w:p w:rsidR="009F59D5" w:rsidRPr="0087043D" w:rsidRDefault="009F59D5" w:rsidP="00F66AC9">
            <w:pPr>
              <w:pStyle w:val="TableText0"/>
              <w:ind w:left="29"/>
            </w:pPr>
          </w:p>
        </w:tc>
        <w:tc>
          <w:tcPr>
            <w:tcW w:w="536" w:type="pct"/>
            <w:vAlign w:val="center"/>
          </w:tcPr>
          <w:p w:rsidR="009F59D5" w:rsidRPr="0087043D" w:rsidRDefault="009F59D5" w:rsidP="00F66AC9">
            <w:pPr>
              <w:pStyle w:val="TableText0"/>
              <w:jc w:val="center"/>
            </w:pPr>
            <w:r w:rsidRPr="0087043D">
              <w:t>40 mg</w:t>
            </w:r>
          </w:p>
        </w:tc>
        <w:tc>
          <w:tcPr>
            <w:tcW w:w="795" w:type="pct"/>
            <w:vAlign w:val="center"/>
          </w:tcPr>
          <w:p w:rsidR="009F59D5" w:rsidRPr="0087043D" w:rsidRDefault="009F59D5" w:rsidP="00F66AC9">
            <w:pPr>
              <w:pStyle w:val="TableText0"/>
              <w:jc w:val="center"/>
              <w:rPr>
                <w:b/>
              </w:rPr>
            </w:pPr>
            <w:r w:rsidRPr="0087043D">
              <w:rPr>
                <w:b/>
              </w:rPr>
              <w:t>$</w:t>
            </w:r>
            <w:r w:rsidR="00115F96">
              <w:rPr>
                <w:b/>
                <w:noProof/>
                <w:color w:val="000000"/>
                <w:highlight w:val="black"/>
              </w:rPr>
              <w:t>''''''''''''''</w:t>
            </w:r>
          </w:p>
        </w:tc>
        <w:tc>
          <w:tcPr>
            <w:tcW w:w="715" w:type="pct"/>
            <w:vMerge/>
            <w:vAlign w:val="center"/>
          </w:tcPr>
          <w:p w:rsidR="009F59D5" w:rsidRPr="0087043D" w:rsidRDefault="009F59D5" w:rsidP="00F66AC9">
            <w:pPr>
              <w:pStyle w:val="TableText0"/>
              <w:jc w:val="center"/>
            </w:pPr>
          </w:p>
        </w:tc>
        <w:tc>
          <w:tcPr>
            <w:tcW w:w="615" w:type="pct"/>
            <w:vMerge/>
            <w:vAlign w:val="center"/>
          </w:tcPr>
          <w:p w:rsidR="009F59D5" w:rsidRPr="0087043D" w:rsidRDefault="009F59D5" w:rsidP="00F66AC9">
            <w:pPr>
              <w:pStyle w:val="TableText0"/>
              <w:jc w:val="center"/>
            </w:pPr>
          </w:p>
        </w:tc>
        <w:tc>
          <w:tcPr>
            <w:tcW w:w="571" w:type="pct"/>
            <w:vMerge/>
            <w:vAlign w:val="center"/>
          </w:tcPr>
          <w:p w:rsidR="009F59D5" w:rsidRPr="0087043D" w:rsidRDefault="009F59D5" w:rsidP="00F66AC9">
            <w:pPr>
              <w:pStyle w:val="TableText0"/>
              <w:jc w:val="center"/>
            </w:pPr>
          </w:p>
        </w:tc>
        <w:tc>
          <w:tcPr>
            <w:tcW w:w="810" w:type="pct"/>
            <w:vMerge/>
            <w:vAlign w:val="center"/>
          </w:tcPr>
          <w:p w:rsidR="009F59D5" w:rsidRPr="0087043D" w:rsidRDefault="009F59D5" w:rsidP="00F66AC9">
            <w:pPr>
              <w:pStyle w:val="TableText0"/>
              <w:jc w:val="center"/>
            </w:pPr>
          </w:p>
        </w:tc>
      </w:tr>
      <w:tr w:rsidR="009F59D5" w:rsidRPr="0087043D" w:rsidTr="008A0138">
        <w:tc>
          <w:tcPr>
            <w:tcW w:w="957" w:type="pct"/>
            <w:tcBorders>
              <w:bottom w:val="single" w:sz="4" w:space="0" w:color="auto"/>
            </w:tcBorders>
            <w:vAlign w:val="center"/>
          </w:tcPr>
          <w:p w:rsidR="009F59D5" w:rsidRPr="0087043D" w:rsidRDefault="009F59D5" w:rsidP="00F66AC9">
            <w:pPr>
              <w:pStyle w:val="TableText0"/>
              <w:ind w:left="29"/>
            </w:pPr>
            <w:r w:rsidRPr="0087043D">
              <w:t xml:space="preserve">Ipilimumab </w:t>
            </w:r>
          </w:p>
        </w:tc>
        <w:tc>
          <w:tcPr>
            <w:tcW w:w="536" w:type="pct"/>
            <w:tcBorders>
              <w:bottom w:val="single" w:sz="4" w:space="0" w:color="auto"/>
            </w:tcBorders>
            <w:vAlign w:val="center"/>
          </w:tcPr>
          <w:p w:rsidR="009F59D5" w:rsidRPr="0087043D" w:rsidRDefault="009F59D5" w:rsidP="00F66AC9">
            <w:pPr>
              <w:pStyle w:val="TableText0"/>
              <w:jc w:val="center"/>
            </w:pPr>
            <w:r w:rsidRPr="0087043D">
              <w:t>50 mg</w:t>
            </w:r>
          </w:p>
        </w:tc>
        <w:tc>
          <w:tcPr>
            <w:tcW w:w="795" w:type="pct"/>
            <w:tcBorders>
              <w:bottom w:val="single" w:sz="4" w:space="0" w:color="auto"/>
            </w:tcBorders>
            <w:vAlign w:val="center"/>
          </w:tcPr>
          <w:p w:rsidR="009F59D5" w:rsidRPr="0087043D" w:rsidRDefault="009F59D5" w:rsidP="00F66AC9">
            <w:pPr>
              <w:pStyle w:val="TableText0"/>
              <w:jc w:val="center"/>
              <w:rPr>
                <w:vertAlign w:val="superscript"/>
              </w:rPr>
            </w:pPr>
            <w:r w:rsidRPr="0087043D">
              <w:rPr>
                <w:b/>
              </w:rPr>
              <w:t>$</w:t>
            </w:r>
            <w:r w:rsidR="00115F96">
              <w:rPr>
                <w:b/>
                <w:noProof/>
                <w:color w:val="000000"/>
                <w:highlight w:val="black"/>
              </w:rPr>
              <w:t>'''''''''''''''''</w:t>
            </w:r>
          </w:p>
        </w:tc>
        <w:tc>
          <w:tcPr>
            <w:tcW w:w="715" w:type="pct"/>
            <w:tcBorders>
              <w:bottom w:val="single" w:sz="4" w:space="0" w:color="auto"/>
            </w:tcBorders>
            <w:vAlign w:val="center"/>
          </w:tcPr>
          <w:p w:rsidR="009F59D5" w:rsidRPr="0087043D" w:rsidRDefault="009F59D5" w:rsidP="00F66AC9">
            <w:pPr>
              <w:pStyle w:val="TableText0"/>
              <w:jc w:val="center"/>
            </w:pPr>
            <w:r w:rsidRPr="0087043D">
              <w:t>72.55 mg</w:t>
            </w:r>
          </w:p>
        </w:tc>
        <w:tc>
          <w:tcPr>
            <w:tcW w:w="615" w:type="pct"/>
            <w:tcBorders>
              <w:bottom w:val="single" w:sz="4" w:space="0" w:color="auto"/>
            </w:tcBorders>
            <w:vAlign w:val="center"/>
          </w:tcPr>
          <w:p w:rsidR="009F59D5" w:rsidRPr="0087043D" w:rsidRDefault="009F59D5" w:rsidP="00F66AC9">
            <w:pPr>
              <w:pStyle w:val="TableText0"/>
              <w:jc w:val="center"/>
              <w:rPr>
                <w:vertAlign w:val="superscript"/>
              </w:rPr>
            </w:pPr>
            <w:r w:rsidRPr="0087043D">
              <w:t>$</w:t>
            </w:r>
            <w:r w:rsidR="00115F96">
              <w:rPr>
                <w:noProof/>
                <w:color w:val="000000"/>
                <w:highlight w:val="black"/>
              </w:rPr>
              <w:t>''''''''''''''''''''</w:t>
            </w:r>
          </w:p>
        </w:tc>
        <w:tc>
          <w:tcPr>
            <w:tcW w:w="571" w:type="pct"/>
            <w:tcBorders>
              <w:bottom w:val="single" w:sz="4" w:space="0" w:color="auto"/>
            </w:tcBorders>
            <w:vAlign w:val="center"/>
          </w:tcPr>
          <w:p w:rsidR="009F59D5" w:rsidRPr="0087043D" w:rsidRDefault="009F59D5" w:rsidP="00F66AC9">
            <w:pPr>
              <w:pStyle w:val="TableText0"/>
              <w:jc w:val="center"/>
            </w:pPr>
            <w:r w:rsidRPr="0087043D">
              <w:t>6.0</w:t>
            </w:r>
          </w:p>
        </w:tc>
        <w:tc>
          <w:tcPr>
            <w:tcW w:w="810" w:type="pct"/>
            <w:vAlign w:val="center"/>
          </w:tcPr>
          <w:p w:rsidR="009F59D5" w:rsidRPr="0087043D" w:rsidRDefault="009F59D5" w:rsidP="00F66AC9">
            <w:pPr>
              <w:pStyle w:val="TableText0"/>
              <w:jc w:val="center"/>
              <w:rPr>
                <w:vertAlign w:val="superscript"/>
              </w:rPr>
            </w:pPr>
            <w:r w:rsidRPr="0087043D">
              <w:t>$</w:t>
            </w:r>
            <w:r w:rsidR="00115F96">
              <w:rPr>
                <w:noProof/>
                <w:color w:val="000000"/>
                <w:highlight w:val="black"/>
              </w:rPr>
              <w:t>'''''''''''''''''''''''</w:t>
            </w:r>
          </w:p>
        </w:tc>
      </w:tr>
      <w:tr w:rsidR="009F59D5" w:rsidRPr="0087043D" w:rsidTr="008A0138">
        <w:tc>
          <w:tcPr>
            <w:tcW w:w="957" w:type="pct"/>
            <w:tcBorders>
              <w:right w:val="nil"/>
            </w:tcBorders>
            <w:vAlign w:val="center"/>
          </w:tcPr>
          <w:p w:rsidR="009F59D5" w:rsidRPr="0087043D" w:rsidRDefault="009F59D5" w:rsidP="00F66AC9">
            <w:pPr>
              <w:pStyle w:val="TableText0"/>
              <w:ind w:left="29"/>
            </w:pPr>
            <w:r w:rsidRPr="0087043D">
              <w:t>Total</w:t>
            </w:r>
          </w:p>
        </w:tc>
        <w:tc>
          <w:tcPr>
            <w:tcW w:w="536" w:type="pct"/>
            <w:tcBorders>
              <w:left w:val="nil"/>
              <w:right w:val="nil"/>
            </w:tcBorders>
            <w:vAlign w:val="center"/>
          </w:tcPr>
          <w:p w:rsidR="009F59D5" w:rsidRPr="0087043D" w:rsidRDefault="009F59D5" w:rsidP="00F66AC9">
            <w:pPr>
              <w:pStyle w:val="TableText0"/>
              <w:jc w:val="center"/>
            </w:pPr>
          </w:p>
        </w:tc>
        <w:tc>
          <w:tcPr>
            <w:tcW w:w="795" w:type="pct"/>
            <w:tcBorders>
              <w:left w:val="nil"/>
              <w:right w:val="nil"/>
            </w:tcBorders>
            <w:vAlign w:val="center"/>
          </w:tcPr>
          <w:p w:rsidR="009F59D5" w:rsidRPr="0087043D" w:rsidRDefault="009F59D5" w:rsidP="00F66AC9">
            <w:pPr>
              <w:pStyle w:val="TableText0"/>
              <w:jc w:val="center"/>
            </w:pPr>
          </w:p>
        </w:tc>
        <w:tc>
          <w:tcPr>
            <w:tcW w:w="715" w:type="pct"/>
            <w:tcBorders>
              <w:left w:val="nil"/>
              <w:right w:val="nil"/>
            </w:tcBorders>
            <w:vAlign w:val="center"/>
          </w:tcPr>
          <w:p w:rsidR="009F59D5" w:rsidRPr="0087043D" w:rsidRDefault="009F59D5" w:rsidP="00F66AC9">
            <w:pPr>
              <w:pStyle w:val="TableText0"/>
              <w:jc w:val="center"/>
            </w:pPr>
          </w:p>
        </w:tc>
        <w:tc>
          <w:tcPr>
            <w:tcW w:w="615" w:type="pct"/>
            <w:tcBorders>
              <w:left w:val="nil"/>
              <w:right w:val="nil"/>
            </w:tcBorders>
            <w:vAlign w:val="center"/>
          </w:tcPr>
          <w:p w:rsidR="009F59D5" w:rsidRPr="0087043D" w:rsidRDefault="009F59D5" w:rsidP="00F66AC9">
            <w:pPr>
              <w:pStyle w:val="TableText0"/>
              <w:jc w:val="center"/>
            </w:pPr>
          </w:p>
        </w:tc>
        <w:tc>
          <w:tcPr>
            <w:tcW w:w="571" w:type="pct"/>
            <w:tcBorders>
              <w:left w:val="nil"/>
            </w:tcBorders>
            <w:vAlign w:val="center"/>
          </w:tcPr>
          <w:p w:rsidR="009F59D5" w:rsidRPr="0087043D" w:rsidRDefault="009F59D5" w:rsidP="00F66AC9">
            <w:pPr>
              <w:pStyle w:val="TableText0"/>
              <w:jc w:val="center"/>
            </w:pPr>
          </w:p>
        </w:tc>
        <w:tc>
          <w:tcPr>
            <w:tcW w:w="810" w:type="pct"/>
            <w:vAlign w:val="center"/>
          </w:tcPr>
          <w:p w:rsidR="009F59D5" w:rsidRPr="0087043D" w:rsidRDefault="009F59D5" w:rsidP="00F66AC9">
            <w:pPr>
              <w:pStyle w:val="TableText0"/>
              <w:jc w:val="center"/>
              <w:rPr>
                <w:vertAlign w:val="superscript"/>
              </w:rPr>
            </w:pPr>
            <w:r w:rsidRPr="0087043D">
              <w:t>$</w:t>
            </w:r>
            <w:r w:rsidR="00115F96">
              <w:rPr>
                <w:noProof/>
                <w:color w:val="000000"/>
                <w:highlight w:val="black"/>
              </w:rPr>
              <w:t>'''''''''''''''''''''</w:t>
            </w:r>
          </w:p>
        </w:tc>
      </w:tr>
    </w:tbl>
    <w:p w:rsidR="00F32A09" w:rsidRPr="0087043D" w:rsidRDefault="00F32A09" w:rsidP="00F32A09">
      <w:pPr>
        <w:pStyle w:val="TableFigureFooter"/>
      </w:pPr>
      <w:r w:rsidRPr="0087043D">
        <w:t xml:space="preserve">Source: Table 132, p227 of the submission; Excel workbook ‘Section 3 – 1L NSCLC </w:t>
      </w:r>
      <w:proofErr w:type="spellStart"/>
      <w:r w:rsidRPr="0087043D">
        <w:t>Nivo+Ipi+Chemo</w:t>
      </w:r>
      <w:proofErr w:type="spellEnd"/>
      <w:r w:rsidRPr="0087043D">
        <w:t xml:space="preserve"> Cost-Minimisation Analysis.’</w:t>
      </w:r>
    </w:p>
    <w:p w:rsidR="00F32A09" w:rsidRPr="0087043D" w:rsidRDefault="00F32A09" w:rsidP="00F32A09">
      <w:pPr>
        <w:pStyle w:val="TableFigureFooter"/>
      </w:pPr>
      <w:r w:rsidRPr="0087043D">
        <w:t>AEMP = approved ex-manufacturer price</w:t>
      </w:r>
    </w:p>
    <w:p w:rsidR="00F32A09" w:rsidRPr="0087043D" w:rsidRDefault="00F32A09" w:rsidP="00F32A09">
      <w:pPr>
        <w:pStyle w:val="TableFigureFooter"/>
      </w:pPr>
      <w:proofErr w:type="gramStart"/>
      <w:r w:rsidRPr="0087043D">
        <w:rPr>
          <w:vertAlign w:val="superscript"/>
        </w:rPr>
        <w:t>a</w:t>
      </w:r>
      <w:proofErr w:type="gramEnd"/>
      <w:r w:rsidRPr="0087043D">
        <w:t xml:space="preserve"> Corrected figures as described for </w:t>
      </w:r>
      <w:r w:rsidR="00C71489" w:rsidRPr="0087043D">
        <w:t>Table 12</w:t>
      </w:r>
    </w:p>
    <w:p w:rsidR="00F32A09" w:rsidRPr="0087043D" w:rsidRDefault="00F32A09" w:rsidP="00F32A09">
      <w:pPr>
        <w:pStyle w:val="TableFigureFooter"/>
      </w:pPr>
      <w:r w:rsidRPr="0087043D">
        <w:t>Figures in bold are the cost-minimised effective AEMP for nivolumab and ipilimumab.</w:t>
      </w:r>
    </w:p>
    <w:p w:rsidR="00716C52" w:rsidRPr="0087043D" w:rsidRDefault="00716C52" w:rsidP="00716C52">
      <w:pPr>
        <w:pStyle w:val="3-BodyText"/>
      </w:pPr>
      <w:r w:rsidRPr="0087043D">
        <w:t>The key source of uncertainty in the CMA was the extent of underestimation of the true duration of therapy resulting from the use of the truncated mean duration of therapy from the key trials, especially given the immaturity of the data in KN407. To assess the impact of duration of therapy on the outcome of the CMA, the following sensitivity analyses were performed during the evaluation:</w:t>
      </w:r>
    </w:p>
    <w:p w:rsidR="00716C52" w:rsidRPr="0087043D" w:rsidRDefault="00716C52" w:rsidP="008A0138">
      <w:pPr>
        <w:pStyle w:val="ListParagraph"/>
        <w:numPr>
          <w:ilvl w:val="0"/>
          <w:numId w:val="15"/>
        </w:numPr>
        <w:ind w:left="1134"/>
      </w:pPr>
      <w:r w:rsidRPr="0087043D">
        <w:t xml:space="preserve">The mean number of doses per patient per course of nivolumab and </w:t>
      </w:r>
      <w:proofErr w:type="spellStart"/>
      <w:r w:rsidRPr="0087043D">
        <w:t>pembrolizumab</w:t>
      </w:r>
      <w:proofErr w:type="spellEnd"/>
      <w:r w:rsidRPr="0087043D">
        <w:t xml:space="preserve"> in both non-squamous and squamous NSCLC was assumed to be equal to the mean number of doses for </w:t>
      </w:r>
      <w:proofErr w:type="spellStart"/>
      <w:r w:rsidRPr="0087043D">
        <w:t>pembrolizumab</w:t>
      </w:r>
      <w:proofErr w:type="spellEnd"/>
      <w:r w:rsidRPr="0087043D">
        <w:t xml:space="preserve"> in KN189 (weighted mean of 13.76 doses)</w:t>
      </w:r>
      <w:r w:rsidRPr="0087043D">
        <w:rPr>
          <w:rStyle w:val="FootnoteReference"/>
        </w:rPr>
        <w:footnoteReference w:id="5"/>
      </w:r>
      <w:r w:rsidRPr="0087043D">
        <w:t xml:space="preserve">. The number of doses of ipilimumab was adjusted to maintain the ratio of doses of </w:t>
      </w:r>
      <w:proofErr w:type="spellStart"/>
      <w:r w:rsidRPr="0087043D">
        <w:t>nivolumab</w:t>
      </w:r>
      <w:proofErr w:type="gramStart"/>
      <w:r w:rsidRPr="0087043D">
        <w:t>:ipilimumab</w:t>
      </w:r>
      <w:proofErr w:type="spellEnd"/>
      <w:proofErr w:type="gramEnd"/>
      <w:r w:rsidRPr="0087043D">
        <w:t xml:space="preserve"> of 11.7:6.0.</w:t>
      </w:r>
    </w:p>
    <w:p w:rsidR="00716C52" w:rsidRPr="0087043D" w:rsidRDefault="00716C52" w:rsidP="008A0138">
      <w:pPr>
        <w:pStyle w:val="ListParagraph"/>
        <w:numPr>
          <w:ilvl w:val="0"/>
          <w:numId w:val="15"/>
        </w:numPr>
        <w:ind w:left="1134"/>
      </w:pPr>
      <w:r w:rsidRPr="0087043D">
        <w:t xml:space="preserve">The mean number of doses per patient per course of nivolumab and </w:t>
      </w:r>
      <w:proofErr w:type="spellStart"/>
      <w:r w:rsidRPr="0087043D">
        <w:t>pembrolizumab</w:t>
      </w:r>
      <w:proofErr w:type="spellEnd"/>
      <w:r w:rsidRPr="0087043D">
        <w:t xml:space="preserve"> in both non-squamous and squamous NSCLC was assumed to be equal to the mean number of doses for nivolumab in CM9LA (11.7 doses). The number of doses of </w:t>
      </w:r>
      <w:proofErr w:type="spellStart"/>
      <w:r w:rsidRPr="0087043D">
        <w:t>pemetrexed</w:t>
      </w:r>
      <w:proofErr w:type="spellEnd"/>
      <w:r w:rsidRPr="0087043D">
        <w:t xml:space="preserve"> when used with </w:t>
      </w:r>
      <w:proofErr w:type="spellStart"/>
      <w:r w:rsidRPr="0087043D">
        <w:t>pembrolizumab</w:t>
      </w:r>
      <w:proofErr w:type="spellEnd"/>
      <w:r w:rsidRPr="0087043D">
        <w:t xml:space="preserve"> was adjusted to maintain the ratio of doses of </w:t>
      </w:r>
      <w:proofErr w:type="spellStart"/>
      <w:r w:rsidRPr="0087043D">
        <w:t>pembrolizumab</w:t>
      </w:r>
      <w:proofErr w:type="gramStart"/>
      <w:r w:rsidRPr="0087043D">
        <w:t>:pemetrexed</w:t>
      </w:r>
      <w:proofErr w:type="spellEnd"/>
      <w:proofErr w:type="gramEnd"/>
      <w:r w:rsidRPr="0087043D">
        <w:t xml:space="preserve"> of 13.76:11.70</w:t>
      </w:r>
      <w:r w:rsidRPr="0087043D">
        <w:rPr>
          <w:rStyle w:val="FootnoteReference"/>
        </w:rPr>
        <w:footnoteReference w:id="6"/>
      </w:r>
      <w:r w:rsidRPr="0087043D">
        <w:t>.</w:t>
      </w:r>
    </w:p>
    <w:p w:rsidR="00D31DFE" w:rsidRPr="0087043D" w:rsidRDefault="00324125" w:rsidP="00324125">
      <w:pPr>
        <w:pStyle w:val="3-BodyText"/>
      </w:pPr>
      <w:r w:rsidRPr="0087043D">
        <w:t>The results of the sensitivity analyses are presented</w:t>
      </w:r>
      <w:r w:rsidR="002C2B0B" w:rsidRPr="0087043D">
        <w:t xml:space="preserve"> below</w:t>
      </w:r>
      <w:r w:rsidRPr="0087043D">
        <w:t>.</w:t>
      </w:r>
    </w:p>
    <w:p w:rsidR="00324125" w:rsidRPr="0087043D" w:rsidRDefault="00324125" w:rsidP="00324125">
      <w:pPr>
        <w:pStyle w:val="TableFigureHeading"/>
      </w:pPr>
      <w:bookmarkStart w:id="37" w:name="_Ref49414124"/>
      <w:r w:rsidRPr="0087043D">
        <w:t xml:space="preserve">Table </w:t>
      </w:r>
      <w:r w:rsidR="00C71489" w:rsidRPr="0087043D">
        <w:t>14</w:t>
      </w:r>
      <w:bookmarkEnd w:id="37"/>
      <w:r w:rsidRPr="0087043D">
        <w:t xml:space="preserve">: Results of the sensitivity analyses – price for nivolumab and ipilimumab </w:t>
      </w:r>
      <w:r w:rsidR="00157B29" w:rsidRPr="0087043D">
        <w:t xml:space="preserve">based on cost-minimised price </w:t>
      </w:r>
      <w:r w:rsidRPr="0087043D">
        <w:t>(</w:t>
      </w:r>
      <w:r w:rsidR="00543D16" w:rsidRPr="0087043D">
        <w:t xml:space="preserve">assumed </w:t>
      </w:r>
      <w:r w:rsidRPr="0087043D">
        <w:t>effective AEMP</w:t>
      </w:r>
      <w:proofErr w:type="gramStart"/>
      <w:r w:rsidRPr="0087043D">
        <w:t>)</w:t>
      </w:r>
      <w:r w:rsidR="00F709FA" w:rsidRPr="0087043D">
        <w:rPr>
          <w:vertAlign w:val="superscript"/>
        </w:rPr>
        <w:t>a</w:t>
      </w:r>
      <w:proofErr w:type="gramEnd"/>
    </w:p>
    <w:tbl>
      <w:tblPr>
        <w:tblStyle w:val="TableGrid"/>
        <w:tblW w:w="5000" w:type="pct"/>
        <w:tblLook w:val="04A0" w:firstRow="1" w:lastRow="0" w:firstColumn="1" w:lastColumn="0" w:noHBand="0" w:noVBand="1"/>
        <w:tblCaption w:val="Table 14: Results of the sensitivity analyses – price for nivolumab and ipilimumab based on cost-minimised price (assumed effective AEMP)a"/>
      </w:tblPr>
      <w:tblGrid>
        <w:gridCol w:w="1686"/>
        <w:gridCol w:w="954"/>
        <w:gridCol w:w="1527"/>
        <w:gridCol w:w="1266"/>
        <w:gridCol w:w="1119"/>
        <w:gridCol w:w="1025"/>
        <w:gridCol w:w="1440"/>
      </w:tblGrid>
      <w:tr w:rsidR="004960E4" w:rsidRPr="008A0138" w:rsidTr="00EC78BA">
        <w:trPr>
          <w:tblHeader/>
        </w:trPr>
        <w:tc>
          <w:tcPr>
            <w:tcW w:w="936" w:type="pct"/>
          </w:tcPr>
          <w:p w:rsidR="004960E4" w:rsidRPr="008A0138" w:rsidRDefault="004960E4" w:rsidP="00F66AC9">
            <w:pPr>
              <w:pStyle w:val="In-tableHeading"/>
              <w:rPr>
                <w:szCs w:val="20"/>
                <w:lang w:val="en-AU"/>
              </w:rPr>
            </w:pPr>
          </w:p>
        </w:tc>
        <w:tc>
          <w:tcPr>
            <w:tcW w:w="530" w:type="pct"/>
            <w:vAlign w:val="center"/>
          </w:tcPr>
          <w:p w:rsidR="004960E4" w:rsidRPr="008A0138" w:rsidRDefault="004960E4" w:rsidP="00F66AC9">
            <w:pPr>
              <w:pStyle w:val="In-tableHeading"/>
              <w:jc w:val="center"/>
              <w:rPr>
                <w:szCs w:val="20"/>
                <w:lang w:val="en-AU"/>
              </w:rPr>
            </w:pPr>
            <w:r w:rsidRPr="008A0138">
              <w:rPr>
                <w:szCs w:val="20"/>
                <w:lang w:val="en-AU"/>
              </w:rPr>
              <w:t xml:space="preserve">Unit </w:t>
            </w:r>
          </w:p>
        </w:tc>
        <w:tc>
          <w:tcPr>
            <w:tcW w:w="848" w:type="pct"/>
            <w:vAlign w:val="center"/>
          </w:tcPr>
          <w:p w:rsidR="004960E4" w:rsidRPr="008A0138" w:rsidRDefault="004960E4" w:rsidP="00F66AC9">
            <w:pPr>
              <w:pStyle w:val="In-tableHeading"/>
              <w:jc w:val="center"/>
              <w:rPr>
                <w:szCs w:val="20"/>
                <w:lang w:val="en-AU"/>
              </w:rPr>
            </w:pPr>
            <w:r w:rsidRPr="008A0138">
              <w:rPr>
                <w:szCs w:val="20"/>
                <w:lang w:val="en-AU"/>
              </w:rPr>
              <w:t>Unit cost</w:t>
            </w:r>
          </w:p>
          <w:p w:rsidR="004960E4" w:rsidRPr="008A0138" w:rsidRDefault="004960E4" w:rsidP="00F66AC9">
            <w:pPr>
              <w:pStyle w:val="In-tableHeading"/>
              <w:jc w:val="center"/>
              <w:rPr>
                <w:szCs w:val="20"/>
                <w:lang w:val="en-AU"/>
              </w:rPr>
            </w:pPr>
            <w:r w:rsidRPr="008A0138">
              <w:rPr>
                <w:szCs w:val="20"/>
                <w:lang w:val="en-AU"/>
              </w:rPr>
              <w:t>Effective</w:t>
            </w:r>
          </w:p>
          <w:p w:rsidR="004960E4" w:rsidRPr="008A0138" w:rsidRDefault="004960E4" w:rsidP="00F66AC9">
            <w:pPr>
              <w:pStyle w:val="In-tableHeading"/>
              <w:jc w:val="center"/>
              <w:rPr>
                <w:szCs w:val="20"/>
                <w:lang w:val="en-AU"/>
              </w:rPr>
            </w:pPr>
            <w:r w:rsidRPr="008A0138">
              <w:rPr>
                <w:szCs w:val="20"/>
                <w:lang w:val="en-AU"/>
              </w:rPr>
              <w:t>AEMP</w:t>
            </w:r>
          </w:p>
        </w:tc>
        <w:tc>
          <w:tcPr>
            <w:tcW w:w="703" w:type="pct"/>
            <w:vAlign w:val="center"/>
          </w:tcPr>
          <w:p w:rsidR="004960E4" w:rsidRPr="008A0138" w:rsidRDefault="004960E4" w:rsidP="00F66AC9">
            <w:pPr>
              <w:pStyle w:val="In-tableHeading"/>
              <w:jc w:val="center"/>
              <w:rPr>
                <w:szCs w:val="20"/>
                <w:lang w:val="en-AU"/>
              </w:rPr>
            </w:pPr>
            <w:r w:rsidRPr="008A0138">
              <w:rPr>
                <w:szCs w:val="20"/>
                <w:lang w:val="en-AU"/>
              </w:rPr>
              <w:t>Dose</w:t>
            </w:r>
          </w:p>
        </w:tc>
        <w:tc>
          <w:tcPr>
            <w:tcW w:w="615" w:type="pct"/>
            <w:vAlign w:val="center"/>
          </w:tcPr>
          <w:p w:rsidR="004960E4" w:rsidRPr="008A0138" w:rsidRDefault="004960E4" w:rsidP="00F66AC9">
            <w:pPr>
              <w:pStyle w:val="In-tableHeading"/>
              <w:jc w:val="center"/>
              <w:rPr>
                <w:szCs w:val="20"/>
                <w:lang w:val="en-AU"/>
              </w:rPr>
            </w:pPr>
            <w:r w:rsidRPr="008A0138">
              <w:rPr>
                <w:szCs w:val="20"/>
                <w:lang w:val="en-AU"/>
              </w:rPr>
              <w:t>Effective AEMP/dose</w:t>
            </w:r>
          </w:p>
        </w:tc>
        <w:tc>
          <w:tcPr>
            <w:tcW w:w="569" w:type="pct"/>
            <w:vAlign w:val="center"/>
          </w:tcPr>
          <w:p w:rsidR="004960E4" w:rsidRPr="008A0138" w:rsidRDefault="004960E4" w:rsidP="00F66AC9">
            <w:pPr>
              <w:pStyle w:val="In-tableHeading"/>
              <w:jc w:val="center"/>
              <w:rPr>
                <w:szCs w:val="20"/>
                <w:lang w:val="en-AU"/>
              </w:rPr>
            </w:pPr>
            <w:r w:rsidRPr="008A0138">
              <w:rPr>
                <w:szCs w:val="20"/>
                <w:lang w:val="en-AU"/>
              </w:rPr>
              <w:t>Duration treatment</w:t>
            </w:r>
          </w:p>
          <w:p w:rsidR="004960E4" w:rsidRPr="008A0138" w:rsidRDefault="004960E4" w:rsidP="00F66AC9">
            <w:pPr>
              <w:pStyle w:val="In-tableHeading"/>
              <w:jc w:val="center"/>
              <w:rPr>
                <w:szCs w:val="20"/>
                <w:lang w:val="en-AU"/>
              </w:rPr>
            </w:pPr>
            <w:r w:rsidRPr="008A0138">
              <w:rPr>
                <w:szCs w:val="20"/>
                <w:lang w:val="en-AU"/>
              </w:rPr>
              <w:t>(doses)</w:t>
            </w:r>
          </w:p>
        </w:tc>
        <w:tc>
          <w:tcPr>
            <w:tcW w:w="799" w:type="pct"/>
            <w:vAlign w:val="center"/>
          </w:tcPr>
          <w:p w:rsidR="004960E4" w:rsidRPr="008A0138" w:rsidRDefault="004960E4" w:rsidP="00F66AC9">
            <w:pPr>
              <w:pStyle w:val="In-tableHeading"/>
              <w:jc w:val="center"/>
              <w:rPr>
                <w:szCs w:val="20"/>
                <w:lang w:val="en-AU"/>
              </w:rPr>
            </w:pPr>
            <w:r w:rsidRPr="008A0138">
              <w:rPr>
                <w:szCs w:val="20"/>
                <w:lang w:val="en-AU"/>
              </w:rPr>
              <w:t>Total effective cost</w:t>
            </w:r>
          </w:p>
        </w:tc>
      </w:tr>
      <w:tr w:rsidR="004960E4" w:rsidRPr="008A0138" w:rsidTr="008A0138">
        <w:tc>
          <w:tcPr>
            <w:tcW w:w="5000" w:type="pct"/>
            <w:gridSpan w:val="7"/>
          </w:tcPr>
          <w:p w:rsidR="004960E4" w:rsidRPr="008A0138" w:rsidRDefault="004960E4" w:rsidP="00F66AC9">
            <w:pPr>
              <w:pStyle w:val="In-tableHeading"/>
              <w:rPr>
                <w:szCs w:val="20"/>
                <w:lang w:val="en-AU"/>
              </w:rPr>
            </w:pPr>
            <w:r w:rsidRPr="008A0138">
              <w:rPr>
                <w:szCs w:val="20"/>
                <w:lang w:val="en-AU"/>
              </w:rPr>
              <w:t>Base case - truncated duration of treatment from trials</w:t>
            </w:r>
          </w:p>
        </w:tc>
      </w:tr>
      <w:tr w:rsidR="004960E4" w:rsidRPr="008A0138" w:rsidTr="008A0138">
        <w:tc>
          <w:tcPr>
            <w:tcW w:w="936" w:type="pct"/>
            <w:vMerge w:val="restart"/>
            <w:vAlign w:val="center"/>
          </w:tcPr>
          <w:p w:rsidR="004960E4" w:rsidRPr="008A0138" w:rsidRDefault="004960E4" w:rsidP="00F66AC9">
            <w:pPr>
              <w:pStyle w:val="TableText0"/>
              <w:ind w:left="29"/>
              <w:rPr>
                <w:szCs w:val="20"/>
              </w:rPr>
            </w:pPr>
            <w:r w:rsidRPr="008A0138">
              <w:rPr>
                <w:szCs w:val="20"/>
              </w:rPr>
              <w:t xml:space="preserve">Nivolumab </w:t>
            </w:r>
          </w:p>
        </w:tc>
        <w:tc>
          <w:tcPr>
            <w:tcW w:w="530" w:type="pct"/>
            <w:vAlign w:val="center"/>
          </w:tcPr>
          <w:p w:rsidR="004960E4" w:rsidRPr="008A0138" w:rsidRDefault="004960E4" w:rsidP="00F66AC9">
            <w:pPr>
              <w:pStyle w:val="TableText0"/>
              <w:jc w:val="center"/>
              <w:rPr>
                <w:szCs w:val="20"/>
              </w:rPr>
            </w:pPr>
            <w:r w:rsidRPr="008A0138">
              <w:rPr>
                <w:szCs w:val="20"/>
              </w:rPr>
              <w:t>100 mg</w:t>
            </w:r>
          </w:p>
        </w:tc>
        <w:tc>
          <w:tcPr>
            <w:tcW w:w="848" w:type="pct"/>
            <w:vAlign w:val="center"/>
          </w:tcPr>
          <w:p w:rsidR="004960E4" w:rsidRPr="008A0138" w:rsidRDefault="004960E4" w:rsidP="00F66AC9">
            <w:pPr>
              <w:pStyle w:val="TableText0"/>
              <w:jc w:val="center"/>
              <w:rPr>
                <w:b/>
                <w:szCs w:val="20"/>
              </w:rPr>
            </w:pPr>
            <w:r w:rsidRPr="008A0138">
              <w:rPr>
                <w:b/>
                <w:szCs w:val="20"/>
              </w:rPr>
              <w:t>$</w:t>
            </w:r>
            <w:r w:rsidR="00115F96">
              <w:rPr>
                <w:b/>
                <w:noProof/>
                <w:color w:val="000000"/>
                <w:szCs w:val="20"/>
                <w:highlight w:val="black"/>
              </w:rPr>
              <w:t>'''''''''''''''</w:t>
            </w:r>
          </w:p>
        </w:tc>
        <w:tc>
          <w:tcPr>
            <w:tcW w:w="703" w:type="pct"/>
            <w:vMerge w:val="restart"/>
            <w:vAlign w:val="center"/>
          </w:tcPr>
          <w:p w:rsidR="004960E4" w:rsidRPr="008A0138" w:rsidRDefault="004960E4" w:rsidP="00F66AC9">
            <w:pPr>
              <w:pStyle w:val="TableText0"/>
              <w:jc w:val="center"/>
              <w:rPr>
                <w:szCs w:val="20"/>
              </w:rPr>
            </w:pPr>
            <w:r w:rsidRPr="008A0138">
              <w:rPr>
                <w:szCs w:val="20"/>
              </w:rPr>
              <w:t>360 mg</w:t>
            </w:r>
          </w:p>
        </w:tc>
        <w:tc>
          <w:tcPr>
            <w:tcW w:w="615" w:type="pct"/>
            <w:vMerge w:val="restart"/>
            <w:vAlign w:val="center"/>
          </w:tcPr>
          <w:p w:rsidR="004960E4" w:rsidRPr="008A0138" w:rsidRDefault="004960E4" w:rsidP="00F66AC9">
            <w:pPr>
              <w:pStyle w:val="TableText0"/>
              <w:jc w:val="center"/>
              <w:rPr>
                <w:szCs w:val="20"/>
              </w:rPr>
            </w:pPr>
            <w:r w:rsidRPr="008A0138">
              <w:rPr>
                <w:szCs w:val="20"/>
              </w:rPr>
              <w:t>$</w:t>
            </w:r>
            <w:r w:rsidR="00115F96">
              <w:rPr>
                <w:noProof/>
                <w:color w:val="000000"/>
                <w:szCs w:val="20"/>
                <w:highlight w:val="black"/>
              </w:rPr>
              <w:t>'''''''''''''''''''''</w:t>
            </w:r>
          </w:p>
        </w:tc>
        <w:tc>
          <w:tcPr>
            <w:tcW w:w="569" w:type="pct"/>
            <w:vMerge w:val="restart"/>
            <w:vAlign w:val="center"/>
          </w:tcPr>
          <w:p w:rsidR="004960E4" w:rsidRPr="008A0138" w:rsidRDefault="004960E4" w:rsidP="00F66AC9">
            <w:pPr>
              <w:pStyle w:val="TableText0"/>
              <w:jc w:val="center"/>
              <w:rPr>
                <w:szCs w:val="20"/>
              </w:rPr>
            </w:pPr>
            <w:r w:rsidRPr="008A0138">
              <w:rPr>
                <w:szCs w:val="20"/>
              </w:rPr>
              <w:t>11.7</w:t>
            </w:r>
          </w:p>
        </w:tc>
        <w:tc>
          <w:tcPr>
            <w:tcW w:w="799" w:type="pct"/>
            <w:vMerge w:val="restart"/>
            <w:vAlign w:val="center"/>
          </w:tcPr>
          <w:p w:rsidR="004960E4" w:rsidRPr="008A0138" w:rsidRDefault="004960E4" w:rsidP="00F66AC9">
            <w:pPr>
              <w:pStyle w:val="TableText0"/>
              <w:jc w:val="center"/>
              <w:rPr>
                <w:szCs w:val="20"/>
              </w:rPr>
            </w:pPr>
            <w:r w:rsidRPr="008A0138">
              <w:rPr>
                <w:szCs w:val="20"/>
              </w:rPr>
              <w:t>$</w:t>
            </w:r>
            <w:r w:rsidR="00115F96">
              <w:rPr>
                <w:noProof/>
                <w:color w:val="000000"/>
                <w:szCs w:val="20"/>
                <w:highlight w:val="black"/>
              </w:rPr>
              <w:t>''''''''''''''''''''''''</w:t>
            </w:r>
          </w:p>
        </w:tc>
      </w:tr>
      <w:tr w:rsidR="004960E4" w:rsidRPr="008A0138" w:rsidTr="008A0138">
        <w:tc>
          <w:tcPr>
            <w:tcW w:w="936" w:type="pct"/>
            <w:vMerge/>
            <w:vAlign w:val="center"/>
          </w:tcPr>
          <w:p w:rsidR="004960E4" w:rsidRPr="008A0138" w:rsidRDefault="004960E4" w:rsidP="00F66AC9">
            <w:pPr>
              <w:pStyle w:val="TableText0"/>
              <w:ind w:left="29"/>
              <w:rPr>
                <w:szCs w:val="20"/>
              </w:rPr>
            </w:pPr>
          </w:p>
        </w:tc>
        <w:tc>
          <w:tcPr>
            <w:tcW w:w="530" w:type="pct"/>
            <w:vAlign w:val="center"/>
          </w:tcPr>
          <w:p w:rsidR="004960E4" w:rsidRPr="008A0138" w:rsidRDefault="004960E4" w:rsidP="00F66AC9">
            <w:pPr>
              <w:pStyle w:val="TableText0"/>
              <w:jc w:val="center"/>
              <w:rPr>
                <w:szCs w:val="20"/>
              </w:rPr>
            </w:pPr>
            <w:r w:rsidRPr="008A0138">
              <w:rPr>
                <w:szCs w:val="20"/>
              </w:rPr>
              <w:t>40 mg</w:t>
            </w:r>
          </w:p>
        </w:tc>
        <w:tc>
          <w:tcPr>
            <w:tcW w:w="848" w:type="pct"/>
            <w:vAlign w:val="center"/>
          </w:tcPr>
          <w:p w:rsidR="004960E4" w:rsidRPr="008A0138" w:rsidRDefault="004960E4" w:rsidP="00F66AC9">
            <w:pPr>
              <w:pStyle w:val="TableText0"/>
              <w:jc w:val="center"/>
              <w:rPr>
                <w:b/>
                <w:szCs w:val="20"/>
              </w:rPr>
            </w:pPr>
            <w:r w:rsidRPr="008A0138">
              <w:rPr>
                <w:b/>
                <w:szCs w:val="20"/>
              </w:rPr>
              <w:t>$</w:t>
            </w:r>
            <w:r w:rsidR="00115F96">
              <w:rPr>
                <w:b/>
                <w:noProof/>
                <w:color w:val="000000"/>
                <w:szCs w:val="20"/>
                <w:highlight w:val="black"/>
              </w:rPr>
              <w:t>'''''''''''''</w:t>
            </w:r>
          </w:p>
        </w:tc>
        <w:tc>
          <w:tcPr>
            <w:tcW w:w="703" w:type="pct"/>
            <w:vMerge/>
            <w:vAlign w:val="center"/>
          </w:tcPr>
          <w:p w:rsidR="004960E4" w:rsidRPr="008A0138" w:rsidRDefault="004960E4" w:rsidP="00F66AC9">
            <w:pPr>
              <w:pStyle w:val="TableText0"/>
              <w:jc w:val="center"/>
              <w:rPr>
                <w:szCs w:val="20"/>
              </w:rPr>
            </w:pPr>
          </w:p>
        </w:tc>
        <w:tc>
          <w:tcPr>
            <w:tcW w:w="615" w:type="pct"/>
            <w:vMerge/>
            <w:vAlign w:val="center"/>
          </w:tcPr>
          <w:p w:rsidR="004960E4" w:rsidRPr="008A0138" w:rsidRDefault="004960E4" w:rsidP="00F66AC9">
            <w:pPr>
              <w:pStyle w:val="TableText0"/>
              <w:jc w:val="center"/>
              <w:rPr>
                <w:szCs w:val="20"/>
              </w:rPr>
            </w:pPr>
          </w:p>
        </w:tc>
        <w:tc>
          <w:tcPr>
            <w:tcW w:w="569" w:type="pct"/>
            <w:vMerge/>
            <w:vAlign w:val="center"/>
          </w:tcPr>
          <w:p w:rsidR="004960E4" w:rsidRPr="008A0138" w:rsidRDefault="004960E4" w:rsidP="00F66AC9">
            <w:pPr>
              <w:pStyle w:val="TableText0"/>
              <w:jc w:val="center"/>
              <w:rPr>
                <w:szCs w:val="20"/>
              </w:rPr>
            </w:pPr>
          </w:p>
        </w:tc>
        <w:tc>
          <w:tcPr>
            <w:tcW w:w="799" w:type="pct"/>
            <w:vMerge/>
            <w:vAlign w:val="center"/>
          </w:tcPr>
          <w:p w:rsidR="004960E4" w:rsidRPr="008A0138" w:rsidRDefault="004960E4" w:rsidP="00F66AC9">
            <w:pPr>
              <w:pStyle w:val="TableText0"/>
              <w:jc w:val="center"/>
              <w:rPr>
                <w:szCs w:val="20"/>
              </w:rPr>
            </w:pPr>
          </w:p>
        </w:tc>
      </w:tr>
      <w:tr w:rsidR="004960E4" w:rsidRPr="008A0138" w:rsidTr="008A0138">
        <w:tc>
          <w:tcPr>
            <w:tcW w:w="936" w:type="pct"/>
            <w:tcBorders>
              <w:bottom w:val="single" w:sz="4" w:space="0" w:color="auto"/>
            </w:tcBorders>
            <w:vAlign w:val="center"/>
          </w:tcPr>
          <w:p w:rsidR="004960E4" w:rsidRPr="008A0138" w:rsidRDefault="004960E4" w:rsidP="00F66AC9">
            <w:pPr>
              <w:pStyle w:val="TableText0"/>
              <w:ind w:left="29"/>
              <w:rPr>
                <w:szCs w:val="20"/>
              </w:rPr>
            </w:pPr>
            <w:r w:rsidRPr="008A0138">
              <w:rPr>
                <w:szCs w:val="20"/>
              </w:rPr>
              <w:t xml:space="preserve">Ipilimumab </w:t>
            </w:r>
          </w:p>
        </w:tc>
        <w:tc>
          <w:tcPr>
            <w:tcW w:w="530" w:type="pct"/>
            <w:tcBorders>
              <w:bottom w:val="single" w:sz="4" w:space="0" w:color="auto"/>
            </w:tcBorders>
            <w:vAlign w:val="center"/>
          </w:tcPr>
          <w:p w:rsidR="004960E4" w:rsidRPr="008A0138" w:rsidRDefault="004960E4" w:rsidP="00F66AC9">
            <w:pPr>
              <w:pStyle w:val="TableText0"/>
              <w:jc w:val="center"/>
              <w:rPr>
                <w:szCs w:val="20"/>
              </w:rPr>
            </w:pPr>
            <w:r w:rsidRPr="008A0138">
              <w:rPr>
                <w:szCs w:val="20"/>
              </w:rPr>
              <w:t>50 mg</w:t>
            </w:r>
          </w:p>
        </w:tc>
        <w:tc>
          <w:tcPr>
            <w:tcW w:w="848" w:type="pct"/>
            <w:tcBorders>
              <w:bottom w:val="single" w:sz="4" w:space="0" w:color="auto"/>
            </w:tcBorders>
            <w:vAlign w:val="center"/>
          </w:tcPr>
          <w:p w:rsidR="004960E4" w:rsidRPr="008A0138" w:rsidRDefault="004960E4" w:rsidP="00F66AC9">
            <w:pPr>
              <w:pStyle w:val="TableText0"/>
              <w:jc w:val="center"/>
              <w:rPr>
                <w:b/>
                <w:szCs w:val="20"/>
                <w:vertAlign w:val="superscript"/>
              </w:rPr>
            </w:pPr>
            <w:r w:rsidRPr="008A0138">
              <w:rPr>
                <w:b/>
                <w:szCs w:val="20"/>
              </w:rPr>
              <w:t>$</w:t>
            </w:r>
            <w:r w:rsidR="00115F96">
              <w:rPr>
                <w:b/>
                <w:noProof/>
                <w:color w:val="000000"/>
                <w:szCs w:val="20"/>
                <w:highlight w:val="black"/>
              </w:rPr>
              <w:t>''''''''''''''''</w:t>
            </w:r>
          </w:p>
        </w:tc>
        <w:tc>
          <w:tcPr>
            <w:tcW w:w="703" w:type="pct"/>
            <w:tcBorders>
              <w:bottom w:val="single" w:sz="4" w:space="0" w:color="auto"/>
            </w:tcBorders>
            <w:vAlign w:val="center"/>
          </w:tcPr>
          <w:p w:rsidR="004960E4" w:rsidRPr="008A0138" w:rsidRDefault="004960E4" w:rsidP="00F66AC9">
            <w:pPr>
              <w:pStyle w:val="TableText0"/>
              <w:jc w:val="center"/>
              <w:rPr>
                <w:szCs w:val="20"/>
              </w:rPr>
            </w:pPr>
            <w:r w:rsidRPr="008A0138">
              <w:rPr>
                <w:szCs w:val="20"/>
              </w:rPr>
              <w:t>72.55 mg</w:t>
            </w:r>
          </w:p>
        </w:tc>
        <w:tc>
          <w:tcPr>
            <w:tcW w:w="615" w:type="pct"/>
            <w:tcBorders>
              <w:bottom w:val="single" w:sz="4" w:space="0" w:color="auto"/>
            </w:tcBorders>
            <w:vAlign w:val="center"/>
          </w:tcPr>
          <w:p w:rsidR="004960E4" w:rsidRPr="008A0138" w:rsidRDefault="004960E4" w:rsidP="00F66AC9">
            <w:pPr>
              <w:pStyle w:val="TableText0"/>
              <w:jc w:val="center"/>
              <w:rPr>
                <w:szCs w:val="20"/>
                <w:vertAlign w:val="superscript"/>
              </w:rPr>
            </w:pPr>
            <w:r w:rsidRPr="008A0138">
              <w:rPr>
                <w:szCs w:val="20"/>
              </w:rPr>
              <w:t>$</w:t>
            </w:r>
            <w:r w:rsidR="00115F96">
              <w:rPr>
                <w:noProof/>
                <w:color w:val="000000"/>
                <w:szCs w:val="20"/>
                <w:highlight w:val="black"/>
              </w:rPr>
              <w:t>'''''''''''''''''''''''</w:t>
            </w:r>
          </w:p>
        </w:tc>
        <w:tc>
          <w:tcPr>
            <w:tcW w:w="569" w:type="pct"/>
            <w:tcBorders>
              <w:bottom w:val="single" w:sz="4" w:space="0" w:color="auto"/>
            </w:tcBorders>
            <w:vAlign w:val="center"/>
          </w:tcPr>
          <w:p w:rsidR="004960E4" w:rsidRPr="008A0138" w:rsidRDefault="004960E4" w:rsidP="00F66AC9">
            <w:pPr>
              <w:pStyle w:val="TableText0"/>
              <w:jc w:val="center"/>
              <w:rPr>
                <w:szCs w:val="20"/>
              </w:rPr>
            </w:pPr>
            <w:r w:rsidRPr="008A0138">
              <w:rPr>
                <w:szCs w:val="20"/>
              </w:rPr>
              <w:t>6.0</w:t>
            </w:r>
          </w:p>
        </w:tc>
        <w:tc>
          <w:tcPr>
            <w:tcW w:w="799" w:type="pct"/>
            <w:vAlign w:val="center"/>
          </w:tcPr>
          <w:p w:rsidR="004960E4" w:rsidRPr="008A0138" w:rsidRDefault="004960E4" w:rsidP="00F66AC9">
            <w:pPr>
              <w:pStyle w:val="TableText0"/>
              <w:jc w:val="center"/>
              <w:rPr>
                <w:szCs w:val="20"/>
                <w:vertAlign w:val="superscript"/>
              </w:rPr>
            </w:pPr>
            <w:r w:rsidRPr="008A0138">
              <w:rPr>
                <w:szCs w:val="20"/>
              </w:rPr>
              <w:t>$</w:t>
            </w:r>
            <w:r w:rsidR="00115F96">
              <w:rPr>
                <w:noProof/>
                <w:color w:val="000000"/>
                <w:szCs w:val="20"/>
                <w:highlight w:val="black"/>
              </w:rPr>
              <w:t>''''''''''''''''''''''''''</w:t>
            </w:r>
          </w:p>
        </w:tc>
      </w:tr>
      <w:tr w:rsidR="004960E4" w:rsidRPr="008A0138" w:rsidTr="008A0138">
        <w:tc>
          <w:tcPr>
            <w:tcW w:w="936" w:type="pct"/>
            <w:tcBorders>
              <w:right w:val="nil"/>
            </w:tcBorders>
            <w:vAlign w:val="center"/>
          </w:tcPr>
          <w:p w:rsidR="004960E4" w:rsidRPr="008A0138" w:rsidRDefault="004960E4" w:rsidP="00F66AC9">
            <w:pPr>
              <w:pStyle w:val="TableText0"/>
              <w:ind w:left="29"/>
              <w:rPr>
                <w:szCs w:val="20"/>
              </w:rPr>
            </w:pPr>
            <w:r w:rsidRPr="008A0138">
              <w:rPr>
                <w:szCs w:val="20"/>
              </w:rPr>
              <w:t>Total</w:t>
            </w:r>
          </w:p>
        </w:tc>
        <w:tc>
          <w:tcPr>
            <w:tcW w:w="530" w:type="pct"/>
            <w:tcBorders>
              <w:left w:val="nil"/>
              <w:right w:val="nil"/>
            </w:tcBorders>
            <w:vAlign w:val="center"/>
          </w:tcPr>
          <w:p w:rsidR="004960E4" w:rsidRPr="008A0138" w:rsidRDefault="004960E4" w:rsidP="00F66AC9">
            <w:pPr>
              <w:pStyle w:val="TableText0"/>
              <w:jc w:val="center"/>
              <w:rPr>
                <w:szCs w:val="20"/>
              </w:rPr>
            </w:pPr>
          </w:p>
        </w:tc>
        <w:tc>
          <w:tcPr>
            <w:tcW w:w="848" w:type="pct"/>
            <w:tcBorders>
              <w:left w:val="nil"/>
              <w:right w:val="nil"/>
            </w:tcBorders>
            <w:vAlign w:val="center"/>
          </w:tcPr>
          <w:p w:rsidR="004960E4" w:rsidRPr="008A0138" w:rsidRDefault="004960E4" w:rsidP="00F66AC9">
            <w:pPr>
              <w:pStyle w:val="TableText0"/>
              <w:jc w:val="center"/>
              <w:rPr>
                <w:szCs w:val="20"/>
              </w:rPr>
            </w:pPr>
          </w:p>
        </w:tc>
        <w:tc>
          <w:tcPr>
            <w:tcW w:w="703" w:type="pct"/>
            <w:tcBorders>
              <w:left w:val="nil"/>
              <w:right w:val="nil"/>
            </w:tcBorders>
            <w:vAlign w:val="center"/>
          </w:tcPr>
          <w:p w:rsidR="004960E4" w:rsidRPr="008A0138" w:rsidRDefault="004960E4" w:rsidP="00F66AC9">
            <w:pPr>
              <w:pStyle w:val="TableText0"/>
              <w:jc w:val="center"/>
              <w:rPr>
                <w:szCs w:val="20"/>
              </w:rPr>
            </w:pPr>
          </w:p>
        </w:tc>
        <w:tc>
          <w:tcPr>
            <w:tcW w:w="615" w:type="pct"/>
            <w:tcBorders>
              <w:left w:val="nil"/>
              <w:right w:val="nil"/>
            </w:tcBorders>
            <w:vAlign w:val="center"/>
          </w:tcPr>
          <w:p w:rsidR="004960E4" w:rsidRPr="008A0138" w:rsidRDefault="004960E4" w:rsidP="00F66AC9">
            <w:pPr>
              <w:pStyle w:val="TableText0"/>
              <w:jc w:val="center"/>
              <w:rPr>
                <w:szCs w:val="20"/>
              </w:rPr>
            </w:pPr>
          </w:p>
        </w:tc>
        <w:tc>
          <w:tcPr>
            <w:tcW w:w="569" w:type="pct"/>
            <w:tcBorders>
              <w:left w:val="nil"/>
            </w:tcBorders>
            <w:vAlign w:val="center"/>
          </w:tcPr>
          <w:p w:rsidR="004960E4" w:rsidRPr="008A0138" w:rsidRDefault="004960E4" w:rsidP="00F66AC9">
            <w:pPr>
              <w:pStyle w:val="TableText0"/>
              <w:jc w:val="center"/>
              <w:rPr>
                <w:szCs w:val="20"/>
              </w:rPr>
            </w:pPr>
          </w:p>
        </w:tc>
        <w:tc>
          <w:tcPr>
            <w:tcW w:w="799" w:type="pct"/>
            <w:vAlign w:val="center"/>
          </w:tcPr>
          <w:p w:rsidR="004960E4" w:rsidRPr="008A0138" w:rsidRDefault="004960E4" w:rsidP="00F66AC9">
            <w:pPr>
              <w:pStyle w:val="TableText0"/>
              <w:jc w:val="center"/>
              <w:rPr>
                <w:szCs w:val="20"/>
                <w:vertAlign w:val="superscript"/>
              </w:rPr>
            </w:pPr>
            <w:r w:rsidRPr="008A0138">
              <w:rPr>
                <w:szCs w:val="20"/>
              </w:rPr>
              <w:t>$</w:t>
            </w:r>
            <w:r w:rsidR="00115F96">
              <w:rPr>
                <w:noProof/>
                <w:color w:val="000000"/>
                <w:szCs w:val="20"/>
                <w:highlight w:val="black"/>
              </w:rPr>
              <w:t>'''''''''''''''''''''</w:t>
            </w:r>
          </w:p>
        </w:tc>
      </w:tr>
      <w:tr w:rsidR="004960E4" w:rsidRPr="008A0138" w:rsidTr="008A0138">
        <w:tc>
          <w:tcPr>
            <w:tcW w:w="5000" w:type="pct"/>
            <w:gridSpan w:val="7"/>
          </w:tcPr>
          <w:p w:rsidR="004960E4" w:rsidRPr="008A0138" w:rsidRDefault="004960E4" w:rsidP="00F66AC9">
            <w:pPr>
              <w:pStyle w:val="In-tableHeading"/>
              <w:rPr>
                <w:szCs w:val="20"/>
                <w:lang w:val="en-AU"/>
              </w:rPr>
            </w:pPr>
            <w:r w:rsidRPr="008A0138">
              <w:rPr>
                <w:szCs w:val="20"/>
                <w:lang w:val="en-AU"/>
              </w:rPr>
              <w:t xml:space="preserve">SA1 – mean duration of treatment for nivolumab and </w:t>
            </w:r>
            <w:proofErr w:type="spellStart"/>
            <w:r w:rsidRPr="008A0138">
              <w:rPr>
                <w:szCs w:val="20"/>
                <w:lang w:val="en-AU"/>
              </w:rPr>
              <w:t>pembrolizumab</w:t>
            </w:r>
            <w:proofErr w:type="spellEnd"/>
            <w:r w:rsidRPr="008A0138">
              <w:rPr>
                <w:szCs w:val="20"/>
                <w:lang w:val="en-AU"/>
              </w:rPr>
              <w:t xml:space="preserve"> based on KN189</w:t>
            </w:r>
          </w:p>
        </w:tc>
      </w:tr>
      <w:tr w:rsidR="004960E4" w:rsidRPr="008A0138" w:rsidTr="008A0138">
        <w:tc>
          <w:tcPr>
            <w:tcW w:w="936" w:type="pct"/>
            <w:vMerge w:val="restart"/>
            <w:vAlign w:val="center"/>
          </w:tcPr>
          <w:p w:rsidR="004960E4" w:rsidRPr="008A0138" w:rsidRDefault="004960E4" w:rsidP="00F66AC9">
            <w:pPr>
              <w:pStyle w:val="TableText0"/>
              <w:ind w:left="29"/>
              <w:rPr>
                <w:szCs w:val="20"/>
              </w:rPr>
            </w:pPr>
            <w:r w:rsidRPr="008A0138">
              <w:rPr>
                <w:szCs w:val="20"/>
              </w:rPr>
              <w:t xml:space="preserve">Nivolumab </w:t>
            </w:r>
          </w:p>
        </w:tc>
        <w:tc>
          <w:tcPr>
            <w:tcW w:w="530" w:type="pct"/>
            <w:vAlign w:val="center"/>
          </w:tcPr>
          <w:p w:rsidR="004960E4" w:rsidRPr="008A0138" w:rsidRDefault="004960E4" w:rsidP="00F66AC9">
            <w:pPr>
              <w:pStyle w:val="TableText0"/>
              <w:jc w:val="center"/>
              <w:rPr>
                <w:szCs w:val="20"/>
              </w:rPr>
            </w:pPr>
            <w:r w:rsidRPr="008A0138">
              <w:rPr>
                <w:szCs w:val="20"/>
              </w:rPr>
              <w:t>100 mg</w:t>
            </w:r>
          </w:p>
        </w:tc>
        <w:tc>
          <w:tcPr>
            <w:tcW w:w="848" w:type="pct"/>
            <w:vAlign w:val="center"/>
          </w:tcPr>
          <w:p w:rsidR="004960E4" w:rsidRPr="008A0138" w:rsidRDefault="004960E4" w:rsidP="00F66AC9">
            <w:pPr>
              <w:pStyle w:val="TableText0"/>
              <w:jc w:val="center"/>
              <w:rPr>
                <w:b/>
                <w:szCs w:val="20"/>
              </w:rPr>
            </w:pPr>
            <w:r w:rsidRPr="008A0138">
              <w:rPr>
                <w:b/>
                <w:szCs w:val="20"/>
              </w:rPr>
              <w:t>$</w:t>
            </w:r>
            <w:r w:rsidR="00115F96">
              <w:rPr>
                <w:b/>
                <w:noProof/>
                <w:color w:val="000000"/>
                <w:szCs w:val="20"/>
                <w:highlight w:val="black"/>
              </w:rPr>
              <w:t>''''''''''''''</w:t>
            </w:r>
          </w:p>
        </w:tc>
        <w:tc>
          <w:tcPr>
            <w:tcW w:w="703" w:type="pct"/>
            <w:vMerge w:val="restart"/>
            <w:vAlign w:val="center"/>
          </w:tcPr>
          <w:p w:rsidR="004960E4" w:rsidRPr="008A0138" w:rsidRDefault="004960E4" w:rsidP="00F66AC9">
            <w:pPr>
              <w:pStyle w:val="TableText0"/>
              <w:jc w:val="center"/>
              <w:rPr>
                <w:szCs w:val="20"/>
              </w:rPr>
            </w:pPr>
            <w:r w:rsidRPr="008A0138">
              <w:rPr>
                <w:szCs w:val="20"/>
              </w:rPr>
              <w:t>360 mg</w:t>
            </w:r>
          </w:p>
        </w:tc>
        <w:tc>
          <w:tcPr>
            <w:tcW w:w="615" w:type="pct"/>
            <w:vMerge w:val="restart"/>
            <w:vAlign w:val="center"/>
          </w:tcPr>
          <w:p w:rsidR="004960E4" w:rsidRPr="008A0138" w:rsidRDefault="004960E4" w:rsidP="00F66AC9">
            <w:pPr>
              <w:pStyle w:val="TableText0"/>
              <w:jc w:val="center"/>
              <w:rPr>
                <w:szCs w:val="20"/>
              </w:rPr>
            </w:pPr>
            <w:r w:rsidRPr="008A0138">
              <w:rPr>
                <w:szCs w:val="20"/>
              </w:rPr>
              <w:t>$</w:t>
            </w:r>
            <w:r w:rsidR="00115F96">
              <w:rPr>
                <w:noProof/>
                <w:color w:val="000000"/>
                <w:szCs w:val="20"/>
                <w:highlight w:val="black"/>
              </w:rPr>
              <w:t>''''''''''''''''''''</w:t>
            </w:r>
          </w:p>
        </w:tc>
        <w:tc>
          <w:tcPr>
            <w:tcW w:w="569" w:type="pct"/>
            <w:vMerge w:val="restart"/>
            <w:vAlign w:val="center"/>
          </w:tcPr>
          <w:p w:rsidR="004960E4" w:rsidRPr="008A0138" w:rsidRDefault="004960E4" w:rsidP="00F66AC9">
            <w:pPr>
              <w:pStyle w:val="TableText0"/>
              <w:jc w:val="center"/>
              <w:rPr>
                <w:szCs w:val="20"/>
              </w:rPr>
            </w:pPr>
            <w:r w:rsidRPr="008A0138">
              <w:rPr>
                <w:szCs w:val="20"/>
              </w:rPr>
              <w:t>13.76</w:t>
            </w:r>
            <w:r w:rsidR="00510E09" w:rsidRPr="008A0138">
              <w:rPr>
                <w:i/>
                <w:szCs w:val="20"/>
                <w:vertAlign w:val="superscript"/>
              </w:rPr>
              <w:t xml:space="preserve"> b</w:t>
            </w:r>
          </w:p>
        </w:tc>
        <w:tc>
          <w:tcPr>
            <w:tcW w:w="799" w:type="pct"/>
            <w:vMerge w:val="restart"/>
            <w:vAlign w:val="center"/>
          </w:tcPr>
          <w:p w:rsidR="004960E4" w:rsidRPr="008A0138" w:rsidRDefault="004960E4" w:rsidP="00F66AC9">
            <w:pPr>
              <w:pStyle w:val="TableText0"/>
              <w:jc w:val="center"/>
              <w:rPr>
                <w:szCs w:val="20"/>
              </w:rPr>
            </w:pPr>
            <w:r w:rsidRPr="008A0138">
              <w:rPr>
                <w:szCs w:val="20"/>
              </w:rPr>
              <w:t>$</w:t>
            </w:r>
            <w:r w:rsidR="00115F96">
              <w:rPr>
                <w:noProof/>
                <w:color w:val="000000"/>
                <w:szCs w:val="20"/>
                <w:highlight w:val="black"/>
              </w:rPr>
              <w:t>'''''''''''''''''''''''</w:t>
            </w:r>
          </w:p>
        </w:tc>
      </w:tr>
      <w:tr w:rsidR="004960E4" w:rsidRPr="008A0138" w:rsidTr="008A0138">
        <w:tc>
          <w:tcPr>
            <w:tcW w:w="936" w:type="pct"/>
            <w:vMerge/>
            <w:vAlign w:val="center"/>
          </w:tcPr>
          <w:p w:rsidR="004960E4" w:rsidRPr="008A0138" w:rsidRDefault="004960E4" w:rsidP="00F66AC9">
            <w:pPr>
              <w:pStyle w:val="TableText0"/>
              <w:ind w:left="29"/>
              <w:rPr>
                <w:szCs w:val="20"/>
              </w:rPr>
            </w:pPr>
          </w:p>
        </w:tc>
        <w:tc>
          <w:tcPr>
            <w:tcW w:w="530" w:type="pct"/>
            <w:vAlign w:val="center"/>
          </w:tcPr>
          <w:p w:rsidR="004960E4" w:rsidRPr="008A0138" w:rsidRDefault="004960E4" w:rsidP="00F66AC9">
            <w:pPr>
              <w:pStyle w:val="TableText0"/>
              <w:jc w:val="center"/>
              <w:rPr>
                <w:szCs w:val="20"/>
              </w:rPr>
            </w:pPr>
            <w:r w:rsidRPr="008A0138">
              <w:rPr>
                <w:szCs w:val="20"/>
              </w:rPr>
              <w:t>40 mg</w:t>
            </w:r>
          </w:p>
        </w:tc>
        <w:tc>
          <w:tcPr>
            <w:tcW w:w="848" w:type="pct"/>
            <w:vAlign w:val="center"/>
          </w:tcPr>
          <w:p w:rsidR="004960E4" w:rsidRPr="008A0138" w:rsidRDefault="004960E4" w:rsidP="00F66AC9">
            <w:pPr>
              <w:pStyle w:val="TableText0"/>
              <w:jc w:val="center"/>
              <w:rPr>
                <w:b/>
                <w:szCs w:val="20"/>
              </w:rPr>
            </w:pPr>
            <w:r w:rsidRPr="008A0138">
              <w:rPr>
                <w:b/>
                <w:szCs w:val="20"/>
              </w:rPr>
              <w:t>$</w:t>
            </w:r>
            <w:r w:rsidR="00115F96">
              <w:rPr>
                <w:b/>
                <w:noProof/>
                <w:color w:val="000000"/>
                <w:szCs w:val="20"/>
                <w:highlight w:val="black"/>
              </w:rPr>
              <w:t>''''''''''''''</w:t>
            </w:r>
          </w:p>
        </w:tc>
        <w:tc>
          <w:tcPr>
            <w:tcW w:w="703" w:type="pct"/>
            <w:vMerge/>
            <w:vAlign w:val="center"/>
          </w:tcPr>
          <w:p w:rsidR="004960E4" w:rsidRPr="008A0138" w:rsidRDefault="004960E4" w:rsidP="00F66AC9">
            <w:pPr>
              <w:pStyle w:val="TableText0"/>
              <w:jc w:val="center"/>
              <w:rPr>
                <w:szCs w:val="20"/>
              </w:rPr>
            </w:pPr>
          </w:p>
        </w:tc>
        <w:tc>
          <w:tcPr>
            <w:tcW w:w="615" w:type="pct"/>
            <w:vMerge/>
            <w:vAlign w:val="center"/>
          </w:tcPr>
          <w:p w:rsidR="004960E4" w:rsidRPr="008A0138" w:rsidRDefault="004960E4" w:rsidP="00F66AC9">
            <w:pPr>
              <w:pStyle w:val="TableText0"/>
              <w:jc w:val="center"/>
              <w:rPr>
                <w:szCs w:val="20"/>
              </w:rPr>
            </w:pPr>
          </w:p>
        </w:tc>
        <w:tc>
          <w:tcPr>
            <w:tcW w:w="569" w:type="pct"/>
            <w:vMerge/>
            <w:vAlign w:val="center"/>
          </w:tcPr>
          <w:p w:rsidR="004960E4" w:rsidRPr="008A0138" w:rsidRDefault="004960E4" w:rsidP="00F66AC9">
            <w:pPr>
              <w:pStyle w:val="TableText0"/>
              <w:jc w:val="center"/>
              <w:rPr>
                <w:szCs w:val="20"/>
              </w:rPr>
            </w:pPr>
          </w:p>
        </w:tc>
        <w:tc>
          <w:tcPr>
            <w:tcW w:w="799" w:type="pct"/>
            <w:vMerge/>
            <w:vAlign w:val="center"/>
          </w:tcPr>
          <w:p w:rsidR="004960E4" w:rsidRPr="008A0138" w:rsidRDefault="004960E4" w:rsidP="00F66AC9">
            <w:pPr>
              <w:pStyle w:val="TableText0"/>
              <w:jc w:val="center"/>
              <w:rPr>
                <w:szCs w:val="20"/>
              </w:rPr>
            </w:pPr>
          </w:p>
        </w:tc>
      </w:tr>
      <w:tr w:rsidR="004960E4" w:rsidRPr="008A0138" w:rsidTr="008A0138">
        <w:tc>
          <w:tcPr>
            <w:tcW w:w="936" w:type="pct"/>
            <w:tcBorders>
              <w:bottom w:val="single" w:sz="4" w:space="0" w:color="auto"/>
            </w:tcBorders>
            <w:vAlign w:val="center"/>
          </w:tcPr>
          <w:p w:rsidR="004960E4" w:rsidRPr="008A0138" w:rsidRDefault="004960E4" w:rsidP="00F66AC9">
            <w:pPr>
              <w:pStyle w:val="TableText0"/>
              <w:ind w:left="29"/>
              <w:rPr>
                <w:szCs w:val="20"/>
              </w:rPr>
            </w:pPr>
            <w:r w:rsidRPr="008A0138">
              <w:rPr>
                <w:szCs w:val="20"/>
              </w:rPr>
              <w:t xml:space="preserve">Ipilimumab </w:t>
            </w:r>
          </w:p>
        </w:tc>
        <w:tc>
          <w:tcPr>
            <w:tcW w:w="530" w:type="pct"/>
            <w:tcBorders>
              <w:bottom w:val="single" w:sz="4" w:space="0" w:color="auto"/>
            </w:tcBorders>
            <w:vAlign w:val="center"/>
          </w:tcPr>
          <w:p w:rsidR="004960E4" w:rsidRPr="008A0138" w:rsidRDefault="004960E4" w:rsidP="00F66AC9">
            <w:pPr>
              <w:pStyle w:val="TableText0"/>
              <w:jc w:val="center"/>
              <w:rPr>
                <w:szCs w:val="20"/>
              </w:rPr>
            </w:pPr>
            <w:r w:rsidRPr="008A0138">
              <w:rPr>
                <w:szCs w:val="20"/>
              </w:rPr>
              <w:t>50 mg</w:t>
            </w:r>
          </w:p>
        </w:tc>
        <w:tc>
          <w:tcPr>
            <w:tcW w:w="848" w:type="pct"/>
            <w:tcBorders>
              <w:bottom w:val="single" w:sz="4" w:space="0" w:color="auto"/>
            </w:tcBorders>
            <w:vAlign w:val="center"/>
          </w:tcPr>
          <w:p w:rsidR="004960E4" w:rsidRPr="008A0138" w:rsidRDefault="004960E4" w:rsidP="00F66AC9">
            <w:pPr>
              <w:pStyle w:val="TableText0"/>
              <w:jc w:val="center"/>
              <w:rPr>
                <w:b/>
                <w:szCs w:val="20"/>
                <w:vertAlign w:val="superscript"/>
              </w:rPr>
            </w:pPr>
            <w:r w:rsidRPr="008A0138">
              <w:rPr>
                <w:b/>
                <w:szCs w:val="20"/>
              </w:rPr>
              <w:t>$</w:t>
            </w:r>
            <w:r w:rsidR="00115F96">
              <w:rPr>
                <w:b/>
                <w:noProof/>
                <w:color w:val="000000"/>
                <w:szCs w:val="20"/>
                <w:highlight w:val="black"/>
              </w:rPr>
              <w:t>'''''''''''''''''</w:t>
            </w:r>
          </w:p>
        </w:tc>
        <w:tc>
          <w:tcPr>
            <w:tcW w:w="703" w:type="pct"/>
            <w:tcBorders>
              <w:bottom w:val="single" w:sz="4" w:space="0" w:color="auto"/>
            </w:tcBorders>
            <w:vAlign w:val="center"/>
          </w:tcPr>
          <w:p w:rsidR="004960E4" w:rsidRPr="008A0138" w:rsidRDefault="004960E4" w:rsidP="00F66AC9">
            <w:pPr>
              <w:pStyle w:val="TableText0"/>
              <w:jc w:val="center"/>
              <w:rPr>
                <w:szCs w:val="20"/>
              </w:rPr>
            </w:pPr>
            <w:r w:rsidRPr="008A0138">
              <w:rPr>
                <w:szCs w:val="20"/>
              </w:rPr>
              <w:t>72.55 mg</w:t>
            </w:r>
          </w:p>
        </w:tc>
        <w:tc>
          <w:tcPr>
            <w:tcW w:w="615" w:type="pct"/>
            <w:tcBorders>
              <w:bottom w:val="single" w:sz="4" w:space="0" w:color="auto"/>
            </w:tcBorders>
            <w:vAlign w:val="center"/>
          </w:tcPr>
          <w:p w:rsidR="004960E4" w:rsidRPr="008A0138" w:rsidRDefault="004960E4" w:rsidP="00F66AC9">
            <w:pPr>
              <w:pStyle w:val="TableText0"/>
              <w:jc w:val="center"/>
              <w:rPr>
                <w:szCs w:val="20"/>
                <w:vertAlign w:val="superscript"/>
              </w:rPr>
            </w:pPr>
            <w:r w:rsidRPr="008A0138">
              <w:rPr>
                <w:szCs w:val="20"/>
              </w:rPr>
              <w:t>$</w:t>
            </w:r>
            <w:r w:rsidR="00115F96">
              <w:rPr>
                <w:noProof/>
                <w:color w:val="000000"/>
                <w:szCs w:val="20"/>
                <w:highlight w:val="black"/>
              </w:rPr>
              <w:t>'''''''''''''''''''''</w:t>
            </w:r>
          </w:p>
        </w:tc>
        <w:tc>
          <w:tcPr>
            <w:tcW w:w="569" w:type="pct"/>
            <w:tcBorders>
              <w:bottom w:val="single" w:sz="4" w:space="0" w:color="auto"/>
            </w:tcBorders>
            <w:vAlign w:val="center"/>
          </w:tcPr>
          <w:p w:rsidR="004960E4" w:rsidRPr="008A0138" w:rsidRDefault="004960E4" w:rsidP="00F66AC9">
            <w:pPr>
              <w:pStyle w:val="TableText0"/>
              <w:jc w:val="center"/>
              <w:rPr>
                <w:szCs w:val="20"/>
              </w:rPr>
            </w:pPr>
            <w:r w:rsidRPr="008A0138">
              <w:rPr>
                <w:szCs w:val="20"/>
              </w:rPr>
              <w:t>7.06</w:t>
            </w:r>
            <w:r w:rsidR="00510E09" w:rsidRPr="008A0138">
              <w:rPr>
                <w:i/>
                <w:szCs w:val="20"/>
                <w:vertAlign w:val="superscript"/>
              </w:rPr>
              <w:t>c</w:t>
            </w:r>
          </w:p>
        </w:tc>
        <w:tc>
          <w:tcPr>
            <w:tcW w:w="799" w:type="pct"/>
            <w:vAlign w:val="center"/>
          </w:tcPr>
          <w:p w:rsidR="004960E4" w:rsidRPr="008A0138" w:rsidRDefault="00A35CCB" w:rsidP="00F66AC9">
            <w:pPr>
              <w:pStyle w:val="TableText0"/>
              <w:jc w:val="center"/>
              <w:rPr>
                <w:szCs w:val="20"/>
                <w:vertAlign w:val="superscript"/>
              </w:rPr>
            </w:pPr>
            <w:r w:rsidRPr="008A0138">
              <w:rPr>
                <w:szCs w:val="20"/>
              </w:rPr>
              <w:t>$</w:t>
            </w:r>
            <w:r w:rsidR="00115F96">
              <w:rPr>
                <w:noProof/>
                <w:color w:val="000000"/>
                <w:szCs w:val="20"/>
                <w:highlight w:val="black"/>
              </w:rPr>
              <w:t>'''''''''''''''''''''''</w:t>
            </w:r>
          </w:p>
        </w:tc>
      </w:tr>
      <w:tr w:rsidR="004960E4" w:rsidRPr="008A0138" w:rsidTr="008A0138">
        <w:tc>
          <w:tcPr>
            <w:tcW w:w="936" w:type="pct"/>
            <w:tcBorders>
              <w:right w:val="nil"/>
            </w:tcBorders>
            <w:vAlign w:val="center"/>
          </w:tcPr>
          <w:p w:rsidR="004960E4" w:rsidRPr="008A0138" w:rsidRDefault="004960E4" w:rsidP="00F66AC9">
            <w:pPr>
              <w:pStyle w:val="TableText0"/>
              <w:ind w:left="29"/>
              <w:rPr>
                <w:szCs w:val="20"/>
              </w:rPr>
            </w:pPr>
            <w:r w:rsidRPr="008A0138">
              <w:rPr>
                <w:szCs w:val="20"/>
              </w:rPr>
              <w:t>Total</w:t>
            </w:r>
          </w:p>
        </w:tc>
        <w:tc>
          <w:tcPr>
            <w:tcW w:w="530" w:type="pct"/>
            <w:tcBorders>
              <w:left w:val="nil"/>
              <w:right w:val="nil"/>
            </w:tcBorders>
            <w:vAlign w:val="center"/>
          </w:tcPr>
          <w:p w:rsidR="004960E4" w:rsidRPr="008A0138" w:rsidRDefault="004960E4" w:rsidP="00F66AC9">
            <w:pPr>
              <w:pStyle w:val="TableText0"/>
              <w:jc w:val="center"/>
              <w:rPr>
                <w:szCs w:val="20"/>
              </w:rPr>
            </w:pPr>
          </w:p>
        </w:tc>
        <w:tc>
          <w:tcPr>
            <w:tcW w:w="848" w:type="pct"/>
            <w:tcBorders>
              <w:left w:val="nil"/>
              <w:right w:val="nil"/>
            </w:tcBorders>
            <w:vAlign w:val="center"/>
          </w:tcPr>
          <w:p w:rsidR="004960E4" w:rsidRPr="008A0138" w:rsidRDefault="004960E4" w:rsidP="00F66AC9">
            <w:pPr>
              <w:pStyle w:val="TableText0"/>
              <w:jc w:val="center"/>
              <w:rPr>
                <w:szCs w:val="20"/>
              </w:rPr>
            </w:pPr>
          </w:p>
        </w:tc>
        <w:tc>
          <w:tcPr>
            <w:tcW w:w="703" w:type="pct"/>
            <w:tcBorders>
              <w:left w:val="nil"/>
              <w:right w:val="nil"/>
            </w:tcBorders>
            <w:vAlign w:val="center"/>
          </w:tcPr>
          <w:p w:rsidR="004960E4" w:rsidRPr="008A0138" w:rsidRDefault="004960E4" w:rsidP="00F66AC9">
            <w:pPr>
              <w:pStyle w:val="TableText0"/>
              <w:jc w:val="center"/>
              <w:rPr>
                <w:szCs w:val="20"/>
              </w:rPr>
            </w:pPr>
          </w:p>
        </w:tc>
        <w:tc>
          <w:tcPr>
            <w:tcW w:w="615" w:type="pct"/>
            <w:tcBorders>
              <w:left w:val="nil"/>
              <w:right w:val="nil"/>
            </w:tcBorders>
            <w:vAlign w:val="center"/>
          </w:tcPr>
          <w:p w:rsidR="004960E4" w:rsidRPr="008A0138" w:rsidRDefault="004960E4" w:rsidP="00F66AC9">
            <w:pPr>
              <w:pStyle w:val="TableText0"/>
              <w:jc w:val="center"/>
              <w:rPr>
                <w:szCs w:val="20"/>
              </w:rPr>
            </w:pPr>
          </w:p>
        </w:tc>
        <w:tc>
          <w:tcPr>
            <w:tcW w:w="569" w:type="pct"/>
            <w:tcBorders>
              <w:left w:val="nil"/>
            </w:tcBorders>
            <w:vAlign w:val="center"/>
          </w:tcPr>
          <w:p w:rsidR="004960E4" w:rsidRPr="008A0138" w:rsidRDefault="004960E4" w:rsidP="00F66AC9">
            <w:pPr>
              <w:pStyle w:val="TableText0"/>
              <w:jc w:val="center"/>
              <w:rPr>
                <w:szCs w:val="20"/>
              </w:rPr>
            </w:pPr>
          </w:p>
        </w:tc>
        <w:tc>
          <w:tcPr>
            <w:tcW w:w="799" w:type="pct"/>
            <w:vAlign w:val="center"/>
          </w:tcPr>
          <w:p w:rsidR="004960E4" w:rsidRPr="008A0138" w:rsidRDefault="004960E4" w:rsidP="00F66AC9">
            <w:pPr>
              <w:pStyle w:val="TableText0"/>
              <w:jc w:val="center"/>
              <w:rPr>
                <w:szCs w:val="20"/>
                <w:vertAlign w:val="superscript"/>
              </w:rPr>
            </w:pPr>
            <w:r w:rsidRPr="008A0138">
              <w:rPr>
                <w:szCs w:val="20"/>
              </w:rPr>
              <w:t>$</w:t>
            </w:r>
            <w:r w:rsidR="00115F96">
              <w:rPr>
                <w:noProof/>
                <w:color w:val="000000"/>
                <w:szCs w:val="20"/>
                <w:highlight w:val="black"/>
              </w:rPr>
              <w:t>''''''''''''''''''''''</w:t>
            </w:r>
          </w:p>
        </w:tc>
      </w:tr>
      <w:tr w:rsidR="004960E4" w:rsidRPr="008A0138" w:rsidTr="008A0138">
        <w:tc>
          <w:tcPr>
            <w:tcW w:w="5000" w:type="pct"/>
            <w:gridSpan w:val="7"/>
            <w:vAlign w:val="center"/>
          </w:tcPr>
          <w:p w:rsidR="004960E4" w:rsidRPr="008A0138" w:rsidRDefault="004960E4" w:rsidP="00F66AC9">
            <w:pPr>
              <w:pStyle w:val="In-tableHeading"/>
              <w:rPr>
                <w:szCs w:val="20"/>
                <w:lang w:val="en-AU"/>
              </w:rPr>
            </w:pPr>
            <w:r w:rsidRPr="008A0138">
              <w:rPr>
                <w:szCs w:val="20"/>
                <w:lang w:val="en-AU"/>
              </w:rPr>
              <w:t xml:space="preserve">SA2 - mean duration of treatment for nivolumab and </w:t>
            </w:r>
            <w:proofErr w:type="spellStart"/>
            <w:r w:rsidRPr="008A0138">
              <w:rPr>
                <w:szCs w:val="20"/>
                <w:lang w:val="en-AU"/>
              </w:rPr>
              <w:t>pembrolizumab</w:t>
            </w:r>
            <w:proofErr w:type="spellEnd"/>
            <w:r w:rsidRPr="008A0138">
              <w:rPr>
                <w:szCs w:val="20"/>
                <w:lang w:val="en-AU"/>
              </w:rPr>
              <w:t xml:space="preserve"> based on CM9LA</w:t>
            </w:r>
            <w:r w:rsidR="00510E09" w:rsidRPr="008A0138">
              <w:rPr>
                <w:szCs w:val="20"/>
                <w:vertAlign w:val="superscript"/>
                <w:lang w:val="en-AU"/>
              </w:rPr>
              <w:t>d</w:t>
            </w:r>
          </w:p>
        </w:tc>
      </w:tr>
      <w:tr w:rsidR="004960E4" w:rsidRPr="008A0138" w:rsidTr="008A0138">
        <w:tc>
          <w:tcPr>
            <w:tcW w:w="936" w:type="pct"/>
            <w:vMerge w:val="restart"/>
            <w:vAlign w:val="center"/>
          </w:tcPr>
          <w:p w:rsidR="004960E4" w:rsidRPr="008A0138" w:rsidRDefault="004960E4" w:rsidP="00F66AC9">
            <w:pPr>
              <w:pStyle w:val="TableText0"/>
              <w:ind w:left="29"/>
              <w:rPr>
                <w:szCs w:val="20"/>
              </w:rPr>
            </w:pPr>
            <w:r w:rsidRPr="008A0138">
              <w:rPr>
                <w:szCs w:val="20"/>
              </w:rPr>
              <w:t xml:space="preserve">Nivolumab </w:t>
            </w:r>
          </w:p>
        </w:tc>
        <w:tc>
          <w:tcPr>
            <w:tcW w:w="530" w:type="pct"/>
            <w:vAlign w:val="center"/>
          </w:tcPr>
          <w:p w:rsidR="004960E4" w:rsidRPr="008A0138" w:rsidRDefault="004960E4" w:rsidP="00F66AC9">
            <w:pPr>
              <w:pStyle w:val="TableText0"/>
              <w:jc w:val="center"/>
              <w:rPr>
                <w:szCs w:val="20"/>
              </w:rPr>
            </w:pPr>
            <w:r w:rsidRPr="008A0138">
              <w:rPr>
                <w:szCs w:val="20"/>
              </w:rPr>
              <w:t>100 mg</w:t>
            </w:r>
          </w:p>
        </w:tc>
        <w:tc>
          <w:tcPr>
            <w:tcW w:w="848" w:type="pct"/>
            <w:vAlign w:val="center"/>
          </w:tcPr>
          <w:p w:rsidR="004960E4" w:rsidRPr="008A0138" w:rsidRDefault="004960E4" w:rsidP="00F66AC9">
            <w:pPr>
              <w:pStyle w:val="TableText0"/>
              <w:jc w:val="center"/>
              <w:rPr>
                <w:b/>
                <w:szCs w:val="20"/>
              </w:rPr>
            </w:pPr>
            <w:r w:rsidRPr="008A0138">
              <w:rPr>
                <w:b/>
                <w:szCs w:val="20"/>
              </w:rPr>
              <w:t>$</w:t>
            </w:r>
            <w:r w:rsidR="00115F96">
              <w:rPr>
                <w:b/>
                <w:noProof/>
                <w:color w:val="000000"/>
                <w:szCs w:val="20"/>
                <w:highlight w:val="black"/>
              </w:rPr>
              <w:t>'''''''''''''</w:t>
            </w:r>
          </w:p>
        </w:tc>
        <w:tc>
          <w:tcPr>
            <w:tcW w:w="703" w:type="pct"/>
            <w:vMerge w:val="restart"/>
            <w:vAlign w:val="center"/>
          </w:tcPr>
          <w:p w:rsidR="004960E4" w:rsidRPr="008A0138" w:rsidRDefault="004960E4" w:rsidP="00F66AC9">
            <w:pPr>
              <w:pStyle w:val="TableText0"/>
              <w:jc w:val="center"/>
              <w:rPr>
                <w:szCs w:val="20"/>
              </w:rPr>
            </w:pPr>
            <w:r w:rsidRPr="008A0138">
              <w:rPr>
                <w:szCs w:val="20"/>
              </w:rPr>
              <w:t>360 mg</w:t>
            </w:r>
          </w:p>
        </w:tc>
        <w:tc>
          <w:tcPr>
            <w:tcW w:w="615" w:type="pct"/>
            <w:vMerge w:val="restart"/>
            <w:vAlign w:val="center"/>
          </w:tcPr>
          <w:p w:rsidR="004960E4" w:rsidRPr="008A0138" w:rsidRDefault="004960E4" w:rsidP="00F66AC9">
            <w:pPr>
              <w:pStyle w:val="TableText0"/>
              <w:jc w:val="center"/>
              <w:rPr>
                <w:szCs w:val="20"/>
              </w:rPr>
            </w:pPr>
            <w:r w:rsidRPr="008A0138">
              <w:rPr>
                <w:szCs w:val="20"/>
              </w:rPr>
              <w:t>$</w:t>
            </w:r>
            <w:r w:rsidR="00115F96">
              <w:rPr>
                <w:noProof/>
                <w:color w:val="000000"/>
                <w:szCs w:val="20"/>
                <w:highlight w:val="black"/>
              </w:rPr>
              <w:t>'''''''''''''''''''''''</w:t>
            </w:r>
          </w:p>
        </w:tc>
        <w:tc>
          <w:tcPr>
            <w:tcW w:w="569" w:type="pct"/>
            <w:vMerge w:val="restart"/>
            <w:vAlign w:val="center"/>
          </w:tcPr>
          <w:p w:rsidR="004960E4" w:rsidRPr="008A0138" w:rsidRDefault="004960E4" w:rsidP="00F66AC9">
            <w:pPr>
              <w:pStyle w:val="TableText0"/>
              <w:jc w:val="center"/>
              <w:rPr>
                <w:szCs w:val="20"/>
              </w:rPr>
            </w:pPr>
            <w:r w:rsidRPr="008A0138">
              <w:rPr>
                <w:szCs w:val="20"/>
              </w:rPr>
              <w:t>11.7</w:t>
            </w:r>
          </w:p>
        </w:tc>
        <w:tc>
          <w:tcPr>
            <w:tcW w:w="799" w:type="pct"/>
            <w:vMerge w:val="restart"/>
            <w:vAlign w:val="center"/>
          </w:tcPr>
          <w:p w:rsidR="004960E4" w:rsidRPr="008A0138" w:rsidRDefault="004960E4" w:rsidP="00F66AC9">
            <w:pPr>
              <w:pStyle w:val="TableText0"/>
              <w:jc w:val="center"/>
              <w:rPr>
                <w:szCs w:val="20"/>
              </w:rPr>
            </w:pPr>
            <w:r w:rsidRPr="008A0138">
              <w:rPr>
                <w:szCs w:val="20"/>
              </w:rPr>
              <w:t>$</w:t>
            </w:r>
            <w:r w:rsidR="00115F96">
              <w:rPr>
                <w:noProof/>
                <w:color w:val="000000"/>
                <w:szCs w:val="20"/>
                <w:highlight w:val="black"/>
              </w:rPr>
              <w:t>''''''''''''''''''''''''''</w:t>
            </w:r>
          </w:p>
        </w:tc>
      </w:tr>
      <w:tr w:rsidR="004960E4" w:rsidRPr="008A0138" w:rsidTr="008A0138">
        <w:tc>
          <w:tcPr>
            <w:tcW w:w="936" w:type="pct"/>
            <w:vMerge/>
            <w:vAlign w:val="center"/>
          </w:tcPr>
          <w:p w:rsidR="004960E4" w:rsidRPr="008A0138" w:rsidRDefault="004960E4" w:rsidP="00F66AC9">
            <w:pPr>
              <w:pStyle w:val="TableText0"/>
              <w:ind w:left="29"/>
              <w:rPr>
                <w:szCs w:val="20"/>
              </w:rPr>
            </w:pPr>
          </w:p>
        </w:tc>
        <w:tc>
          <w:tcPr>
            <w:tcW w:w="530" w:type="pct"/>
            <w:vAlign w:val="center"/>
          </w:tcPr>
          <w:p w:rsidR="004960E4" w:rsidRPr="008A0138" w:rsidRDefault="004960E4" w:rsidP="00F66AC9">
            <w:pPr>
              <w:pStyle w:val="TableText0"/>
              <w:jc w:val="center"/>
              <w:rPr>
                <w:szCs w:val="20"/>
              </w:rPr>
            </w:pPr>
            <w:r w:rsidRPr="008A0138">
              <w:rPr>
                <w:szCs w:val="20"/>
              </w:rPr>
              <w:t>40 mg</w:t>
            </w:r>
          </w:p>
        </w:tc>
        <w:tc>
          <w:tcPr>
            <w:tcW w:w="848" w:type="pct"/>
            <w:vAlign w:val="center"/>
          </w:tcPr>
          <w:p w:rsidR="004960E4" w:rsidRPr="008A0138" w:rsidRDefault="004960E4" w:rsidP="00F66AC9">
            <w:pPr>
              <w:pStyle w:val="TableText0"/>
              <w:jc w:val="center"/>
              <w:rPr>
                <w:b/>
                <w:szCs w:val="20"/>
              </w:rPr>
            </w:pPr>
            <w:r w:rsidRPr="008A0138">
              <w:rPr>
                <w:b/>
                <w:szCs w:val="20"/>
              </w:rPr>
              <w:t>$</w:t>
            </w:r>
            <w:r w:rsidR="00115F96">
              <w:rPr>
                <w:b/>
                <w:noProof/>
                <w:color w:val="000000"/>
                <w:szCs w:val="20"/>
                <w:highlight w:val="black"/>
              </w:rPr>
              <w:t>'''''''''''''</w:t>
            </w:r>
          </w:p>
        </w:tc>
        <w:tc>
          <w:tcPr>
            <w:tcW w:w="703" w:type="pct"/>
            <w:vMerge/>
            <w:vAlign w:val="center"/>
          </w:tcPr>
          <w:p w:rsidR="004960E4" w:rsidRPr="008A0138" w:rsidRDefault="004960E4" w:rsidP="00F66AC9">
            <w:pPr>
              <w:pStyle w:val="TableText0"/>
              <w:jc w:val="center"/>
              <w:rPr>
                <w:szCs w:val="20"/>
              </w:rPr>
            </w:pPr>
          </w:p>
        </w:tc>
        <w:tc>
          <w:tcPr>
            <w:tcW w:w="615" w:type="pct"/>
            <w:vMerge/>
            <w:vAlign w:val="center"/>
          </w:tcPr>
          <w:p w:rsidR="004960E4" w:rsidRPr="008A0138" w:rsidRDefault="004960E4" w:rsidP="00F66AC9">
            <w:pPr>
              <w:pStyle w:val="TableText0"/>
              <w:jc w:val="center"/>
              <w:rPr>
                <w:szCs w:val="20"/>
              </w:rPr>
            </w:pPr>
          </w:p>
        </w:tc>
        <w:tc>
          <w:tcPr>
            <w:tcW w:w="569" w:type="pct"/>
            <w:vMerge/>
            <w:vAlign w:val="center"/>
          </w:tcPr>
          <w:p w:rsidR="004960E4" w:rsidRPr="008A0138" w:rsidRDefault="004960E4" w:rsidP="00F66AC9">
            <w:pPr>
              <w:pStyle w:val="TableText0"/>
              <w:jc w:val="center"/>
              <w:rPr>
                <w:szCs w:val="20"/>
              </w:rPr>
            </w:pPr>
          </w:p>
        </w:tc>
        <w:tc>
          <w:tcPr>
            <w:tcW w:w="799" w:type="pct"/>
            <w:vMerge/>
            <w:vAlign w:val="center"/>
          </w:tcPr>
          <w:p w:rsidR="004960E4" w:rsidRPr="008A0138" w:rsidRDefault="004960E4" w:rsidP="00F66AC9">
            <w:pPr>
              <w:pStyle w:val="TableText0"/>
              <w:jc w:val="center"/>
              <w:rPr>
                <w:szCs w:val="20"/>
              </w:rPr>
            </w:pPr>
          </w:p>
        </w:tc>
      </w:tr>
      <w:tr w:rsidR="004960E4" w:rsidRPr="008A0138" w:rsidTr="008A0138">
        <w:tc>
          <w:tcPr>
            <w:tcW w:w="936" w:type="pct"/>
            <w:tcBorders>
              <w:bottom w:val="single" w:sz="4" w:space="0" w:color="auto"/>
            </w:tcBorders>
            <w:vAlign w:val="center"/>
          </w:tcPr>
          <w:p w:rsidR="004960E4" w:rsidRPr="008A0138" w:rsidRDefault="004960E4" w:rsidP="00F66AC9">
            <w:pPr>
              <w:pStyle w:val="TableText0"/>
              <w:ind w:left="29"/>
              <w:rPr>
                <w:szCs w:val="20"/>
              </w:rPr>
            </w:pPr>
            <w:r w:rsidRPr="008A0138">
              <w:rPr>
                <w:szCs w:val="20"/>
              </w:rPr>
              <w:t xml:space="preserve">Ipilimumab </w:t>
            </w:r>
          </w:p>
        </w:tc>
        <w:tc>
          <w:tcPr>
            <w:tcW w:w="530" w:type="pct"/>
            <w:tcBorders>
              <w:bottom w:val="single" w:sz="4" w:space="0" w:color="auto"/>
            </w:tcBorders>
            <w:vAlign w:val="center"/>
          </w:tcPr>
          <w:p w:rsidR="004960E4" w:rsidRPr="008A0138" w:rsidRDefault="004960E4" w:rsidP="00F66AC9">
            <w:pPr>
              <w:pStyle w:val="TableText0"/>
              <w:jc w:val="center"/>
              <w:rPr>
                <w:szCs w:val="20"/>
              </w:rPr>
            </w:pPr>
            <w:r w:rsidRPr="008A0138">
              <w:rPr>
                <w:szCs w:val="20"/>
              </w:rPr>
              <w:t>50 mg</w:t>
            </w:r>
          </w:p>
        </w:tc>
        <w:tc>
          <w:tcPr>
            <w:tcW w:w="848" w:type="pct"/>
            <w:tcBorders>
              <w:bottom w:val="single" w:sz="4" w:space="0" w:color="auto"/>
            </w:tcBorders>
            <w:vAlign w:val="center"/>
          </w:tcPr>
          <w:p w:rsidR="004960E4" w:rsidRPr="008A0138" w:rsidRDefault="004960E4" w:rsidP="00F66AC9">
            <w:pPr>
              <w:pStyle w:val="TableText0"/>
              <w:jc w:val="center"/>
              <w:rPr>
                <w:b/>
                <w:szCs w:val="20"/>
                <w:vertAlign w:val="superscript"/>
              </w:rPr>
            </w:pPr>
            <w:r w:rsidRPr="008A0138">
              <w:rPr>
                <w:b/>
                <w:szCs w:val="20"/>
              </w:rPr>
              <w:t>$</w:t>
            </w:r>
            <w:r w:rsidR="00115F96">
              <w:rPr>
                <w:b/>
                <w:noProof/>
                <w:color w:val="000000"/>
                <w:szCs w:val="20"/>
                <w:highlight w:val="black"/>
              </w:rPr>
              <w:t>'''''''''''''''''</w:t>
            </w:r>
          </w:p>
        </w:tc>
        <w:tc>
          <w:tcPr>
            <w:tcW w:w="703" w:type="pct"/>
            <w:tcBorders>
              <w:bottom w:val="single" w:sz="4" w:space="0" w:color="auto"/>
            </w:tcBorders>
            <w:vAlign w:val="center"/>
          </w:tcPr>
          <w:p w:rsidR="004960E4" w:rsidRPr="008A0138" w:rsidRDefault="004960E4" w:rsidP="00F66AC9">
            <w:pPr>
              <w:pStyle w:val="TableText0"/>
              <w:jc w:val="center"/>
              <w:rPr>
                <w:szCs w:val="20"/>
              </w:rPr>
            </w:pPr>
            <w:r w:rsidRPr="008A0138">
              <w:rPr>
                <w:szCs w:val="20"/>
              </w:rPr>
              <w:t>72.55 mg</w:t>
            </w:r>
          </w:p>
        </w:tc>
        <w:tc>
          <w:tcPr>
            <w:tcW w:w="615" w:type="pct"/>
            <w:tcBorders>
              <w:bottom w:val="single" w:sz="4" w:space="0" w:color="auto"/>
            </w:tcBorders>
            <w:vAlign w:val="center"/>
          </w:tcPr>
          <w:p w:rsidR="004960E4" w:rsidRPr="008A0138" w:rsidRDefault="004960E4" w:rsidP="00F66AC9">
            <w:pPr>
              <w:pStyle w:val="TableText0"/>
              <w:jc w:val="center"/>
              <w:rPr>
                <w:szCs w:val="20"/>
                <w:vertAlign w:val="superscript"/>
              </w:rPr>
            </w:pPr>
            <w:r w:rsidRPr="008A0138">
              <w:rPr>
                <w:szCs w:val="20"/>
              </w:rPr>
              <w:t>$</w:t>
            </w:r>
            <w:r w:rsidR="00115F96">
              <w:rPr>
                <w:noProof/>
                <w:color w:val="000000"/>
                <w:szCs w:val="20"/>
                <w:highlight w:val="black"/>
              </w:rPr>
              <w:t>'''''''''''''''''''</w:t>
            </w:r>
          </w:p>
        </w:tc>
        <w:tc>
          <w:tcPr>
            <w:tcW w:w="569" w:type="pct"/>
            <w:tcBorders>
              <w:bottom w:val="single" w:sz="4" w:space="0" w:color="auto"/>
            </w:tcBorders>
            <w:vAlign w:val="center"/>
          </w:tcPr>
          <w:p w:rsidR="004960E4" w:rsidRPr="008A0138" w:rsidRDefault="004960E4" w:rsidP="00F66AC9">
            <w:pPr>
              <w:pStyle w:val="TableText0"/>
              <w:jc w:val="center"/>
              <w:rPr>
                <w:szCs w:val="20"/>
              </w:rPr>
            </w:pPr>
            <w:r w:rsidRPr="008A0138">
              <w:rPr>
                <w:szCs w:val="20"/>
              </w:rPr>
              <w:t>6.0</w:t>
            </w:r>
          </w:p>
        </w:tc>
        <w:tc>
          <w:tcPr>
            <w:tcW w:w="799" w:type="pct"/>
            <w:vAlign w:val="center"/>
          </w:tcPr>
          <w:p w:rsidR="004960E4" w:rsidRPr="008A0138" w:rsidRDefault="00A35CCB" w:rsidP="00F66AC9">
            <w:pPr>
              <w:pStyle w:val="TableText0"/>
              <w:jc w:val="center"/>
              <w:rPr>
                <w:szCs w:val="20"/>
                <w:vertAlign w:val="superscript"/>
              </w:rPr>
            </w:pPr>
            <w:r w:rsidRPr="008A0138">
              <w:rPr>
                <w:szCs w:val="20"/>
              </w:rPr>
              <w:t>$</w:t>
            </w:r>
            <w:r w:rsidR="00115F96">
              <w:rPr>
                <w:noProof/>
                <w:color w:val="000000"/>
                <w:szCs w:val="20"/>
                <w:highlight w:val="black"/>
              </w:rPr>
              <w:t>''''''''''''''''''''''</w:t>
            </w:r>
          </w:p>
        </w:tc>
      </w:tr>
      <w:tr w:rsidR="004960E4" w:rsidRPr="008A0138" w:rsidTr="008A0138">
        <w:tc>
          <w:tcPr>
            <w:tcW w:w="936" w:type="pct"/>
            <w:tcBorders>
              <w:right w:val="nil"/>
            </w:tcBorders>
            <w:vAlign w:val="center"/>
          </w:tcPr>
          <w:p w:rsidR="004960E4" w:rsidRPr="008A0138" w:rsidRDefault="004960E4" w:rsidP="00F66AC9">
            <w:pPr>
              <w:pStyle w:val="TableText0"/>
              <w:ind w:left="29"/>
              <w:rPr>
                <w:szCs w:val="20"/>
              </w:rPr>
            </w:pPr>
            <w:r w:rsidRPr="008A0138">
              <w:rPr>
                <w:szCs w:val="20"/>
              </w:rPr>
              <w:t>Total</w:t>
            </w:r>
          </w:p>
        </w:tc>
        <w:tc>
          <w:tcPr>
            <w:tcW w:w="530" w:type="pct"/>
            <w:tcBorders>
              <w:left w:val="nil"/>
              <w:right w:val="nil"/>
            </w:tcBorders>
            <w:vAlign w:val="center"/>
          </w:tcPr>
          <w:p w:rsidR="004960E4" w:rsidRPr="008A0138" w:rsidRDefault="004960E4" w:rsidP="00F66AC9">
            <w:pPr>
              <w:pStyle w:val="TableText0"/>
              <w:jc w:val="center"/>
              <w:rPr>
                <w:szCs w:val="20"/>
              </w:rPr>
            </w:pPr>
          </w:p>
        </w:tc>
        <w:tc>
          <w:tcPr>
            <w:tcW w:w="848" w:type="pct"/>
            <w:tcBorders>
              <w:left w:val="nil"/>
              <w:right w:val="nil"/>
            </w:tcBorders>
            <w:vAlign w:val="center"/>
          </w:tcPr>
          <w:p w:rsidR="004960E4" w:rsidRPr="008A0138" w:rsidRDefault="004960E4" w:rsidP="00F66AC9">
            <w:pPr>
              <w:pStyle w:val="TableText0"/>
              <w:jc w:val="center"/>
              <w:rPr>
                <w:szCs w:val="20"/>
              </w:rPr>
            </w:pPr>
          </w:p>
        </w:tc>
        <w:tc>
          <w:tcPr>
            <w:tcW w:w="703" w:type="pct"/>
            <w:tcBorders>
              <w:left w:val="nil"/>
              <w:right w:val="nil"/>
            </w:tcBorders>
            <w:vAlign w:val="center"/>
          </w:tcPr>
          <w:p w:rsidR="004960E4" w:rsidRPr="008A0138" w:rsidRDefault="004960E4" w:rsidP="00F66AC9">
            <w:pPr>
              <w:pStyle w:val="TableText0"/>
              <w:jc w:val="center"/>
              <w:rPr>
                <w:szCs w:val="20"/>
              </w:rPr>
            </w:pPr>
          </w:p>
        </w:tc>
        <w:tc>
          <w:tcPr>
            <w:tcW w:w="615" w:type="pct"/>
            <w:tcBorders>
              <w:left w:val="nil"/>
              <w:right w:val="nil"/>
            </w:tcBorders>
            <w:vAlign w:val="center"/>
          </w:tcPr>
          <w:p w:rsidR="004960E4" w:rsidRPr="008A0138" w:rsidRDefault="004960E4" w:rsidP="00F66AC9">
            <w:pPr>
              <w:pStyle w:val="TableText0"/>
              <w:jc w:val="center"/>
              <w:rPr>
                <w:szCs w:val="20"/>
              </w:rPr>
            </w:pPr>
          </w:p>
        </w:tc>
        <w:tc>
          <w:tcPr>
            <w:tcW w:w="569" w:type="pct"/>
            <w:tcBorders>
              <w:left w:val="nil"/>
            </w:tcBorders>
            <w:vAlign w:val="center"/>
          </w:tcPr>
          <w:p w:rsidR="004960E4" w:rsidRPr="008A0138" w:rsidRDefault="004960E4" w:rsidP="00F66AC9">
            <w:pPr>
              <w:pStyle w:val="TableText0"/>
              <w:jc w:val="center"/>
              <w:rPr>
                <w:szCs w:val="20"/>
              </w:rPr>
            </w:pPr>
          </w:p>
        </w:tc>
        <w:tc>
          <w:tcPr>
            <w:tcW w:w="799" w:type="pct"/>
            <w:vAlign w:val="center"/>
          </w:tcPr>
          <w:p w:rsidR="004960E4" w:rsidRPr="008A0138" w:rsidRDefault="004960E4" w:rsidP="00F66AC9">
            <w:pPr>
              <w:pStyle w:val="TableText0"/>
              <w:jc w:val="center"/>
              <w:rPr>
                <w:szCs w:val="20"/>
                <w:vertAlign w:val="superscript"/>
              </w:rPr>
            </w:pPr>
            <w:r w:rsidRPr="008A0138">
              <w:rPr>
                <w:szCs w:val="20"/>
              </w:rPr>
              <w:t>$</w:t>
            </w:r>
            <w:r w:rsidR="00115F96">
              <w:rPr>
                <w:noProof/>
                <w:color w:val="000000"/>
                <w:szCs w:val="20"/>
                <w:highlight w:val="black"/>
              </w:rPr>
              <w:t>''''''''''''''''''''''</w:t>
            </w:r>
          </w:p>
        </w:tc>
      </w:tr>
    </w:tbl>
    <w:p w:rsidR="00324125" w:rsidRPr="0087043D" w:rsidRDefault="00324125" w:rsidP="00324125">
      <w:pPr>
        <w:pStyle w:val="TableFigureFooter"/>
      </w:pPr>
      <w:r w:rsidRPr="0087043D">
        <w:t xml:space="preserve">Source: Table 132, p227 of the submission; Excel workbook ‘Section 3 – 1L NSCLC </w:t>
      </w:r>
      <w:proofErr w:type="spellStart"/>
      <w:r w:rsidRPr="0087043D">
        <w:t>Nivo+Ipi+Chemo</w:t>
      </w:r>
      <w:proofErr w:type="spellEnd"/>
      <w:r w:rsidRPr="0087043D">
        <w:t xml:space="preserve"> Cost-Minimisation Analysis.’</w:t>
      </w:r>
    </w:p>
    <w:p w:rsidR="00324125" w:rsidRPr="0087043D" w:rsidRDefault="00324125" w:rsidP="00324125">
      <w:pPr>
        <w:pStyle w:val="TableFigureFooter"/>
      </w:pPr>
      <w:r w:rsidRPr="0087043D">
        <w:t>AEMP = approved ex-manufacturer price; SA = sensitivity analysis</w:t>
      </w:r>
    </w:p>
    <w:p w:rsidR="00324125" w:rsidRPr="0087043D" w:rsidRDefault="00324125" w:rsidP="00324125">
      <w:pPr>
        <w:pStyle w:val="TableFigureFooter"/>
      </w:pPr>
      <w:proofErr w:type="gramStart"/>
      <w:r w:rsidRPr="0087043D">
        <w:rPr>
          <w:vertAlign w:val="superscript"/>
        </w:rPr>
        <w:t>a</w:t>
      </w:r>
      <w:proofErr w:type="gramEnd"/>
      <w:r w:rsidRPr="0087043D">
        <w:t xml:space="preserve"> Corrected figures as described for </w:t>
      </w:r>
      <w:r w:rsidR="00C71489" w:rsidRPr="0087043D">
        <w:t>Table 12</w:t>
      </w:r>
    </w:p>
    <w:p w:rsidR="00510E09" w:rsidRPr="0087043D" w:rsidRDefault="00510E09" w:rsidP="00510E09">
      <w:pPr>
        <w:pStyle w:val="TableFigureFooter"/>
      </w:pPr>
      <w:proofErr w:type="gramStart"/>
      <w:r w:rsidRPr="0087043D">
        <w:rPr>
          <w:vertAlign w:val="superscript"/>
        </w:rPr>
        <w:t>b</w:t>
      </w:r>
      <w:proofErr w:type="gramEnd"/>
      <w:r w:rsidRPr="0087043D">
        <w:t xml:space="preserve"> Weighted mean dose, assuming 72.2% receive carboplatin/</w:t>
      </w:r>
      <w:proofErr w:type="spellStart"/>
      <w:r w:rsidRPr="0087043D">
        <w:t>pemetrexed</w:t>
      </w:r>
      <w:proofErr w:type="spellEnd"/>
      <w:r w:rsidRPr="0087043D">
        <w:t xml:space="preserve"> and 27.8% receive cisplatin/</w:t>
      </w:r>
      <w:proofErr w:type="spellStart"/>
      <w:r w:rsidRPr="0087043D">
        <w:t>pemetrexed</w:t>
      </w:r>
      <w:proofErr w:type="spellEnd"/>
      <w:r w:rsidRPr="0087043D">
        <w:t xml:space="preserve"> (72.2% x 13.40 + 27.8% x 14.70)</w:t>
      </w:r>
    </w:p>
    <w:p w:rsidR="00510E09" w:rsidRPr="0087043D" w:rsidRDefault="00510E09" w:rsidP="00510E09">
      <w:pPr>
        <w:pStyle w:val="TableFigureFooter"/>
      </w:pPr>
      <w:proofErr w:type="gramStart"/>
      <w:r w:rsidRPr="0087043D">
        <w:rPr>
          <w:vertAlign w:val="superscript"/>
        </w:rPr>
        <w:t>c</w:t>
      </w:r>
      <w:proofErr w:type="gramEnd"/>
      <w:r w:rsidRPr="0087043D">
        <w:t xml:space="preserve"> 7.06 = 6.0 / 11.7 x 13.76</w:t>
      </w:r>
    </w:p>
    <w:p w:rsidR="00510E09" w:rsidRPr="0087043D" w:rsidRDefault="00510E09" w:rsidP="00510E09">
      <w:pPr>
        <w:pStyle w:val="TableFigureFooter"/>
        <w:rPr>
          <w:vertAlign w:val="superscript"/>
        </w:rPr>
      </w:pPr>
      <w:proofErr w:type="gramStart"/>
      <w:r w:rsidRPr="0087043D">
        <w:rPr>
          <w:vertAlign w:val="superscript"/>
        </w:rPr>
        <w:t>d</w:t>
      </w:r>
      <w:proofErr w:type="gramEnd"/>
      <w:r w:rsidRPr="0087043D">
        <w:rPr>
          <w:vertAlign w:val="superscript"/>
        </w:rPr>
        <w:t xml:space="preserve"> </w:t>
      </w:r>
      <w:r w:rsidRPr="0087043D">
        <w:t xml:space="preserve">Assuming 11.70 </w:t>
      </w:r>
      <w:proofErr w:type="spellStart"/>
      <w:r w:rsidRPr="0087043D">
        <w:t>pembrolizumab</w:t>
      </w:r>
      <w:proofErr w:type="spellEnd"/>
      <w:r w:rsidRPr="0087043D">
        <w:t xml:space="preserve"> doses for NSQ and SQ</w:t>
      </w:r>
    </w:p>
    <w:p w:rsidR="00324125" w:rsidRPr="0087043D" w:rsidRDefault="00324125" w:rsidP="00324125">
      <w:pPr>
        <w:pStyle w:val="TableFigureFooter"/>
      </w:pPr>
      <w:r w:rsidRPr="0087043D">
        <w:t>Figures in bold are the cost-minimised effective AEMP for nivolumab and ipilimumab.</w:t>
      </w:r>
    </w:p>
    <w:p w:rsidR="00324125" w:rsidRPr="0087043D" w:rsidRDefault="00324125" w:rsidP="00324125">
      <w:pPr>
        <w:pStyle w:val="3-BodyText"/>
      </w:pPr>
      <w:r w:rsidRPr="0087043D">
        <w:t xml:space="preserve">These results indicate that the use of the truncated mean duration of treatment from the clinical trials favours </w:t>
      </w:r>
      <w:proofErr w:type="spellStart"/>
      <w:r w:rsidRPr="0087043D">
        <w:t>NIVO+IPI+platinum</w:t>
      </w:r>
      <w:proofErr w:type="spellEnd"/>
      <w:r w:rsidRPr="0087043D">
        <w:t xml:space="preserve"> in the cost-minimisation analysis compared to using a similar duration of treatment for the nivolumab and </w:t>
      </w:r>
      <w:proofErr w:type="spellStart"/>
      <w:r w:rsidRPr="0087043D">
        <w:t>pembrolizumab</w:t>
      </w:r>
      <w:proofErr w:type="spellEnd"/>
      <w:r w:rsidRPr="0087043D">
        <w:t xml:space="preserve"> components of </w:t>
      </w:r>
      <w:proofErr w:type="spellStart"/>
      <w:r w:rsidRPr="0087043D">
        <w:t>NIVO+IPI+platinum</w:t>
      </w:r>
      <w:proofErr w:type="spellEnd"/>
      <w:r w:rsidRPr="0087043D">
        <w:t xml:space="preserve"> and </w:t>
      </w:r>
      <w:proofErr w:type="spellStart"/>
      <w:r w:rsidRPr="0087043D">
        <w:t>pembrolizumab</w:t>
      </w:r>
      <w:proofErr w:type="spellEnd"/>
      <w:r w:rsidRPr="0087043D">
        <w:t xml:space="preserve">+ platinum, and applying this across both patients with non-squamous NSCLC and those with squamous NSCLC. </w:t>
      </w:r>
    </w:p>
    <w:p w:rsidR="001E2F24" w:rsidRPr="0087043D" w:rsidRDefault="001E2F24" w:rsidP="001E2F24">
      <w:pPr>
        <w:pStyle w:val="3-BodyText"/>
      </w:pPr>
      <w:r w:rsidRPr="0087043D">
        <w:t xml:space="preserve">Should the PBAC accept the clinical claim of overall non-inferior effectiveness and safety, the cost-minimisation approach must establish that the cost per patient for treatment with </w:t>
      </w:r>
      <w:proofErr w:type="spellStart"/>
      <w:r w:rsidR="00F32A09" w:rsidRPr="0087043D">
        <w:t>NIVO+IPI+platinum</w:t>
      </w:r>
      <w:proofErr w:type="spellEnd"/>
      <w:r w:rsidR="00F32A09" w:rsidRPr="0087043D">
        <w:t xml:space="preserve"> </w:t>
      </w:r>
      <w:r w:rsidRPr="0087043D">
        <w:t>would be no more than the cost per patient of</w:t>
      </w:r>
      <w:r w:rsidR="00F32A09" w:rsidRPr="0087043D">
        <w:t xml:space="preserve"> </w:t>
      </w:r>
      <w:proofErr w:type="spellStart"/>
      <w:r w:rsidR="00F32A09" w:rsidRPr="0087043D">
        <w:t>pembrolizumab+</w:t>
      </w:r>
      <w:proofErr w:type="gramStart"/>
      <w:r w:rsidR="00F32A09" w:rsidRPr="0087043D">
        <w:t>platinum</w:t>
      </w:r>
      <w:proofErr w:type="spellEnd"/>
      <w:r w:rsidRPr="0087043D">
        <w:t>.</w:t>
      </w:r>
      <w:proofErr w:type="gramEnd"/>
      <w:r w:rsidRPr="0087043D">
        <w:t xml:space="preserve"> The cost per patient takes into account the mean </w:t>
      </w:r>
      <w:proofErr w:type="spellStart"/>
      <w:r w:rsidRPr="0087043D">
        <w:t>equi</w:t>
      </w:r>
      <w:proofErr w:type="spellEnd"/>
      <w:r w:rsidRPr="0087043D">
        <w:t xml:space="preserve">-effective doses of the new intervention and the alternative therapy, and also accounts for any difference in the mean duration of treatment. Where these cost per patient calculations are uncertain, </w:t>
      </w:r>
      <w:r w:rsidR="00122241" w:rsidRPr="0087043D">
        <w:t>the guiding principle is that the Australian Government should not bear the financial risk of this uncertainty because the Australian population already has access to therapy that is at least as effective and safe.</w:t>
      </w:r>
    </w:p>
    <w:p w:rsidR="00C25D9C" w:rsidRPr="0087043D" w:rsidRDefault="00C25D9C" w:rsidP="00BB732D">
      <w:pPr>
        <w:pStyle w:val="4-SubsectionHeading"/>
      </w:pPr>
      <w:bookmarkStart w:id="38" w:name="_Toc22897646"/>
      <w:bookmarkStart w:id="39" w:name="_Toc51147799"/>
      <w:r w:rsidRPr="0087043D">
        <w:t>Drug</w:t>
      </w:r>
      <w:r w:rsidR="00D612E0" w:rsidRPr="0087043D">
        <w:t xml:space="preserve"> cost/patient/</w:t>
      </w:r>
      <w:r w:rsidRPr="0087043D">
        <w:t>cours</w:t>
      </w:r>
      <w:bookmarkEnd w:id="38"/>
      <w:r w:rsidR="00D612E0" w:rsidRPr="0087043D">
        <w:t>e</w:t>
      </w:r>
      <w:bookmarkEnd w:id="39"/>
    </w:p>
    <w:p w:rsidR="009D5BE4" w:rsidRPr="0087043D" w:rsidRDefault="000E73AC" w:rsidP="009D5BE4">
      <w:pPr>
        <w:pStyle w:val="3-BodyText"/>
      </w:pPr>
      <w:r w:rsidRPr="0087043D">
        <w:t xml:space="preserve">The estimated effective AEMP per dose and the effective dispensed price per dose for each component of </w:t>
      </w:r>
      <w:proofErr w:type="spellStart"/>
      <w:r w:rsidRPr="0087043D">
        <w:t>NIVO+IPI+platinum</w:t>
      </w:r>
      <w:proofErr w:type="spellEnd"/>
      <w:r w:rsidRPr="0087043D">
        <w:t xml:space="preserve"> and </w:t>
      </w:r>
      <w:proofErr w:type="spellStart"/>
      <w:r w:rsidRPr="0087043D">
        <w:t>pembrolizumab+platinum</w:t>
      </w:r>
      <w:proofErr w:type="spellEnd"/>
      <w:r w:rsidRPr="0087043D">
        <w:t xml:space="preserve"> are summarised in </w:t>
      </w:r>
      <w:r w:rsidR="00C71489" w:rsidRPr="0087043D">
        <w:t>Table 15</w:t>
      </w:r>
      <w:r w:rsidRPr="0087043D">
        <w:t>.</w:t>
      </w:r>
    </w:p>
    <w:p w:rsidR="000E73AC" w:rsidRPr="0087043D" w:rsidRDefault="000E73AC" w:rsidP="000E73AC">
      <w:pPr>
        <w:pStyle w:val="TableFigureHeading"/>
      </w:pPr>
      <w:bookmarkStart w:id="40" w:name="_Ref49516602"/>
      <w:r w:rsidRPr="0087043D">
        <w:t xml:space="preserve">Table </w:t>
      </w:r>
      <w:r w:rsidR="00C71489" w:rsidRPr="0087043D">
        <w:t>15</w:t>
      </w:r>
      <w:bookmarkEnd w:id="40"/>
      <w:r w:rsidRPr="0087043D">
        <w:t>: Estimated effective AEMP per dose and effective dispensed price per dose</w:t>
      </w:r>
      <w:r w:rsidR="00543D16" w:rsidRPr="0087043D">
        <w:t xml:space="preserve"> </w:t>
      </w:r>
    </w:p>
    <w:tbl>
      <w:tblPr>
        <w:tblStyle w:val="TableGrid"/>
        <w:tblW w:w="5000" w:type="pct"/>
        <w:tblLook w:val="04A0" w:firstRow="1" w:lastRow="0" w:firstColumn="1" w:lastColumn="0" w:noHBand="0" w:noVBand="1"/>
        <w:tblCaption w:val="Table 15: Estimated effective AEMP per dose and effective dispensed price per dose "/>
      </w:tblPr>
      <w:tblGrid>
        <w:gridCol w:w="2245"/>
        <w:gridCol w:w="1989"/>
        <w:gridCol w:w="1407"/>
        <w:gridCol w:w="1547"/>
        <w:gridCol w:w="1829"/>
      </w:tblGrid>
      <w:tr w:rsidR="009D5BE4" w:rsidRPr="0087043D" w:rsidTr="00EC78BA">
        <w:trPr>
          <w:tblHeader/>
        </w:trPr>
        <w:tc>
          <w:tcPr>
            <w:tcW w:w="1245" w:type="pct"/>
          </w:tcPr>
          <w:p w:rsidR="009D5BE4" w:rsidRPr="0087043D" w:rsidRDefault="009D5BE4" w:rsidP="004C7BE6">
            <w:pPr>
              <w:pStyle w:val="In-tableHeading"/>
              <w:rPr>
                <w:lang w:val="en-AU"/>
              </w:rPr>
            </w:pPr>
          </w:p>
        </w:tc>
        <w:tc>
          <w:tcPr>
            <w:tcW w:w="1103" w:type="pct"/>
            <w:vAlign w:val="center"/>
          </w:tcPr>
          <w:p w:rsidR="009D5BE4" w:rsidRPr="0087043D" w:rsidRDefault="009D5BE4" w:rsidP="004C7BE6">
            <w:pPr>
              <w:pStyle w:val="In-tableHeading"/>
              <w:jc w:val="center"/>
              <w:rPr>
                <w:lang w:val="en-AU"/>
              </w:rPr>
            </w:pPr>
            <w:r w:rsidRPr="0087043D">
              <w:rPr>
                <w:lang w:val="en-AU"/>
              </w:rPr>
              <w:t>Dose regimen</w:t>
            </w:r>
          </w:p>
        </w:tc>
        <w:tc>
          <w:tcPr>
            <w:tcW w:w="780" w:type="pct"/>
            <w:vAlign w:val="center"/>
          </w:tcPr>
          <w:p w:rsidR="009D5BE4" w:rsidRPr="0087043D" w:rsidRDefault="009D5BE4" w:rsidP="004C7BE6">
            <w:pPr>
              <w:pStyle w:val="In-tableHeading"/>
              <w:jc w:val="center"/>
              <w:rPr>
                <w:lang w:val="en-AU"/>
              </w:rPr>
            </w:pPr>
            <w:r w:rsidRPr="0087043D">
              <w:rPr>
                <w:lang w:val="en-AU"/>
              </w:rPr>
              <w:t>Dose</w:t>
            </w:r>
          </w:p>
        </w:tc>
        <w:tc>
          <w:tcPr>
            <w:tcW w:w="858" w:type="pct"/>
            <w:vAlign w:val="center"/>
          </w:tcPr>
          <w:p w:rsidR="009D5BE4" w:rsidRPr="0087043D" w:rsidRDefault="009D5BE4" w:rsidP="004C7BE6">
            <w:pPr>
              <w:pStyle w:val="In-tableHeading"/>
              <w:jc w:val="center"/>
              <w:rPr>
                <w:lang w:val="en-AU"/>
              </w:rPr>
            </w:pPr>
            <w:r w:rsidRPr="0087043D">
              <w:rPr>
                <w:lang w:val="en-AU"/>
              </w:rPr>
              <w:t>Effective AEMP/dose</w:t>
            </w:r>
          </w:p>
        </w:tc>
        <w:tc>
          <w:tcPr>
            <w:tcW w:w="1014" w:type="pct"/>
            <w:vAlign w:val="center"/>
          </w:tcPr>
          <w:p w:rsidR="009D5BE4" w:rsidRPr="0087043D" w:rsidRDefault="009D5BE4" w:rsidP="004C7BE6">
            <w:pPr>
              <w:pStyle w:val="In-tableHeading"/>
              <w:jc w:val="center"/>
              <w:rPr>
                <w:vertAlign w:val="superscript"/>
                <w:lang w:val="en-AU"/>
              </w:rPr>
            </w:pPr>
            <w:r w:rsidRPr="0087043D">
              <w:rPr>
                <w:lang w:val="en-AU"/>
              </w:rPr>
              <w:t>Weighted dispensed price/</w:t>
            </w:r>
            <w:proofErr w:type="spellStart"/>
            <w:r w:rsidRPr="0087043D">
              <w:rPr>
                <w:lang w:val="en-AU"/>
              </w:rPr>
              <w:t>dose</w:t>
            </w:r>
            <w:r w:rsidR="000E73AC" w:rsidRPr="0087043D">
              <w:rPr>
                <w:vertAlign w:val="superscript"/>
                <w:lang w:val="en-AU"/>
              </w:rPr>
              <w:t>a</w:t>
            </w:r>
            <w:proofErr w:type="spellEnd"/>
          </w:p>
        </w:tc>
      </w:tr>
      <w:tr w:rsidR="009D5BE4" w:rsidRPr="0087043D" w:rsidTr="008A0138">
        <w:tc>
          <w:tcPr>
            <w:tcW w:w="1245" w:type="pct"/>
            <w:vAlign w:val="center"/>
          </w:tcPr>
          <w:p w:rsidR="009D5BE4" w:rsidRPr="0087043D" w:rsidRDefault="009D5BE4" w:rsidP="004C7BE6">
            <w:pPr>
              <w:pStyle w:val="TableText0"/>
              <w:ind w:left="29"/>
            </w:pPr>
            <w:r w:rsidRPr="0087043D">
              <w:t>Nivolumab</w:t>
            </w:r>
          </w:p>
        </w:tc>
        <w:tc>
          <w:tcPr>
            <w:tcW w:w="1103" w:type="pct"/>
            <w:vAlign w:val="center"/>
          </w:tcPr>
          <w:p w:rsidR="009D5BE4" w:rsidRPr="0087043D" w:rsidRDefault="009D5BE4" w:rsidP="008D6AB3">
            <w:pPr>
              <w:pStyle w:val="TableText0"/>
            </w:pPr>
            <w:r w:rsidRPr="0087043D">
              <w:t>360 mg Q3W</w:t>
            </w:r>
          </w:p>
        </w:tc>
        <w:tc>
          <w:tcPr>
            <w:tcW w:w="780" w:type="pct"/>
            <w:vAlign w:val="center"/>
          </w:tcPr>
          <w:p w:rsidR="009D5BE4" w:rsidRPr="0087043D" w:rsidRDefault="009D5BE4" w:rsidP="004C7BE6">
            <w:pPr>
              <w:pStyle w:val="TableText0"/>
              <w:jc w:val="center"/>
            </w:pPr>
            <w:r w:rsidRPr="0087043D">
              <w:t>360 mg</w:t>
            </w:r>
          </w:p>
        </w:tc>
        <w:tc>
          <w:tcPr>
            <w:tcW w:w="858" w:type="pct"/>
          </w:tcPr>
          <w:p w:rsidR="009D5BE4" w:rsidRPr="0087043D" w:rsidRDefault="009D5BE4" w:rsidP="004C7BE6">
            <w:pPr>
              <w:pStyle w:val="TableText0"/>
              <w:jc w:val="center"/>
            </w:pPr>
            <w:r w:rsidRPr="0087043D">
              <w:t>$</w:t>
            </w:r>
            <w:r w:rsidR="00115F96">
              <w:rPr>
                <w:noProof/>
                <w:color w:val="000000"/>
                <w:highlight w:val="black"/>
              </w:rPr>
              <w:t>'''''''''''''''''''''</w:t>
            </w:r>
          </w:p>
        </w:tc>
        <w:tc>
          <w:tcPr>
            <w:tcW w:w="1014" w:type="pct"/>
          </w:tcPr>
          <w:p w:rsidR="009D5BE4" w:rsidRPr="0087043D" w:rsidRDefault="009D5BE4" w:rsidP="004C7BE6">
            <w:pPr>
              <w:pStyle w:val="TableText0"/>
              <w:jc w:val="center"/>
            </w:pPr>
            <w:r w:rsidRPr="0087043D">
              <w:t>$</w:t>
            </w:r>
            <w:r w:rsidR="00115F96">
              <w:rPr>
                <w:noProof/>
                <w:color w:val="000000"/>
                <w:highlight w:val="black"/>
              </w:rPr>
              <w:t>''''''''''''''''''''</w:t>
            </w:r>
          </w:p>
        </w:tc>
      </w:tr>
      <w:tr w:rsidR="009D5BE4" w:rsidRPr="0087043D" w:rsidTr="008A0138">
        <w:tc>
          <w:tcPr>
            <w:tcW w:w="1245" w:type="pct"/>
            <w:vAlign w:val="center"/>
          </w:tcPr>
          <w:p w:rsidR="009D5BE4" w:rsidRPr="0087043D" w:rsidRDefault="009D5BE4" w:rsidP="004C7BE6">
            <w:pPr>
              <w:pStyle w:val="TableText0"/>
              <w:ind w:left="29"/>
            </w:pPr>
            <w:r w:rsidRPr="0087043D">
              <w:t xml:space="preserve">Ipilimumab </w:t>
            </w:r>
          </w:p>
        </w:tc>
        <w:tc>
          <w:tcPr>
            <w:tcW w:w="1103" w:type="pct"/>
            <w:vAlign w:val="center"/>
          </w:tcPr>
          <w:p w:rsidR="009D5BE4" w:rsidRPr="0087043D" w:rsidRDefault="009D5BE4" w:rsidP="008D6AB3">
            <w:pPr>
              <w:pStyle w:val="TableText0"/>
            </w:pPr>
            <w:r w:rsidRPr="0087043D">
              <w:t>1 mg/kg Q6W</w:t>
            </w:r>
          </w:p>
        </w:tc>
        <w:tc>
          <w:tcPr>
            <w:tcW w:w="780" w:type="pct"/>
            <w:vAlign w:val="center"/>
          </w:tcPr>
          <w:p w:rsidR="009D5BE4" w:rsidRPr="0087043D" w:rsidRDefault="009D5BE4" w:rsidP="004C7BE6">
            <w:pPr>
              <w:pStyle w:val="TableText0"/>
              <w:jc w:val="center"/>
            </w:pPr>
            <w:r w:rsidRPr="0087043D">
              <w:t>72.55 mg</w:t>
            </w:r>
          </w:p>
        </w:tc>
        <w:tc>
          <w:tcPr>
            <w:tcW w:w="858" w:type="pct"/>
          </w:tcPr>
          <w:p w:rsidR="009D5BE4" w:rsidRPr="0087043D" w:rsidRDefault="003F1517" w:rsidP="003F1517">
            <w:pPr>
              <w:pStyle w:val="TableText0"/>
              <w:jc w:val="center"/>
              <w:rPr>
                <w:i/>
                <w:vertAlign w:val="superscript"/>
              </w:rPr>
            </w:pPr>
            <w:r w:rsidRPr="0087043D">
              <w:rPr>
                <w:i/>
              </w:rPr>
              <w:t>$</w:t>
            </w:r>
            <w:r w:rsidR="00115F96">
              <w:rPr>
                <w:i/>
                <w:noProof/>
                <w:color w:val="000000"/>
                <w:highlight w:val="black"/>
              </w:rPr>
              <w:t>'''''''''''''''''''''''</w:t>
            </w:r>
            <w:r w:rsidR="000E73AC" w:rsidRPr="0087043D">
              <w:rPr>
                <w:i/>
                <w:vertAlign w:val="superscript"/>
              </w:rPr>
              <w:t>b</w:t>
            </w:r>
          </w:p>
        </w:tc>
        <w:tc>
          <w:tcPr>
            <w:tcW w:w="1014" w:type="pct"/>
          </w:tcPr>
          <w:p w:rsidR="009D5BE4" w:rsidRPr="0087043D" w:rsidRDefault="003F1517" w:rsidP="003F1517">
            <w:pPr>
              <w:pStyle w:val="TableText0"/>
              <w:jc w:val="center"/>
              <w:rPr>
                <w:i/>
              </w:rPr>
            </w:pPr>
            <w:r w:rsidRPr="0087043D">
              <w:rPr>
                <w:i/>
              </w:rPr>
              <w:t>$</w:t>
            </w:r>
            <w:r w:rsidR="00115F96">
              <w:rPr>
                <w:i/>
                <w:noProof/>
                <w:color w:val="000000"/>
                <w:highlight w:val="black"/>
              </w:rPr>
              <w:t>''''''''''''''''''''</w:t>
            </w:r>
            <w:r w:rsidRPr="0087043D">
              <w:rPr>
                <w:i/>
                <w:vertAlign w:val="superscript"/>
              </w:rPr>
              <w:t xml:space="preserve"> b</w:t>
            </w:r>
            <w:r w:rsidRPr="0087043D">
              <w:rPr>
                <w:i/>
              </w:rPr>
              <w:t xml:space="preserve"> </w:t>
            </w:r>
          </w:p>
        </w:tc>
      </w:tr>
      <w:tr w:rsidR="009D5BE4" w:rsidRPr="0087043D" w:rsidTr="008A0138">
        <w:tc>
          <w:tcPr>
            <w:tcW w:w="1245" w:type="pct"/>
            <w:vAlign w:val="center"/>
          </w:tcPr>
          <w:p w:rsidR="009D5BE4" w:rsidRPr="0087043D" w:rsidRDefault="009D5BE4" w:rsidP="004C7BE6">
            <w:pPr>
              <w:pStyle w:val="TableText0"/>
              <w:ind w:left="29"/>
            </w:pPr>
            <w:proofErr w:type="spellStart"/>
            <w:r w:rsidRPr="0087043D">
              <w:t>Pembrolizumab</w:t>
            </w:r>
            <w:proofErr w:type="spellEnd"/>
            <w:r w:rsidRPr="0087043D">
              <w:t xml:space="preserve"> </w:t>
            </w:r>
          </w:p>
        </w:tc>
        <w:tc>
          <w:tcPr>
            <w:tcW w:w="1103" w:type="pct"/>
            <w:vAlign w:val="center"/>
          </w:tcPr>
          <w:p w:rsidR="009D5BE4" w:rsidRPr="0087043D" w:rsidRDefault="009D5BE4" w:rsidP="008D6AB3">
            <w:pPr>
              <w:pStyle w:val="TableText0"/>
            </w:pPr>
            <w:r w:rsidRPr="0087043D">
              <w:t>200 mg Q3W</w:t>
            </w:r>
          </w:p>
        </w:tc>
        <w:tc>
          <w:tcPr>
            <w:tcW w:w="780" w:type="pct"/>
            <w:vAlign w:val="center"/>
          </w:tcPr>
          <w:p w:rsidR="009D5BE4" w:rsidRPr="0087043D" w:rsidRDefault="009D5BE4" w:rsidP="004C7BE6">
            <w:pPr>
              <w:pStyle w:val="TableText0"/>
              <w:jc w:val="center"/>
            </w:pPr>
            <w:r w:rsidRPr="0087043D">
              <w:t>200 mg</w:t>
            </w:r>
          </w:p>
        </w:tc>
        <w:tc>
          <w:tcPr>
            <w:tcW w:w="858" w:type="pct"/>
            <w:vAlign w:val="center"/>
          </w:tcPr>
          <w:p w:rsidR="009D5BE4" w:rsidRPr="0087043D" w:rsidRDefault="009D5BE4" w:rsidP="004C7BE6">
            <w:pPr>
              <w:pStyle w:val="TableText0"/>
              <w:jc w:val="center"/>
              <w:rPr>
                <w:vertAlign w:val="superscript"/>
              </w:rPr>
            </w:pPr>
            <w:r w:rsidRPr="0087043D">
              <w:t>$</w:t>
            </w:r>
            <w:r w:rsidRPr="00A2467A">
              <w:t>5,931.80</w:t>
            </w:r>
            <w:r w:rsidR="00EC429F" w:rsidRPr="0087043D">
              <w:rPr>
                <w:vertAlign w:val="superscript"/>
              </w:rPr>
              <w:t>c</w:t>
            </w:r>
          </w:p>
        </w:tc>
        <w:tc>
          <w:tcPr>
            <w:tcW w:w="1014" w:type="pct"/>
          </w:tcPr>
          <w:p w:rsidR="009D5BE4" w:rsidRPr="0087043D" w:rsidRDefault="009D5BE4" w:rsidP="004C7BE6">
            <w:pPr>
              <w:pStyle w:val="TableText0"/>
              <w:jc w:val="center"/>
            </w:pPr>
            <w:r w:rsidRPr="0087043D">
              <w:t>$</w:t>
            </w:r>
            <w:r w:rsidRPr="00A2467A">
              <w:t>6,100.38</w:t>
            </w:r>
          </w:p>
        </w:tc>
      </w:tr>
      <w:tr w:rsidR="009D5BE4" w:rsidRPr="0087043D" w:rsidTr="008A0138">
        <w:tc>
          <w:tcPr>
            <w:tcW w:w="1245" w:type="pct"/>
            <w:vAlign w:val="center"/>
          </w:tcPr>
          <w:p w:rsidR="009D5BE4" w:rsidRPr="0087043D" w:rsidRDefault="009D5BE4" w:rsidP="004C7BE6">
            <w:pPr>
              <w:pStyle w:val="TableText0"/>
              <w:ind w:left="29"/>
            </w:pPr>
            <w:proofErr w:type="spellStart"/>
            <w:r w:rsidRPr="0087043D">
              <w:t>Pemetrexed</w:t>
            </w:r>
            <w:proofErr w:type="spellEnd"/>
          </w:p>
        </w:tc>
        <w:tc>
          <w:tcPr>
            <w:tcW w:w="1103" w:type="pct"/>
            <w:vAlign w:val="center"/>
          </w:tcPr>
          <w:p w:rsidR="009D5BE4" w:rsidRPr="0087043D" w:rsidRDefault="009D5BE4" w:rsidP="008D6AB3">
            <w:pPr>
              <w:pStyle w:val="TableText0"/>
            </w:pPr>
            <w:r w:rsidRPr="0087043D">
              <w:t>500 mg/m</w:t>
            </w:r>
            <w:r w:rsidRPr="0087043D">
              <w:rPr>
                <w:vertAlign w:val="superscript"/>
              </w:rPr>
              <w:t>2</w:t>
            </w:r>
            <w:r w:rsidRPr="0087043D">
              <w:t xml:space="preserve"> Q3W</w:t>
            </w:r>
          </w:p>
        </w:tc>
        <w:tc>
          <w:tcPr>
            <w:tcW w:w="780" w:type="pct"/>
            <w:vAlign w:val="center"/>
          </w:tcPr>
          <w:p w:rsidR="009D5BE4" w:rsidRPr="0087043D" w:rsidRDefault="009D5BE4" w:rsidP="004C7BE6">
            <w:pPr>
              <w:pStyle w:val="TableText0"/>
              <w:jc w:val="center"/>
            </w:pPr>
            <w:r w:rsidRPr="0087043D">
              <w:t>905 mg</w:t>
            </w:r>
          </w:p>
        </w:tc>
        <w:tc>
          <w:tcPr>
            <w:tcW w:w="858" w:type="pct"/>
            <w:vAlign w:val="center"/>
          </w:tcPr>
          <w:p w:rsidR="009D5BE4" w:rsidRPr="0087043D" w:rsidRDefault="009D5BE4" w:rsidP="004C7BE6">
            <w:pPr>
              <w:pStyle w:val="TableText0"/>
              <w:jc w:val="center"/>
            </w:pPr>
            <w:r w:rsidRPr="0087043D">
              <w:t>$</w:t>
            </w:r>
            <w:r w:rsidRPr="00A2467A">
              <w:t>69.35</w:t>
            </w:r>
          </w:p>
        </w:tc>
        <w:tc>
          <w:tcPr>
            <w:tcW w:w="1014" w:type="pct"/>
            <w:vAlign w:val="center"/>
          </w:tcPr>
          <w:p w:rsidR="009D5BE4" w:rsidRPr="0087043D" w:rsidRDefault="009D5BE4" w:rsidP="004C7BE6">
            <w:pPr>
              <w:pStyle w:val="TableText0"/>
              <w:jc w:val="center"/>
            </w:pPr>
            <w:r w:rsidRPr="0087043D">
              <w:t>$</w:t>
            </w:r>
            <w:r w:rsidRPr="00A2467A">
              <w:t>182.11</w:t>
            </w:r>
          </w:p>
        </w:tc>
      </w:tr>
      <w:tr w:rsidR="009D5BE4" w:rsidRPr="0087043D" w:rsidTr="008A0138">
        <w:tc>
          <w:tcPr>
            <w:tcW w:w="1245" w:type="pct"/>
            <w:vAlign w:val="center"/>
          </w:tcPr>
          <w:p w:rsidR="009D5BE4" w:rsidRPr="0087043D" w:rsidRDefault="009D5BE4" w:rsidP="004C7BE6">
            <w:pPr>
              <w:pStyle w:val="TableText0"/>
              <w:ind w:left="29"/>
            </w:pPr>
            <w:r w:rsidRPr="0087043D">
              <w:t>Carboplatin</w:t>
            </w:r>
          </w:p>
        </w:tc>
        <w:tc>
          <w:tcPr>
            <w:tcW w:w="1103" w:type="pct"/>
            <w:vAlign w:val="center"/>
          </w:tcPr>
          <w:p w:rsidR="009D5BE4" w:rsidRPr="0087043D" w:rsidRDefault="009D5BE4" w:rsidP="008D6AB3">
            <w:pPr>
              <w:pStyle w:val="TableText0"/>
            </w:pPr>
            <w:r w:rsidRPr="0087043D">
              <w:t>AUC 6 Q3W</w:t>
            </w:r>
          </w:p>
        </w:tc>
        <w:tc>
          <w:tcPr>
            <w:tcW w:w="780" w:type="pct"/>
            <w:vAlign w:val="center"/>
          </w:tcPr>
          <w:p w:rsidR="009D5BE4" w:rsidRPr="0087043D" w:rsidRDefault="009D5BE4" w:rsidP="004C7BE6">
            <w:pPr>
              <w:pStyle w:val="TableText0"/>
              <w:jc w:val="center"/>
            </w:pPr>
            <w:r w:rsidRPr="0087043D">
              <w:t>600 mg</w:t>
            </w:r>
          </w:p>
        </w:tc>
        <w:tc>
          <w:tcPr>
            <w:tcW w:w="858" w:type="pct"/>
            <w:vAlign w:val="center"/>
          </w:tcPr>
          <w:p w:rsidR="009D5BE4" w:rsidRPr="0087043D" w:rsidRDefault="009D5BE4" w:rsidP="004C7BE6">
            <w:pPr>
              <w:pStyle w:val="TableText0"/>
              <w:jc w:val="center"/>
            </w:pPr>
            <w:r w:rsidRPr="0087043D">
              <w:t>$</w:t>
            </w:r>
            <w:r w:rsidRPr="00A2467A">
              <w:t>48.92</w:t>
            </w:r>
          </w:p>
        </w:tc>
        <w:tc>
          <w:tcPr>
            <w:tcW w:w="1014" w:type="pct"/>
            <w:vAlign w:val="center"/>
          </w:tcPr>
          <w:p w:rsidR="009D5BE4" w:rsidRPr="0087043D" w:rsidRDefault="009D5BE4" w:rsidP="004C7BE6">
            <w:pPr>
              <w:pStyle w:val="TableText0"/>
              <w:jc w:val="center"/>
            </w:pPr>
            <w:r w:rsidRPr="0087043D">
              <w:t>$</w:t>
            </w:r>
            <w:r w:rsidRPr="00A2467A">
              <w:t>161.49</w:t>
            </w:r>
          </w:p>
        </w:tc>
      </w:tr>
      <w:tr w:rsidR="009D5BE4" w:rsidRPr="0087043D" w:rsidTr="008A0138">
        <w:tc>
          <w:tcPr>
            <w:tcW w:w="1245" w:type="pct"/>
            <w:vAlign w:val="center"/>
          </w:tcPr>
          <w:p w:rsidR="009D5BE4" w:rsidRPr="0087043D" w:rsidRDefault="009D5BE4" w:rsidP="004C7BE6">
            <w:pPr>
              <w:pStyle w:val="TableText0"/>
              <w:ind w:left="29"/>
            </w:pPr>
            <w:r w:rsidRPr="0087043D">
              <w:t>Cisplatin</w:t>
            </w:r>
          </w:p>
        </w:tc>
        <w:tc>
          <w:tcPr>
            <w:tcW w:w="1103" w:type="pct"/>
            <w:vAlign w:val="center"/>
          </w:tcPr>
          <w:p w:rsidR="009D5BE4" w:rsidRPr="0087043D" w:rsidRDefault="009D5BE4" w:rsidP="008D6AB3">
            <w:pPr>
              <w:pStyle w:val="TableText0"/>
            </w:pPr>
            <w:r w:rsidRPr="0087043D">
              <w:t>75 mg/m</w:t>
            </w:r>
            <w:r w:rsidRPr="0087043D">
              <w:rPr>
                <w:vertAlign w:val="superscript"/>
              </w:rPr>
              <w:t>2</w:t>
            </w:r>
            <w:r w:rsidRPr="0087043D">
              <w:t xml:space="preserve"> Q3W</w:t>
            </w:r>
          </w:p>
        </w:tc>
        <w:tc>
          <w:tcPr>
            <w:tcW w:w="780" w:type="pct"/>
            <w:vAlign w:val="center"/>
          </w:tcPr>
          <w:p w:rsidR="009D5BE4" w:rsidRPr="0087043D" w:rsidRDefault="009D5BE4" w:rsidP="004C7BE6">
            <w:pPr>
              <w:pStyle w:val="TableText0"/>
              <w:jc w:val="center"/>
            </w:pPr>
            <w:r w:rsidRPr="0087043D">
              <w:t>136 mg</w:t>
            </w:r>
          </w:p>
        </w:tc>
        <w:tc>
          <w:tcPr>
            <w:tcW w:w="858" w:type="pct"/>
            <w:vAlign w:val="center"/>
          </w:tcPr>
          <w:p w:rsidR="009D5BE4" w:rsidRPr="0087043D" w:rsidRDefault="009D5BE4" w:rsidP="004C7BE6">
            <w:pPr>
              <w:pStyle w:val="TableText0"/>
              <w:jc w:val="center"/>
              <w:rPr>
                <w:vertAlign w:val="superscript"/>
              </w:rPr>
            </w:pPr>
            <w:r w:rsidRPr="0087043D">
              <w:t>$</w:t>
            </w:r>
            <w:r w:rsidRPr="00A2467A">
              <w:t>26.92</w:t>
            </w:r>
            <w:r w:rsidR="00EC429F" w:rsidRPr="0087043D">
              <w:rPr>
                <w:vertAlign w:val="superscript"/>
              </w:rPr>
              <w:t>d</w:t>
            </w:r>
          </w:p>
        </w:tc>
        <w:tc>
          <w:tcPr>
            <w:tcW w:w="1014" w:type="pct"/>
            <w:vAlign w:val="center"/>
          </w:tcPr>
          <w:p w:rsidR="009D5BE4" w:rsidRPr="0087043D" w:rsidRDefault="009D5BE4" w:rsidP="004C7BE6">
            <w:pPr>
              <w:pStyle w:val="TableText0"/>
              <w:jc w:val="center"/>
              <w:rPr>
                <w:vertAlign w:val="superscript"/>
              </w:rPr>
            </w:pPr>
            <w:r w:rsidRPr="0087043D">
              <w:t>$</w:t>
            </w:r>
            <w:r w:rsidRPr="00A2467A">
              <w:t>139.27</w:t>
            </w:r>
          </w:p>
        </w:tc>
      </w:tr>
      <w:tr w:rsidR="009D5BE4" w:rsidRPr="0087043D" w:rsidTr="008A0138">
        <w:tc>
          <w:tcPr>
            <w:tcW w:w="1245" w:type="pct"/>
            <w:vAlign w:val="center"/>
          </w:tcPr>
          <w:p w:rsidR="009D5BE4" w:rsidRPr="0087043D" w:rsidRDefault="009D5BE4" w:rsidP="004C7BE6">
            <w:pPr>
              <w:pStyle w:val="TableText0"/>
              <w:ind w:left="29"/>
            </w:pPr>
            <w:r w:rsidRPr="0087043D">
              <w:t>Paclitaxel</w:t>
            </w:r>
          </w:p>
        </w:tc>
        <w:tc>
          <w:tcPr>
            <w:tcW w:w="1103" w:type="pct"/>
            <w:vAlign w:val="center"/>
          </w:tcPr>
          <w:p w:rsidR="009D5BE4" w:rsidRPr="0087043D" w:rsidRDefault="009D5BE4" w:rsidP="008D6AB3">
            <w:pPr>
              <w:pStyle w:val="TableText0"/>
            </w:pPr>
            <w:r w:rsidRPr="0087043D">
              <w:t>100 mg/m</w:t>
            </w:r>
            <w:r w:rsidRPr="0087043D">
              <w:rPr>
                <w:vertAlign w:val="superscript"/>
              </w:rPr>
              <w:t>2</w:t>
            </w:r>
            <w:r w:rsidRPr="0087043D">
              <w:t xml:space="preserve"> Q3W</w:t>
            </w:r>
          </w:p>
        </w:tc>
        <w:tc>
          <w:tcPr>
            <w:tcW w:w="780" w:type="pct"/>
            <w:vAlign w:val="center"/>
          </w:tcPr>
          <w:p w:rsidR="009D5BE4" w:rsidRPr="0087043D" w:rsidRDefault="009D5BE4" w:rsidP="004C7BE6">
            <w:pPr>
              <w:pStyle w:val="TableText0"/>
              <w:jc w:val="center"/>
            </w:pPr>
            <w:r w:rsidRPr="0087043D">
              <w:t>374 mg</w:t>
            </w:r>
          </w:p>
        </w:tc>
        <w:tc>
          <w:tcPr>
            <w:tcW w:w="858" w:type="pct"/>
            <w:vAlign w:val="center"/>
          </w:tcPr>
          <w:p w:rsidR="009D5BE4" w:rsidRPr="0087043D" w:rsidRDefault="009D5BE4" w:rsidP="004C7BE6">
            <w:pPr>
              <w:pStyle w:val="TableText0"/>
              <w:jc w:val="center"/>
            </w:pPr>
            <w:r w:rsidRPr="0087043D">
              <w:t>$</w:t>
            </w:r>
            <w:r w:rsidRPr="00A2467A">
              <w:t>61.91</w:t>
            </w:r>
          </w:p>
        </w:tc>
        <w:tc>
          <w:tcPr>
            <w:tcW w:w="1014" w:type="pct"/>
            <w:vAlign w:val="center"/>
          </w:tcPr>
          <w:p w:rsidR="009D5BE4" w:rsidRPr="0087043D" w:rsidRDefault="009D5BE4" w:rsidP="004C7BE6">
            <w:pPr>
              <w:pStyle w:val="TableText0"/>
              <w:jc w:val="center"/>
            </w:pPr>
            <w:r w:rsidRPr="0087043D">
              <w:t>$</w:t>
            </w:r>
            <w:r w:rsidRPr="00A2467A">
              <w:t>174.60</w:t>
            </w:r>
          </w:p>
        </w:tc>
      </w:tr>
    </w:tbl>
    <w:p w:rsidR="00D20B49" w:rsidRPr="0087043D" w:rsidRDefault="000E73AC" w:rsidP="00D20B49">
      <w:pPr>
        <w:pStyle w:val="TableFigureFooter"/>
      </w:pPr>
      <w:r w:rsidRPr="0087043D">
        <w:t>Source:</w:t>
      </w:r>
      <w:r w:rsidR="00D20B49" w:rsidRPr="0087043D">
        <w:t xml:space="preserve"> Excel workbook ‘Section 3 – 1L NSCLC </w:t>
      </w:r>
      <w:proofErr w:type="spellStart"/>
      <w:r w:rsidR="00D20B49" w:rsidRPr="0087043D">
        <w:t>Nivo+Ipi+Chemo</w:t>
      </w:r>
      <w:proofErr w:type="spellEnd"/>
      <w:r w:rsidR="00D20B49" w:rsidRPr="0087043D">
        <w:t xml:space="preserve"> Cost-Minimisation Analysis; Excel Workbook ‘Section 4 – 1L NSCLC </w:t>
      </w:r>
      <w:proofErr w:type="spellStart"/>
      <w:r w:rsidR="00D20B49" w:rsidRPr="0087043D">
        <w:t>Nivo+Ipi+Chemo</w:t>
      </w:r>
      <w:proofErr w:type="spellEnd"/>
      <w:r w:rsidR="00D20B49" w:rsidRPr="0087043D">
        <w:t xml:space="preserve"> Utilisation and Cost Model’.</w:t>
      </w:r>
    </w:p>
    <w:p w:rsidR="00D20B49" w:rsidRPr="0087043D" w:rsidRDefault="00D20B49" w:rsidP="00D20B49">
      <w:pPr>
        <w:pStyle w:val="TableFigureFooter"/>
      </w:pPr>
      <w:r w:rsidRPr="0087043D">
        <w:t>AEMP = approved ex-manufacturer price; Q3W = every 3 weeks; Q6W = every 6 weeks.</w:t>
      </w:r>
    </w:p>
    <w:p w:rsidR="000E73AC" w:rsidRPr="0087043D" w:rsidRDefault="000E73AC" w:rsidP="00837F06">
      <w:pPr>
        <w:pStyle w:val="TableFigureFooter"/>
      </w:pPr>
      <w:proofErr w:type="spellStart"/>
      <w:proofErr w:type="gramStart"/>
      <w:r w:rsidRPr="0087043D">
        <w:rPr>
          <w:vertAlign w:val="superscript"/>
        </w:rPr>
        <w:t>a</w:t>
      </w:r>
      <w:proofErr w:type="spellEnd"/>
      <w:proofErr w:type="gramEnd"/>
      <w:r w:rsidRPr="0087043D">
        <w:t xml:space="preserve"> Assuming 32%/68% public/private split.</w:t>
      </w:r>
    </w:p>
    <w:p w:rsidR="009D5BE4" w:rsidRPr="0087043D" w:rsidRDefault="000E73AC" w:rsidP="00837F06">
      <w:pPr>
        <w:pStyle w:val="TableFigureFooter"/>
      </w:pPr>
      <w:proofErr w:type="gramStart"/>
      <w:r w:rsidRPr="0087043D">
        <w:rPr>
          <w:vertAlign w:val="superscript"/>
        </w:rPr>
        <w:t>b</w:t>
      </w:r>
      <w:proofErr w:type="gramEnd"/>
      <w:r w:rsidR="00837F06" w:rsidRPr="0087043D">
        <w:t xml:space="preserve"> After applying corrections in the CMA </w:t>
      </w:r>
    </w:p>
    <w:p w:rsidR="00EC429F" w:rsidRPr="0087043D" w:rsidRDefault="00EE172C" w:rsidP="00EC429F">
      <w:pPr>
        <w:pStyle w:val="TableFigureFooter"/>
        <w:ind w:left="142" w:hanging="142"/>
      </w:pPr>
      <w:proofErr w:type="gramStart"/>
      <w:r w:rsidRPr="0087043D">
        <w:rPr>
          <w:vertAlign w:val="superscript"/>
        </w:rPr>
        <w:t>c</w:t>
      </w:r>
      <w:proofErr w:type="gramEnd"/>
      <w:r w:rsidRPr="0087043D">
        <w:t xml:space="preserve"> </w:t>
      </w:r>
      <w:r w:rsidR="00EC429F" w:rsidRPr="0087043D">
        <w:t xml:space="preserve">Assumed effective AEMP for </w:t>
      </w:r>
      <w:proofErr w:type="spellStart"/>
      <w:r w:rsidR="00EC429F" w:rsidRPr="0087043D">
        <w:t>pembrolizumab</w:t>
      </w:r>
      <w:proofErr w:type="spellEnd"/>
    </w:p>
    <w:p w:rsidR="00D20B49" w:rsidRPr="008A0138" w:rsidRDefault="00EC429F" w:rsidP="008A0138">
      <w:pPr>
        <w:pStyle w:val="TableFigureFooter"/>
        <w:ind w:left="142" w:hanging="142"/>
        <w:rPr>
          <w:b/>
        </w:rPr>
      </w:pPr>
      <w:proofErr w:type="gramStart"/>
      <w:r w:rsidRPr="0087043D">
        <w:rPr>
          <w:vertAlign w:val="superscript"/>
        </w:rPr>
        <w:t>d</w:t>
      </w:r>
      <w:proofErr w:type="gramEnd"/>
      <w:r w:rsidRPr="0087043D">
        <w:t xml:space="preserve"> </w:t>
      </w:r>
      <w:r w:rsidR="00EE172C" w:rsidRPr="0087043D">
        <w:t xml:space="preserve">In the cost-minimisation analysis, the AEMP per </w:t>
      </w:r>
      <w:r w:rsidR="00A35463" w:rsidRPr="0087043D">
        <w:t>dose for</w:t>
      </w:r>
      <w:r w:rsidR="00EE172C" w:rsidRPr="0087043D">
        <w:t xml:space="preserve"> cisplatin was $</w:t>
      </w:r>
      <w:r w:rsidR="00EE172C" w:rsidRPr="00A2467A">
        <w:t>26.87</w:t>
      </w:r>
      <w:r w:rsidR="00EE172C" w:rsidRPr="0087043D">
        <w:t>. Due to rounding applied to the mean dose of cisplatin in the Section 4 workbook, the AEMP per dose was $</w:t>
      </w:r>
      <w:r w:rsidR="00EE172C" w:rsidRPr="00A2467A">
        <w:t>29.92</w:t>
      </w:r>
      <w:r w:rsidR="00EE172C" w:rsidRPr="0087043D">
        <w:t>.</w:t>
      </w:r>
    </w:p>
    <w:p w:rsidR="004D09CD" w:rsidRPr="0087043D" w:rsidRDefault="00740C83" w:rsidP="00740C83">
      <w:pPr>
        <w:pStyle w:val="3-BodyText"/>
      </w:pPr>
      <w:r w:rsidRPr="0087043D">
        <w:t xml:space="preserve">The estimated weighted mean number of doses per patient per course, and the cost per patient per course, are summarised in </w:t>
      </w:r>
      <w:r w:rsidR="00C71489" w:rsidRPr="0087043D">
        <w:t>Table 16</w:t>
      </w:r>
      <w:r w:rsidRPr="0087043D">
        <w:t>.</w:t>
      </w:r>
    </w:p>
    <w:p w:rsidR="004D09CD" w:rsidRPr="0087043D" w:rsidRDefault="000E73AC" w:rsidP="008A0138">
      <w:pPr>
        <w:pStyle w:val="TableFigureHeading"/>
        <w:keepLines/>
      </w:pPr>
      <w:bookmarkStart w:id="41" w:name="_Ref49516921"/>
      <w:r w:rsidRPr="0087043D">
        <w:t xml:space="preserve">Table </w:t>
      </w:r>
      <w:r w:rsidR="00C71489" w:rsidRPr="0087043D">
        <w:t>16</w:t>
      </w:r>
      <w:bookmarkEnd w:id="41"/>
      <w:r w:rsidRPr="0087043D">
        <w:t xml:space="preserve">: </w:t>
      </w:r>
      <w:r w:rsidR="00740C83" w:rsidRPr="0087043D">
        <w:t xml:space="preserve">Drug cost per patient for </w:t>
      </w:r>
      <w:proofErr w:type="spellStart"/>
      <w:r w:rsidR="00740C83" w:rsidRPr="0087043D">
        <w:t>NIVO+IPI+platinum</w:t>
      </w:r>
      <w:proofErr w:type="spellEnd"/>
      <w:r w:rsidR="00740C83" w:rsidRPr="0087043D">
        <w:t xml:space="preserve"> and </w:t>
      </w:r>
      <w:proofErr w:type="spellStart"/>
      <w:r w:rsidR="00740C83" w:rsidRPr="0087043D">
        <w:t>pembrolizumab+platinum</w:t>
      </w:r>
      <w:proofErr w:type="spellEnd"/>
      <w:r w:rsidRPr="0087043D">
        <w:t xml:space="preserve"> (assumed effective </w:t>
      </w:r>
      <w:r w:rsidR="003717A9" w:rsidRPr="0087043D">
        <w:t xml:space="preserve">dispensed </w:t>
      </w:r>
      <w:r w:rsidRPr="0087043D">
        <w:t>price)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9"/>
        <w:gridCol w:w="2007"/>
        <w:gridCol w:w="2007"/>
        <w:gridCol w:w="2007"/>
        <w:gridCol w:w="2007"/>
      </w:tblGrid>
      <w:tr w:rsidR="00F04A96" w:rsidRPr="008A0138" w:rsidTr="008A0138">
        <w:trPr>
          <w:cantSplit/>
          <w:tblHeader/>
          <w:jc w:val="center"/>
        </w:trPr>
        <w:tc>
          <w:tcPr>
            <w:tcW w:w="548" w:type="pct"/>
            <w:shd w:val="clear" w:color="auto" w:fill="auto"/>
          </w:tcPr>
          <w:p w:rsidR="00F04A96" w:rsidRPr="008A0138" w:rsidRDefault="00F04A96" w:rsidP="008A0138">
            <w:pPr>
              <w:pStyle w:val="In-tableHeading"/>
              <w:keepLines/>
              <w:jc w:val="center"/>
              <w:rPr>
                <w:szCs w:val="20"/>
                <w:lang w:val="en-AU"/>
              </w:rPr>
            </w:pPr>
          </w:p>
        </w:tc>
        <w:tc>
          <w:tcPr>
            <w:tcW w:w="2226" w:type="pct"/>
            <w:gridSpan w:val="2"/>
            <w:shd w:val="clear" w:color="auto" w:fill="auto"/>
          </w:tcPr>
          <w:p w:rsidR="00F04A96" w:rsidRPr="008A0138" w:rsidRDefault="00F04A96" w:rsidP="008A0138">
            <w:pPr>
              <w:pStyle w:val="In-tableHeading"/>
              <w:keepLines/>
              <w:jc w:val="center"/>
              <w:rPr>
                <w:szCs w:val="20"/>
                <w:lang w:val="en-AU"/>
              </w:rPr>
            </w:pPr>
            <w:proofErr w:type="spellStart"/>
            <w:r w:rsidRPr="008A0138">
              <w:rPr>
                <w:szCs w:val="20"/>
                <w:lang w:val="en-AU"/>
              </w:rPr>
              <w:t>NIVO+IPI+platinum</w:t>
            </w:r>
            <w:proofErr w:type="spellEnd"/>
          </w:p>
        </w:tc>
        <w:tc>
          <w:tcPr>
            <w:tcW w:w="2226" w:type="pct"/>
            <w:gridSpan w:val="2"/>
            <w:shd w:val="clear" w:color="auto" w:fill="auto"/>
          </w:tcPr>
          <w:p w:rsidR="00F04A96" w:rsidRPr="008A0138" w:rsidRDefault="00F04A96" w:rsidP="008A0138">
            <w:pPr>
              <w:pStyle w:val="In-tableHeading"/>
              <w:keepLines/>
              <w:jc w:val="center"/>
              <w:rPr>
                <w:szCs w:val="20"/>
                <w:lang w:val="en-AU"/>
              </w:rPr>
            </w:pPr>
            <w:proofErr w:type="spellStart"/>
            <w:r w:rsidRPr="008A0138">
              <w:rPr>
                <w:szCs w:val="20"/>
                <w:lang w:val="en-AU"/>
              </w:rPr>
              <w:t>Pembrolizumab+platinum</w:t>
            </w:r>
            <w:proofErr w:type="spellEnd"/>
          </w:p>
        </w:tc>
      </w:tr>
      <w:tr w:rsidR="007C64F4" w:rsidRPr="008A0138" w:rsidTr="008A0138">
        <w:trPr>
          <w:cantSplit/>
          <w:tblHeader/>
          <w:jc w:val="center"/>
        </w:trPr>
        <w:tc>
          <w:tcPr>
            <w:tcW w:w="548" w:type="pct"/>
            <w:shd w:val="clear" w:color="auto" w:fill="auto"/>
          </w:tcPr>
          <w:p w:rsidR="007C64F4" w:rsidRPr="008A0138" w:rsidRDefault="007C64F4" w:rsidP="008A0138">
            <w:pPr>
              <w:pStyle w:val="In-tableHeading"/>
              <w:keepLines/>
              <w:jc w:val="center"/>
              <w:rPr>
                <w:szCs w:val="20"/>
                <w:lang w:val="en-AU"/>
              </w:rPr>
            </w:pPr>
          </w:p>
        </w:tc>
        <w:tc>
          <w:tcPr>
            <w:tcW w:w="1113" w:type="pct"/>
            <w:shd w:val="clear" w:color="auto" w:fill="auto"/>
          </w:tcPr>
          <w:p w:rsidR="007C64F4" w:rsidRPr="008A0138" w:rsidRDefault="007C64F4" w:rsidP="008A0138">
            <w:pPr>
              <w:pStyle w:val="In-tableHeading"/>
              <w:keepLines/>
              <w:jc w:val="center"/>
              <w:rPr>
                <w:szCs w:val="20"/>
                <w:vertAlign w:val="superscript"/>
                <w:lang w:val="en-AU"/>
              </w:rPr>
            </w:pPr>
            <w:r w:rsidRPr="008A0138">
              <w:rPr>
                <w:szCs w:val="20"/>
                <w:lang w:val="en-AU"/>
              </w:rPr>
              <w:t xml:space="preserve">Trial / </w:t>
            </w:r>
            <w:proofErr w:type="spellStart"/>
            <w:r w:rsidRPr="008A0138">
              <w:rPr>
                <w:szCs w:val="20"/>
                <w:lang w:val="en-AU"/>
              </w:rPr>
              <w:t>Model</w:t>
            </w:r>
            <w:r w:rsidRPr="008A0138">
              <w:rPr>
                <w:szCs w:val="20"/>
                <w:vertAlign w:val="superscript"/>
                <w:lang w:val="en-AU"/>
              </w:rPr>
              <w:t>a</w:t>
            </w:r>
            <w:proofErr w:type="spellEnd"/>
          </w:p>
        </w:tc>
        <w:tc>
          <w:tcPr>
            <w:tcW w:w="1113" w:type="pct"/>
            <w:shd w:val="clear" w:color="auto" w:fill="auto"/>
          </w:tcPr>
          <w:p w:rsidR="007C64F4" w:rsidRPr="008A0138" w:rsidRDefault="007C64F4" w:rsidP="008A0138">
            <w:pPr>
              <w:pStyle w:val="In-tableHeading"/>
              <w:keepLines/>
              <w:jc w:val="center"/>
              <w:rPr>
                <w:szCs w:val="20"/>
                <w:vertAlign w:val="superscript"/>
                <w:lang w:val="en-AU"/>
              </w:rPr>
            </w:pPr>
            <w:r w:rsidRPr="008A0138">
              <w:rPr>
                <w:szCs w:val="20"/>
                <w:lang w:val="en-AU"/>
              </w:rPr>
              <w:t xml:space="preserve">Financial </w:t>
            </w:r>
            <w:proofErr w:type="spellStart"/>
            <w:r w:rsidRPr="008A0138">
              <w:rPr>
                <w:szCs w:val="20"/>
                <w:lang w:val="en-AU"/>
              </w:rPr>
              <w:t>estimates</w:t>
            </w:r>
            <w:r w:rsidRPr="008A0138">
              <w:rPr>
                <w:szCs w:val="20"/>
                <w:vertAlign w:val="superscript"/>
                <w:lang w:val="en-AU"/>
              </w:rPr>
              <w:t>b</w:t>
            </w:r>
            <w:proofErr w:type="spellEnd"/>
          </w:p>
        </w:tc>
        <w:tc>
          <w:tcPr>
            <w:tcW w:w="1113" w:type="pct"/>
            <w:shd w:val="clear" w:color="auto" w:fill="auto"/>
          </w:tcPr>
          <w:p w:rsidR="007C64F4" w:rsidRPr="008A0138" w:rsidRDefault="007C64F4" w:rsidP="008A0138">
            <w:pPr>
              <w:pStyle w:val="In-tableHeading"/>
              <w:keepLines/>
              <w:jc w:val="center"/>
              <w:rPr>
                <w:szCs w:val="20"/>
                <w:vertAlign w:val="superscript"/>
                <w:lang w:val="en-AU"/>
              </w:rPr>
            </w:pPr>
            <w:r w:rsidRPr="008A0138">
              <w:rPr>
                <w:szCs w:val="20"/>
                <w:lang w:val="en-AU"/>
              </w:rPr>
              <w:t xml:space="preserve">Trial / </w:t>
            </w:r>
            <w:proofErr w:type="spellStart"/>
            <w:r w:rsidRPr="008A0138">
              <w:rPr>
                <w:szCs w:val="20"/>
                <w:lang w:val="en-AU"/>
              </w:rPr>
              <w:t>Model</w:t>
            </w:r>
            <w:r w:rsidRPr="008A0138">
              <w:rPr>
                <w:szCs w:val="20"/>
                <w:vertAlign w:val="superscript"/>
                <w:lang w:val="en-AU"/>
              </w:rPr>
              <w:t>c</w:t>
            </w:r>
            <w:proofErr w:type="spellEnd"/>
          </w:p>
        </w:tc>
        <w:tc>
          <w:tcPr>
            <w:tcW w:w="1113" w:type="pct"/>
          </w:tcPr>
          <w:p w:rsidR="007C64F4" w:rsidRPr="008A0138" w:rsidRDefault="007C64F4" w:rsidP="008A0138">
            <w:pPr>
              <w:pStyle w:val="In-tableHeading"/>
              <w:keepLines/>
              <w:jc w:val="center"/>
              <w:rPr>
                <w:szCs w:val="20"/>
                <w:vertAlign w:val="superscript"/>
                <w:lang w:val="en-AU"/>
              </w:rPr>
            </w:pPr>
            <w:r w:rsidRPr="008A0138">
              <w:rPr>
                <w:szCs w:val="20"/>
                <w:lang w:val="en-AU"/>
              </w:rPr>
              <w:t xml:space="preserve">Financial </w:t>
            </w:r>
            <w:proofErr w:type="spellStart"/>
            <w:r w:rsidRPr="008A0138">
              <w:rPr>
                <w:szCs w:val="20"/>
                <w:lang w:val="en-AU"/>
              </w:rPr>
              <w:t>estimates</w:t>
            </w:r>
            <w:r w:rsidRPr="008A0138">
              <w:rPr>
                <w:szCs w:val="20"/>
                <w:vertAlign w:val="superscript"/>
                <w:lang w:val="en-AU"/>
              </w:rPr>
              <w:t>d</w:t>
            </w:r>
            <w:proofErr w:type="spellEnd"/>
          </w:p>
        </w:tc>
      </w:tr>
      <w:tr w:rsidR="00AD79BB" w:rsidRPr="008A0138" w:rsidTr="008A0138">
        <w:trPr>
          <w:cantSplit/>
          <w:tblHeader/>
          <w:jc w:val="center"/>
        </w:trPr>
        <w:tc>
          <w:tcPr>
            <w:tcW w:w="548" w:type="pct"/>
            <w:shd w:val="clear" w:color="auto" w:fill="auto"/>
            <w:vAlign w:val="center"/>
          </w:tcPr>
          <w:p w:rsidR="00837F06" w:rsidRPr="008A0138" w:rsidRDefault="00837F06" w:rsidP="008A0138">
            <w:pPr>
              <w:pStyle w:val="TableText0"/>
              <w:keepLines/>
              <w:rPr>
                <w:szCs w:val="20"/>
              </w:rPr>
            </w:pPr>
            <w:r w:rsidRPr="008A0138">
              <w:rPr>
                <w:szCs w:val="20"/>
              </w:rPr>
              <w:t>Mean doses</w:t>
            </w:r>
          </w:p>
        </w:tc>
        <w:tc>
          <w:tcPr>
            <w:tcW w:w="1113" w:type="pct"/>
            <w:shd w:val="clear" w:color="auto" w:fill="auto"/>
            <w:vAlign w:val="center"/>
          </w:tcPr>
          <w:p w:rsidR="00837F06" w:rsidRPr="008A0138" w:rsidRDefault="00837F06" w:rsidP="008A0138">
            <w:pPr>
              <w:pStyle w:val="TableText0"/>
              <w:keepLines/>
              <w:jc w:val="center"/>
              <w:rPr>
                <w:szCs w:val="20"/>
              </w:rPr>
            </w:pPr>
            <w:r w:rsidRPr="008A0138">
              <w:rPr>
                <w:szCs w:val="20"/>
              </w:rPr>
              <w:t>Nivolumab: 11.7</w:t>
            </w:r>
          </w:p>
          <w:p w:rsidR="00837F06" w:rsidRPr="008A0138" w:rsidRDefault="00837F06" w:rsidP="008A0138">
            <w:pPr>
              <w:pStyle w:val="TableText0"/>
              <w:keepLines/>
              <w:jc w:val="center"/>
              <w:rPr>
                <w:szCs w:val="20"/>
              </w:rPr>
            </w:pPr>
            <w:r w:rsidRPr="008A0138">
              <w:rPr>
                <w:szCs w:val="20"/>
              </w:rPr>
              <w:t>Ipilimumab:</w:t>
            </w:r>
            <w:r w:rsidR="00264317" w:rsidRPr="008A0138">
              <w:rPr>
                <w:szCs w:val="20"/>
              </w:rPr>
              <w:t xml:space="preserve"> </w:t>
            </w:r>
            <w:r w:rsidRPr="008A0138">
              <w:rPr>
                <w:szCs w:val="20"/>
              </w:rPr>
              <w:t>6.0</w:t>
            </w:r>
          </w:p>
          <w:p w:rsidR="00837F06" w:rsidRPr="008A0138" w:rsidRDefault="00837F06" w:rsidP="008A0138">
            <w:pPr>
              <w:pStyle w:val="TableText0"/>
              <w:keepLines/>
              <w:jc w:val="center"/>
              <w:rPr>
                <w:szCs w:val="20"/>
              </w:rPr>
            </w:pPr>
            <w:proofErr w:type="spellStart"/>
            <w:r w:rsidRPr="008A0138">
              <w:rPr>
                <w:szCs w:val="20"/>
              </w:rPr>
              <w:t>Pemetrexed</w:t>
            </w:r>
            <w:proofErr w:type="spellEnd"/>
            <w:r w:rsidRPr="008A0138">
              <w:rPr>
                <w:szCs w:val="20"/>
              </w:rPr>
              <w:t>: 1.47</w:t>
            </w:r>
          </w:p>
          <w:p w:rsidR="00837F06" w:rsidRPr="008A0138" w:rsidRDefault="00837F06" w:rsidP="008A0138">
            <w:pPr>
              <w:pStyle w:val="TableText0"/>
              <w:keepLines/>
              <w:jc w:val="center"/>
              <w:rPr>
                <w:szCs w:val="20"/>
              </w:rPr>
            </w:pPr>
            <w:r w:rsidRPr="008A0138">
              <w:rPr>
                <w:szCs w:val="20"/>
              </w:rPr>
              <w:t>Carboplatin: 1.46</w:t>
            </w:r>
          </w:p>
          <w:p w:rsidR="00837F06" w:rsidRPr="008A0138" w:rsidRDefault="00837F06" w:rsidP="008A0138">
            <w:pPr>
              <w:pStyle w:val="TableText0"/>
              <w:keepLines/>
              <w:jc w:val="center"/>
              <w:rPr>
                <w:szCs w:val="20"/>
              </w:rPr>
            </w:pPr>
            <w:r w:rsidRPr="008A0138">
              <w:rPr>
                <w:szCs w:val="20"/>
              </w:rPr>
              <w:t>Cisplatin: 0.44</w:t>
            </w:r>
          </w:p>
          <w:p w:rsidR="00837F06" w:rsidRPr="008A0138" w:rsidRDefault="00837F06" w:rsidP="008A0138">
            <w:pPr>
              <w:pStyle w:val="TableText0"/>
              <w:keepLines/>
              <w:jc w:val="center"/>
              <w:rPr>
                <w:szCs w:val="20"/>
              </w:rPr>
            </w:pPr>
            <w:r w:rsidRPr="008A0138">
              <w:rPr>
                <w:szCs w:val="20"/>
              </w:rPr>
              <w:t>Paclitaxel: 0.43</w:t>
            </w:r>
          </w:p>
        </w:tc>
        <w:tc>
          <w:tcPr>
            <w:tcW w:w="1113" w:type="pct"/>
            <w:shd w:val="clear" w:color="auto" w:fill="auto"/>
            <w:vAlign w:val="center"/>
          </w:tcPr>
          <w:p w:rsidR="00837F06" w:rsidRPr="008A0138" w:rsidRDefault="00837F06" w:rsidP="008A0138">
            <w:pPr>
              <w:pStyle w:val="TableText0"/>
              <w:keepLines/>
              <w:jc w:val="center"/>
              <w:rPr>
                <w:szCs w:val="20"/>
              </w:rPr>
            </w:pPr>
            <w:r w:rsidRPr="008A0138">
              <w:rPr>
                <w:szCs w:val="20"/>
              </w:rPr>
              <w:t>Nivolumab: 11.7</w:t>
            </w:r>
          </w:p>
          <w:p w:rsidR="00837F06" w:rsidRPr="008A0138" w:rsidRDefault="00837F06" w:rsidP="008A0138">
            <w:pPr>
              <w:pStyle w:val="TableText0"/>
              <w:keepLines/>
              <w:jc w:val="center"/>
              <w:rPr>
                <w:szCs w:val="20"/>
              </w:rPr>
            </w:pPr>
            <w:r w:rsidRPr="008A0138">
              <w:rPr>
                <w:szCs w:val="20"/>
              </w:rPr>
              <w:t>Ipilim</w:t>
            </w:r>
            <w:r w:rsidR="000250E3" w:rsidRPr="008A0138">
              <w:rPr>
                <w:szCs w:val="20"/>
              </w:rPr>
              <w:t xml:space="preserve">umab: </w:t>
            </w:r>
            <w:r w:rsidRPr="008A0138">
              <w:rPr>
                <w:szCs w:val="20"/>
              </w:rPr>
              <w:t>6.0</w:t>
            </w:r>
          </w:p>
          <w:p w:rsidR="00837F06" w:rsidRPr="008A0138" w:rsidRDefault="00837F06" w:rsidP="008A0138">
            <w:pPr>
              <w:pStyle w:val="TableText0"/>
              <w:keepLines/>
              <w:jc w:val="center"/>
              <w:rPr>
                <w:szCs w:val="20"/>
              </w:rPr>
            </w:pPr>
            <w:proofErr w:type="spellStart"/>
            <w:r w:rsidRPr="008A0138">
              <w:rPr>
                <w:szCs w:val="20"/>
              </w:rPr>
              <w:t>Pemetrexed</w:t>
            </w:r>
            <w:proofErr w:type="spellEnd"/>
            <w:r w:rsidRPr="008A0138">
              <w:rPr>
                <w:szCs w:val="20"/>
              </w:rPr>
              <w:t>: 1.51</w:t>
            </w:r>
          </w:p>
          <w:p w:rsidR="00837F06" w:rsidRPr="008A0138" w:rsidRDefault="00837F06" w:rsidP="008A0138">
            <w:pPr>
              <w:pStyle w:val="TableText0"/>
              <w:keepLines/>
              <w:jc w:val="center"/>
              <w:rPr>
                <w:szCs w:val="20"/>
                <w:vertAlign w:val="superscript"/>
              </w:rPr>
            </w:pPr>
            <w:r w:rsidRPr="008A0138">
              <w:rPr>
                <w:szCs w:val="20"/>
              </w:rPr>
              <w:t>Carboplatin: 1.29</w:t>
            </w:r>
          </w:p>
          <w:p w:rsidR="00837F06" w:rsidRPr="008A0138" w:rsidRDefault="00837F06" w:rsidP="008A0138">
            <w:pPr>
              <w:pStyle w:val="TableText0"/>
              <w:keepLines/>
              <w:jc w:val="center"/>
              <w:rPr>
                <w:szCs w:val="20"/>
              </w:rPr>
            </w:pPr>
            <w:r w:rsidRPr="008A0138">
              <w:rPr>
                <w:szCs w:val="20"/>
              </w:rPr>
              <w:t>Cisplatin: 0.39</w:t>
            </w:r>
          </w:p>
          <w:p w:rsidR="00837F06" w:rsidRPr="008A0138" w:rsidRDefault="00837F06" w:rsidP="008A0138">
            <w:pPr>
              <w:pStyle w:val="TableText0"/>
              <w:keepLines/>
              <w:jc w:val="center"/>
              <w:rPr>
                <w:szCs w:val="20"/>
              </w:rPr>
            </w:pPr>
            <w:r w:rsidRPr="008A0138">
              <w:rPr>
                <w:szCs w:val="20"/>
              </w:rPr>
              <w:t>Paclitaxel: 0.61</w:t>
            </w:r>
          </w:p>
        </w:tc>
        <w:tc>
          <w:tcPr>
            <w:tcW w:w="1113" w:type="pct"/>
            <w:shd w:val="clear" w:color="auto" w:fill="auto"/>
            <w:vAlign w:val="center"/>
          </w:tcPr>
          <w:p w:rsidR="00837F06" w:rsidRPr="008A0138" w:rsidRDefault="00837F06" w:rsidP="008A0138">
            <w:pPr>
              <w:pStyle w:val="TableText0"/>
              <w:keepLines/>
              <w:jc w:val="center"/>
              <w:rPr>
                <w:szCs w:val="20"/>
              </w:rPr>
            </w:pPr>
            <w:proofErr w:type="spellStart"/>
            <w:r w:rsidRPr="008A0138">
              <w:rPr>
                <w:szCs w:val="20"/>
              </w:rPr>
              <w:t>Pembrolizumab</w:t>
            </w:r>
            <w:proofErr w:type="spellEnd"/>
            <w:r w:rsidRPr="008A0138">
              <w:rPr>
                <w:szCs w:val="20"/>
              </w:rPr>
              <w:t>: 12.83</w:t>
            </w:r>
          </w:p>
          <w:p w:rsidR="00837F06" w:rsidRPr="008A0138" w:rsidRDefault="00837F06" w:rsidP="008A0138">
            <w:pPr>
              <w:pStyle w:val="TableText0"/>
              <w:keepLines/>
              <w:jc w:val="center"/>
              <w:rPr>
                <w:szCs w:val="20"/>
              </w:rPr>
            </w:pPr>
            <w:proofErr w:type="spellStart"/>
            <w:r w:rsidRPr="008A0138">
              <w:rPr>
                <w:szCs w:val="20"/>
              </w:rPr>
              <w:t>Pemetrexed</w:t>
            </w:r>
            <w:proofErr w:type="spellEnd"/>
            <w:r w:rsidRPr="008A0138">
              <w:rPr>
                <w:szCs w:val="20"/>
              </w:rPr>
              <w:t>: 9.08</w:t>
            </w:r>
          </w:p>
          <w:p w:rsidR="00837F06" w:rsidRPr="008A0138" w:rsidRDefault="00837F06" w:rsidP="008A0138">
            <w:pPr>
              <w:pStyle w:val="TableText0"/>
              <w:keepLines/>
              <w:jc w:val="center"/>
              <w:rPr>
                <w:szCs w:val="20"/>
              </w:rPr>
            </w:pPr>
            <w:r w:rsidRPr="008A0138">
              <w:rPr>
                <w:szCs w:val="20"/>
              </w:rPr>
              <w:t>Carboplatin: 2.85</w:t>
            </w:r>
          </w:p>
          <w:p w:rsidR="00837F06" w:rsidRPr="008A0138" w:rsidRDefault="00837F06" w:rsidP="008A0138">
            <w:pPr>
              <w:pStyle w:val="TableText0"/>
              <w:keepLines/>
              <w:jc w:val="center"/>
              <w:rPr>
                <w:szCs w:val="20"/>
              </w:rPr>
            </w:pPr>
            <w:r w:rsidRPr="008A0138">
              <w:rPr>
                <w:szCs w:val="20"/>
              </w:rPr>
              <w:t>Cisplatin: 0.78</w:t>
            </w:r>
          </w:p>
          <w:p w:rsidR="00837F06" w:rsidRPr="008A0138" w:rsidRDefault="00837F06" w:rsidP="008A0138">
            <w:pPr>
              <w:pStyle w:val="TableText0"/>
              <w:keepLines/>
              <w:jc w:val="center"/>
              <w:rPr>
                <w:szCs w:val="20"/>
              </w:rPr>
            </w:pPr>
            <w:r w:rsidRPr="008A0138">
              <w:rPr>
                <w:szCs w:val="20"/>
              </w:rPr>
              <w:t>Paclitaxel: 0.81</w:t>
            </w:r>
          </w:p>
        </w:tc>
        <w:tc>
          <w:tcPr>
            <w:tcW w:w="1113" w:type="pct"/>
            <w:vAlign w:val="center"/>
          </w:tcPr>
          <w:p w:rsidR="00837F06" w:rsidRPr="008A0138" w:rsidRDefault="00AD79BB" w:rsidP="008A0138">
            <w:pPr>
              <w:pStyle w:val="TableText0"/>
              <w:keepLines/>
              <w:jc w:val="center"/>
              <w:rPr>
                <w:szCs w:val="20"/>
              </w:rPr>
            </w:pPr>
            <w:proofErr w:type="spellStart"/>
            <w:r w:rsidRPr="008A0138">
              <w:rPr>
                <w:szCs w:val="20"/>
              </w:rPr>
              <w:t>Pembrolizumab</w:t>
            </w:r>
            <w:proofErr w:type="spellEnd"/>
            <w:r w:rsidR="00D14035" w:rsidRPr="008A0138">
              <w:rPr>
                <w:szCs w:val="20"/>
              </w:rPr>
              <w:t xml:space="preserve">: </w:t>
            </w:r>
            <w:r w:rsidR="000250E3" w:rsidRPr="008A0138">
              <w:rPr>
                <w:szCs w:val="20"/>
              </w:rPr>
              <w:t>12.43</w:t>
            </w:r>
          </w:p>
          <w:p w:rsidR="00D14035" w:rsidRPr="008A0138" w:rsidRDefault="000250E3" w:rsidP="008A0138">
            <w:pPr>
              <w:pStyle w:val="TableText0"/>
              <w:keepLines/>
              <w:jc w:val="center"/>
              <w:rPr>
                <w:szCs w:val="20"/>
              </w:rPr>
            </w:pPr>
            <w:proofErr w:type="spellStart"/>
            <w:r w:rsidRPr="008A0138">
              <w:rPr>
                <w:szCs w:val="20"/>
              </w:rPr>
              <w:t>Pemetrexed</w:t>
            </w:r>
            <w:proofErr w:type="spellEnd"/>
            <w:r w:rsidRPr="008A0138">
              <w:rPr>
                <w:szCs w:val="20"/>
              </w:rPr>
              <w:t>: 7.96</w:t>
            </w:r>
          </w:p>
          <w:p w:rsidR="00D14035" w:rsidRPr="008A0138" w:rsidRDefault="000250E3" w:rsidP="008A0138">
            <w:pPr>
              <w:pStyle w:val="TableText0"/>
              <w:keepLines/>
              <w:jc w:val="center"/>
              <w:rPr>
                <w:szCs w:val="20"/>
              </w:rPr>
            </w:pPr>
            <w:r w:rsidRPr="008A0138">
              <w:rPr>
                <w:szCs w:val="20"/>
              </w:rPr>
              <w:t>Carboplatin: 2.95</w:t>
            </w:r>
          </w:p>
          <w:p w:rsidR="00D14035" w:rsidRPr="008A0138" w:rsidRDefault="000250E3" w:rsidP="008A0138">
            <w:pPr>
              <w:pStyle w:val="TableText0"/>
              <w:keepLines/>
              <w:jc w:val="center"/>
              <w:rPr>
                <w:szCs w:val="20"/>
              </w:rPr>
            </w:pPr>
            <w:r w:rsidRPr="008A0138">
              <w:rPr>
                <w:szCs w:val="20"/>
              </w:rPr>
              <w:t>Cisplatin: 0.68</w:t>
            </w:r>
          </w:p>
          <w:p w:rsidR="00D14035" w:rsidRPr="008A0138" w:rsidRDefault="00D14035" w:rsidP="008A0138">
            <w:pPr>
              <w:pStyle w:val="TableText0"/>
              <w:keepLines/>
              <w:jc w:val="center"/>
              <w:rPr>
                <w:szCs w:val="20"/>
              </w:rPr>
            </w:pPr>
            <w:r w:rsidRPr="008A0138">
              <w:rPr>
                <w:szCs w:val="20"/>
              </w:rPr>
              <w:t>Paclitaxel: 0.81</w:t>
            </w:r>
          </w:p>
        </w:tc>
      </w:tr>
      <w:tr w:rsidR="00AD79BB" w:rsidRPr="008A0138" w:rsidTr="008A0138">
        <w:trPr>
          <w:cantSplit/>
          <w:tblHeader/>
          <w:jc w:val="center"/>
        </w:trPr>
        <w:tc>
          <w:tcPr>
            <w:tcW w:w="548" w:type="pct"/>
            <w:shd w:val="clear" w:color="auto" w:fill="auto"/>
            <w:vAlign w:val="center"/>
          </w:tcPr>
          <w:p w:rsidR="00D14035" w:rsidRPr="008A0138" w:rsidRDefault="00D14035" w:rsidP="008A0138">
            <w:pPr>
              <w:pStyle w:val="TableText0"/>
              <w:keepLines/>
              <w:rPr>
                <w:szCs w:val="20"/>
              </w:rPr>
            </w:pPr>
            <w:r w:rsidRPr="008A0138">
              <w:rPr>
                <w:szCs w:val="20"/>
              </w:rPr>
              <w:t>Cost/patient/</w:t>
            </w:r>
            <w:r w:rsidRPr="008A0138">
              <w:rPr>
                <w:szCs w:val="20"/>
              </w:rPr>
              <w:br/>
              <w:t>course (effective dispensed price)</w:t>
            </w:r>
          </w:p>
        </w:tc>
        <w:tc>
          <w:tcPr>
            <w:tcW w:w="1113" w:type="pct"/>
            <w:shd w:val="clear" w:color="auto" w:fill="auto"/>
            <w:vAlign w:val="center"/>
          </w:tcPr>
          <w:p w:rsidR="00D14035" w:rsidRPr="00115F96" w:rsidRDefault="00D14035" w:rsidP="008A0138">
            <w:pPr>
              <w:pStyle w:val="TableText0"/>
              <w:keepLines/>
              <w:jc w:val="center"/>
              <w:rPr>
                <w:szCs w:val="20"/>
              </w:rPr>
            </w:pPr>
            <w:r w:rsidRPr="00A97524">
              <w:rPr>
                <w:szCs w:val="20"/>
              </w:rPr>
              <w:t>Nivolumab: $</w:t>
            </w:r>
            <w:r w:rsidR="00115F96">
              <w:rPr>
                <w:noProof/>
                <w:color w:val="000000"/>
                <w:szCs w:val="20"/>
                <w:highlight w:val="black"/>
              </w:rPr>
              <w:t>'''''''''''''''</w:t>
            </w:r>
          </w:p>
          <w:p w:rsidR="00D14035" w:rsidRPr="00A97524" w:rsidRDefault="000250E3" w:rsidP="008A0138">
            <w:pPr>
              <w:pStyle w:val="TableText0"/>
              <w:keepLines/>
              <w:jc w:val="center"/>
              <w:rPr>
                <w:szCs w:val="20"/>
                <w:vertAlign w:val="superscript"/>
              </w:rPr>
            </w:pPr>
            <w:r w:rsidRPr="00A97524">
              <w:rPr>
                <w:szCs w:val="20"/>
              </w:rPr>
              <w:t>Ipilimumab:</w:t>
            </w:r>
            <w:r w:rsidR="00D14035" w:rsidRPr="00A97524">
              <w:rPr>
                <w:szCs w:val="20"/>
              </w:rPr>
              <w:t xml:space="preserve"> $</w:t>
            </w:r>
            <w:r w:rsidR="00115F96">
              <w:rPr>
                <w:noProof/>
                <w:color w:val="000000"/>
                <w:szCs w:val="20"/>
                <w:highlight w:val="black"/>
              </w:rPr>
              <w:t>'''''''''''''''''</w:t>
            </w:r>
            <w:r w:rsidR="00052A01" w:rsidRPr="00A97524">
              <w:rPr>
                <w:szCs w:val="20"/>
                <w:vertAlign w:val="superscript"/>
              </w:rPr>
              <w:t>e</w:t>
            </w:r>
          </w:p>
          <w:p w:rsidR="00D14035" w:rsidRPr="00A97524" w:rsidRDefault="00D14035" w:rsidP="008A0138">
            <w:pPr>
              <w:pStyle w:val="TableText0"/>
              <w:keepLines/>
              <w:jc w:val="center"/>
              <w:rPr>
                <w:szCs w:val="20"/>
              </w:rPr>
            </w:pPr>
            <w:proofErr w:type="spellStart"/>
            <w:r w:rsidRPr="00A97524">
              <w:rPr>
                <w:szCs w:val="20"/>
              </w:rPr>
              <w:t>Pemetrexed</w:t>
            </w:r>
            <w:proofErr w:type="spellEnd"/>
            <w:r w:rsidRPr="00A97524">
              <w:rPr>
                <w:szCs w:val="20"/>
              </w:rPr>
              <w:t>: $269</w:t>
            </w:r>
          </w:p>
          <w:p w:rsidR="00D14035" w:rsidRPr="00A97524" w:rsidRDefault="00D14035" w:rsidP="008A0138">
            <w:pPr>
              <w:pStyle w:val="TableText0"/>
              <w:keepLines/>
              <w:jc w:val="center"/>
              <w:rPr>
                <w:szCs w:val="20"/>
              </w:rPr>
            </w:pPr>
            <w:r w:rsidRPr="00A97524">
              <w:rPr>
                <w:szCs w:val="20"/>
              </w:rPr>
              <w:t>Carboplatin: $235</w:t>
            </w:r>
          </w:p>
          <w:p w:rsidR="00D14035" w:rsidRPr="00A97524" w:rsidRDefault="00D14035" w:rsidP="008A0138">
            <w:pPr>
              <w:pStyle w:val="TableText0"/>
              <w:keepLines/>
              <w:jc w:val="center"/>
              <w:rPr>
                <w:szCs w:val="20"/>
              </w:rPr>
            </w:pPr>
            <w:r w:rsidRPr="00A97524">
              <w:rPr>
                <w:szCs w:val="20"/>
              </w:rPr>
              <w:t>Cisplatin: $62</w:t>
            </w:r>
          </w:p>
          <w:p w:rsidR="00D14035" w:rsidRPr="00A97524" w:rsidRDefault="00D14035" w:rsidP="008A0138">
            <w:pPr>
              <w:pStyle w:val="TableText0"/>
              <w:keepLines/>
              <w:jc w:val="center"/>
              <w:rPr>
                <w:szCs w:val="20"/>
              </w:rPr>
            </w:pPr>
            <w:r w:rsidRPr="00A97524">
              <w:rPr>
                <w:szCs w:val="20"/>
              </w:rPr>
              <w:t>Paclitaxel: $74</w:t>
            </w:r>
          </w:p>
          <w:p w:rsidR="00D14035" w:rsidRPr="00A97524" w:rsidRDefault="00D14035" w:rsidP="008A0138">
            <w:pPr>
              <w:pStyle w:val="TableText0"/>
              <w:keepLines/>
              <w:jc w:val="center"/>
              <w:rPr>
                <w:szCs w:val="20"/>
              </w:rPr>
            </w:pPr>
            <w:r w:rsidRPr="00A97524">
              <w:rPr>
                <w:szCs w:val="20"/>
              </w:rPr>
              <w:t>TOTAL: $</w:t>
            </w:r>
            <w:r w:rsidR="00115F96">
              <w:rPr>
                <w:noProof/>
                <w:color w:val="000000"/>
                <w:szCs w:val="20"/>
                <w:highlight w:val="black"/>
              </w:rPr>
              <w:t>'''''''''''''''</w:t>
            </w:r>
          </w:p>
        </w:tc>
        <w:tc>
          <w:tcPr>
            <w:tcW w:w="1113" w:type="pct"/>
            <w:shd w:val="clear" w:color="auto" w:fill="auto"/>
            <w:vAlign w:val="center"/>
          </w:tcPr>
          <w:p w:rsidR="00AD79BB" w:rsidRPr="00A97524" w:rsidRDefault="00AD79BB" w:rsidP="008A0138">
            <w:pPr>
              <w:pStyle w:val="TableText0"/>
              <w:keepLines/>
              <w:jc w:val="center"/>
              <w:rPr>
                <w:szCs w:val="20"/>
              </w:rPr>
            </w:pPr>
            <w:r w:rsidRPr="00A97524">
              <w:rPr>
                <w:szCs w:val="20"/>
              </w:rPr>
              <w:t>Nivolumab: $</w:t>
            </w:r>
            <w:r w:rsidR="00115F96">
              <w:rPr>
                <w:noProof/>
                <w:color w:val="000000"/>
                <w:szCs w:val="20"/>
                <w:highlight w:val="black"/>
              </w:rPr>
              <w:t>'''''''''''''''</w:t>
            </w:r>
          </w:p>
          <w:p w:rsidR="00AD79BB" w:rsidRPr="00A97524" w:rsidRDefault="00EE172C" w:rsidP="008A0138">
            <w:pPr>
              <w:pStyle w:val="TableText0"/>
              <w:keepLines/>
              <w:jc w:val="center"/>
              <w:rPr>
                <w:szCs w:val="20"/>
              </w:rPr>
            </w:pPr>
            <w:r w:rsidRPr="00A97524">
              <w:rPr>
                <w:szCs w:val="20"/>
              </w:rPr>
              <w:t>Ipilimumab:</w:t>
            </w:r>
            <w:r w:rsidR="00AD79BB" w:rsidRPr="00A97524">
              <w:rPr>
                <w:szCs w:val="20"/>
              </w:rPr>
              <w:t xml:space="preserve"> $</w:t>
            </w:r>
            <w:r w:rsidR="00115F96">
              <w:rPr>
                <w:noProof/>
                <w:color w:val="000000"/>
                <w:szCs w:val="20"/>
                <w:highlight w:val="black"/>
              </w:rPr>
              <w:t>'''''''''''''''''</w:t>
            </w:r>
          </w:p>
          <w:p w:rsidR="00AD79BB" w:rsidRPr="00A97524" w:rsidRDefault="00AD79BB" w:rsidP="008A0138">
            <w:pPr>
              <w:pStyle w:val="TableText0"/>
              <w:keepLines/>
              <w:jc w:val="center"/>
              <w:rPr>
                <w:szCs w:val="20"/>
              </w:rPr>
            </w:pPr>
            <w:proofErr w:type="spellStart"/>
            <w:r w:rsidRPr="00A97524">
              <w:rPr>
                <w:szCs w:val="20"/>
              </w:rPr>
              <w:t>Pemetrexed</w:t>
            </w:r>
            <w:proofErr w:type="spellEnd"/>
            <w:r w:rsidRPr="00A97524">
              <w:rPr>
                <w:szCs w:val="20"/>
              </w:rPr>
              <w:t>: $275</w:t>
            </w:r>
          </w:p>
          <w:p w:rsidR="00AD79BB" w:rsidRPr="00A97524" w:rsidRDefault="00AD79BB" w:rsidP="008A0138">
            <w:pPr>
              <w:pStyle w:val="TableText0"/>
              <w:keepLines/>
              <w:jc w:val="center"/>
              <w:rPr>
                <w:szCs w:val="20"/>
              </w:rPr>
            </w:pPr>
            <w:r w:rsidRPr="00A97524">
              <w:rPr>
                <w:szCs w:val="20"/>
              </w:rPr>
              <w:t>Carboplatin: $209</w:t>
            </w:r>
          </w:p>
          <w:p w:rsidR="00AD79BB" w:rsidRPr="00A97524" w:rsidRDefault="00AD79BB" w:rsidP="008A0138">
            <w:pPr>
              <w:pStyle w:val="TableText0"/>
              <w:keepLines/>
              <w:jc w:val="center"/>
              <w:rPr>
                <w:szCs w:val="20"/>
              </w:rPr>
            </w:pPr>
            <w:r w:rsidRPr="00A97524">
              <w:rPr>
                <w:szCs w:val="20"/>
              </w:rPr>
              <w:t>Cisplatin: $54</w:t>
            </w:r>
          </w:p>
          <w:p w:rsidR="00AD79BB" w:rsidRPr="00A97524" w:rsidRDefault="00AD79BB" w:rsidP="008A0138">
            <w:pPr>
              <w:pStyle w:val="TableText0"/>
              <w:keepLines/>
              <w:jc w:val="center"/>
              <w:rPr>
                <w:szCs w:val="20"/>
              </w:rPr>
            </w:pPr>
            <w:r w:rsidRPr="00A97524">
              <w:rPr>
                <w:szCs w:val="20"/>
              </w:rPr>
              <w:t>Paclitaxel: $106</w:t>
            </w:r>
          </w:p>
          <w:p w:rsidR="00D14035" w:rsidRPr="00A97524" w:rsidRDefault="00AD79BB" w:rsidP="008A0138">
            <w:pPr>
              <w:pStyle w:val="TableText0"/>
              <w:keepLines/>
              <w:jc w:val="center"/>
              <w:rPr>
                <w:szCs w:val="20"/>
              </w:rPr>
            </w:pPr>
            <w:r w:rsidRPr="00A97524">
              <w:rPr>
                <w:szCs w:val="20"/>
              </w:rPr>
              <w:t>TOTAL: $</w:t>
            </w:r>
            <w:r w:rsidR="00115F96">
              <w:rPr>
                <w:noProof/>
                <w:color w:val="000000"/>
                <w:szCs w:val="20"/>
                <w:highlight w:val="black"/>
              </w:rPr>
              <w:t>''''''''''''''''</w:t>
            </w:r>
          </w:p>
        </w:tc>
        <w:tc>
          <w:tcPr>
            <w:tcW w:w="1113" w:type="pct"/>
            <w:shd w:val="clear" w:color="auto" w:fill="auto"/>
            <w:vAlign w:val="center"/>
          </w:tcPr>
          <w:p w:rsidR="00D14035" w:rsidRPr="00115F96" w:rsidRDefault="00D14035" w:rsidP="008A0138">
            <w:pPr>
              <w:pStyle w:val="TableText0"/>
              <w:keepLines/>
              <w:jc w:val="center"/>
              <w:rPr>
                <w:szCs w:val="20"/>
              </w:rPr>
            </w:pPr>
            <w:proofErr w:type="spellStart"/>
            <w:r w:rsidRPr="00A97524">
              <w:rPr>
                <w:szCs w:val="20"/>
              </w:rPr>
              <w:t>Pembrolizumab</w:t>
            </w:r>
            <w:proofErr w:type="spellEnd"/>
            <w:r w:rsidRPr="00A97524">
              <w:rPr>
                <w:szCs w:val="20"/>
              </w:rPr>
              <w:t>: $</w:t>
            </w:r>
            <w:r w:rsidR="00115F96">
              <w:rPr>
                <w:noProof/>
                <w:color w:val="000000"/>
                <w:szCs w:val="20"/>
                <w:highlight w:val="black"/>
              </w:rPr>
              <w:t>''''''''''''''''</w:t>
            </w:r>
          </w:p>
          <w:p w:rsidR="00D14035" w:rsidRPr="00A97524" w:rsidRDefault="00D14035" w:rsidP="008A0138">
            <w:pPr>
              <w:pStyle w:val="TableText0"/>
              <w:keepLines/>
              <w:jc w:val="center"/>
              <w:rPr>
                <w:szCs w:val="20"/>
              </w:rPr>
            </w:pPr>
            <w:proofErr w:type="spellStart"/>
            <w:r w:rsidRPr="00A97524">
              <w:rPr>
                <w:szCs w:val="20"/>
              </w:rPr>
              <w:t>Pemetrexed</w:t>
            </w:r>
            <w:proofErr w:type="spellEnd"/>
            <w:r w:rsidRPr="00A97524">
              <w:rPr>
                <w:szCs w:val="20"/>
              </w:rPr>
              <w:t>: $</w:t>
            </w:r>
            <w:r w:rsidR="00115F96">
              <w:rPr>
                <w:noProof/>
                <w:color w:val="000000"/>
                <w:szCs w:val="20"/>
                <w:highlight w:val="black"/>
              </w:rPr>
              <w:t>'''''''''''''</w:t>
            </w:r>
          </w:p>
          <w:p w:rsidR="00D14035" w:rsidRPr="00A97524" w:rsidRDefault="00D14035" w:rsidP="008A0138">
            <w:pPr>
              <w:pStyle w:val="TableText0"/>
              <w:keepLines/>
              <w:jc w:val="center"/>
              <w:rPr>
                <w:szCs w:val="20"/>
              </w:rPr>
            </w:pPr>
            <w:r w:rsidRPr="00A97524">
              <w:rPr>
                <w:szCs w:val="20"/>
              </w:rPr>
              <w:t>Carboplatin: $460</w:t>
            </w:r>
          </w:p>
          <w:p w:rsidR="00D14035" w:rsidRPr="00A97524" w:rsidRDefault="00D14035" w:rsidP="008A0138">
            <w:pPr>
              <w:pStyle w:val="TableText0"/>
              <w:keepLines/>
              <w:jc w:val="center"/>
              <w:rPr>
                <w:szCs w:val="20"/>
              </w:rPr>
            </w:pPr>
            <w:r w:rsidRPr="00A97524">
              <w:rPr>
                <w:szCs w:val="20"/>
              </w:rPr>
              <w:t>Cisplatin: $108</w:t>
            </w:r>
          </w:p>
          <w:p w:rsidR="00D14035" w:rsidRPr="00A97524" w:rsidRDefault="00D14035" w:rsidP="008A0138">
            <w:pPr>
              <w:pStyle w:val="TableText0"/>
              <w:keepLines/>
              <w:jc w:val="center"/>
              <w:rPr>
                <w:szCs w:val="20"/>
              </w:rPr>
            </w:pPr>
            <w:r w:rsidRPr="00A97524">
              <w:rPr>
                <w:szCs w:val="20"/>
              </w:rPr>
              <w:t>Paclitaxel: $141</w:t>
            </w:r>
          </w:p>
          <w:p w:rsidR="00D14035" w:rsidRPr="00A97524" w:rsidRDefault="00D14035" w:rsidP="008A0138">
            <w:pPr>
              <w:pStyle w:val="TableText0"/>
              <w:keepLines/>
              <w:jc w:val="center"/>
              <w:rPr>
                <w:szCs w:val="20"/>
              </w:rPr>
            </w:pPr>
            <w:r w:rsidRPr="00A97524">
              <w:rPr>
                <w:szCs w:val="20"/>
              </w:rPr>
              <w:t>TOTAL: $</w:t>
            </w:r>
            <w:r w:rsidR="00115F96">
              <w:rPr>
                <w:noProof/>
                <w:color w:val="000000"/>
                <w:szCs w:val="20"/>
                <w:highlight w:val="black"/>
              </w:rPr>
              <w:t>'''''''''''''''</w:t>
            </w:r>
          </w:p>
        </w:tc>
        <w:tc>
          <w:tcPr>
            <w:tcW w:w="1113" w:type="pct"/>
            <w:vAlign w:val="center"/>
          </w:tcPr>
          <w:p w:rsidR="00AD79BB" w:rsidRPr="00A97524" w:rsidRDefault="00AD79BB" w:rsidP="008A0138">
            <w:pPr>
              <w:pStyle w:val="TableText0"/>
              <w:keepLines/>
              <w:jc w:val="center"/>
              <w:rPr>
                <w:szCs w:val="20"/>
              </w:rPr>
            </w:pPr>
            <w:proofErr w:type="spellStart"/>
            <w:r w:rsidRPr="00A97524">
              <w:rPr>
                <w:szCs w:val="20"/>
              </w:rPr>
              <w:t>Pembro</w:t>
            </w:r>
            <w:r w:rsidR="00E901B6" w:rsidRPr="00A97524">
              <w:rPr>
                <w:szCs w:val="20"/>
              </w:rPr>
              <w:t>lizumab</w:t>
            </w:r>
            <w:proofErr w:type="spellEnd"/>
            <w:r w:rsidRPr="00A97524">
              <w:rPr>
                <w:szCs w:val="20"/>
              </w:rPr>
              <w:t>: $</w:t>
            </w:r>
            <w:r w:rsidR="00115F96">
              <w:rPr>
                <w:noProof/>
                <w:color w:val="000000"/>
                <w:szCs w:val="20"/>
                <w:highlight w:val="black"/>
              </w:rPr>
              <w:t>''''''''''''''''</w:t>
            </w:r>
          </w:p>
          <w:p w:rsidR="00AD79BB" w:rsidRPr="00A97524" w:rsidRDefault="00AD79BB" w:rsidP="008A0138">
            <w:pPr>
              <w:pStyle w:val="TableText0"/>
              <w:keepLines/>
              <w:jc w:val="center"/>
              <w:rPr>
                <w:szCs w:val="20"/>
              </w:rPr>
            </w:pPr>
            <w:proofErr w:type="spellStart"/>
            <w:r w:rsidRPr="00A97524">
              <w:rPr>
                <w:szCs w:val="20"/>
              </w:rPr>
              <w:t>Pemetrexed</w:t>
            </w:r>
            <w:proofErr w:type="spellEnd"/>
            <w:r w:rsidRPr="00A97524">
              <w:rPr>
                <w:szCs w:val="20"/>
              </w:rPr>
              <w:t>: $</w:t>
            </w:r>
            <w:r w:rsidR="00115F96">
              <w:rPr>
                <w:noProof/>
                <w:color w:val="000000"/>
                <w:szCs w:val="20"/>
                <w:highlight w:val="black"/>
              </w:rPr>
              <w:t>'''''''''''''</w:t>
            </w:r>
          </w:p>
          <w:p w:rsidR="00AD79BB" w:rsidRPr="00A97524" w:rsidRDefault="00AD79BB" w:rsidP="008A0138">
            <w:pPr>
              <w:pStyle w:val="TableText0"/>
              <w:keepLines/>
              <w:jc w:val="center"/>
              <w:rPr>
                <w:szCs w:val="20"/>
              </w:rPr>
            </w:pPr>
            <w:r w:rsidRPr="00A97524">
              <w:rPr>
                <w:szCs w:val="20"/>
              </w:rPr>
              <w:t>Carboplatin: $477</w:t>
            </w:r>
          </w:p>
          <w:p w:rsidR="00AD79BB" w:rsidRPr="00A97524" w:rsidRDefault="00AD79BB" w:rsidP="008A0138">
            <w:pPr>
              <w:pStyle w:val="TableText0"/>
              <w:keepLines/>
              <w:jc w:val="center"/>
              <w:rPr>
                <w:szCs w:val="20"/>
              </w:rPr>
            </w:pPr>
            <w:r w:rsidRPr="00A97524">
              <w:rPr>
                <w:szCs w:val="20"/>
              </w:rPr>
              <w:t>Cisplatin: $95</w:t>
            </w:r>
          </w:p>
          <w:p w:rsidR="00AD79BB" w:rsidRPr="00A97524" w:rsidRDefault="00AD79BB" w:rsidP="008A0138">
            <w:pPr>
              <w:pStyle w:val="TableText0"/>
              <w:keepLines/>
              <w:jc w:val="center"/>
              <w:rPr>
                <w:szCs w:val="20"/>
              </w:rPr>
            </w:pPr>
            <w:r w:rsidRPr="00A97524">
              <w:rPr>
                <w:szCs w:val="20"/>
              </w:rPr>
              <w:t>Paclitaxel: $141</w:t>
            </w:r>
          </w:p>
          <w:p w:rsidR="00D14035" w:rsidRPr="00A97524" w:rsidRDefault="00AD79BB" w:rsidP="008A0138">
            <w:pPr>
              <w:pStyle w:val="TableText0"/>
              <w:keepLines/>
              <w:jc w:val="center"/>
              <w:rPr>
                <w:szCs w:val="20"/>
              </w:rPr>
            </w:pPr>
            <w:r w:rsidRPr="00A97524">
              <w:rPr>
                <w:szCs w:val="20"/>
              </w:rPr>
              <w:t>TOTAL: $</w:t>
            </w:r>
            <w:r w:rsidR="00115F96">
              <w:rPr>
                <w:noProof/>
                <w:color w:val="000000"/>
                <w:szCs w:val="20"/>
                <w:highlight w:val="black"/>
              </w:rPr>
              <w:t>''''''''''''''''''</w:t>
            </w:r>
          </w:p>
        </w:tc>
      </w:tr>
    </w:tbl>
    <w:p w:rsidR="00D20B49" w:rsidRPr="0087043D" w:rsidRDefault="00D20B49" w:rsidP="008A0138">
      <w:pPr>
        <w:pStyle w:val="TableFigureFooter"/>
        <w:keepNext/>
        <w:keepLines/>
      </w:pPr>
      <w:r w:rsidRPr="0087043D">
        <w:t xml:space="preserve">Source: Excel workbook ‘Section 3 – 1L NSCLC </w:t>
      </w:r>
      <w:proofErr w:type="spellStart"/>
      <w:r w:rsidRPr="0087043D">
        <w:t>Nivo+Ipi+Chemo</w:t>
      </w:r>
      <w:proofErr w:type="spellEnd"/>
      <w:r w:rsidRPr="0087043D">
        <w:t xml:space="preserve"> Cost-Minimisation Analysis; Excel Workbook ‘Section 4 – 1L NSCLC </w:t>
      </w:r>
      <w:proofErr w:type="spellStart"/>
      <w:r w:rsidRPr="0087043D">
        <w:t>Nivo+Ipi+Chemo</w:t>
      </w:r>
      <w:proofErr w:type="spellEnd"/>
      <w:r w:rsidRPr="0087043D">
        <w:t xml:space="preserve"> Utilisation and Cost Model’.</w:t>
      </w:r>
    </w:p>
    <w:p w:rsidR="00D20B49" w:rsidRPr="0087043D" w:rsidRDefault="00D20B49" w:rsidP="008A0138">
      <w:pPr>
        <w:pStyle w:val="TableFigureFooter"/>
        <w:keepNext/>
        <w:keepLines/>
        <w:rPr>
          <w:i/>
        </w:rPr>
      </w:pPr>
      <w:r w:rsidRPr="0087043D">
        <w:t xml:space="preserve">IPI = ipilimumab; NIVO = nivolumab </w:t>
      </w:r>
    </w:p>
    <w:p w:rsidR="00C15278" w:rsidRPr="0087043D" w:rsidRDefault="00C15278" w:rsidP="008A0138">
      <w:pPr>
        <w:pStyle w:val="TableFigureFooter"/>
        <w:keepNext/>
        <w:keepLines/>
        <w:ind w:left="142" w:hanging="142"/>
      </w:pPr>
      <w:proofErr w:type="gramStart"/>
      <w:r w:rsidRPr="0087043D">
        <w:rPr>
          <w:vertAlign w:val="superscript"/>
        </w:rPr>
        <w:t>a</w:t>
      </w:r>
      <w:proofErr w:type="gramEnd"/>
      <w:r w:rsidRPr="0087043D">
        <w:t xml:space="preserve"> Weighted dose from trial (see </w:t>
      </w:r>
      <w:r w:rsidR="00C71489" w:rsidRPr="0087043D">
        <w:t>Table 11</w:t>
      </w:r>
      <w:r w:rsidRPr="0087043D">
        <w:t xml:space="preserve">), assuming </w:t>
      </w:r>
      <w:r w:rsidR="000E73AC" w:rsidRPr="0087043D">
        <w:t>77.6% of patients have non-squamous NSCLC and 22.4% have squamous NSCLC, and carboplatin/cisplatin split of 70%/30% in patients with non-squamous NSCLC.</w:t>
      </w:r>
    </w:p>
    <w:p w:rsidR="000E73AC" w:rsidRPr="0087043D" w:rsidRDefault="000E73AC" w:rsidP="008A0138">
      <w:pPr>
        <w:pStyle w:val="TableFigureFooter"/>
        <w:keepNext/>
        <w:keepLines/>
        <w:ind w:left="142" w:hanging="142"/>
      </w:pPr>
      <w:r w:rsidRPr="0087043D">
        <w:rPr>
          <w:vertAlign w:val="superscript"/>
        </w:rPr>
        <w:t>b</w:t>
      </w:r>
      <w:r w:rsidRPr="0087043D">
        <w:t xml:space="preserve"> Weighted dose from trial (see </w:t>
      </w:r>
      <w:r w:rsidR="00C71489" w:rsidRPr="0087043D">
        <w:t>Table 11</w:t>
      </w:r>
      <w:r w:rsidRPr="0087043D">
        <w:t>), assuming 68.0% of patients have non-squamous NSCLC and 32.0% have squamous NSCLC, and carboplatin/cisplatin split of 70%/30% in patients with non-squamous NSCLC.</w:t>
      </w:r>
    </w:p>
    <w:p w:rsidR="000E73AC" w:rsidRPr="0087043D" w:rsidRDefault="000E73AC" w:rsidP="008A0138">
      <w:pPr>
        <w:pStyle w:val="TableFigureFooter"/>
        <w:keepNext/>
        <w:keepLines/>
        <w:ind w:left="142" w:hanging="142"/>
      </w:pPr>
      <w:r w:rsidRPr="0087043D">
        <w:rPr>
          <w:vertAlign w:val="superscript"/>
        </w:rPr>
        <w:t>c</w:t>
      </w:r>
      <w:r w:rsidRPr="0087043D">
        <w:t xml:space="preserve"> Weighted dose from trial (see </w:t>
      </w:r>
      <w:r w:rsidR="00C71489" w:rsidRPr="0087043D">
        <w:t>Table 11</w:t>
      </w:r>
      <w:r w:rsidRPr="0087043D">
        <w:t>), assuming 77.6% of patients have non-squamous NSCLC and 22.4% have squamous NSCLC, and carboplatin/cisplatin split of 72.2%/27.8% in patients with non-squamous NSCLC.</w:t>
      </w:r>
    </w:p>
    <w:p w:rsidR="000E73AC" w:rsidRPr="0087043D" w:rsidRDefault="000E73AC" w:rsidP="008A0138">
      <w:pPr>
        <w:pStyle w:val="TableFigureFooter"/>
        <w:keepNext/>
        <w:keepLines/>
        <w:ind w:left="142" w:hanging="142"/>
      </w:pPr>
      <w:r w:rsidRPr="0087043D">
        <w:rPr>
          <w:vertAlign w:val="superscript"/>
        </w:rPr>
        <w:t>d</w:t>
      </w:r>
      <w:r w:rsidRPr="0087043D">
        <w:t xml:space="preserve"> Weighted dose from trial (see </w:t>
      </w:r>
      <w:r w:rsidR="00C71489" w:rsidRPr="0087043D">
        <w:t>Table 11</w:t>
      </w:r>
      <w:r w:rsidRPr="0087043D">
        <w:t>), assuming 68.0% of patients have non-squamous NSCLC and 32.0% have squamous NSCLC, and carboplatin/cisplatin split of 72.2%/27.8% in patients with non-squamous NSCLC.</w:t>
      </w:r>
    </w:p>
    <w:p w:rsidR="00786B68" w:rsidRPr="0087043D" w:rsidRDefault="0095414B" w:rsidP="008A0138">
      <w:pPr>
        <w:pStyle w:val="TableFigureFooter"/>
        <w:keepNext/>
        <w:keepLines/>
        <w:ind w:left="142" w:hanging="142"/>
      </w:pPr>
      <w:proofErr w:type="gramStart"/>
      <w:r w:rsidRPr="0087043D">
        <w:rPr>
          <w:vertAlign w:val="superscript"/>
        </w:rPr>
        <w:t>e</w:t>
      </w:r>
      <w:proofErr w:type="gramEnd"/>
      <w:r w:rsidRPr="0087043D">
        <w:t xml:space="preserve"> Based on corrected price for ipilimumab, as derived in </w:t>
      </w:r>
      <w:r w:rsidR="00C71489" w:rsidRPr="0087043D">
        <w:t>Table 13</w:t>
      </w:r>
      <w:r w:rsidRPr="0087043D">
        <w:t>.</w:t>
      </w:r>
    </w:p>
    <w:p w:rsidR="00780077" w:rsidRPr="0087043D" w:rsidRDefault="00780077" w:rsidP="00EE2031">
      <w:pPr>
        <w:pStyle w:val="3-BodyText"/>
      </w:pPr>
      <w:r w:rsidRPr="0087043D">
        <w:t>In both the model and the financial estimates, the mean number of doses per patient for each component of treatment were based on the truncated mean number of doses in the trials</w:t>
      </w:r>
      <w:r w:rsidR="008103D4" w:rsidRPr="0087043D">
        <w:t xml:space="preserve"> (see </w:t>
      </w:r>
      <w:r w:rsidR="00C71489" w:rsidRPr="0087043D">
        <w:t>Table 11</w:t>
      </w:r>
      <w:r w:rsidR="008103D4" w:rsidRPr="0087043D">
        <w:t>).</w:t>
      </w:r>
      <w:r w:rsidR="00B84A30" w:rsidRPr="0087043D">
        <w:t xml:space="preserve"> Both the type of chemotherapy received and</w:t>
      </w:r>
      <w:r w:rsidR="008103D4" w:rsidRPr="0087043D">
        <w:t xml:space="preserve">, for </w:t>
      </w:r>
      <w:proofErr w:type="spellStart"/>
      <w:r w:rsidR="008103D4" w:rsidRPr="0087043D">
        <w:t>pembrolizumab+platinum</w:t>
      </w:r>
      <w:proofErr w:type="spellEnd"/>
      <w:r w:rsidR="008103D4" w:rsidRPr="0087043D">
        <w:t>,</w:t>
      </w:r>
      <w:r w:rsidR="00B84A30" w:rsidRPr="0087043D">
        <w:t xml:space="preserve"> the mean number of doses </w:t>
      </w:r>
      <w:r w:rsidR="008103D4" w:rsidRPr="0087043D">
        <w:t xml:space="preserve">per patient </w:t>
      </w:r>
      <w:r w:rsidR="00B84A30" w:rsidRPr="0087043D">
        <w:t xml:space="preserve">differed </w:t>
      </w:r>
      <w:r w:rsidR="008103D4" w:rsidRPr="0087043D">
        <w:t>by histological subgroup (non-squamous vs squamous)</w:t>
      </w:r>
      <w:r w:rsidR="002B0AB4" w:rsidRPr="0087043D">
        <w:t>.</w:t>
      </w:r>
      <w:r w:rsidR="00B84A30" w:rsidRPr="0087043D">
        <w:t xml:space="preserve"> </w:t>
      </w:r>
      <w:r w:rsidRPr="0087043D">
        <w:t xml:space="preserve">The weighted mean number of doses </w:t>
      </w:r>
      <w:r w:rsidR="008103D4" w:rsidRPr="0087043D">
        <w:t xml:space="preserve">per patient </w:t>
      </w:r>
      <w:r w:rsidRPr="0087043D">
        <w:t xml:space="preserve">in the </w:t>
      </w:r>
      <w:r w:rsidR="008103D4" w:rsidRPr="0087043D">
        <w:t>CMA</w:t>
      </w:r>
      <w:r w:rsidRPr="0087043D">
        <w:t xml:space="preserve">, as listed in </w:t>
      </w:r>
      <w:r w:rsidR="00C71489" w:rsidRPr="0087043D">
        <w:t>Table 16</w:t>
      </w:r>
      <w:r w:rsidRPr="0087043D">
        <w:t>, were derived assuming that 77.6% of treated patients have non-squamous NSCLC and 22.4% have squamous NSCLC.</w:t>
      </w:r>
      <w:r w:rsidR="00B84A30" w:rsidRPr="0087043D">
        <w:t xml:space="preserve"> In the financial estimates, </w:t>
      </w:r>
      <w:r w:rsidR="008103D4" w:rsidRPr="0087043D">
        <w:t xml:space="preserve">while the </w:t>
      </w:r>
      <w:r w:rsidR="00B84A30" w:rsidRPr="0087043D">
        <w:t xml:space="preserve">proportion of </w:t>
      </w:r>
      <w:r w:rsidR="008103D4" w:rsidRPr="0087043D">
        <w:t xml:space="preserve">eligible </w:t>
      </w:r>
      <w:r w:rsidR="00B84A30" w:rsidRPr="0087043D">
        <w:t xml:space="preserve">patients with non-squamous and squamous NSCLC </w:t>
      </w:r>
      <w:r w:rsidR="008103D4" w:rsidRPr="0087043D">
        <w:t>was consistent with the CMA (i.e. 77.6% non-squamous and 22.4% squamous</w:t>
      </w:r>
      <w:r w:rsidR="002B35AC" w:rsidRPr="0087043D">
        <w:t>)</w:t>
      </w:r>
      <w:r w:rsidR="008103D4" w:rsidRPr="0087043D">
        <w:t xml:space="preserve"> the submission </w:t>
      </w:r>
      <w:r w:rsidR="00B84A30" w:rsidRPr="0087043D">
        <w:t xml:space="preserve">assumed that the market share for </w:t>
      </w:r>
      <w:proofErr w:type="spellStart"/>
      <w:r w:rsidR="00B84A30" w:rsidRPr="0087043D">
        <w:t>NIVO+IPI+platinum</w:t>
      </w:r>
      <w:proofErr w:type="spellEnd"/>
      <w:r w:rsidR="00B84A30" w:rsidRPr="0087043D">
        <w:t xml:space="preserve"> would differ in each of these patient subgroups (15% in non-squamous and 20% in squamous NSCLC). As a result, in the treated population, 68% of patients had non-s</w:t>
      </w:r>
      <w:r w:rsidR="008103D4" w:rsidRPr="0087043D">
        <w:t>q</w:t>
      </w:r>
      <w:r w:rsidR="00B84A30" w:rsidRPr="0087043D">
        <w:t xml:space="preserve">uamous NSCLC and 32% had squamous NSCLC. </w:t>
      </w:r>
      <w:r w:rsidR="001A5CE0" w:rsidRPr="0087043D">
        <w:t>Consequently</w:t>
      </w:r>
      <w:r w:rsidR="00B84A30" w:rsidRPr="0087043D">
        <w:t xml:space="preserve">, the weighted mean number of </w:t>
      </w:r>
      <w:r w:rsidR="008103D4" w:rsidRPr="0087043D">
        <w:t>doses per patient for each component of treatment and</w:t>
      </w:r>
      <w:r w:rsidR="001A5CE0" w:rsidRPr="0087043D">
        <w:t xml:space="preserve"> </w:t>
      </w:r>
      <w:r w:rsidR="008103D4" w:rsidRPr="0087043D">
        <w:t>the mean cost per patient per course in the financial estimates differed from those in the CMA.</w:t>
      </w:r>
    </w:p>
    <w:p w:rsidR="002300C5" w:rsidRPr="0087043D" w:rsidRDefault="002300C5" w:rsidP="00500158">
      <w:pPr>
        <w:pStyle w:val="3-BodyText"/>
      </w:pPr>
      <w:r w:rsidRPr="0087043D">
        <w:t>The</w:t>
      </w:r>
      <w:r w:rsidR="00727C99">
        <w:t xml:space="preserve"> pre-sub-committee response</w:t>
      </w:r>
      <w:r w:rsidRPr="0087043D">
        <w:t xml:space="preserve"> </w:t>
      </w:r>
      <w:r w:rsidR="00727C99">
        <w:t>(</w:t>
      </w:r>
      <w:r w:rsidRPr="0087043D">
        <w:t>PSCR</w:t>
      </w:r>
      <w:r w:rsidR="00727C99">
        <w:t>)</w:t>
      </w:r>
      <w:r w:rsidRPr="0087043D">
        <w:t xml:space="preserve"> acknowledged </w:t>
      </w:r>
      <w:r w:rsidR="00F97D95" w:rsidRPr="0087043D">
        <w:t xml:space="preserve">the weighted mean number of doses per patient for each component of treatment and the mean cost per patient per course in the financial estimates were inconsistent with those presented in the CMA. The Sponsor indicated a willingness to work with the Department to set an equivalent weighted cost per patient per treatment course, with application of histology based costs per patient to derive the weighted price for </w:t>
      </w:r>
      <w:proofErr w:type="spellStart"/>
      <w:r w:rsidR="00F97D95" w:rsidRPr="0087043D">
        <w:t>nivo+ipi+chemo</w:t>
      </w:r>
      <w:proofErr w:type="spellEnd"/>
      <w:r w:rsidR="00F97D95" w:rsidRPr="0087043D">
        <w:t xml:space="preserve"> to ensure cost-neutrality is achieved post-PBAC recommendation.</w:t>
      </w:r>
    </w:p>
    <w:p w:rsidR="00B60939" w:rsidRPr="0087043D" w:rsidRDefault="00B60939" w:rsidP="002B05A1">
      <w:pPr>
        <w:pStyle w:val="4-SubsectionHeading"/>
      </w:pPr>
      <w:bookmarkStart w:id="42" w:name="_Toc22897647"/>
      <w:bookmarkStart w:id="43" w:name="_Toc51147800"/>
      <w:r w:rsidRPr="0087043D">
        <w:t>Estimated PBS usage &amp; financial implications</w:t>
      </w:r>
      <w:bookmarkEnd w:id="42"/>
      <w:bookmarkEnd w:id="43"/>
    </w:p>
    <w:p w:rsidR="006F26B7" w:rsidRPr="0087043D" w:rsidRDefault="00C25D9C" w:rsidP="006F26B7">
      <w:pPr>
        <w:pStyle w:val="3-BodyText"/>
      </w:pPr>
      <w:r w:rsidRPr="0087043D">
        <w:t xml:space="preserve">This submission </w:t>
      </w:r>
      <w:r w:rsidR="00B201A4" w:rsidRPr="0087043D">
        <w:t>w</w:t>
      </w:r>
      <w:r w:rsidR="00FC4C23" w:rsidRPr="0087043D">
        <w:t>as</w:t>
      </w:r>
      <w:r w:rsidR="00D612E0" w:rsidRPr="0087043D">
        <w:t xml:space="preserve"> not</w:t>
      </w:r>
      <w:r w:rsidRPr="0087043D">
        <w:t xml:space="preserve"> considered by DUSC.</w:t>
      </w:r>
      <w:r w:rsidR="00BC591F" w:rsidRPr="0087043D">
        <w:t xml:space="preserve"> </w:t>
      </w:r>
      <w:r w:rsidR="006F26B7" w:rsidRPr="0087043D">
        <w:t xml:space="preserve">The submission used an epidemiological approach </w:t>
      </w:r>
      <w:r w:rsidR="00A15FD5" w:rsidRPr="0087043D">
        <w:t>for the financial analysis.</w:t>
      </w:r>
      <w:r w:rsidR="006F26B7" w:rsidRPr="0087043D">
        <w:t xml:space="preserve"> The key inputs for the financial estimate are summarised in</w:t>
      </w:r>
      <w:r w:rsidR="005F0A9B" w:rsidRPr="0087043D">
        <w:t xml:space="preserve"> </w:t>
      </w:r>
      <w:r w:rsidR="00C71489" w:rsidRPr="0087043D">
        <w:t>Table 17</w:t>
      </w:r>
      <w:r w:rsidR="005F0A9B" w:rsidRPr="0087043D">
        <w:t>.</w:t>
      </w:r>
    </w:p>
    <w:p w:rsidR="006F26B7" w:rsidRPr="0087043D" w:rsidRDefault="006D57D9" w:rsidP="00FC6DEF">
      <w:pPr>
        <w:pStyle w:val="TableFigureHeading"/>
      </w:pPr>
      <w:bookmarkStart w:id="44" w:name="_Ref49517929"/>
      <w:r w:rsidRPr="0087043D">
        <w:t xml:space="preserve">Table </w:t>
      </w:r>
      <w:r w:rsidR="00C71489" w:rsidRPr="0087043D">
        <w:t>17</w:t>
      </w:r>
      <w:bookmarkEnd w:id="44"/>
      <w:r w:rsidRPr="0087043D">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1387"/>
        <w:gridCol w:w="417"/>
        <w:gridCol w:w="1032"/>
        <w:gridCol w:w="1390"/>
        <w:gridCol w:w="2945"/>
      </w:tblGrid>
      <w:tr w:rsidR="006F26B7" w:rsidRPr="008A0138" w:rsidTr="008A0138">
        <w:trPr>
          <w:tblHeader/>
        </w:trPr>
        <w:tc>
          <w:tcPr>
            <w:tcW w:w="1024" w:type="pct"/>
            <w:tcBorders>
              <w:bottom w:val="single" w:sz="4" w:space="0" w:color="auto"/>
            </w:tcBorders>
            <w:vAlign w:val="center"/>
          </w:tcPr>
          <w:p w:rsidR="006F26B7" w:rsidRPr="008A0138" w:rsidRDefault="006F26B7" w:rsidP="00FC6DEF">
            <w:pPr>
              <w:pStyle w:val="In-tableHeading"/>
              <w:jc w:val="center"/>
              <w:rPr>
                <w:szCs w:val="20"/>
                <w:lang w:val="en-AU"/>
              </w:rPr>
            </w:pPr>
            <w:r w:rsidRPr="008A0138">
              <w:rPr>
                <w:szCs w:val="20"/>
                <w:lang w:val="en-AU"/>
              </w:rPr>
              <w:t>Data</w:t>
            </w:r>
          </w:p>
        </w:tc>
        <w:tc>
          <w:tcPr>
            <w:tcW w:w="2343" w:type="pct"/>
            <w:gridSpan w:val="4"/>
            <w:tcBorders>
              <w:bottom w:val="single" w:sz="4" w:space="0" w:color="auto"/>
            </w:tcBorders>
            <w:vAlign w:val="center"/>
          </w:tcPr>
          <w:p w:rsidR="006F26B7" w:rsidRPr="008A0138" w:rsidRDefault="006F26B7" w:rsidP="00FC6DEF">
            <w:pPr>
              <w:pStyle w:val="In-tableHeading"/>
              <w:jc w:val="center"/>
              <w:rPr>
                <w:szCs w:val="20"/>
                <w:lang w:val="en-AU"/>
              </w:rPr>
            </w:pPr>
            <w:r w:rsidRPr="008A0138">
              <w:rPr>
                <w:szCs w:val="20"/>
                <w:lang w:val="en-AU"/>
              </w:rPr>
              <w:t>Value applied and source</w:t>
            </w:r>
          </w:p>
        </w:tc>
        <w:tc>
          <w:tcPr>
            <w:tcW w:w="1633" w:type="pct"/>
            <w:tcBorders>
              <w:bottom w:val="single" w:sz="4" w:space="0" w:color="auto"/>
            </w:tcBorders>
            <w:vAlign w:val="center"/>
          </w:tcPr>
          <w:p w:rsidR="006F26B7" w:rsidRPr="008A0138" w:rsidRDefault="006F26B7" w:rsidP="00FC6DEF">
            <w:pPr>
              <w:pStyle w:val="In-tableHeading"/>
              <w:jc w:val="center"/>
              <w:rPr>
                <w:szCs w:val="20"/>
                <w:lang w:val="en-AU"/>
              </w:rPr>
            </w:pPr>
            <w:r w:rsidRPr="008A0138">
              <w:rPr>
                <w:szCs w:val="20"/>
                <w:lang w:val="en-AU"/>
              </w:rPr>
              <w:t>Comment</w:t>
            </w:r>
          </w:p>
        </w:tc>
      </w:tr>
      <w:tr w:rsidR="006F26B7" w:rsidRPr="008A0138" w:rsidTr="008A0138">
        <w:trPr>
          <w:cantSplit/>
        </w:trPr>
        <w:tc>
          <w:tcPr>
            <w:tcW w:w="1024" w:type="pct"/>
            <w:tcBorders>
              <w:right w:val="nil"/>
            </w:tcBorders>
            <w:vAlign w:val="center"/>
          </w:tcPr>
          <w:p w:rsidR="006F26B7" w:rsidRPr="008A0138" w:rsidRDefault="006F26B7" w:rsidP="00FC6DEF">
            <w:pPr>
              <w:pStyle w:val="TableText0"/>
              <w:rPr>
                <w:b/>
                <w:szCs w:val="20"/>
              </w:rPr>
            </w:pPr>
            <w:r w:rsidRPr="008A0138">
              <w:rPr>
                <w:b/>
                <w:szCs w:val="20"/>
              </w:rPr>
              <w:t>Eligible population</w:t>
            </w:r>
          </w:p>
        </w:tc>
        <w:tc>
          <w:tcPr>
            <w:tcW w:w="1000" w:type="pct"/>
            <w:gridSpan w:val="2"/>
            <w:tcBorders>
              <w:left w:val="nil"/>
              <w:right w:val="nil"/>
            </w:tcBorders>
            <w:vAlign w:val="center"/>
          </w:tcPr>
          <w:p w:rsidR="006F26B7" w:rsidRPr="008A0138" w:rsidRDefault="006F26B7" w:rsidP="00FC6DEF">
            <w:pPr>
              <w:pStyle w:val="TableText0"/>
              <w:rPr>
                <w:szCs w:val="20"/>
              </w:rPr>
            </w:pPr>
          </w:p>
        </w:tc>
        <w:tc>
          <w:tcPr>
            <w:tcW w:w="1343" w:type="pct"/>
            <w:gridSpan w:val="2"/>
            <w:tcBorders>
              <w:left w:val="nil"/>
              <w:right w:val="nil"/>
            </w:tcBorders>
            <w:vAlign w:val="center"/>
          </w:tcPr>
          <w:p w:rsidR="006F26B7" w:rsidRPr="008A0138" w:rsidRDefault="006F26B7" w:rsidP="00FC6DEF">
            <w:pPr>
              <w:pStyle w:val="TableText0"/>
              <w:rPr>
                <w:szCs w:val="20"/>
              </w:rPr>
            </w:pPr>
          </w:p>
        </w:tc>
        <w:tc>
          <w:tcPr>
            <w:tcW w:w="1633" w:type="pct"/>
            <w:tcBorders>
              <w:left w:val="nil"/>
            </w:tcBorders>
            <w:vAlign w:val="center"/>
          </w:tcPr>
          <w:p w:rsidR="006F26B7" w:rsidRPr="008A0138" w:rsidRDefault="006F26B7" w:rsidP="00FC6DEF">
            <w:pPr>
              <w:pStyle w:val="TableText0"/>
              <w:rPr>
                <w:szCs w:val="20"/>
              </w:rPr>
            </w:pPr>
          </w:p>
        </w:tc>
      </w:tr>
      <w:tr w:rsidR="006F26B7" w:rsidRPr="008A0138" w:rsidTr="008A0138">
        <w:trPr>
          <w:cantSplit/>
        </w:trPr>
        <w:tc>
          <w:tcPr>
            <w:tcW w:w="1024" w:type="pct"/>
            <w:vAlign w:val="center"/>
          </w:tcPr>
          <w:p w:rsidR="006F26B7" w:rsidRPr="008A0138" w:rsidRDefault="006F26B7" w:rsidP="00FC6DEF">
            <w:pPr>
              <w:pStyle w:val="TableText0"/>
              <w:rPr>
                <w:szCs w:val="20"/>
              </w:rPr>
            </w:pPr>
            <w:r w:rsidRPr="008A0138">
              <w:rPr>
                <w:szCs w:val="20"/>
              </w:rPr>
              <w:t>Incidence of lung cancer</w:t>
            </w:r>
          </w:p>
        </w:tc>
        <w:tc>
          <w:tcPr>
            <w:tcW w:w="2343" w:type="pct"/>
            <w:gridSpan w:val="4"/>
            <w:vAlign w:val="center"/>
          </w:tcPr>
          <w:p w:rsidR="006F26B7" w:rsidRPr="008A0138" w:rsidRDefault="006F26B7" w:rsidP="00FC6DEF">
            <w:pPr>
              <w:pStyle w:val="TableText0"/>
              <w:rPr>
                <w:szCs w:val="20"/>
              </w:rPr>
            </w:pPr>
            <w:r w:rsidRPr="008A0138">
              <w:rPr>
                <w:szCs w:val="20"/>
              </w:rPr>
              <w:t>49.4/100,000 persons (ACIM lung cancer workbook)</w:t>
            </w:r>
          </w:p>
        </w:tc>
        <w:tc>
          <w:tcPr>
            <w:tcW w:w="1633" w:type="pct"/>
            <w:vAlign w:val="center"/>
          </w:tcPr>
          <w:p w:rsidR="006F26B7" w:rsidRPr="008A0138" w:rsidRDefault="006F26B7" w:rsidP="00FC6DEF">
            <w:pPr>
              <w:pStyle w:val="TableText0"/>
              <w:rPr>
                <w:szCs w:val="20"/>
                <w:vertAlign w:val="superscript"/>
              </w:rPr>
            </w:pPr>
            <w:r w:rsidRPr="008A0138">
              <w:rPr>
                <w:szCs w:val="20"/>
              </w:rPr>
              <w:t xml:space="preserve">Possibly overestimate. In ‘Cancer in Australia 2019’ (AIHW), the estimated incidence of lung cancer was 41.2/100,000 </w:t>
            </w:r>
            <w:proofErr w:type="spellStart"/>
            <w:r w:rsidRPr="008A0138">
              <w:rPr>
                <w:szCs w:val="20"/>
              </w:rPr>
              <w:t>persons</w:t>
            </w:r>
            <w:r w:rsidRPr="008A0138">
              <w:rPr>
                <w:szCs w:val="20"/>
                <w:vertAlign w:val="superscript"/>
              </w:rPr>
              <w:t>a</w:t>
            </w:r>
            <w:proofErr w:type="spellEnd"/>
          </w:p>
        </w:tc>
      </w:tr>
      <w:tr w:rsidR="006F26B7" w:rsidRPr="008A0138" w:rsidTr="008A0138">
        <w:trPr>
          <w:cantSplit/>
        </w:trPr>
        <w:tc>
          <w:tcPr>
            <w:tcW w:w="1024" w:type="pct"/>
            <w:vAlign w:val="center"/>
          </w:tcPr>
          <w:p w:rsidR="006F26B7" w:rsidRPr="008A0138" w:rsidRDefault="006F26B7" w:rsidP="00FC6DEF">
            <w:pPr>
              <w:pStyle w:val="TableText0"/>
              <w:rPr>
                <w:szCs w:val="20"/>
              </w:rPr>
            </w:pPr>
            <w:r w:rsidRPr="008A0138">
              <w:rPr>
                <w:szCs w:val="20"/>
              </w:rPr>
              <w:t>% meeting other PBS criteria</w:t>
            </w:r>
          </w:p>
        </w:tc>
        <w:tc>
          <w:tcPr>
            <w:tcW w:w="2343" w:type="pct"/>
            <w:gridSpan w:val="4"/>
            <w:vAlign w:val="center"/>
          </w:tcPr>
          <w:p w:rsidR="006F26B7" w:rsidRPr="008A0138" w:rsidRDefault="006F26B7" w:rsidP="00FC6DEF">
            <w:pPr>
              <w:pStyle w:val="TableText0"/>
              <w:rPr>
                <w:szCs w:val="20"/>
              </w:rPr>
            </w:pPr>
            <w:r w:rsidRPr="008A0138">
              <w:rPr>
                <w:szCs w:val="20"/>
              </w:rPr>
              <w:t>86.6% of lung cancer is NSCLC (AIHW 2011)</w:t>
            </w:r>
          </w:p>
          <w:p w:rsidR="006F26B7" w:rsidRPr="008A0138" w:rsidRDefault="006F26B7" w:rsidP="00FC6DEF">
            <w:pPr>
              <w:pStyle w:val="TableText0"/>
              <w:rPr>
                <w:szCs w:val="20"/>
              </w:rPr>
            </w:pPr>
            <w:r w:rsidRPr="008A0138">
              <w:rPr>
                <w:szCs w:val="20"/>
              </w:rPr>
              <w:t>51.5% Stage IV (Mitchell 2013)</w:t>
            </w:r>
          </w:p>
          <w:p w:rsidR="006F26B7" w:rsidRPr="008A0138" w:rsidRDefault="006F26B7" w:rsidP="00FC6DEF">
            <w:pPr>
              <w:pStyle w:val="TableText0"/>
              <w:rPr>
                <w:szCs w:val="20"/>
              </w:rPr>
            </w:pPr>
            <w:r w:rsidRPr="008A0138">
              <w:rPr>
                <w:szCs w:val="20"/>
              </w:rPr>
              <w:t>77.6% non-squamous, 22.4% squamous (</w:t>
            </w:r>
            <w:proofErr w:type="spellStart"/>
            <w:r w:rsidRPr="008A0138">
              <w:rPr>
                <w:szCs w:val="20"/>
              </w:rPr>
              <w:t>PIvOTAL</w:t>
            </w:r>
            <w:proofErr w:type="spellEnd"/>
            <w:r w:rsidRPr="008A0138">
              <w:rPr>
                <w:szCs w:val="20"/>
              </w:rPr>
              <w:t xml:space="preserve"> study) </w:t>
            </w:r>
          </w:p>
          <w:p w:rsidR="006F26B7" w:rsidRPr="008A0138" w:rsidRDefault="006F26B7" w:rsidP="00FC6DEF">
            <w:pPr>
              <w:pStyle w:val="TableText0"/>
              <w:rPr>
                <w:szCs w:val="20"/>
              </w:rPr>
            </w:pPr>
            <w:r w:rsidRPr="008A0138">
              <w:rPr>
                <w:szCs w:val="20"/>
              </w:rPr>
              <w:t xml:space="preserve">18.1% EGFR/ALK/ROS1 positive (Table 19, </w:t>
            </w:r>
            <w:proofErr w:type="spellStart"/>
            <w:r w:rsidRPr="008A0138">
              <w:rPr>
                <w:szCs w:val="20"/>
              </w:rPr>
              <w:t>Pembrolizumab</w:t>
            </w:r>
            <w:proofErr w:type="spellEnd"/>
            <w:r w:rsidRPr="008A0138">
              <w:rPr>
                <w:szCs w:val="20"/>
              </w:rPr>
              <w:t xml:space="preserve"> PSD, July 2019 PBAC Meeting).</w:t>
            </w:r>
          </w:p>
          <w:p w:rsidR="00D6370D" w:rsidRPr="008A0138" w:rsidRDefault="00D6370D" w:rsidP="00FC6DEF">
            <w:pPr>
              <w:pStyle w:val="TableText0"/>
              <w:rPr>
                <w:szCs w:val="20"/>
              </w:rPr>
            </w:pPr>
            <w:r w:rsidRPr="008A0138">
              <w:rPr>
                <w:szCs w:val="20"/>
              </w:rPr>
              <w:t>63.3% ECOG PS 0-1 (Mitchell 2013)</w:t>
            </w:r>
          </w:p>
        </w:tc>
        <w:tc>
          <w:tcPr>
            <w:tcW w:w="1633" w:type="pct"/>
            <w:vAlign w:val="center"/>
          </w:tcPr>
          <w:p w:rsidR="006F26B7" w:rsidRPr="008A0138" w:rsidRDefault="00D6370D" w:rsidP="00FC6DEF">
            <w:pPr>
              <w:pStyle w:val="TableText0"/>
              <w:rPr>
                <w:szCs w:val="20"/>
              </w:rPr>
            </w:pPr>
            <w:r w:rsidRPr="008A0138">
              <w:rPr>
                <w:szCs w:val="20"/>
              </w:rPr>
              <w:t>The requested restriction does not exclude use in patients with ROS1 mutation.</w:t>
            </w:r>
          </w:p>
          <w:p w:rsidR="00D6370D" w:rsidRPr="008A0138" w:rsidRDefault="00D6370D" w:rsidP="00FC6DEF">
            <w:pPr>
              <w:keepNext/>
              <w:spacing w:after="40"/>
              <w:jc w:val="left"/>
              <w:rPr>
                <w:rFonts w:ascii="Arial Narrow" w:hAnsi="Arial Narrow"/>
                <w:sz w:val="20"/>
                <w:szCs w:val="20"/>
              </w:rPr>
            </w:pPr>
            <w:proofErr w:type="spellStart"/>
            <w:r w:rsidRPr="008A0138">
              <w:rPr>
                <w:rFonts w:ascii="Arial Narrow" w:hAnsi="Arial Narrow"/>
                <w:sz w:val="20"/>
                <w:szCs w:val="20"/>
              </w:rPr>
              <w:t>DUSC</w:t>
            </w:r>
            <w:r w:rsidRPr="008A0138">
              <w:rPr>
                <w:rFonts w:ascii="Arial Narrow" w:hAnsi="Arial Narrow"/>
                <w:sz w:val="20"/>
                <w:szCs w:val="20"/>
                <w:vertAlign w:val="superscript"/>
              </w:rPr>
              <w:t>b</w:t>
            </w:r>
            <w:proofErr w:type="spellEnd"/>
            <w:r w:rsidRPr="008A0138">
              <w:rPr>
                <w:rFonts w:ascii="Arial Narrow" w:hAnsi="Arial Narrow"/>
                <w:sz w:val="20"/>
                <w:szCs w:val="20"/>
              </w:rPr>
              <w:t xml:space="preserve"> estimated that the prevalence of EGFR mutations in the tested and treated NSCLC population in 2015-2016 was 17.9%, therefore the proportion of patients with EGFR, ALK or ROS1 mutation may be an underestimate. </w:t>
            </w:r>
          </w:p>
        </w:tc>
      </w:tr>
      <w:tr w:rsidR="00D6370D" w:rsidRPr="008A0138" w:rsidTr="008A0138">
        <w:trPr>
          <w:cantSplit/>
        </w:trPr>
        <w:tc>
          <w:tcPr>
            <w:tcW w:w="1024" w:type="pct"/>
            <w:tcBorders>
              <w:bottom w:val="single" w:sz="4" w:space="0" w:color="auto"/>
            </w:tcBorders>
            <w:vAlign w:val="center"/>
          </w:tcPr>
          <w:p w:rsidR="00D6370D" w:rsidRPr="008A0138" w:rsidRDefault="00D6370D" w:rsidP="00B761AF">
            <w:pPr>
              <w:pStyle w:val="TableText0"/>
              <w:keepNext w:val="0"/>
              <w:rPr>
                <w:szCs w:val="20"/>
              </w:rPr>
            </w:pPr>
            <w:r w:rsidRPr="008A0138">
              <w:rPr>
                <w:szCs w:val="20"/>
              </w:rPr>
              <w:t>Grandfathered patients</w:t>
            </w:r>
          </w:p>
        </w:tc>
        <w:tc>
          <w:tcPr>
            <w:tcW w:w="2343" w:type="pct"/>
            <w:gridSpan w:val="4"/>
            <w:tcBorders>
              <w:bottom w:val="single" w:sz="4" w:space="0" w:color="auto"/>
            </w:tcBorders>
            <w:vAlign w:val="center"/>
          </w:tcPr>
          <w:p w:rsidR="00D6370D" w:rsidRPr="008A0138" w:rsidRDefault="00D6370D" w:rsidP="00B761AF">
            <w:pPr>
              <w:pStyle w:val="TableText0"/>
              <w:keepNext w:val="0"/>
              <w:rPr>
                <w:szCs w:val="20"/>
              </w:rPr>
            </w:pPr>
            <w:r w:rsidRPr="008A0138">
              <w:rPr>
                <w:szCs w:val="20"/>
              </w:rPr>
              <w:t>Equivalent patients at full duration of therapy:</w:t>
            </w:r>
          </w:p>
          <w:p w:rsidR="00D6370D" w:rsidRPr="008A0138" w:rsidRDefault="00D6370D" w:rsidP="002438E1">
            <w:pPr>
              <w:pStyle w:val="TableText0"/>
              <w:keepNext w:val="0"/>
              <w:rPr>
                <w:szCs w:val="20"/>
              </w:rPr>
            </w:pPr>
            <w:proofErr w:type="spellStart"/>
            <w:r w:rsidRPr="008A0138">
              <w:rPr>
                <w:szCs w:val="20"/>
              </w:rPr>
              <w:t>Yr</w:t>
            </w:r>
            <w:proofErr w:type="spellEnd"/>
            <w:r w:rsidRPr="008A0138">
              <w:rPr>
                <w:szCs w:val="20"/>
              </w:rPr>
              <w:t xml:space="preserve"> 1: </w:t>
            </w:r>
            <w:r w:rsidR="002438E1">
              <w:rPr>
                <w:szCs w:val="20"/>
              </w:rPr>
              <w:t>&lt;500</w:t>
            </w:r>
            <w:r w:rsidR="002438E1" w:rsidRPr="002438E1">
              <w:rPr>
                <w:szCs w:val="20"/>
                <w:vertAlign w:val="superscript"/>
              </w:rPr>
              <w:t>1</w:t>
            </w:r>
            <w:r w:rsidRPr="008A0138">
              <w:rPr>
                <w:szCs w:val="20"/>
              </w:rPr>
              <w:t xml:space="preserve"> Assumption </w:t>
            </w:r>
          </w:p>
        </w:tc>
        <w:tc>
          <w:tcPr>
            <w:tcW w:w="1633" w:type="pct"/>
            <w:tcBorders>
              <w:bottom w:val="single" w:sz="4" w:space="0" w:color="auto"/>
            </w:tcBorders>
            <w:vAlign w:val="center"/>
          </w:tcPr>
          <w:p w:rsidR="00D6370D" w:rsidRPr="008A0138" w:rsidRDefault="00D47D8B" w:rsidP="00D47D8B">
            <w:pPr>
              <w:pStyle w:val="TableText0"/>
              <w:keepNext w:val="0"/>
              <w:rPr>
                <w:szCs w:val="20"/>
              </w:rPr>
            </w:pPr>
            <w:r w:rsidRPr="008A0138">
              <w:rPr>
                <w:szCs w:val="20"/>
              </w:rPr>
              <w:t>Affects estimates in Year 1 only. This estimate was highly uncertain.</w:t>
            </w:r>
          </w:p>
        </w:tc>
      </w:tr>
      <w:tr w:rsidR="006F26B7" w:rsidRPr="008A0138" w:rsidTr="008A0138">
        <w:trPr>
          <w:cantSplit/>
        </w:trPr>
        <w:tc>
          <w:tcPr>
            <w:tcW w:w="1024" w:type="pct"/>
            <w:tcBorders>
              <w:right w:val="nil"/>
            </w:tcBorders>
            <w:vAlign w:val="center"/>
          </w:tcPr>
          <w:p w:rsidR="006F26B7" w:rsidRPr="008A0138" w:rsidRDefault="006F26B7" w:rsidP="00B761AF">
            <w:pPr>
              <w:pStyle w:val="TableText0"/>
              <w:keepNext w:val="0"/>
              <w:rPr>
                <w:szCs w:val="20"/>
              </w:rPr>
            </w:pPr>
            <w:r w:rsidRPr="008A0138">
              <w:rPr>
                <w:b/>
                <w:szCs w:val="20"/>
              </w:rPr>
              <w:t>Treatment utilisation</w:t>
            </w:r>
          </w:p>
        </w:tc>
        <w:tc>
          <w:tcPr>
            <w:tcW w:w="1000" w:type="pct"/>
            <w:gridSpan w:val="2"/>
            <w:tcBorders>
              <w:left w:val="nil"/>
              <w:right w:val="nil"/>
            </w:tcBorders>
            <w:vAlign w:val="center"/>
          </w:tcPr>
          <w:p w:rsidR="006F26B7" w:rsidRPr="008A0138" w:rsidRDefault="006F26B7" w:rsidP="00B761AF">
            <w:pPr>
              <w:pStyle w:val="TableText0"/>
              <w:keepNext w:val="0"/>
              <w:rPr>
                <w:szCs w:val="20"/>
              </w:rPr>
            </w:pPr>
          </w:p>
        </w:tc>
        <w:tc>
          <w:tcPr>
            <w:tcW w:w="1343" w:type="pct"/>
            <w:gridSpan w:val="2"/>
            <w:tcBorders>
              <w:left w:val="nil"/>
              <w:right w:val="nil"/>
            </w:tcBorders>
            <w:vAlign w:val="center"/>
          </w:tcPr>
          <w:p w:rsidR="006F26B7" w:rsidRPr="008A0138" w:rsidRDefault="006F26B7" w:rsidP="00B761AF">
            <w:pPr>
              <w:pStyle w:val="TableText0"/>
              <w:keepNext w:val="0"/>
              <w:rPr>
                <w:szCs w:val="20"/>
              </w:rPr>
            </w:pPr>
          </w:p>
        </w:tc>
        <w:tc>
          <w:tcPr>
            <w:tcW w:w="1633" w:type="pct"/>
            <w:tcBorders>
              <w:left w:val="nil"/>
            </w:tcBorders>
            <w:vAlign w:val="center"/>
          </w:tcPr>
          <w:p w:rsidR="006F26B7" w:rsidRPr="008A0138" w:rsidRDefault="006F26B7" w:rsidP="00B761AF">
            <w:pPr>
              <w:pStyle w:val="TableText0"/>
              <w:keepNext w:val="0"/>
              <w:rPr>
                <w:szCs w:val="20"/>
              </w:rPr>
            </w:pPr>
          </w:p>
        </w:tc>
      </w:tr>
      <w:tr w:rsidR="00B761AF" w:rsidRPr="008A0138" w:rsidTr="008A0138">
        <w:trPr>
          <w:cantSplit/>
        </w:trPr>
        <w:tc>
          <w:tcPr>
            <w:tcW w:w="1024" w:type="pct"/>
            <w:vAlign w:val="center"/>
          </w:tcPr>
          <w:p w:rsidR="00B761AF" w:rsidRPr="008A0138" w:rsidRDefault="00B761AF" w:rsidP="00B761AF">
            <w:pPr>
              <w:pStyle w:val="TableText0"/>
              <w:keepNext w:val="0"/>
              <w:rPr>
                <w:szCs w:val="20"/>
              </w:rPr>
            </w:pPr>
            <w:r w:rsidRPr="008A0138">
              <w:rPr>
                <w:szCs w:val="20"/>
              </w:rPr>
              <w:t>Proportion electing treatment</w:t>
            </w:r>
          </w:p>
        </w:tc>
        <w:tc>
          <w:tcPr>
            <w:tcW w:w="2343" w:type="pct"/>
            <w:gridSpan w:val="4"/>
            <w:tcBorders>
              <w:bottom w:val="single" w:sz="4" w:space="0" w:color="auto"/>
            </w:tcBorders>
            <w:vAlign w:val="center"/>
          </w:tcPr>
          <w:p w:rsidR="00B761AF" w:rsidRPr="008A0138" w:rsidRDefault="007355BA" w:rsidP="00B761AF">
            <w:pPr>
              <w:pStyle w:val="TableText0"/>
              <w:keepNext w:val="0"/>
              <w:rPr>
                <w:szCs w:val="20"/>
              </w:rPr>
            </w:pPr>
            <w:r w:rsidRPr="008A0138">
              <w:rPr>
                <w:szCs w:val="20"/>
              </w:rPr>
              <w:t>95%. As</w:t>
            </w:r>
            <w:r w:rsidR="00B761AF" w:rsidRPr="008A0138">
              <w:rPr>
                <w:szCs w:val="20"/>
              </w:rPr>
              <w:t>sumption</w:t>
            </w:r>
          </w:p>
        </w:tc>
        <w:tc>
          <w:tcPr>
            <w:tcW w:w="1633" w:type="pct"/>
            <w:vMerge w:val="restart"/>
            <w:vAlign w:val="center"/>
          </w:tcPr>
          <w:p w:rsidR="00B761AF" w:rsidRPr="008A0138" w:rsidRDefault="000B4873" w:rsidP="000B4873">
            <w:pPr>
              <w:pStyle w:val="TableText0"/>
              <w:keepNext w:val="0"/>
              <w:rPr>
                <w:szCs w:val="20"/>
              </w:rPr>
            </w:pPr>
            <w:r w:rsidRPr="008A0138">
              <w:rPr>
                <w:szCs w:val="20"/>
              </w:rPr>
              <w:t>These inputs were highly uncertain.</w:t>
            </w:r>
            <w:r w:rsidR="00BC01BF" w:rsidRPr="008A0138">
              <w:rPr>
                <w:szCs w:val="20"/>
              </w:rPr>
              <w:t xml:space="preserve"> The submission did not give any justification for the assumed market share of </w:t>
            </w:r>
            <w:proofErr w:type="spellStart"/>
            <w:r w:rsidR="00BC01BF" w:rsidRPr="008A0138">
              <w:rPr>
                <w:szCs w:val="20"/>
              </w:rPr>
              <w:t>NIVO+IPI+platinum</w:t>
            </w:r>
            <w:proofErr w:type="spellEnd"/>
            <w:r w:rsidR="00BC01BF" w:rsidRPr="008A0138">
              <w:rPr>
                <w:szCs w:val="20"/>
              </w:rPr>
              <w:t>.</w:t>
            </w:r>
          </w:p>
        </w:tc>
      </w:tr>
      <w:tr w:rsidR="00B761AF" w:rsidRPr="008A0138" w:rsidTr="008A0138">
        <w:trPr>
          <w:cantSplit/>
        </w:trPr>
        <w:tc>
          <w:tcPr>
            <w:tcW w:w="1024" w:type="pct"/>
            <w:vAlign w:val="center"/>
          </w:tcPr>
          <w:p w:rsidR="00B761AF" w:rsidRPr="008A0138" w:rsidRDefault="00B761AF" w:rsidP="00B761AF">
            <w:pPr>
              <w:pStyle w:val="TableText0"/>
              <w:keepNext w:val="0"/>
              <w:rPr>
                <w:szCs w:val="20"/>
              </w:rPr>
            </w:pPr>
            <w:r w:rsidRPr="008A0138">
              <w:rPr>
                <w:szCs w:val="20"/>
              </w:rPr>
              <w:t xml:space="preserve">Market share </w:t>
            </w:r>
            <w:proofErr w:type="spellStart"/>
            <w:r w:rsidRPr="008A0138">
              <w:rPr>
                <w:szCs w:val="20"/>
              </w:rPr>
              <w:t>NIVO+IPI+platinum</w:t>
            </w:r>
            <w:proofErr w:type="spellEnd"/>
            <w:r w:rsidRPr="008A0138">
              <w:rPr>
                <w:szCs w:val="20"/>
              </w:rPr>
              <w:t xml:space="preserve"> </w:t>
            </w:r>
          </w:p>
        </w:tc>
        <w:tc>
          <w:tcPr>
            <w:tcW w:w="1000" w:type="pct"/>
            <w:gridSpan w:val="2"/>
            <w:tcBorders>
              <w:right w:val="nil"/>
            </w:tcBorders>
            <w:vAlign w:val="center"/>
          </w:tcPr>
          <w:p w:rsidR="00B761AF" w:rsidRPr="008A0138" w:rsidRDefault="00B761AF" w:rsidP="00B761AF">
            <w:pPr>
              <w:pStyle w:val="TableText0"/>
              <w:keepNext w:val="0"/>
              <w:rPr>
                <w:szCs w:val="20"/>
              </w:rPr>
            </w:pPr>
            <w:r w:rsidRPr="008A0138">
              <w:rPr>
                <w:szCs w:val="20"/>
              </w:rPr>
              <w:t>Non-squamous: 15%</w:t>
            </w:r>
          </w:p>
          <w:p w:rsidR="00B761AF" w:rsidRPr="008A0138" w:rsidRDefault="00B761AF" w:rsidP="00B761AF">
            <w:pPr>
              <w:pStyle w:val="TableText0"/>
              <w:keepNext w:val="0"/>
              <w:rPr>
                <w:szCs w:val="20"/>
              </w:rPr>
            </w:pPr>
            <w:r w:rsidRPr="008A0138">
              <w:rPr>
                <w:szCs w:val="20"/>
              </w:rPr>
              <w:t>Squamous: 20%</w:t>
            </w:r>
          </w:p>
        </w:tc>
        <w:tc>
          <w:tcPr>
            <w:tcW w:w="1343" w:type="pct"/>
            <w:gridSpan w:val="2"/>
            <w:tcBorders>
              <w:left w:val="nil"/>
            </w:tcBorders>
            <w:vAlign w:val="center"/>
          </w:tcPr>
          <w:p w:rsidR="00B761AF" w:rsidRPr="008A0138" w:rsidRDefault="00B761AF" w:rsidP="00B761AF">
            <w:pPr>
              <w:pStyle w:val="TableText0"/>
              <w:keepNext w:val="0"/>
              <w:rPr>
                <w:szCs w:val="20"/>
              </w:rPr>
            </w:pPr>
            <w:r w:rsidRPr="008A0138">
              <w:rPr>
                <w:szCs w:val="20"/>
              </w:rPr>
              <w:t>Assumption</w:t>
            </w:r>
          </w:p>
        </w:tc>
        <w:tc>
          <w:tcPr>
            <w:tcW w:w="1633" w:type="pct"/>
            <w:vMerge/>
            <w:vAlign w:val="center"/>
          </w:tcPr>
          <w:p w:rsidR="00B761AF" w:rsidRPr="008A0138" w:rsidRDefault="00B761AF" w:rsidP="00B761AF">
            <w:pPr>
              <w:pStyle w:val="TableText0"/>
              <w:keepNext w:val="0"/>
              <w:rPr>
                <w:szCs w:val="20"/>
              </w:rPr>
            </w:pPr>
          </w:p>
        </w:tc>
      </w:tr>
      <w:tr w:rsidR="00D6370D" w:rsidRPr="008A0138" w:rsidTr="008A0138">
        <w:trPr>
          <w:cantSplit/>
        </w:trPr>
        <w:tc>
          <w:tcPr>
            <w:tcW w:w="1024" w:type="pct"/>
            <w:vAlign w:val="center"/>
          </w:tcPr>
          <w:p w:rsidR="00D6370D" w:rsidRPr="008A0138" w:rsidRDefault="00D6370D" w:rsidP="00B761AF">
            <w:pPr>
              <w:pStyle w:val="TableText0"/>
              <w:keepNext w:val="0"/>
              <w:rPr>
                <w:szCs w:val="20"/>
              </w:rPr>
            </w:pPr>
            <w:r w:rsidRPr="008A0138">
              <w:rPr>
                <w:szCs w:val="20"/>
              </w:rPr>
              <w:t>Doses per patient per course</w:t>
            </w:r>
          </w:p>
        </w:tc>
        <w:tc>
          <w:tcPr>
            <w:tcW w:w="2343" w:type="pct"/>
            <w:gridSpan w:val="4"/>
            <w:vAlign w:val="center"/>
          </w:tcPr>
          <w:p w:rsidR="00D6370D" w:rsidRPr="008A0138" w:rsidRDefault="00D6370D" w:rsidP="00B761AF">
            <w:pPr>
              <w:pStyle w:val="TableText0"/>
              <w:keepNext w:val="0"/>
              <w:rPr>
                <w:szCs w:val="20"/>
              </w:rPr>
            </w:pPr>
            <w:r w:rsidRPr="008A0138">
              <w:rPr>
                <w:szCs w:val="20"/>
              </w:rPr>
              <w:t xml:space="preserve">Mean number of doses from trials. See </w:t>
            </w:r>
            <w:r w:rsidR="00C71489" w:rsidRPr="008A0138">
              <w:rPr>
                <w:szCs w:val="20"/>
              </w:rPr>
              <w:t>Table 11</w:t>
            </w:r>
            <w:r w:rsidRPr="008A0138">
              <w:rPr>
                <w:szCs w:val="20"/>
              </w:rPr>
              <w:t>.</w:t>
            </w:r>
          </w:p>
        </w:tc>
        <w:tc>
          <w:tcPr>
            <w:tcW w:w="1633" w:type="pct"/>
            <w:vAlign w:val="center"/>
          </w:tcPr>
          <w:p w:rsidR="00D6370D" w:rsidRPr="008A0138" w:rsidRDefault="00B761AF" w:rsidP="00D6370D">
            <w:pPr>
              <w:pStyle w:val="TableText0"/>
              <w:keepNext w:val="0"/>
              <w:rPr>
                <w:szCs w:val="20"/>
              </w:rPr>
            </w:pPr>
            <w:r w:rsidRPr="008A0138">
              <w:rPr>
                <w:szCs w:val="20"/>
              </w:rPr>
              <w:t>The mean number of doses of each drug was consistent with the CMA.</w:t>
            </w:r>
          </w:p>
          <w:p w:rsidR="007355BA" w:rsidRPr="008A0138" w:rsidRDefault="007355BA" w:rsidP="007355BA">
            <w:pPr>
              <w:pStyle w:val="TableText0"/>
              <w:keepNext w:val="0"/>
              <w:rPr>
                <w:szCs w:val="20"/>
              </w:rPr>
            </w:pPr>
            <w:r w:rsidRPr="008A0138">
              <w:rPr>
                <w:szCs w:val="20"/>
              </w:rPr>
              <w:t>The use of the truncated mean duration of treatment from the trials was discussed above.</w:t>
            </w:r>
          </w:p>
        </w:tc>
      </w:tr>
      <w:tr w:rsidR="00B761AF" w:rsidRPr="008A0138" w:rsidTr="008A0138">
        <w:trPr>
          <w:cantSplit/>
        </w:trPr>
        <w:tc>
          <w:tcPr>
            <w:tcW w:w="1024" w:type="pct"/>
            <w:vAlign w:val="center"/>
          </w:tcPr>
          <w:p w:rsidR="00B761AF" w:rsidRPr="008A0138" w:rsidRDefault="00B761AF" w:rsidP="00B761AF">
            <w:pPr>
              <w:pStyle w:val="TableText0"/>
              <w:keepNext w:val="0"/>
              <w:rPr>
                <w:szCs w:val="20"/>
              </w:rPr>
            </w:pPr>
            <w:r w:rsidRPr="008A0138">
              <w:rPr>
                <w:szCs w:val="20"/>
              </w:rPr>
              <w:t>Number of infusions</w:t>
            </w:r>
          </w:p>
        </w:tc>
        <w:tc>
          <w:tcPr>
            <w:tcW w:w="2343" w:type="pct"/>
            <w:gridSpan w:val="4"/>
            <w:vAlign w:val="center"/>
          </w:tcPr>
          <w:p w:rsidR="00B761AF" w:rsidRPr="008A0138" w:rsidRDefault="00B761AF" w:rsidP="00B761AF">
            <w:pPr>
              <w:pStyle w:val="TableText0"/>
              <w:keepNext w:val="0"/>
              <w:rPr>
                <w:szCs w:val="20"/>
              </w:rPr>
            </w:pPr>
            <w:r w:rsidRPr="008A0138">
              <w:rPr>
                <w:szCs w:val="20"/>
              </w:rPr>
              <w:t xml:space="preserve">MBS item </w:t>
            </w:r>
            <w:r w:rsidR="001D5082" w:rsidRPr="008A0138">
              <w:rPr>
                <w:szCs w:val="20"/>
              </w:rPr>
              <w:t>13918 (1-6 hrs)/MBS item 13915 (&lt; 1 h</w:t>
            </w:r>
            <w:r w:rsidRPr="008A0138">
              <w:rPr>
                <w:szCs w:val="20"/>
              </w:rPr>
              <w:t>r)</w:t>
            </w:r>
          </w:p>
          <w:p w:rsidR="00B761AF" w:rsidRPr="008A0138" w:rsidRDefault="00B761AF" w:rsidP="00B761AF">
            <w:pPr>
              <w:pStyle w:val="TableText0"/>
              <w:keepNext w:val="0"/>
              <w:rPr>
                <w:szCs w:val="20"/>
              </w:rPr>
            </w:pPr>
            <w:proofErr w:type="spellStart"/>
            <w:r w:rsidRPr="008A0138">
              <w:rPr>
                <w:szCs w:val="20"/>
              </w:rPr>
              <w:t>NIVO+IPI+platinum</w:t>
            </w:r>
            <w:proofErr w:type="spellEnd"/>
            <w:r w:rsidRPr="008A0138">
              <w:rPr>
                <w:szCs w:val="20"/>
              </w:rPr>
              <w:t xml:space="preserve">: </w:t>
            </w:r>
            <w:r w:rsidR="001D5082" w:rsidRPr="008A0138">
              <w:rPr>
                <w:szCs w:val="20"/>
              </w:rPr>
              <w:t>1.9 / 9.8</w:t>
            </w:r>
          </w:p>
          <w:p w:rsidR="001D5082" w:rsidRPr="008A0138" w:rsidRDefault="001D5082" w:rsidP="001D5082">
            <w:pPr>
              <w:pStyle w:val="TableText0"/>
              <w:keepNext w:val="0"/>
              <w:rPr>
                <w:szCs w:val="20"/>
                <w:vertAlign w:val="superscript"/>
              </w:rPr>
            </w:pPr>
            <w:proofErr w:type="spellStart"/>
            <w:r w:rsidRPr="008A0138">
              <w:rPr>
                <w:szCs w:val="20"/>
              </w:rPr>
              <w:t>Pembrolizumab+platinum</w:t>
            </w:r>
            <w:proofErr w:type="spellEnd"/>
            <w:r w:rsidRPr="008A0138">
              <w:rPr>
                <w:szCs w:val="20"/>
              </w:rPr>
              <w:t>: 3.6 / 9.23</w:t>
            </w:r>
            <w:r w:rsidRPr="008A0138">
              <w:rPr>
                <w:szCs w:val="20"/>
                <w:vertAlign w:val="superscript"/>
              </w:rPr>
              <w:t>c</w:t>
            </w:r>
          </w:p>
        </w:tc>
        <w:tc>
          <w:tcPr>
            <w:tcW w:w="1633" w:type="pct"/>
            <w:vAlign w:val="center"/>
          </w:tcPr>
          <w:p w:rsidR="00B761AF" w:rsidRPr="008A0138" w:rsidRDefault="00B85901" w:rsidP="00D6370D">
            <w:pPr>
              <w:pStyle w:val="TableText0"/>
              <w:keepNext w:val="0"/>
              <w:rPr>
                <w:szCs w:val="20"/>
              </w:rPr>
            </w:pPr>
            <w:r w:rsidRPr="008A0138">
              <w:rPr>
                <w:szCs w:val="20"/>
              </w:rPr>
              <w:t>This was consistent with the CMA.</w:t>
            </w:r>
          </w:p>
        </w:tc>
      </w:tr>
      <w:tr w:rsidR="006F26B7" w:rsidRPr="008A0138" w:rsidTr="008A0138">
        <w:trPr>
          <w:cantSplit/>
        </w:trPr>
        <w:tc>
          <w:tcPr>
            <w:tcW w:w="1024" w:type="pct"/>
            <w:tcBorders>
              <w:right w:val="nil"/>
            </w:tcBorders>
            <w:vAlign w:val="center"/>
          </w:tcPr>
          <w:p w:rsidR="006F26B7" w:rsidRPr="008A0138" w:rsidRDefault="006F26B7" w:rsidP="00B761AF">
            <w:pPr>
              <w:pStyle w:val="TableText0"/>
              <w:keepNext w:val="0"/>
              <w:rPr>
                <w:szCs w:val="20"/>
              </w:rPr>
            </w:pPr>
            <w:r w:rsidRPr="008A0138">
              <w:rPr>
                <w:b/>
                <w:szCs w:val="20"/>
              </w:rPr>
              <w:t>Costs</w:t>
            </w:r>
          </w:p>
        </w:tc>
        <w:tc>
          <w:tcPr>
            <w:tcW w:w="1000" w:type="pct"/>
            <w:gridSpan w:val="2"/>
            <w:tcBorders>
              <w:left w:val="nil"/>
              <w:right w:val="nil"/>
            </w:tcBorders>
            <w:vAlign w:val="center"/>
          </w:tcPr>
          <w:p w:rsidR="006F26B7" w:rsidRPr="008A0138" w:rsidRDefault="006F26B7" w:rsidP="00B761AF">
            <w:pPr>
              <w:pStyle w:val="TableText0"/>
              <w:keepNext w:val="0"/>
              <w:rPr>
                <w:szCs w:val="20"/>
              </w:rPr>
            </w:pPr>
          </w:p>
        </w:tc>
        <w:tc>
          <w:tcPr>
            <w:tcW w:w="1343" w:type="pct"/>
            <w:gridSpan w:val="2"/>
            <w:tcBorders>
              <w:left w:val="nil"/>
              <w:right w:val="nil"/>
            </w:tcBorders>
            <w:vAlign w:val="center"/>
          </w:tcPr>
          <w:p w:rsidR="006F26B7" w:rsidRPr="008A0138" w:rsidRDefault="006F26B7" w:rsidP="00B761AF">
            <w:pPr>
              <w:pStyle w:val="TableText0"/>
              <w:keepNext w:val="0"/>
              <w:rPr>
                <w:szCs w:val="20"/>
              </w:rPr>
            </w:pPr>
          </w:p>
        </w:tc>
        <w:tc>
          <w:tcPr>
            <w:tcW w:w="1633" w:type="pct"/>
            <w:tcBorders>
              <w:left w:val="nil"/>
            </w:tcBorders>
            <w:vAlign w:val="center"/>
          </w:tcPr>
          <w:p w:rsidR="006F26B7" w:rsidRPr="008A0138" w:rsidRDefault="006F26B7" w:rsidP="00B761AF">
            <w:pPr>
              <w:pStyle w:val="TableText0"/>
              <w:keepNext w:val="0"/>
              <w:rPr>
                <w:szCs w:val="20"/>
              </w:rPr>
            </w:pPr>
          </w:p>
        </w:tc>
      </w:tr>
      <w:tr w:rsidR="006F26B7" w:rsidRPr="008A0138" w:rsidTr="008A0138">
        <w:trPr>
          <w:cantSplit/>
        </w:trPr>
        <w:tc>
          <w:tcPr>
            <w:tcW w:w="1024" w:type="pct"/>
            <w:vAlign w:val="center"/>
          </w:tcPr>
          <w:p w:rsidR="006F26B7" w:rsidRPr="008A0138" w:rsidRDefault="006F26B7" w:rsidP="00B761AF">
            <w:pPr>
              <w:pStyle w:val="TableText0"/>
              <w:keepNext w:val="0"/>
              <w:rPr>
                <w:szCs w:val="20"/>
              </w:rPr>
            </w:pPr>
            <w:r w:rsidRPr="008A0138">
              <w:rPr>
                <w:szCs w:val="20"/>
              </w:rPr>
              <w:t>Private/public split</w:t>
            </w:r>
          </w:p>
        </w:tc>
        <w:tc>
          <w:tcPr>
            <w:tcW w:w="1000" w:type="pct"/>
            <w:gridSpan w:val="2"/>
            <w:vAlign w:val="center"/>
          </w:tcPr>
          <w:p w:rsidR="006F26B7" w:rsidRPr="008A0138" w:rsidRDefault="006F26B7" w:rsidP="00B761AF">
            <w:pPr>
              <w:pStyle w:val="TableText0"/>
              <w:keepNext w:val="0"/>
              <w:rPr>
                <w:szCs w:val="20"/>
              </w:rPr>
            </w:pPr>
            <w:r w:rsidRPr="008A0138">
              <w:rPr>
                <w:szCs w:val="20"/>
              </w:rPr>
              <w:t>68%/32%</w:t>
            </w:r>
          </w:p>
        </w:tc>
        <w:tc>
          <w:tcPr>
            <w:tcW w:w="1343" w:type="pct"/>
            <w:gridSpan w:val="2"/>
            <w:vMerge w:val="restart"/>
            <w:vAlign w:val="center"/>
          </w:tcPr>
          <w:p w:rsidR="006F26B7" w:rsidRPr="008A0138" w:rsidRDefault="006F26B7" w:rsidP="00B761AF">
            <w:pPr>
              <w:pStyle w:val="TableText0"/>
              <w:keepNext w:val="0"/>
              <w:rPr>
                <w:szCs w:val="20"/>
                <w:vertAlign w:val="superscript"/>
              </w:rPr>
            </w:pPr>
            <w:r w:rsidRPr="008A0138">
              <w:rPr>
                <w:szCs w:val="20"/>
              </w:rPr>
              <w:t xml:space="preserve">PBS statistics for </w:t>
            </w:r>
            <w:proofErr w:type="spellStart"/>
            <w:r w:rsidRPr="008A0138">
              <w:rPr>
                <w:szCs w:val="20"/>
              </w:rPr>
              <w:t>pembrolizumab+platinum</w:t>
            </w:r>
            <w:r w:rsidRPr="008A0138">
              <w:rPr>
                <w:szCs w:val="20"/>
                <w:vertAlign w:val="superscript"/>
              </w:rPr>
              <w:t>d</w:t>
            </w:r>
            <w:proofErr w:type="spellEnd"/>
          </w:p>
        </w:tc>
        <w:tc>
          <w:tcPr>
            <w:tcW w:w="1633" w:type="pct"/>
            <w:vMerge w:val="restart"/>
            <w:vAlign w:val="center"/>
          </w:tcPr>
          <w:p w:rsidR="006F26B7" w:rsidRPr="008A0138" w:rsidRDefault="006F26B7" w:rsidP="00E901B6">
            <w:pPr>
              <w:pStyle w:val="TableText0"/>
              <w:keepNext w:val="0"/>
              <w:rPr>
                <w:szCs w:val="20"/>
                <w:vertAlign w:val="superscript"/>
              </w:rPr>
            </w:pPr>
          </w:p>
        </w:tc>
      </w:tr>
      <w:tr w:rsidR="006F26B7" w:rsidRPr="008A0138" w:rsidTr="008A0138">
        <w:trPr>
          <w:cantSplit/>
        </w:trPr>
        <w:tc>
          <w:tcPr>
            <w:tcW w:w="1024" w:type="pct"/>
            <w:vAlign w:val="center"/>
          </w:tcPr>
          <w:p w:rsidR="006F26B7" w:rsidRPr="008A0138" w:rsidRDefault="006F26B7" w:rsidP="00B761AF">
            <w:pPr>
              <w:pStyle w:val="TableText0"/>
              <w:keepNext w:val="0"/>
              <w:rPr>
                <w:szCs w:val="20"/>
              </w:rPr>
            </w:pPr>
            <w:r w:rsidRPr="008A0138">
              <w:rPr>
                <w:szCs w:val="20"/>
              </w:rPr>
              <w:t>PBS/RPBS split</w:t>
            </w:r>
          </w:p>
        </w:tc>
        <w:tc>
          <w:tcPr>
            <w:tcW w:w="1000" w:type="pct"/>
            <w:gridSpan w:val="2"/>
            <w:vAlign w:val="center"/>
          </w:tcPr>
          <w:p w:rsidR="006F26B7" w:rsidRPr="008A0138" w:rsidRDefault="006F26B7" w:rsidP="00B761AF">
            <w:pPr>
              <w:pStyle w:val="TableText0"/>
              <w:keepNext w:val="0"/>
              <w:rPr>
                <w:szCs w:val="20"/>
              </w:rPr>
            </w:pPr>
            <w:r w:rsidRPr="008A0138">
              <w:rPr>
                <w:szCs w:val="20"/>
              </w:rPr>
              <w:t>98.6%/1.4%</w:t>
            </w:r>
          </w:p>
        </w:tc>
        <w:tc>
          <w:tcPr>
            <w:tcW w:w="1343" w:type="pct"/>
            <w:gridSpan w:val="2"/>
            <w:vMerge/>
            <w:vAlign w:val="center"/>
          </w:tcPr>
          <w:p w:rsidR="006F26B7" w:rsidRPr="008A0138" w:rsidRDefault="006F26B7" w:rsidP="00B761AF">
            <w:pPr>
              <w:pStyle w:val="TableText0"/>
              <w:keepNext w:val="0"/>
              <w:rPr>
                <w:szCs w:val="20"/>
              </w:rPr>
            </w:pPr>
          </w:p>
        </w:tc>
        <w:tc>
          <w:tcPr>
            <w:tcW w:w="1633" w:type="pct"/>
            <w:vMerge/>
            <w:vAlign w:val="center"/>
          </w:tcPr>
          <w:p w:rsidR="006F26B7" w:rsidRPr="008A0138" w:rsidRDefault="006F26B7" w:rsidP="00B761AF">
            <w:pPr>
              <w:pStyle w:val="TableText0"/>
              <w:keepNext w:val="0"/>
              <w:rPr>
                <w:szCs w:val="20"/>
              </w:rPr>
            </w:pPr>
          </w:p>
        </w:tc>
      </w:tr>
      <w:tr w:rsidR="006F26B7" w:rsidRPr="008A0138" w:rsidTr="008A0138">
        <w:trPr>
          <w:cantSplit/>
        </w:trPr>
        <w:tc>
          <w:tcPr>
            <w:tcW w:w="1024" w:type="pct"/>
            <w:vAlign w:val="center"/>
          </w:tcPr>
          <w:p w:rsidR="006F26B7" w:rsidRPr="008A0138" w:rsidRDefault="006F26B7" w:rsidP="00B761AF">
            <w:pPr>
              <w:pStyle w:val="TableText0"/>
              <w:keepNext w:val="0"/>
              <w:rPr>
                <w:szCs w:val="20"/>
              </w:rPr>
            </w:pPr>
            <w:r w:rsidRPr="008A0138">
              <w:rPr>
                <w:szCs w:val="20"/>
              </w:rPr>
              <w:t xml:space="preserve">Patient </w:t>
            </w:r>
            <w:proofErr w:type="spellStart"/>
            <w:r w:rsidRPr="008A0138">
              <w:rPr>
                <w:szCs w:val="20"/>
              </w:rPr>
              <w:t>copayment</w:t>
            </w:r>
            <w:proofErr w:type="spellEnd"/>
          </w:p>
        </w:tc>
        <w:tc>
          <w:tcPr>
            <w:tcW w:w="1000" w:type="pct"/>
            <w:gridSpan w:val="2"/>
            <w:vAlign w:val="center"/>
          </w:tcPr>
          <w:p w:rsidR="006F26B7" w:rsidRPr="008A0138" w:rsidRDefault="006F26B7" w:rsidP="00B761AF">
            <w:pPr>
              <w:pStyle w:val="TableText0"/>
              <w:keepNext w:val="0"/>
              <w:rPr>
                <w:szCs w:val="20"/>
              </w:rPr>
            </w:pPr>
            <w:r w:rsidRPr="008A0138">
              <w:rPr>
                <w:szCs w:val="20"/>
              </w:rPr>
              <w:t>PBS: $24.02</w:t>
            </w:r>
          </w:p>
          <w:p w:rsidR="006F26B7" w:rsidRPr="008A0138" w:rsidRDefault="006F26B7" w:rsidP="00B761AF">
            <w:pPr>
              <w:pStyle w:val="TableText0"/>
              <w:keepNext w:val="0"/>
              <w:rPr>
                <w:szCs w:val="20"/>
              </w:rPr>
            </w:pPr>
            <w:r w:rsidRPr="008A0138">
              <w:rPr>
                <w:szCs w:val="20"/>
              </w:rPr>
              <w:t>RPBS: $6.27</w:t>
            </w:r>
          </w:p>
        </w:tc>
        <w:tc>
          <w:tcPr>
            <w:tcW w:w="1343" w:type="pct"/>
            <w:gridSpan w:val="2"/>
            <w:vMerge/>
            <w:vAlign w:val="center"/>
          </w:tcPr>
          <w:p w:rsidR="006F26B7" w:rsidRPr="008A0138" w:rsidRDefault="006F26B7" w:rsidP="00B761AF">
            <w:pPr>
              <w:pStyle w:val="TableText0"/>
              <w:keepNext w:val="0"/>
              <w:rPr>
                <w:szCs w:val="20"/>
              </w:rPr>
            </w:pPr>
          </w:p>
        </w:tc>
        <w:tc>
          <w:tcPr>
            <w:tcW w:w="1633" w:type="pct"/>
            <w:vMerge/>
            <w:vAlign w:val="center"/>
          </w:tcPr>
          <w:p w:rsidR="006F26B7" w:rsidRPr="008A0138" w:rsidRDefault="006F26B7" w:rsidP="00B761AF">
            <w:pPr>
              <w:pStyle w:val="TableText0"/>
              <w:keepNext w:val="0"/>
              <w:rPr>
                <w:szCs w:val="20"/>
              </w:rPr>
            </w:pPr>
          </w:p>
        </w:tc>
      </w:tr>
      <w:tr w:rsidR="006D57D9" w:rsidRPr="008A0138" w:rsidTr="008A0138">
        <w:trPr>
          <w:cantSplit/>
        </w:trPr>
        <w:tc>
          <w:tcPr>
            <w:tcW w:w="1024" w:type="pct"/>
            <w:vAlign w:val="center"/>
          </w:tcPr>
          <w:p w:rsidR="006D57D9" w:rsidRPr="008A0138" w:rsidRDefault="006D57D9" w:rsidP="00B761AF">
            <w:pPr>
              <w:pStyle w:val="TableText0"/>
              <w:keepNext w:val="0"/>
              <w:rPr>
                <w:szCs w:val="20"/>
              </w:rPr>
            </w:pPr>
            <w:r w:rsidRPr="008A0138">
              <w:rPr>
                <w:szCs w:val="20"/>
              </w:rPr>
              <w:t>Drug costs</w:t>
            </w:r>
          </w:p>
        </w:tc>
        <w:tc>
          <w:tcPr>
            <w:tcW w:w="769" w:type="pct"/>
            <w:vAlign w:val="center"/>
          </w:tcPr>
          <w:p w:rsidR="006D57D9" w:rsidRPr="008A0138" w:rsidRDefault="006D57D9" w:rsidP="00EB21F0">
            <w:pPr>
              <w:pStyle w:val="TableText0"/>
              <w:keepNext w:val="0"/>
              <w:jc w:val="center"/>
              <w:rPr>
                <w:szCs w:val="20"/>
              </w:rPr>
            </w:pPr>
            <w:r w:rsidRPr="008A0138">
              <w:rPr>
                <w:szCs w:val="20"/>
              </w:rPr>
              <w:t>Dose</w:t>
            </w:r>
          </w:p>
        </w:tc>
        <w:tc>
          <w:tcPr>
            <w:tcW w:w="803" w:type="pct"/>
            <w:gridSpan w:val="2"/>
            <w:vAlign w:val="center"/>
          </w:tcPr>
          <w:p w:rsidR="006D57D9" w:rsidRPr="008A0138" w:rsidRDefault="006D57D9" w:rsidP="00EB21F0">
            <w:pPr>
              <w:pStyle w:val="TableText0"/>
              <w:keepNext w:val="0"/>
              <w:jc w:val="center"/>
              <w:rPr>
                <w:szCs w:val="20"/>
              </w:rPr>
            </w:pPr>
            <w:r w:rsidRPr="008A0138">
              <w:rPr>
                <w:szCs w:val="20"/>
              </w:rPr>
              <w:t>Weighted dispensed price (effective)</w:t>
            </w:r>
          </w:p>
        </w:tc>
        <w:tc>
          <w:tcPr>
            <w:tcW w:w="771" w:type="pct"/>
            <w:vAlign w:val="center"/>
          </w:tcPr>
          <w:p w:rsidR="006D57D9" w:rsidRPr="008A0138" w:rsidRDefault="006D57D9" w:rsidP="00EB21F0">
            <w:pPr>
              <w:pStyle w:val="TableText0"/>
              <w:keepNext w:val="0"/>
              <w:jc w:val="center"/>
              <w:rPr>
                <w:szCs w:val="20"/>
              </w:rPr>
            </w:pPr>
            <w:r w:rsidRPr="008A0138">
              <w:rPr>
                <w:szCs w:val="20"/>
              </w:rPr>
              <w:t>Weighted doses per course</w:t>
            </w:r>
          </w:p>
        </w:tc>
        <w:tc>
          <w:tcPr>
            <w:tcW w:w="1633" w:type="pct"/>
            <w:vAlign w:val="center"/>
          </w:tcPr>
          <w:p w:rsidR="006D57D9" w:rsidRPr="008A0138" w:rsidRDefault="006D57D9" w:rsidP="00B761AF">
            <w:pPr>
              <w:pStyle w:val="TableText0"/>
              <w:keepNext w:val="0"/>
              <w:rPr>
                <w:szCs w:val="20"/>
              </w:rPr>
            </w:pPr>
          </w:p>
        </w:tc>
      </w:tr>
      <w:tr w:rsidR="00E819CB" w:rsidRPr="008A0138" w:rsidTr="008A0138">
        <w:trPr>
          <w:cantSplit/>
        </w:trPr>
        <w:tc>
          <w:tcPr>
            <w:tcW w:w="1024" w:type="pct"/>
            <w:vAlign w:val="center"/>
          </w:tcPr>
          <w:p w:rsidR="00E819CB" w:rsidRPr="008A0138" w:rsidRDefault="00E819CB" w:rsidP="006D57D9">
            <w:pPr>
              <w:pStyle w:val="TableText0"/>
              <w:keepNext w:val="0"/>
              <w:rPr>
                <w:szCs w:val="20"/>
              </w:rPr>
            </w:pPr>
            <w:r w:rsidRPr="008A0138">
              <w:rPr>
                <w:szCs w:val="20"/>
              </w:rPr>
              <w:t xml:space="preserve">Nivolumab </w:t>
            </w:r>
          </w:p>
        </w:tc>
        <w:tc>
          <w:tcPr>
            <w:tcW w:w="769" w:type="pct"/>
            <w:vAlign w:val="center"/>
          </w:tcPr>
          <w:p w:rsidR="00E819CB" w:rsidRPr="008A0138" w:rsidRDefault="00E819CB" w:rsidP="00EB21F0">
            <w:pPr>
              <w:pStyle w:val="TableText0"/>
              <w:keepNext w:val="0"/>
              <w:jc w:val="center"/>
              <w:rPr>
                <w:szCs w:val="20"/>
              </w:rPr>
            </w:pPr>
            <w:r w:rsidRPr="008A0138">
              <w:rPr>
                <w:szCs w:val="20"/>
              </w:rPr>
              <w:t>360 mg</w:t>
            </w:r>
          </w:p>
        </w:tc>
        <w:tc>
          <w:tcPr>
            <w:tcW w:w="803" w:type="pct"/>
            <w:gridSpan w:val="2"/>
            <w:vAlign w:val="center"/>
          </w:tcPr>
          <w:p w:rsidR="00E819CB" w:rsidRPr="008A0138" w:rsidRDefault="00E819CB" w:rsidP="00EB21F0">
            <w:pPr>
              <w:pStyle w:val="TableText0"/>
              <w:keepNext w:val="0"/>
              <w:jc w:val="center"/>
              <w:rPr>
                <w:szCs w:val="20"/>
              </w:rPr>
            </w:pPr>
            <w:r w:rsidRPr="008A0138">
              <w:rPr>
                <w:szCs w:val="20"/>
              </w:rPr>
              <w:t>$</w:t>
            </w:r>
            <w:r w:rsidR="00115F96">
              <w:rPr>
                <w:noProof/>
                <w:color w:val="000000"/>
                <w:szCs w:val="20"/>
                <w:highlight w:val="black"/>
              </w:rPr>
              <w:t>''''''''''''''''''''''</w:t>
            </w:r>
          </w:p>
        </w:tc>
        <w:tc>
          <w:tcPr>
            <w:tcW w:w="771" w:type="pct"/>
            <w:vAlign w:val="center"/>
          </w:tcPr>
          <w:p w:rsidR="00E819CB" w:rsidRPr="008A0138" w:rsidRDefault="00E819CB" w:rsidP="00EB21F0">
            <w:pPr>
              <w:pStyle w:val="TableText0"/>
              <w:keepNext w:val="0"/>
              <w:jc w:val="center"/>
              <w:rPr>
                <w:szCs w:val="20"/>
              </w:rPr>
            </w:pPr>
            <w:r w:rsidRPr="008A0138">
              <w:rPr>
                <w:szCs w:val="20"/>
              </w:rPr>
              <w:t>11.7</w:t>
            </w:r>
          </w:p>
        </w:tc>
        <w:tc>
          <w:tcPr>
            <w:tcW w:w="1633" w:type="pct"/>
            <w:vMerge w:val="restart"/>
            <w:vAlign w:val="center"/>
          </w:tcPr>
          <w:p w:rsidR="00E819CB" w:rsidRPr="008A0138" w:rsidRDefault="00E819CB" w:rsidP="006D57D9">
            <w:pPr>
              <w:pStyle w:val="TableText0"/>
              <w:keepNext w:val="0"/>
              <w:rPr>
                <w:szCs w:val="20"/>
              </w:rPr>
            </w:pPr>
          </w:p>
        </w:tc>
      </w:tr>
      <w:tr w:rsidR="00E819CB" w:rsidRPr="008A0138" w:rsidTr="008A0138">
        <w:trPr>
          <w:cantSplit/>
        </w:trPr>
        <w:tc>
          <w:tcPr>
            <w:tcW w:w="1024" w:type="pct"/>
            <w:vAlign w:val="center"/>
          </w:tcPr>
          <w:p w:rsidR="00E819CB" w:rsidRPr="008A0138" w:rsidRDefault="00E819CB" w:rsidP="006D57D9">
            <w:pPr>
              <w:pStyle w:val="TableText0"/>
              <w:keepNext w:val="0"/>
              <w:rPr>
                <w:szCs w:val="20"/>
              </w:rPr>
            </w:pPr>
            <w:r w:rsidRPr="008A0138">
              <w:rPr>
                <w:szCs w:val="20"/>
              </w:rPr>
              <w:t xml:space="preserve">Ipilimumab </w:t>
            </w:r>
          </w:p>
        </w:tc>
        <w:tc>
          <w:tcPr>
            <w:tcW w:w="769" w:type="pct"/>
            <w:vAlign w:val="center"/>
          </w:tcPr>
          <w:p w:rsidR="00E819CB" w:rsidRPr="008A0138" w:rsidRDefault="00E819CB" w:rsidP="00EB21F0">
            <w:pPr>
              <w:pStyle w:val="TableText0"/>
              <w:keepNext w:val="0"/>
              <w:jc w:val="center"/>
              <w:rPr>
                <w:szCs w:val="20"/>
              </w:rPr>
            </w:pPr>
            <w:r w:rsidRPr="008A0138">
              <w:rPr>
                <w:szCs w:val="20"/>
              </w:rPr>
              <w:t>72.55 mg</w:t>
            </w:r>
          </w:p>
        </w:tc>
        <w:tc>
          <w:tcPr>
            <w:tcW w:w="803" w:type="pct"/>
            <w:gridSpan w:val="2"/>
            <w:vAlign w:val="center"/>
          </w:tcPr>
          <w:p w:rsidR="00E819CB" w:rsidRPr="008A0138" w:rsidRDefault="00E819CB" w:rsidP="00EB21F0">
            <w:pPr>
              <w:pStyle w:val="TableText0"/>
              <w:keepNext w:val="0"/>
              <w:jc w:val="center"/>
              <w:rPr>
                <w:szCs w:val="20"/>
              </w:rPr>
            </w:pPr>
            <w:r w:rsidRPr="008A0138">
              <w:rPr>
                <w:szCs w:val="20"/>
              </w:rPr>
              <w:t>$</w:t>
            </w:r>
            <w:r w:rsidR="00115F96">
              <w:rPr>
                <w:noProof/>
                <w:color w:val="000000"/>
                <w:szCs w:val="20"/>
                <w:highlight w:val="black"/>
              </w:rPr>
              <w:t>''''''''''''''''''''''</w:t>
            </w:r>
          </w:p>
        </w:tc>
        <w:tc>
          <w:tcPr>
            <w:tcW w:w="771" w:type="pct"/>
            <w:vAlign w:val="center"/>
          </w:tcPr>
          <w:p w:rsidR="00E819CB" w:rsidRPr="008A0138" w:rsidRDefault="00E819CB" w:rsidP="00EB21F0">
            <w:pPr>
              <w:pStyle w:val="TableText0"/>
              <w:keepNext w:val="0"/>
              <w:jc w:val="center"/>
              <w:rPr>
                <w:szCs w:val="20"/>
              </w:rPr>
            </w:pPr>
            <w:r w:rsidRPr="008A0138">
              <w:rPr>
                <w:szCs w:val="20"/>
              </w:rPr>
              <w:t>6.0</w:t>
            </w:r>
          </w:p>
        </w:tc>
        <w:tc>
          <w:tcPr>
            <w:tcW w:w="1633" w:type="pct"/>
            <w:vMerge/>
            <w:vAlign w:val="center"/>
          </w:tcPr>
          <w:p w:rsidR="00E819CB" w:rsidRPr="008A0138" w:rsidRDefault="00E819CB" w:rsidP="006D57D9">
            <w:pPr>
              <w:pStyle w:val="TableText0"/>
              <w:keepNext w:val="0"/>
              <w:rPr>
                <w:szCs w:val="20"/>
              </w:rPr>
            </w:pPr>
          </w:p>
        </w:tc>
      </w:tr>
      <w:tr w:rsidR="006D57D9" w:rsidRPr="008A0138" w:rsidTr="008A0138">
        <w:trPr>
          <w:cantSplit/>
        </w:trPr>
        <w:tc>
          <w:tcPr>
            <w:tcW w:w="1024" w:type="pct"/>
            <w:vAlign w:val="center"/>
          </w:tcPr>
          <w:p w:rsidR="006D57D9" w:rsidRPr="008A0138" w:rsidRDefault="006D57D9" w:rsidP="00B761AF">
            <w:pPr>
              <w:pStyle w:val="TableText0"/>
              <w:keepNext w:val="0"/>
              <w:rPr>
                <w:szCs w:val="20"/>
              </w:rPr>
            </w:pPr>
            <w:proofErr w:type="spellStart"/>
            <w:r w:rsidRPr="008A0138">
              <w:rPr>
                <w:szCs w:val="20"/>
              </w:rPr>
              <w:t>Pembrolizumab</w:t>
            </w:r>
            <w:proofErr w:type="spellEnd"/>
            <w:r w:rsidRPr="008A0138">
              <w:rPr>
                <w:szCs w:val="20"/>
              </w:rPr>
              <w:t xml:space="preserve"> </w:t>
            </w:r>
          </w:p>
        </w:tc>
        <w:tc>
          <w:tcPr>
            <w:tcW w:w="769" w:type="pct"/>
            <w:vAlign w:val="center"/>
          </w:tcPr>
          <w:p w:rsidR="006D57D9" w:rsidRPr="008A0138" w:rsidRDefault="006D57D9" w:rsidP="00EB21F0">
            <w:pPr>
              <w:pStyle w:val="TableText0"/>
              <w:keepNext w:val="0"/>
              <w:jc w:val="center"/>
              <w:rPr>
                <w:szCs w:val="20"/>
              </w:rPr>
            </w:pPr>
            <w:r w:rsidRPr="008A0138">
              <w:rPr>
                <w:szCs w:val="20"/>
              </w:rPr>
              <w:t>200 mg</w:t>
            </w:r>
          </w:p>
        </w:tc>
        <w:tc>
          <w:tcPr>
            <w:tcW w:w="803" w:type="pct"/>
            <w:gridSpan w:val="2"/>
            <w:vAlign w:val="center"/>
          </w:tcPr>
          <w:p w:rsidR="006D57D9" w:rsidRPr="008A0138" w:rsidRDefault="00EB21F0" w:rsidP="00EB21F0">
            <w:pPr>
              <w:pStyle w:val="TableText0"/>
              <w:keepNext w:val="0"/>
              <w:jc w:val="center"/>
              <w:rPr>
                <w:szCs w:val="20"/>
              </w:rPr>
            </w:pPr>
            <w:r w:rsidRPr="008A0138">
              <w:rPr>
                <w:szCs w:val="20"/>
              </w:rPr>
              <w:t>$</w:t>
            </w:r>
            <w:r w:rsidRPr="004D5BE5">
              <w:rPr>
                <w:szCs w:val="20"/>
              </w:rPr>
              <w:t>6,100.38</w:t>
            </w:r>
          </w:p>
        </w:tc>
        <w:tc>
          <w:tcPr>
            <w:tcW w:w="771" w:type="pct"/>
            <w:vAlign w:val="center"/>
          </w:tcPr>
          <w:p w:rsidR="006D57D9" w:rsidRPr="008A0138" w:rsidRDefault="00EB21F0" w:rsidP="00EB21F0">
            <w:pPr>
              <w:pStyle w:val="TableText0"/>
              <w:keepNext w:val="0"/>
              <w:jc w:val="center"/>
              <w:rPr>
                <w:szCs w:val="20"/>
              </w:rPr>
            </w:pPr>
            <w:r w:rsidRPr="008A0138">
              <w:rPr>
                <w:szCs w:val="20"/>
              </w:rPr>
              <w:t>12.83</w:t>
            </w:r>
          </w:p>
        </w:tc>
        <w:tc>
          <w:tcPr>
            <w:tcW w:w="1633" w:type="pct"/>
            <w:vAlign w:val="center"/>
          </w:tcPr>
          <w:p w:rsidR="006D57D9" w:rsidRPr="008A0138" w:rsidRDefault="00EB21F0" w:rsidP="00B761AF">
            <w:pPr>
              <w:pStyle w:val="TableText0"/>
              <w:keepNext w:val="0"/>
              <w:rPr>
                <w:szCs w:val="20"/>
              </w:rPr>
            </w:pPr>
            <w:r w:rsidRPr="008A0138">
              <w:rPr>
                <w:szCs w:val="20"/>
              </w:rPr>
              <w:t xml:space="preserve">Assumed </w:t>
            </w:r>
            <w:r w:rsidRPr="004D5BE5">
              <w:rPr>
                <w:szCs w:val="20"/>
              </w:rPr>
              <w:t>30</w:t>
            </w:r>
            <w:r w:rsidRPr="008A0138">
              <w:rPr>
                <w:szCs w:val="20"/>
              </w:rPr>
              <w:t>% rebate on published AEMP</w:t>
            </w:r>
          </w:p>
        </w:tc>
      </w:tr>
      <w:tr w:rsidR="00EB21F0" w:rsidRPr="008A0138" w:rsidTr="008A0138">
        <w:trPr>
          <w:cantSplit/>
        </w:trPr>
        <w:tc>
          <w:tcPr>
            <w:tcW w:w="1024" w:type="pct"/>
            <w:vAlign w:val="center"/>
          </w:tcPr>
          <w:p w:rsidR="00EB21F0" w:rsidRPr="008A0138" w:rsidRDefault="00EB21F0" w:rsidP="00B761AF">
            <w:pPr>
              <w:pStyle w:val="TableText0"/>
              <w:keepNext w:val="0"/>
              <w:rPr>
                <w:szCs w:val="20"/>
              </w:rPr>
            </w:pPr>
            <w:proofErr w:type="spellStart"/>
            <w:r w:rsidRPr="008A0138">
              <w:rPr>
                <w:szCs w:val="20"/>
              </w:rPr>
              <w:t>Pemetrexed</w:t>
            </w:r>
            <w:proofErr w:type="spellEnd"/>
          </w:p>
        </w:tc>
        <w:tc>
          <w:tcPr>
            <w:tcW w:w="769" w:type="pct"/>
            <w:vAlign w:val="center"/>
          </w:tcPr>
          <w:p w:rsidR="00EB21F0" w:rsidRPr="008A0138" w:rsidRDefault="00EB21F0" w:rsidP="00EB21F0">
            <w:pPr>
              <w:pStyle w:val="TableText0"/>
              <w:keepNext w:val="0"/>
              <w:jc w:val="center"/>
              <w:rPr>
                <w:szCs w:val="20"/>
                <w:vertAlign w:val="superscript"/>
              </w:rPr>
            </w:pPr>
            <w:r w:rsidRPr="008A0138">
              <w:rPr>
                <w:szCs w:val="20"/>
              </w:rPr>
              <w:t>600/905 </w:t>
            </w:r>
            <w:proofErr w:type="spellStart"/>
            <w:r w:rsidRPr="008A0138">
              <w:rPr>
                <w:szCs w:val="20"/>
              </w:rPr>
              <w:t>mg</w:t>
            </w:r>
            <w:r w:rsidRPr="008A0138">
              <w:rPr>
                <w:szCs w:val="20"/>
                <w:vertAlign w:val="superscript"/>
              </w:rPr>
              <w:t>d</w:t>
            </w:r>
            <w:proofErr w:type="spellEnd"/>
          </w:p>
        </w:tc>
        <w:tc>
          <w:tcPr>
            <w:tcW w:w="803" w:type="pct"/>
            <w:gridSpan w:val="2"/>
            <w:vAlign w:val="center"/>
          </w:tcPr>
          <w:p w:rsidR="00EB21F0" w:rsidRPr="008A0138" w:rsidRDefault="00EB21F0" w:rsidP="00EB21F0">
            <w:pPr>
              <w:pStyle w:val="TableText0"/>
              <w:keepNext w:val="0"/>
              <w:jc w:val="center"/>
              <w:rPr>
                <w:szCs w:val="20"/>
              </w:rPr>
            </w:pPr>
            <w:r w:rsidRPr="008A0138">
              <w:rPr>
                <w:szCs w:val="20"/>
              </w:rPr>
              <w:t>$</w:t>
            </w:r>
            <w:r w:rsidRPr="004D5BE5">
              <w:rPr>
                <w:szCs w:val="20"/>
              </w:rPr>
              <w:t>150.77</w:t>
            </w:r>
            <w:r w:rsidRPr="008A0138">
              <w:rPr>
                <w:szCs w:val="20"/>
              </w:rPr>
              <w:t>/$</w:t>
            </w:r>
            <w:r w:rsidRPr="004D5BE5">
              <w:rPr>
                <w:szCs w:val="20"/>
              </w:rPr>
              <w:t>182.11</w:t>
            </w:r>
          </w:p>
        </w:tc>
        <w:tc>
          <w:tcPr>
            <w:tcW w:w="771" w:type="pct"/>
            <w:vAlign w:val="center"/>
          </w:tcPr>
          <w:p w:rsidR="00EB21F0" w:rsidRPr="008A0138" w:rsidRDefault="00EB21F0" w:rsidP="00EB21F0">
            <w:pPr>
              <w:pStyle w:val="TableText0"/>
              <w:keepNext w:val="0"/>
              <w:jc w:val="center"/>
              <w:rPr>
                <w:szCs w:val="20"/>
              </w:rPr>
            </w:pPr>
            <w:r w:rsidRPr="008A0138">
              <w:rPr>
                <w:szCs w:val="20"/>
              </w:rPr>
              <w:t>11.7</w:t>
            </w:r>
          </w:p>
        </w:tc>
        <w:tc>
          <w:tcPr>
            <w:tcW w:w="1633" w:type="pct"/>
            <w:vMerge w:val="restart"/>
            <w:vAlign w:val="center"/>
          </w:tcPr>
          <w:p w:rsidR="00EB21F0" w:rsidRPr="008A0138" w:rsidRDefault="00EB21F0" w:rsidP="00EB21F0">
            <w:pPr>
              <w:pStyle w:val="TableText0"/>
              <w:keepNext w:val="0"/>
              <w:rPr>
                <w:szCs w:val="20"/>
                <w:vertAlign w:val="superscript"/>
              </w:rPr>
            </w:pPr>
            <w:r w:rsidRPr="008A0138">
              <w:rPr>
                <w:szCs w:val="20"/>
              </w:rPr>
              <w:t xml:space="preserve">The submission made a number of errors when calculating the cost of platinum-doublet chemotherapy. These were corrected during the evaluation to align with those used in the </w:t>
            </w:r>
            <w:proofErr w:type="spellStart"/>
            <w:r w:rsidRPr="008A0138">
              <w:rPr>
                <w:szCs w:val="20"/>
              </w:rPr>
              <w:t>CMA.</w:t>
            </w:r>
            <w:r w:rsidRPr="008A0138">
              <w:rPr>
                <w:szCs w:val="20"/>
                <w:vertAlign w:val="superscript"/>
              </w:rPr>
              <w:t>e</w:t>
            </w:r>
            <w:proofErr w:type="spellEnd"/>
          </w:p>
        </w:tc>
      </w:tr>
      <w:tr w:rsidR="00EB21F0" w:rsidRPr="008A0138" w:rsidTr="008A0138">
        <w:trPr>
          <w:cantSplit/>
        </w:trPr>
        <w:tc>
          <w:tcPr>
            <w:tcW w:w="1024" w:type="pct"/>
            <w:vAlign w:val="center"/>
          </w:tcPr>
          <w:p w:rsidR="00EB21F0" w:rsidRPr="008A0138" w:rsidRDefault="00EB21F0" w:rsidP="00B761AF">
            <w:pPr>
              <w:pStyle w:val="TableText0"/>
              <w:keepNext w:val="0"/>
              <w:rPr>
                <w:szCs w:val="20"/>
              </w:rPr>
            </w:pPr>
            <w:r w:rsidRPr="008A0138">
              <w:rPr>
                <w:szCs w:val="20"/>
              </w:rPr>
              <w:t>Carboplatin</w:t>
            </w:r>
          </w:p>
        </w:tc>
        <w:tc>
          <w:tcPr>
            <w:tcW w:w="769" w:type="pct"/>
            <w:vAlign w:val="center"/>
          </w:tcPr>
          <w:p w:rsidR="00EB21F0" w:rsidRPr="008A0138" w:rsidRDefault="00EB21F0" w:rsidP="00EB21F0">
            <w:pPr>
              <w:pStyle w:val="TableText0"/>
              <w:keepNext w:val="0"/>
              <w:jc w:val="center"/>
              <w:rPr>
                <w:szCs w:val="20"/>
              </w:rPr>
            </w:pPr>
            <w:r w:rsidRPr="008A0138">
              <w:rPr>
                <w:szCs w:val="20"/>
              </w:rPr>
              <w:t>600 mg</w:t>
            </w:r>
          </w:p>
        </w:tc>
        <w:tc>
          <w:tcPr>
            <w:tcW w:w="803" w:type="pct"/>
            <w:gridSpan w:val="2"/>
            <w:vAlign w:val="center"/>
          </w:tcPr>
          <w:p w:rsidR="00EB21F0" w:rsidRPr="008A0138" w:rsidRDefault="00EB21F0" w:rsidP="00EB21F0">
            <w:pPr>
              <w:pStyle w:val="TableText0"/>
              <w:ind w:right="96"/>
              <w:jc w:val="center"/>
              <w:rPr>
                <w:szCs w:val="20"/>
              </w:rPr>
            </w:pPr>
            <w:r w:rsidRPr="008A0138">
              <w:rPr>
                <w:szCs w:val="20"/>
              </w:rPr>
              <w:t>$</w:t>
            </w:r>
            <w:r w:rsidRPr="004D5BE5">
              <w:rPr>
                <w:szCs w:val="20"/>
              </w:rPr>
              <w:t>159.87</w:t>
            </w:r>
            <w:r w:rsidRPr="008A0138">
              <w:rPr>
                <w:szCs w:val="20"/>
              </w:rPr>
              <w:t xml:space="preserve"> $</w:t>
            </w:r>
            <w:r w:rsidRPr="004D5BE5">
              <w:rPr>
                <w:szCs w:val="20"/>
              </w:rPr>
              <w:t>161.49</w:t>
            </w:r>
          </w:p>
        </w:tc>
        <w:tc>
          <w:tcPr>
            <w:tcW w:w="771" w:type="pct"/>
            <w:vAlign w:val="center"/>
          </w:tcPr>
          <w:p w:rsidR="00EB21F0" w:rsidRPr="008A0138" w:rsidRDefault="00EB21F0" w:rsidP="00EB21F0">
            <w:pPr>
              <w:pStyle w:val="TableText0"/>
              <w:keepNext w:val="0"/>
              <w:jc w:val="center"/>
              <w:rPr>
                <w:szCs w:val="20"/>
              </w:rPr>
            </w:pPr>
            <w:r w:rsidRPr="008A0138">
              <w:rPr>
                <w:szCs w:val="20"/>
              </w:rPr>
              <w:t>3.62</w:t>
            </w:r>
          </w:p>
        </w:tc>
        <w:tc>
          <w:tcPr>
            <w:tcW w:w="1633" w:type="pct"/>
            <w:vMerge/>
            <w:vAlign w:val="center"/>
          </w:tcPr>
          <w:p w:rsidR="00EB21F0" w:rsidRPr="008A0138" w:rsidRDefault="00EB21F0" w:rsidP="00B761AF">
            <w:pPr>
              <w:pStyle w:val="TableText0"/>
              <w:keepNext w:val="0"/>
              <w:rPr>
                <w:szCs w:val="20"/>
              </w:rPr>
            </w:pPr>
          </w:p>
        </w:tc>
      </w:tr>
      <w:tr w:rsidR="00EB21F0" w:rsidRPr="008A0138" w:rsidTr="008A0138">
        <w:trPr>
          <w:cantSplit/>
        </w:trPr>
        <w:tc>
          <w:tcPr>
            <w:tcW w:w="1024" w:type="pct"/>
            <w:vAlign w:val="center"/>
          </w:tcPr>
          <w:p w:rsidR="00EB21F0" w:rsidRPr="008A0138" w:rsidRDefault="00EB21F0" w:rsidP="00EB21F0">
            <w:pPr>
              <w:pStyle w:val="TableText0"/>
              <w:keepNext w:val="0"/>
              <w:rPr>
                <w:szCs w:val="20"/>
              </w:rPr>
            </w:pPr>
            <w:r w:rsidRPr="008A0138">
              <w:rPr>
                <w:szCs w:val="20"/>
              </w:rPr>
              <w:t>Cisplatin</w:t>
            </w:r>
          </w:p>
        </w:tc>
        <w:tc>
          <w:tcPr>
            <w:tcW w:w="769" w:type="pct"/>
            <w:vAlign w:val="center"/>
          </w:tcPr>
          <w:p w:rsidR="00EB21F0" w:rsidRPr="008A0138" w:rsidRDefault="00EB21F0" w:rsidP="00EB21F0">
            <w:pPr>
              <w:pStyle w:val="TableText0"/>
              <w:keepNext w:val="0"/>
              <w:jc w:val="center"/>
              <w:rPr>
                <w:szCs w:val="20"/>
              </w:rPr>
            </w:pPr>
            <w:r w:rsidRPr="008A0138">
              <w:rPr>
                <w:szCs w:val="20"/>
              </w:rPr>
              <w:t>75 mg</w:t>
            </w:r>
          </w:p>
          <w:p w:rsidR="00EB21F0" w:rsidRPr="008A0138" w:rsidRDefault="00EB21F0" w:rsidP="00EB21F0">
            <w:pPr>
              <w:pStyle w:val="TableText0"/>
              <w:keepNext w:val="0"/>
              <w:jc w:val="center"/>
              <w:rPr>
                <w:szCs w:val="20"/>
              </w:rPr>
            </w:pPr>
            <w:r w:rsidRPr="008A0138">
              <w:rPr>
                <w:szCs w:val="20"/>
              </w:rPr>
              <w:t>136 mg</w:t>
            </w:r>
          </w:p>
        </w:tc>
        <w:tc>
          <w:tcPr>
            <w:tcW w:w="803" w:type="pct"/>
            <w:gridSpan w:val="2"/>
            <w:vAlign w:val="center"/>
          </w:tcPr>
          <w:p w:rsidR="00EB21F0" w:rsidRPr="008A0138" w:rsidRDefault="00EB21F0" w:rsidP="00EB21F0">
            <w:pPr>
              <w:pStyle w:val="TableText0"/>
              <w:ind w:right="96"/>
              <w:jc w:val="center"/>
              <w:rPr>
                <w:szCs w:val="20"/>
              </w:rPr>
            </w:pPr>
            <w:r w:rsidRPr="008A0138">
              <w:rPr>
                <w:szCs w:val="20"/>
              </w:rPr>
              <w:t>$</w:t>
            </w:r>
            <w:r w:rsidRPr="004D5BE5">
              <w:rPr>
                <w:szCs w:val="20"/>
              </w:rPr>
              <w:t>126.70</w:t>
            </w:r>
          </w:p>
          <w:p w:rsidR="00EB21F0" w:rsidRPr="008A0138" w:rsidRDefault="00EB21F0" w:rsidP="00EB21F0">
            <w:pPr>
              <w:pStyle w:val="TableText0"/>
              <w:keepNext w:val="0"/>
              <w:jc w:val="center"/>
              <w:rPr>
                <w:szCs w:val="20"/>
              </w:rPr>
            </w:pPr>
            <w:r w:rsidRPr="008A0138">
              <w:rPr>
                <w:szCs w:val="20"/>
              </w:rPr>
              <w:t>$</w:t>
            </w:r>
            <w:r w:rsidRPr="004D5BE5">
              <w:rPr>
                <w:szCs w:val="20"/>
              </w:rPr>
              <w:t>139.27</w:t>
            </w:r>
          </w:p>
        </w:tc>
        <w:tc>
          <w:tcPr>
            <w:tcW w:w="771" w:type="pct"/>
            <w:vAlign w:val="center"/>
          </w:tcPr>
          <w:p w:rsidR="00EB21F0" w:rsidRPr="008A0138" w:rsidRDefault="00EB21F0" w:rsidP="00EB21F0">
            <w:pPr>
              <w:pStyle w:val="TableText0"/>
              <w:keepNext w:val="0"/>
              <w:jc w:val="center"/>
              <w:rPr>
                <w:szCs w:val="20"/>
              </w:rPr>
            </w:pPr>
            <w:r w:rsidRPr="008A0138">
              <w:rPr>
                <w:szCs w:val="20"/>
              </w:rPr>
              <w:t>3.62</w:t>
            </w:r>
          </w:p>
        </w:tc>
        <w:tc>
          <w:tcPr>
            <w:tcW w:w="1633" w:type="pct"/>
            <w:vMerge/>
            <w:vAlign w:val="center"/>
          </w:tcPr>
          <w:p w:rsidR="00EB21F0" w:rsidRPr="008A0138" w:rsidRDefault="00EB21F0" w:rsidP="00EB21F0">
            <w:pPr>
              <w:pStyle w:val="TableText0"/>
              <w:keepNext w:val="0"/>
              <w:rPr>
                <w:szCs w:val="20"/>
              </w:rPr>
            </w:pPr>
          </w:p>
        </w:tc>
      </w:tr>
      <w:tr w:rsidR="00EB21F0" w:rsidRPr="008A0138" w:rsidTr="008A0138">
        <w:trPr>
          <w:cantSplit/>
        </w:trPr>
        <w:tc>
          <w:tcPr>
            <w:tcW w:w="1024" w:type="pct"/>
            <w:vAlign w:val="center"/>
          </w:tcPr>
          <w:p w:rsidR="00EB21F0" w:rsidRPr="008A0138" w:rsidRDefault="00EB21F0" w:rsidP="00EB21F0">
            <w:pPr>
              <w:pStyle w:val="TableText0"/>
              <w:keepNext w:val="0"/>
              <w:rPr>
                <w:szCs w:val="20"/>
              </w:rPr>
            </w:pPr>
            <w:r w:rsidRPr="008A0138">
              <w:rPr>
                <w:szCs w:val="20"/>
              </w:rPr>
              <w:t>Paclitaxel</w:t>
            </w:r>
          </w:p>
        </w:tc>
        <w:tc>
          <w:tcPr>
            <w:tcW w:w="769" w:type="pct"/>
            <w:vAlign w:val="center"/>
          </w:tcPr>
          <w:p w:rsidR="00EB21F0" w:rsidRPr="008A0138" w:rsidRDefault="00EB21F0" w:rsidP="00EB21F0">
            <w:pPr>
              <w:pStyle w:val="TableText0"/>
              <w:keepNext w:val="0"/>
              <w:jc w:val="center"/>
              <w:rPr>
                <w:szCs w:val="20"/>
              </w:rPr>
            </w:pPr>
            <w:r w:rsidRPr="008A0138">
              <w:rPr>
                <w:szCs w:val="20"/>
              </w:rPr>
              <w:t>200mg</w:t>
            </w:r>
          </w:p>
          <w:p w:rsidR="00EB21F0" w:rsidRPr="008A0138" w:rsidRDefault="00EB21F0" w:rsidP="00EB21F0">
            <w:pPr>
              <w:pStyle w:val="TableText0"/>
              <w:keepNext w:val="0"/>
              <w:jc w:val="center"/>
              <w:rPr>
                <w:szCs w:val="20"/>
              </w:rPr>
            </w:pPr>
            <w:r w:rsidRPr="008A0138">
              <w:rPr>
                <w:szCs w:val="20"/>
              </w:rPr>
              <w:t>374mg</w:t>
            </w:r>
          </w:p>
        </w:tc>
        <w:tc>
          <w:tcPr>
            <w:tcW w:w="803" w:type="pct"/>
            <w:gridSpan w:val="2"/>
            <w:vAlign w:val="center"/>
          </w:tcPr>
          <w:p w:rsidR="00EB21F0" w:rsidRPr="008A0138" w:rsidRDefault="00EB21F0" w:rsidP="00EB21F0">
            <w:pPr>
              <w:pStyle w:val="TableText0"/>
              <w:ind w:right="96"/>
              <w:jc w:val="center"/>
              <w:rPr>
                <w:szCs w:val="20"/>
              </w:rPr>
            </w:pPr>
            <w:r w:rsidRPr="008A0138">
              <w:rPr>
                <w:szCs w:val="20"/>
              </w:rPr>
              <w:t>$</w:t>
            </w:r>
            <w:r w:rsidRPr="004D5BE5">
              <w:rPr>
                <w:szCs w:val="20"/>
              </w:rPr>
              <w:t>145.52</w:t>
            </w:r>
          </w:p>
          <w:p w:rsidR="00EB21F0" w:rsidRPr="008A0138" w:rsidRDefault="00EB21F0" w:rsidP="00EB21F0">
            <w:pPr>
              <w:pStyle w:val="TableText0"/>
              <w:keepNext w:val="0"/>
              <w:jc w:val="center"/>
              <w:rPr>
                <w:szCs w:val="20"/>
              </w:rPr>
            </w:pPr>
            <w:r w:rsidRPr="008A0138">
              <w:rPr>
                <w:szCs w:val="20"/>
              </w:rPr>
              <w:t>$</w:t>
            </w:r>
            <w:r w:rsidRPr="004D5BE5">
              <w:rPr>
                <w:szCs w:val="20"/>
              </w:rPr>
              <w:t>174.60</w:t>
            </w:r>
          </w:p>
        </w:tc>
        <w:tc>
          <w:tcPr>
            <w:tcW w:w="771" w:type="pct"/>
            <w:vAlign w:val="center"/>
          </w:tcPr>
          <w:p w:rsidR="00EB21F0" w:rsidRPr="008A0138" w:rsidRDefault="00EB21F0" w:rsidP="00EB21F0">
            <w:pPr>
              <w:pStyle w:val="TableText0"/>
              <w:keepNext w:val="0"/>
              <w:jc w:val="center"/>
              <w:rPr>
                <w:szCs w:val="20"/>
              </w:rPr>
            </w:pPr>
            <w:r w:rsidRPr="008A0138">
              <w:rPr>
                <w:szCs w:val="20"/>
              </w:rPr>
              <w:t>3.62</w:t>
            </w:r>
          </w:p>
        </w:tc>
        <w:tc>
          <w:tcPr>
            <w:tcW w:w="1633" w:type="pct"/>
            <w:vMerge/>
            <w:vAlign w:val="center"/>
          </w:tcPr>
          <w:p w:rsidR="00EB21F0" w:rsidRPr="008A0138" w:rsidRDefault="00EB21F0" w:rsidP="00EB21F0">
            <w:pPr>
              <w:pStyle w:val="TableText0"/>
              <w:keepNext w:val="0"/>
              <w:rPr>
                <w:szCs w:val="20"/>
              </w:rPr>
            </w:pPr>
          </w:p>
        </w:tc>
      </w:tr>
    </w:tbl>
    <w:p w:rsidR="006F26B7" w:rsidRPr="0087043D" w:rsidRDefault="006F26B7" w:rsidP="006F26B7">
      <w:pPr>
        <w:pStyle w:val="TableFigureFooter"/>
      </w:pPr>
      <w:r w:rsidRPr="0087043D">
        <w:t xml:space="preserve">Source: Table 134, pp231-233 of the submission; Excel Workbook ‘Section 4 – 1L NSCLC </w:t>
      </w:r>
      <w:proofErr w:type="spellStart"/>
      <w:r w:rsidRPr="0087043D">
        <w:t>Nivo+Ipi+Chemo</w:t>
      </w:r>
      <w:proofErr w:type="spellEnd"/>
      <w:r w:rsidRPr="0087043D">
        <w:t xml:space="preserve"> Utilisation and Cost Model’.</w:t>
      </w:r>
    </w:p>
    <w:p w:rsidR="006F26B7" w:rsidRPr="0087043D" w:rsidRDefault="006F26B7" w:rsidP="006F26B7">
      <w:pPr>
        <w:pStyle w:val="TableFigureFooter"/>
      </w:pPr>
      <w:r w:rsidRPr="0087043D">
        <w:t>ABS = Australian Bureau of Statistics; ACIM = Australian Cancer Incidence and Mortality; AEMP = approved ex-manufacturer price; AIHW = Australian Institute of Health and Welfare; ALK = anaplastic lymphoma kinase; CMA = cost-minimisation analysis; ECOG PS = Eastern Cooperative Oncology Group performance status; EGFR = epidermal growth factor receptor; IPI = ipilimumab; NIVO = nivolumab; NSCLC = non-small cell lung cancer; ROS1 = c-ROS proto-oncogene 1</w:t>
      </w:r>
    </w:p>
    <w:p w:rsidR="006F26B7" w:rsidRPr="0087043D" w:rsidRDefault="006F26B7" w:rsidP="00921367">
      <w:pPr>
        <w:pStyle w:val="TableFigureFooter"/>
        <w:ind w:left="142" w:hanging="142"/>
      </w:pPr>
      <w:proofErr w:type="gramStart"/>
      <w:r w:rsidRPr="0087043D">
        <w:rPr>
          <w:vertAlign w:val="superscript"/>
        </w:rPr>
        <w:t>a</w:t>
      </w:r>
      <w:proofErr w:type="gramEnd"/>
      <w:r w:rsidRPr="0087043D">
        <w:t xml:space="preserve"> Source: </w:t>
      </w:r>
      <w:r w:rsidRPr="00115F96">
        <w:t>https://www.aihw.gov.au/reports/cancer/cancer-in-australia-2019/data</w:t>
      </w:r>
      <w:r w:rsidR="00264317" w:rsidRPr="0087043D">
        <w:t xml:space="preserve"> </w:t>
      </w:r>
      <w:r w:rsidRPr="0087043D">
        <w:t xml:space="preserve"> </w:t>
      </w:r>
    </w:p>
    <w:p w:rsidR="006F26B7" w:rsidRPr="0087043D" w:rsidRDefault="006F26B7" w:rsidP="00921367">
      <w:pPr>
        <w:pStyle w:val="TableFigureFooter"/>
        <w:ind w:left="142" w:hanging="142"/>
      </w:pPr>
      <w:proofErr w:type="gramStart"/>
      <w:r w:rsidRPr="0087043D">
        <w:rPr>
          <w:vertAlign w:val="superscript"/>
        </w:rPr>
        <w:t>b</w:t>
      </w:r>
      <w:proofErr w:type="gramEnd"/>
      <w:r w:rsidRPr="0087043D">
        <w:t xml:space="preserve"> </w:t>
      </w:r>
      <w:proofErr w:type="spellStart"/>
      <w:r w:rsidRPr="0087043D">
        <w:t>Erlotinib</w:t>
      </w:r>
      <w:proofErr w:type="spellEnd"/>
      <w:r w:rsidRPr="0087043D">
        <w:t xml:space="preserve"> and </w:t>
      </w:r>
      <w:proofErr w:type="spellStart"/>
      <w:r w:rsidRPr="0087043D">
        <w:t>gefitinib</w:t>
      </w:r>
      <w:proofErr w:type="spellEnd"/>
      <w:r w:rsidRPr="0087043D">
        <w:t xml:space="preserve">: 24 month predicted versus actual analysis, Public Release </w:t>
      </w:r>
      <w:r w:rsidR="005757A8" w:rsidRPr="0087043D">
        <w:t>Document</w:t>
      </w:r>
      <w:r w:rsidRPr="0087043D">
        <w:t xml:space="preserve">, February 2017 DUSC meeting. </w:t>
      </w:r>
    </w:p>
    <w:p w:rsidR="001D5082" w:rsidRPr="0087043D" w:rsidRDefault="001D5082" w:rsidP="00921367">
      <w:pPr>
        <w:pStyle w:val="TableFigureFooter"/>
        <w:ind w:left="142" w:hanging="142"/>
      </w:pPr>
      <w:proofErr w:type="gramStart"/>
      <w:r w:rsidRPr="0087043D">
        <w:rPr>
          <w:vertAlign w:val="superscript"/>
        </w:rPr>
        <w:t>c</w:t>
      </w:r>
      <w:proofErr w:type="gramEnd"/>
      <w:r w:rsidRPr="0087043D">
        <w:t xml:space="preserve"> The total number of infusions for </w:t>
      </w:r>
      <w:proofErr w:type="spellStart"/>
      <w:r w:rsidRPr="0087043D">
        <w:t>pembrolizumab+platinum</w:t>
      </w:r>
      <w:proofErr w:type="spellEnd"/>
      <w:r w:rsidRPr="0087043D">
        <w:t xml:space="preserve"> was the weighted average for non-squamous and squamous NSCLC, accounting for the carboplatin/cisplatin split in no-squamous NSCLC</w:t>
      </w:r>
      <w:r w:rsidR="00996E01" w:rsidRPr="0087043D">
        <w:t xml:space="preserve">. 12.83 = </w:t>
      </w:r>
      <w:proofErr w:type="gramStart"/>
      <w:r w:rsidR="00996E01" w:rsidRPr="0087043D">
        <w:t>77</w:t>
      </w:r>
      <w:r w:rsidR="008315DF" w:rsidRPr="0087043D">
        <w:t>.6</w:t>
      </w:r>
      <w:r w:rsidR="00996E01" w:rsidRPr="0087043D">
        <w:t>%</w:t>
      </w:r>
      <w:proofErr w:type="gramEnd"/>
      <w:r w:rsidR="00996E01" w:rsidRPr="0087043D">
        <w:t xml:space="preserve">*(13.4*72.2%+14.7*27.8%) + 22.4%*9.6. </w:t>
      </w:r>
    </w:p>
    <w:p w:rsidR="00EB21F0" w:rsidRPr="0087043D" w:rsidRDefault="00EB21F0" w:rsidP="00921367">
      <w:pPr>
        <w:pStyle w:val="TableFigureFooter"/>
        <w:ind w:left="142" w:hanging="142"/>
      </w:pPr>
      <w:proofErr w:type="gramStart"/>
      <w:r w:rsidRPr="0087043D">
        <w:rPr>
          <w:vertAlign w:val="superscript"/>
        </w:rPr>
        <w:t>d</w:t>
      </w:r>
      <w:proofErr w:type="gramEnd"/>
      <w:r w:rsidRPr="0087043D">
        <w:t xml:space="preserve"> The submission incorrectly used a dose of 500 mg of </w:t>
      </w:r>
      <w:proofErr w:type="spellStart"/>
      <w:r w:rsidRPr="0087043D">
        <w:t>pemetrexed</w:t>
      </w:r>
      <w:proofErr w:type="spellEnd"/>
      <w:r w:rsidRPr="0087043D">
        <w:t xml:space="preserve"> when used in combination with nivolumab and ipilimumab, but applied the correct dose (905 mg) when used with </w:t>
      </w:r>
      <w:proofErr w:type="spellStart"/>
      <w:r w:rsidRPr="0087043D">
        <w:t>pembrolizumab</w:t>
      </w:r>
      <w:proofErr w:type="spellEnd"/>
    </w:p>
    <w:p w:rsidR="006F26B7" w:rsidRDefault="00EB21F0" w:rsidP="00BA3FC4">
      <w:pPr>
        <w:pStyle w:val="TableFigureFooter"/>
      </w:pPr>
      <w:proofErr w:type="gramStart"/>
      <w:r w:rsidRPr="0087043D">
        <w:rPr>
          <w:vertAlign w:val="superscript"/>
        </w:rPr>
        <w:t>e</w:t>
      </w:r>
      <w:proofErr w:type="gramEnd"/>
      <w:r w:rsidRPr="0087043D">
        <w:t xml:space="preserve"> The difference in the price per dose for cisplatin between the financial estimates and the CMA</w:t>
      </w:r>
      <w:r w:rsidR="00A70AB9" w:rsidRPr="0087043D">
        <w:t xml:space="preserve"> was due to</w:t>
      </w:r>
      <w:r w:rsidRPr="0087043D">
        <w:t xml:space="preserve"> rounding.</w:t>
      </w:r>
      <w:r w:rsidR="00BA3FC4" w:rsidRPr="0087043D">
        <w:t xml:space="preserve"> </w:t>
      </w:r>
    </w:p>
    <w:p w:rsidR="002438E1" w:rsidRPr="002438E1" w:rsidRDefault="002438E1" w:rsidP="00BA3FC4">
      <w:pPr>
        <w:pStyle w:val="TableFigureFooter"/>
        <w:rPr>
          <w:i/>
        </w:rPr>
      </w:pPr>
      <w:r w:rsidRPr="002438E1">
        <w:rPr>
          <w:i/>
        </w:rPr>
        <w:t xml:space="preserve">The redacted values correspond to the following range: </w:t>
      </w:r>
    </w:p>
    <w:p w:rsidR="002438E1" w:rsidRPr="002438E1" w:rsidRDefault="002438E1" w:rsidP="00BA3FC4">
      <w:pPr>
        <w:pStyle w:val="TableFigureFooter"/>
        <w:rPr>
          <w:i/>
        </w:rPr>
      </w:pPr>
      <w:r w:rsidRPr="002438E1">
        <w:rPr>
          <w:i/>
          <w:vertAlign w:val="superscript"/>
        </w:rPr>
        <w:t>1</w:t>
      </w:r>
      <w:r w:rsidRPr="002438E1">
        <w:rPr>
          <w:i/>
        </w:rPr>
        <w:t>&lt;500</w:t>
      </w:r>
    </w:p>
    <w:p w:rsidR="00186903" w:rsidRPr="0087043D" w:rsidRDefault="00186903" w:rsidP="00186903">
      <w:pPr>
        <w:pStyle w:val="3-BodyText"/>
      </w:pPr>
      <w:r w:rsidRPr="0087043D">
        <w:t xml:space="preserve">The submission made a number of errors when calculating the change in the number of scripts per year for each component of </w:t>
      </w:r>
      <w:proofErr w:type="spellStart"/>
      <w:r w:rsidRPr="0087043D">
        <w:t>pembrolizumab+platinum</w:t>
      </w:r>
      <w:proofErr w:type="spellEnd"/>
      <w:r w:rsidRPr="0087043D">
        <w:t xml:space="preserve">. Firstly, when calculating the weighted number of scripts per patient for </w:t>
      </w:r>
      <w:proofErr w:type="spellStart"/>
      <w:r w:rsidRPr="0087043D">
        <w:t>pembrolizumab</w:t>
      </w:r>
      <w:proofErr w:type="spellEnd"/>
      <w:r w:rsidRPr="0087043D">
        <w:t xml:space="preserve"> (12.83), it assumed that 77.6% of treated patients have non-squamous NSCLC, while, as explained above, in the financial estimates, 68% had non-squamous disease. Secondly, it incorrectly assumed that all patients received 3.62 doses of carboplatin (only 72.2% of non-squamous patients received carboplatin) and that all non-squamous patients received cisplatin (only 27.8% of non-squamous patients received cisplatin).</w:t>
      </w:r>
      <w:r w:rsidR="00264317" w:rsidRPr="0087043D">
        <w:t xml:space="preserve"> </w:t>
      </w:r>
      <w:r w:rsidR="00401A70" w:rsidRPr="0087043D">
        <w:t>These were corrected during the evaluation and the re-estimates are presented below.</w:t>
      </w:r>
    </w:p>
    <w:p w:rsidR="00CF18EF" w:rsidRPr="0087043D" w:rsidRDefault="007C0D19" w:rsidP="007C0D19">
      <w:pPr>
        <w:pStyle w:val="3-BodyText"/>
      </w:pPr>
      <w:r w:rsidRPr="0087043D">
        <w:t xml:space="preserve">The estimated use and financial implications of listing </w:t>
      </w:r>
      <w:proofErr w:type="spellStart"/>
      <w:r w:rsidRPr="0087043D">
        <w:t>NIVO+IPI+platinum</w:t>
      </w:r>
      <w:proofErr w:type="spellEnd"/>
      <w:r w:rsidRPr="0087043D">
        <w:t xml:space="preserve"> on the PBS/RPBS for first-line treatment of Stage IV NSCLC are summarised below.</w:t>
      </w:r>
    </w:p>
    <w:p w:rsidR="00C25D9C" w:rsidRPr="0087043D" w:rsidRDefault="004515A8" w:rsidP="004515A8">
      <w:pPr>
        <w:pStyle w:val="TableFigureHeading"/>
      </w:pPr>
      <w:r w:rsidRPr="0087043D">
        <w:t xml:space="preserve">Table </w:t>
      </w:r>
      <w:r w:rsidR="00C71489" w:rsidRPr="0087043D">
        <w:t>18</w:t>
      </w:r>
      <w:r w:rsidRPr="0087043D">
        <w:t xml:space="preserve">: </w:t>
      </w:r>
      <w:r w:rsidR="002A2F50" w:rsidRPr="0087043D">
        <w:rPr>
          <w:rStyle w:val="CommentReference"/>
          <w:b/>
          <w:szCs w:val="24"/>
        </w:rPr>
        <w:t>Estimated use and financial implications</w:t>
      </w:r>
    </w:p>
    <w:tbl>
      <w:tblPr>
        <w:tblStyle w:val="TableGrid"/>
        <w:tblW w:w="5000" w:type="pct"/>
        <w:tblLook w:val="04A0" w:firstRow="1" w:lastRow="0" w:firstColumn="1" w:lastColumn="0" w:noHBand="0" w:noVBand="1"/>
        <w:tblCaption w:val="Table 18: Estimated use and financial implications"/>
      </w:tblPr>
      <w:tblGrid>
        <w:gridCol w:w="1627"/>
        <w:gridCol w:w="1216"/>
        <w:gridCol w:w="1216"/>
        <w:gridCol w:w="1247"/>
        <w:gridCol w:w="1247"/>
        <w:gridCol w:w="1185"/>
        <w:gridCol w:w="1279"/>
      </w:tblGrid>
      <w:tr w:rsidR="00385A9D" w:rsidRPr="008A0138" w:rsidTr="00EC78BA">
        <w:trPr>
          <w:tblHeader/>
        </w:trPr>
        <w:tc>
          <w:tcPr>
            <w:tcW w:w="1116" w:type="pct"/>
          </w:tcPr>
          <w:p w:rsidR="00385A9D" w:rsidRPr="008A0138" w:rsidRDefault="00385A9D" w:rsidP="00606FBA">
            <w:pPr>
              <w:pStyle w:val="In-tableHeading"/>
              <w:jc w:val="center"/>
              <w:rPr>
                <w:szCs w:val="20"/>
                <w:lang w:val="en-AU"/>
              </w:rPr>
            </w:pPr>
          </w:p>
        </w:tc>
        <w:tc>
          <w:tcPr>
            <w:tcW w:w="647" w:type="pct"/>
          </w:tcPr>
          <w:p w:rsidR="00385A9D" w:rsidRPr="008A0138" w:rsidRDefault="00385A9D" w:rsidP="00606FBA">
            <w:pPr>
              <w:pStyle w:val="In-tableHeading"/>
              <w:jc w:val="center"/>
              <w:rPr>
                <w:szCs w:val="20"/>
                <w:lang w:val="en-AU"/>
              </w:rPr>
            </w:pPr>
            <w:r w:rsidRPr="008A0138">
              <w:rPr>
                <w:szCs w:val="20"/>
                <w:lang w:val="en-AU"/>
              </w:rPr>
              <w:t>Year 1</w:t>
            </w:r>
          </w:p>
        </w:tc>
        <w:tc>
          <w:tcPr>
            <w:tcW w:w="647" w:type="pct"/>
          </w:tcPr>
          <w:p w:rsidR="00385A9D" w:rsidRPr="008A0138" w:rsidRDefault="00385A9D" w:rsidP="00606FBA">
            <w:pPr>
              <w:pStyle w:val="In-tableHeading"/>
              <w:jc w:val="center"/>
              <w:rPr>
                <w:szCs w:val="20"/>
                <w:lang w:val="en-AU"/>
              </w:rPr>
            </w:pPr>
            <w:r w:rsidRPr="008A0138">
              <w:rPr>
                <w:szCs w:val="20"/>
                <w:lang w:val="en-AU"/>
              </w:rPr>
              <w:t>Year 2</w:t>
            </w:r>
          </w:p>
        </w:tc>
        <w:tc>
          <w:tcPr>
            <w:tcW w:w="647" w:type="pct"/>
          </w:tcPr>
          <w:p w:rsidR="00385A9D" w:rsidRPr="008A0138" w:rsidRDefault="00385A9D" w:rsidP="00606FBA">
            <w:pPr>
              <w:pStyle w:val="In-tableHeading"/>
              <w:jc w:val="center"/>
              <w:rPr>
                <w:szCs w:val="20"/>
                <w:lang w:val="en-AU"/>
              </w:rPr>
            </w:pPr>
            <w:r w:rsidRPr="008A0138">
              <w:rPr>
                <w:szCs w:val="20"/>
                <w:lang w:val="en-AU"/>
              </w:rPr>
              <w:t>Year 3</w:t>
            </w:r>
          </w:p>
        </w:tc>
        <w:tc>
          <w:tcPr>
            <w:tcW w:w="647" w:type="pct"/>
          </w:tcPr>
          <w:p w:rsidR="00385A9D" w:rsidRPr="008A0138" w:rsidRDefault="00385A9D" w:rsidP="00606FBA">
            <w:pPr>
              <w:pStyle w:val="In-tableHeading"/>
              <w:jc w:val="center"/>
              <w:rPr>
                <w:szCs w:val="20"/>
                <w:lang w:val="en-AU"/>
              </w:rPr>
            </w:pPr>
            <w:r w:rsidRPr="008A0138">
              <w:rPr>
                <w:szCs w:val="20"/>
                <w:lang w:val="en-AU"/>
              </w:rPr>
              <w:t>Year 4</w:t>
            </w:r>
          </w:p>
        </w:tc>
        <w:tc>
          <w:tcPr>
            <w:tcW w:w="647" w:type="pct"/>
          </w:tcPr>
          <w:p w:rsidR="00385A9D" w:rsidRPr="008A0138" w:rsidRDefault="00385A9D" w:rsidP="00606FBA">
            <w:pPr>
              <w:pStyle w:val="In-tableHeading"/>
              <w:jc w:val="center"/>
              <w:rPr>
                <w:szCs w:val="20"/>
                <w:lang w:val="en-AU"/>
              </w:rPr>
            </w:pPr>
            <w:r w:rsidRPr="008A0138">
              <w:rPr>
                <w:szCs w:val="20"/>
                <w:lang w:val="en-AU"/>
              </w:rPr>
              <w:t>Year 5</w:t>
            </w:r>
          </w:p>
        </w:tc>
        <w:tc>
          <w:tcPr>
            <w:tcW w:w="649" w:type="pct"/>
          </w:tcPr>
          <w:p w:rsidR="00385A9D" w:rsidRPr="008A0138" w:rsidRDefault="00385A9D" w:rsidP="00606FBA">
            <w:pPr>
              <w:pStyle w:val="In-tableHeading"/>
              <w:jc w:val="center"/>
              <w:rPr>
                <w:szCs w:val="20"/>
                <w:lang w:val="en-AU"/>
              </w:rPr>
            </w:pPr>
            <w:r w:rsidRPr="008A0138">
              <w:rPr>
                <w:szCs w:val="20"/>
                <w:lang w:val="en-AU"/>
              </w:rPr>
              <w:t>Year 6</w:t>
            </w:r>
          </w:p>
        </w:tc>
      </w:tr>
      <w:tr w:rsidR="00385A9D" w:rsidRPr="008A0138" w:rsidTr="008A0138">
        <w:tc>
          <w:tcPr>
            <w:tcW w:w="5000" w:type="pct"/>
            <w:gridSpan w:val="7"/>
          </w:tcPr>
          <w:p w:rsidR="00385A9D" w:rsidRPr="008A0138" w:rsidRDefault="00385A9D" w:rsidP="00606FBA">
            <w:pPr>
              <w:pStyle w:val="In-tableHeading"/>
              <w:rPr>
                <w:bCs/>
                <w:color w:val="000000"/>
                <w:szCs w:val="20"/>
                <w:lang w:val="en-AU"/>
              </w:rPr>
            </w:pPr>
            <w:r w:rsidRPr="008A0138">
              <w:rPr>
                <w:bCs/>
                <w:color w:val="000000"/>
                <w:szCs w:val="20"/>
                <w:lang w:val="en-AU"/>
              </w:rPr>
              <w:t>Estimated extent of use</w:t>
            </w:r>
          </w:p>
        </w:tc>
      </w:tr>
      <w:tr w:rsidR="00365C1C" w:rsidRPr="008A0138" w:rsidTr="008A0138">
        <w:tc>
          <w:tcPr>
            <w:tcW w:w="1116" w:type="pct"/>
          </w:tcPr>
          <w:p w:rsidR="00365C1C" w:rsidRPr="008A0138" w:rsidRDefault="00365C1C" w:rsidP="00365C1C">
            <w:pPr>
              <w:pStyle w:val="TableText0"/>
              <w:rPr>
                <w:szCs w:val="20"/>
              </w:rPr>
            </w:pPr>
            <w:r w:rsidRPr="008A0138">
              <w:rPr>
                <w:szCs w:val="20"/>
              </w:rPr>
              <w:t>Number of patients treated</w:t>
            </w:r>
          </w:p>
        </w:tc>
        <w:tc>
          <w:tcPr>
            <w:tcW w:w="647" w:type="pct"/>
          </w:tcPr>
          <w:p w:rsidR="00365C1C" w:rsidRPr="00B059AE" w:rsidRDefault="00115F96" w:rsidP="004615A4">
            <w:pPr>
              <w:pStyle w:val="TableText0"/>
              <w:jc w:val="center"/>
              <w:rPr>
                <w:color w:val="000000"/>
                <w:szCs w:val="20"/>
                <w:vertAlign w:val="superscript"/>
              </w:rPr>
            </w:pPr>
            <w:r>
              <w:rPr>
                <w:noProof/>
                <w:color w:val="000000"/>
                <w:szCs w:val="20"/>
                <w:highlight w:val="black"/>
              </w:rPr>
              <w:t>'''''''''</w:t>
            </w:r>
            <w:r w:rsidR="00B059AE" w:rsidRPr="00B059AE">
              <w:rPr>
                <w:color w:val="000000"/>
                <w:szCs w:val="20"/>
                <w:vertAlign w:val="superscript"/>
              </w:rPr>
              <w:t>1</w:t>
            </w:r>
          </w:p>
        </w:tc>
        <w:tc>
          <w:tcPr>
            <w:tcW w:w="647" w:type="pct"/>
          </w:tcPr>
          <w:p w:rsidR="00365C1C" w:rsidRPr="008A0138" w:rsidRDefault="00115F96" w:rsidP="004615A4">
            <w:pPr>
              <w:pStyle w:val="TableText0"/>
              <w:jc w:val="center"/>
              <w:rPr>
                <w:color w:val="000000"/>
                <w:szCs w:val="20"/>
              </w:rPr>
            </w:pPr>
            <w:r>
              <w:rPr>
                <w:noProof/>
                <w:color w:val="000000"/>
                <w:szCs w:val="20"/>
                <w:highlight w:val="black"/>
              </w:rPr>
              <w:t>'''''''''</w:t>
            </w:r>
            <w:r w:rsidR="00B059AE" w:rsidRPr="00B059AE">
              <w:rPr>
                <w:color w:val="000000"/>
                <w:szCs w:val="20"/>
                <w:vertAlign w:val="superscript"/>
              </w:rPr>
              <w:t>1</w:t>
            </w:r>
          </w:p>
        </w:tc>
        <w:tc>
          <w:tcPr>
            <w:tcW w:w="647" w:type="pct"/>
          </w:tcPr>
          <w:p w:rsidR="00365C1C" w:rsidRPr="008A0138" w:rsidRDefault="00115F96" w:rsidP="004615A4">
            <w:pPr>
              <w:pStyle w:val="TableText0"/>
              <w:jc w:val="center"/>
              <w:rPr>
                <w:color w:val="000000"/>
                <w:szCs w:val="20"/>
              </w:rPr>
            </w:pPr>
            <w:r>
              <w:rPr>
                <w:noProof/>
                <w:color w:val="000000"/>
                <w:szCs w:val="20"/>
                <w:highlight w:val="black"/>
              </w:rPr>
              <w:t>''''''''''</w:t>
            </w:r>
            <w:r w:rsidR="00B059AE">
              <w:rPr>
                <w:color w:val="000000"/>
                <w:szCs w:val="20"/>
                <w:vertAlign w:val="superscript"/>
              </w:rPr>
              <w:t>2</w:t>
            </w:r>
          </w:p>
        </w:tc>
        <w:tc>
          <w:tcPr>
            <w:tcW w:w="647" w:type="pct"/>
          </w:tcPr>
          <w:p w:rsidR="00365C1C" w:rsidRPr="008A0138" w:rsidRDefault="00115F96" w:rsidP="004615A4">
            <w:pPr>
              <w:pStyle w:val="TableText0"/>
              <w:jc w:val="center"/>
              <w:rPr>
                <w:color w:val="000000"/>
                <w:szCs w:val="20"/>
              </w:rPr>
            </w:pPr>
            <w:r>
              <w:rPr>
                <w:noProof/>
                <w:color w:val="000000"/>
                <w:szCs w:val="20"/>
                <w:highlight w:val="black"/>
              </w:rPr>
              <w:t>''''''''</w:t>
            </w:r>
            <w:r w:rsidR="00B059AE">
              <w:rPr>
                <w:color w:val="000000"/>
                <w:szCs w:val="20"/>
                <w:vertAlign w:val="superscript"/>
              </w:rPr>
              <w:t>2</w:t>
            </w:r>
          </w:p>
        </w:tc>
        <w:tc>
          <w:tcPr>
            <w:tcW w:w="647" w:type="pct"/>
          </w:tcPr>
          <w:p w:rsidR="00365C1C" w:rsidRPr="008A0138" w:rsidRDefault="00115F96" w:rsidP="004615A4">
            <w:pPr>
              <w:pStyle w:val="TableText0"/>
              <w:jc w:val="center"/>
              <w:rPr>
                <w:color w:val="000000"/>
                <w:szCs w:val="20"/>
              </w:rPr>
            </w:pPr>
            <w:r>
              <w:rPr>
                <w:noProof/>
                <w:color w:val="000000"/>
                <w:szCs w:val="20"/>
                <w:highlight w:val="black"/>
              </w:rPr>
              <w:t>'''''''''</w:t>
            </w:r>
            <w:r w:rsidR="00B059AE">
              <w:rPr>
                <w:color w:val="000000"/>
                <w:szCs w:val="20"/>
                <w:vertAlign w:val="superscript"/>
              </w:rPr>
              <w:t>2</w:t>
            </w:r>
          </w:p>
        </w:tc>
        <w:tc>
          <w:tcPr>
            <w:tcW w:w="649" w:type="pct"/>
          </w:tcPr>
          <w:p w:rsidR="00365C1C" w:rsidRPr="008A0138" w:rsidRDefault="00115F96" w:rsidP="004615A4">
            <w:pPr>
              <w:pStyle w:val="TableText0"/>
              <w:jc w:val="center"/>
              <w:rPr>
                <w:color w:val="000000"/>
                <w:szCs w:val="20"/>
              </w:rPr>
            </w:pPr>
            <w:r>
              <w:rPr>
                <w:noProof/>
                <w:color w:val="000000"/>
                <w:szCs w:val="20"/>
                <w:highlight w:val="black"/>
              </w:rPr>
              <w:t>''''''''</w:t>
            </w:r>
            <w:r w:rsidR="00B059AE">
              <w:rPr>
                <w:color w:val="000000"/>
                <w:szCs w:val="20"/>
                <w:vertAlign w:val="superscript"/>
              </w:rPr>
              <w:t>2</w:t>
            </w:r>
          </w:p>
        </w:tc>
      </w:tr>
      <w:tr w:rsidR="00365C1C" w:rsidRPr="008A0138" w:rsidTr="008A0138">
        <w:tc>
          <w:tcPr>
            <w:tcW w:w="1116" w:type="pct"/>
          </w:tcPr>
          <w:p w:rsidR="00365C1C" w:rsidRPr="008A0138" w:rsidRDefault="00365C1C" w:rsidP="00606FBA">
            <w:pPr>
              <w:pStyle w:val="TableText0"/>
              <w:rPr>
                <w:szCs w:val="20"/>
              </w:rPr>
            </w:pPr>
            <w:r w:rsidRPr="008A0138">
              <w:rPr>
                <w:szCs w:val="20"/>
              </w:rPr>
              <w:t xml:space="preserve">Grandfathered patients </w:t>
            </w:r>
          </w:p>
        </w:tc>
        <w:tc>
          <w:tcPr>
            <w:tcW w:w="647" w:type="pct"/>
          </w:tcPr>
          <w:p w:rsidR="00365C1C" w:rsidRPr="00B059AE" w:rsidRDefault="00115F96" w:rsidP="004615A4">
            <w:pPr>
              <w:pStyle w:val="TableText0"/>
              <w:jc w:val="center"/>
              <w:rPr>
                <w:color w:val="000000"/>
                <w:szCs w:val="20"/>
                <w:vertAlign w:val="superscript"/>
              </w:rPr>
            </w:pPr>
            <w:r>
              <w:rPr>
                <w:noProof/>
                <w:color w:val="000000"/>
                <w:szCs w:val="20"/>
                <w:highlight w:val="black"/>
              </w:rPr>
              <w:t>'''''''</w:t>
            </w:r>
            <w:r w:rsidR="00B059AE" w:rsidRPr="00B059AE">
              <w:rPr>
                <w:color w:val="000000"/>
                <w:szCs w:val="20"/>
                <w:vertAlign w:val="superscript"/>
              </w:rPr>
              <w:t>1</w:t>
            </w:r>
          </w:p>
        </w:tc>
        <w:tc>
          <w:tcPr>
            <w:tcW w:w="647" w:type="pct"/>
          </w:tcPr>
          <w:p w:rsidR="00365C1C" w:rsidRPr="008A0138" w:rsidRDefault="00365C1C" w:rsidP="004615A4">
            <w:pPr>
              <w:pStyle w:val="TableText0"/>
              <w:jc w:val="center"/>
              <w:rPr>
                <w:color w:val="000000"/>
                <w:szCs w:val="20"/>
              </w:rPr>
            </w:pPr>
          </w:p>
        </w:tc>
        <w:tc>
          <w:tcPr>
            <w:tcW w:w="647" w:type="pct"/>
          </w:tcPr>
          <w:p w:rsidR="00365C1C" w:rsidRPr="008A0138" w:rsidRDefault="00365C1C" w:rsidP="004615A4">
            <w:pPr>
              <w:pStyle w:val="TableText0"/>
              <w:jc w:val="center"/>
              <w:rPr>
                <w:color w:val="000000"/>
                <w:szCs w:val="20"/>
              </w:rPr>
            </w:pPr>
          </w:p>
        </w:tc>
        <w:tc>
          <w:tcPr>
            <w:tcW w:w="647" w:type="pct"/>
          </w:tcPr>
          <w:p w:rsidR="00365C1C" w:rsidRPr="008A0138" w:rsidRDefault="00365C1C" w:rsidP="004615A4">
            <w:pPr>
              <w:pStyle w:val="TableText0"/>
              <w:jc w:val="center"/>
              <w:rPr>
                <w:color w:val="000000"/>
                <w:szCs w:val="20"/>
              </w:rPr>
            </w:pPr>
          </w:p>
        </w:tc>
        <w:tc>
          <w:tcPr>
            <w:tcW w:w="647" w:type="pct"/>
          </w:tcPr>
          <w:p w:rsidR="00365C1C" w:rsidRPr="008A0138" w:rsidRDefault="00365C1C" w:rsidP="004615A4">
            <w:pPr>
              <w:pStyle w:val="TableText0"/>
              <w:jc w:val="center"/>
              <w:rPr>
                <w:color w:val="000000"/>
                <w:szCs w:val="20"/>
              </w:rPr>
            </w:pPr>
          </w:p>
        </w:tc>
        <w:tc>
          <w:tcPr>
            <w:tcW w:w="649" w:type="pct"/>
          </w:tcPr>
          <w:p w:rsidR="00365C1C" w:rsidRPr="008A0138" w:rsidRDefault="00365C1C" w:rsidP="004615A4">
            <w:pPr>
              <w:pStyle w:val="TableText0"/>
              <w:jc w:val="center"/>
              <w:rPr>
                <w:color w:val="000000"/>
                <w:szCs w:val="20"/>
              </w:rPr>
            </w:pPr>
          </w:p>
        </w:tc>
      </w:tr>
      <w:tr w:rsidR="00365C1C" w:rsidRPr="008A0138" w:rsidTr="008A0138">
        <w:tc>
          <w:tcPr>
            <w:tcW w:w="1116" w:type="pct"/>
          </w:tcPr>
          <w:p w:rsidR="00365C1C" w:rsidRPr="008A0138" w:rsidRDefault="00365C1C" w:rsidP="00365C1C">
            <w:pPr>
              <w:pStyle w:val="TableText0"/>
              <w:rPr>
                <w:szCs w:val="20"/>
              </w:rPr>
            </w:pPr>
            <w:r w:rsidRPr="008A0138">
              <w:rPr>
                <w:szCs w:val="20"/>
              </w:rPr>
              <w:t xml:space="preserve">Number of scripts </w:t>
            </w:r>
            <w:proofErr w:type="spellStart"/>
            <w:r w:rsidRPr="008A0138">
              <w:rPr>
                <w:szCs w:val="20"/>
              </w:rPr>
              <w:t>dispensed</w:t>
            </w:r>
            <w:r w:rsidRPr="008A0138">
              <w:rPr>
                <w:szCs w:val="20"/>
                <w:vertAlign w:val="superscript"/>
              </w:rPr>
              <w:t>a</w:t>
            </w:r>
            <w:proofErr w:type="spellEnd"/>
          </w:p>
        </w:tc>
        <w:tc>
          <w:tcPr>
            <w:tcW w:w="647" w:type="pct"/>
          </w:tcPr>
          <w:p w:rsidR="00365C1C" w:rsidRPr="00115F96" w:rsidRDefault="00115F96" w:rsidP="004615A4">
            <w:pPr>
              <w:pStyle w:val="TableText0"/>
              <w:jc w:val="center"/>
              <w:rPr>
                <w:color w:val="000000"/>
                <w:szCs w:val="20"/>
                <w:vertAlign w:val="superscript"/>
              </w:rPr>
            </w:pPr>
            <w:r>
              <w:rPr>
                <w:noProof/>
                <w:color w:val="000000"/>
                <w:szCs w:val="20"/>
                <w:highlight w:val="black"/>
              </w:rPr>
              <w:t>'''''''''''''''''</w:t>
            </w:r>
            <w:r w:rsidR="00B059AE" w:rsidRPr="00B059AE">
              <w:rPr>
                <w:szCs w:val="20"/>
                <w:vertAlign w:val="superscript"/>
              </w:rPr>
              <w:t>3</w:t>
            </w:r>
          </w:p>
        </w:tc>
        <w:tc>
          <w:tcPr>
            <w:tcW w:w="647" w:type="pct"/>
          </w:tcPr>
          <w:p w:rsidR="00365C1C" w:rsidRPr="00115F96" w:rsidRDefault="00115F96" w:rsidP="004615A4">
            <w:pPr>
              <w:pStyle w:val="TableText0"/>
              <w:jc w:val="center"/>
              <w:rPr>
                <w:color w:val="000000"/>
                <w:szCs w:val="20"/>
              </w:rPr>
            </w:pPr>
            <w:r>
              <w:rPr>
                <w:noProof/>
                <w:color w:val="000000"/>
                <w:szCs w:val="20"/>
                <w:highlight w:val="black"/>
              </w:rPr>
              <w:t>''''''''''''''''</w:t>
            </w:r>
            <w:r w:rsidR="00B059AE" w:rsidRPr="00B059AE">
              <w:rPr>
                <w:szCs w:val="20"/>
                <w:vertAlign w:val="superscript"/>
              </w:rPr>
              <w:t>3</w:t>
            </w:r>
          </w:p>
        </w:tc>
        <w:tc>
          <w:tcPr>
            <w:tcW w:w="647" w:type="pct"/>
          </w:tcPr>
          <w:p w:rsidR="00365C1C" w:rsidRPr="00115F96" w:rsidRDefault="00115F96" w:rsidP="004615A4">
            <w:pPr>
              <w:pStyle w:val="TableText0"/>
              <w:jc w:val="center"/>
              <w:rPr>
                <w:color w:val="000000"/>
                <w:szCs w:val="20"/>
              </w:rPr>
            </w:pPr>
            <w:r>
              <w:rPr>
                <w:noProof/>
                <w:color w:val="000000"/>
                <w:szCs w:val="20"/>
                <w:highlight w:val="black"/>
              </w:rPr>
              <w:t>'''''''''''''''</w:t>
            </w:r>
            <w:r w:rsidR="00B059AE" w:rsidRPr="00B059AE">
              <w:rPr>
                <w:szCs w:val="20"/>
                <w:vertAlign w:val="superscript"/>
              </w:rPr>
              <w:t>3</w:t>
            </w:r>
          </w:p>
        </w:tc>
        <w:tc>
          <w:tcPr>
            <w:tcW w:w="647" w:type="pct"/>
          </w:tcPr>
          <w:p w:rsidR="00365C1C" w:rsidRPr="00115F96" w:rsidRDefault="00115F96" w:rsidP="004615A4">
            <w:pPr>
              <w:pStyle w:val="TableText0"/>
              <w:jc w:val="center"/>
              <w:rPr>
                <w:color w:val="000000"/>
                <w:szCs w:val="20"/>
              </w:rPr>
            </w:pPr>
            <w:r>
              <w:rPr>
                <w:noProof/>
                <w:color w:val="000000"/>
                <w:szCs w:val="20"/>
                <w:highlight w:val="black"/>
              </w:rPr>
              <w:t>'''''''''''''''''</w:t>
            </w:r>
            <w:r w:rsidR="00B059AE" w:rsidRPr="00B059AE">
              <w:rPr>
                <w:szCs w:val="20"/>
                <w:vertAlign w:val="superscript"/>
              </w:rPr>
              <w:t>3</w:t>
            </w:r>
          </w:p>
        </w:tc>
        <w:tc>
          <w:tcPr>
            <w:tcW w:w="647" w:type="pct"/>
          </w:tcPr>
          <w:p w:rsidR="00365C1C" w:rsidRPr="00115F96" w:rsidRDefault="00115F96" w:rsidP="004615A4">
            <w:pPr>
              <w:pStyle w:val="TableText0"/>
              <w:jc w:val="center"/>
              <w:rPr>
                <w:color w:val="000000"/>
                <w:szCs w:val="20"/>
              </w:rPr>
            </w:pPr>
            <w:r>
              <w:rPr>
                <w:noProof/>
                <w:color w:val="000000"/>
                <w:szCs w:val="20"/>
                <w:highlight w:val="black"/>
              </w:rPr>
              <w:t>''''''''''''''''</w:t>
            </w:r>
            <w:r w:rsidR="00B059AE" w:rsidRPr="00B059AE">
              <w:rPr>
                <w:szCs w:val="20"/>
                <w:vertAlign w:val="superscript"/>
              </w:rPr>
              <w:t>3</w:t>
            </w:r>
          </w:p>
        </w:tc>
        <w:tc>
          <w:tcPr>
            <w:tcW w:w="649" w:type="pct"/>
          </w:tcPr>
          <w:p w:rsidR="00365C1C" w:rsidRPr="00115F96" w:rsidRDefault="00115F96" w:rsidP="004615A4">
            <w:pPr>
              <w:pStyle w:val="TableText0"/>
              <w:jc w:val="center"/>
              <w:rPr>
                <w:color w:val="000000"/>
                <w:szCs w:val="20"/>
              </w:rPr>
            </w:pPr>
            <w:r>
              <w:rPr>
                <w:noProof/>
                <w:color w:val="000000"/>
                <w:szCs w:val="20"/>
                <w:highlight w:val="black"/>
              </w:rPr>
              <w:t>'''''''''''''''</w:t>
            </w:r>
            <w:r w:rsidR="00B059AE" w:rsidRPr="00B059AE">
              <w:rPr>
                <w:szCs w:val="20"/>
                <w:vertAlign w:val="superscript"/>
              </w:rPr>
              <w:t>3</w:t>
            </w:r>
          </w:p>
        </w:tc>
      </w:tr>
      <w:tr w:rsidR="00385A9D" w:rsidRPr="008A0138" w:rsidTr="008A0138">
        <w:tc>
          <w:tcPr>
            <w:tcW w:w="5000" w:type="pct"/>
            <w:gridSpan w:val="7"/>
          </w:tcPr>
          <w:p w:rsidR="00385A9D" w:rsidRPr="008A0138" w:rsidRDefault="00385A9D" w:rsidP="00B401C0">
            <w:pPr>
              <w:pStyle w:val="In-tableHeading"/>
              <w:rPr>
                <w:szCs w:val="20"/>
                <w:lang w:val="en-AU"/>
              </w:rPr>
            </w:pPr>
            <w:r w:rsidRPr="008A0138">
              <w:rPr>
                <w:szCs w:val="20"/>
                <w:lang w:val="en-AU"/>
              </w:rPr>
              <w:t xml:space="preserve">Estimated financial implications of </w:t>
            </w:r>
            <w:proofErr w:type="spellStart"/>
            <w:r w:rsidR="00B401C0" w:rsidRPr="008A0138">
              <w:rPr>
                <w:szCs w:val="20"/>
                <w:lang w:val="en-AU"/>
              </w:rPr>
              <w:t>NIVO+IPI+platinum</w:t>
            </w:r>
            <w:proofErr w:type="spellEnd"/>
            <w:r w:rsidR="00B401C0" w:rsidRPr="008A0138">
              <w:rPr>
                <w:szCs w:val="20"/>
                <w:lang w:val="en-AU"/>
              </w:rPr>
              <w:t xml:space="preserve"> (effective price)</w:t>
            </w:r>
          </w:p>
        </w:tc>
      </w:tr>
      <w:tr w:rsidR="00E94559" w:rsidRPr="008A0138" w:rsidTr="008A0138">
        <w:tc>
          <w:tcPr>
            <w:tcW w:w="1116" w:type="pct"/>
          </w:tcPr>
          <w:p w:rsidR="00E94559" w:rsidRPr="008A0138" w:rsidRDefault="00E94559" w:rsidP="00E94559">
            <w:pPr>
              <w:pStyle w:val="TableText0"/>
              <w:rPr>
                <w:szCs w:val="20"/>
              </w:rPr>
            </w:pPr>
            <w:r w:rsidRPr="008A0138">
              <w:rPr>
                <w:szCs w:val="20"/>
              </w:rPr>
              <w:t xml:space="preserve">Cost to PBS/RPBS less </w:t>
            </w:r>
            <w:proofErr w:type="spellStart"/>
            <w:r w:rsidRPr="008A0138">
              <w:rPr>
                <w:szCs w:val="20"/>
              </w:rPr>
              <w:t>copayments</w:t>
            </w:r>
            <w:r w:rsidRPr="008A0138">
              <w:rPr>
                <w:szCs w:val="20"/>
                <w:vertAlign w:val="superscript"/>
              </w:rPr>
              <w:t>b</w:t>
            </w:r>
            <w:proofErr w:type="spellEnd"/>
          </w:p>
        </w:tc>
        <w:tc>
          <w:tcPr>
            <w:tcW w:w="647" w:type="pct"/>
          </w:tcPr>
          <w:p w:rsidR="00E94559" w:rsidRPr="00B059AE" w:rsidRDefault="00E94559" w:rsidP="00E94559">
            <w:pPr>
              <w:pStyle w:val="TableText0"/>
              <w:jc w:val="center"/>
              <w:rPr>
                <w:szCs w:val="20"/>
                <w:vertAlign w:val="superscript"/>
              </w:rPr>
            </w:pPr>
            <w:r w:rsidRPr="008A0138">
              <w:rPr>
                <w:szCs w:val="20"/>
              </w:rPr>
              <w:t>$</w:t>
            </w:r>
            <w:r w:rsidR="00115F96">
              <w:rPr>
                <w:noProof/>
                <w:color w:val="000000"/>
                <w:szCs w:val="20"/>
                <w:highlight w:val="black"/>
              </w:rPr>
              <w:t>'''''''''''''''''''''''''''</w:t>
            </w:r>
            <w:r w:rsidR="00B059AE">
              <w:rPr>
                <w:szCs w:val="20"/>
                <w:vertAlign w:val="superscript"/>
              </w:rPr>
              <w:t>4</w:t>
            </w:r>
          </w:p>
        </w:tc>
        <w:tc>
          <w:tcPr>
            <w:tcW w:w="647" w:type="pct"/>
          </w:tcPr>
          <w:p w:rsidR="00E94559" w:rsidRPr="00B059AE" w:rsidRDefault="00E94559" w:rsidP="00E94559">
            <w:pPr>
              <w:pStyle w:val="TableText0"/>
              <w:jc w:val="center"/>
              <w:rPr>
                <w:szCs w:val="20"/>
                <w:vertAlign w:val="superscript"/>
              </w:rPr>
            </w:pPr>
            <w:r w:rsidRPr="008A0138">
              <w:rPr>
                <w:szCs w:val="20"/>
              </w:rPr>
              <w:t>$</w:t>
            </w:r>
            <w:r w:rsidR="00115F96">
              <w:rPr>
                <w:noProof/>
                <w:color w:val="000000"/>
                <w:szCs w:val="20"/>
                <w:highlight w:val="black"/>
              </w:rPr>
              <w:t>''''''''''''''''''''''''''</w:t>
            </w:r>
            <w:r w:rsidR="00B059AE">
              <w:rPr>
                <w:szCs w:val="20"/>
                <w:vertAlign w:val="superscript"/>
              </w:rPr>
              <w:t>5</w:t>
            </w:r>
          </w:p>
        </w:tc>
        <w:tc>
          <w:tcPr>
            <w:tcW w:w="647" w:type="pct"/>
          </w:tcPr>
          <w:p w:rsidR="00E94559" w:rsidRPr="008A0138" w:rsidRDefault="00E94559" w:rsidP="00E94559">
            <w:pPr>
              <w:pStyle w:val="TableText0"/>
              <w:jc w:val="center"/>
              <w:rPr>
                <w:szCs w:val="20"/>
              </w:rPr>
            </w:pPr>
            <w:r w:rsidRPr="008A0138">
              <w:rPr>
                <w:szCs w:val="20"/>
              </w:rPr>
              <w:t>$</w:t>
            </w:r>
            <w:r w:rsidR="00115F96">
              <w:rPr>
                <w:noProof/>
                <w:color w:val="000000"/>
                <w:szCs w:val="20"/>
                <w:highlight w:val="black"/>
              </w:rPr>
              <w:t>''''''''''''''''''''''''''''</w:t>
            </w:r>
            <w:r w:rsidR="00B059AE">
              <w:rPr>
                <w:szCs w:val="20"/>
                <w:vertAlign w:val="superscript"/>
              </w:rPr>
              <w:t>4</w:t>
            </w:r>
          </w:p>
        </w:tc>
        <w:tc>
          <w:tcPr>
            <w:tcW w:w="647" w:type="pct"/>
          </w:tcPr>
          <w:p w:rsidR="00E94559" w:rsidRPr="008A0138" w:rsidRDefault="00E94559" w:rsidP="00E94559">
            <w:pPr>
              <w:pStyle w:val="TableText0"/>
              <w:jc w:val="center"/>
              <w:rPr>
                <w:szCs w:val="20"/>
              </w:rPr>
            </w:pPr>
            <w:r w:rsidRPr="008A0138">
              <w:rPr>
                <w:szCs w:val="20"/>
              </w:rPr>
              <w:t>$</w:t>
            </w:r>
            <w:r w:rsidR="00115F96">
              <w:rPr>
                <w:noProof/>
                <w:color w:val="000000"/>
                <w:szCs w:val="20"/>
                <w:highlight w:val="black"/>
              </w:rPr>
              <w:t>'''''''''''''''''''''''''''</w:t>
            </w:r>
            <w:r w:rsidR="00B059AE">
              <w:rPr>
                <w:szCs w:val="20"/>
                <w:vertAlign w:val="superscript"/>
              </w:rPr>
              <w:t>4</w:t>
            </w:r>
          </w:p>
        </w:tc>
        <w:tc>
          <w:tcPr>
            <w:tcW w:w="647" w:type="pct"/>
          </w:tcPr>
          <w:p w:rsidR="00E94559" w:rsidRPr="008A0138" w:rsidRDefault="00E94559" w:rsidP="00E94559">
            <w:pPr>
              <w:pStyle w:val="TableText0"/>
              <w:jc w:val="center"/>
              <w:rPr>
                <w:szCs w:val="20"/>
              </w:rPr>
            </w:pPr>
            <w:r w:rsidRPr="008A0138">
              <w:rPr>
                <w:szCs w:val="20"/>
              </w:rPr>
              <w:t>$</w:t>
            </w:r>
            <w:r w:rsidR="00115F96">
              <w:rPr>
                <w:noProof/>
                <w:color w:val="000000"/>
                <w:szCs w:val="20"/>
                <w:highlight w:val="black"/>
              </w:rPr>
              <w:t>''''''''''''''''''''''''</w:t>
            </w:r>
            <w:r w:rsidR="00B059AE">
              <w:rPr>
                <w:szCs w:val="20"/>
                <w:vertAlign w:val="superscript"/>
              </w:rPr>
              <w:t>4</w:t>
            </w:r>
          </w:p>
        </w:tc>
        <w:tc>
          <w:tcPr>
            <w:tcW w:w="649" w:type="pct"/>
          </w:tcPr>
          <w:p w:rsidR="00E94559" w:rsidRPr="008A0138" w:rsidRDefault="00E94559" w:rsidP="00E94559">
            <w:pPr>
              <w:pStyle w:val="TableText0"/>
              <w:jc w:val="center"/>
              <w:rPr>
                <w:szCs w:val="20"/>
              </w:rPr>
            </w:pPr>
            <w:r w:rsidRPr="008A0138">
              <w:rPr>
                <w:szCs w:val="20"/>
              </w:rPr>
              <w:t>$</w:t>
            </w:r>
            <w:r w:rsidR="00115F96">
              <w:rPr>
                <w:noProof/>
                <w:color w:val="000000"/>
                <w:szCs w:val="20"/>
                <w:highlight w:val="black"/>
              </w:rPr>
              <w:t>'''''''''''''''''''''''''''''</w:t>
            </w:r>
            <w:r w:rsidR="00B059AE">
              <w:rPr>
                <w:szCs w:val="20"/>
                <w:vertAlign w:val="superscript"/>
              </w:rPr>
              <w:t>4</w:t>
            </w:r>
          </w:p>
        </w:tc>
      </w:tr>
      <w:tr w:rsidR="00E94559" w:rsidRPr="008A0138" w:rsidTr="008A0138">
        <w:tc>
          <w:tcPr>
            <w:tcW w:w="5000" w:type="pct"/>
            <w:gridSpan w:val="7"/>
          </w:tcPr>
          <w:p w:rsidR="00E94559" w:rsidRPr="008A0138" w:rsidRDefault="00E94559" w:rsidP="00E94559">
            <w:pPr>
              <w:pStyle w:val="TableText0"/>
              <w:rPr>
                <w:b/>
                <w:szCs w:val="20"/>
              </w:rPr>
            </w:pPr>
            <w:r w:rsidRPr="008A0138">
              <w:rPr>
                <w:b/>
                <w:szCs w:val="20"/>
              </w:rPr>
              <w:t xml:space="preserve">Estimated financial implications for </w:t>
            </w:r>
            <w:proofErr w:type="spellStart"/>
            <w:r w:rsidRPr="008A0138">
              <w:rPr>
                <w:b/>
                <w:szCs w:val="20"/>
              </w:rPr>
              <w:t>pembrolizumab+platinum</w:t>
            </w:r>
            <w:proofErr w:type="spellEnd"/>
            <w:r w:rsidRPr="008A0138">
              <w:rPr>
                <w:b/>
                <w:szCs w:val="20"/>
              </w:rPr>
              <w:t xml:space="preserve"> (assumed effective price)</w:t>
            </w:r>
          </w:p>
        </w:tc>
      </w:tr>
      <w:tr w:rsidR="00E94559" w:rsidRPr="008A0138" w:rsidTr="008A0138">
        <w:tc>
          <w:tcPr>
            <w:tcW w:w="1116" w:type="pct"/>
          </w:tcPr>
          <w:p w:rsidR="00E94559" w:rsidRPr="008A0138" w:rsidRDefault="00E94559" w:rsidP="00E94559">
            <w:pPr>
              <w:pStyle w:val="TableText0"/>
              <w:rPr>
                <w:szCs w:val="20"/>
              </w:rPr>
            </w:pPr>
            <w:r w:rsidRPr="008A0138">
              <w:rPr>
                <w:szCs w:val="20"/>
              </w:rPr>
              <w:t xml:space="preserve">Cost to PBS/RPBS less </w:t>
            </w:r>
            <w:proofErr w:type="spellStart"/>
            <w:r w:rsidRPr="008A0138">
              <w:rPr>
                <w:szCs w:val="20"/>
              </w:rPr>
              <w:t>copayments</w:t>
            </w:r>
            <w:r w:rsidRPr="008A0138">
              <w:rPr>
                <w:szCs w:val="20"/>
                <w:vertAlign w:val="superscript"/>
              </w:rPr>
              <w:t>b</w:t>
            </w:r>
            <w:proofErr w:type="spellEnd"/>
          </w:p>
        </w:tc>
        <w:tc>
          <w:tcPr>
            <w:tcW w:w="647" w:type="pct"/>
          </w:tcPr>
          <w:p w:rsidR="00E94559" w:rsidRPr="008A0138" w:rsidRDefault="00E94559" w:rsidP="00E94559">
            <w:pPr>
              <w:pStyle w:val="TableText0"/>
              <w:jc w:val="center"/>
              <w:rPr>
                <w:szCs w:val="20"/>
              </w:rPr>
            </w:pPr>
            <w:r w:rsidRPr="008A0138">
              <w:rPr>
                <w:szCs w:val="20"/>
              </w:rPr>
              <w:t>$</w:t>
            </w:r>
            <w:r w:rsidR="00115F96">
              <w:rPr>
                <w:noProof/>
                <w:color w:val="000000"/>
                <w:szCs w:val="20"/>
                <w:highlight w:val="black"/>
              </w:rPr>
              <w:t>'''''''''''''''''''''''''''</w:t>
            </w:r>
            <w:r w:rsidR="00B059AE">
              <w:rPr>
                <w:szCs w:val="20"/>
                <w:vertAlign w:val="superscript"/>
              </w:rPr>
              <w:t>5</w:t>
            </w:r>
          </w:p>
        </w:tc>
        <w:tc>
          <w:tcPr>
            <w:tcW w:w="647" w:type="pct"/>
          </w:tcPr>
          <w:p w:rsidR="00E94559" w:rsidRPr="008A0138" w:rsidRDefault="00E94559" w:rsidP="00E94559">
            <w:pPr>
              <w:pStyle w:val="TableText0"/>
              <w:jc w:val="center"/>
              <w:rPr>
                <w:szCs w:val="20"/>
              </w:rPr>
            </w:pPr>
            <w:r w:rsidRPr="008A0138">
              <w:rPr>
                <w:szCs w:val="20"/>
              </w:rPr>
              <w:t>$</w:t>
            </w:r>
            <w:r w:rsidR="00115F96">
              <w:rPr>
                <w:noProof/>
                <w:color w:val="000000"/>
                <w:szCs w:val="20"/>
                <w:highlight w:val="black"/>
              </w:rPr>
              <w:t>'''''''''''''''''''''''''''</w:t>
            </w:r>
            <w:r w:rsidR="00B059AE">
              <w:rPr>
                <w:szCs w:val="20"/>
                <w:vertAlign w:val="superscript"/>
              </w:rPr>
              <w:t>5</w:t>
            </w:r>
          </w:p>
        </w:tc>
        <w:tc>
          <w:tcPr>
            <w:tcW w:w="647" w:type="pct"/>
          </w:tcPr>
          <w:p w:rsidR="00E94559" w:rsidRPr="008A0138" w:rsidRDefault="00E94559" w:rsidP="00E94559">
            <w:pPr>
              <w:pStyle w:val="TableText0"/>
              <w:jc w:val="center"/>
              <w:rPr>
                <w:szCs w:val="20"/>
              </w:rPr>
            </w:pPr>
            <w:r w:rsidRPr="008A0138">
              <w:rPr>
                <w:szCs w:val="20"/>
              </w:rPr>
              <w:t>$</w:t>
            </w:r>
            <w:r w:rsidR="00115F96">
              <w:rPr>
                <w:noProof/>
                <w:color w:val="000000"/>
                <w:szCs w:val="20"/>
                <w:highlight w:val="black"/>
              </w:rPr>
              <w:t>''''''''''''''''''''''''''</w:t>
            </w:r>
            <w:r w:rsidR="00B059AE">
              <w:rPr>
                <w:szCs w:val="20"/>
                <w:vertAlign w:val="superscript"/>
              </w:rPr>
              <w:t>5</w:t>
            </w:r>
          </w:p>
        </w:tc>
        <w:tc>
          <w:tcPr>
            <w:tcW w:w="647" w:type="pct"/>
          </w:tcPr>
          <w:p w:rsidR="00E94559" w:rsidRPr="008A0138" w:rsidRDefault="00E94559" w:rsidP="00E94559">
            <w:pPr>
              <w:pStyle w:val="TableText0"/>
              <w:jc w:val="center"/>
              <w:rPr>
                <w:szCs w:val="20"/>
              </w:rPr>
            </w:pPr>
            <w:r w:rsidRPr="008A0138">
              <w:rPr>
                <w:szCs w:val="20"/>
              </w:rPr>
              <w:t>$</w:t>
            </w:r>
            <w:r w:rsidR="00115F96">
              <w:rPr>
                <w:noProof/>
                <w:color w:val="000000"/>
                <w:szCs w:val="20"/>
                <w:highlight w:val="black"/>
              </w:rPr>
              <w:t>''''''''''''''''''''''''''''</w:t>
            </w:r>
            <w:r w:rsidR="00B059AE">
              <w:rPr>
                <w:szCs w:val="20"/>
                <w:vertAlign w:val="superscript"/>
              </w:rPr>
              <w:t>5</w:t>
            </w:r>
          </w:p>
        </w:tc>
        <w:tc>
          <w:tcPr>
            <w:tcW w:w="647" w:type="pct"/>
          </w:tcPr>
          <w:p w:rsidR="00E94559" w:rsidRPr="008A0138" w:rsidRDefault="00E94559" w:rsidP="00E94559">
            <w:pPr>
              <w:pStyle w:val="TableText0"/>
              <w:jc w:val="center"/>
              <w:rPr>
                <w:szCs w:val="20"/>
              </w:rPr>
            </w:pPr>
            <w:r w:rsidRPr="008A0138">
              <w:rPr>
                <w:szCs w:val="20"/>
              </w:rPr>
              <w:t>$</w:t>
            </w:r>
            <w:r w:rsidR="00115F96">
              <w:rPr>
                <w:noProof/>
                <w:color w:val="000000"/>
                <w:szCs w:val="20"/>
                <w:highlight w:val="black"/>
              </w:rPr>
              <w:t>'''''''''''''''''''''''''</w:t>
            </w:r>
            <w:r w:rsidR="00B059AE">
              <w:rPr>
                <w:szCs w:val="20"/>
                <w:vertAlign w:val="superscript"/>
              </w:rPr>
              <w:t>4</w:t>
            </w:r>
          </w:p>
        </w:tc>
        <w:tc>
          <w:tcPr>
            <w:tcW w:w="649" w:type="pct"/>
          </w:tcPr>
          <w:p w:rsidR="00E94559" w:rsidRPr="008A0138" w:rsidRDefault="00E94559" w:rsidP="00E94559">
            <w:pPr>
              <w:pStyle w:val="TableText0"/>
              <w:jc w:val="center"/>
              <w:rPr>
                <w:szCs w:val="20"/>
              </w:rPr>
            </w:pPr>
            <w:r w:rsidRPr="008A0138">
              <w:rPr>
                <w:szCs w:val="20"/>
              </w:rPr>
              <w:t>$</w:t>
            </w:r>
            <w:r w:rsidR="00115F96">
              <w:rPr>
                <w:noProof/>
                <w:color w:val="000000"/>
                <w:szCs w:val="20"/>
                <w:highlight w:val="black"/>
              </w:rPr>
              <w:t>'''''''''''''''''''''''''''''</w:t>
            </w:r>
            <w:r w:rsidR="00B059AE">
              <w:rPr>
                <w:szCs w:val="20"/>
                <w:vertAlign w:val="superscript"/>
              </w:rPr>
              <w:t>4</w:t>
            </w:r>
          </w:p>
        </w:tc>
      </w:tr>
      <w:tr w:rsidR="00E94559" w:rsidRPr="008A0138" w:rsidTr="008A0138">
        <w:tc>
          <w:tcPr>
            <w:tcW w:w="5000" w:type="pct"/>
            <w:gridSpan w:val="7"/>
          </w:tcPr>
          <w:p w:rsidR="00E94559" w:rsidRPr="008A0138" w:rsidRDefault="00E94559" w:rsidP="00E94559">
            <w:pPr>
              <w:pStyle w:val="In-tableHeading"/>
              <w:rPr>
                <w:szCs w:val="20"/>
                <w:lang w:val="en-AU"/>
              </w:rPr>
            </w:pPr>
            <w:r w:rsidRPr="008A0138">
              <w:rPr>
                <w:szCs w:val="20"/>
                <w:lang w:val="en-AU"/>
              </w:rPr>
              <w:t>Net financial implications</w:t>
            </w:r>
            <w:r w:rsidRPr="008A0138">
              <w:rPr>
                <w:color w:val="4BACC6" w:themeColor="accent5"/>
                <w:szCs w:val="20"/>
                <w:lang w:val="en-AU"/>
              </w:rPr>
              <w:t xml:space="preserve"> </w:t>
            </w:r>
          </w:p>
        </w:tc>
      </w:tr>
      <w:tr w:rsidR="00E94559" w:rsidRPr="008A0138" w:rsidTr="008A0138">
        <w:tc>
          <w:tcPr>
            <w:tcW w:w="1116" w:type="pct"/>
          </w:tcPr>
          <w:p w:rsidR="00E94559" w:rsidRPr="008A0138" w:rsidRDefault="00E94559" w:rsidP="00E94559">
            <w:pPr>
              <w:pStyle w:val="TableText0"/>
              <w:rPr>
                <w:szCs w:val="20"/>
              </w:rPr>
            </w:pPr>
            <w:r w:rsidRPr="008A0138">
              <w:rPr>
                <w:szCs w:val="20"/>
              </w:rPr>
              <w:t>Net cost to PBS/</w:t>
            </w:r>
            <w:proofErr w:type="spellStart"/>
            <w:r w:rsidRPr="008A0138">
              <w:rPr>
                <w:szCs w:val="20"/>
              </w:rPr>
              <w:t>RPBS</w:t>
            </w:r>
            <w:r w:rsidRPr="008A0138">
              <w:rPr>
                <w:szCs w:val="20"/>
                <w:vertAlign w:val="superscript"/>
              </w:rPr>
              <w:t>b</w:t>
            </w:r>
            <w:proofErr w:type="spellEnd"/>
          </w:p>
        </w:tc>
        <w:tc>
          <w:tcPr>
            <w:tcW w:w="647" w:type="pct"/>
          </w:tcPr>
          <w:p w:rsidR="00E94559" w:rsidRPr="00B059AE" w:rsidRDefault="00E94559" w:rsidP="00E94559">
            <w:pPr>
              <w:pStyle w:val="TableText0"/>
              <w:jc w:val="center"/>
              <w:rPr>
                <w:szCs w:val="20"/>
                <w:vertAlign w:val="superscript"/>
              </w:rPr>
            </w:pPr>
            <w:r w:rsidRPr="008A0138">
              <w:rPr>
                <w:szCs w:val="20"/>
              </w:rPr>
              <w:t>$</w:t>
            </w:r>
            <w:r w:rsidR="00115F96">
              <w:rPr>
                <w:noProof/>
                <w:color w:val="000000"/>
                <w:szCs w:val="20"/>
                <w:highlight w:val="black"/>
              </w:rPr>
              <w:t>'''''''''''''''''''''''</w:t>
            </w:r>
            <w:r w:rsidR="00B059AE">
              <w:rPr>
                <w:szCs w:val="20"/>
                <w:vertAlign w:val="superscript"/>
              </w:rPr>
              <w:t>6</w:t>
            </w:r>
          </w:p>
        </w:tc>
        <w:tc>
          <w:tcPr>
            <w:tcW w:w="647" w:type="pct"/>
          </w:tcPr>
          <w:p w:rsidR="00E94559" w:rsidRPr="008A0138" w:rsidRDefault="00E94559" w:rsidP="00E94559">
            <w:pPr>
              <w:pStyle w:val="TableText0"/>
              <w:jc w:val="center"/>
              <w:rPr>
                <w:szCs w:val="20"/>
              </w:rPr>
            </w:pPr>
            <w:r w:rsidRPr="008A0138">
              <w:rPr>
                <w:szCs w:val="20"/>
              </w:rPr>
              <w:t>$</w:t>
            </w:r>
            <w:r w:rsidR="00115F96">
              <w:rPr>
                <w:noProof/>
                <w:color w:val="000000"/>
                <w:szCs w:val="20"/>
                <w:highlight w:val="black"/>
              </w:rPr>
              <w:t>'''''''''''''''''''''</w:t>
            </w:r>
            <w:r w:rsidR="00B059AE">
              <w:rPr>
                <w:szCs w:val="20"/>
                <w:vertAlign w:val="superscript"/>
              </w:rPr>
              <w:t>6</w:t>
            </w:r>
          </w:p>
        </w:tc>
        <w:tc>
          <w:tcPr>
            <w:tcW w:w="647" w:type="pct"/>
          </w:tcPr>
          <w:p w:rsidR="00E94559" w:rsidRPr="008A0138" w:rsidRDefault="00E94559" w:rsidP="00E94559">
            <w:pPr>
              <w:pStyle w:val="TableText0"/>
              <w:jc w:val="center"/>
              <w:rPr>
                <w:szCs w:val="20"/>
              </w:rPr>
            </w:pPr>
            <w:r w:rsidRPr="008A0138">
              <w:rPr>
                <w:szCs w:val="20"/>
              </w:rPr>
              <w:t>$</w:t>
            </w:r>
            <w:r w:rsidR="00115F96">
              <w:rPr>
                <w:noProof/>
                <w:color w:val="000000"/>
                <w:szCs w:val="20"/>
                <w:highlight w:val="black"/>
              </w:rPr>
              <w:t>''''''''''''''''''''''''''</w:t>
            </w:r>
            <w:r w:rsidR="00B059AE">
              <w:rPr>
                <w:szCs w:val="20"/>
                <w:vertAlign w:val="superscript"/>
              </w:rPr>
              <w:t>6</w:t>
            </w:r>
          </w:p>
        </w:tc>
        <w:tc>
          <w:tcPr>
            <w:tcW w:w="647" w:type="pct"/>
          </w:tcPr>
          <w:p w:rsidR="00E94559" w:rsidRPr="008A0138" w:rsidRDefault="00E94559" w:rsidP="00E94559">
            <w:pPr>
              <w:pStyle w:val="TableText0"/>
              <w:jc w:val="center"/>
              <w:rPr>
                <w:szCs w:val="20"/>
              </w:rPr>
            </w:pPr>
            <w:r w:rsidRPr="008A0138">
              <w:rPr>
                <w:szCs w:val="20"/>
              </w:rPr>
              <w:t>$</w:t>
            </w:r>
            <w:r w:rsidR="00115F96">
              <w:rPr>
                <w:noProof/>
                <w:color w:val="000000"/>
                <w:szCs w:val="20"/>
                <w:highlight w:val="black"/>
              </w:rPr>
              <w:t>''''''''''''''''''''''''</w:t>
            </w:r>
            <w:r w:rsidR="00B059AE">
              <w:rPr>
                <w:szCs w:val="20"/>
                <w:vertAlign w:val="superscript"/>
              </w:rPr>
              <w:t>6</w:t>
            </w:r>
          </w:p>
        </w:tc>
        <w:tc>
          <w:tcPr>
            <w:tcW w:w="647" w:type="pct"/>
          </w:tcPr>
          <w:p w:rsidR="00E94559" w:rsidRPr="008A0138" w:rsidRDefault="00E94559" w:rsidP="00E94559">
            <w:pPr>
              <w:pStyle w:val="TableText0"/>
              <w:jc w:val="center"/>
              <w:rPr>
                <w:szCs w:val="20"/>
              </w:rPr>
            </w:pPr>
            <w:r w:rsidRPr="008A0138">
              <w:rPr>
                <w:szCs w:val="20"/>
              </w:rPr>
              <w:t>$</w:t>
            </w:r>
            <w:r w:rsidR="00115F96">
              <w:rPr>
                <w:noProof/>
                <w:color w:val="000000"/>
                <w:szCs w:val="20"/>
                <w:highlight w:val="black"/>
              </w:rPr>
              <w:t>''''''''''''''''''''''''''</w:t>
            </w:r>
            <w:r w:rsidR="00B059AE">
              <w:rPr>
                <w:szCs w:val="20"/>
                <w:vertAlign w:val="superscript"/>
              </w:rPr>
              <w:t>6</w:t>
            </w:r>
          </w:p>
        </w:tc>
        <w:tc>
          <w:tcPr>
            <w:tcW w:w="649" w:type="pct"/>
          </w:tcPr>
          <w:p w:rsidR="00E94559" w:rsidRPr="008A0138" w:rsidRDefault="00E94559" w:rsidP="00E94559">
            <w:pPr>
              <w:pStyle w:val="TableText0"/>
              <w:jc w:val="center"/>
              <w:rPr>
                <w:szCs w:val="20"/>
              </w:rPr>
            </w:pPr>
            <w:r w:rsidRPr="008A0138">
              <w:rPr>
                <w:szCs w:val="20"/>
              </w:rPr>
              <w:t>$</w:t>
            </w:r>
            <w:r w:rsidR="00115F96">
              <w:rPr>
                <w:noProof/>
                <w:color w:val="000000"/>
                <w:szCs w:val="20"/>
                <w:highlight w:val="black"/>
              </w:rPr>
              <w:t>''''''''''''''''''''''''</w:t>
            </w:r>
            <w:r w:rsidR="00B059AE">
              <w:rPr>
                <w:szCs w:val="20"/>
                <w:vertAlign w:val="superscript"/>
              </w:rPr>
              <w:t>6</w:t>
            </w:r>
          </w:p>
        </w:tc>
      </w:tr>
      <w:tr w:rsidR="00E94559" w:rsidRPr="008A0138" w:rsidTr="008A0138">
        <w:tc>
          <w:tcPr>
            <w:tcW w:w="1116" w:type="pct"/>
          </w:tcPr>
          <w:p w:rsidR="00E94559" w:rsidRPr="008A0138" w:rsidRDefault="00E94559" w:rsidP="00E94559">
            <w:pPr>
              <w:pStyle w:val="TableText0"/>
              <w:rPr>
                <w:szCs w:val="20"/>
              </w:rPr>
            </w:pPr>
            <w:r w:rsidRPr="008A0138">
              <w:rPr>
                <w:szCs w:val="20"/>
              </w:rPr>
              <w:t xml:space="preserve">Net cost to </w:t>
            </w:r>
            <w:proofErr w:type="spellStart"/>
            <w:r w:rsidRPr="008A0138">
              <w:rPr>
                <w:szCs w:val="20"/>
              </w:rPr>
              <w:t>MBS</w:t>
            </w:r>
            <w:r w:rsidRPr="008A0138">
              <w:rPr>
                <w:szCs w:val="20"/>
                <w:vertAlign w:val="superscript"/>
              </w:rPr>
              <w:t>c</w:t>
            </w:r>
            <w:proofErr w:type="spellEnd"/>
          </w:p>
        </w:tc>
        <w:tc>
          <w:tcPr>
            <w:tcW w:w="647" w:type="pct"/>
          </w:tcPr>
          <w:p w:rsidR="00E94559" w:rsidRPr="008A0138" w:rsidRDefault="00E94559" w:rsidP="00E94559">
            <w:pPr>
              <w:pStyle w:val="TableText0"/>
              <w:jc w:val="center"/>
              <w:rPr>
                <w:szCs w:val="20"/>
              </w:rPr>
            </w:pPr>
            <w:r w:rsidRPr="008A0138">
              <w:rPr>
                <w:szCs w:val="20"/>
              </w:rPr>
              <w:t>-$</w:t>
            </w:r>
            <w:r w:rsidR="00115F96">
              <w:rPr>
                <w:noProof/>
                <w:color w:val="000000"/>
                <w:szCs w:val="20"/>
                <w:highlight w:val="black"/>
              </w:rPr>
              <w:t>''''''''''''''</w:t>
            </w:r>
            <w:r w:rsidR="002438E1">
              <w:rPr>
                <w:szCs w:val="20"/>
                <w:vertAlign w:val="superscript"/>
              </w:rPr>
              <w:t>7</w:t>
            </w:r>
          </w:p>
        </w:tc>
        <w:tc>
          <w:tcPr>
            <w:tcW w:w="647" w:type="pct"/>
          </w:tcPr>
          <w:p w:rsidR="00E94559" w:rsidRPr="008A0138" w:rsidRDefault="00E94559" w:rsidP="00E94559">
            <w:pPr>
              <w:pStyle w:val="TableText0"/>
              <w:jc w:val="center"/>
              <w:rPr>
                <w:szCs w:val="20"/>
              </w:rPr>
            </w:pPr>
            <w:r w:rsidRPr="008A0138">
              <w:rPr>
                <w:szCs w:val="20"/>
              </w:rPr>
              <w:t>-$</w:t>
            </w:r>
            <w:r w:rsidR="00115F96">
              <w:rPr>
                <w:noProof/>
                <w:color w:val="000000"/>
                <w:szCs w:val="20"/>
                <w:highlight w:val="black"/>
              </w:rPr>
              <w:t>'''''''''''''''</w:t>
            </w:r>
            <w:r w:rsidR="002438E1">
              <w:rPr>
                <w:szCs w:val="20"/>
                <w:vertAlign w:val="superscript"/>
              </w:rPr>
              <w:t>7</w:t>
            </w:r>
          </w:p>
        </w:tc>
        <w:tc>
          <w:tcPr>
            <w:tcW w:w="647" w:type="pct"/>
          </w:tcPr>
          <w:p w:rsidR="00E94559" w:rsidRPr="008A0138" w:rsidRDefault="00E94559" w:rsidP="00E94559">
            <w:pPr>
              <w:pStyle w:val="TableText0"/>
              <w:jc w:val="center"/>
              <w:rPr>
                <w:szCs w:val="20"/>
              </w:rPr>
            </w:pPr>
            <w:r w:rsidRPr="008A0138">
              <w:rPr>
                <w:szCs w:val="20"/>
              </w:rPr>
              <w:t>-$</w:t>
            </w:r>
            <w:r w:rsidR="00115F96">
              <w:rPr>
                <w:noProof/>
                <w:color w:val="000000"/>
                <w:szCs w:val="20"/>
                <w:highlight w:val="black"/>
              </w:rPr>
              <w:t>'''''''''''''''</w:t>
            </w:r>
            <w:r w:rsidR="002438E1">
              <w:rPr>
                <w:szCs w:val="20"/>
                <w:vertAlign w:val="superscript"/>
              </w:rPr>
              <w:t>7</w:t>
            </w:r>
          </w:p>
        </w:tc>
        <w:tc>
          <w:tcPr>
            <w:tcW w:w="647" w:type="pct"/>
          </w:tcPr>
          <w:p w:rsidR="00E94559" w:rsidRPr="008A0138" w:rsidRDefault="00E94559" w:rsidP="00E94559">
            <w:pPr>
              <w:pStyle w:val="TableText0"/>
              <w:jc w:val="center"/>
              <w:rPr>
                <w:szCs w:val="20"/>
              </w:rPr>
            </w:pPr>
            <w:r w:rsidRPr="008A0138">
              <w:rPr>
                <w:szCs w:val="20"/>
              </w:rPr>
              <w:t>-$</w:t>
            </w:r>
            <w:r w:rsidR="00115F96">
              <w:rPr>
                <w:noProof/>
                <w:color w:val="000000"/>
                <w:szCs w:val="20"/>
                <w:highlight w:val="black"/>
              </w:rPr>
              <w:t>''''''''''''''''</w:t>
            </w:r>
            <w:r w:rsidR="002438E1">
              <w:rPr>
                <w:szCs w:val="20"/>
                <w:vertAlign w:val="superscript"/>
              </w:rPr>
              <w:t>7</w:t>
            </w:r>
          </w:p>
        </w:tc>
        <w:tc>
          <w:tcPr>
            <w:tcW w:w="647" w:type="pct"/>
          </w:tcPr>
          <w:p w:rsidR="00E94559" w:rsidRPr="008A0138" w:rsidRDefault="00E94559" w:rsidP="00E94559">
            <w:pPr>
              <w:pStyle w:val="TableText0"/>
              <w:jc w:val="center"/>
              <w:rPr>
                <w:szCs w:val="20"/>
              </w:rPr>
            </w:pPr>
            <w:r w:rsidRPr="008A0138">
              <w:rPr>
                <w:szCs w:val="20"/>
              </w:rPr>
              <w:t>-$</w:t>
            </w:r>
            <w:r w:rsidR="00115F96">
              <w:rPr>
                <w:noProof/>
                <w:color w:val="000000"/>
                <w:szCs w:val="20"/>
                <w:highlight w:val="black"/>
              </w:rPr>
              <w:t>'''''''''''''''</w:t>
            </w:r>
            <w:r w:rsidR="002438E1">
              <w:rPr>
                <w:szCs w:val="20"/>
                <w:vertAlign w:val="superscript"/>
              </w:rPr>
              <w:t>7</w:t>
            </w:r>
          </w:p>
        </w:tc>
        <w:tc>
          <w:tcPr>
            <w:tcW w:w="649" w:type="pct"/>
          </w:tcPr>
          <w:p w:rsidR="00E94559" w:rsidRPr="008A0138" w:rsidRDefault="00E94559" w:rsidP="002438E1">
            <w:pPr>
              <w:pStyle w:val="TableText0"/>
              <w:jc w:val="center"/>
              <w:rPr>
                <w:szCs w:val="20"/>
              </w:rPr>
            </w:pPr>
            <w:r w:rsidRPr="008A0138">
              <w:rPr>
                <w:szCs w:val="20"/>
              </w:rPr>
              <w:t>-$</w:t>
            </w:r>
            <w:r w:rsidR="00115F96">
              <w:rPr>
                <w:noProof/>
                <w:color w:val="000000"/>
                <w:szCs w:val="20"/>
                <w:highlight w:val="black"/>
              </w:rPr>
              <w:t>'''''''''''''''</w:t>
            </w:r>
            <w:r w:rsidR="002438E1" w:rsidRPr="002438E1">
              <w:rPr>
                <w:szCs w:val="20"/>
                <w:vertAlign w:val="superscript"/>
              </w:rPr>
              <w:t>7</w:t>
            </w:r>
          </w:p>
        </w:tc>
      </w:tr>
      <w:tr w:rsidR="00E94559" w:rsidRPr="008A0138" w:rsidTr="008A0138">
        <w:tc>
          <w:tcPr>
            <w:tcW w:w="1116" w:type="pct"/>
          </w:tcPr>
          <w:p w:rsidR="00E94559" w:rsidRPr="008A0138" w:rsidRDefault="00E94559" w:rsidP="00E94559">
            <w:pPr>
              <w:pStyle w:val="TableText0"/>
              <w:rPr>
                <w:szCs w:val="20"/>
              </w:rPr>
            </w:pPr>
            <w:r w:rsidRPr="008A0138">
              <w:rPr>
                <w:szCs w:val="20"/>
              </w:rPr>
              <w:t>Net cost to PBS/RPBS/MBS</w:t>
            </w:r>
            <w:r w:rsidRPr="008A0138">
              <w:rPr>
                <w:szCs w:val="20"/>
                <w:vertAlign w:val="superscript"/>
              </w:rPr>
              <w:t xml:space="preserve"> b, c</w:t>
            </w:r>
          </w:p>
        </w:tc>
        <w:tc>
          <w:tcPr>
            <w:tcW w:w="647" w:type="pct"/>
          </w:tcPr>
          <w:p w:rsidR="00E94559" w:rsidRPr="008A0138" w:rsidRDefault="00E94559" w:rsidP="00E94559">
            <w:pPr>
              <w:pStyle w:val="TableText0"/>
              <w:jc w:val="center"/>
              <w:rPr>
                <w:szCs w:val="20"/>
              </w:rPr>
            </w:pPr>
            <w:r w:rsidRPr="008A0138">
              <w:rPr>
                <w:b/>
                <w:szCs w:val="20"/>
              </w:rPr>
              <w:t>$</w:t>
            </w:r>
            <w:r w:rsidR="00115F96">
              <w:rPr>
                <w:b/>
                <w:noProof/>
                <w:color w:val="000000"/>
                <w:szCs w:val="20"/>
                <w:highlight w:val="black"/>
              </w:rPr>
              <w:t>''''''''''''''''''''</w:t>
            </w:r>
            <w:r w:rsidR="00B059AE">
              <w:rPr>
                <w:szCs w:val="20"/>
                <w:vertAlign w:val="superscript"/>
              </w:rPr>
              <w:t>6</w:t>
            </w:r>
          </w:p>
        </w:tc>
        <w:tc>
          <w:tcPr>
            <w:tcW w:w="647" w:type="pct"/>
          </w:tcPr>
          <w:p w:rsidR="00E94559" w:rsidRPr="008A0138" w:rsidRDefault="00E94559" w:rsidP="00E94559">
            <w:pPr>
              <w:pStyle w:val="TableText0"/>
              <w:jc w:val="center"/>
              <w:rPr>
                <w:szCs w:val="20"/>
              </w:rPr>
            </w:pPr>
            <w:r w:rsidRPr="008A0138">
              <w:rPr>
                <w:b/>
                <w:szCs w:val="20"/>
              </w:rPr>
              <w:t>$</w:t>
            </w:r>
            <w:r w:rsidR="00115F96">
              <w:rPr>
                <w:b/>
                <w:noProof/>
                <w:color w:val="000000"/>
                <w:szCs w:val="20"/>
                <w:highlight w:val="black"/>
              </w:rPr>
              <w:t>''''''''''''''''''</w:t>
            </w:r>
            <w:r w:rsidR="00B059AE">
              <w:rPr>
                <w:szCs w:val="20"/>
                <w:vertAlign w:val="superscript"/>
              </w:rPr>
              <w:t>6</w:t>
            </w:r>
          </w:p>
        </w:tc>
        <w:tc>
          <w:tcPr>
            <w:tcW w:w="647" w:type="pct"/>
          </w:tcPr>
          <w:p w:rsidR="00E94559" w:rsidRPr="008A0138" w:rsidRDefault="00E94559" w:rsidP="00E94559">
            <w:pPr>
              <w:pStyle w:val="TableText0"/>
              <w:jc w:val="center"/>
              <w:rPr>
                <w:szCs w:val="20"/>
              </w:rPr>
            </w:pPr>
            <w:r w:rsidRPr="008A0138">
              <w:rPr>
                <w:b/>
                <w:szCs w:val="20"/>
              </w:rPr>
              <w:t>$</w:t>
            </w:r>
            <w:r w:rsidR="00115F96">
              <w:rPr>
                <w:b/>
                <w:noProof/>
                <w:color w:val="000000"/>
                <w:szCs w:val="20"/>
                <w:highlight w:val="black"/>
              </w:rPr>
              <w:t>'''''''''''''''''''</w:t>
            </w:r>
            <w:r w:rsidR="00B059AE">
              <w:rPr>
                <w:szCs w:val="20"/>
                <w:vertAlign w:val="superscript"/>
              </w:rPr>
              <w:t>6</w:t>
            </w:r>
          </w:p>
        </w:tc>
        <w:tc>
          <w:tcPr>
            <w:tcW w:w="647" w:type="pct"/>
          </w:tcPr>
          <w:p w:rsidR="00E94559" w:rsidRPr="008A0138" w:rsidRDefault="00E94559" w:rsidP="00E94559">
            <w:pPr>
              <w:pStyle w:val="TableText0"/>
              <w:jc w:val="center"/>
              <w:rPr>
                <w:szCs w:val="20"/>
              </w:rPr>
            </w:pPr>
            <w:r w:rsidRPr="008A0138">
              <w:rPr>
                <w:b/>
                <w:szCs w:val="20"/>
              </w:rPr>
              <w:t>$</w:t>
            </w:r>
            <w:r w:rsidR="00115F96">
              <w:rPr>
                <w:b/>
                <w:noProof/>
                <w:color w:val="000000"/>
                <w:szCs w:val="20"/>
                <w:highlight w:val="black"/>
              </w:rPr>
              <w:t>''''''''''''''''''</w:t>
            </w:r>
            <w:r w:rsidR="00B059AE">
              <w:rPr>
                <w:szCs w:val="20"/>
                <w:vertAlign w:val="superscript"/>
              </w:rPr>
              <w:t>6</w:t>
            </w:r>
          </w:p>
        </w:tc>
        <w:tc>
          <w:tcPr>
            <w:tcW w:w="647" w:type="pct"/>
          </w:tcPr>
          <w:p w:rsidR="00E94559" w:rsidRPr="008A0138" w:rsidRDefault="00E94559" w:rsidP="00E94559">
            <w:pPr>
              <w:pStyle w:val="TableText0"/>
              <w:jc w:val="center"/>
              <w:rPr>
                <w:szCs w:val="20"/>
              </w:rPr>
            </w:pPr>
            <w:r w:rsidRPr="008A0138">
              <w:rPr>
                <w:b/>
                <w:szCs w:val="20"/>
              </w:rPr>
              <w:t>$</w:t>
            </w:r>
            <w:r w:rsidR="00115F96">
              <w:rPr>
                <w:b/>
                <w:noProof/>
                <w:color w:val="000000"/>
                <w:szCs w:val="20"/>
                <w:highlight w:val="black"/>
              </w:rPr>
              <w:t>'''''''''''''''''</w:t>
            </w:r>
            <w:r w:rsidR="00B059AE">
              <w:rPr>
                <w:szCs w:val="20"/>
                <w:vertAlign w:val="superscript"/>
              </w:rPr>
              <w:t>6</w:t>
            </w:r>
          </w:p>
        </w:tc>
        <w:tc>
          <w:tcPr>
            <w:tcW w:w="649" w:type="pct"/>
          </w:tcPr>
          <w:p w:rsidR="00E94559" w:rsidRPr="008A0138" w:rsidRDefault="00E94559" w:rsidP="00E94559">
            <w:pPr>
              <w:pStyle w:val="TableText0"/>
              <w:jc w:val="center"/>
              <w:rPr>
                <w:szCs w:val="20"/>
              </w:rPr>
            </w:pPr>
            <w:r w:rsidRPr="008A0138">
              <w:rPr>
                <w:b/>
                <w:szCs w:val="20"/>
              </w:rPr>
              <w:t>$</w:t>
            </w:r>
            <w:r w:rsidR="00115F96">
              <w:rPr>
                <w:b/>
                <w:noProof/>
                <w:color w:val="000000"/>
                <w:szCs w:val="20"/>
                <w:highlight w:val="black"/>
              </w:rPr>
              <w:t>'''''''''''''''''''</w:t>
            </w:r>
            <w:r w:rsidR="00B059AE">
              <w:rPr>
                <w:szCs w:val="20"/>
                <w:vertAlign w:val="superscript"/>
              </w:rPr>
              <w:t>6</w:t>
            </w:r>
          </w:p>
        </w:tc>
      </w:tr>
    </w:tbl>
    <w:p w:rsidR="00AF55A0" w:rsidRPr="0087043D" w:rsidRDefault="00620C25" w:rsidP="00AF55A0">
      <w:pPr>
        <w:pStyle w:val="TableFigureFooter"/>
      </w:pPr>
      <w:r w:rsidRPr="0087043D">
        <w:t xml:space="preserve">Source: </w:t>
      </w:r>
      <w:r w:rsidR="00181DE6" w:rsidRPr="0087043D">
        <w:t>Table 135</w:t>
      </w:r>
      <w:r w:rsidR="00AF55A0" w:rsidRPr="0087043D">
        <w:t xml:space="preserve"> p235, </w:t>
      </w:r>
      <w:r w:rsidR="00181DE6" w:rsidRPr="0087043D">
        <w:t>Table 136</w:t>
      </w:r>
      <w:r w:rsidR="00AF55A0" w:rsidRPr="0087043D">
        <w:t xml:space="preserve"> p236, </w:t>
      </w:r>
      <w:proofErr w:type="gramStart"/>
      <w:r w:rsidR="00181DE6" w:rsidRPr="0087043D">
        <w:t>Table</w:t>
      </w:r>
      <w:proofErr w:type="gramEnd"/>
      <w:r w:rsidR="00181DE6" w:rsidRPr="0087043D">
        <w:t xml:space="preserve"> 139</w:t>
      </w:r>
      <w:r w:rsidR="00AF55A0" w:rsidRPr="0087043D">
        <w:t xml:space="preserve"> </w:t>
      </w:r>
      <w:r w:rsidR="00181DE6" w:rsidRPr="0087043D">
        <w:t>p239: Table 143 p243, Table 144 p244, Table 146</w:t>
      </w:r>
      <w:r w:rsidR="005757A8" w:rsidRPr="0087043D">
        <w:t>, p245</w:t>
      </w:r>
      <w:r w:rsidR="00181DE6" w:rsidRPr="0087043D">
        <w:t xml:space="preserve"> and Table 147</w:t>
      </w:r>
      <w:r w:rsidR="00AF55A0" w:rsidRPr="0087043D">
        <w:t xml:space="preserve"> p246 of the submission; Excel Workbook ‘Section 4 – 1L NSCLC </w:t>
      </w:r>
      <w:proofErr w:type="spellStart"/>
      <w:r w:rsidR="00AF55A0" w:rsidRPr="0087043D">
        <w:t>Nivo+Ipi+Chemo</w:t>
      </w:r>
      <w:proofErr w:type="spellEnd"/>
      <w:r w:rsidR="00AF55A0" w:rsidRPr="0087043D">
        <w:t xml:space="preserve"> Utilisation and Cost Model’.</w:t>
      </w:r>
    </w:p>
    <w:p w:rsidR="00620C25" w:rsidRPr="0087043D" w:rsidRDefault="00A75ED1" w:rsidP="00A75ED1">
      <w:pPr>
        <w:pStyle w:val="TableFigureFooter"/>
        <w:rPr>
          <w:rStyle w:val="CommentReference"/>
          <w:b w:val="0"/>
          <w:sz w:val="18"/>
          <w:szCs w:val="22"/>
        </w:rPr>
      </w:pPr>
      <w:r w:rsidRPr="0087043D">
        <w:rPr>
          <w:rStyle w:val="CommentReference"/>
          <w:b w:val="0"/>
          <w:sz w:val="18"/>
          <w:szCs w:val="22"/>
        </w:rPr>
        <w:t xml:space="preserve">IPI = ipilimumab; NIVO = nivolumab </w:t>
      </w:r>
    </w:p>
    <w:p w:rsidR="00E466F3" w:rsidRPr="0087043D" w:rsidRDefault="00E466F3" w:rsidP="009745A8">
      <w:pPr>
        <w:pStyle w:val="TableFigureFooter"/>
        <w:ind w:left="142" w:hanging="142"/>
      </w:pPr>
      <w:proofErr w:type="spellStart"/>
      <w:proofErr w:type="gramStart"/>
      <w:r w:rsidRPr="0087043D">
        <w:rPr>
          <w:vertAlign w:val="superscript"/>
        </w:rPr>
        <w:t>a</w:t>
      </w:r>
      <w:proofErr w:type="spellEnd"/>
      <w:proofErr w:type="gramEnd"/>
      <w:r w:rsidR="00606FBA" w:rsidRPr="0087043D">
        <w:t xml:space="preserve"> </w:t>
      </w:r>
      <w:r w:rsidRPr="0087043D">
        <w:t xml:space="preserve">Assuming </w:t>
      </w:r>
      <w:r w:rsidR="009745A8" w:rsidRPr="0087043D">
        <w:t>11.7 nivolumab</w:t>
      </w:r>
      <w:r w:rsidR="00A75ED1" w:rsidRPr="0087043D">
        <w:t xml:space="preserve"> and </w:t>
      </w:r>
      <w:r w:rsidR="009745A8" w:rsidRPr="0087043D">
        <w:t>6.0 ipilimumab</w:t>
      </w:r>
      <w:r w:rsidR="00A75ED1" w:rsidRPr="0087043D">
        <w:t xml:space="preserve"> scripts per patient per year and 1.9 scripts per patient per year for each chemotherapy drug per patient per year, </w:t>
      </w:r>
      <w:r w:rsidRPr="0087043D">
        <w:t>as estimated by the submission.</w:t>
      </w:r>
    </w:p>
    <w:p w:rsidR="0092195C" w:rsidRPr="0087043D" w:rsidRDefault="009745A8" w:rsidP="009745A8">
      <w:pPr>
        <w:pStyle w:val="TableFigureFooter"/>
        <w:ind w:left="142" w:hanging="142"/>
      </w:pPr>
      <w:proofErr w:type="gramStart"/>
      <w:r w:rsidRPr="0087043D">
        <w:rPr>
          <w:vertAlign w:val="superscript"/>
        </w:rPr>
        <w:t>b</w:t>
      </w:r>
      <w:proofErr w:type="gramEnd"/>
      <w:r w:rsidR="0092195C" w:rsidRPr="0087043D">
        <w:t xml:space="preserve"> The submission made a number of errors when calculating the cost of platinum-doublet </w:t>
      </w:r>
      <w:r w:rsidR="0087043D" w:rsidRPr="0087043D">
        <w:t>chemotherapy</w:t>
      </w:r>
      <w:r w:rsidR="0087043D" w:rsidRPr="0087043D">
        <w:rPr>
          <w:vertAlign w:val="superscript"/>
        </w:rPr>
        <w:t xml:space="preserve">. </w:t>
      </w:r>
      <w:r w:rsidR="0092195C" w:rsidRPr="0087043D">
        <w:t>These were corrected during the evaluation to align them with the cost per dose in the cost minimisation analysis.</w:t>
      </w:r>
    </w:p>
    <w:p w:rsidR="009745A8" w:rsidRPr="0087043D" w:rsidRDefault="009745A8" w:rsidP="009745A8">
      <w:pPr>
        <w:pStyle w:val="TableFigureFooter"/>
        <w:ind w:left="142" w:hanging="142"/>
      </w:pPr>
      <w:proofErr w:type="gramStart"/>
      <w:r w:rsidRPr="0087043D">
        <w:rPr>
          <w:vertAlign w:val="superscript"/>
        </w:rPr>
        <w:t>c</w:t>
      </w:r>
      <w:proofErr w:type="gramEnd"/>
      <w:r w:rsidRPr="0087043D">
        <w:rPr>
          <w:vertAlign w:val="superscript"/>
        </w:rPr>
        <w:t xml:space="preserve"> </w:t>
      </w:r>
      <w:r w:rsidRPr="0087043D">
        <w:t xml:space="preserve">The submission inappropriately included </w:t>
      </w:r>
      <w:proofErr w:type="spellStart"/>
      <w:r w:rsidRPr="0087043D">
        <w:t>NIVO+IPI+platinum</w:t>
      </w:r>
      <w:proofErr w:type="spellEnd"/>
      <w:r w:rsidRPr="0087043D">
        <w:t xml:space="preserve"> grandfathered patients in Year 1 of the administration costs for </w:t>
      </w:r>
      <w:proofErr w:type="spellStart"/>
      <w:r w:rsidRPr="0087043D">
        <w:t>pembrolizumab+platinum</w:t>
      </w:r>
      <w:proofErr w:type="spellEnd"/>
      <w:r w:rsidRPr="0087043D">
        <w:t>.</w:t>
      </w:r>
      <w:r w:rsidR="00E94559" w:rsidRPr="0087043D">
        <w:t xml:space="preserve"> This was corrected during the evaluation. </w:t>
      </w:r>
    </w:p>
    <w:p w:rsidR="004953AC" w:rsidRDefault="004953AC" w:rsidP="00B51D73">
      <w:pPr>
        <w:pStyle w:val="TableFigureFooter"/>
      </w:pPr>
      <w:r w:rsidRPr="0087043D">
        <w:t xml:space="preserve">Note: due to </w:t>
      </w:r>
      <w:r w:rsidR="006E3341" w:rsidRPr="0087043D">
        <w:t>an inconsistency in the application of rounding of patient numbers</w:t>
      </w:r>
      <w:r w:rsidRPr="0087043D">
        <w:t xml:space="preserve"> in the Section 4 </w:t>
      </w:r>
      <w:r w:rsidR="006E3341" w:rsidRPr="0087043D">
        <w:t xml:space="preserve">Excel </w:t>
      </w:r>
      <w:r w:rsidRPr="0087043D">
        <w:t>workbook</w:t>
      </w:r>
      <w:r w:rsidR="00B51D73" w:rsidRPr="0087043D">
        <w:t xml:space="preserve">, the cost-offsets from substitution of </w:t>
      </w:r>
      <w:proofErr w:type="spellStart"/>
      <w:r w:rsidR="00B51D73" w:rsidRPr="0087043D">
        <w:t>pembrolizumab+platinum</w:t>
      </w:r>
      <w:proofErr w:type="spellEnd"/>
      <w:r w:rsidR="00B51D73" w:rsidRPr="0087043D">
        <w:t xml:space="preserve"> in Years 5 and 6 </w:t>
      </w:r>
      <w:r w:rsidR="006E3341" w:rsidRPr="0087043D">
        <w:t>may</w:t>
      </w:r>
      <w:r w:rsidR="00B51D73" w:rsidRPr="0087043D">
        <w:t xml:space="preserve"> have been underestimated by approximately $</w:t>
      </w:r>
      <w:r w:rsidR="00115F96">
        <w:rPr>
          <w:noProof/>
          <w:color w:val="000000"/>
          <w:highlight w:val="black"/>
        </w:rPr>
        <w:t>'''''''''''''''</w:t>
      </w:r>
      <w:r w:rsidR="002438E1" w:rsidRPr="002438E1">
        <w:rPr>
          <w:vertAlign w:val="superscript"/>
        </w:rPr>
        <w:t>6</w:t>
      </w:r>
      <w:r w:rsidR="00B51D73" w:rsidRPr="0087043D">
        <w:t xml:space="preserve"> to $</w:t>
      </w:r>
      <w:r w:rsidR="00115F96">
        <w:rPr>
          <w:noProof/>
          <w:color w:val="000000"/>
          <w:highlight w:val="black"/>
        </w:rPr>
        <w:t>'''''''''''''''''</w:t>
      </w:r>
      <w:r w:rsidR="002438E1" w:rsidRPr="002438E1">
        <w:rPr>
          <w:vertAlign w:val="superscript"/>
        </w:rPr>
        <w:t>6</w:t>
      </w:r>
      <w:r w:rsidR="00B51D73" w:rsidRPr="0087043D">
        <w:t xml:space="preserve"> each year.</w:t>
      </w:r>
    </w:p>
    <w:p w:rsidR="00B059AE" w:rsidRPr="00B059AE" w:rsidRDefault="00B059AE" w:rsidP="00B51D73">
      <w:pPr>
        <w:pStyle w:val="TableFigureFooter"/>
        <w:rPr>
          <w:i/>
        </w:rPr>
      </w:pPr>
      <w:r w:rsidRPr="00B059AE">
        <w:rPr>
          <w:i/>
        </w:rPr>
        <w:t>The redacted values correspond to the following ranges:</w:t>
      </w:r>
    </w:p>
    <w:p w:rsidR="00B059AE" w:rsidRPr="00B059AE" w:rsidRDefault="00B059AE" w:rsidP="00B51D73">
      <w:pPr>
        <w:pStyle w:val="TableFigureFooter"/>
        <w:rPr>
          <w:i/>
        </w:rPr>
      </w:pPr>
      <w:r w:rsidRPr="00B059AE">
        <w:rPr>
          <w:i/>
          <w:vertAlign w:val="superscript"/>
        </w:rPr>
        <w:t>1</w:t>
      </w:r>
      <w:r w:rsidRPr="00B059AE">
        <w:rPr>
          <w:i/>
        </w:rPr>
        <w:t>&lt;500</w:t>
      </w:r>
    </w:p>
    <w:p w:rsidR="00B059AE" w:rsidRPr="00B059AE" w:rsidRDefault="00B059AE" w:rsidP="00B51D73">
      <w:pPr>
        <w:pStyle w:val="TableFigureFooter"/>
        <w:rPr>
          <w:i/>
        </w:rPr>
      </w:pPr>
      <w:r w:rsidRPr="00B059AE">
        <w:rPr>
          <w:i/>
          <w:vertAlign w:val="superscript"/>
        </w:rPr>
        <w:t>2</w:t>
      </w:r>
      <w:r w:rsidRPr="00B059AE">
        <w:rPr>
          <w:i/>
        </w:rPr>
        <w:t>500 to &lt;5,000</w:t>
      </w:r>
    </w:p>
    <w:p w:rsidR="00B059AE" w:rsidRPr="00B059AE" w:rsidRDefault="00B059AE" w:rsidP="00B51D73">
      <w:pPr>
        <w:pStyle w:val="TableFigureFooter"/>
        <w:rPr>
          <w:i/>
        </w:rPr>
      </w:pPr>
      <w:r w:rsidRPr="00B059AE">
        <w:rPr>
          <w:i/>
          <w:vertAlign w:val="superscript"/>
        </w:rPr>
        <w:t>3</w:t>
      </w:r>
      <w:r w:rsidRPr="00B059AE">
        <w:rPr>
          <w:i/>
        </w:rPr>
        <w:t>10,000 to &lt;20,000</w:t>
      </w:r>
    </w:p>
    <w:p w:rsidR="00B059AE" w:rsidRPr="00B059AE" w:rsidRDefault="00B059AE" w:rsidP="00B51D73">
      <w:pPr>
        <w:pStyle w:val="TableFigureFooter"/>
        <w:rPr>
          <w:i/>
        </w:rPr>
      </w:pPr>
      <w:r w:rsidRPr="00B059AE">
        <w:rPr>
          <w:i/>
          <w:vertAlign w:val="superscript"/>
        </w:rPr>
        <w:t>4</w:t>
      </w:r>
      <w:r w:rsidRPr="00B059AE">
        <w:rPr>
          <w:i/>
        </w:rPr>
        <w:t>$40 to &lt;$50 million</w:t>
      </w:r>
    </w:p>
    <w:p w:rsidR="00B059AE" w:rsidRPr="00B059AE" w:rsidRDefault="00B059AE" w:rsidP="00B51D73">
      <w:pPr>
        <w:pStyle w:val="TableFigureFooter"/>
        <w:rPr>
          <w:i/>
        </w:rPr>
      </w:pPr>
      <w:r w:rsidRPr="00B059AE">
        <w:rPr>
          <w:i/>
          <w:vertAlign w:val="superscript"/>
        </w:rPr>
        <w:t>5</w:t>
      </w:r>
      <w:r w:rsidRPr="00B059AE">
        <w:rPr>
          <w:i/>
        </w:rPr>
        <w:t>$30 to &lt;$40 million</w:t>
      </w:r>
    </w:p>
    <w:p w:rsidR="00B059AE" w:rsidRDefault="00B059AE" w:rsidP="00B51D73">
      <w:pPr>
        <w:pStyle w:val="TableFigureFooter"/>
        <w:rPr>
          <w:i/>
        </w:rPr>
      </w:pPr>
      <w:r w:rsidRPr="00B059AE">
        <w:rPr>
          <w:i/>
          <w:vertAlign w:val="superscript"/>
        </w:rPr>
        <w:t>6</w:t>
      </w:r>
      <w:r w:rsidRPr="00B059AE">
        <w:rPr>
          <w:i/>
        </w:rPr>
        <w:t>$0 to &lt;$10 million</w:t>
      </w:r>
    </w:p>
    <w:p w:rsidR="00673098" w:rsidRPr="00673098" w:rsidRDefault="00673098" w:rsidP="00B51D73">
      <w:pPr>
        <w:pStyle w:val="TableFigureFooter"/>
        <w:rPr>
          <w:i/>
        </w:rPr>
      </w:pPr>
      <w:r w:rsidRPr="00673098">
        <w:rPr>
          <w:i/>
          <w:vertAlign w:val="superscript"/>
        </w:rPr>
        <w:t>7</w:t>
      </w:r>
      <w:r>
        <w:rPr>
          <w:i/>
        </w:rPr>
        <w:t xml:space="preserve">net </w:t>
      </w:r>
      <w:r w:rsidRPr="00673098">
        <w:rPr>
          <w:i/>
        </w:rPr>
        <w:t>cost</w:t>
      </w:r>
      <w:r>
        <w:rPr>
          <w:i/>
        </w:rPr>
        <w:t>-saving</w:t>
      </w:r>
    </w:p>
    <w:p w:rsidR="000902D9" w:rsidRPr="0087043D" w:rsidRDefault="00401A70" w:rsidP="00D244B6">
      <w:pPr>
        <w:pStyle w:val="3-BodyText"/>
      </w:pPr>
      <w:r w:rsidRPr="0087043D">
        <w:t>The submission estimated that l</w:t>
      </w:r>
      <w:r w:rsidR="000902D9" w:rsidRPr="0087043D">
        <w:t xml:space="preserve">isting </w:t>
      </w:r>
      <w:proofErr w:type="spellStart"/>
      <w:r w:rsidR="003C3493" w:rsidRPr="0087043D">
        <w:t>NIVO+IPI+platinum</w:t>
      </w:r>
      <w:proofErr w:type="spellEnd"/>
      <w:r w:rsidR="003C3493" w:rsidRPr="0087043D">
        <w:t xml:space="preserve"> </w:t>
      </w:r>
      <w:r w:rsidRPr="0087043D">
        <w:t>would</w:t>
      </w:r>
      <w:r w:rsidR="00A05C32" w:rsidRPr="0087043D">
        <w:t xml:space="preserve"> </w:t>
      </w:r>
      <w:r w:rsidR="003C3493" w:rsidRPr="0087043D">
        <w:t xml:space="preserve">result in </w:t>
      </w:r>
      <w:r w:rsidR="005A2A7C" w:rsidRPr="0087043D">
        <w:t xml:space="preserve">a </w:t>
      </w:r>
      <w:r w:rsidR="00E94559" w:rsidRPr="0087043D">
        <w:t xml:space="preserve">net </w:t>
      </w:r>
      <w:r w:rsidR="005A2A7C" w:rsidRPr="0087043D">
        <w:t xml:space="preserve">cost </w:t>
      </w:r>
      <w:r w:rsidR="003C3493" w:rsidRPr="0087043D">
        <w:t>to the PBS/RPBS of $</w:t>
      </w:r>
      <w:r w:rsidR="007F78B4">
        <w:t>0 to &lt;$10 million</w:t>
      </w:r>
      <w:r w:rsidR="003C3493" w:rsidRPr="0087043D">
        <w:t xml:space="preserve"> </w:t>
      </w:r>
      <w:r w:rsidR="000902D9" w:rsidRPr="0087043D">
        <w:t>in Year 6</w:t>
      </w:r>
      <w:r w:rsidR="003C3493" w:rsidRPr="0087043D">
        <w:t xml:space="preserve">. </w:t>
      </w:r>
      <w:r w:rsidRPr="0087043D">
        <w:t xml:space="preserve">With the </w:t>
      </w:r>
      <w:r w:rsidR="003C3493" w:rsidRPr="0087043D">
        <w:t>inclusion of grandfathere</w:t>
      </w:r>
      <w:r w:rsidRPr="0087043D">
        <w:t xml:space="preserve">d patients in Year 1 of listing, the submission estimated </w:t>
      </w:r>
      <w:r w:rsidR="003C3493" w:rsidRPr="0087043D">
        <w:t xml:space="preserve">a total cost to the PBS/RPBS </w:t>
      </w:r>
      <w:r w:rsidR="000902D9" w:rsidRPr="0087043D">
        <w:t xml:space="preserve">of </w:t>
      </w:r>
      <w:r w:rsidR="003C3493" w:rsidRPr="0087043D">
        <w:t>$</w:t>
      </w:r>
      <w:r w:rsidR="007F78B4">
        <w:t>10 to &lt;$20</w:t>
      </w:r>
      <w:r w:rsidR="005A2A7C" w:rsidRPr="0087043D">
        <w:t xml:space="preserve"> million</w:t>
      </w:r>
      <w:r w:rsidR="003C3493" w:rsidRPr="0087043D">
        <w:t xml:space="preserve"> </w:t>
      </w:r>
      <w:r w:rsidR="000902D9" w:rsidRPr="0087043D">
        <w:t xml:space="preserve">in the first 6 years of listing. </w:t>
      </w:r>
      <w:r w:rsidR="00CF23C6" w:rsidRPr="0087043D">
        <w:t xml:space="preserve">The submission’s estimates were based on an assumed </w:t>
      </w:r>
      <w:r w:rsidR="00CF23C6" w:rsidRPr="004D5BE5">
        <w:t>30</w:t>
      </w:r>
      <w:r w:rsidR="00CF23C6" w:rsidRPr="0087043D">
        <w:t xml:space="preserve">% reduction in the published AEMP for </w:t>
      </w:r>
      <w:proofErr w:type="spellStart"/>
      <w:r w:rsidR="00CF23C6" w:rsidRPr="0087043D">
        <w:t>pembrolizumab</w:t>
      </w:r>
      <w:proofErr w:type="spellEnd"/>
      <w:r w:rsidR="00CF23C6" w:rsidRPr="0087043D">
        <w:t xml:space="preserve"> to reflect the special pricing arrangement for </w:t>
      </w:r>
      <w:proofErr w:type="spellStart"/>
      <w:r w:rsidR="00CF23C6" w:rsidRPr="0087043D">
        <w:t>pembrolizumab</w:t>
      </w:r>
      <w:proofErr w:type="spellEnd"/>
      <w:r w:rsidR="00CF23C6" w:rsidRPr="0087043D">
        <w:t xml:space="preserve">. </w:t>
      </w:r>
    </w:p>
    <w:p w:rsidR="00CF23C6" w:rsidRPr="0087043D" w:rsidRDefault="00CF23C6" w:rsidP="00CF23C6">
      <w:pPr>
        <w:pStyle w:val="3-BodyText"/>
      </w:pPr>
      <w:r w:rsidRPr="0087043D">
        <w:t xml:space="preserve">The submission estimated that there would be up to </w:t>
      </w:r>
      <w:r w:rsidR="005028B8">
        <w:t>&lt;500</w:t>
      </w:r>
      <w:r w:rsidRPr="0087043D">
        <w:t xml:space="preserve">patients receiving first-line treatment with </w:t>
      </w:r>
      <w:proofErr w:type="spellStart"/>
      <w:r w:rsidRPr="0087043D">
        <w:t>NIVO+IPI+platinum</w:t>
      </w:r>
      <w:proofErr w:type="spellEnd"/>
      <w:r w:rsidRPr="0087043D">
        <w:t xml:space="preserve"> through an access program who may transfer to PBS-listed therapy. The submission noted that these patients would not require the full duration of therapy subsidised on the PBS and estimated that the number of doses of PBS-subsidised nivolumab that these patients would be the equivalent of approximately </w:t>
      </w:r>
      <w:r w:rsidR="005028B8">
        <w:t>&lt;500</w:t>
      </w:r>
      <w:r w:rsidRPr="0087043D">
        <w:t>patients receiving the full course of therapy through the PBS. These estimates were based on a number of poorly supported assumptions and were, therefore, highly uncertain.</w:t>
      </w:r>
    </w:p>
    <w:p w:rsidR="00CF23C6" w:rsidRPr="0087043D" w:rsidRDefault="00CF23C6" w:rsidP="000050AD">
      <w:pPr>
        <w:pStyle w:val="3-BodyText"/>
        <w:rPr>
          <w:i/>
        </w:rPr>
      </w:pPr>
      <w:r w:rsidRPr="0087043D">
        <w:t xml:space="preserve">All use of </w:t>
      </w:r>
      <w:proofErr w:type="spellStart"/>
      <w:r w:rsidRPr="0087043D">
        <w:t>NIVO+IPI+platinum</w:t>
      </w:r>
      <w:proofErr w:type="spellEnd"/>
      <w:r w:rsidRPr="0087043D">
        <w:t xml:space="preserve">, other than for grandfathered patients, was assumed to substitute for </w:t>
      </w:r>
      <w:proofErr w:type="spellStart"/>
      <w:r w:rsidRPr="0087043D">
        <w:t>pembrolizumab+platinum</w:t>
      </w:r>
      <w:proofErr w:type="spellEnd"/>
      <w:r w:rsidRPr="0087043D">
        <w:t>.</w:t>
      </w:r>
      <w:r w:rsidRPr="0087043D">
        <w:rPr>
          <w:i/>
        </w:rPr>
        <w:t xml:space="preserve"> </w:t>
      </w:r>
      <w:r w:rsidR="000050AD" w:rsidRPr="0087043D">
        <w:t xml:space="preserve">Given this, and that the effective AEMP for </w:t>
      </w:r>
      <w:proofErr w:type="spellStart"/>
      <w:r w:rsidR="000050AD" w:rsidRPr="0087043D">
        <w:t>NIVO+IPI+platinum</w:t>
      </w:r>
      <w:proofErr w:type="spellEnd"/>
      <w:r w:rsidR="000050AD" w:rsidRPr="0087043D">
        <w:t xml:space="preserve"> was derived based on a cost-minimisation against the assumed effective AEMP for </w:t>
      </w:r>
      <w:proofErr w:type="spellStart"/>
      <w:r w:rsidR="000050AD" w:rsidRPr="0087043D">
        <w:t>pembrolizumab+platinum</w:t>
      </w:r>
      <w:proofErr w:type="spellEnd"/>
      <w:r w:rsidR="000050AD" w:rsidRPr="0087043D">
        <w:t xml:space="preserve">, the listing of </w:t>
      </w:r>
      <w:proofErr w:type="spellStart"/>
      <w:r w:rsidR="000050AD" w:rsidRPr="0087043D">
        <w:t>NIVO+IPI+platinum</w:t>
      </w:r>
      <w:proofErr w:type="spellEnd"/>
      <w:r w:rsidR="000050AD" w:rsidRPr="0087043D">
        <w:t xml:space="preserve"> on the PBS would be expected to be </w:t>
      </w:r>
      <w:r w:rsidR="0083173C" w:rsidRPr="0087043D">
        <w:t xml:space="preserve">approximately </w:t>
      </w:r>
      <w:r w:rsidR="000050AD" w:rsidRPr="0087043D">
        <w:t xml:space="preserve">cost-neutral to the PBS/RPBS in Years 2-6. </w:t>
      </w:r>
      <w:r w:rsidR="00D305B4" w:rsidRPr="0087043D">
        <w:t xml:space="preserve">The incremental cost to the PBS/RPBS in the corrected figures for Year 2-6 </w:t>
      </w:r>
      <w:r w:rsidR="00872D7A" w:rsidRPr="0087043D">
        <w:t xml:space="preserve">mainly </w:t>
      </w:r>
      <w:r w:rsidR="00D305B4" w:rsidRPr="0087043D">
        <w:t xml:space="preserve">results from the discrepancy in the relative proportion of patients with non-squamous and squamous NSCLC in the financial estimates (68%:32%) compared to the cost-minimisation analysis (77.6%:22.4%), and the fact that the submission’s estimate of the cost per person per course for </w:t>
      </w:r>
      <w:proofErr w:type="spellStart"/>
      <w:r w:rsidR="00D305B4" w:rsidRPr="0087043D">
        <w:t>pembrolizumab+platinum</w:t>
      </w:r>
      <w:proofErr w:type="spellEnd"/>
      <w:r w:rsidR="00D305B4" w:rsidRPr="0087043D">
        <w:t xml:space="preserve"> </w:t>
      </w:r>
      <w:r w:rsidR="00872D7A" w:rsidRPr="0087043D">
        <w:t xml:space="preserve">in the CMA </w:t>
      </w:r>
      <w:r w:rsidR="00D305B4" w:rsidRPr="0087043D">
        <w:t>was higher for patients with non-squamous NSCLC (</w:t>
      </w:r>
      <w:r w:rsidR="00C84A5C" w:rsidRPr="0087043D">
        <w:t xml:space="preserve">assumed effective </w:t>
      </w:r>
      <w:r w:rsidR="00D305B4" w:rsidRPr="0087043D">
        <w:t>AEMP: $</w:t>
      </w:r>
      <w:r w:rsidR="00115F96">
        <w:rPr>
          <w:noProof/>
          <w:color w:val="000000"/>
          <w:highlight w:val="black"/>
        </w:rPr>
        <w:t>''''''''''''''''''</w:t>
      </w:r>
      <w:r w:rsidR="00D305B4" w:rsidRPr="0087043D">
        <w:t>) compared with patient with squamous NSCLC (</w:t>
      </w:r>
      <w:r w:rsidR="00C84A5C" w:rsidRPr="0087043D">
        <w:t xml:space="preserve">assumed effective </w:t>
      </w:r>
      <w:r w:rsidR="00D305B4" w:rsidRPr="0087043D">
        <w:t>AEMP: $</w:t>
      </w:r>
      <w:r w:rsidR="00115F96">
        <w:rPr>
          <w:noProof/>
          <w:color w:val="000000"/>
          <w:highlight w:val="black"/>
        </w:rPr>
        <w:t>''''''''''''''''''''</w:t>
      </w:r>
      <w:r w:rsidR="00D305B4" w:rsidRPr="0087043D">
        <w:t>).</w:t>
      </w:r>
    </w:p>
    <w:p w:rsidR="00576972" w:rsidRPr="0087043D" w:rsidRDefault="00576972" w:rsidP="00606FBA">
      <w:pPr>
        <w:pStyle w:val="4-SubsectionHeading"/>
      </w:pPr>
      <w:bookmarkStart w:id="45" w:name="_Toc22897649"/>
      <w:bookmarkStart w:id="46" w:name="_Toc51147801"/>
      <w:r w:rsidRPr="0087043D">
        <w:t>Financial Management – Risk Sharing Arrangements</w:t>
      </w:r>
      <w:bookmarkEnd w:id="45"/>
      <w:bookmarkEnd w:id="46"/>
    </w:p>
    <w:p w:rsidR="00BA3FC4" w:rsidRPr="0087043D" w:rsidRDefault="00BA3FC4" w:rsidP="00BA3FC4">
      <w:pPr>
        <w:pStyle w:val="3-BodyText"/>
      </w:pPr>
      <w:r w:rsidRPr="0087043D">
        <w:t xml:space="preserve">The submission stated that the sponsor was willing to join the current risk-sharing arrangement </w:t>
      </w:r>
      <w:r w:rsidR="007D7AF4" w:rsidRPr="0087043D">
        <w:t xml:space="preserve">(with annual </w:t>
      </w:r>
      <w:r w:rsidR="00580148" w:rsidRPr="0087043D">
        <w:t>subsidisation</w:t>
      </w:r>
      <w:r w:rsidR="007D7AF4" w:rsidRPr="0087043D">
        <w:t xml:space="preserve"> caps) </w:t>
      </w:r>
      <w:r w:rsidRPr="0087043D">
        <w:t xml:space="preserve">for NSCLC. </w:t>
      </w:r>
    </w:p>
    <w:p w:rsidR="00F06E02" w:rsidRPr="008A0138" w:rsidRDefault="00F06E02" w:rsidP="008A0138">
      <w:pPr>
        <w:pStyle w:val="3-BodyText"/>
        <w:numPr>
          <w:ilvl w:val="0"/>
          <w:numId w:val="0"/>
        </w:numPr>
        <w:ind w:firstLine="720"/>
        <w:rPr>
          <w:i/>
        </w:rPr>
      </w:pPr>
      <w:r w:rsidRPr="0087043D">
        <w:rPr>
          <w:i/>
        </w:rPr>
        <w:t>For more detail on PBAC’s view, see section 7 PBAC outcome.</w:t>
      </w:r>
      <w:bookmarkStart w:id="47" w:name="_Toc51147803"/>
    </w:p>
    <w:p w:rsidR="00F06E02" w:rsidRPr="0087043D" w:rsidRDefault="0083233F" w:rsidP="0083233F">
      <w:pPr>
        <w:pStyle w:val="2-SectionHeading"/>
      </w:pPr>
      <w:r w:rsidRPr="0087043D">
        <w:t>PBAC Outcome</w:t>
      </w:r>
    </w:p>
    <w:p w:rsidR="0083233F" w:rsidRPr="0087043D" w:rsidRDefault="0083233F" w:rsidP="00934412">
      <w:pPr>
        <w:pStyle w:val="3-BodyText"/>
      </w:pPr>
      <w:bookmarkStart w:id="48" w:name="_GoBack"/>
      <w:bookmarkEnd w:id="48"/>
      <w:r w:rsidRPr="0087043D">
        <w:t>The PBAC recommended the listing of nivolumab</w:t>
      </w:r>
      <w:r w:rsidR="00601C34" w:rsidRPr="0087043D">
        <w:t xml:space="preserve"> plus ipilimumab in combination with two cycles of platinum-based doublet chemotherapy </w:t>
      </w:r>
      <w:r w:rsidR="002C2A35" w:rsidRPr="0087043D">
        <w:t>(</w:t>
      </w:r>
      <w:proofErr w:type="spellStart"/>
      <w:r w:rsidR="002C2A35" w:rsidRPr="0087043D">
        <w:t>NIVO+IPI+platinum</w:t>
      </w:r>
      <w:proofErr w:type="spellEnd"/>
      <w:r w:rsidR="002C2A35" w:rsidRPr="0087043D">
        <w:t xml:space="preserve">) </w:t>
      </w:r>
      <w:r w:rsidR="00601C34" w:rsidRPr="0087043D">
        <w:t>for the treatment of previously untreated Stage IV non-small cell lung cancer (NSCLC)</w:t>
      </w:r>
      <w:r w:rsidR="006E198F" w:rsidRPr="0087043D">
        <w:t>,</w:t>
      </w:r>
      <w:r w:rsidR="00601C34" w:rsidRPr="0087043D">
        <w:t xml:space="preserve"> </w:t>
      </w:r>
      <w:r w:rsidR="006E198F" w:rsidRPr="0087043D">
        <w:t xml:space="preserve">limited to the squamous population only, </w:t>
      </w:r>
      <w:r w:rsidR="00601C34" w:rsidRPr="0087043D">
        <w:t>on the basis that it should be available only under special arrangements under section 100</w:t>
      </w:r>
      <w:r w:rsidRPr="0087043D">
        <w:t>.</w:t>
      </w:r>
      <w:r w:rsidR="00601C34" w:rsidRPr="0087043D">
        <w:t xml:space="preserve"> The PBAC’s recommendation for listing was based on, among other matters, its assessment, that the cost-effectiveness of </w:t>
      </w:r>
      <w:proofErr w:type="spellStart"/>
      <w:r w:rsidR="002C2A35" w:rsidRPr="0087043D">
        <w:t>NIVO+IPI+platinum</w:t>
      </w:r>
      <w:proofErr w:type="spellEnd"/>
      <w:r w:rsidR="002C2A35" w:rsidRPr="0087043D">
        <w:t xml:space="preserve"> </w:t>
      </w:r>
      <w:r w:rsidR="00601C34" w:rsidRPr="0087043D">
        <w:t xml:space="preserve">would be acceptable if it were cost-minimised against </w:t>
      </w:r>
      <w:proofErr w:type="spellStart"/>
      <w:r w:rsidR="00601C34" w:rsidRPr="0087043D">
        <w:t>pembrolizumab</w:t>
      </w:r>
      <w:proofErr w:type="spellEnd"/>
      <w:r w:rsidR="00601C34" w:rsidRPr="0087043D">
        <w:t xml:space="preserve"> in combination with platinum-based doublet chemotherapy</w:t>
      </w:r>
      <w:r w:rsidR="002C2A35" w:rsidRPr="0087043D">
        <w:t xml:space="preserve"> (</w:t>
      </w:r>
      <w:proofErr w:type="spellStart"/>
      <w:r w:rsidR="002C2A35" w:rsidRPr="0087043D">
        <w:t>pembrolizumab+platinum</w:t>
      </w:r>
      <w:proofErr w:type="spellEnd"/>
      <w:r w:rsidR="002C2A35" w:rsidRPr="0087043D">
        <w:t>)</w:t>
      </w:r>
      <w:r w:rsidR="00601C34" w:rsidRPr="0087043D">
        <w:t xml:space="preserve">. The PBAC did not recommend </w:t>
      </w:r>
      <w:proofErr w:type="spellStart"/>
      <w:r w:rsidR="002C2A35" w:rsidRPr="0087043D">
        <w:t>NIVO+IPI+platinum</w:t>
      </w:r>
      <w:proofErr w:type="spellEnd"/>
      <w:r w:rsidR="00601C34" w:rsidRPr="0087043D">
        <w:t xml:space="preserve"> for the treatment of previously untreated Stage IV non-squamous NSCLC. </w:t>
      </w:r>
      <w:r w:rsidR="002D2935" w:rsidRPr="0087043D">
        <w:t xml:space="preserve">The PBAC considered the clinical claim that </w:t>
      </w:r>
      <w:proofErr w:type="spellStart"/>
      <w:r w:rsidR="002C2A35" w:rsidRPr="0087043D">
        <w:t>NIVO+IPI+platinum</w:t>
      </w:r>
      <w:proofErr w:type="spellEnd"/>
      <w:r w:rsidR="00934412" w:rsidRPr="0087043D">
        <w:t xml:space="preserve"> </w:t>
      </w:r>
      <w:r w:rsidR="002D2935" w:rsidRPr="0087043D">
        <w:t xml:space="preserve">is non-inferior to </w:t>
      </w:r>
      <w:proofErr w:type="spellStart"/>
      <w:r w:rsidR="002C2A35" w:rsidRPr="0087043D">
        <w:t>pembrolizumab+platinum</w:t>
      </w:r>
      <w:proofErr w:type="spellEnd"/>
      <w:r w:rsidR="002D2935" w:rsidRPr="0087043D">
        <w:t xml:space="preserve"> for efficacy and safety </w:t>
      </w:r>
      <w:r w:rsidR="00934412" w:rsidRPr="0087043D">
        <w:t xml:space="preserve">in non-squamous NSCLC </w:t>
      </w:r>
      <w:r w:rsidR="002D2935" w:rsidRPr="0087043D">
        <w:t xml:space="preserve">was not supported by the clinical evidence presented and therefore a cost-minimisation analysis </w:t>
      </w:r>
      <w:r w:rsidR="00934412" w:rsidRPr="0087043D">
        <w:t xml:space="preserve">in this population </w:t>
      </w:r>
      <w:r w:rsidR="002D2935" w:rsidRPr="0087043D">
        <w:t xml:space="preserve">was not appropriate. </w:t>
      </w:r>
    </w:p>
    <w:p w:rsidR="001A638B" w:rsidRPr="0087043D" w:rsidRDefault="00934412" w:rsidP="008146F7">
      <w:pPr>
        <w:pStyle w:val="3-BodyText"/>
      </w:pPr>
      <w:r w:rsidRPr="0087043D">
        <w:t xml:space="preserve">The PBAC did not consider there to be </w:t>
      </w:r>
      <w:r w:rsidR="00792D17" w:rsidRPr="0087043D">
        <w:t xml:space="preserve">an </w:t>
      </w:r>
      <w:r w:rsidRPr="0087043D">
        <w:t xml:space="preserve">unmet clinical need for </w:t>
      </w:r>
      <w:proofErr w:type="spellStart"/>
      <w:r w:rsidRPr="0087043D">
        <w:t>NIVO+IPI+platinum</w:t>
      </w:r>
      <w:proofErr w:type="spellEnd"/>
      <w:r w:rsidRPr="0087043D">
        <w:t xml:space="preserve">, as there are currently PBS listed immunotherapies to treat patients with previously untreated stage IV NSCLC. </w:t>
      </w:r>
      <w:r w:rsidR="007129D8" w:rsidRPr="0087043D">
        <w:t xml:space="preserve">The PBAC considered </w:t>
      </w:r>
      <w:proofErr w:type="spellStart"/>
      <w:r w:rsidR="007129D8" w:rsidRPr="0087043D">
        <w:t>NIVO+IPI+platinum</w:t>
      </w:r>
      <w:proofErr w:type="spellEnd"/>
      <w:r w:rsidR="007129D8" w:rsidRPr="0087043D">
        <w:t xml:space="preserve"> may provide some patients with a treatment option with less cycles of chemotherapy but </w:t>
      </w:r>
      <w:r w:rsidR="00270F9C" w:rsidRPr="0087043D">
        <w:t>noted this perceived benefit would need to be balanced by the ongoing use of ipilimumab.</w:t>
      </w:r>
      <w:r w:rsidR="006F0F4A" w:rsidRPr="0087043D">
        <w:t xml:space="preserve"> The PBAC noted that consumers valued additional treatment options, even if there was no difference in clinical outcomes.</w:t>
      </w:r>
      <w:r w:rsidR="008146F7" w:rsidRPr="0087043D">
        <w:t xml:space="preserve"> The PBAC noted </w:t>
      </w:r>
      <w:proofErr w:type="spellStart"/>
      <w:r w:rsidR="008146F7" w:rsidRPr="0087043D">
        <w:t>NIVO+IPI+platinum</w:t>
      </w:r>
      <w:proofErr w:type="spellEnd"/>
      <w:r w:rsidR="008146F7" w:rsidRPr="0087043D">
        <w:t xml:space="preserve"> does not fulfil the unmet need for treatment options without chemotherapy and NIVO+IPI without chemotherapy was not TGA registered at the time of consideration.  </w:t>
      </w:r>
      <w:r w:rsidR="007129D8" w:rsidRPr="0087043D">
        <w:t>.</w:t>
      </w:r>
      <w:r w:rsidR="00264317" w:rsidRPr="0087043D">
        <w:t xml:space="preserve"> </w:t>
      </w:r>
      <w:r w:rsidR="001A638B" w:rsidRPr="0087043D">
        <w:t>The PBAC noted there are less treatment options for patients with squamous NSCLC and considered an additional treatment option may be useful for some patients.</w:t>
      </w:r>
      <w:r w:rsidR="008146F7" w:rsidRPr="0087043D">
        <w:t xml:space="preserve"> </w:t>
      </w:r>
    </w:p>
    <w:p w:rsidR="00EE6D5B" w:rsidRPr="0087043D" w:rsidRDefault="008F3BEE" w:rsidP="00584B19">
      <w:pPr>
        <w:pStyle w:val="3-BodyText"/>
      </w:pPr>
      <w:r w:rsidRPr="0087043D">
        <w:t>The PB</w:t>
      </w:r>
      <w:r w:rsidR="008146F7" w:rsidRPr="0087043D">
        <w:t>A</w:t>
      </w:r>
      <w:r w:rsidRPr="0087043D">
        <w:t xml:space="preserve">C considered that, given the different duration of follow-up between </w:t>
      </w:r>
      <w:r w:rsidR="00584B19" w:rsidRPr="0087043D">
        <w:t>CM9LA and KN407</w:t>
      </w:r>
      <w:r w:rsidRPr="0087043D">
        <w:t xml:space="preserve">, it would be reasonable to </w:t>
      </w:r>
      <w:r w:rsidR="00584B19" w:rsidRPr="0087043D">
        <w:t xml:space="preserve">assume the mean number of doses per patient per course of nivolumab and </w:t>
      </w:r>
      <w:proofErr w:type="spellStart"/>
      <w:r w:rsidR="00584B19" w:rsidRPr="0087043D">
        <w:t>pembrolizumab</w:t>
      </w:r>
      <w:proofErr w:type="spellEnd"/>
      <w:r w:rsidR="00584B19" w:rsidRPr="0087043D">
        <w:t xml:space="preserve"> in squamous NSCLC was equal to the mean number of doses of </w:t>
      </w:r>
      <w:proofErr w:type="spellStart"/>
      <w:r w:rsidR="00584B19" w:rsidRPr="0087043D">
        <w:t>pembrolizumab</w:t>
      </w:r>
      <w:proofErr w:type="spellEnd"/>
      <w:r w:rsidR="00584B19" w:rsidRPr="0087043D">
        <w:t xml:space="preserve"> in KN407</w:t>
      </w:r>
      <w:r w:rsidR="000C513F" w:rsidRPr="0087043D">
        <w:t xml:space="preserve"> (9.6)</w:t>
      </w:r>
      <w:r w:rsidR="00584B19" w:rsidRPr="0087043D">
        <w:t>. The nu</w:t>
      </w:r>
      <w:r w:rsidR="000C513F" w:rsidRPr="0087043D">
        <w:t xml:space="preserve">mber of doses of ipilimumab should be </w:t>
      </w:r>
      <w:r w:rsidR="00584B19" w:rsidRPr="0087043D">
        <w:t xml:space="preserve">adjusted to maintain the ratio of doses of </w:t>
      </w:r>
      <w:proofErr w:type="spellStart"/>
      <w:r w:rsidR="00584B19" w:rsidRPr="0087043D">
        <w:t>nivolumab</w:t>
      </w:r>
      <w:proofErr w:type="gramStart"/>
      <w:r w:rsidR="00584B19" w:rsidRPr="0087043D">
        <w:t>:ipilimumab</w:t>
      </w:r>
      <w:proofErr w:type="spellEnd"/>
      <w:proofErr w:type="gramEnd"/>
      <w:r w:rsidR="00584B19" w:rsidRPr="0087043D">
        <w:t xml:space="preserve"> of 11.7:6.0</w:t>
      </w:r>
      <w:r w:rsidR="000C513F" w:rsidRPr="0087043D">
        <w:t>, consistent with CM9LA</w:t>
      </w:r>
      <w:r w:rsidR="00584B19" w:rsidRPr="0087043D">
        <w:t xml:space="preserve">. </w:t>
      </w:r>
      <w:r w:rsidR="0057608F" w:rsidRPr="0087043D">
        <w:t xml:space="preserve">The PBAC considered the </w:t>
      </w:r>
      <w:proofErr w:type="spellStart"/>
      <w:r w:rsidR="0057608F" w:rsidRPr="0087043D">
        <w:t>equi</w:t>
      </w:r>
      <w:proofErr w:type="spellEnd"/>
      <w:r w:rsidR="0057608F" w:rsidRPr="0087043D">
        <w:t xml:space="preserve">-effective </w:t>
      </w:r>
      <w:r w:rsidR="00A95F47" w:rsidRPr="0087043D">
        <w:t xml:space="preserve">doses </w:t>
      </w:r>
      <w:r w:rsidR="0057608F" w:rsidRPr="0087043D">
        <w:t>for squamous NSCLC were</w:t>
      </w:r>
      <w:r w:rsidR="00EE6D5B" w:rsidRPr="0087043D">
        <w:t>:</w:t>
      </w:r>
    </w:p>
    <w:p w:rsidR="00EE6D5B" w:rsidRPr="0087043D" w:rsidRDefault="00EE6D5B" w:rsidP="00EE6D5B">
      <w:pPr>
        <w:pStyle w:val="3-BodyText"/>
        <w:numPr>
          <w:ilvl w:val="0"/>
          <w:numId w:val="43"/>
        </w:numPr>
      </w:pPr>
      <w:r w:rsidRPr="0087043D">
        <w:t xml:space="preserve">nivolumab 360 mg every 3 weeks for </w:t>
      </w:r>
      <w:r w:rsidR="00A947A3" w:rsidRPr="0087043D">
        <w:t>9.6</w:t>
      </w:r>
      <w:r w:rsidRPr="0087043D">
        <w:t xml:space="preserve"> doses, ipilimumab 72.55 mg every 6 weeks for </w:t>
      </w:r>
      <w:r w:rsidR="00A947A3" w:rsidRPr="0087043D">
        <w:t>4.9</w:t>
      </w:r>
      <w:r w:rsidRPr="0087043D">
        <w:t xml:space="preserve"> doses, paclitaxel 374 mg and carboplatin 600 mg both every 3 weeks for 1.9 doses and</w:t>
      </w:r>
    </w:p>
    <w:p w:rsidR="00601C34" w:rsidRPr="0087043D" w:rsidRDefault="00EE6D5B" w:rsidP="00EE6D5B">
      <w:pPr>
        <w:pStyle w:val="3-BodyText"/>
        <w:numPr>
          <w:ilvl w:val="0"/>
          <w:numId w:val="43"/>
        </w:numPr>
      </w:pPr>
      <w:proofErr w:type="spellStart"/>
      <w:r w:rsidRPr="0087043D">
        <w:t>pembrolizumab</w:t>
      </w:r>
      <w:proofErr w:type="spellEnd"/>
      <w:r w:rsidRPr="0087043D">
        <w:t xml:space="preserve"> 200 mg every 3 weeks for 9.6 doses, paclitaxel 374 mg every 3 weeks for 3.6 doses and carboplatin 600 mg every 3 weeks for 3.7 doses. </w:t>
      </w:r>
    </w:p>
    <w:p w:rsidR="0057608F" w:rsidRPr="0087043D" w:rsidRDefault="00CB5530" w:rsidP="0057608F">
      <w:pPr>
        <w:pStyle w:val="3-BodyText"/>
      </w:pPr>
      <w:r w:rsidRPr="0087043D">
        <w:t xml:space="preserve">The PBAC advised the restriction criteria for </w:t>
      </w:r>
      <w:r w:rsidR="00F91ED0" w:rsidRPr="0087043D">
        <w:t xml:space="preserve">nivolumab and ipilimumab for the treatment of </w:t>
      </w:r>
      <w:r w:rsidRPr="0087043D">
        <w:t>squamous NSCLC should:</w:t>
      </w:r>
    </w:p>
    <w:p w:rsidR="00CB5530" w:rsidRPr="0087043D" w:rsidRDefault="00A103F1" w:rsidP="00CB5530">
      <w:pPr>
        <w:pStyle w:val="3-BodyText"/>
        <w:numPr>
          <w:ilvl w:val="0"/>
          <w:numId w:val="44"/>
        </w:numPr>
      </w:pPr>
      <w:r w:rsidRPr="0087043D">
        <w:t>include the clinical criteria “The treatment must be in combination with platinum-based chemotherapy for the first two cycles” in the initial restriction</w:t>
      </w:r>
      <w:r w:rsidR="00792D17" w:rsidRPr="0087043D">
        <w:t>;</w:t>
      </w:r>
      <w:r w:rsidRPr="0087043D">
        <w:t xml:space="preserve"> </w:t>
      </w:r>
    </w:p>
    <w:p w:rsidR="00A103F1" w:rsidRPr="0087043D" w:rsidRDefault="00A103F1" w:rsidP="00AA1599">
      <w:pPr>
        <w:pStyle w:val="3-BodyText"/>
        <w:numPr>
          <w:ilvl w:val="0"/>
          <w:numId w:val="44"/>
        </w:numPr>
      </w:pPr>
      <w:r w:rsidRPr="0087043D">
        <w:t xml:space="preserve">include the </w:t>
      </w:r>
      <w:r w:rsidR="00F91ED0" w:rsidRPr="0087043D">
        <w:t xml:space="preserve">clinical criteria </w:t>
      </w:r>
      <w:r w:rsidRPr="0087043D">
        <w:t>“Patient must not have developed disease progression while rece</w:t>
      </w:r>
      <w:r w:rsidR="00382373" w:rsidRPr="0087043D">
        <w:t>iving</w:t>
      </w:r>
      <w:r w:rsidRPr="0087043D">
        <w:t xml:space="preserve"> PBS-subsidised treatment with this drug for this condition”</w:t>
      </w:r>
      <w:r w:rsidR="00F91ED0" w:rsidRPr="0087043D">
        <w:t xml:space="preserve"> in the continuing restriction</w:t>
      </w:r>
      <w:r w:rsidRPr="0087043D">
        <w:t>;</w:t>
      </w:r>
      <w:r w:rsidR="00F91ED0" w:rsidRPr="0087043D">
        <w:t xml:space="preserve"> </w:t>
      </w:r>
    </w:p>
    <w:p w:rsidR="00CB5530" w:rsidRPr="0087043D" w:rsidRDefault="00A947A3" w:rsidP="00CB5530">
      <w:pPr>
        <w:pStyle w:val="3-BodyText"/>
        <w:numPr>
          <w:ilvl w:val="0"/>
          <w:numId w:val="44"/>
        </w:numPr>
      </w:pPr>
      <w:r w:rsidRPr="0087043D">
        <w:t xml:space="preserve">include </w:t>
      </w:r>
      <w:r w:rsidR="00A103F1" w:rsidRPr="0087043D">
        <w:t xml:space="preserve">the </w:t>
      </w:r>
      <w:r w:rsidR="00F91ED0" w:rsidRPr="0087043D">
        <w:t xml:space="preserve">clinical criteria </w:t>
      </w:r>
      <w:r w:rsidR="00A103F1" w:rsidRPr="0087043D">
        <w:t xml:space="preserve">“The condition must not have evidence of an activating epidermal growth factor receptor (EGFR) gene or an anaplastic lymphoma </w:t>
      </w:r>
      <w:r w:rsidRPr="0087043D">
        <w:t>(A</w:t>
      </w:r>
      <w:r w:rsidR="00A103F1" w:rsidRPr="0087043D">
        <w:t>LK) gene rearrangement</w:t>
      </w:r>
      <w:r w:rsidR="00BF7BE9" w:rsidRPr="0087043D">
        <w:t xml:space="preserve"> or a c-ROS proto-oncogene 1 (ROS1) gene arrangement </w:t>
      </w:r>
      <w:r w:rsidR="00A103F1" w:rsidRPr="0087043D">
        <w:t>in tumour material”</w:t>
      </w:r>
      <w:r w:rsidR="00F91ED0" w:rsidRPr="0087043D">
        <w:t xml:space="preserve"> in the initial restriction. </w:t>
      </w:r>
    </w:p>
    <w:p w:rsidR="00F91ED0" w:rsidRPr="0087043D" w:rsidRDefault="00F91ED0" w:rsidP="00CB5530">
      <w:pPr>
        <w:pStyle w:val="3-BodyText"/>
        <w:numPr>
          <w:ilvl w:val="0"/>
          <w:numId w:val="44"/>
        </w:numPr>
      </w:pPr>
      <w:proofErr w:type="gramStart"/>
      <w:r w:rsidRPr="0087043D">
        <w:t>include</w:t>
      </w:r>
      <w:proofErr w:type="gramEnd"/>
      <w:r w:rsidRPr="0087043D">
        <w:t xml:space="preserve"> a restriction for grandfather treatment that will be in place for a period of 12 months after listing. </w:t>
      </w:r>
    </w:p>
    <w:p w:rsidR="003068FE" w:rsidRPr="0087043D" w:rsidRDefault="003068FE" w:rsidP="003068FE">
      <w:pPr>
        <w:pStyle w:val="3-BodyText"/>
      </w:pPr>
      <w:r w:rsidRPr="0087043D">
        <w:t xml:space="preserve">The PBAC noted the submission nominated </w:t>
      </w:r>
      <w:proofErr w:type="spellStart"/>
      <w:r w:rsidRPr="0087043D">
        <w:t>pembrolizumab</w:t>
      </w:r>
      <w:r w:rsidR="00486C75" w:rsidRPr="0087043D">
        <w:t>+platinum</w:t>
      </w:r>
      <w:proofErr w:type="spellEnd"/>
      <w:r w:rsidR="00486C75" w:rsidRPr="0087043D">
        <w:t xml:space="preserve"> </w:t>
      </w:r>
      <w:r w:rsidRPr="0087043D">
        <w:t>as the primary comparator, and atezolizumab plus bevacizumab plus platinum-based doublet chemotherapy</w:t>
      </w:r>
      <w:r w:rsidR="00486C75" w:rsidRPr="0087043D">
        <w:t xml:space="preserve"> (non-squamous NSCLC only)</w:t>
      </w:r>
      <w:r w:rsidRPr="0087043D">
        <w:t xml:space="preserve"> and platinum-based doublet chemotherapy </w:t>
      </w:r>
      <w:r w:rsidR="00DA6D0A" w:rsidRPr="0087043D">
        <w:t xml:space="preserve">alone as secondary comparators. </w:t>
      </w:r>
      <w:r w:rsidRPr="0087043D">
        <w:t xml:space="preserve">The PBAC considered the proposed </w:t>
      </w:r>
      <w:r w:rsidR="00DA6D0A" w:rsidRPr="0087043D">
        <w:t xml:space="preserve">primary and secondary </w:t>
      </w:r>
      <w:r w:rsidRPr="0087043D">
        <w:t xml:space="preserve">comparators were </w:t>
      </w:r>
      <w:r w:rsidR="00486C75" w:rsidRPr="0087043D">
        <w:t>reasonable</w:t>
      </w:r>
      <w:r w:rsidR="00DA6D0A" w:rsidRPr="0087043D">
        <w:t>.</w:t>
      </w:r>
    </w:p>
    <w:p w:rsidR="005A2D72" w:rsidRPr="0087043D" w:rsidRDefault="005A2D72" w:rsidP="003978EA">
      <w:pPr>
        <w:pStyle w:val="3-BodyText"/>
      </w:pPr>
      <w:r w:rsidRPr="0087043D">
        <w:t xml:space="preserve">The PBAC considered </w:t>
      </w:r>
      <w:r w:rsidR="00ED5B36" w:rsidRPr="0087043D">
        <w:t xml:space="preserve">the direct evidence from the Checkmate 9LA study supported the claim that </w:t>
      </w:r>
      <w:proofErr w:type="spellStart"/>
      <w:r w:rsidRPr="0087043D">
        <w:t>NIVO+IPI+platinum</w:t>
      </w:r>
      <w:proofErr w:type="spellEnd"/>
      <w:r w:rsidRPr="0087043D">
        <w:t xml:space="preserve"> was superior to platinum</w:t>
      </w:r>
      <w:r w:rsidR="00382373" w:rsidRPr="0087043D">
        <w:t>-based</w:t>
      </w:r>
      <w:r w:rsidR="00264317" w:rsidRPr="0087043D">
        <w:t xml:space="preserve"> </w:t>
      </w:r>
      <w:r w:rsidRPr="0087043D">
        <w:t>doublet chemotherapy in terms of overall survival</w:t>
      </w:r>
      <w:r w:rsidR="00382373" w:rsidRPr="0087043D">
        <w:t xml:space="preserve"> (OS)</w:t>
      </w:r>
      <w:r w:rsidR="00ED5B36" w:rsidRPr="0087043D">
        <w:t xml:space="preserve">, </w:t>
      </w:r>
      <w:r w:rsidRPr="0087043D">
        <w:t xml:space="preserve">with a hazard ratio </w:t>
      </w:r>
      <w:r w:rsidR="00D652EC" w:rsidRPr="0087043D">
        <w:t xml:space="preserve">(HR) </w:t>
      </w:r>
      <w:r w:rsidRPr="0087043D">
        <w:t xml:space="preserve">of 0.66 (95% CI: 0.55, 0.80). </w:t>
      </w:r>
      <w:r w:rsidR="003978EA" w:rsidRPr="0087043D">
        <w:t xml:space="preserve">The PBAC noted subgroup analyses of the Checkmate 9LA study demonstrated similar </w:t>
      </w:r>
      <w:r w:rsidR="0080385A" w:rsidRPr="0087043D">
        <w:t xml:space="preserve">relative </w:t>
      </w:r>
      <w:r w:rsidR="003978EA" w:rsidRPr="0087043D">
        <w:t xml:space="preserve">effects regardless of histology and PD-L1 status but </w:t>
      </w:r>
      <w:r w:rsidR="00E73E9E" w:rsidRPr="0087043D">
        <w:t xml:space="preserve">may have less effect in </w:t>
      </w:r>
      <w:r w:rsidR="003978EA" w:rsidRPr="0087043D">
        <w:t>patients over 75 years of age and never-smokers</w:t>
      </w:r>
      <w:r w:rsidR="00B76206" w:rsidRPr="0087043D">
        <w:rPr>
          <w:rStyle w:val="FootnoteReference"/>
        </w:rPr>
        <w:footnoteReference w:id="7"/>
      </w:r>
      <w:r w:rsidR="00186CC6" w:rsidRPr="0087043D">
        <w:t xml:space="preserve">. </w:t>
      </w:r>
      <w:r w:rsidR="00264317" w:rsidRPr="0087043D">
        <w:t xml:space="preserve"> </w:t>
      </w:r>
    </w:p>
    <w:p w:rsidR="00C25C24" w:rsidRPr="0087043D" w:rsidRDefault="00D652EC" w:rsidP="005D14C2">
      <w:pPr>
        <w:pStyle w:val="3-BodyText"/>
      </w:pPr>
      <w:r w:rsidRPr="0087043D">
        <w:t xml:space="preserve">The PBAC noted an indirect comparison of </w:t>
      </w:r>
      <w:proofErr w:type="spellStart"/>
      <w:r w:rsidRPr="0087043D">
        <w:t>NIVO+IPI+platinum</w:t>
      </w:r>
      <w:proofErr w:type="spellEnd"/>
      <w:r w:rsidRPr="0087043D">
        <w:t xml:space="preserve"> compared to </w:t>
      </w:r>
      <w:proofErr w:type="spellStart"/>
      <w:r w:rsidRPr="0087043D">
        <w:t>pembrolizumab+platinum</w:t>
      </w:r>
      <w:proofErr w:type="spellEnd"/>
      <w:r w:rsidRPr="0087043D">
        <w:t xml:space="preserve"> </w:t>
      </w:r>
      <w:r w:rsidR="00B1163B" w:rsidRPr="0087043D">
        <w:t xml:space="preserve">in non-squamous NSCLC </w:t>
      </w:r>
      <w:r w:rsidRPr="0087043D">
        <w:t xml:space="preserve">resulted in a HR for </w:t>
      </w:r>
      <w:r w:rsidR="00382373" w:rsidRPr="0087043D">
        <w:t>OS</w:t>
      </w:r>
      <w:r w:rsidRPr="0087043D">
        <w:t xml:space="preserve"> of 1.18 (95% CI: 0.88, 1.58</w:t>
      </w:r>
      <w:r w:rsidR="003978EA" w:rsidRPr="0087043D">
        <w:t>)</w:t>
      </w:r>
      <w:r w:rsidRPr="0087043D">
        <w:t xml:space="preserve">. </w:t>
      </w:r>
      <w:r w:rsidR="0080385A" w:rsidRPr="0087043D">
        <w:t xml:space="preserve">The PBAC noted </w:t>
      </w:r>
      <w:r w:rsidR="000B2CB6" w:rsidRPr="0087043D">
        <w:t xml:space="preserve">the </w:t>
      </w:r>
      <w:r w:rsidR="005D14C2" w:rsidRPr="0087043D">
        <w:t xml:space="preserve">HR for </w:t>
      </w:r>
      <w:r w:rsidR="0080385A" w:rsidRPr="0087043D">
        <w:t xml:space="preserve">OS </w:t>
      </w:r>
      <w:r w:rsidR="000B2CB6" w:rsidRPr="0087043D">
        <w:t xml:space="preserve">exceeded </w:t>
      </w:r>
      <w:r w:rsidR="0080385A" w:rsidRPr="0087043D">
        <w:t>1</w:t>
      </w:r>
      <w:r w:rsidR="008146F7" w:rsidRPr="0087043D">
        <w:t xml:space="preserve"> </w:t>
      </w:r>
      <w:r w:rsidR="005D14C2" w:rsidRPr="0087043D">
        <w:t xml:space="preserve">which </w:t>
      </w:r>
      <w:r w:rsidR="0080385A" w:rsidRPr="0087043D">
        <w:t xml:space="preserve">suggested a trend towards superior efficacy for </w:t>
      </w:r>
      <w:proofErr w:type="spellStart"/>
      <w:r w:rsidR="0080385A" w:rsidRPr="0087043D">
        <w:t>pembrolizumab+platinum</w:t>
      </w:r>
      <w:proofErr w:type="spellEnd"/>
      <w:r w:rsidR="0080385A" w:rsidRPr="0087043D">
        <w:t xml:space="preserve"> compared to </w:t>
      </w:r>
      <w:proofErr w:type="spellStart"/>
      <w:r w:rsidR="0080385A" w:rsidRPr="0087043D">
        <w:t>NIVO+IPI</w:t>
      </w:r>
      <w:r w:rsidR="000B2CB6" w:rsidRPr="0087043D">
        <w:t>+platinum</w:t>
      </w:r>
      <w:proofErr w:type="spellEnd"/>
      <w:r w:rsidR="0080385A" w:rsidRPr="0087043D">
        <w:t xml:space="preserve">.  The PBAC considered it is clinically plausible that the use of four cycles of chemotherapy </w:t>
      </w:r>
      <w:r w:rsidR="00C33E0C" w:rsidRPr="0087043D">
        <w:t xml:space="preserve">with </w:t>
      </w:r>
      <w:proofErr w:type="spellStart"/>
      <w:r w:rsidR="00C33E0C" w:rsidRPr="0087043D">
        <w:t>pembrolizumab</w:t>
      </w:r>
      <w:proofErr w:type="spellEnd"/>
      <w:r w:rsidR="00C33E0C" w:rsidRPr="0087043D">
        <w:t xml:space="preserve"> </w:t>
      </w:r>
      <w:r w:rsidR="0080385A" w:rsidRPr="0087043D">
        <w:t>in patients with non-squamous NSCLC may provide better outcomes than two cycles of chemotherapy</w:t>
      </w:r>
      <w:r w:rsidR="00C33E0C" w:rsidRPr="0087043D">
        <w:t xml:space="preserve"> with nivolumab and ipilimumab</w:t>
      </w:r>
      <w:r w:rsidR="0080385A" w:rsidRPr="0087043D">
        <w:t>. The PBAC noted the indirect comparison using the subgroup of patients in Checkmate 9LA with non-squamous NSCLC also exceeded 1</w:t>
      </w:r>
      <w:r w:rsidR="000E190C" w:rsidRPr="0087043D">
        <w:t xml:space="preserve">, favouring </w:t>
      </w:r>
      <w:proofErr w:type="spellStart"/>
      <w:r w:rsidR="000E190C" w:rsidRPr="0087043D">
        <w:t>pembrolizumab+platinum</w:t>
      </w:r>
      <w:proofErr w:type="spellEnd"/>
      <w:r w:rsidR="0080385A" w:rsidRPr="0087043D">
        <w:t xml:space="preserve"> (OS HR 1.23 (95% CI: 0.90, 1.69). The PBAC considered that, overall, the evidence presented did not support the claim that </w:t>
      </w:r>
      <w:proofErr w:type="spellStart"/>
      <w:r w:rsidR="0080385A" w:rsidRPr="0087043D">
        <w:t>NIVO+IPI+platinum</w:t>
      </w:r>
      <w:proofErr w:type="spellEnd"/>
      <w:r w:rsidR="0080385A" w:rsidRPr="0087043D">
        <w:t xml:space="preserve"> is of non-inferior effectiveness compared to </w:t>
      </w:r>
      <w:proofErr w:type="spellStart"/>
      <w:r w:rsidR="0080385A" w:rsidRPr="0087043D">
        <w:t>pembrolizumab+platinum</w:t>
      </w:r>
      <w:proofErr w:type="spellEnd"/>
      <w:r w:rsidR="0080385A" w:rsidRPr="0087043D">
        <w:t>.</w:t>
      </w:r>
    </w:p>
    <w:p w:rsidR="002E1FC2" w:rsidRPr="0087043D" w:rsidRDefault="00D652EC" w:rsidP="002E1FC2">
      <w:pPr>
        <w:pStyle w:val="3-BodyText"/>
      </w:pPr>
      <w:r w:rsidRPr="0087043D">
        <w:t xml:space="preserve">The PBAC noted an indirect comparison of </w:t>
      </w:r>
      <w:proofErr w:type="spellStart"/>
      <w:r w:rsidRPr="0087043D">
        <w:t>NIVO+IPI+platinum</w:t>
      </w:r>
      <w:proofErr w:type="spellEnd"/>
      <w:r w:rsidRPr="0087043D">
        <w:t xml:space="preserve"> compared to </w:t>
      </w:r>
      <w:proofErr w:type="spellStart"/>
      <w:r w:rsidRPr="0087043D">
        <w:t>pembrolizumab+platinum</w:t>
      </w:r>
      <w:proofErr w:type="spellEnd"/>
      <w:r w:rsidRPr="0087043D">
        <w:t xml:space="preserve"> in squamous NSCLC resulted in a HR for </w:t>
      </w:r>
      <w:r w:rsidR="00382373" w:rsidRPr="0087043D">
        <w:t>OS</w:t>
      </w:r>
      <w:r w:rsidRPr="0087043D">
        <w:t xml:space="preserve"> of 0.93 (95% CI: 0.70, 1.23). </w:t>
      </w:r>
      <w:r w:rsidR="005D14C2" w:rsidRPr="0087043D">
        <w:t xml:space="preserve">The PBAC noted a HR for </w:t>
      </w:r>
      <w:r w:rsidR="002E1FC2" w:rsidRPr="0087043D">
        <w:t xml:space="preserve">OS </w:t>
      </w:r>
      <w:r w:rsidR="005D14C2" w:rsidRPr="0087043D">
        <w:t xml:space="preserve">of </w:t>
      </w:r>
      <w:r w:rsidR="002E1FC2" w:rsidRPr="0087043D">
        <w:t xml:space="preserve">less than 1 suggested a trend towards superior efficacy for NIVO+IPI compared to </w:t>
      </w:r>
      <w:proofErr w:type="spellStart"/>
      <w:r w:rsidR="002E1FC2" w:rsidRPr="0087043D">
        <w:t>pembrolizumab+platinum</w:t>
      </w:r>
      <w:proofErr w:type="spellEnd"/>
      <w:r w:rsidR="002E1FC2" w:rsidRPr="0087043D">
        <w:t xml:space="preserve">. </w:t>
      </w:r>
      <w:r w:rsidR="000E190C" w:rsidRPr="0087043D">
        <w:t xml:space="preserve">The PBAC noted squamous NSCLC </w:t>
      </w:r>
      <w:r w:rsidR="00BA3A2F" w:rsidRPr="0087043D">
        <w:t xml:space="preserve">may be </w:t>
      </w:r>
      <w:r w:rsidR="000E190C" w:rsidRPr="0087043D">
        <w:t xml:space="preserve">less sensitive to chemotherapy and the use of 2 cycles of chemotherapy </w:t>
      </w:r>
      <w:r w:rsidR="009E0851" w:rsidRPr="0087043D">
        <w:t xml:space="preserve">with nivolumab and ipilimumab </w:t>
      </w:r>
      <w:r w:rsidR="000E190C" w:rsidRPr="0087043D">
        <w:t xml:space="preserve">rather than 4 cycles of chemotherapy </w:t>
      </w:r>
      <w:r w:rsidR="009E0851" w:rsidRPr="0087043D">
        <w:t xml:space="preserve">with </w:t>
      </w:r>
      <w:proofErr w:type="spellStart"/>
      <w:r w:rsidR="009E0851" w:rsidRPr="0087043D">
        <w:t>pembrolizumab</w:t>
      </w:r>
      <w:proofErr w:type="spellEnd"/>
      <w:r w:rsidR="009E0851" w:rsidRPr="0087043D">
        <w:t xml:space="preserve"> </w:t>
      </w:r>
      <w:r w:rsidR="000E190C" w:rsidRPr="0087043D">
        <w:t xml:space="preserve">may have less of an impact on outcomes compared to non-squamous NSCLC. </w:t>
      </w:r>
      <w:r w:rsidR="002E1FC2" w:rsidRPr="0087043D">
        <w:t xml:space="preserve">The PBAC noted the indirect comparison using the subgroup of patients in Checkmate 9LA with squamous NSCLC was also less than 1 (OS HR 0.87 (95%CI: 0.59, 1.28). The PBAC considered that, overall, the evidence presented supported the claim that </w:t>
      </w:r>
      <w:proofErr w:type="spellStart"/>
      <w:r w:rsidR="002E1FC2" w:rsidRPr="0087043D">
        <w:t>NIVO+IPI+platinum</w:t>
      </w:r>
      <w:proofErr w:type="spellEnd"/>
      <w:r w:rsidR="002E1FC2" w:rsidRPr="0087043D">
        <w:t xml:space="preserve"> is </w:t>
      </w:r>
      <w:r w:rsidR="00BA3A2F" w:rsidRPr="0087043D">
        <w:t xml:space="preserve">likely to be </w:t>
      </w:r>
      <w:r w:rsidR="002E1FC2" w:rsidRPr="0087043D">
        <w:t xml:space="preserve">of non-inferior effectiveness compared to </w:t>
      </w:r>
      <w:proofErr w:type="spellStart"/>
      <w:r w:rsidR="002E1FC2" w:rsidRPr="0087043D">
        <w:t>pembrolizumab+platinum</w:t>
      </w:r>
      <w:proofErr w:type="spellEnd"/>
      <w:r w:rsidR="002E1FC2" w:rsidRPr="0087043D">
        <w:t>.</w:t>
      </w:r>
    </w:p>
    <w:p w:rsidR="00B1163B" w:rsidRPr="0087043D" w:rsidRDefault="00B1163B" w:rsidP="00B1163B">
      <w:pPr>
        <w:pStyle w:val="3-BodyText"/>
      </w:pPr>
      <w:r w:rsidRPr="0087043D">
        <w:t xml:space="preserve">The PBAC noted there were no differences in adverse events between </w:t>
      </w:r>
      <w:proofErr w:type="spellStart"/>
      <w:r w:rsidRPr="0087043D">
        <w:t>NIVO+IPI+platinum</w:t>
      </w:r>
      <w:proofErr w:type="spellEnd"/>
      <w:r w:rsidRPr="0087043D">
        <w:t xml:space="preserve"> and </w:t>
      </w:r>
      <w:proofErr w:type="spellStart"/>
      <w:r w:rsidRPr="0087043D">
        <w:t>pembrolizumab+platinum</w:t>
      </w:r>
      <w:proofErr w:type="spellEnd"/>
      <w:r w:rsidR="007129D8" w:rsidRPr="0087043D">
        <w:t xml:space="preserve"> </w:t>
      </w:r>
      <w:r w:rsidR="00ED27FE" w:rsidRPr="0087043D">
        <w:t xml:space="preserve">but noted the </w:t>
      </w:r>
      <w:r w:rsidR="007129D8" w:rsidRPr="0087043D">
        <w:t xml:space="preserve">follow-up in the non-squamous </w:t>
      </w:r>
      <w:proofErr w:type="spellStart"/>
      <w:r w:rsidR="007129D8" w:rsidRPr="0087043D">
        <w:t>pembrolizumab+</w:t>
      </w:r>
      <w:r w:rsidR="00ED27FE" w:rsidRPr="0087043D">
        <w:t>platinum</w:t>
      </w:r>
      <w:proofErr w:type="spellEnd"/>
      <w:r w:rsidR="00ED27FE" w:rsidRPr="0087043D">
        <w:t xml:space="preserve"> trial was longer than the </w:t>
      </w:r>
      <w:proofErr w:type="spellStart"/>
      <w:r w:rsidR="00ED27FE" w:rsidRPr="0087043D">
        <w:t>NIVO+IPI+platinum</w:t>
      </w:r>
      <w:proofErr w:type="spellEnd"/>
      <w:r w:rsidR="00ED27FE" w:rsidRPr="0087043D">
        <w:t xml:space="preserve"> trial (</w:t>
      </w:r>
      <w:r w:rsidR="007129D8" w:rsidRPr="0087043D">
        <w:t>23.1 months and 14.2 months, respectively)</w:t>
      </w:r>
      <w:r w:rsidR="00186CC6" w:rsidRPr="0087043D">
        <w:t xml:space="preserve">. </w:t>
      </w:r>
      <w:r w:rsidR="00264317" w:rsidRPr="0087043D">
        <w:t xml:space="preserve"> </w:t>
      </w:r>
      <w:r w:rsidR="007129D8" w:rsidRPr="0087043D">
        <w:t xml:space="preserve">The PBAC </w:t>
      </w:r>
      <w:r w:rsidR="00ED27FE" w:rsidRPr="0087043D">
        <w:t xml:space="preserve">considered </w:t>
      </w:r>
      <w:r w:rsidR="00382373" w:rsidRPr="0087043D">
        <w:t>the claim of</w:t>
      </w:r>
      <w:r w:rsidRPr="0087043D">
        <w:t xml:space="preserve"> non-inferior safety</w:t>
      </w:r>
      <w:r w:rsidR="00EA6ACF" w:rsidRPr="0087043D">
        <w:t xml:space="preserve"> based on the data presented is reasonable but </w:t>
      </w:r>
      <w:r w:rsidR="00ED27FE" w:rsidRPr="0087043D">
        <w:t xml:space="preserve">is uncertain </w:t>
      </w:r>
      <w:r w:rsidR="00EA6ACF" w:rsidRPr="0087043D">
        <w:t xml:space="preserve">in the longer term because the </w:t>
      </w:r>
      <w:r w:rsidR="00ED27FE" w:rsidRPr="0087043D">
        <w:t xml:space="preserve">use of nivolumab </w:t>
      </w:r>
      <w:r w:rsidR="007129D8" w:rsidRPr="0087043D">
        <w:t xml:space="preserve">in combination with </w:t>
      </w:r>
      <w:r w:rsidR="00ED27FE" w:rsidRPr="0087043D">
        <w:t xml:space="preserve">ipilimumab may result in more immunological AEs, compared to </w:t>
      </w:r>
      <w:proofErr w:type="spellStart"/>
      <w:r w:rsidR="00ED27FE" w:rsidRPr="0087043D">
        <w:t>pembrolizumab</w:t>
      </w:r>
      <w:proofErr w:type="spellEnd"/>
      <w:r w:rsidR="00ED27FE" w:rsidRPr="0087043D">
        <w:t xml:space="preserve"> alone, with longer follow-up</w:t>
      </w:r>
    </w:p>
    <w:p w:rsidR="00B1163B" w:rsidRPr="0087043D" w:rsidRDefault="000042ED" w:rsidP="00382373">
      <w:pPr>
        <w:pStyle w:val="3-BodyText"/>
      </w:pPr>
      <w:r w:rsidRPr="0087043D">
        <w:t xml:space="preserve">The PBAC </w:t>
      </w:r>
      <w:r w:rsidR="005D14C2" w:rsidRPr="0087043D">
        <w:t xml:space="preserve">noted </w:t>
      </w:r>
      <w:r w:rsidR="0010666B" w:rsidRPr="0087043D">
        <w:t>there were a number of</w:t>
      </w:r>
      <w:r w:rsidR="00736834" w:rsidRPr="0087043D">
        <w:t xml:space="preserve"> concerns raised by the evaluation regarding </w:t>
      </w:r>
      <w:r w:rsidRPr="0087043D">
        <w:t xml:space="preserve">the indirect comparison of </w:t>
      </w:r>
      <w:proofErr w:type="spellStart"/>
      <w:r w:rsidRPr="0087043D">
        <w:t>NIVO+IPI+platinum</w:t>
      </w:r>
      <w:proofErr w:type="spellEnd"/>
      <w:r w:rsidRPr="0087043D">
        <w:t xml:space="preserve"> </w:t>
      </w:r>
      <w:r w:rsidR="0010666B" w:rsidRPr="0087043D">
        <w:t xml:space="preserve">and </w:t>
      </w:r>
      <w:r w:rsidRPr="0087043D">
        <w:t xml:space="preserve">atezolizumab + bevacizumab + chemotherapy </w:t>
      </w:r>
      <w:r w:rsidR="0010666B" w:rsidRPr="0087043D">
        <w:t>(paragraph 6.</w:t>
      </w:r>
      <w:r w:rsidR="00581603" w:rsidRPr="0087043D">
        <w:t>31</w:t>
      </w:r>
      <w:r w:rsidR="0010666B" w:rsidRPr="0087043D">
        <w:t xml:space="preserve">) and considered </w:t>
      </w:r>
      <w:r w:rsidRPr="0087043D">
        <w:t xml:space="preserve">no conclusion regarding the comparative effectiveness </w:t>
      </w:r>
      <w:r w:rsidR="00B1163B" w:rsidRPr="0087043D">
        <w:t xml:space="preserve">and safety </w:t>
      </w:r>
      <w:r w:rsidRPr="0087043D">
        <w:t>could be made</w:t>
      </w:r>
      <w:r w:rsidR="00B1163B" w:rsidRPr="0087043D">
        <w:t xml:space="preserve">. </w:t>
      </w:r>
    </w:p>
    <w:p w:rsidR="006C6496" w:rsidRPr="0087043D" w:rsidRDefault="006C6496" w:rsidP="006C6496">
      <w:pPr>
        <w:pStyle w:val="3-BodyText"/>
      </w:pPr>
      <w:r w:rsidRPr="0087043D">
        <w:t xml:space="preserve">The PBAC considered that the </w:t>
      </w:r>
      <w:proofErr w:type="spellStart"/>
      <w:r w:rsidRPr="0087043D">
        <w:t>equi</w:t>
      </w:r>
      <w:proofErr w:type="spellEnd"/>
      <w:r w:rsidRPr="0087043D">
        <w:t>-effective doses outlined in paragraph 7.</w:t>
      </w:r>
      <w:r w:rsidR="00FB6B87" w:rsidRPr="0087043D">
        <w:t>3</w:t>
      </w:r>
      <w:r w:rsidRPr="0087043D">
        <w:t xml:space="preserve"> are an appropriate basis for calculation of the price for </w:t>
      </w:r>
      <w:proofErr w:type="spellStart"/>
      <w:r w:rsidRPr="0087043D">
        <w:t>NIVO+IPI+platinum</w:t>
      </w:r>
      <w:proofErr w:type="spellEnd"/>
      <w:r w:rsidR="00EA6ACF" w:rsidRPr="0087043D">
        <w:t xml:space="preserve"> for the treatment of squamous NSCLC</w:t>
      </w:r>
      <w:r w:rsidRPr="0087043D">
        <w:t xml:space="preserve">. </w:t>
      </w:r>
    </w:p>
    <w:p w:rsidR="00FB6B87" w:rsidRPr="0087043D" w:rsidRDefault="006C6496" w:rsidP="00E453D8">
      <w:pPr>
        <w:widowControl w:val="0"/>
        <w:numPr>
          <w:ilvl w:val="1"/>
          <w:numId w:val="1"/>
        </w:numPr>
        <w:spacing w:after="120"/>
        <w:rPr>
          <w:b/>
        </w:rPr>
      </w:pPr>
      <w:r w:rsidRPr="0087043D">
        <w:t xml:space="preserve">The PBAC considered that, at a price cost-minimised to </w:t>
      </w:r>
      <w:proofErr w:type="spellStart"/>
      <w:r w:rsidRPr="0087043D">
        <w:t>pembrolizumab+platinum</w:t>
      </w:r>
      <w:proofErr w:type="spellEnd"/>
      <w:r w:rsidRPr="0087043D">
        <w:t>,</w:t>
      </w:r>
      <w:r w:rsidR="008A76F3" w:rsidRPr="0087043D">
        <w:t xml:space="preserve"> </w:t>
      </w:r>
      <w:r w:rsidRPr="0087043D">
        <w:t xml:space="preserve">the listing of </w:t>
      </w:r>
      <w:proofErr w:type="spellStart"/>
      <w:r w:rsidRPr="0087043D">
        <w:t>NIVO+IPI+platinum</w:t>
      </w:r>
      <w:proofErr w:type="spellEnd"/>
      <w:r w:rsidRPr="0087043D">
        <w:t xml:space="preserve"> on the PBS for patients with squamous NSCLC would be expected to </w:t>
      </w:r>
      <w:r w:rsidR="00B13ABE" w:rsidRPr="0087043D">
        <w:t xml:space="preserve">result in no additional cost </w:t>
      </w:r>
      <w:r w:rsidRPr="0087043D">
        <w:t xml:space="preserve">to the PBS/RPBS. </w:t>
      </w:r>
    </w:p>
    <w:p w:rsidR="00B13ABE" w:rsidRPr="0087043D" w:rsidRDefault="00B13ABE" w:rsidP="00E453D8">
      <w:pPr>
        <w:widowControl w:val="0"/>
        <w:numPr>
          <w:ilvl w:val="1"/>
          <w:numId w:val="1"/>
        </w:numPr>
        <w:spacing w:after="120"/>
        <w:rPr>
          <w:b/>
        </w:rPr>
      </w:pPr>
      <w:r w:rsidRPr="0087043D">
        <w:t>The PBAC advised that NIVO+IPI would need to join the existing RSA caps for NSCLC with no increase to the current caps.</w:t>
      </w:r>
    </w:p>
    <w:p w:rsidR="00DD5DA7" w:rsidRPr="0087043D" w:rsidRDefault="00DD5DA7" w:rsidP="00DD5DA7">
      <w:pPr>
        <w:pStyle w:val="3-BodyText"/>
        <w:rPr>
          <w:rFonts w:ascii="Calibri" w:hAnsi="Calibri"/>
          <w:snapToGrid/>
        </w:rPr>
      </w:pPr>
      <w:r w:rsidRPr="0087043D">
        <w:rPr>
          <w:rFonts w:ascii="Calibri" w:hAnsi="Calibri"/>
          <w:snapToGrid/>
        </w:rPr>
        <w:t xml:space="preserve">The PBAC noted that its recommendation was on a cost-minimisation basis and advised that, because </w:t>
      </w:r>
      <w:proofErr w:type="spellStart"/>
      <w:r w:rsidRPr="0087043D">
        <w:rPr>
          <w:rFonts w:ascii="Calibri" w:hAnsi="Calibri"/>
          <w:snapToGrid/>
        </w:rPr>
        <w:t>NIVO+IPI+platinum</w:t>
      </w:r>
      <w:proofErr w:type="spellEnd"/>
      <w:r w:rsidRPr="0087043D">
        <w:rPr>
          <w:rFonts w:ascii="Calibri" w:hAnsi="Calibri"/>
          <w:snapToGrid/>
        </w:rPr>
        <w:t xml:space="preserve"> is not expected to provide a substantial and clinically relevant improvement in efficacy, or reduction of toxicity, over </w:t>
      </w:r>
      <w:proofErr w:type="spellStart"/>
      <w:r w:rsidRPr="0087043D">
        <w:rPr>
          <w:rFonts w:ascii="Calibri" w:hAnsi="Calibri"/>
          <w:snapToGrid/>
        </w:rPr>
        <w:t>pembrolizumab+platinum</w:t>
      </w:r>
      <w:proofErr w:type="spellEnd"/>
      <w:r w:rsidRPr="0087043D">
        <w:rPr>
          <w:rFonts w:ascii="Calibri" w:hAnsi="Calibri"/>
          <w:snapToGrid/>
        </w:rPr>
        <w:t xml:space="preserve"> for squamous NSCLC, or not expected to address a high and urgent unmet clinical need given the presence of an alternative therapy, the criteria prescribed by the National Health (Pharmaceuticals and Vaccines – Cost Recovery) Regulations 2009 for Pricing Pathway A were not met.</w:t>
      </w:r>
    </w:p>
    <w:p w:rsidR="0057608F" w:rsidRPr="00316FE3" w:rsidRDefault="003068FE" w:rsidP="00316FE3">
      <w:pPr>
        <w:widowControl w:val="0"/>
        <w:numPr>
          <w:ilvl w:val="1"/>
          <w:numId w:val="1"/>
        </w:numPr>
        <w:spacing w:after="120"/>
        <w:rPr>
          <w:b/>
        </w:rPr>
      </w:pPr>
      <w:r w:rsidRPr="0087043D">
        <w:rPr>
          <w:rFonts w:asciiTheme="minorHAnsi" w:hAnsiTheme="minorHAnsi"/>
          <w:bCs/>
          <w:snapToGrid w:val="0"/>
          <w:lang w:eastAsia="en-US"/>
        </w:rPr>
        <w:t xml:space="preserve">The PBAC noted that this submission is not eligible for an Independent Review as it was recommended. </w:t>
      </w:r>
    </w:p>
    <w:bookmarkEnd w:id="47"/>
    <w:p w:rsidR="0002192C" w:rsidRPr="0087043D" w:rsidRDefault="0002192C" w:rsidP="0002192C">
      <w:pPr>
        <w:rPr>
          <w:b/>
          <w:bCs/>
        </w:rPr>
      </w:pPr>
      <w:r w:rsidRPr="0087043D">
        <w:rPr>
          <w:b/>
          <w:bCs/>
        </w:rPr>
        <w:t>Outcome:</w:t>
      </w:r>
    </w:p>
    <w:p w:rsidR="004C4A78" w:rsidRPr="0087043D" w:rsidRDefault="0002192C" w:rsidP="004C4A78">
      <w:pPr>
        <w:rPr>
          <w:rFonts w:asciiTheme="minorHAnsi" w:hAnsiTheme="minorHAnsi"/>
          <w:bCs/>
          <w:snapToGrid w:val="0"/>
        </w:rPr>
      </w:pPr>
      <w:r w:rsidRPr="0087043D">
        <w:rPr>
          <w:rFonts w:asciiTheme="minorHAnsi" w:hAnsiTheme="minorHAnsi"/>
          <w:bCs/>
          <w:snapToGrid w:val="0"/>
        </w:rPr>
        <w:t>Recommended</w:t>
      </w:r>
    </w:p>
    <w:p w:rsidR="0002192C" w:rsidRPr="0087043D" w:rsidRDefault="0002192C" w:rsidP="0002192C">
      <w:pPr>
        <w:pStyle w:val="2-SectionHeading"/>
      </w:pPr>
      <w:r w:rsidRPr="0087043D">
        <w:t>Recommended listing</w:t>
      </w:r>
    </w:p>
    <w:p w:rsidR="00606FBA" w:rsidRPr="0087043D" w:rsidRDefault="004B0AA7" w:rsidP="00DD5DA7">
      <w:pPr>
        <w:pStyle w:val="3-BodyText"/>
        <w:jc w:val="left"/>
        <w:rPr>
          <w:b/>
          <w:caps/>
          <w:sz w:val="32"/>
        </w:rPr>
      </w:pPr>
      <w:r w:rsidRPr="0087043D">
        <w:t>Add new indication</w:t>
      </w:r>
      <w:r w:rsidR="00A17739" w:rsidRPr="0087043D">
        <w:t xml:space="preserve"> for nivolumab as follows:</w:t>
      </w:r>
    </w:p>
    <w:p w:rsidR="008C7E0B" w:rsidRPr="0087043D" w:rsidRDefault="008C7E0B" w:rsidP="008C7E0B">
      <w:pPr>
        <w:jc w:val="left"/>
        <w:rPr>
          <w:color w:val="3366FF"/>
        </w:rPr>
      </w:pPr>
      <w:bookmarkStart w:id="49" w:name="_Toc511478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1"/>
        <w:gridCol w:w="1145"/>
        <w:gridCol w:w="1003"/>
        <w:gridCol w:w="858"/>
        <w:gridCol w:w="2150"/>
      </w:tblGrid>
      <w:tr w:rsidR="008C7E0B" w:rsidRPr="0087043D" w:rsidTr="00316FE3">
        <w:trPr>
          <w:cantSplit/>
          <w:trHeight w:val="471"/>
        </w:trPr>
        <w:tc>
          <w:tcPr>
            <w:tcW w:w="2141" w:type="pct"/>
          </w:tcPr>
          <w:p w:rsidR="008C7E0B" w:rsidRPr="0087043D" w:rsidRDefault="008C7E0B" w:rsidP="008C7E0B">
            <w:pPr>
              <w:keepNext/>
              <w:ind w:left="-108"/>
              <w:rPr>
                <w:rFonts w:ascii="Arial Narrow" w:hAnsi="Arial Narrow"/>
                <w:b/>
                <w:color w:val="000000" w:themeColor="text1"/>
                <w:sz w:val="18"/>
                <w:szCs w:val="18"/>
              </w:rPr>
            </w:pPr>
            <w:r w:rsidRPr="0087043D">
              <w:rPr>
                <w:rFonts w:ascii="Arial Narrow" w:hAnsi="Arial Narrow"/>
                <w:b/>
                <w:color w:val="000000" w:themeColor="text1"/>
                <w:sz w:val="18"/>
                <w:szCs w:val="18"/>
              </w:rPr>
              <w:t>Name, Restriction,</w:t>
            </w:r>
          </w:p>
          <w:p w:rsidR="008C7E0B" w:rsidRPr="0087043D" w:rsidRDefault="008C7E0B" w:rsidP="008C7E0B">
            <w:pPr>
              <w:keepNext/>
              <w:ind w:left="-108"/>
              <w:rPr>
                <w:rFonts w:ascii="Arial Narrow" w:hAnsi="Arial Narrow"/>
                <w:b/>
                <w:color w:val="000000" w:themeColor="text1"/>
                <w:sz w:val="18"/>
                <w:szCs w:val="18"/>
              </w:rPr>
            </w:pPr>
            <w:r w:rsidRPr="0087043D">
              <w:rPr>
                <w:rFonts w:ascii="Arial Narrow" w:hAnsi="Arial Narrow"/>
                <w:b/>
                <w:color w:val="000000" w:themeColor="text1"/>
                <w:sz w:val="18"/>
                <w:szCs w:val="18"/>
              </w:rPr>
              <w:t>Manner of administration and form</w:t>
            </w:r>
          </w:p>
        </w:tc>
        <w:tc>
          <w:tcPr>
            <w:tcW w:w="635" w:type="pct"/>
          </w:tcPr>
          <w:p w:rsidR="008C7E0B" w:rsidRPr="0087043D" w:rsidRDefault="008C7E0B" w:rsidP="008C7E0B">
            <w:pPr>
              <w:keepNext/>
              <w:ind w:left="-108"/>
              <w:jc w:val="center"/>
              <w:rPr>
                <w:rFonts w:ascii="Arial Narrow" w:hAnsi="Arial Narrow"/>
                <w:b/>
                <w:color w:val="000000" w:themeColor="text1"/>
                <w:sz w:val="18"/>
                <w:szCs w:val="18"/>
              </w:rPr>
            </w:pPr>
            <w:r w:rsidRPr="0087043D">
              <w:rPr>
                <w:rFonts w:ascii="Arial Narrow" w:hAnsi="Arial Narrow"/>
                <w:b/>
                <w:color w:val="000000" w:themeColor="text1"/>
                <w:sz w:val="18"/>
                <w:szCs w:val="18"/>
              </w:rPr>
              <w:t>PBS item code</w:t>
            </w:r>
          </w:p>
        </w:tc>
        <w:tc>
          <w:tcPr>
            <w:tcW w:w="556" w:type="pct"/>
          </w:tcPr>
          <w:p w:rsidR="008C7E0B" w:rsidRPr="0087043D" w:rsidRDefault="008C7E0B" w:rsidP="008C7E0B">
            <w:pPr>
              <w:keepNext/>
              <w:ind w:left="-108"/>
              <w:jc w:val="center"/>
              <w:rPr>
                <w:rFonts w:ascii="Arial Narrow" w:hAnsi="Arial Narrow"/>
                <w:b/>
                <w:color w:val="000000" w:themeColor="text1"/>
                <w:sz w:val="18"/>
                <w:szCs w:val="18"/>
              </w:rPr>
            </w:pPr>
            <w:r w:rsidRPr="0087043D">
              <w:rPr>
                <w:rFonts w:ascii="Arial Narrow" w:hAnsi="Arial Narrow"/>
                <w:b/>
                <w:color w:val="000000" w:themeColor="text1"/>
                <w:sz w:val="18"/>
                <w:szCs w:val="18"/>
              </w:rPr>
              <w:t>Max.</w:t>
            </w:r>
          </w:p>
          <w:p w:rsidR="008C7E0B" w:rsidRPr="0087043D" w:rsidRDefault="008C7E0B" w:rsidP="008C7E0B">
            <w:pPr>
              <w:keepNext/>
              <w:ind w:left="-108"/>
              <w:jc w:val="center"/>
              <w:rPr>
                <w:rFonts w:ascii="Arial Narrow" w:hAnsi="Arial Narrow"/>
                <w:b/>
                <w:color w:val="000000" w:themeColor="text1"/>
                <w:sz w:val="18"/>
                <w:szCs w:val="18"/>
              </w:rPr>
            </w:pPr>
            <w:r w:rsidRPr="0087043D">
              <w:rPr>
                <w:rFonts w:ascii="Arial Narrow" w:hAnsi="Arial Narrow"/>
                <w:b/>
                <w:color w:val="000000" w:themeColor="text1"/>
                <w:sz w:val="18"/>
                <w:szCs w:val="18"/>
              </w:rPr>
              <w:t>Amount</w:t>
            </w:r>
          </w:p>
        </w:tc>
        <w:tc>
          <w:tcPr>
            <w:tcW w:w="476" w:type="pct"/>
          </w:tcPr>
          <w:p w:rsidR="008C7E0B" w:rsidRPr="0087043D" w:rsidRDefault="008C7E0B" w:rsidP="008C7E0B">
            <w:pPr>
              <w:keepNext/>
              <w:ind w:left="-108"/>
              <w:jc w:val="center"/>
              <w:rPr>
                <w:rFonts w:ascii="Arial Narrow" w:hAnsi="Arial Narrow"/>
                <w:b/>
                <w:color w:val="000000" w:themeColor="text1"/>
                <w:sz w:val="18"/>
                <w:szCs w:val="18"/>
              </w:rPr>
            </w:pPr>
            <w:r w:rsidRPr="0087043D">
              <w:rPr>
                <w:rFonts w:ascii="Arial Narrow" w:hAnsi="Arial Narrow"/>
                <w:b/>
                <w:color w:val="000000" w:themeColor="text1"/>
                <w:sz w:val="18"/>
                <w:szCs w:val="18"/>
              </w:rPr>
              <w:t>№.of</w:t>
            </w:r>
          </w:p>
          <w:p w:rsidR="008C7E0B" w:rsidRPr="0087043D" w:rsidRDefault="008C7E0B" w:rsidP="008C7E0B">
            <w:pPr>
              <w:keepNext/>
              <w:ind w:left="-108"/>
              <w:jc w:val="center"/>
              <w:rPr>
                <w:rFonts w:ascii="Arial Narrow" w:hAnsi="Arial Narrow"/>
                <w:b/>
                <w:color w:val="000000" w:themeColor="text1"/>
                <w:sz w:val="18"/>
                <w:szCs w:val="18"/>
              </w:rPr>
            </w:pPr>
            <w:proofErr w:type="spellStart"/>
            <w:r w:rsidRPr="0087043D">
              <w:rPr>
                <w:rFonts w:ascii="Arial Narrow" w:hAnsi="Arial Narrow"/>
                <w:b/>
                <w:color w:val="000000" w:themeColor="text1"/>
                <w:sz w:val="18"/>
                <w:szCs w:val="18"/>
              </w:rPr>
              <w:t>Rpts</w:t>
            </w:r>
            <w:proofErr w:type="spellEnd"/>
          </w:p>
        </w:tc>
        <w:tc>
          <w:tcPr>
            <w:tcW w:w="1191" w:type="pct"/>
          </w:tcPr>
          <w:p w:rsidR="008C7E0B" w:rsidRPr="0087043D" w:rsidRDefault="008C7E0B" w:rsidP="008C7E0B">
            <w:pPr>
              <w:keepNext/>
              <w:rPr>
                <w:rFonts w:ascii="Arial Narrow" w:hAnsi="Arial Narrow"/>
                <w:b/>
                <w:color w:val="000000" w:themeColor="text1"/>
                <w:sz w:val="18"/>
                <w:szCs w:val="18"/>
              </w:rPr>
            </w:pPr>
            <w:r w:rsidRPr="0087043D">
              <w:rPr>
                <w:rFonts w:ascii="Arial Narrow" w:hAnsi="Arial Narrow"/>
                <w:b/>
                <w:color w:val="000000" w:themeColor="text1"/>
                <w:sz w:val="18"/>
                <w:szCs w:val="18"/>
              </w:rPr>
              <w:t>Manufacturer</w:t>
            </w:r>
          </w:p>
        </w:tc>
      </w:tr>
      <w:tr w:rsidR="008C7E0B" w:rsidRPr="0087043D" w:rsidTr="00316FE3">
        <w:trPr>
          <w:cantSplit/>
          <w:trHeight w:val="577"/>
        </w:trPr>
        <w:tc>
          <w:tcPr>
            <w:tcW w:w="2141" w:type="pct"/>
          </w:tcPr>
          <w:p w:rsidR="008C7E0B" w:rsidRPr="0087043D" w:rsidRDefault="008C7E0B" w:rsidP="008C7E0B">
            <w:pPr>
              <w:keepNext/>
              <w:ind w:left="-108"/>
              <w:rPr>
                <w:rFonts w:ascii="Arial Narrow" w:hAnsi="Arial Narrow"/>
                <w:color w:val="000000" w:themeColor="text1"/>
                <w:sz w:val="18"/>
                <w:szCs w:val="18"/>
              </w:rPr>
            </w:pPr>
            <w:r w:rsidRPr="0087043D">
              <w:rPr>
                <w:rFonts w:ascii="Arial Narrow" w:hAnsi="Arial Narrow"/>
                <w:color w:val="000000" w:themeColor="text1"/>
                <w:sz w:val="18"/>
                <w:szCs w:val="18"/>
              </w:rPr>
              <w:t>NIVOLUMAB</w:t>
            </w:r>
          </w:p>
          <w:p w:rsidR="008C7E0B" w:rsidRPr="0087043D" w:rsidRDefault="008C7E0B" w:rsidP="008C7E0B">
            <w:pPr>
              <w:keepNext/>
              <w:ind w:left="-108"/>
              <w:rPr>
                <w:rFonts w:ascii="Arial Narrow" w:hAnsi="Arial Narrow" w:cs="Arial Narrow"/>
                <w:color w:val="000000" w:themeColor="text1"/>
                <w:sz w:val="20"/>
                <w:szCs w:val="20"/>
              </w:rPr>
            </w:pPr>
            <w:r w:rsidRPr="0087043D">
              <w:rPr>
                <w:rFonts w:ascii="Arial Narrow" w:hAnsi="Arial Narrow" w:cs="Arial Narrow"/>
                <w:color w:val="000000" w:themeColor="text1"/>
                <w:sz w:val="20"/>
                <w:szCs w:val="20"/>
              </w:rPr>
              <w:t>Injection</w:t>
            </w:r>
          </w:p>
          <w:p w:rsidR="008C7E0B" w:rsidRPr="0087043D" w:rsidRDefault="008C7E0B" w:rsidP="008C7E0B">
            <w:pPr>
              <w:keepNext/>
              <w:ind w:left="-108"/>
              <w:rPr>
                <w:rFonts w:ascii="Arial Narrow" w:hAnsi="Arial Narrow"/>
                <w:color w:val="000000" w:themeColor="text1"/>
                <w:sz w:val="18"/>
                <w:szCs w:val="18"/>
              </w:rPr>
            </w:pPr>
          </w:p>
        </w:tc>
        <w:tc>
          <w:tcPr>
            <w:tcW w:w="635" w:type="pct"/>
          </w:tcPr>
          <w:p w:rsidR="008C7E0B" w:rsidRPr="0087043D" w:rsidRDefault="008C7E0B" w:rsidP="008C7E0B">
            <w:pPr>
              <w:keepNext/>
              <w:ind w:left="-108"/>
              <w:rPr>
                <w:rFonts w:ascii="Arial Narrow" w:hAnsi="Arial Narrow"/>
                <w:color w:val="000000" w:themeColor="text1"/>
                <w:sz w:val="18"/>
                <w:szCs w:val="18"/>
              </w:rPr>
            </w:pPr>
          </w:p>
          <w:p w:rsidR="008C7E0B" w:rsidRPr="0087043D" w:rsidRDefault="008C7E0B" w:rsidP="008C7E0B">
            <w:pPr>
              <w:keepNext/>
              <w:ind w:left="-108"/>
              <w:jc w:val="center"/>
              <w:rPr>
                <w:rFonts w:ascii="Arial Narrow" w:hAnsi="Arial Narrow"/>
                <w:color w:val="000000" w:themeColor="text1"/>
                <w:sz w:val="18"/>
                <w:szCs w:val="18"/>
              </w:rPr>
            </w:pPr>
            <w:r w:rsidRPr="0087043D">
              <w:rPr>
                <w:rFonts w:ascii="Arial Narrow" w:hAnsi="Arial Narrow"/>
                <w:color w:val="000000" w:themeColor="text1"/>
                <w:sz w:val="18"/>
                <w:szCs w:val="18"/>
              </w:rPr>
              <w:t>NEW (Public)</w:t>
            </w:r>
          </w:p>
          <w:p w:rsidR="008C7E0B" w:rsidRPr="0087043D" w:rsidRDefault="008C7E0B" w:rsidP="008C7E0B">
            <w:pPr>
              <w:keepNext/>
              <w:ind w:left="-108"/>
              <w:jc w:val="center"/>
              <w:rPr>
                <w:rFonts w:ascii="Arial Narrow" w:hAnsi="Arial Narrow"/>
                <w:color w:val="000000" w:themeColor="text1"/>
                <w:sz w:val="18"/>
                <w:szCs w:val="18"/>
              </w:rPr>
            </w:pPr>
            <w:r w:rsidRPr="0087043D">
              <w:rPr>
                <w:rFonts w:ascii="Arial Narrow" w:hAnsi="Arial Narrow"/>
                <w:color w:val="000000" w:themeColor="text1"/>
                <w:sz w:val="18"/>
                <w:szCs w:val="18"/>
              </w:rPr>
              <w:t>NEW (Private)</w:t>
            </w:r>
          </w:p>
        </w:tc>
        <w:tc>
          <w:tcPr>
            <w:tcW w:w="556" w:type="pct"/>
            <w:vAlign w:val="center"/>
          </w:tcPr>
          <w:p w:rsidR="008C7E0B" w:rsidRPr="0087043D" w:rsidRDefault="008C7E0B" w:rsidP="008C7E0B">
            <w:pPr>
              <w:keepNext/>
              <w:ind w:left="-108"/>
              <w:jc w:val="center"/>
              <w:rPr>
                <w:rFonts w:ascii="Arial Narrow" w:hAnsi="Arial Narrow"/>
                <w:color w:val="000000" w:themeColor="text1"/>
                <w:sz w:val="18"/>
                <w:szCs w:val="18"/>
              </w:rPr>
            </w:pPr>
          </w:p>
          <w:p w:rsidR="008C7E0B" w:rsidRPr="0087043D" w:rsidRDefault="008C7E0B" w:rsidP="008C7E0B">
            <w:pPr>
              <w:keepNext/>
              <w:ind w:left="-108"/>
              <w:jc w:val="center"/>
              <w:rPr>
                <w:rFonts w:ascii="Arial Narrow" w:hAnsi="Arial Narrow"/>
                <w:color w:val="000000" w:themeColor="text1"/>
                <w:sz w:val="18"/>
                <w:szCs w:val="18"/>
              </w:rPr>
            </w:pPr>
            <w:r w:rsidRPr="0087043D">
              <w:rPr>
                <w:rFonts w:ascii="Arial Narrow" w:hAnsi="Arial Narrow"/>
                <w:color w:val="000000" w:themeColor="text1"/>
                <w:sz w:val="18"/>
                <w:szCs w:val="18"/>
              </w:rPr>
              <w:t>360mg</w:t>
            </w:r>
          </w:p>
          <w:p w:rsidR="008C7E0B" w:rsidRPr="0087043D" w:rsidRDefault="008C7E0B" w:rsidP="008C7E0B">
            <w:pPr>
              <w:keepNext/>
              <w:ind w:left="-108"/>
              <w:jc w:val="center"/>
              <w:rPr>
                <w:rFonts w:ascii="Arial Narrow" w:hAnsi="Arial Narrow"/>
                <w:i/>
                <w:color w:val="000000" w:themeColor="text1"/>
                <w:sz w:val="18"/>
                <w:szCs w:val="18"/>
              </w:rPr>
            </w:pPr>
          </w:p>
        </w:tc>
        <w:tc>
          <w:tcPr>
            <w:tcW w:w="476" w:type="pct"/>
            <w:vAlign w:val="center"/>
          </w:tcPr>
          <w:p w:rsidR="008C7E0B" w:rsidRPr="0087043D" w:rsidRDefault="008C7E0B" w:rsidP="008C7E0B">
            <w:pPr>
              <w:keepNext/>
              <w:ind w:left="-108"/>
              <w:jc w:val="center"/>
              <w:rPr>
                <w:rFonts w:ascii="Arial Narrow" w:hAnsi="Arial Narrow"/>
                <w:i/>
                <w:color w:val="000000" w:themeColor="text1"/>
                <w:sz w:val="18"/>
                <w:szCs w:val="18"/>
              </w:rPr>
            </w:pPr>
          </w:p>
          <w:p w:rsidR="008C7E0B" w:rsidRPr="0087043D" w:rsidRDefault="008C7E0B" w:rsidP="008C7E0B">
            <w:pPr>
              <w:keepNext/>
              <w:ind w:left="-108"/>
              <w:jc w:val="center"/>
              <w:rPr>
                <w:rFonts w:ascii="Arial Narrow" w:hAnsi="Arial Narrow"/>
                <w:color w:val="000000" w:themeColor="text1"/>
                <w:sz w:val="18"/>
                <w:szCs w:val="18"/>
              </w:rPr>
            </w:pPr>
            <w:r w:rsidRPr="0087043D">
              <w:rPr>
                <w:rFonts w:ascii="Arial Narrow" w:hAnsi="Arial Narrow"/>
                <w:color w:val="000000" w:themeColor="text1"/>
                <w:sz w:val="18"/>
                <w:szCs w:val="18"/>
              </w:rPr>
              <w:t>13</w:t>
            </w:r>
          </w:p>
          <w:p w:rsidR="008C7E0B" w:rsidRPr="0087043D" w:rsidRDefault="008C7E0B" w:rsidP="008C7E0B">
            <w:pPr>
              <w:keepNext/>
              <w:ind w:left="-108"/>
              <w:jc w:val="center"/>
              <w:rPr>
                <w:rFonts w:ascii="Arial Narrow" w:hAnsi="Arial Narrow"/>
                <w:color w:val="000000" w:themeColor="text1"/>
                <w:sz w:val="18"/>
                <w:szCs w:val="18"/>
              </w:rPr>
            </w:pPr>
          </w:p>
        </w:tc>
        <w:tc>
          <w:tcPr>
            <w:tcW w:w="1191" w:type="pct"/>
            <w:vAlign w:val="center"/>
          </w:tcPr>
          <w:p w:rsidR="008C7E0B" w:rsidRPr="0087043D" w:rsidRDefault="008C7E0B" w:rsidP="008C7E0B">
            <w:pPr>
              <w:keepNext/>
              <w:rPr>
                <w:rFonts w:ascii="Arial Narrow" w:hAnsi="Arial Narrow"/>
                <w:color w:val="000000" w:themeColor="text1"/>
                <w:sz w:val="18"/>
                <w:szCs w:val="18"/>
              </w:rPr>
            </w:pPr>
            <w:r w:rsidRPr="0087043D">
              <w:rPr>
                <w:rFonts w:ascii="Arial Narrow" w:hAnsi="Arial Narrow"/>
                <w:color w:val="000000" w:themeColor="text1"/>
                <w:sz w:val="18"/>
                <w:szCs w:val="18"/>
              </w:rPr>
              <w:t>Bristol-Myers Squibb Australia Pty Ltd</w:t>
            </w:r>
          </w:p>
        </w:tc>
      </w:tr>
      <w:tr w:rsidR="008C7E0B" w:rsidRPr="0087043D" w:rsidTr="00316FE3">
        <w:trPr>
          <w:cantSplit/>
          <w:trHeight w:val="360"/>
        </w:trPr>
        <w:tc>
          <w:tcPr>
            <w:tcW w:w="5000" w:type="pct"/>
            <w:gridSpan w:val="5"/>
          </w:tcPr>
          <w:p w:rsidR="008C7E0B" w:rsidRPr="0087043D" w:rsidRDefault="008C7E0B" w:rsidP="008C7E0B">
            <w:pPr>
              <w:rPr>
                <w:rFonts w:ascii="Arial Narrow" w:hAnsi="Arial Narrow"/>
                <w:b/>
                <w:color w:val="000000" w:themeColor="text1"/>
                <w:sz w:val="18"/>
                <w:szCs w:val="18"/>
              </w:rPr>
            </w:pPr>
            <w:r w:rsidRPr="0087043D">
              <w:rPr>
                <w:rFonts w:ascii="Arial Narrow" w:hAnsi="Arial Narrow"/>
                <w:b/>
                <w:color w:val="000000" w:themeColor="text1"/>
                <w:sz w:val="18"/>
                <w:szCs w:val="18"/>
              </w:rPr>
              <w:t>Available brands</w:t>
            </w:r>
          </w:p>
          <w:p w:rsidR="008C7E0B" w:rsidRPr="0087043D" w:rsidRDefault="008C7E0B" w:rsidP="008C7E0B">
            <w:pPr>
              <w:rPr>
                <w:rFonts w:ascii="Arial Narrow" w:hAnsi="Arial Narrow"/>
                <w:color w:val="000000" w:themeColor="text1"/>
                <w:sz w:val="18"/>
                <w:szCs w:val="18"/>
              </w:rPr>
            </w:pPr>
            <w:proofErr w:type="spellStart"/>
            <w:r w:rsidRPr="0087043D">
              <w:rPr>
                <w:rFonts w:ascii="Arial Narrow" w:hAnsi="Arial Narrow"/>
                <w:color w:val="000000" w:themeColor="text1"/>
                <w:sz w:val="18"/>
                <w:szCs w:val="18"/>
              </w:rPr>
              <w:t>Opdivo</w:t>
            </w:r>
            <w:proofErr w:type="spellEnd"/>
          </w:p>
          <w:p w:rsidR="008C7E0B" w:rsidRPr="0087043D" w:rsidRDefault="008C7E0B" w:rsidP="008C7E0B">
            <w:pPr>
              <w:rPr>
                <w:rFonts w:ascii="Arial Narrow" w:hAnsi="Arial Narrow"/>
                <w:color w:val="000000" w:themeColor="text1"/>
                <w:sz w:val="18"/>
                <w:szCs w:val="18"/>
              </w:rPr>
            </w:pPr>
            <w:r w:rsidRPr="0087043D">
              <w:rPr>
                <w:rFonts w:ascii="Arial Narrow" w:hAnsi="Arial Narrow"/>
                <w:color w:val="000000" w:themeColor="text1"/>
                <w:sz w:val="18"/>
                <w:szCs w:val="18"/>
              </w:rPr>
              <w:t>(nivolumab 40 mg/4 mL injection, 4 mL vial)</w:t>
            </w:r>
          </w:p>
          <w:p w:rsidR="008C7E0B" w:rsidRPr="0087043D" w:rsidRDefault="008C7E0B" w:rsidP="008C7E0B">
            <w:pPr>
              <w:rPr>
                <w:rFonts w:ascii="Arial Narrow" w:hAnsi="Arial Narrow"/>
                <w:color w:val="000000" w:themeColor="text1"/>
                <w:sz w:val="18"/>
                <w:szCs w:val="18"/>
              </w:rPr>
            </w:pPr>
            <w:proofErr w:type="spellStart"/>
            <w:r w:rsidRPr="0087043D">
              <w:rPr>
                <w:rFonts w:ascii="Arial Narrow" w:hAnsi="Arial Narrow"/>
                <w:color w:val="000000" w:themeColor="text1"/>
                <w:sz w:val="18"/>
                <w:szCs w:val="18"/>
              </w:rPr>
              <w:t>Opdivo</w:t>
            </w:r>
            <w:proofErr w:type="spellEnd"/>
          </w:p>
          <w:p w:rsidR="008C7E0B" w:rsidRPr="0087043D" w:rsidRDefault="008C7E0B" w:rsidP="008C7E0B">
            <w:pPr>
              <w:rPr>
                <w:rFonts w:ascii="Arial Narrow" w:hAnsi="Arial Narrow"/>
                <w:color w:val="000000" w:themeColor="text1"/>
                <w:sz w:val="18"/>
                <w:szCs w:val="18"/>
              </w:rPr>
            </w:pPr>
            <w:r w:rsidRPr="0087043D">
              <w:rPr>
                <w:rFonts w:ascii="Arial Narrow" w:hAnsi="Arial Narrow"/>
                <w:color w:val="000000" w:themeColor="text1"/>
                <w:sz w:val="18"/>
                <w:szCs w:val="18"/>
              </w:rPr>
              <w:t>(nivolumab 100 mg/10 mL injection, 10 mL vial)</w:t>
            </w:r>
          </w:p>
        </w:tc>
      </w:tr>
    </w:tbl>
    <w:p w:rsidR="008C7E0B" w:rsidRPr="0087043D" w:rsidRDefault="008C7E0B" w:rsidP="008C7E0B"/>
    <w:p w:rsidR="00AE736A" w:rsidRDefault="00AE736A">
      <w:pPr>
        <w:jc w:val="left"/>
        <w:rPr>
          <w:rFonts w:ascii="Arial Narrow" w:hAnsi="Arial Narrow"/>
          <w:b/>
          <w:sz w:val="18"/>
          <w:szCs w:val="18"/>
        </w:rPr>
      </w:pPr>
      <w:r>
        <w:rPr>
          <w:rFonts w:ascii="Arial Narrow" w:hAnsi="Arial Narrow"/>
          <w:b/>
          <w:sz w:val="18"/>
          <w:szCs w:val="18"/>
        </w:rPr>
        <w:br w:type="page"/>
      </w:r>
    </w:p>
    <w:p w:rsidR="008C7E0B" w:rsidRPr="0087043D" w:rsidRDefault="008C7E0B" w:rsidP="008C7E0B">
      <w:pPr>
        <w:rPr>
          <w:rFonts w:ascii="Arial Narrow" w:hAnsi="Arial Narrow"/>
          <w:b/>
          <w:sz w:val="18"/>
          <w:szCs w:val="18"/>
        </w:rPr>
      </w:pPr>
      <w:r w:rsidRPr="0087043D">
        <w:rPr>
          <w:rFonts w:ascii="Arial Narrow" w:hAnsi="Arial Narrow"/>
          <w:b/>
          <w:sz w:val="18"/>
          <w:szCs w:val="18"/>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6"/>
      </w:tblGrid>
      <w:tr w:rsidR="008C7E0B" w:rsidRPr="0087043D" w:rsidTr="00316FE3">
        <w:tc>
          <w:tcPr>
            <w:tcW w:w="544" w:type="pct"/>
            <w:vMerge w:val="restart"/>
            <w:tcBorders>
              <w:top w:val="single" w:sz="4" w:space="0" w:color="auto"/>
              <w:left w:val="single" w:sz="4" w:space="0" w:color="auto"/>
              <w:right w:val="single" w:sz="4" w:space="0" w:color="auto"/>
            </w:tcBorders>
          </w:tcPr>
          <w:p w:rsidR="008C7E0B" w:rsidRPr="0087043D" w:rsidRDefault="008C7E0B" w:rsidP="008C7E0B">
            <w:pPr>
              <w:rPr>
                <w:rFonts w:ascii="Arial Narrow" w:hAnsi="Arial Narrow"/>
                <w:b/>
                <w:sz w:val="18"/>
                <w:szCs w:val="18"/>
              </w:rPr>
            </w:pPr>
          </w:p>
        </w:tc>
        <w:tc>
          <w:tcPr>
            <w:tcW w:w="4456"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rPr>
                <w:rFonts w:ascii="Arial Narrow" w:hAnsi="Arial Narrow"/>
                <w:sz w:val="18"/>
                <w:szCs w:val="18"/>
              </w:rPr>
            </w:pPr>
            <w:r w:rsidRPr="0087043D">
              <w:rPr>
                <w:rFonts w:ascii="Arial Narrow" w:hAnsi="Arial Narrow"/>
                <w:b/>
                <w:sz w:val="18"/>
                <w:szCs w:val="18"/>
              </w:rPr>
              <w:t>Category / Program:</w:t>
            </w:r>
            <w:r w:rsidR="00264317" w:rsidRPr="0087043D">
              <w:rPr>
                <w:rFonts w:ascii="Arial Narrow" w:hAnsi="Arial Narrow"/>
                <w:b/>
                <w:sz w:val="18"/>
                <w:szCs w:val="18"/>
              </w:rPr>
              <w:t xml:space="preserve"> </w:t>
            </w:r>
            <w:r w:rsidRPr="0087043D">
              <w:rPr>
                <w:rFonts w:ascii="Arial Narrow" w:hAnsi="Arial Narrow"/>
                <w:b/>
                <w:sz w:val="18"/>
                <w:szCs w:val="18"/>
              </w:rPr>
              <w:t xml:space="preserve"> </w:t>
            </w:r>
            <w:r w:rsidRPr="0087043D">
              <w:rPr>
                <w:rFonts w:ascii="Arial Narrow" w:hAnsi="Arial Narrow"/>
                <w:sz w:val="18"/>
                <w:szCs w:val="18"/>
              </w:rPr>
              <w:t xml:space="preserve">Section 100 – Efficient Funding of Chemotherapy Public/Private hospitals </w:t>
            </w:r>
          </w:p>
        </w:tc>
      </w:tr>
      <w:tr w:rsidR="008C7E0B" w:rsidRPr="0087043D" w:rsidTr="00316FE3">
        <w:trPr>
          <w:trHeight w:val="240"/>
        </w:trPr>
        <w:tc>
          <w:tcPr>
            <w:tcW w:w="544" w:type="pct"/>
            <w:vMerge/>
            <w:tcBorders>
              <w:left w:val="single" w:sz="4" w:space="0" w:color="auto"/>
              <w:right w:val="single" w:sz="4" w:space="0" w:color="auto"/>
            </w:tcBorders>
          </w:tcPr>
          <w:p w:rsidR="008C7E0B" w:rsidRPr="0087043D" w:rsidRDefault="008C7E0B" w:rsidP="008C7E0B">
            <w:pPr>
              <w:rPr>
                <w:rFonts w:ascii="Arial Narrow" w:hAnsi="Arial Narrow"/>
                <w:sz w:val="18"/>
                <w:szCs w:val="18"/>
              </w:rPr>
            </w:pPr>
          </w:p>
        </w:tc>
        <w:tc>
          <w:tcPr>
            <w:tcW w:w="4456"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rPr>
                <w:rFonts w:ascii="Arial Narrow" w:hAnsi="Arial Narrow"/>
                <w:b/>
                <w:sz w:val="18"/>
                <w:szCs w:val="18"/>
              </w:rPr>
            </w:pPr>
            <w:r w:rsidRPr="0087043D">
              <w:rPr>
                <w:rFonts w:ascii="Arial Narrow" w:hAnsi="Arial Narrow"/>
                <w:b/>
                <w:sz w:val="18"/>
                <w:szCs w:val="18"/>
              </w:rPr>
              <w:t>Prescriber type:</w:t>
            </w:r>
            <w:r w:rsidR="00264317" w:rsidRPr="0087043D">
              <w:rPr>
                <w:rFonts w:ascii="Arial Narrow" w:hAnsi="Arial Narrow"/>
                <w:b/>
                <w:sz w:val="18"/>
                <w:szCs w:val="18"/>
              </w:rPr>
              <w:t xml:space="preserve"> </w:t>
            </w:r>
            <w:r w:rsidRPr="0087043D">
              <w:rPr>
                <w:rFonts w:ascii="Arial Narrow" w:hAnsi="Arial Narrow"/>
                <w:b/>
                <w:sz w:val="18"/>
                <w:szCs w:val="18"/>
              </w:rPr>
              <w:t xml:space="preserve"> </w:t>
            </w:r>
            <w:r w:rsidRPr="0087043D">
              <w:rPr>
                <w:rFonts w:ascii="Arial Narrow" w:hAnsi="Arial Narrow"/>
                <w:sz w:val="18"/>
                <w:szCs w:val="18"/>
              </w:rPr>
              <w:fldChar w:fldCharType="begin">
                <w:ffData>
                  <w:name w:val="Check1"/>
                  <w:enabled/>
                  <w:calcOnExit w:val="0"/>
                  <w:checkBox>
                    <w:sizeAuto/>
                    <w:default w:val="0"/>
                  </w:checkBox>
                </w:ffData>
              </w:fldChar>
            </w:r>
            <w:r w:rsidRPr="0087043D">
              <w:rPr>
                <w:rFonts w:ascii="Arial Narrow" w:hAnsi="Arial Narrow"/>
                <w:sz w:val="18"/>
                <w:szCs w:val="18"/>
              </w:rPr>
              <w:instrText xml:space="preserve"> FORMCHECKBOX </w:instrText>
            </w:r>
            <w:r w:rsidR="00725666">
              <w:rPr>
                <w:rFonts w:ascii="Arial Narrow" w:hAnsi="Arial Narrow"/>
                <w:sz w:val="18"/>
                <w:szCs w:val="18"/>
              </w:rPr>
            </w:r>
            <w:r w:rsidR="00725666">
              <w:rPr>
                <w:rFonts w:ascii="Arial Narrow" w:hAnsi="Arial Narrow"/>
                <w:sz w:val="18"/>
                <w:szCs w:val="18"/>
              </w:rPr>
              <w:fldChar w:fldCharType="separate"/>
            </w:r>
            <w:r w:rsidRPr="0087043D">
              <w:rPr>
                <w:rFonts w:ascii="Arial Narrow" w:hAnsi="Arial Narrow"/>
                <w:sz w:val="18"/>
                <w:szCs w:val="18"/>
              </w:rPr>
              <w:fldChar w:fldCharType="end"/>
            </w:r>
            <w:r w:rsidRPr="0087043D">
              <w:rPr>
                <w:rFonts w:ascii="Arial Narrow" w:hAnsi="Arial Narrow"/>
                <w:sz w:val="18"/>
                <w:szCs w:val="18"/>
              </w:rPr>
              <w:t>Dental</w:t>
            </w:r>
            <w:r w:rsidR="00264317" w:rsidRPr="0087043D">
              <w:rPr>
                <w:rFonts w:ascii="Arial Narrow" w:hAnsi="Arial Narrow"/>
                <w:sz w:val="18"/>
                <w:szCs w:val="18"/>
              </w:rPr>
              <w:t xml:space="preserve">  </w:t>
            </w:r>
            <w:r w:rsidRPr="0087043D">
              <w:rPr>
                <w:rFonts w:ascii="Arial Narrow" w:hAnsi="Arial Narrow"/>
                <w:sz w:val="18"/>
                <w:szCs w:val="18"/>
              </w:rPr>
              <w:fldChar w:fldCharType="begin">
                <w:ffData>
                  <w:name w:val=""/>
                  <w:enabled/>
                  <w:calcOnExit w:val="0"/>
                  <w:checkBox>
                    <w:sizeAuto/>
                    <w:default w:val="1"/>
                  </w:checkBox>
                </w:ffData>
              </w:fldChar>
            </w:r>
            <w:r w:rsidRPr="0087043D">
              <w:rPr>
                <w:rFonts w:ascii="Arial Narrow" w:hAnsi="Arial Narrow"/>
                <w:sz w:val="18"/>
                <w:szCs w:val="18"/>
              </w:rPr>
              <w:instrText xml:space="preserve"> FORMCHECKBOX </w:instrText>
            </w:r>
            <w:r w:rsidR="00725666">
              <w:rPr>
                <w:rFonts w:ascii="Arial Narrow" w:hAnsi="Arial Narrow"/>
                <w:sz w:val="18"/>
                <w:szCs w:val="18"/>
              </w:rPr>
            </w:r>
            <w:r w:rsidR="00725666">
              <w:rPr>
                <w:rFonts w:ascii="Arial Narrow" w:hAnsi="Arial Narrow"/>
                <w:sz w:val="18"/>
                <w:szCs w:val="18"/>
              </w:rPr>
              <w:fldChar w:fldCharType="separate"/>
            </w:r>
            <w:r w:rsidRPr="0087043D">
              <w:rPr>
                <w:rFonts w:ascii="Arial Narrow" w:hAnsi="Arial Narrow"/>
                <w:sz w:val="18"/>
                <w:szCs w:val="18"/>
              </w:rPr>
              <w:fldChar w:fldCharType="end"/>
            </w:r>
            <w:r w:rsidRPr="0087043D">
              <w:rPr>
                <w:rFonts w:ascii="Arial Narrow" w:hAnsi="Arial Narrow"/>
                <w:sz w:val="18"/>
                <w:szCs w:val="18"/>
              </w:rPr>
              <w:t>Medical Practitioners</w:t>
            </w:r>
            <w:r w:rsidR="00264317" w:rsidRPr="0087043D">
              <w:rPr>
                <w:rFonts w:ascii="Arial Narrow" w:hAnsi="Arial Narrow"/>
                <w:sz w:val="18"/>
                <w:szCs w:val="18"/>
              </w:rPr>
              <w:t xml:space="preserve">  </w:t>
            </w:r>
            <w:r w:rsidRPr="0087043D">
              <w:rPr>
                <w:rFonts w:ascii="Arial Narrow" w:hAnsi="Arial Narrow"/>
                <w:sz w:val="18"/>
                <w:szCs w:val="18"/>
              </w:rPr>
              <w:fldChar w:fldCharType="begin">
                <w:ffData>
                  <w:name w:val="Check3"/>
                  <w:enabled/>
                  <w:calcOnExit w:val="0"/>
                  <w:checkBox>
                    <w:sizeAuto/>
                    <w:default w:val="0"/>
                  </w:checkBox>
                </w:ffData>
              </w:fldChar>
            </w:r>
            <w:r w:rsidRPr="0087043D">
              <w:rPr>
                <w:rFonts w:ascii="Arial Narrow" w:hAnsi="Arial Narrow"/>
                <w:sz w:val="18"/>
                <w:szCs w:val="18"/>
              </w:rPr>
              <w:instrText xml:space="preserve"> FORMCHECKBOX </w:instrText>
            </w:r>
            <w:r w:rsidR="00725666">
              <w:rPr>
                <w:rFonts w:ascii="Arial Narrow" w:hAnsi="Arial Narrow"/>
                <w:sz w:val="18"/>
                <w:szCs w:val="18"/>
              </w:rPr>
            </w:r>
            <w:r w:rsidR="00725666">
              <w:rPr>
                <w:rFonts w:ascii="Arial Narrow" w:hAnsi="Arial Narrow"/>
                <w:sz w:val="18"/>
                <w:szCs w:val="18"/>
              </w:rPr>
              <w:fldChar w:fldCharType="separate"/>
            </w:r>
            <w:r w:rsidRPr="0087043D">
              <w:rPr>
                <w:rFonts w:ascii="Arial Narrow" w:hAnsi="Arial Narrow"/>
                <w:sz w:val="18"/>
                <w:szCs w:val="18"/>
              </w:rPr>
              <w:fldChar w:fldCharType="end"/>
            </w:r>
            <w:r w:rsidRPr="0087043D">
              <w:rPr>
                <w:rFonts w:ascii="Arial Narrow" w:hAnsi="Arial Narrow"/>
                <w:sz w:val="18"/>
                <w:szCs w:val="18"/>
              </w:rPr>
              <w:t>Nurse practitioners</w:t>
            </w:r>
            <w:r w:rsidR="00264317" w:rsidRPr="0087043D">
              <w:rPr>
                <w:rFonts w:ascii="Arial Narrow" w:hAnsi="Arial Narrow"/>
                <w:sz w:val="18"/>
                <w:szCs w:val="18"/>
              </w:rPr>
              <w:t xml:space="preserve">  </w:t>
            </w:r>
            <w:r w:rsidRPr="0087043D">
              <w:rPr>
                <w:rFonts w:ascii="Arial Narrow" w:hAnsi="Arial Narrow"/>
                <w:sz w:val="18"/>
                <w:szCs w:val="18"/>
              </w:rPr>
              <w:t xml:space="preserve"> </w:t>
            </w:r>
            <w:r w:rsidRPr="0087043D">
              <w:rPr>
                <w:rFonts w:ascii="Arial Narrow" w:hAnsi="Arial Narrow"/>
                <w:sz w:val="18"/>
                <w:szCs w:val="18"/>
              </w:rPr>
              <w:fldChar w:fldCharType="begin">
                <w:ffData>
                  <w:name w:val=""/>
                  <w:enabled/>
                  <w:calcOnExit w:val="0"/>
                  <w:checkBox>
                    <w:sizeAuto/>
                    <w:default w:val="0"/>
                  </w:checkBox>
                </w:ffData>
              </w:fldChar>
            </w:r>
            <w:r w:rsidRPr="0087043D">
              <w:rPr>
                <w:rFonts w:ascii="Arial Narrow" w:hAnsi="Arial Narrow"/>
                <w:sz w:val="18"/>
                <w:szCs w:val="18"/>
              </w:rPr>
              <w:instrText xml:space="preserve"> FORMCHECKBOX </w:instrText>
            </w:r>
            <w:r w:rsidR="00725666">
              <w:rPr>
                <w:rFonts w:ascii="Arial Narrow" w:hAnsi="Arial Narrow"/>
                <w:sz w:val="18"/>
                <w:szCs w:val="18"/>
              </w:rPr>
            </w:r>
            <w:r w:rsidR="00725666">
              <w:rPr>
                <w:rFonts w:ascii="Arial Narrow" w:hAnsi="Arial Narrow"/>
                <w:sz w:val="18"/>
                <w:szCs w:val="18"/>
              </w:rPr>
              <w:fldChar w:fldCharType="separate"/>
            </w:r>
            <w:r w:rsidRPr="0087043D">
              <w:rPr>
                <w:rFonts w:ascii="Arial Narrow" w:hAnsi="Arial Narrow"/>
                <w:sz w:val="18"/>
                <w:szCs w:val="18"/>
              </w:rPr>
              <w:fldChar w:fldCharType="end"/>
            </w:r>
            <w:r w:rsidRPr="0087043D">
              <w:rPr>
                <w:rFonts w:ascii="Arial Narrow" w:hAnsi="Arial Narrow"/>
                <w:sz w:val="18"/>
                <w:szCs w:val="18"/>
              </w:rPr>
              <w:t>Optometrists</w:t>
            </w:r>
            <w:r w:rsidR="00264317" w:rsidRPr="0087043D">
              <w:rPr>
                <w:rFonts w:ascii="Arial Narrow" w:hAnsi="Arial Narrow"/>
                <w:sz w:val="18"/>
                <w:szCs w:val="18"/>
              </w:rPr>
              <w:t xml:space="preserve">  </w:t>
            </w:r>
            <w:r w:rsidRPr="0087043D">
              <w:rPr>
                <w:rFonts w:ascii="Arial Narrow" w:hAnsi="Arial Narrow"/>
                <w:sz w:val="18"/>
                <w:szCs w:val="18"/>
              </w:rPr>
              <w:fldChar w:fldCharType="begin">
                <w:ffData>
                  <w:name w:val="Check5"/>
                  <w:enabled/>
                  <w:calcOnExit w:val="0"/>
                  <w:checkBox>
                    <w:sizeAuto/>
                    <w:default w:val="0"/>
                  </w:checkBox>
                </w:ffData>
              </w:fldChar>
            </w:r>
            <w:r w:rsidRPr="0087043D">
              <w:rPr>
                <w:rFonts w:ascii="Arial Narrow" w:hAnsi="Arial Narrow"/>
                <w:sz w:val="18"/>
                <w:szCs w:val="18"/>
              </w:rPr>
              <w:instrText xml:space="preserve"> FORMCHECKBOX </w:instrText>
            </w:r>
            <w:r w:rsidR="00725666">
              <w:rPr>
                <w:rFonts w:ascii="Arial Narrow" w:hAnsi="Arial Narrow"/>
                <w:sz w:val="18"/>
                <w:szCs w:val="18"/>
              </w:rPr>
            </w:r>
            <w:r w:rsidR="00725666">
              <w:rPr>
                <w:rFonts w:ascii="Arial Narrow" w:hAnsi="Arial Narrow"/>
                <w:sz w:val="18"/>
                <w:szCs w:val="18"/>
              </w:rPr>
              <w:fldChar w:fldCharType="separate"/>
            </w:r>
            <w:r w:rsidRPr="0087043D">
              <w:rPr>
                <w:rFonts w:ascii="Arial Narrow" w:hAnsi="Arial Narrow"/>
                <w:sz w:val="18"/>
                <w:szCs w:val="18"/>
              </w:rPr>
              <w:fldChar w:fldCharType="end"/>
            </w:r>
            <w:r w:rsidRPr="0087043D">
              <w:rPr>
                <w:rFonts w:ascii="Arial Narrow" w:hAnsi="Arial Narrow"/>
                <w:sz w:val="18"/>
                <w:szCs w:val="18"/>
              </w:rPr>
              <w:t>Midwives</w:t>
            </w:r>
          </w:p>
        </w:tc>
      </w:tr>
      <w:tr w:rsidR="008C7E0B" w:rsidRPr="0087043D" w:rsidTr="00316FE3">
        <w:tc>
          <w:tcPr>
            <w:tcW w:w="544" w:type="pct"/>
            <w:vMerge/>
            <w:tcBorders>
              <w:left w:val="single" w:sz="4" w:space="0" w:color="auto"/>
              <w:bottom w:val="single" w:sz="4" w:space="0" w:color="auto"/>
              <w:right w:val="single" w:sz="4" w:space="0" w:color="auto"/>
            </w:tcBorders>
          </w:tcPr>
          <w:p w:rsidR="008C7E0B" w:rsidRPr="0087043D" w:rsidRDefault="008C7E0B" w:rsidP="008C7E0B">
            <w:pPr>
              <w:rPr>
                <w:rFonts w:ascii="Arial Narrow" w:hAnsi="Arial Narrow"/>
                <w:sz w:val="18"/>
                <w:szCs w:val="18"/>
              </w:rPr>
            </w:pPr>
          </w:p>
        </w:tc>
        <w:tc>
          <w:tcPr>
            <w:tcW w:w="4456"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rPr>
                <w:rFonts w:ascii="Arial Narrow" w:hAnsi="Arial Narrow"/>
                <w:b/>
                <w:sz w:val="18"/>
                <w:szCs w:val="18"/>
              </w:rPr>
            </w:pPr>
            <w:r w:rsidRPr="0087043D">
              <w:rPr>
                <w:rFonts w:ascii="Arial Narrow" w:hAnsi="Arial Narrow"/>
                <w:b/>
                <w:sz w:val="18"/>
                <w:szCs w:val="18"/>
              </w:rPr>
              <w:t>Restriction Type – assessment time by Medicare – Method of obtaining authority approval (if Authority Required):</w:t>
            </w:r>
          </w:p>
          <w:p w:rsidR="008C7E0B" w:rsidRPr="0087043D" w:rsidRDefault="008C7E0B" w:rsidP="008C7E0B">
            <w:pPr>
              <w:rPr>
                <w:rFonts w:ascii="Arial Narrow" w:eastAsia="Calibri" w:hAnsi="Arial Narrow"/>
                <w:sz w:val="18"/>
                <w:szCs w:val="18"/>
              </w:rPr>
            </w:pPr>
            <w:r w:rsidRPr="0087043D">
              <w:rPr>
                <w:rFonts w:ascii="Arial Narrow" w:eastAsia="Calibri" w:hAnsi="Arial Narrow"/>
                <w:sz w:val="18"/>
                <w:szCs w:val="18"/>
              </w:rPr>
              <w:fldChar w:fldCharType="begin">
                <w:ffData>
                  <w:name w:val=""/>
                  <w:enabled/>
                  <w:calcOnExit w:val="0"/>
                  <w:checkBox>
                    <w:sizeAuto/>
                    <w:default w:val="1"/>
                  </w:checkBox>
                </w:ffData>
              </w:fldChar>
            </w:r>
            <w:r w:rsidRPr="0087043D">
              <w:rPr>
                <w:rFonts w:ascii="Arial Narrow" w:eastAsia="Calibri" w:hAnsi="Arial Narrow"/>
                <w:sz w:val="18"/>
                <w:szCs w:val="18"/>
              </w:rPr>
              <w:instrText xml:space="preserve"> FORMCHECKBOX </w:instrText>
            </w:r>
            <w:r w:rsidR="00725666">
              <w:rPr>
                <w:rFonts w:ascii="Arial Narrow" w:eastAsia="Calibri" w:hAnsi="Arial Narrow"/>
                <w:sz w:val="18"/>
                <w:szCs w:val="18"/>
              </w:rPr>
            </w:r>
            <w:r w:rsidR="00725666">
              <w:rPr>
                <w:rFonts w:ascii="Arial Narrow" w:eastAsia="Calibri" w:hAnsi="Arial Narrow"/>
                <w:sz w:val="18"/>
                <w:szCs w:val="18"/>
              </w:rPr>
              <w:fldChar w:fldCharType="separate"/>
            </w:r>
            <w:r w:rsidRPr="0087043D">
              <w:rPr>
                <w:rFonts w:ascii="Arial Narrow" w:eastAsia="Calibri" w:hAnsi="Arial Narrow"/>
                <w:sz w:val="18"/>
                <w:szCs w:val="18"/>
              </w:rPr>
              <w:fldChar w:fldCharType="end"/>
            </w:r>
            <w:r w:rsidRPr="0087043D">
              <w:rPr>
                <w:rFonts w:ascii="Arial Narrow" w:eastAsia="Calibri" w:hAnsi="Arial Narrow"/>
                <w:sz w:val="18"/>
                <w:szCs w:val="18"/>
              </w:rPr>
              <w:t xml:space="preserve">Authority Required – Streamlined [new/existing code] (specification of 4-digit code by prescriber to certify that they have read the PBS restriction; no prior assessment by Medicare; retrospective audit of patient records possible) </w:t>
            </w:r>
          </w:p>
          <w:p w:rsidR="008C7E0B" w:rsidRPr="0087043D" w:rsidRDefault="008C7E0B" w:rsidP="008C7E0B">
            <w:pPr>
              <w:rPr>
                <w:rFonts w:ascii="Arial Narrow" w:eastAsia="Calibri" w:hAnsi="Arial Narrow"/>
                <w:color w:val="FF00FF"/>
                <w:sz w:val="18"/>
                <w:szCs w:val="18"/>
              </w:rPr>
            </w:pPr>
            <w:r w:rsidRPr="0087043D">
              <w:rPr>
                <w:rFonts w:ascii="Arial Narrow" w:eastAsia="Calibri" w:hAnsi="Arial Narrow"/>
                <w:sz w:val="18"/>
                <w:szCs w:val="18"/>
              </w:rPr>
              <w:t xml:space="preserve"> </w:t>
            </w:r>
          </w:p>
        </w:tc>
      </w:tr>
      <w:tr w:rsidR="008C7E0B" w:rsidRPr="0087043D" w:rsidTr="00316FE3">
        <w:tc>
          <w:tcPr>
            <w:tcW w:w="544" w:type="pct"/>
            <w:vAlign w:val="center"/>
          </w:tcPr>
          <w:p w:rsidR="008C7E0B" w:rsidRPr="0087043D" w:rsidRDefault="008C7E0B" w:rsidP="008C7E0B">
            <w:pPr>
              <w:jc w:val="center"/>
              <w:rPr>
                <w:rFonts w:ascii="Arial Narrow" w:hAnsi="Arial Narrow"/>
                <w:color w:val="333333"/>
                <w:sz w:val="18"/>
                <w:szCs w:val="18"/>
              </w:rPr>
            </w:pPr>
          </w:p>
        </w:tc>
        <w:tc>
          <w:tcPr>
            <w:tcW w:w="4456" w:type="pct"/>
            <w:vAlign w:val="center"/>
          </w:tcPr>
          <w:p w:rsidR="008C7E0B" w:rsidRPr="0087043D" w:rsidRDefault="008C7E0B" w:rsidP="008C7E0B">
            <w:pPr>
              <w:rPr>
                <w:rFonts w:ascii="Arial Narrow" w:hAnsi="Arial Narrow"/>
                <w:bCs/>
                <w:color w:val="333333"/>
                <w:sz w:val="18"/>
                <w:szCs w:val="18"/>
              </w:rPr>
            </w:pPr>
            <w:proofErr w:type="spellStart"/>
            <w:r w:rsidRPr="0087043D">
              <w:rPr>
                <w:rFonts w:ascii="Arial Narrow" w:hAnsi="Arial Narrow"/>
                <w:b/>
                <w:bCs/>
                <w:color w:val="000000" w:themeColor="text1"/>
                <w:sz w:val="18"/>
                <w:szCs w:val="18"/>
              </w:rPr>
              <w:t>Episodicity</w:t>
            </w:r>
            <w:proofErr w:type="spellEnd"/>
            <w:r w:rsidRPr="0087043D">
              <w:rPr>
                <w:rFonts w:ascii="Arial Narrow" w:hAnsi="Arial Narrow"/>
                <w:b/>
                <w:bCs/>
                <w:color w:val="000000" w:themeColor="text1"/>
                <w:sz w:val="18"/>
                <w:szCs w:val="18"/>
              </w:rPr>
              <w:t xml:space="preserve">: </w:t>
            </w:r>
            <w:r w:rsidRPr="0087043D">
              <w:rPr>
                <w:rFonts w:ascii="Arial Narrow" w:hAnsi="Arial Narrow"/>
                <w:bCs/>
                <w:color w:val="000000" w:themeColor="text1"/>
                <w:sz w:val="18"/>
                <w:szCs w:val="18"/>
              </w:rPr>
              <w:t>[nil]</w:t>
            </w:r>
          </w:p>
        </w:tc>
      </w:tr>
      <w:tr w:rsidR="008C7E0B" w:rsidRPr="0087043D" w:rsidTr="00316FE3">
        <w:tc>
          <w:tcPr>
            <w:tcW w:w="544" w:type="pct"/>
            <w:vAlign w:val="center"/>
          </w:tcPr>
          <w:p w:rsidR="008C7E0B" w:rsidRPr="0087043D" w:rsidRDefault="008C7E0B" w:rsidP="008C7E0B">
            <w:pPr>
              <w:jc w:val="center"/>
              <w:rPr>
                <w:rFonts w:ascii="Arial Narrow" w:hAnsi="Arial Narrow"/>
                <w:color w:val="333333"/>
                <w:sz w:val="18"/>
                <w:szCs w:val="18"/>
              </w:rPr>
            </w:pPr>
          </w:p>
        </w:tc>
        <w:tc>
          <w:tcPr>
            <w:tcW w:w="4456" w:type="pct"/>
            <w:vAlign w:val="center"/>
          </w:tcPr>
          <w:p w:rsidR="008C7E0B" w:rsidRPr="0087043D" w:rsidRDefault="008C7E0B" w:rsidP="008C7E0B">
            <w:pPr>
              <w:rPr>
                <w:rFonts w:ascii="Arial Narrow" w:hAnsi="Arial Narrow"/>
                <w:b/>
                <w:bCs/>
                <w:color w:val="333333"/>
                <w:sz w:val="18"/>
                <w:szCs w:val="18"/>
              </w:rPr>
            </w:pPr>
            <w:r w:rsidRPr="0087043D">
              <w:rPr>
                <w:rFonts w:ascii="Arial Narrow" w:hAnsi="Arial Narrow"/>
                <w:b/>
                <w:bCs/>
                <w:color w:val="000000" w:themeColor="text1"/>
                <w:sz w:val="18"/>
                <w:szCs w:val="18"/>
              </w:rPr>
              <w:t xml:space="preserve">Severity: </w:t>
            </w:r>
            <w:r w:rsidRPr="0087043D">
              <w:rPr>
                <w:rFonts w:ascii="Arial Narrow" w:hAnsi="Arial Narrow"/>
                <w:bCs/>
                <w:color w:val="000000" w:themeColor="text1"/>
                <w:sz w:val="18"/>
                <w:szCs w:val="18"/>
              </w:rPr>
              <w:t>Stage IV (metastatic)</w:t>
            </w:r>
          </w:p>
        </w:tc>
      </w:tr>
      <w:tr w:rsidR="008C7E0B" w:rsidRPr="0087043D" w:rsidTr="00316FE3">
        <w:tc>
          <w:tcPr>
            <w:tcW w:w="544" w:type="pct"/>
            <w:vAlign w:val="center"/>
          </w:tcPr>
          <w:p w:rsidR="008C7E0B" w:rsidRPr="0087043D" w:rsidRDefault="008C7E0B" w:rsidP="008C7E0B">
            <w:pPr>
              <w:jc w:val="center"/>
              <w:rPr>
                <w:rFonts w:ascii="Arial Narrow" w:hAnsi="Arial Narrow"/>
                <w:color w:val="333333"/>
                <w:sz w:val="18"/>
                <w:szCs w:val="18"/>
              </w:rPr>
            </w:pPr>
          </w:p>
        </w:tc>
        <w:tc>
          <w:tcPr>
            <w:tcW w:w="4456" w:type="pct"/>
            <w:vAlign w:val="center"/>
          </w:tcPr>
          <w:p w:rsidR="008C7E0B" w:rsidRPr="0087043D" w:rsidRDefault="008C7E0B" w:rsidP="0010666B">
            <w:pPr>
              <w:rPr>
                <w:rFonts w:ascii="Arial Narrow" w:hAnsi="Arial Narrow"/>
                <w:b/>
                <w:bCs/>
                <w:color w:val="333333"/>
                <w:sz w:val="18"/>
                <w:szCs w:val="18"/>
              </w:rPr>
            </w:pPr>
            <w:r w:rsidRPr="0087043D">
              <w:rPr>
                <w:rFonts w:ascii="Arial Narrow" w:hAnsi="Arial Narrow"/>
                <w:b/>
                <w:bCs/>
                <w:color w:val="000000" w:themeColor="text1"/>
                <w:sz w:val="18"/>
                <w:szCs w:val="18"/>
              </w:rPr>
              <w:t xml:space="preserve">Condition: </w:t>
            </w:r>
            <w:r w:rsidR="004B0AA7" w:rsidRPr="0087043D">
              <w:rPr>
                <w:rFonts w:ascii="Arial Narrow" w:hAnsi="Arial Narrow"/>
                <w:bCs/>
                <w:color w:val="000000" w:themeColor="text1"/>
                <w:sz w:val="18"/>
                <w:szCs w:val="18"/>
              </w:rPr>
              <w:t>n</w:t>
            </w:r>
            <w:r w:rsidRPr="0087043D">
              <w:rPr>
                <w:rFonts w:ascii="Arial Narrow" w:hAnsi="Arial Narrow"/>
                <w:bCs/>
                <w:color w:val="000000" w:themeColor="text1"/>
                <w:sz w:val="18"/>
                <w:szCs w:val="18"/>
              </w:rPr>
              <w:t>on-small cell lung cancer (NSCLC)</w:t>
            </w:r>
          </w:p>
        </w:tc>
      </w:tr>
      <w:tr w:rsidR="008C7E0B" w:rsidRPr="0087043D" w:rsidTr="00742D2E">
        <w:tc>
          <w:tcPr>
            <w:tcW w:w="544" w:type="pct"/>
            <w:vAlign w:val="center"/>
          </w:tcPr>
          <w:p w:rsidR="008C7E0B" w:rsidRPr="0087043D" w:rsidRDefault="008C7E0B" w:rsidP="008C7E0B">
            <w:pPr>
              <w:jc w:val="center"/>
              <w:rPr>
                <w:rFonts w:ascii="Arial Narrow" w:hAnsi="Arial Narrow"/>
                <w:color w:val="333333"/>
                <w:sz w:val="18"/>
                <w:szCs w:val="18"/>
              </w:rPr>
            </w:pPr>
          </w:p>
        </w:tc>
        <w:tc>
          <w:tcPr>
            <w:tcW w:w="4456" w:type="pct"/>
            <w:vAlign w:val="center"/>
            <w:hideMark/>
          </w:tcPr>
          <w:p w:rsidR="008C7E0B" w:rsidRPr="0087043D" w:rsidRDefault="008C7E0B" w:rsidP="0010666B">
            <w:pPr>
              <w:rPr>
                <w:rFonts w:ascii="Arial Narrow" w:hAnsi="Arial Narrow"/>
                <w:color w:val="333333"/>
                <w:sz w:val="18"/>
                <w:szCs w:val="18"/>
              </w:rPr>
            </w:pPr>
            <w:r w:rsidRPr="0087043D">
              <w:rPr>
                <w:rFonts w:ascii="Arial Narrow" w:hAnsi="Arial Narrow"/>
                <w:b/>
                <w:bCs/>
                <w:color w:val="000000" w:themeColor="text1"/>
                <w:sz w:val="18"/>
                <w:szCs w:val="18"/>
              </w:rPr>
              <w:t>Indication:</w:t>
            </w:r>
            <w:r w:rsidRPr="0087043D">
              <w:rPr>
                <w:rFonts w:ascii="Arial Narrow" w:hAnsi="Arial Narrow"/>
                <w:color w:val="000000" w:themeColor="text1"/>
                <w:sz w:val="18"/>
                <w:szCs w:val="18"/>
              </w:rPr>
              <w:t xml:space="preserve"> Stage IV (metastatic) non-small cell lung cancer (NSCLC)</w:t>
            </w:r>
          </w:p>
        </w:tc>
      </w:tr>
      <w:tr w:rsidR="008C7E0B" w:rsidRPr="0087043D" w:rsidTr="00742D2E">
        <w:tc>
          <w:tcPr>
            <w:tcW w:w="544" w:type="pct"/>
            <w:vAlign w:val="center"/>
          </w:tcPr>
          <w:p w:rsidR="008C7E0B" w:rsidRPr="0087043D" w:rsidRDefault="008C7E0B" w:rsidP="008C7E0B">
            <w:pPr>
              <w:jc w:val="center"/>
              <w:rPr>
                <w:rFonts w:ascii="Arial Narrow" w:hAnsi="Arial Narrow"/>
                <w:color w:val="333333"/>
                <w:sz w:val="18"/>
                <w:szCs w:val="18"/>
              </w:rPr>
            </w:pPr>
          </w:p>
        </w:tc>
        <w:tc>
          <w:tcPr>
            <w:tcW w:w="4456" w:type="pct"/>
            <w:vAlign w:val="center"/>
            <w:hideMark/>
          </w:tcPr>
          <w:p w:rsidR="008C7E0B" w:rsidRPr="0087043D" w:rsidRDefault="008C7E0B" w:rsidP="004B0AA7">
            <w:pPr>
              <w:rPr>
                <w:rFonts w:ascii="Arial Narrow" w:hAnsi="Arial Narrow"/>
                <w:color w:val="333333"/>
                <w:sz w:val="18"/>
                <w:szCs w:val="18"/>
              </w:rPr>
            </w:pPr>
            <w:r w:rsidRPr="0087043D">
              <w:rPr>
                <w:rFonts w:ascii="Arial Narrow" w:hAnsi="Arial Narrow"/>
                <w:b/>
                <w:bCs/>
                <w:color w:val="000000" w:themeColor="text1"/>
                <w:sz w:val="18"/>
                <w:szCs w:val="18"/>
              </w:rPr>
              <w:t>Treatment Phase:</w:t>
            </w:r>
            <w:r w:rsidRPr="0087043D">
              <w:rPr>
                <w:rFonts w:ascii="Arial Narrow" w:hAnsi="Arial Narrow"/>
                <w:color w:val="000000" w:themeColor="text1"/>
                <w:sz w:val="18"/>
                <w:szCs w:val="18"/>
              </w:rPr>
              <w:t xml:space="preserve"> Initial combination treatment (with ipilimumab) as first-line drug therapy</w:t>
            </w:r>
          </w:p>
        </w:tc>
      </w:tr>
      <w:tr w:rsidR="008C7E0B" w:rsidRPr="0087043D" w:rsidTr="00742D2E">
        <w:tc>
          <w:tcPr>
            <w:tcW w:w="544" w:type="pct"/>
            <w:vAlign w:val="center"/>
          </w:tcPr>
          <w:p w:rsidR="008C7E0B" w:rsidRPr="0087043D" w:rsidRDefault="008C7E0B" w:rsidP="008C7E0B">
            <w:pPr>
              <w:jc w:val="center"/>
              <w:rPr>
                <w:rFonts w:ascii="Arial Narrow" w:hAnsi="Arial Narrow"/>
                <w:color w:val="333333"/>
                <w:sz w:val="18"/>
                <w:szCs w:val="18"/>
              </w:rPr>
            </w:pPr>
          </w:p>
        </w:tc>
        <w:tc>
          <w:tcPr>
            <w:tcW w:w="4456" w:type="pct"/>
            <w:vAlign w:val="center"/>
            <w:hideMark/>
          </w:tcPr>
          <w:p w:rsidR="008C7E0B" w:rsidRPr="0087043D" w:rsidRDefault="008C7E0B" w:rsidP="008C7E0B">
            <w:pPr>
              <w:rPr>
                <w:rFonts w:ascii="Arial Narrow" w:hAnsi="Arial Narrow"/>
                <w:color w:val="333333"/>
                <w:sz w:val="18"/>
                <w:szCs w:val="18"/>
              </w:rPr>
            </w:pPr>
            <w:r w:rsidRPr="0087043D">
              <w:rPr>
                <w:rFonts w:ascii="Arial Narrow" w:hAnsi="Arial Narrow"/>
                <w:b/>
                <w:bCs/>
                <w:color w:val="333333"/>
                <w:sz w:val="18"/>
                <w:szCs w:val="18"/>
              </w:rPr>
              <w:t>Clinical criteria:</w:t>
            </w:r>
          </w:p>
        </w:tc>
      </w:tr>
      <w:tr w:rsidR="00514705" w:rsidRPr="0087043D" w:rsidTr="00316FE3">
        <w:tc>
          <w:tcPr>
            <w:tcW w:w="544" w:type="pct"/>
            <w:vAlign w:val="center"/>
          </w:tcPr>
          <w:p w:rsidR="00514705" w:rsidRPr="0087043D" w:rsidRDefault="00514705" w:rsidP="00380D27">
            <w:pPr>
              <w:jc w:val="center"/>
              <w:rPr>
                <w:rFonts w:ascii="Arial Narrow" w:hAnsi="Arial Narrow"/>
                <w:color w:val="333333"/>
                <w:sz w:val="18"/>
                <w:szCs w:val="18"/>
              </w:rPr>
            </w:pPr>
          </w:p>
        </w:tc>
        <w:tc>
          <w:tcPr>
            <w:tcW w:w="4456" w:type="pct"/>
            <w:vAlign w:val="center"/>
          </w:tcPr>
          <w:p w:rsidR="00514705" w:rsidRPr="0087043D" w:rsidRDefault="00514705" w:rsidP="00380D27">
            <w:pPr>
              <w:rPr>
                <w:rFonts w:ascii="Arial Narrow" w:hAnsi="Arial Narrow"/>
                <w:bCs/>
                <w:color w:val="333333"/>
                <w:sz w:val="18"/>
                <w:szCs w:val="18"/>
              </w:rPr>
            </w:pPr>
            <w:r w:rsidRPr="0087043D">
              <w:rPr>
                <w:rFonts w:ascii="Arial Narrow" w:hAnsi="Arial Narrow"/>
                <w:bCs/>
                <w:color w:val="333333"/>
                <w:sz w:val="18"/>
                <w:szCs w:val="18"/>
              </w:rPr>
              <w:t xml:space="preserve">The condition must be squamous type non-small cell lung cancer </w:t>
            </w:r>
          </w:p>
        </w:tc>
      </w:tr>
      <w:tr w:rsidR="00514705" w:rsidRPr="0087043D" w:rsidTr="00316FE3">
        <w:tc>
          <w:tcPr>
            <w:tcW w:w="544" w:type="pct"/>
            <w:vAlign w:val="center"/>
          </w:tcPr>
          <w:p w:rsidR="00514705" w:rsidRPr="0087043D" w:rsidRDefault="00514705" w:rsidP="008C7E0B">
            <w:pPr>
              <w:jc w:val="center"/>
              <w:rPr>
                <w:rFonts w:ascii="Arial Narrow" w:hAnsi="Arial Narrow"/>
                <w:color w:val="333333"/>
                <w:sz w:val="18"/>
                <w:szCs w:val="18"/>
              </w:rPr>
            </w:pPr>
          </w:p>
        </w:tc>
        <w:tc>
          <w:tcPr>
            <w:tcW w:w="4456" w:type="pct"/>
            <w:vAlign w:val="center"/>
          </w:tcPr>
          <w:p w:rsidR="00514705" w:rsidRPr="0087043D" w:rsidRDefault="00514705" w:rsidP="008C7E0B">
            <w:pPr>
              <w:rPr>
                <w:rFonts w:ascii="Arial Narrow" w:hAnsi="Arial Narrow"/>
                <w:b/>
                <w:color w:val="333333"/>
                <w:sz w:val="18"/>
                <w:szCs w:val="18"/>
              </w:rPr>
            </w:pPr>
            <w:r w:rsidRPr="0087043D">
              <w:rPr>
                <w:rFonts w:ascii="Arial Narrow" w:hAnsi="Arial Narrow"/>
                <w:b/>
                <w:color w:val="333333"/>
                <w:sz w:val="18"/>
                <w:szCs w:val="18"/>
              </w:rPr>
              <w:t>AND</w:t>
            </w:r>
          </w:p>
        </w:tc>
      </w:tr>
      <w:tr w:rsidR="008C7E0B" w:rsidRPr="0087043D" w:rsidTr="00316FE3">
        <w:tc>
          <w:tcPr>
            <w:tcW w:w="544" w:type="pct"/>
            <w:vAlign w:val="center"/>
          </w:tcPr>
          <w:p w:rsidR="008C7E0B" w:rsidRPr="0087043D" w:rsidRDefault="008C7E0B" w:rsidP="008C7E0B">
            <w:pPr>
              <w:jc w:val="center"/>
              <w:rPr>
                <w:rFonts w:ascii="Arial Narrow" w:hAnsi="Arial Narrow"/>
                <w:color w:val="333333"/>
                <w:sz w:val="18"/>
                <w:szCs w:val="18"/>
              </w:rPr>
            </w:pPr>
          </w:p>
        </w:tc>
        <w:tc>
          <w:tcPr>
            <w:tcW w:w="4456" w:type="pct"/>
            <w:vAlign w:val="center"/>
          </w:tcPr>
          <w:p w:rsidR="008C7E0B" w:rsidRPr="0087043D" w:rsidRDefault="008C7E0B" w:rsidP="008C7E0B">
            <w:pPr>
              <w:rPr>
                <w:rFonts w:ascii="Arial Narrow" w:hAnsi="Arial Narrow"/>
                <w:color w:val="333333"/>
                <w:sz w:val="18"/>
                <w:szCs w:val="18"/>
              </w:rPr>
            </w:pPr>
            <w:r w:rsidRPr="0087043D">
              <w:rPr>
                <w:rFonts w:ascii="Arial Narrow" w:hAnsi="Arial Narrow"/>
                <w:color w:val="333333"/>
                <w:sz w:val="18"/>
                <w:szCs w:val="18"/>
              </w:rPr>
              <w:t>Patient must not have previously been treated for this condition in the metastatic setting</w:t>
            </w:r>
          </w:p>
        </w:tc>
      </w:tr>
      <w:tr w:rsidR="008C7E0B" w:rsidRPr="0087043D" w:rsidTr="00316FE3">
        <w:tc>
          <w:tcPr>
            <w:tcW w:w="544" w:type="pct"/>
            <w:vAlign w:val="center"/>
          </w:tcPr>
          <w:p w:rsidR="008C7E0B" w:rsidRPr="0087043D" w:rsidRDefault="008C7E0B" w:rsidP="008C7E0B">
            <w:pPr>
              <w:jc w:val="center"/>
              <w:rPr>
                <w:rFonts w:ascii="Arial Narrow" w:hAnsi="Arial Narrow"/>
                <w:color w:val="333333"/>
                <w:sz w:val="18"/>
                <w:szCs w:val="18"/>
              </w:rPr>
            </w:pPr>
          </w:p>
        </w:tc>
        <w:tc>
          <w:tcPr>
            <w:tcW w:w="4456" w:type="pct"/>
            <w:vAlign w:val="center"/>
          </w:tcPr>
          <w:p w:rsidR="008C7E0B" w:rsidRPr="0087043D" w:rsidRDefault="008C7E0B" w:rsidP="008C7E0B">
            <w:pPr>
              <w:rPr>
                <w:rFonts w:ascii="Arial Narrow" w:hAnsi="Arial Narrow"/>
                <w:b/>
                <w:color w:val="333333"/>
                <w:sz w:val="18"/>
                <w:szCs w:val="18"/>
              </w:rPr>
            </w:pPr>
            <w:r w:rsidRPr="0087043D">
              <w:rPr>
                <w:rFonts w:ascii="Arial Narrow" w:hAnsi="Arial Narrow"/>
                <w:b/>
                <w:color w:val="333333"/>
                <w:sz w:val="18"/>
                <w:szCs w:val="18"/>
              </w:rPr>
              <w:t>AND</w:t>
            </w:r>
          </w:p>
        </w:tc>
      </w:tr>
      <w:tr w:rsidR="008C7E0B" w:rsidRPr="0087043D" w:rsidTr="00742D2E">
        <w:tc>
          <w:tcPr>
            <w:tcW w:w="544" w:type="pct"/>
            <w:vAlign w:val="center"/>
          </w:tcPr>
          <w:p w:rsidR="008C7E0B" w:rsidRPr="0087043D" w:rsidRDefault="008C7E0B" w:rsidP="008C7E0B">
            <w:pPr>
              <w:jc w:val="center"/>
              <w:rPr>
                <w:rFonts w:ascii="Arial Narrow" w:hAnsi="Arial Narrow"/>
                <w:color w:val="333333"/>
                <w:sz w:val="18"/>
                <w:szCs w:val="18"/>
              </w:rPr>
            </w:pPr>
          </w:p>
        </w:tc>
        <w:tc>
          <w:tcPr>
            <w:tcW w:w="4456" w:type="pct"/>
            <w:vAlign w:val="center"/>
            <w:hideMark/>
          </w:tcPr>
          <w:p w:rsidR="008C7E0B" w:rsidRPr="0087043D" w:rsidRDefault="008C7E0B" w:rsidP="008C7E0B">
            <w:pPr>
              <w:rPr>
                <w:rFonts w:ascii="Arial Narrow" w:hAnsi="Arial Narrow"/>
                <w:color w:val="333333"/>
                <w:sz w:val="18"/>
                <w:szCs w:val="18"/>
              </w:rPr>
            </w:pPr>
            <w:r w:rsidRPr="0087043D">
              <w:rPr>
                <w:rFonts w:ascii="Arial Narrow" w:hAnsi="Arial Narrow"/>
                <w:color w:val="333333"/>
                <w:sz w:val="18"/>
                <w:szCs w:val="18"/>
              </w:rPr>
              <w:t>Patient must not have received prior treatment with a programmed cell death-1 (PD-1) inhibitor or a programmed cell death ligand-1 (PD-L1) inhibitor for non-small cell lung cancer.</w:t>
            </w:r>
          </w:p>
        </w:tc>
      </w:tr>
      <w:tr w:rsidR="00C32F4F" w:rsidRPr="0087043D" w:rsidTr="00316FE3">
        <w:tc>
          <w:tcPr>
            <w:tcW w:w="544" w:type="pct"/>
            <w:vAlign w:val="center"/>
          </w:tcPr>
          <w:p w:rsidR="00C32F4F" w:rsidRPr="0087043D" w:rsidRDefault="00C32F4F" w:rsidP="008C7E0B">
            <w:pPr>
              <w:jc w:val="center"/>
              <w:rPr>
                <w:rFonts w:ascii="Arial Narrow" w:hAnsi="Arial Narrow"/>
                <w:color w:val="333333"/>
                <w:sz w:val="18"/>
                <w:szCs w:val="18"/>
              </w:rPr>
            </w:pPr>
          </w:p>
        </w:tc>
        <w:tc>
          <w:tcPr>
            <w:tcW w:w="4456" w:type="pct"/>
            <w:vAlign w:val="center"/>
          </w:tcPr>
          <w:p w:rsidR="00C32F4F" w:rsidRPr="0087043D" w:rsidRDefault="00C32F4F" w:rsidP="008C7E0B">
            <w:pPr>
              <w:rPr>
                <w:rFonts w:ascii="Arial Narrow" w:hAnsi="Arial Narrow"/>
                <w:b/>
                <w:bCs/>
                <w:color w:val="333333"/>
                <w:sz w:val="18"/>
                <w:szCs w:val="18"/>
              </w:rPr>
            </w:pPr>
            <w:r w:rsidRPr="0087043D">
              <w:rPr>
                <w:rFonts w:ascii="Arial Narrow" w:hAnsi="Arial Narrow"/>
                <w:b/>
                <w:bCs/>
                <w:color w:val="333333"/>
                <w:sz w:val="18"/>
                <w:szCs w:val="18"/>
              </w:rPr>
              <w:t>AND</w:t>
            </w:r>
          </w:p>
        </w:tc>
      </w:tr>
      <w:tr w:rsidR="008C7E0B" w:rsidRPr="0087043D" w:rsidTr="00316FE3">
        <w:tc>
          <w:tcPr>
            <w:tcW w:w="544" w:type="pct"/>
            <w:vAlign w:val="center"/>
          </w:tcPr>
          <w:p w:rsidR="008C7E0B" w:rsidRPr="0087043D" w:rsidRDefault="008C7E0B" w:rsidP="008C7E0B">
            <w:pPr>
              <w:jc w:val="center"/>
              <w:rPr>
                <w:rFonts w:ascii="Arial Narrow" w:hAnsi="Arial Narrow"/>
                <w:color w:val="333333"/>
                <w:sz w:val="18"/>
                <w:szCs w:val="18"/>
              </w:rPr>
            </w:pPr>
          </w:p>
        </w:tc>
        <w:tc>
          <w:tcPr>
            <w:tcW w:w="4456" w:type="pct"/>
            <w:vAlign w:val="center"/>
          </w:tcPr>
          <w:p w:rsidR="008C7E0B" w:rsidRPr="0087043D" w:rsidRDefault="008C7E0B" w:rsidP="008C7E0B">
            <w:pPr>
              <w:rPr>
                <w:rFonts w:ascii="Arial Narrow" w:hAnsi="Arial Narrow"/>
                <w:b/>
                <w:bCs/>
                <w:color w:val="333333"/>
                <w:sz w:val="18"/>
                <w:szCs w:val="18"/>
              </w:rPr>
            </w:pPr>
            <w:r w:rsidRPr="0087043D">
              <w:rPr>
                <w:rFonts w:ascii="Arial Narrow" w:hAnsi="Arial Narrow"/>
                <w:bCs/>
                <w:color w:val="000000" w:themeColor="text1"/>
                <w:sz w:val="18"/>
                <w:szCs w:val="18"/>
              </w:rPr>
              <w:t>Patient must have a WHO performance status of 0 or 1.</w:t>
            </w:r>
          </w:p>
        </w:tc>
      </w:tr>
      <w:tr w:rsidR="008C7E0B" w:rsidRPr="0087043D" w:rsidTr="00316FE3">
        <w:tc>
          <w:tcPr>
            <w:tcW w:w="544" w:type="pct"/>
            <w:vAlign w:val="center"/>
          </w:tcPr>
          <w:p w:rsidR="008C7E0B" w:rsidRPr="0087043D" w:rsidRDefault="008C7E0B" w:rsidP="008C7E0B">
            <w:pPr>
              <w:jc w:val="center"/>
              <w:rPr>
                <w:rFonts w:ascii="Arial Narrow" w:hAnsi="Arial Narrow"/>
                <w:color w:val="333333"/>
                <w:sz w:val="18"/>
                <w:szCs w:val="18"/>
              </w:rPr>
            </w:pPr>
          </w:p>
        </w:tc>
        <w:tc>
          <w:tcPr>
            <w:tcW w:w="4456" w:type="pct"/>
            <w:vAlign w:val="center"/>
          </w:tcPr>
          <w:p w:rsidR="008C7E0B" w:rsidRPr="0087043D" w:rsidRDefault="008C7E0B" w:rsidP="008C7E0B">
            <w:pPr>
              <w:rPr>
                <w:rFonts w:ascii="Arial Narrow" w:hAnsi="Arial Narrow"/>
                <w:b/>
                <w:bCs/>
                <w:color w:val="333333"/>
                <w:sz w:val="18"/>
                <w:szCs w:val="18"/>
              </w:rPr>
            </w:pPr>
            <w:r w:rsidRPr="0087043D">
              <w:rPr>
                <w:rFonts w:ascii="Arial Narrow" w:hAnsi="Arial Narrow"/>
                <w:b/>
                <w:bCs/>
                <w:color w:val="000000" w:themeColor="text1"/>
                <w:sz w:val="18"/>
                <w:szCs w:val="18"/>
              </w:rPr>
              <w:t>AND</w:t>
            </w:r>
          </w:p>
        </w:tc>
      </w:tr>
      <w:tr w:rsidR="008C7E0B" w:rsidRPr="0087043D" w:rsidTr="00316FE3">
        <w:tc>
          <w:tcPr>
            <w:tcW w:w="544" w:type="pct"/>
            <w:vAlign w:val="center"/>
          </w:tcPr>
          <w:p w:rsidR="008C7E0B" w:rsidRPr="0087043D" w:rsidRDefault="008C7E0B" w:rsidP="008C7E0B">
            <w:pPr>
              <w:jc w:val="center"/>
              <w:rPr>
                <w:rFonts w:ascii="Arial Narrow" w:hAnsi="Arial Narrow"/>
                <w:color w:val="000000" w:themeColor="text1"/>
                <w:sz w:val="18"/>
                <w:szCs w:val="18"/>
              </w:rPr>
            </w:pPr>
          </w:p>
        </w:tc>
        <w:tc>
          <w:tcPr>
            <w:tcW w:w="4456" w:type="pct"/>
            <w:vAlign w:val="center"/>
          </w:tcPr>
          <w:p w:rsidR="008C7E0B" w:rsidRPr="0087043D" w:rsidRDefault="008C7E0B" w:rsidP="00F53FDF">
            <w:pPr>
              <w:rPr>
                <w:rFonts w:ascii="Arial Narrow" w:hAnsi="Arial Narrow"/>
                <w:bCs/>
                <w:color w:val="333333"/>
                <w:sz w:val="18"/>
                <w:szCs w:val="18"/>
              </w:rPr>
            </w:pPr>
            <w:r w:rsidRPr="0087043D">
              <w:rPr>
                <w:rFonts w:ascii="Arial Narrow" w:hAnsi="Arial Narrow"/>
                <w:bCs/>
                <w:color w:val="000000" w:themeColor="text1"/>
                <w:sz w:val="18"/>
                <w:szCs w:val="18"/>
              </w:rPr>
              <w:t>The condition must not have evidence of an activating epidermal growth factor receptor (EGFR) gene or</w:t>
            </w:r>
            <w:r w:rsidR="00264317" w:rsidRPr="0087043D">
              <w:rPr>
                <w:rFonts w:ascii="Arial Narrow" w:hAnsi="Arial Narrow"/>
                <w:bCs/>
                <w:color w:val="000000" w:themeColor="text1"/>
                <w:sz w:val="18"/>
                <w:szCs w:val="18"/>
              </w:rPr>
              <w:t xml:space="preserve"> </w:t>
            </w:r>
            <w:r w:rsidRPr="0087043D">
              <w:rPr>
                <w:rFonts w:ascii="Arial Narrow" w:hAnsi="Arial Narrow"/>
                <w:bCs/>
                <w:color w:val="000000" w:themeColor="text1"/>
                <w:sz w:val="18"/>
                <w:szCs w:val="18"/>
              </w:rPr>
              <w:t>an anaplastic lymphoma kinase (ALK) gene rearrangement</w:t>
            </w:r>
            <w:r w:rsidR="00BF7BE9" w:rsidRPr="0087043D">
              <w:rPr>
                <w:rFonts w:ascii="Arial Narrow" w:hAnsi="Arial Narrow"/>
                <w:bCs/>
                <w:color w:val="000000" w:themeColor="text1"/>
                <w:sz w:val="18"/>
                <w:szCs w:val="18"/>
              </w:rPr>
              <w:t xml:space="preserve"> or a c-ROS proto-oncogene 1 (ROS1) gene arrangement</w:t>
            </w:r>
            <w:r w:rsidRPr="0087043D">
              <w:rPr>
                <w:rFonts w:ascii="Arial Narrow" w:hAnsi="Arial Narrow"/>
                <w:bCs/>
                <w:i/>
                <w:color w:val="000000" w:themeColor="text1"/>
                <w:sz w:val="18"/>
                <w:szCs w:val="18"/>
              </w:rPr>
              <w:t xml:space="preserve"> </w:t>
            </w:r>
            <w:r w:rsidRPr="0087043D">
              <w:rPr>
                <w:rFonts w:ascii="Arial Narrow" w:hAnsi="Arial Narrow"/>
                <w:bCs/>
                <w:color w:val="000000" w:themeColor="text1"/>
                <w:sz w:val="18"/>
                <w:szCs w:val="18"/>
              </w:rPr>
              <w:t>in tumour material</w:t>
            </w:r>
          </w:p>
        </w:tc>
      </w:tr>
      <w:tr w:rsidR="00F53FDF" w:rsidRPr="0087043D" w:rsidTr="00316FE3">
        <w:tc>
          <w:tcPr>
            <w:tcW w:w="544" w:type="pct"/>
            <w:vAlign w:val="center"/>
          </w:tcPr>
          <w:p w:rsidR="00F53FDF" w:rsidRPr="0087043D" w:rsidRDefault="00F53FDF" w:rsidP="008C7E0B">
            <w:pPr>
              <w:jc w:val="center"/>
              <w:rPr>
                <w:rFonts w:ascii="Arial Narrow" w:hAnsi="Arial Narrow"/>
                <w:color w:val="333333"/>
                <w:sz w:val="18"/>
                <w:szCs w:val="18"/>
              </w:rPr>
            </w:pPr>
          </w:p>
        </w:tc>
        <w:tc>
          <w:tcPr>
            <w:tcW w:w="4456" w:type="pct"/>
            <w:vAlign w:val="center"/>
          </w:tcPr>
          <w:p w:rsidR="00F53FDF" w:rsidRPr="0087043D" w:rsidRDefault="00F53FDF" w:rsidP="00F53FDF">
            <w:pPr>
              <w:rPr>
                <w:rFonts w:ascii="Arial Narrow" w:hAnsi="Arial Narrow"/>
                <w:bCs/>
                <w:i/>
                <w:color w:val="000000" w:themeColor="text1"/>
                <w:sz w:val="18"/>
                <w:szCs w:val="18"/>
              </w:rPr>
            </w:pPr>
            <w:r w:rsidRPr="0087043D">
              <w:rPr>
                <w:rFonts w:ascii="Arial Narrow" w:hAnsi="Arial Narrow"/>
                <w:b/>
                <w:bCs/>
                <w:color w:val="000000" w:themeColor="text1"/>
                <w:sz w:val="18"/>
                <w:szCs w:val="18"/>
              </w:rPr>
              <w:t>AND</w:t>
            </w:r>
          </w:p>
        </w:tc>
      </w:tr>
      <w:tr w:rsidR="00F53FDF" w:rsidRPr="0087043D" w:rsidTr="00316FE3">
        <w:tc>
          <w:tcPr>
            <w:tcW w:w="544" w:type="pct"/>
            <w:vAlign w:val="center"/>
          </w:tcPr>
          <w:p w:rsidR="00F53FDF" w:rsidRPr="0087043D" w:rsidRDefault="00F53FDF" w:rsidP="008C7E0B">
            <w:pPr>
              <w:jc w:val="center"/>
              <w:rPr>
                <w:rFonts w:ascii="Arial Narrow" w:hAnsi="Arial Narrow"/>
                <w:color w:val="333333"/>
                <w:sz w:val="18"/>
                <w:szCs w:val="18"/>
              </w:rPr>
            </w:pPr>
          </w:p>
        </w:tc>
        <w:tc>
          <w:tcPr>
            <w:tcW w:w="4456" w:type="pct"/>
            <w:vAlign w:val="center"/>
          </w:tcPr>
          <w:p w:rsidR="00F53FDF" w:rsidRPr="0087043D" w:rsidRDefault="0084180E" w:rsidP="00F53FDF">
            <w:pPr>
              <w:autoSpaceDE w:val="0"/>
              <w:autoSpaceDN w:val="0"/>
              <w:adjustRightInd w:val="0"/>
              <w:rPr>
                <w:rFonts w:ascii="Arial Narrow" w:hAnsi="Arial Narrow"/>
                <w:bCs/>
                <w:color w:val="000000" w:themeColor="text1"/>
                <w:sz w:val="18"/>
                <w:szCs w:val="18"/>
              </w:rPr>
            </w:pPr>
            <w:r w:rsidRPr="0087043D">
              <w:rPr>
                <w:rFonts w:ascii="Arial Narrow" w:hAnsi="Arial Narrow"/>
                <w:bCs/>
                <w:color w:val="000000" w:themeColor="text1"/>
                <w:sz w:val="18"/>
                <w:szCs w:val="18"/>
              </w:rPr>
              <w:t>The treatment must be in combination with platinum-based chemotherapy for the first two cycles</w:t>
            </w:r>
          </w:p>
        </w:tc>
      </w:tr>
      <w:tr w:rsidR="00F53FDF" w:rsidRPr="0087043D" w:rsidTr="00316FE3">
        <w:tc>
          <w:tcPr>
            <w:tcW w:w="544" w:type="pct"/>
            <w:vAlign w:val="center"/>
          </w:tcPr>
          <w:p w:rsidR="00F53FDF" w:rsidRPr="0087043D" w:rsidRDefault="00F53FDF" w:rsidP="008C7E0B">
            <w:pPr>
              <w:jc w:val="center"/>
              <w:rPr>
                <w:rFonts w:ascii="Arial Narrow" w:hAnsi="Arial Narrow"/>
                <w:color w:val="333333"/>
                <w:sz w:val="18"/>
                <w:szCs w:val="18"/>
              </w:rPr>
            </w:pPr>
          </w:p>
        </w:tc>
        <w:tc>
          <w:tcPr>
            <w:tcW w:w="4456" w:type="pct"/>
            <w:vAlign w:val="center"/>
          </w:tcPr>
          <w:p w:rsidR="00F53FDF" w:rsidRPr="0087043D" w:rsidRDefault="00F53FDF" w:rsidP="00F53FDF">
            <w:pPr>
              <w:rPr>
                <w:rFonts w:ascii="Arial Narrow" w:hAnsi="Arial Narrow"/>
                <w:bCs/>
                <w:i/>
                <w:color w:val="000000" w:themeColor="text1"/>
                <w:sz w:val="18"/>
                <w:szCs w:val="18"/>
              </w:rPr>
            </w:pPr>
            <w:r w:rsidRPr="0087043D">
              <w:rPr>
                <w:rFonts w:ascii="Arial Narrow" w:hAnsi="Arial Narrow"/>
                <w:b/>
                <w:bCs/>
                <w:color w:val="000000" w:themeColor="text1"/>
                <w:sz w:val="18"/>
                <w:szCs w:val="18"/>
              </w:rPr>
              <w:t>AND</w:t>
            </w:r>
          </w:p>
        </w:tc>
      </w:tr>
      <w:tr w:rsidR="008C7E0B" w:rsidRPr="0087043D" w:rsidTr="00316FE3">
        <w:tc>
          <w:tcPr>
            <w:tcW w:w="544" w:type="pct"/>
            <w:vAlign w:val="center"/>
          </w:tcPr>
          <w:p w:rsidR="008C7E0B" w:rsidRPr="0087043D" w:rsidRDefault="008C7E0B" w:rsidP="008C7E0B">
            <w:pPr>
              <w:jc w:val="center"/>
              <w:rPr>
                <w:rFonts w:ascii="Arial Narrow" w:hAnsi="Arial Narrow"/>
                <w:color w:val="333333"/>
                <w:sz w:val="18"/>
                <w:szCs w:val="18"/>
              </w:rPr>
            </w:pPr>
          </w:p>
        </w:tc>
        <w:tc>
          <w:tcPr>
            <w:tcW w:w="4456" w:type="pct"/>
            <w:vAlign w:val="center"/>
            <w:hideMark/>
          </w:tcPr>
          <w:p w:rsidR="008C7E0B" w:rsidRPr="0087043D" w:rsidRDefault="008C7E0B" w:rsidP="00F53FDF">
            <w:pPr>
              <w:autoSpaceDE w:val="0"/>
              <w:autoSpaceDN w:val="0"/>
              <w:adjustRightInd w:val="0"/>
              <w:rPr>
                <w:rFonts w:ascii="Arial Narrow" w:hAnsi="Arial Narrow" w:cs="Arial Narrow"/>
                <w:i/>
                <w:iCs/>
                <w:sz w:val="20"/>
                <w:szCs w:val="20"/>
              </w:rPr>
            </w:pPr>
            <w:r w:rsidRPr="0087043D">
              <w:rPr>
                <w:rFonts w:ascii="Arial Narrow" w:hAnsi="Arial Narrow"/>
                <w:bCs/>
                <w:color w:val="000000" w:themeColor="text1"/>
                <w:sz w:val="18"/>
                <w:szCs w:val="18"/>
              </w:rPr>
              <w:t>The treatment must in combination with ipilimumab</w:t>
            </w:r>
            <w:r w:rsidRPr="0087043D">
              <w:rPr>
                <w:rFonts w:ascii="Arial Narrow" w:hAnsi="Arial Narrow"/>
                <w:bCs/>
                <w:i/>
                <w:color w:val="000000" w:themeColor="text1"/>
                <w:sz w:val="18"/>
                <w:szCs w:val="18"/>
              </w:rPr>
              <w:t>.</w:t>
            </w:r>
          </w:p>
        </w:tc>
      </w:tr>
      <w:tr w:rsidR="008C7E0B" w:rsidRPr="0087043D" w:rsidTr="00742D2E">
        <w:tc>
          <w:tcPr>
            <w:tcW w:w="544" w:type="pct"/>
            <w:vAlign w:val="center"/>
          </w:tcPr>
          <w:p w:rsidR="008C7E0B" w:rsidRPr="0087043D" w:rsidRDefault="008C7E0B" w:rsidP="008C7E0B">
            <w:pPr>
              <w:jc w:val="center"/>
              <w:rPr>
                <w:rFonts w:ascii="Arial Narrow" w:hAnsi="Arial Narrow"/>
                <w:color w:val="333333"/>
                <w:sz w:val="18"/>
                <w:szCs w:val="18"/>
              </w:rPr>
            </w:pPr>
          </w:p>
        </w:tc>
        <w:tc>
          <w:tcPr>
            <w:tcW w:w="4456" w:type="pct"/>
            <w:vAlign w:val="center"/>
            <w:hideMark/>
          </w:tcPr>
          <w:p w:rsidR="008C7E0B" w:rsidRPr="0087043D" w:rsidRDefault="008C7E0B" w:rsidP="008C7E0B">
            <w:pPr>
              <w:rPr>
                <w:rFonts w:ascii="Arial Narrow" w:hAnsi="Arial Narrow"/>
                <w:color w:val="333333"/>
                <w:sz w:val="18"/>
                <w:szCs w:val="18"/>
              </w:rPr>
            </w:pPr>
            <w:r w:rsidRPr="0087043D">
              <w:rPr>
                <w:rFonts w:ascii="Arial Narrow" w:hAnsi="Arial Narrow"/>
                <w:b/>
                <w:bCs/>
                <w:color w:val="000000" w:themeColor="text1"/>
                <w:sz w:val="18"/>
                <w:szCs w:val="18"/>
              </w:rPr>
              <w:t>Administrative Advice:</w:t>
            </w:r>
            <w:r w:rsidRPr="0087043D">
              <w:rPr>
                <w:rFonts w:ascii="Arial Narrow" w:hAnsi="Arial Narrow"/>
                <w:color w:val="000000" w:themeColor="text1"/>
                <w:sz w:val="18"/>
                <w:szCs w:val="18"/>
              </w:rPr>
              <w:t xml:space="preserve"> No increase in the maximum number of repeats may be authorised</w:t>
            </w:r>
          </w:p>
        </w:tc>
      </w:tr>
      <w:tr w:rsidR="008C7E0B" w:rsidRPr="0087043D" w:rsidTr="00742D2E">
        <w:tc>
          <w:tcPr>
            <w:tcW w:w="544" w:type="pct"/>
            <w:vAlign w:val="center"/>
          </w:tcPr>
          <w:p w:rsidR="008C7E0B" w:rsidRPr="0087043D" w:rsidRDefault="008C7E0B" w:rsidP="008C7E0B">
            <w:pPr>
              <w:jc w:val="center"/>
              <w:rPr>
                <w:rFonts w:ascii="Arial Narrow" w:hAnsi="Arial Narrow"/>
                <w:color w:val="333333"/>
                <w:sz w:val="18"/>
                <w:szCs w:val="18"/>
              </w:rPr>
            </w:pPr>
          </w:p>
        </w:tc>
        <w:tc>
          <w:tcPr>
            <w:tcW w:w="4456" w:type="pct"/>
            <w:vAlign w:val="center"/>
            <w:hideMark/>
          </w:tcPr>
          <w:p w:rsidR="008C7E0B" w:rsidRPr="0087043D" w:rsidRDefault="008C7E0B" w:rsidP="008C7E0B">
            <w:pPr>
              <w:rPr>
                <w:rFonts w:ascii="Arial Narrow" w:hAnsi="Arial Narrow"/>
                <w:color w:val="333333"/>
                <w:sz w:val="18"/>
                <w:szCs w:val="18"/>
              </w:rPr>
            </w:pPr>
            <w:r w:rsidRPr="0087043D">
              <w:rPr>
                <w:rFonts w:ascii="Arial Narrow" w:hAnsi="Arial Narrow"/>
                <w:b/>
                <w:bCs/>
                <w:color w:val="000000" w:themeColor="text1"/>
                <w:sz w:val="18"/>
                <w:szCs w:val="18"/>
              </w:rPr>
              <w:t xml:space="preserve">Administrative Advice: </w:t>
            </w:r>
            <w:r w:rsidRPr="0087043D">
              <w:rPr>
                <w:rFonts w:ascii="Arial Narrow" w:hAnsi="Arial Narrow"/>
                <w:bCs/>
                <w:color w:val="000000" w:themeColor="text1"/>
                <w:sz w:val="18"/>
                <w:szCs w:val="18"/>
              </w:rPr>
              <w:t>Special Pricing Arrangements apply</w:t>
            </w:r>
          </w:p>
        </w:tc>
      </w:tr>
      <w:tr w:rsidR="008C7E0B" w:rsidRPr="0087043D" w:rsidTr="00742D2E">
        <w:tc>
          <w:tcPr>
            <w:tcW w:w="544" w:type="pct"/>
            <w:vAlign w:val="center"/>
          </w:tcPr>
          <w:p w:rsidR="008C7E0B" w:rsidRPr="0087043D" w:rsidRDefault="008C7E0B" w:rsidP="008C7E0B">
            <w:pPr>
              <w:jc w:val="center"/>
              <w:rPr>
                <w:rFonts w:ascii="Arial Narrow" w:hAnsi="Arial Narrow"/>
                <w:color w:val="333333"/>
                <w:sz w:val="18"/>
                <w:szCs w:val="18"/>
              </w:rPr>
            </w:pPr>
          </w:p>
        </w:tc>
        <w:tc>
          <w:tcPr>
            <w:tcW w:w="4456" w:type="pct"/>
            <w:vAlign w:val="center"/>
            <w:hideMark/>
          </w:tcPr>
          <w:p w:rsidR="008C7E0B" w:rsidRPr="0087043D" w:rsidRDefault="008C7E0B" w:rsidP="008C7E0B">
            <w:pPr>
              <w:rPr>
                <w:rFonts w:ascii="Arial Narrow" w:hAnsi="Arial Narrow"/>
                <w:color w:val="333333"/>
                <w:sz w:val="18"/>
                <w:szCs w:val="18"/>
              </w:rPr>
            </w:pPr>
            <w:r w:rsidRPr="0087043D">
              <w:rPr>
                <w:rFonts w:ascii="Arial Narrow" w:hAnsi="Arial Narrow"/>
                <w:b/>
                <w:bCs/>
                <w:color w:val="000000" w:themeColor="text1"/>
                <w:sz w:val="18"/>
                <w:szCs w:val="18"/>
              </w:rPr>
              <w:t>Administrative Advice:</w:t>
            </w:r>
            <w:r w:rsidRPr="0087043D">
              <w:rPr>
                <w:rFonts w:ascii="Arial Narrow" w:hAnsi="Arial Narrow"/>
                <w:bCs/>
                <w:color w:val="000000" w:themeColor="text1"/>
                <w:sz w:val="18"/>
                <w:szCs w:val="18"/>
              </w:rPr>
              <w:t xml:space="preserve"> In the first few months after start of immunotherapy, some patients can have a transient tumour flare with subsequent disease response. When progression is suspected, this should be confirmed through a confirmatory scan, taken at least 4 weeks later.</w:t>
            </w:r>
          </w:p>
        </w:tc>
      </w:tr>
    </w:tbl>
    <w:p w:rsidR="008C7E0B" w:rsidRPr="0087043D" w:rsidRDefault="008C7E0B" w:rsidP="008C7E0B">
      <w:pPr>
        <w:rPr>
          <w:b/>
          <w:u w:val="single"/>
        </w:rPr>
      </w:pPr>
    </w:p>
    <w:p w:rsidR="00AE736A" w:rsidRDefault="00AE736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6"/>
        <w:gridCol w:w="8031"/>
      </w:tblGrid>
      <w:tr w:rsidR="008C7E0B" w:rsidRPr="0087043D" w:rsidTr="00316FE3">
        <w:tc>
          <w:tcPr>
            <w:tcW w:w="547"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jc w:val="center"/>
              <w:rPr>
                <w:rFonts w:ascii="Arial Narrow" w:hAnsi="Arial Narrow"/>
                <w:color w:val="000000" w:themeColor="text1"/>
                <w:sz w:val="18"/>
                <w:szCs w:val="18"/>
              </w:rPr>
            </w:pPr>
          </w:p>
        </w:tc>
        <w:tc>
          <w:tcPr>
            <w:tcW w:w="4453"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color w:val="000000" w:themeColor="text1"/>
                <w:sz w:val="18"/>
                <w:szCs w:val="18"/>
              </w:rPr>
              <w:t>Category / Program:</w:t>
            </w:r>
            <w:r w:rsidR="00264317" w:rsidRPr="0087043D">
              <w:rPr>
                <w:rFonts w:ascii="Arial Narrow" w:hAnsi="Arial Narrow"/>
                <w:b/>
                <w:color w:val="000000" w:themeColor="text1"/>
                <w:sz w:val="18"/>
                <w:szCs w:val="18"/>
              </w:rPr>
              <w:t xml:space="preserve"> </w:t>
            </w:r>
            <w:r w:rsidRPr="0087043D">
              <w:rPr>
                <w:rFonts w:ascii="Arial Narrow" w:hAnsi="Arial Narrow"/>
                <w:b/>
                <w:color w:val="000000" w:themeColor="text1"/>
                <w:sz w:val="18"/>
                <w:szCs w:val="18"/>
              </w:rPr>
              <w:t xml:space="preserve"> </w:t>
            </w:r>
            <w:r w:rsidRPr="0087043D">
              <w:rPr>
                <w:rFonts w:ascii="Arial Narrow" w:hAnsi="Arial Narrow"/>
                <w:color w:val="000000" w:themeColor="text1"/>
                <w:sz w:val="18"/>
                <w:szCs w:val="18"/>
              </w:rPr>
              <w:t xml:space="preserve">Section 100 – Efficient Funding of Chemotherapy </w:t>
            </w:r>
          </w:p>
        </w:tc>
      </w:tr>
      <w:tr w:rsidR="008C7E0B" w:rsidRPr="0087043D" w:rsidTr="00316FE3">
        <w:tc>
          <w:tcPr>
            <w:tcW w:w="547"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jc w:val="center"/>
              <w:rPr>
                <w:rFonts w:ascii="Arial Narrow" w:hAnsi="Arial Narrow"/>
                <w:color w:val="000000" w:themeColor="text1"/>
                <w:sz w:val="18"/>
                <w:szCs w:val="18"/>
              </w:rPr>
            </w:pPr>
          </w:p>
        </w:tc>
        <w:tc>
          <w:tcPr>
            <w:tcW w:w="4453"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color w:val="000000" w:themeColor="text1"/>
                <w:sz w:val="18"/>
                <w:szCs w:val="18"/>
              </w:rPr>
              <w:t>Prescriber type:</w:t>
            </w:r>
            <w:r w:rsidR="00264317" w:rsidRPr="0087043D">
              <w:rPr>
                <w:rFonts w:ascii="Arial Narrow" w:hAnsi="Arial Narrow"/>
                <w:b/>
                <w:color w:val="000000" w:themeColor="text1"/>
                <w:sz w:val="18"/>
                <w:szCs w:val="18"/>
              </w:rPr>
              <w:t xml:space="preserve"> </w:t>
            </w:r>
            <w:r w:rsidRPr="0087043D">
              <w:rPr>
                <w:rFonts w:ascii="Arial Narrow" w:hAnsi="Arial Narrow"/>
                <w:color w:val="000000" w:themeColor="text1"/>
                <w:sz w:val="18"/>
                <w:szCs w:val="18"/>
              </w:rPr>
              <w:fldChar w:fldCharType="begin">
                <w:ffData>
                  <w:name w:val="Check1"/>
                  <w:enabled/>
                  <w:calcOnExit w:val="0"/>
                  <w:checkBox>
                    <w:sizeAuto/>
                    <w:default w:val="0"/>
                  </w:checkBox>
                </w:ffData>
              </w:fldChar>
            </w:r>
            <w:r w:rsidRPr="0087043D">
              <w:rPr>
                <w:rFonts w:ascii="Arial Narrow" w:hAnsi="Arial Narrow"/>
                <w:color w:val="000000" w:themeColor="text1"/>
                <w:sz w:val="18"/>
                <w:szCs w:val="18"/>
              </w:rPr>
              <w:instrText xml:space="preserve"> FORMCHECKBOX </w:instrText>
            </w:r>
            <w:r w:rsidR="00725666">
              <w:rPr>
                <w:rFonts w:ascii="Arial Narrow" w:hAnsi="Arial Narrow"/>
                <w:color w:val="000000" w:themeColor="text1"/>
                <w:sz w:val="18"/>
                <w:szCs w:val="18"/>
              </w:rPr>
            </w:r>
            <w:r w:rsidR="00725666">
              <w:rPr>
                <w:rFonts w:ascii="Arial Narrow" w:hAnsi="Arial Narrow"/>
                <w:color w:val="000000" w:themeColor="text1"/>
                <w:sz w:val="18"/>
                <w:szCs w:val="18"/>
              </w:rPr>
              <w:fldChar w:fldCharType="separate"/>
            </w:r>
            <w:r w:rsidRPr="0087043D">
              <w:rPr>
                <w:rFonts w:ascii="Arial Narrow" w:hAnsi="Arial Narrow"/>
                <w:color w:val="000000" w:themeColor="text1"/>
                <w:sz w:val="18"/>
                <w:szCs w:val="18"/>
              </w:rPr>
              <w:fldChar w:fldCharType="end"/>
            </w:r>
            <w:r w:rsidRPr="0087043D">
              <w:rPr>
                <w:rFonts w:ascii="Arial Narrow" w:hAnsi="Arial Narrow"/>
                <w:color w:val="000000" w:themeColor="text1"/>
                <w:sz w:val="18"/>
                <w:szCs w:val="18"/>
              </w:rPr>
              <w:t>Dental</w:t>
            </w:r>
            <w:r w:rsidR="00264317" w:rsidRPr="0087043D">
              <w:rPr>
                <w:rFonts w:ascii="Arial Narrow" w:hAnsi="Arial Narrow"/>
                <w:color w:val="000000" w:themeColor="text1"/>
                <w:sz w:val="18"/>
                <w:szCs w:val="18"/>
              </w:rPr>
              <w:t xml:space="preserve"> </w:t>
            </w:r>
            <w:r w:rsidRPr="0087043D">
              <w:rPr>
                <w:rFonts w:ascii="Arial Narrow" w:hAnsi="Arial Narrow"/>
                <w:color w:val="000000" w:themeColor="text1"/>
                <w:sz w:val="18"/>
                <w:szCs w:val="18"/>
              </w:rPr>
              <w:fldChar w:fldCharType="begin">
                <w:ffData>
                  <w:name w:val=""/>
                  <w:enabled/>
                  <w:calcOnExit w:val="0"/>
                  <w:checkBox>
                    <w:sizeAuto/>
                    <w:default w:val="1"/>
                  </w:checkBox>
                </w:ffData>
              </w:fldChar>
            </w:r>
            <w:r w:rsidRPr="0087043D">
              <w:rPr>
                <w:rFonts w:ascii="Arial Narrow" w:hAnsi="Arial Narrow"/>
                <w:color w:val="000000" w:themeColor="text1"/>
                <w:sz w:val="18"/>
                <w:szCs w:val="18"/>
              </w:rPr>
              <w:instrText xml:space="preserve"> FORMCHECKBOX </w:instrText>
            </w:r>
            <w:r w:rsidR="00725666">
              <w:rPr>
                <w:rFonts w:ascii="Arial Narrow" w:hAnsi="Arial Narrow"/>
                <w:color w:val="000000" w:themeColor="text1"/>
                <w:sz w:val="18"/>
                <w:szCs w:val="18"/>
              </w:rPr>
            </w:r>
            <w:r w:rsidR="00725666">
              <w:rPr>
                <w:rFonts w:ascii="Arial Narrow" w:hAnsi="Arial Narrow"/>
                <w:color w:val="000000" w:themeColor="text1"/>
                <w:sz w:val="18"/>
                <w:szCs w:val="18"/>
              </w:rPr>
              <w:fldChar w:fldCharType="separate"/>
            </w:r>
            <w:r w:rsidRPr="0087043D">
              <w:rPr>
                <w:rFonts w:ascii="Arial Narrow" w:hAnsi="Arial Narrow"/>
                <w:color w:val="000000" w:themeColor="text1"/>
                <w:sz w:val="18"/>
                <w:szCs w:val="18"/>
              </w:rPr>
              <w:fldChar w:fldCharType="end"/>
            </w:r>
            <w:r w:rsidRPr="0087043D">
              <w:rPr>
                <w:rFonts w:ascii="Arial Narrow" w:hAnsi="Arial Narrow"/>
                <w:color w:val="000000" w:themeColor="text1"/>
                <w:sz w:val="18"/>
                <w:szCs w:val="18"/>
              </w:rPr>
              <w:t>Medical Practitioners</w:t>
            </w:r>
            <w:r w:rsidR="00264317" w:rsidRPr="0087043D">
              <w:rPr>
                <w:rFonts w:ascii="Arial Narrow" w:hAnsi="Arial Narrow"/>
                <w:color w:val="000000" w:themeColor="text1"/>
                <w:sz w:val="18"/>
                <w:szCs w:val="18"/>
              </w:rPr>
              <w:t xml:space="preserve"> </w:t>
            </w:r>
            <w:r w:rsidRPr="0087043D">
              <w:rPr>
                <w:rFonts w:ascii="Arial Narrow" w:hAnsi="Arial Narrow"/>
                <w:color w:val="000000" w:themeColor="text1"/>
                <w:sz w:val="18"/>
                <w:szCs w:val="18"/>
              </w:rPr>
              <w:fldChar w:fldCharType="begin">
                <w:ffData>
                  <w:name w:val="Check3"/>
                  <w:enabled/>
                  <w:calcOnExit w:val="0"/>
                  <w:checkBox>
                    <w:sizeAuto/>
                    <w:default w:val="0"/>
                  </w:checkBox>
                </w:ffData>
              </w:fldChar>
            </w:r>
            <w:r w:rsidRPr="0087043D">
              <w:rPr>
                <w:rFonts w:ascii="Arial Narrow" w:hAnsi="Arial Narrow"/>
                <w:color w:val="000000" w:themeColor="text1"/>
                <w:sz w:val="18"/>
                <w:szCs w:val="18"/>
              </w:rPr>
              <w:instrText xml:space="preserve"> FORMCHECKBOX </w:instrText>
            </w:r>
            <w:r w:rsidR="00725666">
              <w:rPr>
                <w:rFonts w:ascii="Arial Narrow" w:hAnsi="Arial Narrow"/>
                <w:color w:val="000000" w:themeColor="text1"/>
                <w:sz w:val="18"/>
                <w:szCs w:val="18"/>
              </w:rPr>
            </w:r>
            <w:r w:rsidR="00725666">
              <w:rPr>
                <w:rFonts w:ascii="Arial Narrow" w:hAnsi="Arial Narrow"/>
                <w:color w:val="000000" w:themeColor="text1"/>
                <w:sz w:val="18"/>
                <w:szCs w:val="18"/>
              </w:rPr>
              <w:fldChar w:fldCharType="separate"/>
            </w:r>
            <w:r w:rsidRPr="0087043D">
              <w:rPr>
                <w:rFonts w:ascii="Arial Narrow" w:hAnsi="Arial Narrow"/>
                <w:color w:val="000000" w:themeColor="text1"/>
                <w:sz w:val="18"/>
                <w:szCs w:val="18"/>
              </w:rPr>
              <w:fldChar w:fldCharType="end"/>
            </w:r>
            <w:r w:rsidRPr="0087043D">
              <w:rPr>
                <w:rFonts w:ascii="Arial Narrow" w:hAnsi="Arial Narrow"/>
                <w:color w:val="000000" w:themeColor="text1"/>
                <w:sz w:val="18"/>
                <w:szCs w:val="18"/>
              </w:rPr>
              <w:t>Nurse practitioners</w:t>
            </w:r>
            <w:r w:rsidR="00264317" w:rsidRPr="0087043D">
              <w:rPr>
                <w:rFonts w:ascii="Arial Narrow" w:hAnsi="Arial Narrow"/>
                <w:color w:val="000000" w:themeColor="text1"/>
                <w:sz w:val="18"/>
                <w:szCs w:val="18"/>
              </w:rPr>
              <w:t xml:space="preserve"> </w:t>
            </w:r>
            <w:r w:rsidRPr="0087043D">
              <w:rPr>
                <w:rFonts w:ascii="Arial Narrow" w:hAnsi="Arial Narrow"/>
                <w:color w:val="000000" w:themeColor="text1"/>
                <w:sz w:val="18"/>
                <w:szCs w:val="18"/>
              </w:rPr>
              <w:fldChar w:fldCharType="begin">
                <w:ffData>
                  <w:name w:val=""/>
                  <w:enabled/>
                  <w:calcOnExit w:val="0"/>
                  <w:checkBox>
                    <w:sizeAuto/>
                    <w:default w:val="0"/>
                  </w:checkBox>
                </w:ffData>
              </w:fldChar>
            </w:r>
            <w:r w:rsidRPr="0087043D">
              <w:rPr>
                <w:rFonts w:ascii="Arial Narrow" w:hAnsi="Arial Narrow"/>
                <w:color w:val="000000" w:themeColor="text1"/>
                <w:sz w:val="18"/>
                <w:szCs w:val="18"/>
              </w:rPr>
              <w:instrText xml:space="preserve"> FORMCHECKBOX </w:instrText>
            </w:r>
            <w:r w:rsidR="00725666">
              <w:rPr>
                <w:rFonts w:ascii="Arial Narrow" w:hAnsi="Arial Narrow"/>
                <w:color w:val="000000" w:themeColor="text1"/>
                <w:sz w:val="18"/>
                <w:szCs w:val="18"/>
              </w:rPr>
            </w:r>
            <w:r w:rsidR="00725666">
              <w:rPr>
                <w:rFonts w:ascii="Arial Narrow" w:hAnsi="Arial Narrow"/>
                <w:color w:val="000000" w:themeColor="text1"/>
                <w:sz w:val="18"/>
                <w:szCs w:val="18"/>
              </w:rPr>
              <w:fldChar w:fldCharType="separate"/>
            </w:r>
            <w:r w:rsidRPr="0087043D">
              <w:rPr>
                <w:rFonts w:ascii="Arial Narrow" w:hAnsi="Arial Narrow"/>
                <w:color w:val="000000" w:themeColor="text1"/>
                <w:sz w:val="18"/>
                <w:szCs w:val="18"/>
              </w:rPr>
              <w:fldChar w:fldCharType="end"/>
            </w:r>
            <w:r w:rsidRPr="0087043D">
              <w:rPr>
                <w:rFonts w:ascii="Arial Narrow" w:hAnsi="Arial Narrow"/>
                <w:color w:val="000000" w:themeColor="text1"/>
                <w:sz w:val="18"/>
                <w:szCs w:val="18"/>
              </w:rPr>
              <w:t>Optometrists</w:t>
            </w:r>
            <w:r w:rsidR="00264317" w:rsidRPr="0087043D">
              <w:rPr>
                <w:rFonts w:ascii="Arial Narrow" w:hAnsi="Arial Narrow"/>
                <w:color w:val="000000" w:themeColor="text1"/>
                <w:sz w:val="18"/>
                <w:szCs w:val="18"/>
              </w:rPr>
              <w:t xml:space="preserve">  </w:t>
            </w:r>
            <w:r w:rsidRPr="0087043D">
              <w:rPr>
                <w:rFonts w:ascii="Arial Narrow" w:hAnsi="Arial Narrow"/>
                <w:color w:val="000000" w:themeColor="text1"/>
                <w:sz w:val="18"/>
                <w:szCs w:val="18"/>
              </w:rPr>
              <w:fldChar w:fldCharType="begin">
                <w:ffData>
                  <w:name w:val="Check5"/>
                  <w:enabled/>
                  <w:calcOnExit w:val="0"/>
                  <w:checkBox>
                    <w:sizeAuto/>
                    <w:default w:val="0"/>
                  </w:checkBox>
                </w:ffData>
              </w:fldChar>
            </w:r>
            <w:r w:rsidRPr="0087043D">
              <w:rPr>
                <w:rFonts w:ascii="Arial Narrow" w:hAnsi="Arial Narrow"/>
                <w:color w:val="000000" w:themeColor="text1"/>
                <w:sz w:val="18"/>
                <w:szCs w:val="18"/>
              </w:rPr>
              <w:instrText xml:space="preserve"> FORMCHECKBOX </w:instrText>
            </w:r>
            <w:r w:rsidR="00725666">
              <w:rPr>
                <w:rFonts w:ascii="Arial Narrow" w:hAnsi="Arial Narrow"/>
                <w:color w:val="000000" w:themeColor="text1"/>
                <w:sz w:val="18"/>
                <w:szCs w:val="18"/>
              </w:rPr>
            </w:r>
            <w:r w:rsidR="00725666">
              <w:rPr>
                <w:rFonts w:ascii="Arial Narrow" w:hAnsi="Arial Narrow"/>
                <w:color w:val="000000" w:themeColor="text1"/>
                <w:sz w:val="18"/>
                <w:szCs w:val="18"/>
              </w:rPr>
              <w:fldChar w:fldCharType="separate"/>
            </w:r>
            <w:r w:rsidRPr="0087043D">
              <w:rPr>
                <w:rFonts w:ascii="Arial Narrow" w:hAnsi="Arial Narrow"/>
                <w:color w:val="000000" w:themeColor="text1"/>
                <w:sz w:val="18"/>
                <w:szCs w:val="18"/>
              </w:rPr>
              <w:fldChar w:fldCharType="end"/>
            </w:r>
            <w:r w:rsidRPr="0087043D">
              <w:rPr>
                <w:rFonts w:ascii="Arial Narrow" w:hAnsi="Arial Narrow"/>
                <w:color w:val="000000" w:themeColor="text1"/>
                <w:sz w:val="18"/>
                <w:szCs w:val="18"/>
              </w:rPr>
              <w:t>Midwives</w:t>
            </w:r>
          </w:p>
        </w:tc>
      </w:tr>
      <w:tr w:rsidR="008C7E0B" w:rsidRPr="0087043D" w:rsidTr="00316FE3">
        <w:tc>
          <w:tcPr>
            <w:tcW w:w="547"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jc w:val="center"/>
              <w:rPr>
                <w:rFonts w:ascii="Arial Narrow" w:hAnsi="Arial Narrow"/>
                <w:color w:val="000000" w:themeColor="text1"/>
                <w:sz w:val="18"/>
                <w:szCs w:val="18"/>
              </w:rPr>
            </w:pPr>
          </w:p>
        </w:tc>
        <w:tc>
          <w:tcPr>
            <w:tcW w:w="4453"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rPr>
                <w:rFonts w:ascii="Arial Narrow" w:hAnsi="Arial Narrow"/>
                <w:b/>
                <w:sz w:val="18"/>
                <w:szCs w:val="18"/>
              </w:rPr>
            </w:pPr>
            <w:r w:rsidRPr="0087043D">
              <w:rPr>
                <w:rFonts w:ascii="Arial Narrow" w:hAnsi="Arial Narrow"/>
                <w:b/>
                <w:sz w:val="18"/>
                <w:szCs w:val="18"/>
              </w:rPr>
              <w:t>Restriction Type – assessment time by Medicare – Method of obtaining authority approval (if Authority Required):</w:t>
            </w:r>
          </w:p>
          <w:p w:rsidR="008C7E0B" w:rsidRPr="0087043D" w:rsidRDefault="008C7E0B" w:rsidP="008C7E0B">
            <w:pPr>
              <w:rPr>
                <w:rFonts w:ascii="Arial Narrow" w:eastAsia="Calibri" w:hAnsi="Arial Narrow"/>
                <w:sz w:val="18"/>
                <w:szCs w:val="18"/>
              </w:rPr>
            </w:pPr>
            <w:r w:rsidRPr="0087043D">
              <w:rPr>
                <w:rFonts w:ascii="Arial Narrow" w:eastAsia="Calibri" w:hAnsi="Arial Narrow"/>
                <w:sz w:val="18"/>
                <w:szCs w:val="18"/>
              </w:rPr>
              <w:fldChar w:fldCharType="begin">
                <w:ffData>
                  <w:name w:val=""/>
                  <w:enabled/>
                  <w:calcOnExit w:val="0"/>
                  <w:checkBox>
                    <w:sizeAuto/>
                    <w:default w:val="1"/>
                  </w:checkBox>
                </w:ffData>
              </w:fldChar>
            </w:r>
            <w:r w:rsidRPr="0087043D">
              <w:rPr>
                <w:rFonts w:ascii="Arial Narrow" w:eastAsia="Calibri" w:hAnsi="Arial Narrow"/>
                <w:sz w:val="18"/>
                <w:szCs w:val="18"/>
              </w:rPr>
              <w:instrText xml:space="preserve"> FORMCHECKBOX </w:instrText>
            </w:r>
            <w:r w:rsidR="00725666">
              <w:rPr>
                <w:rFonts w:ascii="Arial Narrow" w:eastAsia="Calibri" w:hAnsi="Arial Narrow"/>
                <w:sz w:val="18"/>
                <w:szCs w:val="18"/>
              </w:rPr>
            </w:r>
            <w:r w:rsidR="00725666">
              <w:rPr>
                <w:rFonts w:ascii="Arial Narrow" w:eastAsia="Calibri" w:hAnsi="Arial Narrow"/>
                <w:sz w:val="18"/>
                <w:szCs w:val="18"/>
              </w:rPr>
              <w:fldChar w:fldCharType="separate"/>
            </w:r>
            <w:r w:rsidRPr="0087043D">
              <w:rPr>
                <w:rFonts w:ascii="Arial Narrow" w:eastAsia="Calibri" w:hAnsi="Arial Narrow"/>
                <w:sz w:val="18"/>
                <w:szCs w:val="18"/>
              </w:rPr>
              <w:fldChar w:fldCharType="end"/>
            </w:r>
            <w:r w:rsidRPr="0087043D">
              <w:rPr>
                <w:rFonts w:ascii="Arial Narrow" w:eastAsia="Calibri" w:hAnsi="Arial Narrow"/>
                <w:sz w:val="18"/>
                <w:szCs w:val="18"/>
              </w:rPr>
              <w:t xml:space="preserve">Authority Required – Streamlined [new/existing code] (specification of 4-digit code by prescriber to certify that they have read the PBS restriction; no prior assessment by Medicare; retrospective audit of patient records possible) </w:t>
            </w:r>
          </w:p>
          <w:p w:rsidR="008C7E0B" w:rsidRPr="0087043D" w:rsidRDefault="008C7E0B" w:rsidP="00F53FDF">
            <w:pPr>
              <w:rPr>
                <w:rFonts w:ascii="Arial Narrow" w:hAnsi="Arial Narrow"/>
                <w:b/>
                <w:bCs/>
                <w:color w:val="000000" w:themeColor="text1"/>
                <w:sz w:val="18"/>
                <w:szCs w:val="18"/>
              </w:rPr>
            </w:pPr>
          </w:p>
        </w:tc>
      </w:tr>
      <w:tr w:rsidR="008C7E0B" w:rsidRPr="0087043D" w:rsidTr="00316FE3">
        <w:tc>
          <w:tcPr>
            <w:tcW w:w="547" w:type="pct"/>
            <w:vAlign w:val="center"/>
          </w:tcPr>
          <w:p w:rsidR="008C7E0B" w:rsidRPr="0087043D" w:rsidRDefault="008C7E0B" w:rsidP="008C7E0B">
            <w:pPr>
              <w:jc w:val="center"/>
              <w:rPr>
                <w:rFonts w:ascii="Arial Narrow" w:hAnsi="Arial Narrow"/>
                <w:color w:val="000000" w:themeColor="text1"/>
                <w:sz w:val="18"/>
                <w:szCs w:val="18"/>
              </w:rPr>
            </w:pPr>
          </w:p>
        </w:tc>
        <w:tc>
          <w:tcPr>
            <w:tcW w:w="4453" w:type="pct"/>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Administrative Advice:</w:t>
            </w:r>
            <w:r w:rsidRPr="0087043D">
              <w:rPr>
                <w:rFonts w:ascii="Arial Narrow" w:hAnsi="Arial Narrow"/>
                <w:color w:val="000000" w:themeColor="text1"/>
                <w:sz w:val="18"/>
                <w:szCs w:val="18"/>
              </w:rPr>
              <w:t xml:space="preserve"> No increase in the maximum number of repeats may be authorised</w:t>
            </w:r>
          </w:p>
        </w:tc>
      </w:tr>
      <w:tr w:rsidR="008C7E0B" w:rsidRPr="0087043D" w:rsidTr="00316FE3">
        <w:tc>
          <w:tcPr>
            <w:tcW w:w="547" w:type="pct"/>
            <w:vAlign w:val="center"/>
          </w:tcPr>
          <w:p w:rsidR="008C7E0B" w:rsidRPr="0087043D" w:rsidRDefault="008C7E0B" w:rsidP="008C7E0B">
            <w:pPr>
              <w:jc w:val="center"/>
              <w:rPr>
                <w:rFonts w:ascii="Arial Narrow" w:hAnsi="Arial Narrow"/>
                <w:color w:val="000000" w:themeColor="text1"/>
                <w:sz w:val="18"/>
                <w:szCs w:val="18"/>
              </w:rPr>
            </w:pPr>
          </w:p>
        </w:tc>
        <w:tc>
          <w:tcPr>
            <w:tcW w:w="4453" w:type="pct"/>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 xml:space="preserve">Administrative Advice: </w:t>
            </w:r>
            <w:r w:rsidRPr="0087043D">
              <w:rPr>
                <w:rFonts w:ascii="Arial Narrow" w:hAnsi="Arial Narrow"/>
                <w:bCs/>
                <w:color w:val="000000" w:themeColor="text1"/>
                <w:sz w:val="18"/>
                <w:szCs w:val="18"/>
              </w:rPr>
              <w:t>Special Pricing Arrangements apply</w:t>
            </w:r>
          </w:p>
        </w:tc>
      </w:tr>
      <w:tr w:rsidR="008C7E0B" w:rsidRPr="0087043D" w:rsidTr="00316FE3">
        <w:tc>
          <w:tcPr>
            <w:tcW w:w="547" w:type="pct"/>
            <w:vAlign w:val="center"/>
          </w:tcPr>
          <w:p w:rsidR="008C7E0B" w:rsidRPr="0087043D" w:rsidRDefault="008C7E0B" w:rsidP="008C7E0B">
            <w:pPr>
              <w:jc w:val="center"/>
              <w:rPr>
                <w:rFonts w:ascii="Arial Narrow" w:hAnsi="Arial Narrow"/>
                <w:color w:val="000000" w:themeColor="text1"/>
                <w:sz w:val="18"/>
                <w:szCs w:val="18"/>
              </w:rPr>
            </w:pPr>
          </w:p>
        </w:tc>
        <w:tc>
          <w:tcPr>
            <w:tcW w:w="4453" w:type="pct"/>
            <w:vAlign w:val="center"/>
          </w:tcPr>
          <w:p w:rsidR="008C7E0B" w:rsidRPr="0087043D" w:rsidRDefault="008C7E0B" w:rsidP="008C7E0B">
            <w:pPr>
              <w:rPr>
                <w:rFonts w:ascii="Arial Narrow" w:hAnsi="Arial Narrow"/>
                <w:b/>
                <w:bCs/>
                <w:color w:val="000000" w:themeColor="text1"/>
                <w:sz w:val="18"/>
                <w:szCs w:val="18"/>
              </w:rPr>
            </w:pPr>
            <w:proofErr w:type="spellStart"/>
            <w:r w:rsidRPr="0087043D">
              <w:rPr>
                <w:rFonts w:ascii="Arial Narrow" w:hAnsi="Arial Narrow"/>
                <w:b/>
                <w:bCs/>
                <w:color w:val="000000" w:themeColor="text1"/>
                <w:sz w:val="18"/>
                <w:szCs w:val="18"/>
              </w:rPr>
              <w:t>Episodicity</w:t>
            </w:r>
            <w:proofErr w:type="spellEnd"/>
            <w:r w:rsidRPr="0087043D">
              <w:rPr>
                <w:rFonts w:ascii="Arial Narrow" w:hAnsi="Arial Narrow"/>
                <w:b/>
                <w:bCs/>
                <w:color w:val="000000" w:themeColor="text1"/>
                <w:sz w:val="18"/>
                <w:szCs w:val="18"/>
              </w:rPr>
              <w:t xml:space="preserve">: </w:t>
            </w:r>
            <w:r w:rsidRPr="0087043D">
              <w:rPr>
                <w:rFonts w:ascii="Arial Narrow" w:hAnsi="Arial Narrow"/>
                <w:bCs/>
                <w:color w:val="000000" w:themeColor="text1"/>
                <w:sz w:val="18"/>
                <w:szCs w:val="18"/>
              </w:rPr>
              <w:t>[nil]</w:t>
            </w:r>
          </w:p>
        </w:tc>
      </w:tr>
      <w:tr w:rsidR="008C7E0B" w:rsidRPr="0087043D" w:rsidTr="00316FE3">
        <w:tc>
          <w:tcPr>
            <w:tcW w:w="547" w:type="pct"/>
            <w:vAlign w:val="center"/>
          </w:tcPr>
          <w:p w:rsidR="008C7E0B" w:rsidRPr="0087043D" w:rsidRDefault="008C7E0B" w:rsidP="008C7E0B">
            <w:pPr>
              <w:jc w:val="center"/>
              <w:rPr>
                <w:rFonts w:ascii="Arial Narrow" w:hAnsi="Arial Narrow"/>
                <w:color w:val="000000" w:themeColor="text1"/>
                <w:sz w:val="18"/>
                <w:szCs w:val="18"/>
              </w:rPr>
            </w:pPr>
          </w:p>
        </w:tc>
        <w:tc>
          <w:tcPr>
            <w:tcW w:w="4453" w:type="pct"/>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 xml:space="preserve">Severity: </w:t>
            </w:r>
            <w:r w:rsidRPr="0087043D">
              <w:rPr>
                <w:rFonts w:ascii="Arial Narrow" w:hAnsi="Arial Narrow"/>
                <w:bCs/>
                <w:color w:val="000000" w:themeColor="text1"/>
                <w:sz w:val="18"/>
                <w:szCs w:val="18"/>
              </w:rPr>
              <w:t>Stage IV (metastatic)</w:t>
            </w:r>
          </w:p>
        </w:tc>
      </w:tr>
      <w:tr w:rsidR="008C7E0B" w:rsidRPr="0087043D" w:rsidTr="00316FE3">
        <w:tc>
          <w:tcPr>
            <w:tcW w:w="547" w:type="pct"/>
            <w:vAlign w:val="center"/>
          </w:tcPr>
          <w:p w:rsidR="008C7E0B" w:rsidRPr="0087043D" w:rsidRDefault="008C7E0B" w:rsidP="008C7E0B">
            <w:pPr>
              <w:jc w:val="center"/>
              <w:rPr>
                <w:rFonts w:ascii="Arial Narrow" w:hAnsi="Arial Narrow"/>
                <w:color w:val="000000" w:themeColor="text1"/>
                <w:sz w:val="18"/>
                <w:szCs w:val="18"/>
              </w:rPr>
            </w:pPr>
          </w:p>
        </w:tc>
        <w:tc>
          <w:tcPr>
            <w:tcW w:w="4453" w:type="pct"/>
            <w:vAlign w:val="center"/>
          </w:tcPr>
          <w:p w:rsidR="008C7E0B" w:rsidRPr="0087043D" w:rsidRDefault="008C7E0B" w:rsidP="0010666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 xml:space="preserve">Condition: </w:t>
            </w:r>
            <w:r w:rsidR="00F53FDF" w:rsidRPr="0087043D">
              <w:rPr>
                <w:rFonts w:ascii="Arial Narrow" w:hAnsi="Arial Narrow"/>
                <w:bCs/>
                <w:color w:val="000000" w:themeColor="text1"/>
                <w:sz w:val="18"/>
                <w:szCs w:val="18"/>
              </w:rPr>
              <w:t>n</w:t>
            </w:r>
            <w:r w:rsidRPr="0087043D">
              <w:rPr>
                <w:rFonts w:ascii="Arial Narrow" w:hAnsi="Arial Narrow"/>
                <w:bCs/>
                <w:color w:val="000000" w:themeColor="text1"/>
                <w:sz w:val="18"/>
                <w:szCs w:val="18"/>
              </w:rPr>
              <w:t>on-small cell lung cancer (NSCLC)</w:t>
            </w:r>
          </w:p>
        </w:tc>
      </w:tr>
      <w:tr w:rsidR="00C32F4F" w:rsidRPr="0087043D" w:rsidTr="00742D2E">
        <w:tc>
          <w:tcPr>
            <w:tcW w:w="547" w:type="pct"/>
            <w:vAlign w:val="center"/>
          </w:tcPr>
          <w:p w:rsidR="00C32F4F" w:rsidRPr="0087043D" w:rsidRDefault="00C32F4F" w:rsidP="00C32F4F">
            <w:pPr>
              <w:jc w:val="center"/>
              <w:rPr>
                <w:rFonts w:ascii="Arial Narrow" w:hAnsi="Arial Narrow"/>
                <w:color w:val="333333"/>
                <w:sz w:val="18"/>
                <w:szCs w:val="18"/>
              </w:rPr>
            </w:pPr>
          </w:p>
        </w:tc>
        <w:tc>
          <w:tcPr>
            <w:tcW w:w="4453" w:type="pct"/>
            <w:vAlign w:val="center"/>
            <w:hideMark/>
          </w:tcPr>
          <w:p w:rsidR="00C32F4F" w:rsidRPr="0087043D" w:rsidRDefault="00C32F4F" w:rsidP="0010666B">
            <w:pPr>
              <w:rPr>
                <w:rFonts w:ascii="Arial Narrow" w:hAnsi="Arial Narrow"/>
                <w:color w:val="333333"/>
                <w:sz w:val="18"/>
                <w:szCs w:val="18"/>
              </w:rPr>
            </w:pPr>
            <w:r w:rsidRPr="0087043D">
              <w:rPr>
                <w:rFonts w:ascii="Arial Narrow" w:hAnsi="Arial Narrow"/>
                <w:b/>
                <w:bCs/>
                <w:color w:val="000000" w:themeColor="text1"/>
                <w:sz w:val="18"/>
                <w:szCs w:val="18"/>
              </w:rPr>
              <w:t>Indication:</w:t>
            </w:r>
            <w:r w:rsidRPr="0087043D">
              <w:rPr>
                <w:rFonts w:ascii="Arial Narrow" w:hAnsi="Arial Narrow"/>
                <w:color w:val="000000" w:themeColor="text1"/>
                <w:sz w:val="18"/>
                <w:szCs w:val="18"/>
              </w:rPr>
              <w:t xml:space="preserve"> Stage IV (metastatic) non-small cell lung cancer (NSCLC)</w:t>
            </w:r>
          </w:p>
        </w:tc>
      </w:tr>
      <w:tr w:rsidR="008C7E0B" w:rsidRPr="0087043D" w:rsidTr="00742D2E">
        <w:tc>
          <w:tcPr>
            <w:tcW w:w="547"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453" w:type="pct"/>
            <w:tcBorders>
              <w:top w:val="single" w:sz="4" w:space="0" w:color="auto"/>
              <w:left w:val="single" w:sz="4" w:space="0" w:color="auto"/>
              <w:bottom w:val="single" w:sz="4" w:space="0" w:color="auto"/>
              <w:right w:val="single" w:sz="4" w:space="0" w:color="auto"/>
            </w:tcBorders>
            <w:vAlign w:val="center"/>
            <w:hideMark/>
          </w:tcPr>
          <w:p w:rsidR="008C7E0B" w:rsidRPr="0087043D" w:rsidRDefault="008C7E0B" w:rsidP="00F53FDF">
            <w:pPr>
              <w:rPr>
                <w:rFonts w:ascii="Arial Narrow" w:hAnsi="Arial Narrow"/>
                <w:b/>
                <w:bCs/>
                <w:i/>
                <w:color w:val="000000" w:themeColor="text1"/>
                <w:sz w:val="18"/>
                <w:szCs w:val="18"/>
              </w:rPr>
            </w:pPr>
            <w:r w:rsidRPr="0087043D">
              <w:rPr>
                <w:rFonts w:ascii="Arial Narrow" w:hAnsi="Arial Narrow"/>
                <w:b/>
                <w:bCs/>
                <w:color w:val="000000" w:themeColor="text1"/>
                <w:sz w:val="18"/>
                <w:szCs w:val="18"/>
              </w:rPr>
              <w:t xml:space="preserve">Treatment Phase: </w:t>
            </w:r>
            <w:r w:rsidRPr="0087043D">
              <w:rPr>
                <w:rFonts w:ascii="Arial Narrow" w:hAnsi="Arial Narrow"/>
                <w:bCs/>
                <w:color w:val="000000" w:themeColor="text1"/>
                <w:sz w:val="18"/>
                <w:szCs w:val="18"/>
              </w:rPr>
              <w:t>Continuing combination treatment (with ipilimumab</w:t>
            </w:r>
            <w:r w:rsidR="00F53FDF" w:rsidRPr="0087043D">
              <w:rPr>
                <w:rFonts w:ascii="Arial Narrow" w:hAnsi="Arial Narrow"/>
                <w:bCs/>
                <w:color w:val="000000" w:themeColor="text1"/>
                <w:sz w:val="18"/>
                <w:szCs w:val="18"/>
              </w:rPr>
              <w:t>)</w:t>
            </w:r>
            <w:r w:rsidRPr="0087043D">
              <w:rPr>
                <w:rFonts w:ascii="Arial Narrow" w:hAnsi="Arial Narrow"/>
                <w:bCs/>
                <w:color w:val="000000" w:themeColor="text1"/>
                <w:sz w:val="18"/>
                <w:szCs w:val="18"/>
              </w:rPr>
              <w:t xml:space="preserve"> of first-line drug therapy</w:t>
            </w:r>
          </w:p>
        </w:tc>
      </w:tr>
      <w:tr w:rsidR="00514705" w:rsidRPr="0087043D" w:rsidTr="00742D2E">
        <w:trPr>
          <w:trHeight w:val="100"/>
        </w:trPr>
        <w:tc>
          <w:tcPr>
            <w:tcW w:w="547" w:type="pct"/>
            <w:tcBorders>
              <w:top w:val="single" w:sz="4" w:space="0" w:color="auto"/>
              <w:left w:val="single" w:sz="4" w:space="0" w:color="auto"/>
              <w:right w:val="single" w:sz="4" w:space="0" w:color="auto"/>
            </w:tcBorders>
            <w:vAlign w:val="center"/>
          </w:tcPr>
          <w:p w:rsidR="00514705" w:rsidRPr="0087043D" w:rsidRDefault="00514705" w:rsidP="00514705">
            <w:pPr>
              <w:rPr>
                <w:rFonts w:ascii="Arial Narrow" w:hAnsi="Arial Narrow"/>
                <w:color w:val="000000" w:themeColor="text1"/>
                <w:sz w:val="18"/>
                <w:szCs w:val="18"/>
              </w:rPr>
            </w:pPr>
          </w:p>
        </w:tc>
        <w:tc>
          <w:tcPr>
            <w:tcW w:w="4453" w:type="pct"/>
            <w:tcBorders>
              <w:top w:val="single" w:sz="4" w:space="0" w:color="auto"/>
              <w:left w:val="single" w:sz="4" w:space="0" w:color="auto"/>
              <w:bottom w:val="single" w:sz="4" w:space="0" w:color="auto"/>
              <w:right w:val="single" w:sz="4" w:space="0" w:color="auto"/>
            </w:tcBorders>
            <w:vAlign w:val="center"/>
            <w:hideMark/>
          </w:tcPr>
          <w:p w:rsidR="00514705" w:rsidRPr="0087043D" w:rsidRDefault="00514705"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Clinical criteria:</w:t>
            </w:r>
          </w:p>
        </w:tc>
      </w:tr>
      <w:tr w:rsidR="00514705" w:rsidRPr="0087043D" w:rsidTr="00316FE3">
        <w:tc>
          <w:tcPr>
            <w:tcW w:w="547" w:type="pct"/>
            <w:tcBorders>
              <w:left w:val="single" w:sz="4" w:space="0" w:color="auto"/>
              <w:bottom w:val="single" w:sz="4" w:space="0" w:color="auto"/>
              <w:right w:val="single" w:sz="4" w:space="0" w:color="auto"/>
            </w:tcBorders>
            <w:vAlign w:val="center"/>
          </w:tcPr>
          <w:p w:rsidR="00514705" w:rsidRPr="0087043D" w:rsidRDefault="00514705" w:rsidP="00514705">
            <w:pPr>
              <w:jc w:val="center"/>
              <w:rPr>
                <w:rFonts w:ascii="Arial Narrow" w:hAnsi="Arial Narrow"/>
                <w:color w:val="000000" w:themeColor="text1"/>
                <w:sz w:val="18"/>
                <w:szCs w:val="18"/>
              </w:rPr>
            </w:pPr>
          </w:p>
        </w:tc>
        <w:tc>
          <w:tcPr>
            <w:tcW w:w="4453" w:type="pct"/>
            <w:tcBorders>
              <w:top w:val="single" w:sz="4" w:space="0" w:color="auto"/>
              <w:left w:val="single" w:sz="4" w:space="0" w:color="auto"/>
              <w:bottom w:val="single" w:sz="4" w:space="0" w:color="auto"/>
              <w:right w:val="single" w:sz="4" w:space="0" w:color="auto"/>
            </w:tcBorders>
            <w:vAlign w:val="center"/>
          </w:tcPr>
          <w:p w:rsidR="00514705" w:rsidRPr="0087043D" w:rsidRDefault="00514705" w:rsidP="00514705">
            <w:pPr>
              <w:rPr>
                <w:rFonts w:ascii="Arial Narrow" w:hAnsi="Arial Narrow"/>
                <w:bCs/>
                <w:color w:val="000000" w:themeColor="text1"/>
                <w:sz w:val="18"/>
                <w:szCs w:val="18"/>
              </w:rPr>
            </w:pPr>
            <w:r w:rsidRPr="0087043D">
              <w:rPr>
                <w:rFonts w:ascii="Arial Narrow" w:hAnsi="Arial Narrow"/>
                <w:bCs/>
                <w:color w:val="333333"/>
                <w:sz w:val="18"/>
                <w:szCs w:val="18"/>
              </w:rPr>
              <w:t xml:space="preserve">The condition must be squamous type non-small cell lung cancer </w:t>
            </w:r>
          </w:p>
        </w:tc>
      </w:tr>
      <w:tr w:rsidR="00514705" w:rsidRPr="0087043D" w:rsidTr="00316FE3">
        <w:tc>
          <w:tcPr>
            <w:tcW w:w="547" w:type="pct"/>
            <w:tcBorders>
              <w:left w:val="single" w:sz="4" w:space="0" w:color="auto"/>
              <w:bottom w:val="single" w:sz="4" w:space="0" w:color="auto"/>
              <w:right w:val="single" w:sz="4" w:space="0" w:color="auto"/>
            </w:tcBorders>
            <w:vAlign w:val="center"/>
          </w:tcPr>
          <w:p w:rsidR="00514705" w:rsidRPr="0087043D" w:rsidRDefault="00514705" w:rsidP="00514705">
            <w:pPr>
              <w:jc w:val="center"/>
              <w:rPr>
                <w:rFonts w:ascii="Arial Narrow" w:hAnsi="Arial Narrow"/>
                <w:color w:val="000000" w:themeColor="text1"/>
                <w:sz w:val="18"/>
                <w:szCs w:val="18"/>
              </w:rPr>
            </w:pPr>
          </w:p>
        </w:tc>
        <w:tc>
          <w:tcPr>
            <w:tcW w:w="4453" w:type="pct"/>
            <w:tcBorders>
              <w:top w:val="single" w:sz="4" w:space="0" w:color="auto"/>
              <w:left w:val="single" w:sz="4" w:space="0" w:color="auto"/>
              <w:bottom w:val="single" w:sz="4" w:space="0" w:color="auto"/>
              <w:right w:val="single" w:sz="4" w:space="0" w:color="auto"/>
            </w:tcBorders>
            <w:vAlign w:val="center"/>
          </w:tcPr>
          <w:p w:rsidR="00514705" w:rsidRPr="0087043D" w:rsidRDefault="00514705" w:rsidP="00514705">
            <w:pPr>
              <w:rPr>
                <w:rFonts w:ascii="Arial Narrow" w:hAnsi="Arial Narrow"/>
                <w:b/>
                <w:bCs/>
                <w:color w:val="000000" w:themeColor="text1"/>
                <w:sz w:val="18"/>
                <w:szCs w:val="18"/>
              </w:rPr>
            </w:pPr>
            <w:r w:rsidRPr="0087043D">
              <w:rPr>
                <w:rFonts w:ascii="Arial Narrow" w:hAnsi="Arial Narrow"/>
                <w:b/>
                <w:bCs/>
                <w:color w:val="333333"/>
                <w:sz w:val="18"/>
                <w:szCs w:val="18"/>
              </w:rPr>
              <w:t>AND</w:t>
            </w:r>
          </w:p>
        </w:tc>
      </w:tr>
      <w:tr w:rsidR="00514705" w:rsidRPr="0087043D" w:rsidTr="00742D2E">
        <w:tc>
          <w:tcPr>
            <w:tcW w:w="547" w:type="pct"/>
            <w:tcBorders>
              <w:left w:val="single" w:sz="4" w:space="0" w:color="auto"/>
              <w:bottom w:val="single" w:sz="4" w:space="0" w:color="auto"/>
              <w:right w:val="single" w:sz="4" w:space="0" w:color="auto"/>
            </w:tcBorders>
            <w:vAlign w:val="center"/>
          </w:tcPr>
          <w:p w:rsidR="00514705" w:rsidRPr="0087043D" w:rsidRDefault="00514705" w:rsidP="00514705">
            <w:pPr>
              <w:jc w:val="center"/>
              <w:rPr>
                <w:rFonts w:ascii="Arial Narrow" w:hAnsi="Arial Narrow"/>
                <w:color w:val="000000" w:themeColor="text1"/>
                <w:sz w:val="18"/>
                <w:szCs w:val="18"/>
              </w:rPr>
            </w:pPr>
          </w:p>
        </w:tc>
        <w:tc>
          <w:tcPr>
            <w:tcW w:w="4453" w:type="pct"/>
            <w:tcBorders>
              <w:top w:val="single" w:sz="4" w:space="0" w:color="auto"/>
              <w:left w:val="single" w:sz="4" w:space="0" w:color="auto"/>
              <w:bottom w:val="single" w:sz="4" w:space="0" w:color="auto"/>
              <w:right w:val="single" w:sz="4" w:space="0" w:color="auto"/>
            </w:tcBorders>
            <w:vAlign w:val="center"/>
            <w:hideMark/>
          </w:tcPr>
          <w:p w:rsidR="00514705" w:rsidRPr="0087043D" w:rsidRDefault="00514705" w:rsidP="00514705">
            <w:pPr>
              <w:rPr>
                <w:rFonts w:ascii="Arial Narrow" w:hAnsi="Arial Narrow"/>
                <w:bCs/>
                <w:color w:val="000000" w:themeColor="text1"/>
                <w:sz w:val="18"/>
                <w:szCs w:val="18"/>
              </w:rPr>
            </w:pPr>
            <w:r w:rsidRPr="0087043D">
              <w:rPr>
                <w:rFonts w:ascii="Arial Narrow" w:hAnsi="Arial Narrow"/>
                <w:bCs/>
                <w:color w:val="000000" w:themeColor="text1"/>
                <w:sz w:val="18"/>
                <w:szCs w:val="18"/>
              </w:rPr>
              <w:t>Patient must have previously received PBS-subsidised treatment with this drug in this line of treatment</w:t>
            </w:r>
          </w:p>
        </w:tc>
      </w:tr>
      <w:tr w:rsidR="00514705" w:rsidRPr="0087043D" w:rsidTr="00316FE3">
        <w:tc>
          <w:tcPr>
            <w:tcW w:w="547" w:type="pct"/>
            <w:tcBorders>
              <w:top w:val="single" w:sz="4" w:space="0" w:color="auto"/>
              <w:left w:val="single" w:sz="4" w:space="0" w:color="auto"/>
              <w:bottom w:val="single" w:sz="4" w:space="0" w:color="auto"/>
              <w:right w:val="single" w:sz="4" w:space="0" w:color="auto"/>
            </w:tcBorders>
            <w:vAlign w:val="center"/>
          </w:tcPr>
          <w:p w:rsidR="00514705" w:rsidRPr="0087043D" w:rsidRDefault="00514705" w:rsidP="00514705">
            <w:pPr>
              <w:jc w:val="center"/>
              <w:rPr>
                <w:rFonts w:ascii="Arial Narrow" w:hAnsi="Arial Narrow"/>
                <w:color w:val="000000" w:themeColor="text1"/>
                <w:sz w:val="18"/>
                <w:szCs w:val="18"/>
              </w:rPr>
            </w:pPr>
          </w:p>
        </w:tc>
        <w:tc>
          <w:tcPr>
            <w:tcW w:w="4453" w:type="pct"/>
            <w:tcBorders>
              <w:top w:val="single" w:sz="4" w:space="0" w:color="auto"/>
              <w:left w:val="single" w:sz="4" w:space="0" w:color="auto"/>
              <w:bottom w:val="single" w:sz="4" w:space="0" w:color="auto"/>
              <w:right w:val="single" w:sz="4" w:space="0" w:color="auto"/>
            </w:tcBorders>
            <w:vAlign w:val="center"/>
          </w:tcPr>
          <w:p w:rsidR="00514705" w:rsidRPr="0087043D" w:rsidRDefault="00514705" w:rsidP="00514705">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AND</w:t>
            </w:r>
          </w:p>
        </w:tc>
      </w:tr>
      <w:tr w:rsidR="00514705" w:rsidRPr="0087043D" w:rsidTr="00316FE3">
        <w:tc>
          <w:tcPr>
            <w:tcW w:w="547" w:type="pct"/>
            <w:tcBorders>
              <w:top w:val="single" w:sz="4" w:space="0" w:color="auto"/>
              <w:left w:val="single" w:sz="4" w:space="0" w:color="auto"/>
              <w:bottom w:val="single" w:sz="4" w:space="0" w:color="auto"/>
              <w:right w:val="single" w:sz="4" w:space="0" w:color="auto"/>
            </w:tcBorders>
            <w:vAlign w:val="center"/>
          </w:tcPr>
          <w:p w:rsidR="00514705" w:rsidRPr="0087043D" w:rsidRDefault="00514705" w:rsidP="00514705">
            <w:pPr>
              <w:jc w:val="center"/>
              <w:rPr>
                <w:rFonts w:ascii="Arial Narrow" w:hAnsi="Arial Narrow"/>
                <w:i/>
                <w:color w:val="000000" w:themeColor="text1"/>
                <w:sz w:val="18"/>
                <w:szCs w:val="18"/>
              </w:rPr>
            </w:pPr>
          </w:p>
        </w:tc>
        <w:tc>
          <w:tcPr>
            <w:tcW w:w="4453" w:type="pct"/>
            <w:tcBorders>
              <w:top w:val="single" w:sz="4" w:space="0" w:color="auto"/>
              <w:left w:val="single" w:sz="4" w:space="0" w:color="auto"/>
              <w:bottom w:val="single" w:sz="4" w:space="0" w:color="auto"/>
              <w:right w:val="single" w:sz="4" w:space="0" w:color="auto"/>
            </w:tcBorders>
            <w:vAlign w:val="center"/>
          </w:tcPr>
          <w:p w:rsidR="00514705" w:rsidRPr="0087043D" w:rsidRDefault="00514705" w:rsidP="00514705">
            <w:pPr>
              <w:rPr>
                <w:rFonts w:ascii="Arial Narrow" w:hAnsi="Arial Narrow"/>
                <w:bCs/>
                <w:strike/>
                <w:color w:val="000000" w:themeColor="text1"/>
                <w:sz w:val="18"/>
                <w:szCs w:val="18"/>
              </w:rPr>
            </w:pPr>
            <w:r w:rsidRPr="0087043D">
              <w:rPr>
                <w:rFonts w:ascii="Arial Narrow" w:hAnsi="Arial Narrow"/>
                <w:bCs/>
                <w:color w:val="000000" w:themeColor="text1"/>
                <w:sz w:val="18"/>
                <w:szCs w:val="18"/>
              </w:rPr>
              <w:t>Patient must not have developed disease progression while receiving PBS-subsidised treatment with this drug for this condition</w:t>
            </w:r>
          </w:p>
        </w:tc>
      </w:tr>
      <w:tr w:rsidR="00514705" w:rsidRPr="0087043D" w:rsidTr="00316FE3">
        <w:tc>
          <w:tcPr>
            <w:tcW w:w="547" w:type="pct"/>
            <w:tcBorders>
              <w:top w:val="single" w:sz="4" w:space="0" w:color="auto"/>
              <w:left w:val="single" w:sz="4" w:space="0" w:color="auto"/>
              <w:bottom w:val="single" w:sz="4" w:space="0" w:color="auto"/>
              <w:right w:val="single" w:sz="4" w:space="0" w:color="auto"/>
            </w:tcBorders>
            <w:vAlign w:val="center"/>
          </w:tcPr>
          <w:p w:rsidR="00514705" w:rsidRPr="0087043D" w:rsidRDefault="00514705" w:rsidP="00514705">
            <w:pPr>
              <w:jc w:val="center"/>
              <w:rPr>
                <w:rFonts w:ascii="Arial Narrow" w:hAnsi="Arial Narrow"/>
                <w:color w:val="000000" w:themeColor="text1"/>
                <w:sz w:val="18"/>
                <w:szCs w:val="18"/>
              </w:rPr>
            </w:pPr>
          </w:p>
        </w:tc>
        <w:tc>
          <w:tcPr>
            <w:tcW w:w="4453" w:type="pct"/>
            <w:tcBorders>
              <w:top w:val="single" w:sz="4" w:space="0" w:color="auto"/>
              <w:left w:val="single" w:sz="4" w:space="0" w:color="auto"/>
              <w:bottom w:val="single" w:sz="4" w:space="0" w:color="auto"/>
              <w:right w:val="single" w:sz="4" w:space="0" w:color="auto"/>
            </w:tcBorders>
            <w:vAlign w:val="center"/>
          </w:tcPr>
          <w:p w:rsidR="00514705" w:rsidRPr="0087043D" w:rsidRDefault="00514705" w:rsidP="00514705">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AND</w:t>
            </w:r>
          </w:p>
        </w:tc>
      </w:tr>
      <w:tr w:rsidR="00514705" w:rsidRPr="0087043D" w:rsidTr="00316FE3">
        <w:tc>
          <w:tcPr>
            <w:tcW w:w="547" w:type="pct"/>
            <w:tcBorders>
              <w:top w:val="single" w:sz="4" w:space="0" w:color="auto"/>
              <w:left w:val="single" w:sz="4" w:space="0" w:color="auto"/>
              <w:bottom w:val="single" w:sz="4" w:space="0" w:color="auto"/>
              <w:right w:val="single" w:sz="4" w:space="0" w:color="auto"/>
            </w:tcBorders>
            <w:vAlign w:val="center"/>
          </w:tcPr>
          <w:p w:rsidR="00514705" w:rsidRPr="0087043D" w:rsidRDefault="00514705" w:rsidP="00514705">
            <w:pPr>
              <w:jc w:val="center"/>
              <w:rPr>
                <w:rFonts w:ascii="Arial Narrow" w:hAnsi="Arial Narrow"/>
                <w:color w:val="000000" w:themeColor="text1"/>
                <w:sz w:val="18"/>
                <w:szCs w:val="18"/>
              </w:rPr>
            </w:pPr>
          </w:p>
        </w:tc>
        <w:tc>
          <w:tcPr>
            <w:tcW w:w="4453" w:type="pct"/>
            <w:tcBorders>
              <w:top w:val="single" w:sz="4" w:space="0" w:color="auto"/>
              <w:left w:val="single" w:sz="4" w:space="0" w:color="auto"/>
              <w:bottom w:val="single" w:sz="4" w:space="0" w:color="auto"/>
              <w:right w:val="single" w:sz="4" w:space="0" w:color="auto"/>
            </w:tcBorders>
            <w:vAlign w:val="center"/>
          </w:tcPr>
          <w:p w:rsidR="00514705" w:rsidRPr="0087043D" w:rsidRDefault="00514705" w:rsidP="00514705">
            <w:pPr>
              <w:rPr>
                <w:rFonts w:ascii="Arial Narrow" w:hAnsi="Arial Narrow"/>
                <w:b/>
                <w:bCs/>
                <w:color w:val="000000" w:themeColor="text1"/>
                <w:sz w:val="18"/>
                <w:szCs w:val="18"/>
              </w:rPr>
            </w:pPr>
            <w:r w:rsidRPr="0087043D">
              <w:rPr>
                <w:rFonts w:ascii="Arial Narrow" w:hAnsi="Arial Narrow"/>
                <w:bCs/>
                <w:color w:val="000000" w:themeColor="text1"/>
                <w:sz w:val="18"/>
                <w:szCs w:val="18"/>
              </w:rPr>
              <w:t>The treatment must not exceed 24 months in total, measured from the initial dose, or, must not extend beyond disease progression, whichever comes first.</w:t>
            </w:r>
          </w:p>
        </w:tc>
      </w:tr>
      <w:tr w:rsidR="00514705" w:rsidRPr="0087043D" w:rsidTr="00742D2E">
        <w:tc>
          <w:tcPr>
            <w:tcW w:w="547" w:type="pct"/>
            <w:tcBorders>
              <w:left w:val="single" w:sz="4" w:space="0" w:color="auto"/>
              <w:right w:val="single" w:sz="4" w:space="0" w:color="auto"/>
            </w:tcBorders>
            <w:vAlign w:val="center"/>
          </w:tcPr>
          <w:p w:rsidR="00514705" w:rsidRPr="0087043D" w:rsidRDefault="00514705" w:rsidP="00514705">
            <w:pPr>
              <w:jc w:val="center"/>
              <w:rPr>
                <w:rFonts w:ascii="Arial Narrow" w:hAnsi="Arial Narrow"/>
                <w:color w:val="000000" w:themeColor="text1"/>
                <w:sz w:val="18"/>
                <w:szCs w:val="18"/>
              </w:rPr>
            </w:pPr>
          </w:p>
        </w:tc>
        <w:tc>
          <w:tcPr>
            <w:tcW w:w="4453" w:type="pct"/>
            <w:tcBorders>
              <w:top w:val="single" w:sz="4" w:space="0" w:color="auto"/>
              <w:left w:val="single" w:sz="4" w:space="0" w:color="auto"/>
              <w:bottom w:val="single" w:sz="4" w:space="0" w:color="auto"/>
              <w:right w:val="single" w:sz="4" w:space="0" w:color="auto"/>
            </w:tcBorders>
            <w:vAlign w:val="center"/>
            <w:hideMark/>
          </w:tcPr>
          <w:p w:rsidR="00514705" w:rsidRPr="0087043D" w:rsidRDefault="00514705" w:rsidP="00514705">
            <w:pPr>
              <w:rPr>
                <w:rFonts w:ascii="Arial Narrow" w:hAnsi="Arial Narrow"/>
                <w:bCs/>
                <w:color w:val="000000" w:themeColor="text1"/>
                <w:sz w:val="18"/>
                <w:szCs w:val="18"/>
              </w:rPr>
            </w:pPr>
            <w:r w:rsidRPr="0087043D">
              <w:rPr>
                <w:rFonts w:ascii="Arial Narrow" w:hAnsi="Arial Narrow"/>
                <w:bCs/>
                <w:color w:val="000000" w:themeColor="text1"/>
                <w:sz w:val="18"/>
                <w:szCs w:val="18"/>
              </w:rPr>
              <w:t xml:space="preserve"> The treatment must be in combination with ipilimumab </w:t>
            </w:r>
          </w:p>
        </w:tc>
      </w:tr>
    </w:tbl>
    <w:p w:rsidR="008C7E0B" w:rsidRPr="0087043D" w:rsidRDefault="008C7E0B" w:rsidP="008C7E0B">
      <w:pPr>
        <w:rPr>
          <w:b/>
          <w:u w:val="single"/>
        </w:rPr>
      </w:pPr>
    </w:p>
    <w:p w:rsidR="00AE736A" w:rsidRDefault="00AE736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7"/>
        <w:gridCol w:w="8020"/>
      </w:tblGrid>
      <w:tr w:rsidR="008C7E0B" w:rsidRPr="0087043D" w:rsidTr="00316FE3">
        <w:tc>
          <w:tcPr>
            <w:tcW w:w="553"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jc w:val="center"/>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color w:val="000000" w:themeColor="text1"/>
                <w:sz w:val="18"/>
                <w:szCs w:val="18"/>
              </w:rPr>
              <w:t>Category / Program:</w:t>
            </w:r>
            <w:r w:rsidR="00264317" w:rsidRPr="0087043D">
              <w:rPr>
                <w:rFonts w:ascii="Arial Narrow" w:hAnsi="Arial Narrow"/>
                <w:b/>
                <w:color w:val="000000" w:themeColor="text1"/>
                <w:sz w:val="18"/>
                <w:szCs w:val="18"/>
              </w:rPr>
              <w:t xml:space="preserve"> </w:t>
            </w:r>
            <w:r w:rsidRPr="0087043D">
              <w:rPr>
                <w:rFonts w:ascii="Arial Narrow" w:hAnsi="Arial Narrow"/>
                <w:b/>
                <w:color w:val="000000" w:themeColor="text1"/>
                <w:sz w:val="18"/>
                <w:szCs w:val="18"/>
              </w:rPr>
              <w:t xml:space="preserve"> </w:t>
            </w:r>
            <w:r w:rsidRPr="0087043D">
              <w:rPr>
                <w:rFonts w:ascii="Arial Narrow" w:hAnsi="Arial Narrow"/>
                <w:color w:val="000000" w:themeColor="text1"/>
                <w:sz w:val="18"/>
                <w:szCs w:val="18"/>
              </w:rPr>
              <w:t xml:space="preserve">Section 100 – Efficient Funding of Chemotherapy </w:t>
            </w:r>
          </w:p>
        </w:tc>
      </w:tr>
      <w:tr w:rsidR="008C7E0B" w:rsidRPr="0087043D" w:rsidTr="00316FE3">
        <w:tc>
          <w:tcPr>
            <w:tcW w:w="553"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jc w:val="center"/>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color w:val="000000" w:themeColor="text1"/>
                <w:sz w:val="18"/>
                <w:szCs w:val="18"/>
              </w:rPr>
              <w:t>Prescriber type:</w:t>
            </w:r>
            <w:r w:rsidR="00264317" w:rsidRPr="0087043D">
              <w:rPr>
                <w:rFonts w:ascii="Arial Narrow" w:hAnsi="Arial Narrow"/>
                <w:b/>
                <w:color w:val="000000" w:themeColor="text1"/>
                <w:sz w:val="18"/>
                <w:szCs w:val="18"/>
              </w:rPr>
              <w:t xml:space="preserve"> </w:t>
            </w:r>
            <w:r w:rsidRPr="0087043D">
              <w:rPr>
                <w:rFonts w:ascii="Arial Narrow" w:hAnsi="Arial Narrow"/>
                <w:color w:val="000000" w:themeColor="text1"/>
                <w:sz w:val="18"/>
                <w:szCs w:val="18"/>
              </w:rPr>
              <w:fldChar w:fldCharType="begin">
                <w:ffData>
                  <w:name w:val="Check1"/>
                  <w:enabled/>
                  <w:calcOnExit w:val="0"/>
                  <w:checkBox>
                    <w:sizeAuto/>
                    <w:default w:val="0"/>
                  </w:checkBox>
                </w:ffData>
              </w:fldChar>
            </w:r>
            <w:r w:rsidRPr="0087043D">
              <w:rPr>
                <w:rFonts w:ascii="Arial Narrow" w:hAnsi="Arial Narrow"/>
                <w:color w:val="000000" w:themeColor="text1"/>
                <w:sz w:val="18"/>
                <w:szCs w:val="18"/>
              </w:rPr>
              <w:instrText xml:space="preserve"> FORMCHECKBOX </w:instrText>
            </w:r>
            <w:r w:rsidR="00725666">
              <w:rPr>
                <w:rFonts w:ascii="Arial Narrow" w:hAnsi="Arial Narrow"/>
                <w:color w:val="000000" w:themeColor="text1"/>
                <w:sz w:val="18"/>
                <w:szCs w:val="18"/>
              </w:rPr>
            </w:r>
            <w:r w:rsidR="00725666">
              <w:rPr>
                <w:rFonts w:ascii="Arial Narrow" w:hAnsi="Arial Narrow"/>
                <w:color w:val="000000" w:themeColor="text1"/>
                <w:sz w:val="18"/>
                <w:szCs w:val="18"/>
              </w:rPr>
              <w:fldChar w:fldCharType="separate"/>
            </w:r>
            <w:r w:rsidRPr="0087043D">
              <w:rPr>
                <w:rFonts w:ascii="Arial Narrow" w:hAnsi="Arial Narrow"/>
                <w:color w:val="000000" w:themeColor="text1"/>
                <w:sz w:val="18"/>
                <w:szCs w:val="18"/>
              </w:rPr>
              <w:fldChar w:fldCharType="end"/>
            </w:r>
            <w:r w:rsidRPr="0087043D">
              <w:rPr>
                <w:rFonts w:ascii="Arial Narrow" w:hAnsi="Arial Narrow"/>
                <w:color w:val="000000" w:themeColor="text1"/>
                <w:sz w:val="18"/>
                <w:szCs w:val="18"/>
              </w:rPr>
              <w:t>Dental</w:t>
            </w:r>
            <w:r w:rsidR="00264317" w:rsidRPr="0087043D">
              <w:rPr>
                <w:rFonts w:ascii="Arial Narrow" w:hAnsi="Arial Narrow"/>
                <w:color w:val="000000" w:themeColor="text1"/>
                <w:sz w:val="18"/>
                <w:szCs w:val="18"/>
              </w:rPr>
              <w:t xml:space="preserve"> </w:t>
            </w:r>
            <w:r w:rsidRPr="0087043D">
              <w:rPr>
                <w:rFonts w:ascii="Arial Narrow" w:hAnsi="Arial Narrow"/>
                <w:color w:val="000000" w:themeColor="text1"/>
                <w:sz w:val="18"/>
                <w:szCs w:val="18"/>
              </w:rPr>
              <w:fldChar w:fldCharType="begin">
                <w:ffData>
                  <w:name w:val=""/>
                  <w:enabled/>
                  <w:calcOnExit w:val="0"/>
                  <w:checkBox>
                    <w:sizeAuto/>
                    <w:default w:val="1"/>
                  </w:checkBox>
                </w:ffData>
              </w:fldChar>
            </w:r>
            <w:r w:rsidRPr="0087043D">
              <w:rPr>
                <w:rFonts w:ascii="Arial Narrow" w:hAnsi="Arial Narrow"/>
                <w:color w:val="000000" w:themeColor="text1"/>
                <w:sz w:val="18"/>
                <w:szCs w:val="18"/>
              </w:rPr>
              <w:instrText xml:space="preserve"> FORMCHECKBOX </w:instrText>
            </w:r>
            <w:r w:rsidR="00725666">
              <w:rPr>
                <w:rFonts w:ascii="Arial Narrow" w:hAnsi="Arial Narrow"/>
                <w:color w:val="000000" w:themeColor="text1"/>
                <w:sz w:val="18"/>
                <w:szCs w:val="18"/>
              </w:rPr>
            </w:r>
            <w:r w:rsidR="00725666">
              <w:rPr>
                <w:rFonts w:ascii="Arial Narrow" w:hAnsi="Arial Narrow"/>
                <w:color w:val="000000" w:themeColor="text1"/>
                <w:sz w:val="18"/>
                <w:szCs w:val="18"/>
              </w:rPr>
              <w:fldChar w:fldCharType="separate"/>
            </w:r>
            <w:r w:rsidRPr="0087043D">
              <w:rPr>
                <w:rFonts w:ascii="Arial Narrow" w:hAnsi="Arial Narrow"/>
                <w:color w:val="000000" w:themeColor="text1"/>
                <w:sz w:val="18"/>
                <w:szCs w:val="18"/>
              </w:rPr>
              <w:fldChar w:fldCharType="end"/>
            </w:r>
            <w:r w:rsidRPr="0087043D">
              <w:rPr>
                <w:rFonts w:ascii="Arial Narrow" w:hAnsi="Arial Narrow"/>
                <w:color w:val="000000" w:themeColor="text1"/>
                <w:sz w:val="18"/>
                <w:szCs w:val="18"/>
              </w:rPr>
              <w:t>Medical Practitioners</w:t>
            </w:r>
            <w:r w:rsidR="00264317" w:rsidRPr="0087043D">
              <w:rPr>
                <w:rFonts w:ascii="Arial Narrow" w:hAnsi="Arial Narrow"/>
                <w:color w:val="000000" w:themeColor="text1"/>
                <w:sz w:val="18"/>
                <w:szCs w:val="18"/>
              </w:rPr>
              <w:t xml:space="preserve"> </w:t>
            </w:r>
            <w:r w:rsidRPr="0087043D">
              <w:rPr>
                <w:rFonts w:ascii="Arial Narrow" w:hAnsi="Arial Narrow"/>
                <w:color w:val="000000" w:themeColor="text1"/>
                <w:sz w:val="18"/>
                <w:szCs w:val="18"/>
              </w:rPr>
              <w:fldChar w:fldCharType="begin">
                <w:ffData>
                  <w:name w:val="Check3"/>
                  <w:enabled/>
                  <w:calcOnExit w:val="0"/>
                  <w:checkBox>
                    <w:sizeAuto/>
                    <w:default w:val="0"/>
                  </w:checkBox>
                </w:ffData>
              </w:fldChar>
            </w:r>
            <w:r w:rsidRPr="0087043D">
              <w:rPr>
                <w:rFonts w:ascii="Arial Narrow" w:hAnsi="Arial Narrow"/>
                <w:color w:val="000000" w:themeColor="text1"/>
                <w:sz w:val="18"/>
                <w:szCs w:val="18"/>
              </w:rPr>
              <w:instrText xml:space="preserve"> FORMCHECKBOX </w:instrText>
            </w:r>
            <w:r w:rsidR="00725666">
              <w:rPr>
                <w:rFonts w:ascii="Arial Narrow" w:hAnsi="Arial Narrow"/>
                <w:color w:val="000000" w:themeColor="text1"/>
                <w:sz w:val="18"/>
                <w:szCs w:val="18"/>
              </w:rPr>
            </w:r>
            <w:r w:rsidR="00725666">
              <w:rPr>
                <w:rFonts w:ascii="Arial Narrow" w:hAnsi="Arial Narrow"/>
                <w:color w:val="000000" w:themeColor="text1"/>
                <w:sz w:val="18"/>
                <w:szCs w:val="18"/>
              </w:rPr>
              <w:fldChar w:fldCharType="separate"/>
            </w:r>
            <w:r w:rsidRPr="0087043D">
              <w:rPr>
                <w:rFonts w:ascii="Arial Narrow" w:hAnsi="Arial Narrow"/>
                <w:color w:val="000000" w:themeColor="text1"/>
                <w:sz w:val="18"/>
                <w:szCs w:val="18"/>
              </w:rPr>
              <w:fldChar w:fldCharType="end"/>
            </w:r>
            <w:r w:rsidRPr="0087043D">
              <w:rPr>
                <w:rFonts w:ascii="Arial Narrow" w:hAnsi="Arial Narrow"/>
                <w:color w:val="000000" w:themeColor="text1"/>
                <w:sz w:val="18"/>
                <w:szCs w:val="18"/>
              </w:rPr>
              <w:t>Nurse practitioners</w:t>
            </w:r>
            <w:r w:rsidR="00264317" w:rsidRPr="0087043D">
              <w:rPr>
                <w:rFonts w:ascii="Arial Narrow" w:hAnsi="Arial Narrow"/>
                <w:color w:val="000000" w:themeColor="text1"/>
                <w:sz w:val="18"/>
                <w:szCs w:val="18"/>
              </w:rPr>
              <w:t xml:space="preserve"> </w:t>
            </w:r>
            <w:r w:rsidRPr="0087043D">
              <w:rPr>
                <w:rFonts w:ascii="Arial Narrow" w:hAnsi="Arial Narrow"/>
                <w:color w:val="000000" w:themeColor="text1"/>
                <w:sz w:val="18"/>
                <w:szCs w:val="18"/>
              </w:rPr>
              <w:fldChar w:fldCharType="begin">
                <w:ffData>
                  <w:name w:val=""/>
                  <w:enabled/>
                  <w:calcOnExit w:val="0"/>
                  <w:checkBox>
                    <w:sizeAuto/>
                    <w:default w:val="0"/>
                  </w:checkBox>
                </w:ffData>
              </w:fldChar>
            </w:r>
            <w:r w:rsidRPr="0087043D">
              <w:rPr>
                <w:rFonts w:ascii="Arial Narrow" w:hAnsi="Arial Narrow"/>
                <w:color w:val="000000" w:themeColor="text1"/>
                <w:sz w:val="18"/>
                <w:szCs w:val="18"/>
              </w:rPr>
              <w:instrText xml:space="preserve"> FORMCHECKBOX </w:instrText>
            </w:r>
            <w:r w:rsidR="00725666">
              <w:rPr>
                <w:rFonts w:ascii="Arial Narrow" w:hAnsi="Arial Narrow"/>
                <w:color w:val="000000" w:themeColor="text1"/>
                <w:sz w:val="18"/>
                <w:szCs w:val="18"/>
              </w:rPr>
            </w:r>
            <w:r w:rsidR="00725666">
              <w:rPr>
                <w:rFonts w:ascii="Arial Narrow" w:hAnsi="Arial Narrow"/>
                <w:color w:val="000000" w:themeColor="text1"/>
                <w:sz w:val="18"/>
                <w:szCs w:val="18"/>
              </w:rPr>
              <w:fldChar w:fldCharType="separate"/>
            </w:r>
            <w:r w:rsidRPr="0087043D">
              <w:rPr>
                <w:rFonts w:ascii="Arial Narrow" w:hAnsi="Arial Narrow"/>
                <w:color w:val="000000" w:themeColor="text1"/>
                <w:sz w:val="18"/>
                <w:szCs w:val="18"/>
              </w:rPr>
              <w:fldChar w:fldCharType="end"/>
            </w:r>
            <w:r w:rsidRPr="0087043D">
              <w:rPr>
                <w:rFonts w:ascii="Arial Narrow" w:hAnsi="Arial Narrow"/>
                <w:color w:val="000000" w:themeColor="text1"/>
                <w:sz w:val="18"/>
                <w:szCs w:val="18"/>
              </w:rPr>
              <w:t>Optometrists</w:t>
            </w:r>
            <w:r w:rsidR="00264317" w:rsidRPr="0087043D">
              <w:rPr>
                <w:rFonts w:ascii="Arial Narrow" w:hAnsi="Arial Narrow"/>
                <w:color w:val="000000" w:themeColor="text1"/>
                <w:sz w:val="18"/>
                <w:szCs w:val="18"/>
              </w:rPr>
              <w:t xml:space="preserve">  </w:t>
            </w:r>
            <w:r w:rsidRPr="0087043D">
              <w:rPr>
                <w:rFonts w:ascii="Arial Narrow" w:hAnsi="Arial Narrow"/>
                <w:color w:val="000000" w:themeColor="text1"/>
                <w:sz w:val="18"/>
                <w:szCs w:val="18"/>
              </w:rPr>
              <w:fldChar w:fldCharType="begin">
                <w:ffData>
                  <w:name w:val="Check5"/>
                  <w:enabled/>
                  <w:calcOnExit w:val="0"/>
                  <w:checkBox>
                    <w:sizeAuto/>
                    <w:default w:val="0"/>
                  </w:checkBox>
                </w:ffData>
              </w:fldChar>
            </w:r>
            <w:r w:rsidRPr="0087043D">
              <w:rPr>
                <w:rFonts w:ascii="Arial Narrow" w:hAnsi="Arial Narrow"/>
                <w:color w:val="000000" w:themeColor="text1"/>
                <w:sz w:val="18"/>
                <w:szCs w:val="18"/>
              </w:rPr>
              <w:instrText xml:space="preserve"> FORMCHECKBOX </w:instrText>
            </w:r>
            <w:r w:rsidR="00725666">
              <w:rPr>
                <w:rFonts w:ascii="Arial Narrow" w:hAnsi="Arial Narrow"/>
                <w:color w:val="000000" w:themeColor="text1"/>
                <w:sz w:val="18"/>
                <w:szCs w:val="18"/>
              </w:rPr>
            </w:r>
            <w:r w:rsidR="00725666">
              <w:rPr>
                <w:rFonts w:ascii="Arial Narrow" w:hAnsi="Arial Narrow"/>
                <w:color w:val="000000" w:themeColor="text1"/>
                <w:sz w:val="18"/>
                <w:szCs w:val="18"/>
              </w:rPr>
              <w:fldChar w:fldCharType="separate"/>
            </w:r>
            <w:r w:rsidRPr="0087043D">
              <w:rPr>
                <w:rFonts w:ascii="Arial Narrow" w:hAnsi="Arial Narrow"/>
                <w:color w:val="000000" w:themeColor="text1"/>
                <w:sz w:val="18"/>
                <w:szCs w:val="18"/>
              </w:rPr>
              <w:fldChar w:fldCharType="end"/>
            </w:r>
            <w:r w:rsidRPr="0087043D">
              <w:rPr>
                <w:rFonts w:ascii="Arial Narrow" w:hAnsi="Arial Narrow"/>
                <w:color w:val="000000" w:themeColor="text1"/>
                <w:sz w:val="18"/>
                <w:szCs w:val="18"/>
              </w:rPr>
              <w:t>Midwives</w:t>
            </w:r>
          </w:p>
        </w:tc>
      </w:tr>
      <w:tr w:rsidR="008C7E0B" w:rsidRPr="0087043D" w:rsidTr="00316FE3">
        <w:tc>
          <w:tcPr>
            <w:tcW w:w="553"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jc w:val="center"/>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rPr>
                <w:rFonts w:ascii="Arial Narrow" w:hAnsi="Arial Narrow"/>
                <w:b/>
                <w:sz w:val="18"/>
                <w:szCs w:val="18"/>
              </w:rPr>
            </w:pPr>
            <w:r w:rsidRPr="0087043D">
              <w:rPr>
                <w:rFonts w:ascii="Arial Narrow" w:hAnsi="Arial Narrow"/>
                <w:b/>
                <w:sz w:val="18"/>
                <w:szCs w:val="18"/>
              </w:rPr>
              <w:t>Restriction Type – assessment time by Medicare – Method of obtaining authority approval (if Authority Required):</w:t>
            </w:r>
          </w:p>
          <w:p w:rsidR="008C7E0B" w:rsidRPr="0087043D" w:rsidRDefault="008C7E0B" w:rsidP="008C7E0B">
            <w:pPr>
              <w:rPr>
                <w:rFonts w:ascii="Arial Narrow" w:hAnsi="Arial Narrow"/>
                <w:b/>
                <w:bCs/>
                <w:color w:val="000000" w:themeColor="text1"/>
                <w:sz w:val="18"/>
                <w:szCs w:val="18"/>
              </w:rPr>
            </w:pPr>
            <w:r w:rsidRPr="0087043D">
              <w:rPr>
                <w:rFonts w:ascii="Arial Narrow" w:eastAsia="Calibri" w:hAnsi="Arial Narrow"/>
                <w:sz w:val="18"/>
                <w:szCs w:val="18"/>
              </w:rPr>
              <w:fldChar w:fldCharType="begin">
                <w:ffData>
                  <w:name w:val=""/>
                  <w:enabled/>
                  <w:calcOnExit w:val="0"/>
                  <w:checkBox>
                    <w:sizeAuto/>
                    <w:default w:val="1"/>
                  </w:checkBox>
                </w:ffData>
              </w:fldChar>
            </w:r>
            <w:r w:rsidRPr="0087043D">
              <w:rPr>
                <w:rFonts w:ascii="Arial Narrow" w:eastAsia="Calibri" w:hAnsi="Arial Narrow"/>
                <w:sz w:val="18"/>
                <w:szCs w:val="18"/>
              </w:rPr>
              <w:instrText xml:space="preserve"> FORMCHECKBOX </w:instrText>
            </w:r>
            <w:r w:rsidR="00725666">
              <w:rPr>
                <w:rFonts w:ascii="Arial Narrow" w:eastAsia="Calibri" w:hAnsi="Arial Narrow"/>
                <w:sz w:val="18"/>
                <w:szCs w:val="18"/>
              </w:rPr>
            </w:r>
            <w:r w:rsidR="00725666">
              <w:rPr>
                <w:rFonts w:ascii="Arial Narrow" w:eastAsia="Calibri" w:hAnsi="Arial Narrow"/>
                <w:sz w:val="18"/>
                <w:szCs w:val="18"/>
              </w:rPr>
              <w:fldChar w:fldCharType="separate"/>
            </w:r>
            <w:r w:rsidRPr="0087043D">
              <w:rPr>
                <w:rFonts w:ascii="Arial Narrow" w:eastAsia="Calibri" w:hAnsi="Arial Narrow"/>
                <w:sz w:val="18"/>
                <w:szCs w:val="18"/>
              </w:rPr>
              <w:fldChar w:fldCharType="end"/>
            </w:r>
            <w:r w:rsidRPr="0087043D">
              <w:rPr>
                <w:rFonts w:ascii="Arial Narrow" w:eastAsia="Calibri" w:hAnsi="Arial Narrow"/>
                <w:sz w:val="18"/>
                <w:szCs w:val="18"/>
              </w:rPr>
              <w:t>Authority Required – Streamlined [new/existing code] (specification of 4-digit code by prescriber to certify that they have read the PBS restriction; no prior assessment by Medicare; retrospective audit of patient records possible)</w:t>
            </w:r>
            <w:r w:rsidR="00264317" w:rsidRPr="0087043D">
              <w:rPr>
                <w:rFonts w:ascii="Arial Narrow" w:eastAsia="Calibri" w:hAnsi="Arial Narrow"/>
                <w:sz w:val="18"/>
                <w:szCs w:val="18"/>
              </w:rPr>
              <w:t xml:space="preserve"> </w:t>
            </w:r>
          </w:p>
        </w:tc>
      </w:tr>
      <w:tr w:rsidR="008C7E0B" w:rsidRPr="0087043D" w:rsidTr="00316FE3">
        <w:tc>
          <w:tcPr>
            <w:tcW w:w="553" w:type="pct"/>
            <w:vAlign w:val="center"/>
          </w:tcPr>
          <w:p w:rsidR="008C7E0B" w:rsidRPr="0087043D" w:rsidRDefault="008C7E0B" w:rsidP="008C7E0B">
            <w:pPr>
              <w:jc w:val="center"/>
              <w:rPr>
                <w:rFonts w:ascii="Arial Narrow" w:hAnsi="Arial Narrow"/>
                <w:color w:val="000000" w:themeColor="text1"/>
                <w:sz w:val="18"/>
                <w:szCs w:val="18"/>
              </w:rPr>
            </w:pPr>
          </w:p>
        </w:tc>
        <w:tc>
          <w:tcPr>
            <w:tcW w:w="4447" w:type="pct"/>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Administrative Advice:</w:t>
            </w:r>
            <w:r w:rsidRPr="0087043D">
              <w:rPr>
                <w:rFonts w:ascii="Arial Narrow" w:hAnsi="Arial Narrow"/>
                <w:color w:val="000000" w:themeColor="text1"/>
                <w:sz w:val="18"/>
                <w:szCs w:val="18"/>
              </w:rPr>
              <w:t xml:space="preserve"> No increase in the maximum number of repeats may be authorised.</w:t>
            </w:r>
          </w:p>
        </w:tc>
      </w:tr>
      <w:tr w:rsidR="008C7E0B" w:rsidRPr="0087043D" w:rsidTr="00316FE3">
        <w:tc>
          <w:tcPr>
            <w:tcW w:w="553" w:type="pct"/>
            <w:vAlign w:val="center"/>
          </w:tcPr>
          <w:p w:rsidR="008C7E0B" w:rsidRPr="0087043D" w:rsidRDefault="008C7E0B" w:rsidP="008C7E0B">
            <w:pPr>
              <w:jc w:val="center"/>
              <w:rPr>
                <w:rFonts w:ascii="Arial Narrow" w:hAnsi="Arial Narrow"/>
                <w:color w:val="000000" w:themeColor="text1"/>
                <w:sz w:val="18"/>
                <w:szCs w:val="18"/>
              </w:rPr>
            </w:pPr>
          </w:p>
        </w:tc>
        <w:tc>
          <w:tcPr>
            <w:tcW w:w="4447" w:type="pct"/>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 xml:space="preserve">Administrative Advice: </w:t>
            </w:r>
            <w:r w:rsidRPr="0087043D">
              <w:rPr>
                <w:rFonts w:ascii="Arial Narrow" w:hAnsi="Arial Narrow"/>
                <w:bCs/>
                <w:color w:val="000000" w:themeColor="text1"/>
                <w:sz w:val="18"/>
                <w:szCs w:val="18"/>
              </w:rPr>
              <w:t>Special Pricing Arrangements apply</w:t>
            </w:r>
          </w:p>
        </w:tc>
      </w:tr>
      <w:tr w:rsidR="008C7E0B" w:rsidRPr="0087043D" w:rsidTr="00316FE3">
        <w:tc>
          <w:tcPr>
            <w:tcW w:w="553" w:type="pct"/>
            <w:vAlign w:val="center"/>
          </w:tcPr>
          <w:p w:rsidR="008C7E0B" w:rsidRPr="0087043D" w:rsidRDefault="008C7E0B" w:rsidP="008C7E0B">
            <w:pPr>
              <w:jc w:val="center"/>
              <w:rPr>
                <w:rFonts w:ascii="Arial Narrow" w:hAnsi="Arial Narrow"/>
                <w:color w:val="000000" w:themeColor="text1"/>
                <w:sz w:val="18"/>
                <w:szCs w:val="18"/>
              </w:rPr>
            </w:pPr>
          </w:p>
        </w:tc>
        <w:tc>
          <w:tcPr>
            <w:tcW w:w="4447" w:type="pct"/>
            <w:vAlign w:val="center"/>
          </w:tcPr>
          <w:p w:rsidR="008C7E0B" w:rsidRPr="0087043D" w:rsidRDefault="008C7E0B" w:rsidP="00F53FDF">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Administrative Advice:</w:t>
            </w:r>
            <w:r w:rsidRPr="0087043D">
              <w:rPr>
                <w:rFonts w:ascii="Arial Narrow" w:hAnsi="Arial Narrow"/>
                <w:bCs/>
                <w:color w:val="000000" w:themeColor="text1"/>
                <w:sz w:val="18"/>
                <w:szCs w:val="18"/>
              </w:rPr>
              <w:t xml:space="preserve"> A patient may qualify for PBS-subsidised treatment under this restriction once only</w:t>
            </w:r>
            <w:r w:rsidRPr="0087043D">
              <w:rPr>
                <w:rFonts w:ascii="Arial Narrow" w:hAnsi="Arial Narrow"/>
                <w:bCs/>
                <w:strike/>
                <w:color w:val="000000" w:themeColor="text1"/>
                <w:sz w:val="18"/>
                <w:szCs w:val="18"/>
              </w:rPr>
              <w:t>.</w:t>
            </w:r>
          </w:p>
        </w:tc>
      </w:tr>
      <w:tr w:rsidR="008C7E0B" w:rsidRPr="0087043D" w:rsidTr="00316FE3">
        <w:tc>
          <w:tcPr>
            <w:tcW w:w="553" w:type="pct"/>
            <w:vAlign w:val="center"/>
          </w:tcPr>
          <w:p w:rsidR="008C7E0B" w:rsidRPr="0087043D" w:rsidRDefault="008C7E0B" w:rsidP="008C7E0B">
            <w:pPr>
              <w:jc w:val="center"/>
              <w:rPr>
                <w:rFonts w:ascii="Arial Narrow" w:hAnsi="Arial Narrow"/>
                <w:color w:val="000000" w:themeColor="text1"/>
                <w:sz w:val="18"/>
                <w:szCs w:val="18"/>
              </w:rPr>
            </w:pPr>
          </w:p>
        </w:tc>
        <w:tc>
          <w:tcPr>
            <w:tcW w:w="4447" w:type="pct"/>
            <w:vAlign w:val="center"/>
          </w:tcPr>
          <w:p w:rsidR="008C7E0B" w:rsidRPr="0087043D" w:rsidRDefault="008C7E0B" w:rsidP="008C7E0B">
            <w:pPr>
              <w:rPr>
                <w:rFonts w:ascii="Arial Narrow" w:hAnsi="Arial Narrow"/>
                <w:b/>
                <w:bCs/>
                <w:color w:val="000000" w:themeColor="text1"/>
                <w:sz w:val="18"/>
                <w:szCs w:val="18"/>
              </w:rPr>
            </w:pPr>
            <w:proofErr w:type="spellStart"/>
            <w:r w:rsidRPr="0087043D">
              <w:rPr>
                <w:rFonts w:ascii="Arial Narrow" w:hAnsi="Arial Narrow"/>
                <w:b/>
                <w:bCs/>
                <w:color w:val="000000" w:themeColor="text1"/>
                <w:sz w:val="18"/>
                <w:szCs w:val="18"/>
              </w:rPr>
              <w:t>Episodicity</w:t>
            </w:r>
            <w:proofErr w:type="spellEnd"/>
            <w:r w:rsidRPr="0087043D">
              <w:rPr>
                <w:rFonts w:ascii="Arial Narrow" w:hAnsi="Arial Narrow"/>
                <w:b/>
                <w:bCs/>
                <w:color w:val="000000" w:themeColor="text1"/>
                <w:sz w:val="18"/>
                <w:szCs w:val="18"/>
              </w:rPr>
              <w:t xml:space="preserve">: </w:t>
            </w:r>
            <w:r w:rsidRPr="0087043D">
              <w:rPr>
                <w:rFonts w:ascii="Arial Narrow" w:hAnsi="Arial Narrow"/>
                <w:bCs/>
                <w:color w:val="000000" w:themeColor="text1"/>
                <w:sz w:val="18"/>
                <w:szCs w:val="18"/>
              </w:rPr>
              <w:t>[nil]</w:t>
            </w:r>
          </w:p>
        </w:tc>
      </w:tr>
      <w:tr w:rsidR="008C7E0B" w:rsidRPr="0087043D" w:rsidTr="00316FE3">
        <w:tc>
          <w:tcPr>
            <w:tcW w:w="553" w:type="pct"/>
            <w:vAlign w:val="center"/>
          </w:tcPr>
          <w:p w:rsidR="008C7E0B" w:rsidRPr="0087043D" w:rsidRDefault="008C7E0B" w:rsidP="008C7E0B">
            <w:pPr>
              <w:jc w:val="center"/>
              <w:rPr>
                <w:rFonts w:ascii="Arial Narrow" w:hAnsi="Arial Narrow"/>
                <w:color w:val="000000" w:themeColor="text1"/>
                <w:sz w:val="18"/>
                <w:szCs w:val="18"/>
              </w:rPr>
            </w:pPr>
          </w:p>
        </w:tc>
        <w:tc>
          <w:tcPr>
            <w:tcW w:w="4447" w:type="pct"/>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 xml:space="preserve">Severity: </w:t>
            </w:r>
            <w:r w:rsidRPr="0087043D">
              <w:rPr>
                <w:rFonts w:ascii="Arial Narrow" w:hAnsi="Arial Narrow"/>
                <w:bCs/>
                <w:color w:val="000000" w:themeColor="text1"/>
                <w:sz w:val="18"/>
                <w:szCs w:val="18"/>
              </w:rPr>
              <w:t>Stage IV (metastatic)</w:t>
            </w:r>
          </w:p>
        </w:tc>
      </w:tr>
      <w:tr w:rsidR="008C7E0B" w:rsidRPr="0087043D" w:rsidTr="00316FE3">
        <w:tc>
          <w:tcPr>
            <w:tcW w:w="553" w:type="pct"/>
            <w:vAlign w:val="center"/>
          </w:tcPr>
          <w:p w:rsidR="008C7E0B" w:rsidRPr="0087043D" w:rsidRDefault="008C7E0B" w:rsidP="008C7E0B">
            <w:pPr>
              <w:jc w:val="center"/>
              <w:rPr>
                <w:rFonts w:ascii="Arial Narrow" w:hAnsi="Arial Narrow"/>
                <w:color w:val="000000" w:themeColor="text1"/>
                <w:sz w:val="18"/>
                <w:szCs w:val="18"/>
              </w:rPr>
            </w:pPr>
          </w:p>
        </w:tc>
        <w:tc>
          <w:tcPr>
            <w:tcW w:w="4447" w:type="pct"/>
            <w:vAlign w:val="center"/>
          </w:tcPr>
          <w:p w:rsidR="008C7E0B" w:rsidRPr="0087043D" w:rsidRDefault="008C7E0B" w:rsidP="0010666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Condition:</w:t>
            </w:r>
            <w:r w:rsidR="00F53FDF" w:rsidRPr="0087043D">
              <w:rPr>
                <w:rFonts w:ascii="Arial Narrow" w:hAnsi="Arial Narrow"/>
                <w:b/>
                <w:bCs/>
                <w:color w:val="000000" w:themeColor="text1"/>
                <w:sz w:val="18"/>
                <w:szCs w:val="18"/>
              </w:rPr>
              <w:t xml:space="preserve"> </w:t>
            </w:r>
            <w:r w:rsidR="00F53FDF" w:rsidRPr="0087043D">
              <w:rPr>
                <w:rFonts w:ascii="Arial Narrow" w:hAnsi="Arial Narrow"/>
                <w:bCs/>
                <w:color w:val="000000" w:themeColor="text1"/>
                <w:sz w:val="18"/>
                <w:szCs w:val="18"/>
              </w:rPr>
              <w:t>n</w:t>
            </w:r>
            <w:r w:rsidRPr="0087043D">
              <w:rPr>
                <w:rFonts w:ascii="Arial Narrow" w:hAnsi="Arial Narrow"/>
                <w:bCs/>
                <w:color w:val="000000" w:themeColor="text1"/>
                <w:sz w:val="18"/>
                <w:szCs w:val="18"/>
              </w:rPr>
              <w:t>on-small cell lung cancer (NSCLC)</w:t>
            </w:r>
          </w:p>
        </w:tc>
      </w:tr>
      <w:tr w:rsidR="00C32F4F" w:rsidRPr="0087043D" w:rsidTr="00316FE3">
        <w:tc>
          <w:tcPr>
            <w:tcW w:w="553" w:type="pct"/>
            <w:vAlign w:val="center"/>
            <w:hideMark/>
          </w:tcPr>
          <w:p w:rsidR="00C32F4F" w:rsidRPr="0087043D" w:rsidRDefault="00C32F4F" w:rsidP="00C32F4F">
            <w:pPr>
              <w:jc w:val="center"/>
              <w:rPr>
                <w:rFonts w:ascii="Arial Narrow" w:hAnsi="Arial Narrow"/>
                <w:color w:val="333333"/>
                <w:sz w:val="18"/>
                <w:szCs w:val="18"/>
              </w:rPr>
            </w:pPr>
          </w:p>
        </w:tc>
        <w:tc>
          <w:tcPr>
            <w:tcW w:w="4447" w:type="pct"/>
            <w:vAlign w:val="center"/>
            <w:hideMark/>
          </w:tcPr>
          <w:p w:rsidR="00C32F4F" w:rsidRPr="0087043D" w:rsidRDefault="00C32F4F" w:rsidP="0010666B">
            <w:pPr>
              <w:rPr>
                <w:rFonts w:ascii="Arial Narrow" w:hAnsi="Arial Narrow"/>
                <w:color w:val="333333"/>
                <w:sz w:val="18"/>
                <w:szCs w:val="18"/>
              </w:rPr>
            </w:pPr>
            <w:r w:rsidRPr="0087043D">
              <w:rPr>
                <w:rFonts w:ascii="Arial Narrow" w:hAnsi="Arial Narrow"/>
                <w:b/>
                <w:bCs/>
                <w:color w:val="000000" w:themeColor="text1"/>
                <w:sz w:val="18"/>
                <w:szCs w:val="18"/>
              </w:rPr>
              <w:t>Indication:</w:t>
            </w:r>
            <w:r w:rsidRPr="0087043D">
              <w:rPr>
                <w:rFonts w:ascii="Arial Narrow" w:hAnsi="Arial Narrow"/>
                <w:color w:val="000000" w:themeColor="text1"/>
                <w:sz w:val="18"/>
                <w:szCs w:val="18"/>
              </w:rPr>
              <w:t xml:space="preserve"> Stage IV (metastatic) non-small cell lung cancer (NSCLC)</w:t>
            </w:r>
          </w:p>
        </w:tc>
      </w:tr>
      <w:tr w:rsidR="008C7E0B" w:rsidRPr="0087043D" w:rsidTr="00316FE3">
        <w:tc>
          <w:tcPr>
            <w:tcW w:w="553" w:type="pct"/>
            <w:tcBorders>
              <w:top w:val="single" w:sz="4" w:space="0" w:color="auto"/>
              <w:left w:val="single" w:sz="4" w:space="0" w:color="auto"/>
              <w:bottom w:val="single" w:sz="4" w:space="0" w:color="auto"/>
              <w:right w:val="single" w:sz="4" w:space="0" w:color="auto"/>
            </w:tcBorders>
            <w:vAlign w:val="center"/>
            <w:hideMark/>
          </w:tcPr>
          <w:p w:rsidR="008C7E0B" w:rsidRPr="0087043D" w:rsidRDefault="008C7E0B" w:rsidP="008C7E0B">
            <w:pPr>
              <w:jc w:val="center"/>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vAlign w:val="center"/>
            <w:hideMark/>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 xml:space="preserve">Treatment Phase: </w:t>
            </w:r>
            <w:r w:rsidRPr="0087043D">
              <w:rPr>
                <w:rFonts w:ascii="Arial Narrow" w:hAnsi="Arial Narrow"/>
                <w:bCs/>
                <w:color w:val="000000" w:themeColor="text1"/>
                <w:sz w:val="18"/>
                <w:szCs w:val="18"/>
              </w:rPr>
              <w:t>Grandfather treatment (treatment of a patient commenced on non-PBS subsidised combination treatment as first-line drug therapy)</w:t>
            </w:r>
          </w:p>
        </w:tc>
      </w:tr>
      <w:tr w:rsidR="008C7E0B" w:rsidRPr="0087043D" w:rsidTr="00742D2E">
        <w:tc>
          <w:tcPr>
            <w:tcW w:w="553" w:type="pct"/>
            <w:vMerge w:val="restart"/>
            <w:tcBorders>
              <w:top w:val="single" w:sz="4" w:space="0" w:color="auto"/>
              <w:left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vAlign w:val="center"/>
            <w:hideMark/>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Clinical criteria:</w:t>
            </w:r>
          </w:p>
        </w:tc>
      </w:tr>
      <w:tr w:rsidR="008C7E0B" w:rsidRPr="0087043D" w:rsidTr="00742D2E">
        <w:tc>
          <w:tcPr>
            <w:tcW w:w="553" w:type="pct"/>
            <w:vMerge/>
            <w:tcBorders>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vAlign w:val="center"/>
            <w:hideMark/>
          </w:tcPr>
          <w:p w:rsidR="008C7E0B" w:rsidRPr="0087043D" w:rsidRDefault="008C7E0B" w:rsidP="00F53FDF">
            <w:pPr>
              <w:rPr>
                <w:rFonts w:ascii="Arial Narrow" w:hAnsi="Arial Narrow"/>
                <w:bCs/>
                <w:color w:val="000000" w:themeColor="text1"/>
                <w:sz w:val="18"/>
                <w:szCs w:val="18"/>
              </w:rPr>
            </w:pPr>
            <w:r w:rsidRPr="0087043D">
              <w:rPr>
                <w:rFonts w:ascii="Arial Narrow" w:hAnsi="Arial Narrow"/>
                <w:bCs/>
                <w:color w:val="000000" w:themeColor="text1"/>
                <w:sz w:val="18"/>
                <w:szCs w:val="18"/>
              </w:rPr>
              <w:t>Patient must have received non-PBS subsidised treatment with this drug as first-line drug therapy for this</w:t>
            </w:r>
            <w:r w:rsidR="00F53FDF" w:rsidRPr="0087043D">
              <w:rPr>
                <w:rFonts w:ascii="Arial Narrow" w:hAnsi="Arial Narrow"/>
                <w:bCs/>
                <w:color w:val="000000" w:themeColor="text1"/>
                <w:sz w:val="18"/>
                <w:szCs w:val="18"/>
              </w:rPr>
              <w:t xml:space="preserve"> </w:t>
            </w:r>
            <w:r w:rsidRPr="0087043D">
              <w:rPr>
                <w:rFonts w:ascii="Arial Narrow" w:hAnsi="Arial Narrow"/>
                <w:bCs/>
                <w:color w:val="000000" w:themeColor="text1"/>
                <w:sz w:val="18"/>
                <w:szCs w:val="18"/>
              </w:rPr>
              <w:t>PBS indication prior to [PBS listing date]</w:t>
            </w:r>
          </w:p>
        </w:tc>
      </w:tr>
      <w:tr w:rsidR="00C32F4F" w:rsidRPr="0087043D" w:rsidTr="00316FE3">
        <w:tc>
          <w:tcPr>
            <w:tcW w:w="553" w:type="pct"/>
            <w:tcBorders>
              <w:top w:val="single" w:sz="4" w:space="0" w:color="auto"/>
              <w:left w:val="single" w:sz="4" w:space="0" w:color="auto"/>
              <w:bottom w:val="single" w:sz="4" w:space="0" w:color="auto"/>
              <w:right w:val="single" w:sz="4" w:space="0" w:color="auto"/>
            </w:tcBorders>
            <w:vAlign w:val="center"/>
          </w:tcPr>
          <w:p w:rsidR="00C32F4F" w:rsidRPr="0087043D" w:rsidRDefault="00C32F4F" w:rsidP="00C32F4F">
            <w:pPr>
              <w:jc w:val="center"/>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vAlign w:val="center"/>
          </w:tcPr>
          <w:p w:rsidR="00C32F4F" w:rsidRPr="0087043D" w:rsidRDefault="00C32F4F" w:rsidP="00C32F4F">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AND</w:t>
            </w:r>
          </w:p>
        </w:tc>
      </w:tr>
      <w:tr w:rsidR="00C32F4F" w:rsidRPr="0087043D" w:rsidTr="00316FE3">
        <w:tc>
          <w:tcPr>
            <w:tcW w:w="553" w:type="pct"/>
            <w:vAlign w:val="center"/>
          </w:tcPr>
          <w:p w:rsidR="00C32F4F" w:rsidRPr="0087043D" w:rsidRDefault="00C32F4F" w:rsidP="00C32F4F">
            <w:pPr>
              <w:jc w:val="center"/>
              <w:rPr>
                <w:rFonts w:ascii="Arial Narrow" w:hAnsi="Arial Narrow"/>
                <w:color w:val="333333"/>
                <w:sz w:val="18"/>
                <w:szCs w:val="18"/>
              </w:rPr>
            </w:pPr>
          </w:p>
        </w:tc>
        <w:tc>
          <w:tcPr>
            <w:tcW w:w="4447" w:type="pct"/>
            <w:vAlign w:val="center"/>
          </w:tcPr>
          <w:p w:rsidR="00C32F4F" w:rsidRPr="0087043D" w:rsidRDefault="00C32F4F" w:rsidP="00C32F4F">
            <w:pPr>
              <w:rPr>
                <w:rFonts w:ascii="Arial Narrow" w:hAnsi="Arial Narrow"/>
                <w:bCs/>
                <w:color w:val="333333"/>
                <w:sz w:val="18"/>
                <w:szCs w:val="18"/>
              </w:rPr>
            </w:pPr>
            <w:r w:rsidRPr="0087043D">
              <w:rPr>
                <w:rFonts w:ascii="Arial Narrow" w:hAnsi="Arial Narrow"/>
                <w:bCs/>
                <w:color w:val="333333"/>
                <w:sz w:val="18"/>
                <w:szCs w:val="18"/>
              </w:rPr>
              <w:t xml:space="preserve">The condition must be squamous type non-small cell lung cancer </w:t>
            </w:r>
          </w:p>
        </w:tc>
      </w:tr>
      <w:tr w:rsidR="008C7E0B" w:rsidRPr="0087043D" w:rsidTr="00316FE3">
        <w:tc>
          <w:tcPr>
            <w:tcW w:w="553"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AND</w:t>
            </w:r>
          </w:p>
        </w:tc>
      </w:tr>
      <w:tr w:rsidR="008C7E0B" w:rsidRPr="0087043D" w:rsidTr="00316FE3">
        <w:tc>
          <w:tcPr>
            <w:tcW w:w="553"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rPr>
                <w:rFonts w:ascii="Arial Narrow" w:hAnsi="Arial Narrow"/>
                <w:bCs/>
                <w:color w:val="000000" w:themeColor="text1"/>
                <w:sz w:val="18"/>
                <w:szCs w:val="18"/>
              </w:rPr>
            </w:pPr>
            <w:r w:rsidRPr="0087043D">
              <w:rPr>
                <w:rFonts w:ascii="Arial Narrow" w:hAnsi="Arial Narrow"/>
                <w:bCs/>
                <w:color w:val="000000" w:themeColor="text1"/>
                <w:sz w:val="18"/>
                <w:szCs w:val="18"/>
              </w:rPr>
              <w:t>Patient must not have developed disease progression while receiving treatment with this drug for this condition</w:t>
            </w:r>
          </w:p>
        </w:tc>
      </w:tr>
      <w:tr w:rsidR="008C7E0B" w:rsidRPr="0087043D" w:rsidTr="00316FE3">
        <w:tc>
          <w:tcPr>
            <w:tcW w:w="553"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AND</w:t>
            </w:r>
          </w:p>
        </w:tc>
      </w:tr>
      <w:tr w:rsidR="008C7E0B" w:rsidRPr="0087043D" w:rsidTr="00316FE3">
        <w:tc>
          <w:tcPr>
            <w:tcW w:w="553"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i/>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rPr>
                <w:rFonts w:ascii="Arial Narrow" w:hAnsi="Arial Narrow"/>
                <w:bCs/>
                <w:color w:val="000000" w:themeColor="text1"/>
                <w:sz w:val="18"/>
                <w:szCs w:val="18"/>
              </w:rPr>
            </w:pPr>
            <w:r w:rsidRPr="0087043D">
              <w:rPr>
                <w:rFonts w:ascii="Arial Narrow" w:hAnsi="Arial Narrow"/>
                <w:bCs/>
                <w:color w:val="000000" w:themeColor="text1"/>
                <w:sz w:val="18"/>
                <w:szCs w:val="18"/>
              </w:rPr>
              <w:t>Patient must have a WHO performance status of 0 or 1 prior to initiation of non-PBS-subsidised treatment with this drug for this condition</w:t>
            </w:r>
          </w:p>
        </w:tc>
      </w:tr>
      <w:tr w:rsidR="008C7E0B" w:rsidRPr="0087043D" w:rsidTr="00316FE3">
        <w:tc>
          <w:tcPr>
            <w:tcW w:w="553"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AND</w:t>
            </w:r>
          </w:p>
        </w:tc>
      </w:tr>
      <w:tr w:rsidR="008C7E0B" w:rsidRPr="0087043D" w:rsidTr="00316FE3">
        <w:tc>
          <w:tcPr>
            <w:tcW w:w="553"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i/>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rPr>
                <w:rFonts w:ascii="Arial Narrow" w:hAnsi="Arial Narrow"/>
                <w:bCs/>
                <w:color w:val="000000" w:themeColor="text1"/>
                <w:sz w:val="18"/>
                <w:szCs w:val="18"/>
              </w:rPr>
            </w:pPr>
            <w:r w:rsidRPr="0087043D">
              <w:rPr>
                <w:rFonts w:ascii="Arial Narrow" w:hAnsi="Arial Narrow"/>
                <w:bCs/>
                <w:color w:val="000000" w:themeColor="text1"/>
                <w:sz w:val="18"/>
                <w:szCs w:val="18"/>
              </w:rPr>
              <w:t>The condition must not have evidence of an activating epidermal growth factor receptor (EGFR) gene or an anaplastic lymphoma kinase (ALK) gene rearrangement</w:t>
            </w:r>
            <w:r w:rsidR="00BF7BE9" w:rsidRPr="0087043D">
              <w:rPr>
                <w:rFonts w:ascii="Arial Narrow" w:hAnsi="Arial Narrow"/>
                <w:bCs/>
                <w:color w:val="000000" w:themeColor="text1"/>
                <w:sz w:val="18"/>
                <w:szCs w:val="18"/>
              </w:rPr>
              <w:t xml:space="preserve"> or a c-ROS proto-oncogene 1 (ROS1) gene arrangement</w:t>
            </w:r>
            <w:r w:rsidRPr="0087043D">
              <w:rPr>
                <w:rFonts w:ascii="Arial Narrow" w:hAnsi="Arial Narrow"/>
                <w:bCs/>
                <w:color w:val="000000" w:themeColor="text1"/>
                <w:sz w:val="18"/>
                <w:szCs w:val="18"/>
              </w:rPr>
              <w:t xml:space="preserve"> in tumour material</w:t>
            </w:r>
          </w:p>
        </w:tc>
      </w:tr>
      <w:tr w:rsidR="008C7E0B" w:rsidRPr="0087043D" w:rsidTr="00316FE3">
        <w:tc>
          <w:tcPr>
            <w:tcW w:w="553"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AND</w:t>
            </w:r>
          </w:p>
        </w:tc>
      </w:tr>
      <w:tr w:rsidR="008C7E0B" w:rsidRPr="0087043D" w:rsidTr="00316FE3">
        <w:tc>
          <w:tcPr>
            <w:tcW w:w="553"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i/>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rPr>
                <w:rFonts w:ascii="Arial Narrow" w:hAnsi="Arial Narrow"/>
                <w:bCs/>
                <w:color w:val="000000" w:themeColor="text1"/>
                <w:sz w:val="18"/>
                <w:szCs w:val="18"/>
              </w:rPr>
            </w:pPr>
            <w:r w:rsidRPr="0087043D">
              <w:rPr>
                <w:rFonts w:ascii="Arial Narrow" w:hAnsi="Arial Narrow"/>
                <w:bCs/>
                <w:color w:val="000000" w:themeColor="text1"/>
                <w:sz w:val="18"/>
                <w:szCs w:val="18"/>
              </w:rPr>
              <w:t>Patient must not have received treatment with a programmed cell death-1 (PD-1) inhibitor or a programmed cell death ligand-1 (PD-L1) inhibitor for non-small cell lung cancer prior to initiating treatment with this drug for this PBS indication</w:t>
            </w:r>
          </w:p>
        </w:tc>
      </w:tr>
      <w:tr w:rsidR="008C7E0B" w:rsidRPr="0087043D" w:rsidTr="00316FE3">
        <w:tc>
          <w:tcPr>
            <w:tcW w:w="553"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AND</w:t>
            </w:r>
          </w:p>
        </w:tc>
      </w:tr>
      <w:tr w:rsidR="008C7E0B" w:rsidRPr="0087043D" w:rsidTr="00316FE3">
        <w:tc>
          <w:tcPr>
            <w:tcW w:w="553"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F53FDF">
            <w:pPr>
              <w:rPr>
                <w:rFonts w:ascii="Arial Narrow" w:hAnsi="Arial Narrow"/>
                <w:bCs/>
                <w:color w:val="000000" w:themeColor="text1"/>
                <w:sz w:val="18"/>
                <w:szCs w:val="18"/>
              </w:rPr>
            </w:pPr>
            <w:r w:rsidRPr="0087043D">
              <w:rPr>
                <w:rFonts w:ascii="Arial Narrow" w:hAnsi="Arial Narrow"/>
                <w:bCs/>
                <w:color w:val="000000" w:themeColor="text1"/>
                <w:sz w:val="18"/>
                <w:szCs w:val="18"/>
              </w:rPr>
              <w:t>Patient must not have been treated for this condition in the metastatic setting, prior to initiating non-PBS subsidised treatment with this drug for this condition.</w:t>
            </w:r>
          </w:p>
        </w:tc>
      </w:tr>
      <w:tr w:rsidR="008C7E0B" w:rsidRPr="0087043D" w:rsidTr="00742D2E">
        <w:tc>
          <w:tcPr>
            <w:tcW w:w="553"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vAlign w:val="center"/>
            <w:hideMark/>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AND</w:t>
            </w:r>
          </w:p>
        </w:tc>
      </w:tr>
      <w:tr w:rsidR="008C7E0B" w:rsidRPr="0087043D" w:rsidTr="00316FE3">
        <w:tc>
          <w:tcPr>
            <w:tcW w:w="553"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F53FDF">
            <w:pPr>
              <w:rPr>
                <w:rFonts w:ascii="Arial Narrow" w:hAnsi="Arial Narrow"/>
                <w:bCs/>
                <w:color w:val="000000" w:themeColor="text1"/>
                <w:sz w:val="18"/>
                <w:szCs w:val="18"/>
              </w:rPr>
            </w:pPr>
            <w:r w:rsidRPr="0087043D">
              <w:rPr>
                <w:rFonts w:ascii="Arial Narrow" w:hAnsi="Arial Narrow"/>
                <w:bCs/>
                <w:color w:val="000000" w:themeColor="text1"/>
                <w:sz w:val="18"/>
                <w:szCs w:val="18"/>
              </w:rPr>
              <w:t>The treatment must not exceed 24 months in total, measured from the initial dose, or, must not extend beyond disease progression, whichever comes first</w:t>
            </w:r>
          </w:p>
        </w:tc>
      </w:tr>
      <w:tr w:rsidR="00EB32D9" w:rsidRPr="0087043D" w:rsidTr="00316FE3">
        <w:trPr>
          <w:trHeight w:val="106"/>
        </w:trPr>
        <w:tc>
          <w:tcPr>
            <w:tcW w:w="553" w:type="pct"/>
            <w:vAlign w:val="center"/>
          </w:tcPr>
          <w:p w:rsidR="00EB32D9" w:rsidRPr="0087043D" w:rsidRDefault="00EB32D9" w:rsidP="00EB32D9">
            <w:pPr>
              <w:rPr>
                <w:rFonts w:ascii="Arial Narrow" w:hAnsi="Arial Narrow"/>
                <w:color w:val="000000" w:themeColor="text1"/>
                <w:sz w:val="18"/>
                <w:szCs w:val="18"/>
              </w:rPr>
            </w:pPr>
          </w:p>
        </w:tc>
        <w:tc>
          <w:tcPr>
            <w:tcW w:w="4447" w:type="pct"/>
            <w:vAlign w:val="center"/>
          </w:tcPr>
          <w:p w:rsidR="00EB32D9" w:rsidRPr="0087043D" w:rsidRDefault="00EB32D9" w:rsidP="00A17739">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AND</w:t>
            </w:r>
          </w:p>
        </w:tc>
      </w:tr>
      <w:tr w:rsidR="00EB32D9" w:rsidRPr="0087043D" w:rsidTr="00316FE3">
        <w:trPr>
          <w:trHeight w:val="294"/>
        </w:trPr>
        <w:tc>
          <w:tcPr>
            <w:tcW w:w="553" w:type="pct"/>
            <w:vAlign w:val="center"/>
          </w:tcPr>
          <w:p w:rsidR="00EB32D9" w:rsidRPr="0087043D" w:rsidRDefault="00EB32D9" w:rsidP="008C7E0B">
            <w:pPr>
              <w:jc w:val="center"/>
              <w:rPr>
                <w:rFonts w:ascii="Arial Narrow" w:hAnsi="Arial Narrow"/>
                <w:color w:val="000000" w:themeColor="text1"/>
                <w:sz w:val="18"/>
                <w:szCs w:val="18"/>
              </w:rPr>
            </w:pPr>
          </w:p>
        </w:tc>
        <w:tc>
          <w:tcPr>
            <w:tcW w:w="4447" w:type="pct"/>
            <w:vAlign w:val="center"/>
          </w:tcPr>
          <w:p w:rsidR="00EB32D9" w:rsidRPr="0087043D" w:rsidRDefault="00EB32D9" w:rsidP="00EB32D9">
            <w:pPr>
              <w:rPr>
                <w:rFonts w:ascii="Arial Narrow" w:hAnsi="Arial Narrow"/>
                <w:bCs/>
                <w:color w:val="000000" w:themeColor="text1"/>
                <w:sz w:val="18"/>
                <w:szCs w:val="18"/>
              </w:rPr>
            </w:pPr>
            <w:r w:rsidRPr="0087043D">
              <w:rPr>
                <w:rFonts w:ascii="Arial Narrow" w:hAnsi="Arial Narrow"/>
                <w:bCs/>
                <w:color w:val="000000" w:themeColor="text1"/>
                <w:sz w:val="18"/>
                <w:szCs w:val="18"/>
              </w:rPr>
              <w:t>The treatment must have been in combination with platinum-based chemotherapy for the first two cycles</w:t>
            </w:r>
          </w:p>
        </w:tc>
      </w:tr>
      <w:tr w:rsidR="00A17739" w:rsidRPr="0087043D" w:rsidTr="00742D2E">
        <w:trPr>
          <w:trHeight w:val="620"/>
        </w:trPr>
        <w:tc>
          <w:tcPr>
            <w:tcW w:w="553" w:type="pct"/>
            <w:vAlign w:val="center"/>
          </w:tcPr>
          <w:p w:rsidR="00A17739" w:rsidRPr="0087043D" w:rsidRDefault="00A17739" w:rsidP="008C7E0B">
            <w:pPr>
              <w:jc w:val="center"/>
              <w:rPr>
                <w:rFonts w:ascii="Arial Narrow" w:hAnsi="Arial Narrow"/>
                <w:color w:val="000000" w:themeColor="text1"/>
                <w:sz w:val="18"/>
                <w:szCs w:val="18"/>
              </w:rPr>
            </w:pPr>
          </w:p>
        </w:tc>
        <w:tc>
          <w:tcPr>
            <w:tcW w:w="4447" w:type="pct"/>
            <w:vAlign w:val="center"/>
            <w:hideMark/>
          </w:tcPr>
          <w:p w:rsidR="00A17739" w:rsidRPr="0087043D" w:rsidRDefault="00A17739" w:rsidP="00A17739">
            <w:pPr>
              <w:rPr>
                <w:rFonts w:ascii="Arial Narrow" w:hAnsi="Arial Narrow"/>
                <w:b/>
                <w:bCs/>
                <w:color w:val="000000" w:themeColor="text1"/>
                <w:sz w:val="18"/>
                <w:szCs w:val="18"/>
              </w:rPr>
            </w:pPr>
            <w:r w:rsidRPr="0087043D">
              <w:rPr>
                <w:rFonts w:ascii="Arial Narrow" w:hAnsi="Arial Narrow"/>
                <w:bCs/>
                <w:color w:val="000000" w:themeColor="text1"/>
                <w:sz w:val="18"/>
                <w:szCs w:val="18"/>
              </w:rPr>
              <w:t>The treatment must be in combination with ipilimumab.</w:t>
            </w:r>
          </w:p>
        </w:tc>
      </w:tr>
    </w:tbl>
    <w:p w:rsidR="008C7E0B" w:rsidRPr="0087043D" w:rsidRDefault="008C7E0B" w:rsidP="008C7E0B">
      <w:pPr>
        <w:rPr>
          <w:b/>
          <w:u w:val="single"/>
        </w:rPr>
      </w:pPr>
    </w:p>
    <w:p w:rsidR="008C7E0B" w:rsidRPr="0087043D" w:rsidRDefault="008C7E0B" w:rsidP="00316FE3">
      <w:pPr>
        <w:pStyle w:val="3-BodyText"/>
        <w:keepNext/>
        <w:jc w:val="left"/>
        <w:rPr>
          <w:b/>
          <w:caps/>
          <w:sz w:val="32"/>
        </w:rPr>
      </w:pPr>
      <w:r w:rsidRPr="0087043D">
        <w:rPr>
          <w:rFonts w:cstheme="minorHAnsi"/>
        </w:rPr>
        <w:t xml:space="preserve">Add new indication to </w:t>
      </w:r>
      <w:r w:rsidR="00A17739" w:rsidRPr="0087043D">
        <w:rPr>
          <w:rFonts w:cstheme="minorHAnsi"/>
        </w:rPr>
        <w:t xml:space="preserve">ipilimumab </w:t>
      </w:r>
      <w:r w:rsidRPr="0087043D">
        <w:rPr>
          <w:rFonts w:cstheme="minorHAnsi"/>
        </w:rPr>
        <w:t>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1"/>
        <w:gridCol w:w="1145"/>
        <w:gridCol w:w="1003"/>
        <w:gridCol w:w="858"/>
        <w:gridCol w:w="2150"/>
      </w:tblGrid>
      <w:tr w:rsidR="008C7E0B" w:rsidRPr="0087043D" w:rsidTr="00316FE3">
        <w:trPr>
          <w:cantSplit/>
          <w:trHeight w:val="471"/>
        </w:trPr>
        <w:tc>
          <w:tcPr>
            <w:tcW w:w="2141"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keepNext/>
              <w:ind w:left="-108"/>
              <w:rPr>
                <w:rFonts w:ascii="Arial Narrow" w:hAnsi="Arial Narrow"/>
                <w:b/>
                <w:sz w:val="18"/>
                <w:szCs w:val="18"/>
              </w:rPr>
            </w:pPr>
            <w:r w:rsidRPr="0087043D">
              <w:rPr>
                <w:rFonts w:ascii="Arial Narrow" w:hAnsi="Arial Narrow"/>
                <w:b/>
                <w:sz w:val="18"/>
                <w:szCs w:val="18"/>
              </w:rPr>
              <w:t>Name, Restriction,</w:t>
            </w:r>
          </w:p>
          <w:p w:rsidR="008C7E0B" w:rsidRPr="0087043D" w:rsidRDefault="008C7E0B" w:rsidP="008C7E0B">
            <w:pPr>
              <w:keepNext/>
              <w:ind w:left="-108"/>
              <w:rPr>
                <w:rFonts w:ascii="Arial Narrow" w:hAnsi="Arial Narrow"/>
                <w:b/>
                <w:sz w:val="18"/>
                <w:szCs w:val="18"/>
              </w:rPr>
            </w:pPr>
            <w:r w:rsidRPr="0087043D">
              <w:rPr>
                <w:rFonts w:ascii="Arial Narrow" w:hAnsi="Arial Narrow"/>
                <w:b/>
                <w:sz w:val="18"/>
                <w:szCs w:val="18"/>
              </w:rPr>
              <w:t>Manner of administration and form</w:t>
            </w:r>
          </w:p>
        </w:tc>
        <w:tc>
          <w:tcPr>
            <w:tcW w:w="635"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keepNext/>
              <w:ind w:left="-108"/>
              <w:jc w:val="center"/>
              <w:rPr>
                <w:rFonts w:ascii="Arial Narrow" w:hAnsi="Arial Narrow"/>
                <w:b/>
                <w:sz w:val="18"/>
                <w:szCs w:val="18"/>
              </w:rPr>
            </w:pPr>
            <w:r w:rsidRPr="0087043D">
              <w:rPr>
                <w:rFonts w:ascii="Arial Narrow" w:hAnsi="Arial Narrow"/>
                <w:b/>
                <w:sz w:val="18"/>
                <w:szCs w:val="18"/>
              </w:rPr>
              <w:t>PBS item code</w:t>
            </w:r>
          </w:p>
        </w:tc>
        <w:tc>
          <w:tcPr>
            <w:tcW w:w="556"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keepNext/>
              <w:ind w:left="-108"/>
              <w:jc w:val="center"/>
              <w:rPr>
                <w:rFonts w:ascii="Arial Narrow" w:hAnsi="Arial Narrow"/>
                <w:b/>
                <w:sz w:val="18"/>
                <w:szCs w:val="18"/>
              </w:rPr>
            </w:pPr>
            <w:r w:rsidRPr="0087043D">
              <w:rPr>
                <w:rFonts w:ascii="Arial Narrow" w:hAnsi="Arial Narrow"/>
                <w:b/>
                <w:sz w:val="18"/>
                <w:szCs w:val="18"/>
              </w:rPr>
              <w:t>Max.</w:t>
            </w:r>
          </w:p>
          <w:p w:rsidR="008C7E0B" w:rsidRPr="0087043D" w:rsidRDefault="008C7E0B" w:rsidP="008C7E0B">
            <w:pPr>
              <w:keepNext/>
              <w:ind w:left="-108"/>
              <w:jc w:val="center"/>
              <w:rPr>
                <w:rFonts w:ascii="Arial Narrow" w:hAnsi="Arial Narrow"/>
                <w:b/>
                <w:sz w:val="18"/>
                <w:szCs w:val="18"/>
              </w:rPr>
            </w:pPr>
            <w:r w:rsidRPr="0087043D">
              <w:rPr>
                <w:rFonts w:ascii="Arial Narrow" w:hAnsi="Arial Narrow"/>
                <w:b/>
                <w:sz w:val="18"/>
                <w:szCs w:val="18"/>
              </w:rPr>
              <w:t>Amount</w:t>
            </w:r>
          </w:p>
        </w:tc>
        <w:tc>
          <w:tcPr>
            <w:tcW w:w="476"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keepNext/>
              <w:ind w:left="-108"/>
              <w:jc w:val="center"/>
              <w:rPr>
                <w:rFonts w:ascii="Arial Narrow" w:hAnsi="Arial Narrow"/>
                <w:b/>
                <w:sz w:val="18"/>
                <w:szCs w:val="18"/>
              </w:rPr>
            </w:pPr>
            <w:r w:rsidRPr="0087043D">
              <w:rPr>
                <w:rFonts w:ascii="Arial Narrow" w:hAnsi="Arial Narrow"/>
                <w:b/>
                <w:sz w:val="18"/>
                <w:szCs w:val="18"/>
              </w:rPr>
              <w:t>№.of</w:t>
            </w:r>
          </w:p>
          <w:p w:rsidR="008C7E0B" w:rsidRPr="0087043D" w:rsidRDefault="008C7E0B" w:rsidP="008C7E0B">
            <w:pPr>
              <w:keepNext/>
              <w:ind w:left="-108"/>
              <w:jc w:val="center"/>
              <w:rPr>
                <w:rFonts w:ascii="Arial Narrow" w:hAnsi="Arial Narrow"/>
                <w:b/>
                <w:sz w:val="18"/>
                <w:szCs w:val="18"/>
              </w:rPr>
            </w:pPr>
            <w:proofErr w:type="spellStart"/>
            <w:r w:rsidRPr="0087043D">
              <w:rPr>
                <w:rFonts w:ascii="Arial Narrow" w:hAnsi="Arial Narrow"/>
                <w:b/>
                <w:sz w:val="18"/>
                <w:szCs w:val="18"/>
              </w:rPr>
              <w:t>Rpts</w:t>
            </w:r>
            <w:proofErr w:type="spellEnd"/>
          </w:p>
        </w:tc>
        <w:tc>
          <w:tcPr>
            <w:tcW w:w="1191"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keepNext/>
              <w:rPr>
                <w:rFonts w:ascii="Arial Narrow" w:hAnsi="Arial Narrow"/>
                <w:b/>
                <w:sz w:val="18"/>
                <w:szCs w:val="18"/>
              </w:rPr>
            </w:pPr>
            <w:r w:rsidRPr="0087043D">
              <w:rPr>
                <w:rFonts w:ascii="Arial Narrow" w:hAnsi="Arial Narrow"/>
                <w:b/>
                <w:sz w:val="18"/>
                <w:szCs w:val="18"/>
              </w:rPr>
              <w:t>Manufacturer</w:t>
            </w:r>
          </w:p>
        </w:tc>
      </w:tr>
      <w:tr w:rsidR="008C7E0B" w:rsidRPr="0087043D" w:rsidTr="00316FE3">
        <w:trPr>
          <w:cantSplit/>
          <w:trHeight w:val="471"/>
        </w:trPr>
        <w:tc>
          <w:tcPr>
            <w:tcW w:w="2141"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keepNext/>
              <w:ind w:left="-108"/>
              <w:rPr>
                <w:rFonts w:ascii="Arial Narrow" w:hAnsi="Arial Narrow"/>
                <w:sz w:val="18"/>
                <w:szCs w:val="18"/>
              </w:rPr>
            </w:pPr>
            <w:r w:rsidRPr="0087043D">
              <w:rPr>
                <w:rFonts w:ascii="Arial Narrow" w:hAnsi="Arial Narrow"/>
                <w:sz w:val="18"/>
                <w:szCs w:val="18"/>
              </w:rPr>
              <w:t>IPILIMUMAB</w:t>
            </w:r>
          </w:p>
          <w:p w:rsidR="008C7E0B" w:rsidRPr="0087043D" w:rsidRDefault="008C7E0B" w:rsidP="008C7E0B">
            <w:pPr>
              <w:keepNext/>
              <w:ind w:left="-108"/>
              <w:rPr>
                <w:rFonts w:ascii="Arial Narrow" w:hAnsi="Arial Narrow"/>
                <w:sz w:val="18"/>
                <w:szCs w:val="18"/>
              </w:rPr>
            </w:pPr>
            <w:r w:rsidRPr="0087043D">
              <w:rPr>
                <w:rFonts w:ascii="Arial Narrow" w:hAnsi="Arial Narrow"/>
                <w:sz w:val="18"/>
                <w:szCs w:val="18"/>
              </w:rPr>
              <w:t>Injection</w:t>
            </w:r>
          </w:p>
          <w:p w:rsidR="008C7E0B" w:rsidRPr="0087043D" w:rsidRDefault="008C7E0B" w:rsidP="008C7E0B">
            <w:pPr>
              <w:keepNext/>
              <w:ind w:left="-108"/>
              <w:rPr>
                <w:rFonts w:ascii="Arial Narrow" w:hAnsi="Arial Narrow"/>
                <w:b/>
                <w:sz w:val="18"/>
                <w:szCs w:val="18"/>
              </w:rPr>
            </w:pPr>
          </w:p>
        </w:tc>
        <w:tc>
          <w:tcPr>
            <w:tcW w:w="635"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keepNext/>
              <w:ind w:left="-108"/>
              <w:jc w:val="center"/>
              <w:rPr>
                <w:rFonts w:ascii="Arial Narrow" w:hAnsi="Arial Narrow"/>
                <w:sz w:val="18"/>
                <w:szCs w:val="18"/>
              </w:rPr>
            </w:pPr>
            <w:r w:rsidRPr="0087043D">
              <w:rPr>
                <w:rFonts w:ascii="Arial Narrow" w:hAnsi="Arial Narrow"/>
                <w:sz w:val="18"/>
                <w:szCs w:val="18"/>
              </w:rPr>
              <w:t>NEW (Public)</w:t>
            </w:r>
          </w:p>
          <w:p w:rsidR="008C7E0B" w:rsidRPr="0087043D" w:rsidRDefault="008C7E0B" w:rsidP="008C7E0B">
            <w:pPr>
              <w:keepNext/>
              <w:ind w:left="-108"/>
              <w:jc w:val="center"/>
              <w:rPr>
                <w:rFonts w:ascii="Arial Narrow" w:hAnsi="Arial Narrow"/>
                <w:sz w:val="18"/>
                <w:szCs w:val="18"/>
              </w:rPr>
            </w:pPr>
            <w:r w:rsidRPr="0087043D">
              <w:rPr>
                <w:rFonts w:ascii="Arial Narrow" w:hAnsi="Arial Narrow"/>
                <w:sz w:val="18"/>
                <w:szCs w:val="18"/>
              </w:rPr>
              <w:t>NEW (Private)</w:t>
            </w:r>
          </w:p>
        </w:tc>
        <w:tc>
          <w:tcPr>
            <w:tcW w:w="556"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keepNext/>
              <w:ind w:left="-108"/>
              <w:jc w:val="center"/>
              <w:rPr>
                <w:rFonts w:ascii="Arial Narrow" w:hAnsi="Arial Narrow"/>
                <w:sz w:val="18"/>
                <w:szCs w:val="18"/>
              </w:rPr>
            </w:pPr>
            <w:r w:rsidRPr="0087043D">
              <w:rPr>
                <w:rFonts w:ascii="Arial Narrow" w:hAnsi="Arial Narrow"/>
                <w:sz w:val="18"/>
                <w:szCs w:val="18"/>
              </w:rPr>
              <w:t>120 mg</w:t>
            </w:r>
          </w:p>
        </w:tc>
        <w:tc>
          <w:tcPr>
            <w:tcW w:w="476"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keepNext/>
              <w:ind w:left="-108"/>
              <w:jc w:val="center"/>
              <w:rPr>
                <w:rFonts w:ascii="Arial Narrow" w:hAnsi="Arial Narrow"/>
                <w:sz w:val="18"/>
                <w:szCs w:val="18"/>
              </w:rPr>
            </w:pPr>
            <w:r w:rsidRPr="0087043D">
              <w:rPr>
                <w:rFonts w:ascii="Arial Narrow" w:hAnsi="Arial Narrow"/>
                <w:sz w:val="18"/>
                <w:szCs w:val="18"/>
              </w:rPr>
              <w:t>4</w:t>
            </w:r>
          </w:p>
        </w:tc>
        <w:tc>
          <w:tcPr>
            <w:tcW w:w="1191"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keepNext/>
              <w:rPr>
                <w:rFonts w:ascii="Arial Narrow" w:hAnsi="Arial Narrow"/>
                <w:sz w:val="18"/>
                <w:szCs w:val="18"/>
              </w:rPr>
            </w:pPr>
            <w:r w:rsidRPr="0087043D">
              <w:rPr>
                <w:rFonts w:ascii="Arial Narrow" w:hAnsi="Arial Narrow"/>
                <w:sz w:val="18"/>
                <w:szCs w:val="18"/>
              </w:rPr>
              <w:t>Bristol-Myers Squibb Australia Pty Ltd</w:t>
            </w:r>
          </w:p>
        </w:tc>
      </w:tr>
      <w:tr w:rsidR="008C7E0B" w:rsidRPr="0087043D" w:rsidTr="00316FE3">
        <w:trPr>
          <w:cantSplit/>
          <w:trHeight w:val="360"/>
        </w:trPr>
        <w:tc>
          <w:tcPr>
            <w:tcW w:w="5000" w:type="pct"/>
            <w:gridSpan w:val="5"/>
          </w:tcPr>
          <w:p w:rsidR="008C7E0B" w:rsidRPr="0087043D" w:rsidRDefault="008C7E0B" w:rsidP="008C7E0B">
            <w:pPr>
              <w:rPr>
                <w:rFonts w:ascii="Arial Narrow" w:hAnsi="Arial Narrow"/>
                <w:b/>
                <w:color w:val="000000" w:themeColor="text1"/>
                <w:sz w:val="18"/>
                <w:szCs w:val="18"/>
              </w:rPr>
            </w:pPr>
            <w:r w:rsidRPr="0087043D">
              <w:rPr>
                <w:rFonts w:ascii="Arial Narrow" w:hAnsi="Arial Narrow"/>
                <w:b/>
                <w:color w:val="000000" w:themeColor="text1"/>
                <w:sz w:val="18"/>
                <w:szCs w:val="18"/>
              </w:rPr>
              <w:t>Available brands</w:t>
            </w:r>
          </w:p>
          <w:p w:rsidR="008C7E0B" w:rsidRPr="0087043D" w:rsidRDefault="008C7E0B" w:rsidP="008C7E0B">
            <w:pPr>
              <w:rPr>
                <w:rFonts w:ascii="Arial Narrow" w:hAnsi="Arial Narrow"/>
                <w:color w:val="000000" w:themeColor="text1"/>
                <w:sz w:val="18"/>
                <w:szCs w:val="18"/>
              </w:rPr>
            </w:pPr>
            <w:proofErr w:type="spellStart"/>
            <w:r w:rsidRPr="0087043D">
              <w:rPr>
                <w:rFonts w:ascii="Arial Narrow" w:hAnsi="Arial Narrow"/>
                <w:color w:val="000000" w:themeColor="text1"/>
                <w:sz w:val="18"/>
                <w:szCs w:val="18"/>
              </w:rPr>
              <w:t>Yervoy</w:t>
            </w:r>
            <w:proofErr w:type="spellEnd"/>
          </w:p>
          <w:p w:rsidR="008C7E0B" w:rsidRPr="0087043D" w:rsidRDefault="008C7E0B" w:rsidP="008C7E0B">
            <w:pPr>
              <w:rPr>
                <w:rFonts w:ascii="Arial Narrow" w:hAnsi="Arial Narrow"/>
                <w:color w:val="000000" w:themeColor="text1"/>
                <w:sz w:val="18"/>
                <w:szCs w:val="18"/>
              </w:rPr>
            </w:pPr>
            <w:r w:rsidRPr="0087043D">
              <w:rPr>
                <w:rFonts w:ascii="Arial Narrow" w:hAnsi="Arial Narrow"/>
                <w:color w:val="000000" w:themeColor="text1"/>
                <w:sz w:val="18"/>
                <w:szCs w:val="18"/>
              </w:rPr>
              <w:t>(ipilimumab 50 mg/10 mL injection, 10 mL vial)</w:t>
            </w:r>
          </w:p>
        </w:tc>
      </w:tr>
    </w:tbl>
    <w:p w:rsidR="008C7E0B" w:rsidRPr="0087043D" w:rsidRDefault="008C7E0B" w:rsidP="008C7E0B"/>
    <w:p w:rsidR="00AE736A" w:rsidRDefault="00AE736A">
      <w:pPr>
        <w:jc w:val="left"/>
        <w:rPr>
          <w:rFonts w:ascii="Arial Narrow" w:hAnsi="Arial Narrow"/>
          <w:b/>
          <w:sz w:val="18"/>
          <w:szCs w:val="18"/>
        </w:rPr>
      </w:pPr>
      <w:r>
        <w:rPr>
          <w:rFonts w:ascii="Arial Narrow" w:hAnsi="Arial Narrow"/>
          <w:b/>
          <w:sz w:val="18"/>
          <w:szCs w:val="18"/>
        </w:rPr>
        <w:br w:type="page"/>
      </w:r>
    </w:p>
    <w:p w:rsidR="008C7E0B" w:rsidRPr="0087043D" w:rsidRDefault="008C7E0B" w:rsidP="008C7E0B">
      <w:pPr>
        <w:rPr>
          <w:rFonts w:ascii="Arial Narrow" w:hAnsi="Arial Narrow"/>
          <w:b/>
          <w:sz w:val="18"/>
          <w:szCs w:val="18"/>
        </w:rPr>
      </w:pPr>
      <w:r w:rsidRPr="0087043D">
        <w:rPr>
          <w:rFonts w:ascii="Arial Narrow" w:hAnsi="Arial Narrow"/>
          <w:b/>
          <w:sz w:val="18"/>
          <w:szCs w:val="18"/>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7"/>
        <w:gridCol w:w="8020"/>
      </w:tblGrid>
      <w:tr w:rsidR="008C7E0B" w:rsidRPr="0087043D" w:rsidTr="00316FE3">
        <w:tc>
          <w:tcPr>
            <w:tcW w:w="553"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jc w:val="center"/>
              <w:rPr>
                <w:rFonts w:ascii="Arial Narrow" w:hAnsi="Arial Narrow"/>
                <w:b/>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rPr>
                <w:rFonts w:ascii="Arial Narrow" w:hAnsi="Arial Narrow"/>
                <w:color w:val="000000" w:themeColor="text1"/>
                <w:sz w:val="18"/>
                <w:szCs w:val="18"/>
              </w:rPr>
            </w:pPr>
            <w:r w:rsidRPr="0087043D">
              <w:rPr>
                <w:rFonts w:ascii="Arial Narrow" w:hAnsi="Arial Narrow"/>
                <w:b/>
                <w:color w:val="000000" w:themeColor="text1"/>
                <w:sz w:val="18"/>
                <w:szCs w:val="18"/>
              </w:rPr>
              <w:t>Category / Program:</w:t>
            </w:r>
            <w:r w:rsidR="00264317" w:rsidRPr="0087043D">
              <w:rPr>
                <w:rFonts w:ascii="Arial Narrow" w:hAnsi="Arial Narrow"/>
                <w:b/>
                <w:color w:val="000000" w:themeColor="text1"/>
                <w:sz w:val="18"/>
                <w:szCs w:val="18"/>
              </w:rPr>
              <w:t xml:space="preserve"> </w:t>
            </w:r>
            <w:r w:rsidRPr="0087043D">
              <w:rPr>
                <w:rFonts w:ascii="Arial Narrow" w:hAnsi="Arial Narrow"/>
                <w:b/>
                <w:color w:val="000000" w:themeColor="text1"/>
                <w:sz w:val="18"/>
                <w:szCs w:val="18"/>
              </w:rPr>
              <w:t xml:space="preserve"> </w:t>
            </w:r>
            <w:r w:rsidRPr="0087043D">
              <w:rPr>
                <w:rFonts w:ascii="Arial Narrow" w:hAnsi="Arial Narrow"/>
                <w:color w:val="000000" w:themeColor="text1"/>
                <w:sz w:val="18"/>
                <w:szCs w:val="18"/>
              </w:rPr>
              <w:t>Section 100 – Efficient Funding of Chemotherapy (Public/Private hospital)</w:t>
            </w:r>
          </w:p>
        </w:tc>
      </w:tr>
      <w:tr w:rsidR="008C7E0B" w:rsidRPr="0087043D" w:rsidTr="00316FE3">
        <w:trPr>
          <w:trHeight w:val="304"/>
        </w:trPr>
        <w:tc>
          <w:tcPr>
            <w:tcW w:w="553"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rPr>
                <w:rFonts w:ascii="Arial Narrow" w:hAnsi="Arial Narrow"/>
                <w:color w:val="000000" w:themeColor="text1"/>
                <w:sz w:val="18"/>
                <w:szCs w:val="18"/>
              </w:rPr>
            </w:pPr>
            <w:r w:rsidRPr="0087043D">
              <w:rPr>
                <w:rFonts w:ascii="Arial Narrow" w:hAnsi="Arial Narrow"/>
                <w:b/>
                <w:color w:val="000000" w:themeColor="text1"/>
                <w:sz w:val="18"/>
                <w:szCs w:val="18"/>
              </w:rPr>
              <w:t>Prescriber type:</w:t>
            </w:r>
            <w:r w:rsidR="00264317" w:rsidRPr="0087043D">
              <w:rPr>
                <w:rFonts w:ascii="Arial Narrow" w:hAnsi="Arial Narrow"/>
                <w:b/>
                <w:color w:val="000000" w:themeColor="text1"/>
                <w:sz w:val="18"/>
                <w:szCs w:val="18"/>
              </w:rPr>
              <w:t xml:space="preserve"> </w:t>
            </w:r>
            <w:r w:rsidRPr="0087043D">
              <w:rPr>
                <w:rFonts w:ascii="Arial Narrow" w:hAnsi="Arial Narrow"/>
                <w:color w:val="000000" w:themeColor="text1"/>
                <w:sz w:val="18"/>
                <w:szCs w:val="18"/>
              </w:rPr>
              <w:fldChar w:fldCharType="begin">
                <w:ffData>
                  <w:name w:val="Check1"/>
                  <w:enabled/>
                  <w:calcOnExit w:val="0"/>
                  <w:checkBox>
                    <w:sizeAuto/>
                    <w:default w:val="0"/>
                  </w:checkBox>
                </w:ffData>
              </w:fldChar>
            </w:r>
            <w:r w:rsidRPr="0087043D">
              <w:rPr>
                <w:rFonts w:ascii="Arial Narrow" w:hAnsi="Arial Narrow"/>
                <w:color w:val="000000" w:themeColor="text1"/>
                <w:sz w:val="18"/>
                <w:szCs w:val="18"/>
              </w:rPr>
              <w:instrText xml:space="preserve"> FORMCHECKBOX </w:instrText>
            </w:r>
            <w:r w:rsidR="00725666">
              <w:rPr>
                <w:rFonts w:ascii="Arial Narrow" w:hAnsi="Arial Narrow"/>
                <w:color w:val="000000" w:themeColor="text1"/>
                <w:sz w:val="18"/>
                <w:szCs w:val="18"/>
              </w:rPr>
            </w:r>
            <w:r w:rsidR="00725666">
              <w:rPr>
                <w:rFonts w:ascii="Arial Narrow" w:hAnsi="Arial Narrow"/>
                <w:color w:val="000000" w:themeColor="text1"/>
                <w:sz w:val="18"/>
                <w:szCs w:val="18"/>
              </w:rPr>
              <w:fldChar w:fldCharType="separate"/>
            </w:r>
            <w:r w:rsidRPr="0087043D">
              <w:rPr>
                <w:rFonts w:ascii="Arial Narrow" w:hAnsi="Arial Narrow"/>
                <w:color w:val="000000" w:themeColor="text1"/>
                <w:sz w:val="18"/>
                <w:szCs w:val="18"/>
              </w:rPr>
              <w:fldChar w:fldCharType="end"/>
            </w:r>
            <w:r w:rsidRPr="0087043D">
              <w:rPr>
                <w:rFonts w:ascii="Arial Narrow" w:hAnsi="Arial Narrow"/>
                <w:color w:val="000000" w:themeColor="text1"/>
                <w:sz w:val="18"/>
                <w:szCs w:val="18"/>
              </w:rPr>
              <w:t>Dental</w:t>
            </w:r>
            <w:r w:rsidR="00264317" w:rsidRPr="0087043D">
              <w:rPr>
                <w:rFonts w:ascii="Arial Narrow" w:hAnsi="Arial Narrow"/>
                <w:color w:val="000000" w:themeColor="text1"/>
                <w:sz w:val="18"/>
                <w:szCs w:val="18"/>
              </w:rPr>
              <w:t xml:space="preserve"> </w:t>
            </w:r>
            <w:r w:rsidRPr="0087043D">
              <w:rPr>
                <w:rFonts w:ascii="Arial Narrow" w:hAnsi="Arial Narrow"/>
                <w:color w:val="000000" w:themeColor="text1"/>
                <w:sz w:val="18"/>
                <w:szCs w:val="18"/>
              </w:rPr>
              <w:fldChar w:fldCharType="begin">
                <w:ffData>
                  <w:name w:val=""/>
                  <w:enabled/>
                  <w:calcOnExit w:val="0"/>
                  <w:checkBox>
                    <w:sizeAuto/>
                    <w:default w:val="1"/>
                  </w:checkBox>
                </w:ffData>
              </w:fldChar>
            </w:r>
            <w:r w:rsidRPr="0087043D">
              <w:rPr>
                <w:rFonts w:ascii="Arial Narrow" w:hAnsi="Arial Narrow"/>
                <w:color w:val="000000" w:themeColor="text1"/>
                <w:sz w:val="18"/>
                <w:szCs w:val="18"/>
              </w:rPr>
              <w:instrText xml:space="preserve"> FORMCHECKBOX </w:instrText>
            </w:r>
            <w:r w:rsidR="00725666">
              <w:rPr>
                <w:rFonts w:ascii="Arial Narrow" w:hAnsi="Arial Narrow"/>
                <w:color w:val="000000" w:themeColor="text1"/>
                <w:sz w:val="18"/>
                <w:szCs w:val="18"/>
              </w:rPr>
            </w:r>
            <w:r w:rsidR="00725666">
              <w:rPr>
                <w:rFonts w:ascii="Arial Narrow" w:hAnsi="Arial Narrow"/>
                <w:color w:val="000000" w:themeColor="text1"/>
                <w:sz w:val="18"/>
                <w:szCs w:val="18"/>
              </w:rPr>
              <w:fldChar w:fldCharType="separate"/>
            </w:r>
            <w:r w:rsidRPr="0087043D">
              <w:rPr>
                <w:rFonts w:ascii="Arial Narrow" w:hAnsi="Arial Narrow"/>
                <w:color w:val="000000" w:themeColor="text1"/>
                <w:sz w:val="18"/>
                <w:szCs w:val="18"/>
              </w:rPr>
              <w:fldChar w:fldCharType="end"/>
            </w:r>
            <w:r w:rsidRPr="0087043D">
              <w:rPr>
                <w:rFonts w:ascii="Arial Narrow" w:hAnsi="Arial Narrow"/>
                <w:color w:val="000000" w:themeColor="text1"/>
                <w:sz w:val="18"/>
                <w:szCs w:val="18"/>
              </w:rPr>
              <w:t>Medical Practitioners</w:t>
            </w:r>
            <w:r w:rsidR="00264317" w:rsidRPr="0087043D">
              <w:rPr>
                <w:rFonts w:ascii="Arial Narrow" w:hAnsi="Arial Narrow"/>
                <w:color w:val="000000" w:themeColor="text1"/>
                <w:sz w:val="18"/>
                <w:szCs w:val="18"/>
              </w:rPr>
              <w:t xml:space="preserve"> </w:t>
            </w:r>
            <w:r w:rsidRPr="0087043D">
              <w:rPr>
                <w:rFonts w:ascii="Arial Narrow" w:hAnsi="Arial Narrow"/>
                <w:color w:val="000000" w:themeColor="text1"/>
                <w:sz w:val="18"/>
                <w:szCs w:val="18"/>
              </w:rPr>
              <w:fldChar w:fldCharType="begin">
                <w:ffData>
                  <w:name w:val="Check3"/>
                  <w:enabled/>
                  <w:calcOnExit w:val="0"/>
                  <w:checkBox>
                    <w:sizeAuto/>
                    <w:default w:val="0"/>
                  </w:checkBox>
                </w:ffData>
              </w:fldChar>
            </w:r>
            <w:r w:rsidRPr="0087043D">
              <w:rPr>
                <w:rFonts w:ascii="Arial Narrow" w:hAnsi="Arial Narrow"/>
                <w:color w:val="000000" w:themeColor="text1"/>
                <w:sz w:val="18"/>
                <w:szCs w:val="18"/>
              </w:rPr>
              <w:instrText xml:space="preserve"> FORMCHECKBOX </w:instrText>
            </w:r>
            <w:r w:rsidR="00725666">
              <w:rPr>
                <w:rFonts w:ascii="Arial Narrow" w:hAnsi="Arial Narrow"/>
                <w:color w:val="000000" w:themeColor="text1"/>
                <w:sz w:val="18"/>
                <w:szCs w:val="18"/>
              </w:rPr>
            </w:r>
            <w:r w:rsidR="00725666">
              <w:rPr>
                <w:rFonts w:ascii="Arial Narrow" w:hAnsi="Arial Narrow"/>
                <w:color w:val="000000" w:themeColor="text1"/>
                <w:sz w:val="18"/>
                <w:szCs w:val="18"/>
              </w:rPr>
              <w:fldChar w:fldCharType="separate"/>
            </w:r>
            <w:r w:rsidRPr="0087043D">
              <w:rPr>
                <w:rFonts w:ascii="Arial Narrow" w:hAnsi="Arial Narrow"/>
                <w:color w:val="000000" w:themeColor="text1"/>
                <w:sz w:val="18"/>
                <w:szCs w:val="18"/>
              </w:rPr>
              <w:fldChar w:fldCharType="end"/>
            </w:r>
            <w:r w:rsidRPr="0087043D">
              <w:rPr>
                <w:rFonts w:ascii="Arial Narrow" w:hAnsi="Arial Narrow"/>
                <w:color w:val="000000" w:themeColor="text1"/>
                <w:sz w:val="18"/>
                <w:szCs w:val="18"/>
              </w:rPr>
              <w:t>Nurse practitioners</w:t>
            </w:r>
            <w:r w:rsidR="00264317" w:rsidRPr="0087043D">
              <w:rPr>
                <w:rFonts w:ascii="Arial Narrow" w:hAnsi="Arial Narrow"/>
                <w:color w:val="000000" w:themeColor="text1"/>
                <w:sz w:val="18"/>
                <w:szCs w:val="18"/>
              </w:rPr>
              <w:t xml:space="preserve"> </w:t>
            </w:r>
            <w:r w:rsidRPr="0087043D">
              <w:rPr>
                <w:rFonts w:ascii="Arial Narrow" w:hAnsi="Arial Narrow"/>
                <w:color w:val="000000" w:themeColor="text1"/>
                <w:sz w:val="18"/>
                <w:szCs w:val="18"/>
              </w:rPr>
              <w:fldChar w:fldCharType="begin">
                <w:ffData>
                  <w:name w:val=""/>
                  <w:enabled/>
                  <w:calcOnExit w:val="0"/>
                  <w:checkBox>
                    <w:sizeAuto/>
                    <w:default w:val="0"/>
                  </w:checkBox>
                </w:ffData>
              </w:fldChar>
            </w:r>
            <w:r w:rsidRPr="0087043D">
              <w:rPr>
                <w:rFonts w:ascii="Arial Narrow" w:hAnsi="Arial Narrow"/>
                <w:color w:val="000000" w:themeColor="text1"/>
                <w:sz w:val="18"/>
                <w:szCs w:val="18"/>
              </w:rPr>
              <w:instrText xml:space="preserve"> FORMCHECKBOX </w:instrText>
            </w:r>
            <w:r w:rsidR="00725666">
              <w:rPr>
                <w:rFonts w:ascii="Arial Narrow" w:hAnsi="Arial Narrow"/>
                <w:color w:val="000000" w:themeColor="text1"/>
                <w:sz w:val="18"/>
                <w:szCs w:val="18"/>
              </w:rPr>
            </w:r>
            <w:r w:rsidR="00725666">
              <w:rPr>
                <w:rFonts w:ascii="Arial Narrow" w:hAnsi="Arial Narrow"/>
                <w:color w:val="000000" w:themeColor="text1"/>
                <w:sz w:val="18"/>
                <w:szCs w:val="18"/>
              </w:rPr>
              <w:fldChar w:fldCharType="separate"/>
            </w:r>
            <w:r w:rsidRPr="0087043D">
              <w:rPr>
                <w:rFonts w:ascii="Arial Narrow" w:hAnsi="Arial Narrow"/>
                <w:color w:val="000000" w:themeColor="text1"/>
                <w:sz w:val="18"/>
                <w:szCs w:val="18"/>
              </w:rPr>
              <w:fldChar w:fldCharType="end"/>
            </w:r>
            <w:r w:rsidRPr="0087043D">
              <w:rPr>
                <w:rFonts w:ascii="Arial Narrow" w:hAnsi="Arial Narrow"/>
                <w:color w:val="000000" w:themeColor="text1"/>
                <w:sz w:val="18"/>
                <w:szCs w:val="18"/>
              </w:rPr>
              <w:t>Optometrists</w:t>
            </w:r>
            <w:r w:rsidR="00264317" w:rsidRPr="0087043D">
              <w:rPr>
                <w:rFonts w:ascii="Arial Narrow" w:hAnsi="Arial Narrow"/>
                <w:color w:val="000000" w:themeColor="text1"/>
                <w:sz w:val="18"/>
                <w:szCs w:val="18"/>
              </w:rPr>
              <w:t xml:space="preserve">  </w:t>
            </w:r>
            <w:r w:rsidRPr="0087043D">
              <w:rPr>
                <w:rFonts w:ascii="Arial Narrow" w:hAnsi="Arial Narrow"/>
                <w:color w:val="000000" w:themeColor="text1"/>
                <w:sz w:val="18"/>
                <w:szCs w:val="18"/>
              </w:rPr>
              <w:fldChar w:fldCharType="begin">
                <w:ffData>
                  <w:name w:val="Check5"/>
                  <w:enabled/>
                  <w:calcOnExit w:val="0"/>
                  <w:checkBox>
                    <w:sizeAuto/>
                    <w:default w:val="0"/>
                  </w:checkBox>
                </w:ffData>
              </w:fldChar>
            </w:r>
            <w:r w:rsidRPr="0087043D">
              <w:rPr>
                <w:rFonts w:ascii="Arial Narrow" w:hAnsi="Arial Narrow"/>
                <w:color w:val="000000" w:themeColor="text1"/>
                <w:sz w:val="18"/>
                <w:szCs w:val="18"/>
              </w:rPr>
              <w:instrText xml:space="preserve"> FORMCHECKBOX </w:instrText>
            </w:r>
            <w:r w:rsidR="00725666">
              <w:rPr>
                <w:rFonts w:ascii="Arial Narrow" w:hAnsi="Arial Narrow"/>
                <w:color w:val="000000" w:themeColor="text1"/>
                <w:sz w:val="18"/>
                <w:szCs w:val="18"/>
              </w:rPr>
            </w:r>
            <w:r w:rsidR="00725666">
              <w:rPr>
                <w:rFonts w:ascii="Arial Narrow" w:hAnsi="Arial Narrow"/>
                <w:color w:val="000000" w:themeColor="text1"/>
                <w:sz w:val="18"/>
                <w:szCs w:val="18"/>
              </w:rPr>
              <w:fldChar w:fldCharType="separate"/>
            </w:r>
            <w:r w:rsidRPr="0087043D">
              <w:rPr>
                <w:rFonts w:ascii="Arial Narrow" w:hAnsi="Arial Narrow"/>
                <w:color w:val="000000" w:themeColor="text1"/>
                <w:sz w:val="18"/>
                <w:szCs w:val="18"/>
              </w:rPr>
              <w:fldChar w:fldCharType="end"/>
            </w:r>
            <w:r w:rsidRPr="0087043D">
              <w:rPr>
                <w:rFonts w:ascii="Arial Narrow" w:hAnsi="Arial Narrow"/>
                <w:color w:val="000000" w:themeColor="text1"/>
                <w:sz w:val="18"/>
                <w:szCs w:val="18"/>
              </w:rPr>
              <w:t>Midwives</w:t>
            </w:r>
          </w:p>
        </w:tc>
      </w:tr>
      <w:tr w:rsidR="008C7E0B" w:rsidRPr="0087043D" w:rsidTr="00316FE3">
        <w:tc>
          <w:tcPr>
            <w:tcW w:w="553"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rPr>
                <w:rFonts w:ascii="Arial Narrow" w:hAnsi="Arial Narrow"/>
                <w:b/>
                <w:sz w:val="18"/>
                <w:szCs w:val="18"/>
              </w:rPr>
            </w:pPr>
            <w:r w:rsidRPr="0087043D">
              <w:rPr>
                <w:rFonts w:ascii="Arial Narrow" w:hAnsi="Arial Narrow"/>
                <w:b/>
                <w:sz w:val="18"/>
                <w:szCs w:val="18"/>
              </w:rPr>
              <w:t>Restriction Type – assessment time by Medicare – Method of obtaining authority approval (if Authority Required):</w:t>
            </w:r>
          </w:p>
          <w:p w:rsidR="008C7E0B" w:rsidRPr="0087043D" w:rsidRDefault="008C7E0B" w:rsidP="008C7E0B">
            <w:pPr>
              <w:rPr>
                <w:rFonts w:ascii="Arial Narrow" w:hAnsi="Arial Narrow"/>
                <w:b/>
                <w:color w:val="000000" w:themeColor="text1"/>
                <w:sz w:val="18"/>
                <w:szCs w:val="18"/>
              </w:rPr>
            </w:pPr>
            <w:r w:rsidRPr="0087043D">
              <w:rPr>
                <w:rFonts w:ascii="Arial Narrow" w:eastAsia="Calibri" w:hAnsi="Arial Narrow"/>
                <w:sz w:val="18"/>
                <w:szCs w:val="18"/>
              </w:rPr>
              <w:fldChar w:fldCharType="begin">
                <w:ffData>
                  <w:name w:val=""/>
                  <w:enabled/>
                  <w:calcOnExit w:val="0"/>
                  <w:checkBox>
                    <w:sizeAuto/>
                    <w:default w:val="1"/>
                  </w:checkBox>
                </w:ffData>
              </w:fldChar>
            </w:r>
            <w:r w:rsidRPr="0087043D">
              <w:rPr>
                <w:rFonts w:ascii="Arial Narrow" w:eastAsia="Calibri" w:hAnsi="Arial Narrow"/>
                <w:sz w:val="18"/>
                <w:szCs w:val="18"/>
              </w:rPr>
              <w:instrText xml:space="preserve"> FORMCHECKBOX </w:instrText>
            </w:r>
            <w:r w:rsidR="00725666">
              <w:rPr>
                <w:rFonts w:ascii="Arial Narrow" w:eastAsia="Calibri" w:hAnsi="Arial Narrow"/>
                <w:sz w:val="18"/>
                <w:szCs w:val="18"/>
              </w:rPr>
            </w:r>
            <w:r w:rsidR="00725666">
              <w:rPr>
                <w:rFonts w:ascii="Arial Narrow" w:eastAsia="Calibri" w:hAnsi="Arial Narrow"/>
                <w:sz w:val="18"/>
                <w:szCs w:val="18"/>
              </w:rPr>
              <w:fldChar w:fldCharType="separate"/>
            </w:r>
            <w:r w:rsidRPr="0087043D">
              <w:rPr>
                <w:rFonts w:ascii="Arial Narrow" w:eastAsia="Calibri" w:hAnsi="Arial Narrow"/>
                <w:sz w:val="18"/>
                <w:szCs w:val="18"/>
              </w:rPr>
              <w:fldChar w:fldCharType="end"/>
            </w:r>
            <w:r w:rsidRPr="0087043D">
              <w:rPr>
                <w:rFonts w:ascii="Arial Narrow" w:eastAsia="Calibri" w:hAnsi="Arial Narrow"/>
                <w:sz w:val="18"/>
                <w:szCs w:val="18"/>
              </w:rPr>
              <w:t>Authority Required – Streamlined [new/existing code] (specification of 4-digit code by prescriber to certify that they have read the PBS restriction; no prior assessment by Medicare; retrospective audit of patient records possible)</w:t>
            </w:r>
            <w:r w:rsidR="00264317" w:rsidRPr="0087043D">
              <w:rPr>
                <w:rFonts w:ascii="Arial Narrow" w:eastAsia="Calibri" w:hAnsi="Arial Narrow"/>
                <w:sz w:val="18"/>
                <w:szCs w:val="18"/>
              </w:rPr>
              <w:t xml:space="preserve"> </w:t>
            </w:r>
          </w:p>
        </w:tc>
      </w:tr>
      <w:tr w:rsidR="008C7E0B" w:rsidRPr="0087043D" w:rsidTr="00316FE3">
        <w:tc>
          <w:tcPr>
            <w:tcW w:w="553" w:type="pct"/>
            <w:vAlign w:val="center"/>
          </w:tcPr>
          <w:p w:rsidR="008C7E0B" w:rsidRPr="0087043D" w:rsidRDefault="008C7E0B" w:rsidP="008C7E0B">
            <w:pPr>
              <w:jc w:val="center"/>
              <w:rPr>
                <w:rFonts w:ascii="Arial Narrow" w:hAnsi="Arial Narrow"/>
                <w:color w:val="000000" w:themeColor="text1"/>
                <w:sz w:val="18"/>
                <w:szCs w:val="18"/>
              </w:rPr>
            </w:pPr>
          </w:p>
        </w:tc>
        <w:tc>
          <w:tcPr>
            <w:tcW w:w="4447" w:type="pct"/>
            <w:vAlign w:val="center"/>
          </w:tcPr>
          <w:p w:rsidR="008C7E0B" w:rsidRPr="0087043D" w:rsidRDefault="008C7E0B" w:rsidP="008C7E0B">
            <w:pPr>
              <w:rPr>
                <w:rFonts w:ascii="Arial Narrow" w:hAnsi="Arial Narrow"/>
                <w:color w:val="000000" w:themeColor="text1"/>
                <w:sz w:val="18"/>
                <w:szCs w:val="18"/>
              </w:rPr>
            </w:pPr>
            <w:r w:rsidRPr="0087043D">
              <w:rPr>
                <w:rFonts w:ascii="Arial Narrow" w:hAnsi="Arial Narrow"/>
                <w:b/>
                <w:bCs/>
                <w:color w:val="000000" w:themeColor="text1"/>
                <w:sz w:val="18"/>
                <w:szCs w:val="18"/>
              </w:rPr>
              <w:t>Administrative Advice:</w:t>
            </w:r>
            <w:r w:rsidRPr="0087043D">
              <w:rPr>
                <w:rFonts w:ascii="Arial Narrow" w:hAnsi="Arial Narrow"/>
                <w:color w:val="000000" w:themeColor="text1"/>
                <w:sz w:val="18"/>
                <w:szCs w:val="18"/>
              </w:rPr>
              <w:t xml:space="preserve"> No increase in the maximum number of repeats may be authorised</w:t>
            </w:r>
          </w:p>
        </w:tc>
      </w:tr>
      <w:tr w:rsidR="008C7E0B" w:rsidRPr="0087043D" w:rsidTr="00316FE3">
        <w:trPr>
          <w:trHeight w:val="161"/>
        </w:trPr>
        <w:tc>
          <w:tcPr>
            <w:tcW w:w="553" w:type="pct"/>
            <w:vAlign w:val="center"/>
          </w:tcPr>
          <w:p w:rsidR="008C7E0B" w:rsidRPr="0087043D" w:rsidRDefault="008C7E0B" w:rsidP="008C7E0B">
            <w:pPr>
              <w:jc w:val="center"/>
              <w:rPr>
                <w:rFonts w:ascii="Arial Narrow" w:hAnsi="Arial Narrow"/>
                <w:color w:val="000000" w:themeColor="text1"/>
                <w:sz w:val="18"/>
                <w:szCs w:val="18"/>
              </w:rPr>
            </w:pPr>
          </w:p>
        </w:tc>
        <w:tc>
          <w:tcPr>
            <w:tcW w:w="4447" w:type="pct"/>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 xml:space="preserve">Administrative Advice: </w:t>
            </w:r>
            <w:r w:rsidRPr="0087043D">
              <w:rPr>
                <w:rFonts w:ascii="Arial Narrow" w:hAnsi="Arial Narrow"/>
                <w:bCs/>
                <w:color w:val="000000" w:themeColor="text1"/>
                <w:sz w:val="18"/>
                <w:szCs w:val="18"/>
              </w:rPr>
              <w:t>Special Pricing Arrangements apply</w:t>
            </w:r>
          </w:p>
        </w:tc>
      </w:tr>
      <w:tr w:rsidR="008C7E0B" w:rsidRPr="0087043D" w:rsidTr="00316FE3">
        <w:tc>
          <w:tcPr>
            <w:tcW w:w="553" w:type="pct"/>
            <w:vAlign w:val="center"/>
          </w:tcPr>
          <w:p w:rsidR="008C7E0B" w:rsidRPr="0087043D" w:rsidRDefault="008C7E0B" w:rsidP="008C7E0B">
            <w:pPr>
              <w:jc w:val="center"/>
              <w:rPr>
                <w:rFonts w:ascii="Arial Narrow" w:hAnsi="Arial Narrow"/>
                <w:color w:val="000000" w:themeColor="text1"/>
                <w:sz w:val="18"/>
                <w:szCs w:val="18"/>
              </w:rPr>
            </w:pPr>
          </w:p>
        </w:tc>
        <w:tc>
          <w:tcPr>
            <w:tcW w:w="4447" w:type="pct"/>
            <w:vAlign w:val="center"/>
          </w:tcPr>
          <w:p w:rsidR="008C7E0B" w:rsidRPr="0087043D" w:rsidRDefault="008C7E0B" w:rsidP="000B2CB6">
            <w:pPr>
              <w:rPr>
                <w:rFonts w:ascii="Arial Narrow" w:hAnsi="Arial Narrow"/>
                <w:b/>
                <w:bCs/>
                <w:color w:val="000000" w:themeColor="text1"/>
                <w:sz w:val="18"/>
                <w:szCs w:val="18"/>
              </w:rPr>
            </w:pPr>
            <w:r w:rsidRPr="0087043D">
              <w:rPr>
                <w:rFonts w:ascii="Arial Narrow" w:hAnsi="Arial Narrow"/>
                <w:b/>
                <w:bCs/>
                <w:color w:val="000000" w:themeColor="text1"/>
                <w:sz w:val="18"/>
                <w:szCs w:val="18"/>
              </w:rPr>
              <w:t xml:space="preserve">Condition: </w:t>
            </w:r>
            <w:r w:rsidR="00A17739" w:rsidRPr="0087043D">
              <w:rPr>
                <w:rFonts w:ascii="Arial Narrow" w:hAnsi="Arial Narrow"/>
                <w:bCs/>
                <w:color w:val="000000" w:themeColor="text1"/>
                <w:sz w:val="18"/>
                <w:szCs w:val="18"/>
              </w:rPr>
              <w:t>n</w:t>
            </w:r>
            <w:r w:rsidRPr="0087043D">
              <w:rPr>
                <w:rFonts w:ascii="Arial Narrow" w:hAnsi="Arial Narrow"/>
                <w:bCs/>
                <w:color w:val="000000" w:themeColor="text1"/>
                <w:sz w:val="18"/>
                <w:szCs w:val="18"/>
              </w:rPr>
              <w:t>on-small cell lung cancer (NSCLC)</w:t>
            </w:r>
          </w:p>
        </w:tc>
      </w:tr>
      <w:tr w:rsidR="008C7E0B" w:rsidRPr="0087043D" w:rsidTr="00316FE3">
        <w:tc>
          <w:tcPr>
            <w:tcW w:w="553" w:type="pct"/>
            <w:vAlign w:val="center"/>
          </w:tcPr>
          <w:p w:rsidR="008C7E0B" w:rsidRPr="0087043D" w:rsidRDefault="008C7E0B" w:rsidP="008C7E0B">
            <w:pPr>
              <w:jc w:val="center"/>
              <w:rPr>
                <w:rFonts w:ascii="Arial Narrow" w:hAnsi="Arial Narrow"/>
                <w:color w:val="000000" w:themeColor="text1"/>
                <w:sz w:val="18"/>
                <w:szCs w:val="18"/>
              </w:rPr>
            </w:pPr>
          </w:p>
        </w:tc>
        <w:tc>
          <w:tcPr>
            <w:tcW w:w="4447" w:type="pct"/>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 xml:space="preserve">Severity: </w:t>
            </w:r>
            <w:r w:rsidRPr="0087043D">
              <w:rPr>
                <w:rFonts w:ascii="Arial Narrow" w:hAnsi="Arial Narrow"/>
                <w:bCs/>
                <w:color w:val="000000" w:themeColor="text1"/>
                <w:sz w:val="18"/>
                <w:szCs w:val="18"/>
              </w:rPr>
              <w:t>Stage IV (metastatic)</w:t>
            </w:r>
          </w:p>
        </w:tc>
      </w:tr>
      <w:tr w:rsidR="008C7E0B" w:rsidRPr="0087043D" w:rsidTr="00742D2E">
        <w:tc>
          <w:tcPr>
            <w:tcW w:w="553" w:type="pct"/>
            <w:vAlign w:val="center"/>
          </w:tcPr>
          <w:p w:rsidR="008C7E0B" w:rsidRPr="0087043D" w:rsidRDefault="008C7E0B" w:rsidP="008C7E0B">
            <w:pPr>
              <w:jc w:val="center"/>
              <w:rPr>
                <w:rFonts w:ascii="Arial Narrow" w:hAnsi="Arial Narrow"/>
                <w:color w:val="000000" w:themeColor="text1"/>
                <w:sz w:val="18"/>
                <w:szCs w:val="18"/>
              </w:rPr>
            </w:pPr>
          </w:p>
        </w:tc>
        <w:tc>
          <w:tcPr>
            <w:tcW w:w="4447" w:type="pct"/>
            <w:vAlign w:val="center"/>
            <w:hideMark/>
          </w:tcPr>
          <w:p w:rsidR="008C7E0B" w:rsidRPr="0087043D" w:rsidRDefault="008C7E0B" w:rsidP="000B2CB6">
            <w:pPr>
              <w:rPr>
                <w:rFonts w:ascii="Arial Narrow" w:hAnsi="Arial Narrow"/>
                <w:color w:val="000000" w:themeColor="text1"/>
                <w:sz w:val="18"/>
                <w:szCs w:val="18"/>
              </w:rPr>
            </w:pPr>
            <w:r w:rsidRPr="0087043D">
              <w:rPr>
                <w:rFonts w:ascii="Arial Narrow" w:hAnsi="Arial Narrow"/>
                <w:b/>
                <w:bCs/>
                <w:color w:val="000000" w:themeColor="text1"/>
                <w:sz w:val="18"/>
                <w:szCs w:val="18"/>
              </w:rPr>
              <w:t>Indication:</w:t>
            </w:r>
            <w:r w:rsidRPr="0087043D">
              <w:rPr>
                <w:rFonts w:ascii="Arial Narrow" w:hAnsi="Arial Narrow"/>
                <w:color w:val="000000" w:themeColor="text1"/>
                <w:sz w:val="18"/>
                <w:szCs w:val="18"/>
              </w:rPr>
              <w:t xml:space="preserve"> Stage IV (metastatic) non-small cell lung cancer (NSCLC)</w:t>
            </w:r>
          </w:p>
        </w:tc>
      </w:tr>
      <w:tr w:rsidR="008C7E0B" w:rsidRPr="0087043D" w:rsidTr="00316FE3">
        <w:tc>
          <w:tcPr>
            <w:tcW w:w="553" w:type="pct"/>
            <w:vAlign w:val="center"/>
            <w:hideMark/>
          </w:tcPr>
          <w:p w:rsidR="008C7E0B" w:rsidRPr="0087043D" w:rsidRDefault="008C7E0B" w:rsidP="008C7E0B">
            <w:pPr>
              <w:jc w:val="center"/>
              <w:rPr>
                <w:rFonts w:ascii="Arial Narrow" w:hAnsi="Arial Narrow"/>
                <w:color w:val="000000" w:themeColor="text1"/>
                <w:sz w:val="18"/>
                <w:szCs w:val="18"/>
              </w:rPr>
            </w:pPr>
          </w:p>
        </w:tc>
        <w:tc>
          <w:tcPr>
            <w:tcW w:w="4447" w:type="pct"/>
            <w:vAlign w:val="center"/>
            <w:hideMark/>
          </w:tcPr>
          <w:p w:rsidR="008C7E0B" w:rsidRPr="0087043D" w:rsidRDefault="008C7E0B" w:rsidP="00A17739">
            <w:pPr>
              <w:rPr>
                <w:rFonts w:ascii="Arial Narrow" w:hAnsi="Arial Narrow"/>
                <w:i/>
                <w:color w:val="000000" w:themeColor="text1"/>
                <w:sz w:val="18"/>
                <w:szCs w:val="18"/>
              </w:rPr>
            </w:pPr>
            <w:r w:rsidRPr="0087043D">
              <w:rPr>
                <w:rFonts w:ascii="Arial Narrow" w:hAnsi="Arial Narrow"/>
                <w:b/>
                <w:bCs/>
                <w:color w:val="000000" w:themeColor="text1"/>
                <w:sz w:val="18"/>
                <w:szCs w:val="18"/>
              </w:rPr>
              <w:t>Treatment Phase:</w:t>
            </w:r>
            <w:r w:rsidRPr="0087043D">
              <w:rPr>
                <w:rFonts w:ascii="Arial Narrow" w:hAnsi="Arial Narrow"/>
                <w:color w:val="000000" w:themeColor="text1"/>
                <w:sz w:val="18"/>
                <w:szCs w:val="18"/>
              </w:rPr>
              <w:t xml:space="preserve"> Initial combination treatment (with nivolumab</w:t>
            </w:r>
            <w:r w:rsidR="00A17739" w:rsidRPr="0087043D">
              <w:rPr>
                <w:rFonts w:ascii="Arial Narrow" w:hAnsi="Arial Narrow"/>
                <w:bCs/>
                <w:color w:val="000000" w:themeColor="text1"/>
                <w:sz w:val="18"/>
                <w:szCs w:val="18"/>
              </w:rPr>
              <w:t xml:space="preserve">) </w:t>
            </w:r>
            <w:r w:rsidRPr="0087043D">
              <w:rPr>
                <w:rFonts w:ascii="Arial Narrow" w:hAnsi="Arial Narrow"/>
                <w:color w:val="000000" w:themeColor="text1"/>
                <w:sz w:val="18"/>
                <w:szCs w:val="18"/>
              </w:rPr>
              <w:t>as first-line drug therapy</w:t>
            </w:r>
          </w:p>
        </w:tc>
      </w:tr>
      <w:tr w:rsidR="008C7E0B" w:rsidRPr="0087043D" w:rsidTr="00316FE3">
        <w:tc>
          <w:tcPr>
            <w:tcW w:w="553" w:type="pct"/>
            <w:vAlign w:val="center"/>
            <w:hideMark/>
          </w:tcPr>
          <w:p w:rsidR="008C7E0B" w:rsidRPr="0087043D" w:rsidRDefault="008C7E0B" w:rsidP="008C7E0B">
            <w:pPr>
              <w:jc w:val="center"/>
              <w:rPr>
                <w:rFonts w:ascii="Arial Narrow" w:hAnsi="Arial Narrow"/>
                <w:color w:val="000000" w:themeColor="text1"/>
                <w:sz w:val="18"/>
                <w:szCs w:val="18"/>
              </w:rPr>
            </w:pPr>
          </w:p>
        </w:tc>
        <w:tc>
          <w:tcPr>
            <w:tcW w:w="4447" w:type="pct"/>
            <w:vAlign w:val="center"/>
            <w:hideMark/>
          </w:tcPr>
          <w:p w:rsidR="008C7E0B" w:rsidRPr="0087043D" w:rsidRDefault="008C7E0B" w:rsidP="008C7E0B">
            <w:pPr>
              <w:rPr>
                <w:rFonts w:ascii="Arial Narrow" w:hAnsi="Arial Narrow"/>
                <w:color w:val="000000" w:themeColor="text1"/>
                <w:sz w:val="18"/>
                <w:szCs w:val="18"/>
              </w:rPr>
            </w:pPr>
            <w:r w:rsidRPr="0087043D">
              <w:rPr>
                <w:rFonts w:ascii="Arial Narrow" w:hAnsi="Arial Narrow"/>
                <w:b/>
                <w:bCs/>
                <w:color w:val="000000" w:themeColor="text1"/>
                <w:sz w:val="18"/>
                <w:szCs w:val="18"/>
              </w:rPr>
              <w:t>Clinical criteria:</w:t>
            </w:r>
          </w:p>
        </w:tc>
      </w:tr>
      <w:tr w:rsidR="008C7E0B" w:rsidRPr="0087043D" w:rsidTr="00742D2E">
        <w:tc>
          <w:tcPr>
            <w:tcW w:w="553" w:type="pct"/>
            <w:vAlign w:val="center"/>
          </w:tcPr>
          <w:p w:rsidR="008C7E0B" w:rsidRPr="0087043D" w:rsidRDefault="008C7E0B" w:rsidP="008C7E0B">
            <w:pPr>
              <w:jc w:val="center"/>
              <w:rPr>
                <w:rFonts w:ascii="Arial Narrow" w:hAnsi="Arial Narrow"/>
                <w:color w:val="000000" w:themeColor="text1"/>
                <w:sz w:val="18"/>
                <w:szCs w:val="18"/>
              </w:rPr>
            </w:pPr>
          </w:p>
        </w:tc>
        <w:tc>
          <w:tcPr>
            <w:tcW w:w="4447" w:type="pct"/>
            <w:vAlign w:val="center"/>
            <w:hideMark/>
          </w:tcPr>
          <w:p w:rsidR="008C7E0B" w:rsidRPr="0087043D" w:rsidRDefault="008C7E0B" w:rsidP="008C7E0B">
            <w:pPr>
              <w:rPr>
                <w:rFonts w:ascii="Arial Narrow" w:hAnsi="Arial Narrow"/>
                <w:color w:val="000000" w:themeColor="text1"/>
                <w:sz w:val="18"/>
                <w:szCs w:val="18"/>
              </w:rPr>
            </w:pPr>
            <w:r w:rsidRPr="0087043D">
              <w:rPr>
                <w:rFonts w:ascii="Arial Narrow" w:hAnsi="Arial Narrow"/>
                <w:color w:val="000000" w:themeColor="text1"/>
                <w:sz w:val="18"/>
                <w:szCs w:val="18"/>
              </w:rPr>
              <w:t>Patient must not have previously been treated for this condition in the metastatic setting</w:t>
            </w:r>
          </w:p>
        </w:tc>
      </w:tr>
      <w:tr w:rsidR="003C0298" w:rsidRPr="0087043D" w:rsidTr="00316FE3">
        <w:tc>
          <w:tcPr>
            <w:tcW w:w="553" w:type="pct"/>
            <w:tcBorders>
              <w:top w:val="single" w:sz="4" w:space="0" w:color="auto"/>
              <w:left w:val="single" w:sz="4" w:space="0" w:color="auto"/>
              <w:bottom w:val="single" w:sz="4" w:space="0" w:color="auto"/>
              <w:right w:val="single" w:sz="4" w:space="0" w:color="auto"/>
            </w:tcBorders>
            <w:vAlign w:val="center"/>
          </w:tcPr>
          <w:p w:rsidR="003C0298" w:rsidRPr="0087043D" w:rsidRDefault="003C0298" w:rsidP="0010666B">
            <w:pPr>
              <w:jc w:val="center"/>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vAlign w:val="center"/>
          </w:tcPr>
          <w:p w:rsidR="003C0298" w:rsidRPr="0087043D" w:rsidRDefault="003C0298" w:rsidP="0010666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AND</w:t>
            </w:r>
          </w:p>
        </w:tc>
      </w:tr>
      <w:tr w:rsidR="003C0298" w:rsidRPr="0087043D" w:rsidTr="00316FE3">
        <w:tc>
          <w:tcPr>
            <w:tcW w:w="553" w:type="pct"/>
            <w:vAlign w:val="center"/>
          </w:tcPr>
          <w:p w:rsidR="003C0298" w:rsidRPr="0087043D" w:rsidRDefault="003C0298" w:rsidP="0010666B">
            <w:pPr>
              <w:jc w:val="center"/>
              <w:rPr>
                <w:rFonts w:ascii="Arial Narrow" w:hAnsi="Arial Narrow"/>
                <w:color w:val="333333"/>
                <w:sz w:val="18"/>
                <w:szCs w:val="18"/>
              </w:rPr>
            </w:pPr>
          </w:p>
        </w:tc>
        <w:tc>
          <w:tcPr>
            <w:tcW w:w="4447" w:type="pct"/>
            <w:vAlign w:val="center"/>
          </w:tcPr>
          <w:p w:rsidR="003C0298" w:rsidRPr="0087043D" w:rsidRDefault="003C0298" w:rsidP="0010666B">
            <w:pPr>
              <w:rPr>
                <w:rFonts w:ascii="Arial Narrow" w:hAnsi="Arial Narrow"/>
                <w:bCs/>
                <w:color w:val="333333"/>
                <w:sz w:val="18"/>
                <w:szCs w:val="18"/>
              </w:rPr>
            </w:pPr>
            <w:r w:rsidRPr="0087043D">
              <w:rPr>
                <w:rFonts w:ascii="Arial Narrow" w:hAnsi="Arial Narrow"/>
                <w:bCs/>
                <w:color w:val="333333"/>
                <w:sz w:val="18"/>
                <w:szCs w:val="18"/>
              </w:rPr>
              <w:t xml:space="preserve">The condition must be squamous type non-small cell lung cancer </w:t>
            </w:r>
          </w:p>
        </w:tc>
      </w:tr>
      <w:tr w:rsidR="008C7E0B" w:rsidRPr="0087043D" w:rsidTr="00316FE3">
        <w:tc>
          <w:tcPr>
            <w:tcW w:w="553" w:type="pct"/>
            <w:vAlign w:val="center"/>
          </w:tcPr>
          <w:p w:rsidR="008C7E0B" w:rsidRPr="0087043D" w:rsidRDefault="008C7E0B" w:rsidP="008C7E0B">
            <w:pPr>
              <w:jc w:val="center"/>
              <w:rPr>
                <w:rFonts w:ascii="Arial Narrow" w:hAnsi="Arial Narrow"/>
                <w:color w:val="000000" w:themeColor="text1"/>
                <w:sz w:val="18"/>
                <w:szCs w:val="18"/>
              </w:rPr>
            </w:pPr>
          </w:p>
        </w:tc>
        <w:tc>
          <w:tcPr>
            <w:tcW w:w="4447" w:type="pct"/>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AND</w:t>
            </w:r>
          </w:p>
        </w:tc>
      </w:tr>
      <w:tr w:rsidR="008C7E0B" w:rsidRPr="0087043D" w:rsidTr="00316FE3">
        <w:tc>
          <w:tcPr>
            <w:tcW w:w="553" w:type="pct"/>
            <w:vAlign w:val="center"/>
          </w:tcPr>
          <w:p w:rsidR="008C7E0B" w:rsidRPr="0087043D" w:rsidRDefault="008C7E0B" w:rsidP="008C7E0B">
            <w:pPr>
              <w:jc w:val="center"/>
              <w:rPr>
                <w:rFonts w:ascii="Arial Narrow" w:hAnsi="Arial Narrow"/>
                <w:color w:val="000000" w:themeColor="text1"/>
                <w:sz w:val="18"/>
                <w:szCs w:val="18"/>
              </w:rPr>
            </w:pPr>
          </w:p>
        </w:tc>
        <w:tc>
          <w:tcPr>
            <w:tcW w:w="4447" w:type="pct"/>
            <w:vAlign w:val="center"/>
          </w:tcPr>
          <w:p w:rsidR="008C7E0B" w:rsidRPr="0087043D" w:rsidRDefault="008C7E0B" w:rsidP="00A17739">
            <w:pPr>
              <w:rPr>
                <w:rFonts w:ascii="Arial Narrow" w:hAnsi="Arial Narrow"/>
                <w:bCs/>
                <w:color w:val="000000" w:themeColor="text1"/>
                <w:sz w:val="18"/>
                <w:szCs w:val="18"/>
              </w:rPr>
            </w:pPr>
            <w:r w:rsidRPr="0087043D">
              <w:rPr>
                <w:rFonts w:ascii="Arial Narrow" w:hAnsi="Arial Narrow"/>
                <w:bCs/>
                <w:color w:val="000000" w:themeColor="text1"/>
                <w:sz w:val="18"/>
                <w:szCs w:val="18"/>
              </w:rPr>
              <w:t>Patient must have a WHO performance status of 0 or 1</w:t>
            </w:r>
          </w:p>
        </w:tc>
      </w:tr>
      <w:tr w:rsidR="008C7E0B" w:rsidRPr="0087043D" w:rsidTr="00316FE3">
        <w:tc>
          <w:tcPr>
            <w:tcW w:w="553" w:type="pct"/>
            <w:vAlign w:val="center"/>
          </w:tcPr>
          <w:p w:rsidR="008C7E0B" w:rsidRPr="0087043D" w:rsidRDefault="008C7E0B" w:rsidP="008C7E0B">
            <w:pPr>
              <w:jc w:val="center"/>
              <w:rPr>
                <w:rFonts w:ascii="Arial Narrow" w:hAnsi="Arial Narrow"/>
                <w:color w:val="000000" w:themeColor="text1"/>
                <w:sz w:val="18"/>
                <w:szCs w:val="18"/>
              </w:rPr>
            </w:pPr>
          </w:p>
        </w:tc>
        <w:tc>
          <w:tcPr>
            <w:tcW w:w="4447" w:type="pct"/>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AND</w:t>
            </w:r>
          </w:p>
        </w:tc>
      </w:tr>
      <w:tr w:rsidR="008C7E0B" w:rsidRPr="0087043D" w:rsidTr="00316FE3">
        <w:tc>
          <w:tcPr>
            <w:tcW w:w="553" w:type="pct"/>
            <w:vAlign w:val="center"/>
          </w:tcPr>
          <w:p w:rsidR="008C7E0B" w:rsidRPr="0087043D" w:rsidRDefault="008C7E0B" w:rsidP="008C7E0B">
            <w:pPr>
              <w:jc w:val="center"/>
              <w:rPr>
                <w:rFonts w:ascii="Arial Narrow" w:hAnsi="Arial Narrow"/>
                <w:color w:val="000000" w:themeColor="text1"/>
                <w:sz w:val="18"/>
                <w:szCs w:val="18"/>
              </w:rPr>
            </w:pPr>
          </w:p>
        </w:tc>
        <w:tc>
          <w:tcPr>
            <w:tcW w:w="4447" w:type="pct"/>
            <w:vAlign w:val="center"/>
          </w:tcPr>
          <w:p w:rsidR="008C7E0B" w:rsidRPr="0087043D" w:rsidRDefault="00A17739" w:rsidP="008C7E0B">
            <w:pPr>
              <w:rPr>
                <w:rFonts w:ascii="Arial Narrow" w:hAnsi="Arial Narrow"/>
                <w:bCs/>
                <w:color w:val="000000" w:themeColor="text1"/>
                <w:sz w:val="18"/>
                <w:szCs w:val="18"/>
              </w:rPr>
            </w:pPr>
            <w:r w:rsidRPr="0087043D">
              <w:rPr>
                <w:rFonts w:ascii="Arial Narrow" w:hAnsi="Arial Narrow"/>
                <w:bCs/>
                <w:color w:val="000000" w:themeColor="text1"/>
                <w:sz w:val="18"/>
                <w:szCs w:val="18"/>
              </w:rPr>
              <w:t>The condition must not have evidence of an activating epidermal growth factor receptor (EGFR) gene or</w:t>
            </w:r>
            <w:r w:rsidR="00264317" w:rsidRPr="0087043D">
              <w:rPr>
                <w:rFonts w:ascii="Arial Narrow" w:hAnsi="Arial Narrow"/>
                <w:bCs/>
                <w:color w:val="000000" w:themeColor="text1"/>
                <w:sz w:val="18"/>
                <w:szCs w:val="18"/>
              </w:rPr>
              <w:t xml:space="preserve"> </w:t>
            </w:r>
            <w:r w:rsidRPr="0087043D">
              <w:rPr>
                <w:rFonts w:ascii="Arial Narrow" w:hAnsi="Arial Narrow"/>
                <w:bCs/>
                <w:color w:val="000000" w:themeColor="text1"/>
                <w:sz w:val="18"/>
                <w:szCs w:val="18"/>
              </w:rPr>
              <w:t>an anaplastic lymphoma kinase (ALK) gene rearrangement</w:t>
            </w:r>
            <w:r w:rsidR="00BF7BE9" w:rsidRPr="0087043D">
              <w:t xml:space="preserve"> </w:t>
            </w:r>
            <w:r w:rsidR="00BF7BE9" w:rsidRPr="0087043D">
              <w:rPr>
                <w:rFonts w:ascii="Arial Narrow" w:hAnsi="Arial Narrow"/>
                <w:bCs/>
                <w:color w:val="000000" w:themeColor="text1"/>
                <w:sz w:val="18"/>
                <w:szCs w:val="18"/>
              </w:rPr>
              <w:t>or a c-ROS proto-oncogene 1 (ROS1) gene arrangement</w:t>
            </w:r>
            <w:r w:rsidRPr="0087043D">
              <w:rPr>
                <w:rFonts w:ascii="Arial Narrow" w:hAnsi="Arial Narrow"/>
                <w:bCs/>
                <w:i/>
                <w:color w:val="000000" w:themeColor="text1"/>
                <w:sz w:val="18"/>
                <w:szCs w:val="18"/>
              </w:rPr>
              <w:t xml:space="preserve"> </w:t>
            </w:r>
            <w:r w:rsidRPr="0087043D">
              <w:rPr>
                <w:rFonts w:ascii="Arial Narrow" w:hAnsi="Arial Narrow"/>
                <w:bCs/>
                <w:color w:val="000000" w:themeColor="text1"/>
                <w:sz w:val="18"/>
                <w:szCs w:val="18"/>
              </w:rPr>
              <w:t>in tumour material</w:t>
            </w:r>
          </w:p>
        </w:tc>
      </w:tr>
      <w:tr w:rsidR="008C7E0B" w:rsidRPr="0087043D" w:rsidTr="00316FE3">
        <w:tc>
          <w:tcPr>
            <w:tcW w:w="553" w:type="pct"/>
            <w:vAlign w:val="center"/>
          </w:tcPr>
          <w:p w:rsidR="008C7E0B" w:rsidRPr="0087043D" w:rsidRDefault="008C7E0B" w:rsidP="008C7E0B">
            <w:pPr>
              <w:jc w:val="center"/>
              <w:rPr>
                <w:rFonts w:ascii="Arial Narrow" w:hAnsi="Arial Narrow"/>
                <w:color w:val="000000" w:themeColor="text1"/>
                <w:sz w:val="18"/>
                <w:szCs w:val="18"/>
              </w:rPr>
            </w:pPr>
          </w:p>
        </w:tc>
        <w:tc>
          <w:tcPr>
            <w:tcW w:w="4447" w:type="pct"/>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AND</w:t>
            </w:r>
          </w:p>
        </w:tc>
      </w:tr>
      <w:tr w:rsidR="0084180E" w:rsidRPr="0087043D" w:rsidTr="00316FE3">
        <w:tc>
          <w:tcPr>
            <w:tcW w:w="553" w:type="pct"/>
            <w:vAlign w:val="center"/>
          </w:tcPr>
          <w:p w:rsidR="0084180E" w:rsidRPr="0087043D" w:rsidDel="00A17739" w:rsidRDefault="0084180E" w:rsidP="0084180E">
            <w:pPr>
              <w:jc w:val="center"/>
              <w:rPr>
                <w:rFonts w:ascii="Arial Narrow" w:hAnsi="Arial Narrow"/>
                <w:color w:val="000000" w:themeColor="text1"/>
                <w:sz w:val="18"/>
                <w:szCs w:val="18"/>
              </w:rPr>
            </w:pPr>
          </w:p>
        </w:tc>
        <w:tc>
          <w:tcPr>
            <w:tcW w:w="4447" w:type="pct"/>
            <w:vAlign w:val="center"/>
          </w:tcPr>
          <w:p w:rsidR="0084180E" w:rsidRPr="0087043D" w:rsidDel="00A17739" w:rsidRDefault="0084180E" w:rsidP="0084180E">
            <w:pPr>
              <w:rPr>
                <w:rFonts w:ascii="Arial Narrow" w:hAnsi="Arial Narrow"/>
                <w:bCs/>
                <w:color w:val="000000" w:themeColor="text1"/>
                <w:sz w:val="18"/>
                <w:szCs w:val="18"/>
              </w:rPr>
            </w:pPr>
            <w:r w:rsidRPr="0087043D">
              <w:rPr>
                <w:rFonts w:ascii="Arial Narrow" w:hAnsi="Arial Narrow"/>
                <w:bCs/>
                <w:color w:val="000000" w:themeColor="text1"/>
                <w:sz w:val="18"/>
                <w:szCs w:val="18"/>
              </w:rPr>
              <w:t>The treatment must be in combination with platinum-based chemotherapy for the first two cycles</w:t>
            </w:r>
          </w:p>
        </w:tc>
      </w:tr>
      <w:tr w:rsidR="00BF7BE9" w:rsidRPr="0087043D" w:rsidTr="00316FE3">
        <w:trPr>
          <w:trHeight w:val="150"/>
        </w:trPr>
        <w:tc>
          <w:tcPr>
            <w:tcW w:w="553" w:type="pct"/>
            <w:vAlign w:val="center"/>
          </w:tcPr>
          <w:p w:rsidR="00BF7BE9" w:rsidRPr="0087043D" w:rsidRDefault="00BF7BE9" w:rsidP="0084180E">
            <w:pPr>
              <w:jc w:val="center"/>
              <w:rPr>
                <w:rFonts w:ascii="Arial Narrow" w:hAnsi="Arial Narrow"/>
                <w:color w:val="000000" w:themeColor="text1"/>
                <w:sz w:val="18"/>
                <w:szCs w:val="18"/>
              </w:rPr>
            </w:pPr>
          </w:p>
        </w:tc>
        <w:tc>
          <w:tcPr>
            <w:tcW w:w="4447" w:type="pct"/>
            <w:vAlign w:val="center"/>
          </w:tcPr>
          <w:p w:rsidR="00BF7BE9" w:rsidRPr="0087043D" w:rsidRDefault="00BF7BE9" w:rsidP="00BF7BE9">
            <w:pPr>
              <w:rPr>
                <w:rFonts w:ascii="Arial Narrow" w:hAnsi="Arial Narrow"/>
                <w:bCs/>
                <w:color w:val="000000" w:themeColor="text1"/>
                <w:sz w:val="18"/>
                <w:szCs w:val="18"/>
              </w:rPr>
            </w:pPr>
            <w:r w:rsidRPr="0087043D">
              <w:rPr>
                <w:rFonts w:ascii="Arial Narrow" w:hAnsi="Arial Narrow"/>
                <w:b/>
                <w:bCs/>
                <w:color w:val="000000" w:themeColor="text1"/>
                <w:sz w:val="18"/>
                <w:szCs w:val="18"/>
              </w:rPr>
              <w:t>AND</w:t>
            </w:r>
          </w:p>
        </w:tc>
      </w:tr>
      <w:tr w:rsidR="0084180E" w:rsidRPr="0087043D" w:rsidTr="00316FE3">
        <w:trPr>
          <w:trHeight w:val="620"/>
        </w:trPr>
        <w:tc>
          <w:tcPr>
            <w:tcW w:w="553" w:type="pct"/>
            <w:vAlign w:val="center"/>
          </w:tcPr>
          <w:p w:rsidR="0084180E" w:rsidRPr="0087043D" w:rsidRDefault="0084180E" w:rsidP="0084180E">
            <w:pPr>
              <w:jc w:val="center"/>
              <w:rPr>
                <w:rFonts w:ascii="Arial Narrow" w:hAnsi="Arial Narrow"/>
                <w:color w:val="000000" w:themeColor="text1"/>
                <w:sz w:val="18"/>
                <w:szCs w:val="18"/>
              </w:rPr>
            </w:pPr>
          </w:p>
        </w:tc>
        <w:tc>
          <w:tcPr>
            <w:tcW w:w="4447" w:type="pct"/>
            <w:vAlign w:val="center"/>
            <w:hideMark/>
          </w:tcPr>
          <w:p w:rsidR="0084180E" w:rsidRPr="0087043D" w:rsidRDefault="0084180E" w:rsidP="0084180E">
            <w:pPr>
              <w:autoSpaceDE w:val="0"/>
              <w:autoSpaceDN w:val="0"/>
              <w:adjustRightInd w:val="0"/>
              <w:rPr>
                <w:rFonts w:ascii="Arial Narrow" w:hAnsi="Arial Narrow"/>
                <w:color w:val="000000" w:themeColor="text1"/>
                <w:sz w:val="18"/>
                <w:szCs w:val="18"/>
              </w:rPr>
            </w:pPr>
            <w:r w:rsidRPr="0087043D">
              <w:rPr>
                <w:rFonts w:ascii="Arial Narrow" w:hAnsi="Arial Narrow"/>
                <w:bCs/>
                <w:color w:val="000000" w:themeColor="text1"/>
                <w:sz w:val="18"/>
                <w:szCs w:val="18"/>
              </w:rPr>
              <w:t>The treatment must be</w:t>
            </w:r>
            <w:r w:rsidRPr="0087043D">
              <w:rPr>
                <w:rFonts w:ascii="Arial Narrow" w:hAnsi="Arial Narrow"/>
                <w:bCs/>
                <w:strike/>
                <w:color w:val="000000" w:themeColor="text1"/>
                <w:sz w:val="18"/>
                <w:szCs w:val="18"/>
              </w:rPr>
              <w:t xml:space="preserve"> </w:t>
            </w:r>
            <w:r w:rsidRPr="0087043D">
              <w:rPr>
                <w:rFonts w:ascii="Arial Narrow" w:hAnsi="Arial Narrow"/>
                <w:bCs/>
                <w:color w:val="000000" w:themeColor="text1"/>
                <w:sz w:val="18"/>
                <w:szCs w:val="18"/>
              </w:rPr>
              <w:t>in combination</w:t>
            </w:r>
            <w:r w:rsidR="00264317" w:rsidRPr="0087043D">
              <w:rPr>
                <w:rFonts w:ascii="Arial Narrow" w:hAnsi="Arial Narrow"/>
                <w:bCs/>
                <w:color w:val="000000" w:themeColor="text1"/>
                <w:sz w:val="18"/>
                <w:szCs w:val="18"/>
              </w:rPr>
              <w:t xml:space="preserve"> </w:t>
            </w:r>
            <w:r w:rsidRPr="0087043D">
              <w:rPr>
                <w:rFonts w:ascii="Arial Narrow" w:hAnsi="Arial Narrow"/>
                <w:bCs/>
                <w:color w:val="000000" w:themeColor="text1"/>
                <w:sz w:val="18"/>
                <w:szCs w:val="18"/>
              </w:rPr>
              <w:t>with nivolumab.</w:t>
            </w:r>
          </w:p>
        </w:tc>
      </w:tr>
      <w:tr w:rsidR="0084180E" w:rsidRPr="0087043D" w:rsidTr="00316FE3">
        <w:tc>
          <w:tcPr>
            <w:tcW w:w="553" w:type="pct"/>
            <w:vAlign w:val="center"/>
          </w:tcPr>
          <w:p w:rsidR="0084180E" w:rsidRPr="0087043D" w:rsidRDefault="0084180E" w:rsidP="0084180E">
            <w:pPr>
              <w:jc w:val="center"/>
              <w:rPr>
                <w:rFonts w:ascii="Arial Narrow" w:hAnsi="Arial Narrow"/>
                <w:color w:val="000000" w:themeColor="text1"/>
                <w:sz w:val="18"/>
                <w:szCs w:val="18"/>
              </w:rPr>
            </w:pPr>
          </w:p>
        </w:tc>
        <w:tc>
          <w:tcPr>
            <w:tcW w:w="4447" w:type="pct"/>
            <w:vAlign w:val="center"/>
            <w:hideMark/>
          </w:tcPr>
          <w:p w:rsidR="0084180E" w:rsidRPr="0087043D" w:rsidRDefault="0084180E" w:rsidP="0084180E">
            <w:pPr>
              <w:rPr>
                <w:rFonts w:ascii="Arial Narrow" w:hAnsi="Arial Narrow"/>
                <w:color w:val="000000" w:themeColor="text1"/>
                <w:sz w:val="18"/>
                <w:szCs w:val="18"/>
              </w:rPr>
            </w:pPr>
            <w:r w:rsidRPr="0087043D">
              <w:rPr>
                <w:rFonts w:ascii="Arial Narrow" w:hAnsi="Arial Narrow"/>
                <w:b/>
                <w:bCs/>
                <w:color w:val="000000" w:themeColor="text1"/>
                <w:sz w:val="18"/>
                <w:szCs w:val="18"/>
              </w:rPr>
              <w:t>AND</w:t>
            </w:r>
          </w:p>
        </w:tc>
      </w:tr>
      <w:tr w:rsidR="0084180E" w:rsidRPr="0087043D" w:rsidTr="00316FE3">
        <w:tc>
          <w:tcPr>
            <w:tcW w:w="553" w:type="pct"/>
            <w:vAlign w:val="center"/>
          </w:tcPr>
          <w:p w:rsidR="0084180E" w:rsidRPr="0087043D" w:rsidRDefault="0084180E" w:rsidP="0084180E">
            <w:pPr>
              <w:jc w:val="center"/>
              <w:rPr>
                <w:rFonts w:ascii="Arial Narrow" w:hAnsi="Arial Narrow"/>
                <w:color w:val="000000" w:themeColor="text1"/>
                <w:sz w:val="18"/>
                <w:szCs w:val="18"/>
              </w:rPr>
            </w:pPr>
          </w:p>
        </w:tc>
        <w:tc>
          <w:tcPr>
            <w:tcW w:w="4447" w:type="pct"/>
            <w:vAlign w:val="center"/>
          </w:tcPr>
          <w:p w:rsidR="0084180E" w:rsidRPr="0087043D" w:rsidRDefault="0084180E" w:rsidP="0084180E">
            <w:pPr>
              <w:rPr>
                <w:rFonts w:ascii="Arial Narrow" w:hAnsi="Arial Narrow"/>
                <w:b/>
                <w:bCs/>
                <w:color w:val="000000" w:themeColor="text1"/>
                <w:sz w:val="18"/>
                <w:szCs w:val="18"/>
              </w:rPr>
            </w:pPr>
            <w:r w:rsidRPr="0087043D">
              <w:rPr>
                <w:rFonts w:ascii="Arial Narrow" w:hAnsi="Arial Narrow"/>
                <w:b/>
                <w:bCs/>
                <w:color w:val="000000" w:themeColor="text1"/>
                <w:sz w:val="18"/>
                <w:szCs w:val="18"/>
              </w:rPr>
              <w:t>Prescribing Instructions:</w:t>
            </w:r>
          </w:p>
        </w:tc>
      </w:tr>
      <w:tr w:rsidR="0084180E" w:rsidRPr="0087043D" w:rsidTr="00316FE3">
        <w:tc>
          <w:tcPr>
            <w:tcW w:w="553" w:type="pct"/>
            <w:vAlign w:val="center"/>
          </w:tcPr>
          <w:p w:rsidR="0084180E" w:rsidRPr="0087043D" w:rsidRDefault="0084180E" w:rsidP="0084180E">
            <w:pPr>
              <w:jc w:val="center"/>
              <w:rPr>
                <w:rFonts w:ascii="Arial Narrow" w:hAnsi="Arial Narrow"/>
                <w:color w:val="000000" w:themeColor="text1"/>
                <w:sz w:val="18"/>
                <w:szCs w:val="18"/>
              </w:rPr>
            </w:pPr>
          </w:p>
        </w:tc>
        <w:tc>
          <w:tcPr>
            <w:tcW w:w="4447" w:type="pct"/>
            <w:vAlign w:val="center"/>
          </w:tcPr>
          <w:p w:rsidR="0084180E" w:rsidRPr="0087043D" w:rsidRDefault="0084180E" w:rsidP="0084180E">
            <w:pPr>
              <w:rPr>
                <w:rFonts w:ascii="Arial Narrow" w:hAnsi="Arial Narrow"/>
                <w:bCs/>
                <w:color w:val="000000" w:themeColor="text1"/>
                <w:sz w:val="18"/>
                <w:szCs w:val="18"/>
              </w:rPr>
            </w:pPr>
            <w:r w:rsidRPr="0087043D">
              <w:rPr>
                <w:rFonts w:ascii="Arial Narrow" w:hAnsi="Arial Narrow"/>
                <w:bCs/>
                <w:color w:val="000000" w:themeColor="text1"/>
                <w:sz w:val="18"/>
                <w:szCs w:val="18"/>
              </w:rPr>
              <w:t>The patient's body weight must be documented in the patient's medical records at the time treatment is initiated.</w:t>
            </w:r>
          </w:p>
        </w:tc>
      </w:tr>
      <w:tr w:rsidR="0084180E" w:rsidRPr="0087043D" w:rsidTr="00742D2E">
        <w:tc>
          <w:tcPr>
            <w:tcW w:w="553" w:type="pct"/>
            <w:vAlign w:val="center"/>
          </w:tcPr>
          <w:p w:rsidR="0084180E" w:rsidRPr="0087043D" w:rsidRDefault="0084180E" w:rsidP="0084180E">
            <w:pPr>
              <w:jc w:val="center"/>
              <w:rPr>
                <w:rFonts w:ascii="Arial Narrow" w:hAnsi="Arial Narrow"/>
                <w:color w:val="000000" w:themeColor="text1"/>
                <w:sz w:val="18"/>
                <w:szCs w:val="18"/>
              </w:rPr>
            </w:pPr>
          </w:p>
        </w:tc>
        <w:tc>
          <w:tcPr>
            <w:tcW w:w="4447" w:type="pct"/>
            <w:vAlign w:val="center"/>
            <w:hideMark/>
          </w:tcPr>
          <w:p w:rsidR="0084180E" w:rsidRPr="0087043D" w:rsidRDefault="0084180E" w:rsidP="0084180E">
            <w:pPr>
              <w:rPr>
                <w:rFonts w:ascii="Arial Narrow" w:hAnsi="Arial Narrow"/>
                <w:color w:val="000000" w:themeColor="text1"/>
                <w:sz w:val="18"/>
                <w:szCs w:val="18"/>
              </w:rPr>
            </w:pPr>
            <w:r w:rsidRPr="0087043D">
              <w:rPr>
                <w:rFonts w:ascii="Arial Narrow" w:hAnsi="Arial Narrow"/>
                <w:b/>
                <w:bCs/>
                <w:color w:val="000000" w:themeColor="text1"/>
                <w:sz w:val="18"/>
                <w:szCs w:val="18"/>
              </w:rPr>
              <w:t>Administrative Advice:</w:t>
            </w:r>
            <w:r w:rsidRPr="0087043D">
              <w:rPr>
                <w:rFonts w:ascii="Arial Narrow" w:hAnsi="Arial Narrow"/>
                <w:bCs/>
                <w:color w:val="000000" w:themeColor="text1"/>
                <w:sz w:val="18"/>
                <w:szCs w:val="18"/>
              </w:rPr>
              <w:t xml:space="preserve"> In the first few months after start of immunotherapy, some patients can have a transient tumour flare with subsequent disease response. When progression is suspected, this should be confirmed through a confirmatory scan, taken at least 4 weeks later</w:t>
            </w:r>
          </w:p>
          <w:p w:rsidR="0084180E" w:rsidRPr="0087043D" w:rsidRDefault="0084180E" w:rsidP="0084180E">
            <w:pPr>
              <w:rPr>
                <w:rFonts w:ascii="Arial Narrow" w:hAnsi="Arial Narrow"/>
                <w:color w:val="000000" w:themeColor="text1"/>
                <w:sz w:val="18"/>
                <w:szCs w:val="18"/>
              </w:rPr>
            </w:pPr>
          </w:p>
        </w:tc>
      </w:tr>
    </w:tbl>
    <w:p w:rsidR="008C7E0B" w:rsidRPr="0087043D" w:rsidRDefault="008C7E0B" w:rsidP="008C7E0B">
      <w:pPr>
        <w:rPr>
          <w:b/>
          <w:u w:val="single"/>
        </w:rPr>
      </w:pPr>
    </w:p>
    <w:p w:rsidR="00AE736A" w:rsidRDefault="00AE736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0"/>
        <w:gridCol w:w="7877"/>
      </w:tblGrid>
      <w:tr w:rsidR="008C7E0B" w:rsidRPr="0087043D" w:rsidTr="00316FE3">
        <w:tc>
          <w:tcPr>
            <w:tcW w:w="632"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color w:val="000000" w:themeColor="text1"/>
                <w:sz w:val="18"/>
                <w:szCs w:val="18"/>
              </w:rPr>
              <w:t>Category / Program:</w:t>
            </w:r>
            <w:r w:rsidR="00264317" w:rsidRPr="0087043D">
              <w:rPr>
                <w:rFonts w:ascii="Arial Narrow" w:hAnsi="Arial Narrow"/>
                <w:b/>
                <w:color w:val="000000" w:themeColor="text1"/>
                <w:sz w:val="18"/>
                <w:szCs w:val="18"/>
              </w:rPr>
              <w:t xml:space="preserve"> </w:t>
            </w:r>
            <w:r w:rsidRPr="0087043D">
              <w:rPr>
                <w:rFonts w:ascii="Arial Narrow" w:hAnsi="Arial Narrow"/>
                <w:b/>
                <w:color w:val="000000" w:themeColor="text1"/>
                <w:sz w:val="18"/>
                <w:szCs w:val="18"/>
              </w:rPr>
              <w:t xml:space="preserve"> </w:t>
            </w:r>
            <w:r w:rsidRPr="0087043D">
              <w:rPr>
                <w:rFonts w:ascii="Arial Narrow" w:hAnsi="Arial Narrow"/>
                <w:color w:val="000000" w:themeColor="text1"/>
                <w:sz w:val="18"/>
                <w:szCs w:val="18"/>
              </w:rPr>
              <w:t xml:space="preserve">Section 100 – Efficient Funding of Chemotherapy </w:t>
            </w:r>
          </w:p>
        </w:tc>
      </w:tr>
      <w:tr w:rsidR="008C7E0B" w:rsidRPr="0087043D" w:rsidTr="00316FE3">
        <w:tc>
          <w:tcPr>
            <w:tcW w:w="632"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color w:val="000000" w:themeColor="text1"/>
                <w:sz w:val="18"/>
                <w:szCs w:val="18"/>
              </w:rPr>
              <w:t>Prescriber type:</w:t>
            </w:r>
            <w:r w:rsidR="00264317" w:rsidRPr="0087043D">
              <w:rPr>
                <w:rFonts w:ascii="Arial Narrow" w:hAnsi="Arial Narrow"/>
                <w:b/>
                <w:color w:val="000000" w:themeColor="text1"/>
                <w:sz w:val="18"/>
                <w:szCs w:val="18"/>
              </w:rPr>
              <w:t xml:space="preserve"> </w:t>
            </w:r>
            <w:r w:rsidRPr="0087043D">
              <w:rPr>
                <w:rFonts w:ascii="Arial Narrow" w:hAnsi="Arial Narrow"/>
                <w:color w:val="000000" w:themeColor="text1"/>
                <w:sz w:val="18"/>
                <w:szCs w:val="18"/>
              </w:rPr>
              <w:fldChar w:fldCharType="begin">
                <w:ffData>
                  <w:name w:val="Check1"/>
                  <w:enabled/>
                  <w:calcOnExit w:val="0"/>
                  <w:checkBox>
                    <w:sizeAuto/>
                    <w:default w:val="0"/>
                  </w:checkBox>
                </w:ffData>
              </w:fldChar>
            </w:r>
            <w:r w:rsidRPr="0087043D">
              <w:rPr>
                <w:rFonts w:ascii="Arial Narrow" w:hAnsi="Arial Narrow"/>
                <w:color w:val="000000" w:themeColor="text1"/>
                <w:sz w:val="18"/>
                <w:szCs w:val="18"/>
              </w:rPr>
              <w:instrText xml:space="preserve"> FORMCHECKBOX </w:instrText>
            </w:r>
            <w:r w:rsidR="00725666">
              <w:rPr>
                <w:rFonts w:ascii="Arial Narrow" w:hAnsi="Arial Narrow"/>
                <w:color w:val="000000" w:themeColor="text1"/>
                <w:sz w:val="18"/>
                <w:szCs w:val="18"/>
              </w:rPr>
            </w:r>
            <w:r w:rsidR="00725666">
              <w:rPr>
                <w:rFonts w:ascii="Arial Narrow" w:hAnsi="Arial Narrow"/>
                <w:color w:val="000000" w:themeColor="text1"/>
                <w:sz w:val="18"/>
                <w:szCs w:val="18"/>
              </w:rPr>
              <w:fldChar w:fldCharType="separate"/>
            </w:r>
            <w:r w:rsidRPr="0087043D">
              <w:rPr>
                <w:rFonts w:ascii="Arial Narrow" w:hAnsi="Arial Narrow"/>
                <w:color w:val="000000" w:themeColor="text1"/>
                <w:sz w:val="18"/>
                <w:szCs w:val="18"/>
              </w:rPr>
              <w:fldChar w:fldCharType="end"/>
            </w:r>
            <w:r w:rsidRPr="0087043D">
              <w:rPr>
                <w:rFonts w:ascii="Arial Narrow" w:hAnsi="Arial Narrow"/>
                <w:color w:val="000000" w:themeColor="text1"/>
                <w:sz w:val="18"/>
                <w:szCs w:val="18"/>
              </w:rPr>
              <w:t>Dental</w:t>
            </w:r>
            <w:r w:rsidR="00264317" w:rsidRPr="0087043D">
              <w:rPr>
                <w:rFonts w:ascii="Arial Narrow" w:hAnsi="Arial Narrow"/>
                <w:color w:val="000000" w:themeColor="text1"/>
                <w:sz w:val="18"/>
                <w:szCs w:val="18"/>
              </w:rPr>
              <w:t xml:space="preserve"> </w:t>
            </w:r>
            <w:r w:rsidRPr="0087043D">
              <w:rPr>
                <w:rFonts w:ascii="Arial Narrow" w:hAnsi="Arial Narrow"/>
                <w:color w:val="000000" w:themeColor="text1"/>
                <w:sz w:val="18"/>
                <w:szCs w:val="18"/>
              </w:rPr>
              <w:fldChar w:fldCharType="begin">
                <w:ffData>
                  <w:name w:val=""/>
                  <w:enabled/>
                  <w:calcOnExit w:val="0"/>
                  <w:checkBox>
                    <w:sizeAuto/>
                    <w:default w:val="1"/>
                  </w:checkBox>
                </w:ffData>
              </w:fldChar>
            </w:r>
            <w:r w:rsidRPr="0087043D">
              <w:rPr>
                <w:rFonts w:ascii="Arial Narrow" w:hAnsi="Arial Narrow"/>
                <w:color w:val="000000" w:themeColor="text1"/>
                <w:sz w:val="18"/>
                <w:szCs w:val="18"/>
              </w:rPr>
              <w:instrText xml:space="preserve"> FORMCHECKBOX </w:instrText>
            </w:r>
            <w:r w:rsidR="00725666">
              <w:rPr>
                <w:rFonts w:ascii="Arial Narrow" w:hAnsi="Arial Narrow"/>
                <w:color w:val="000000" w:themeColor="text1"/>
                <w:sz w:val="18"/>
                <w:szCs w:val="18"/>
              </w:rPr>
            </w:r>
            <w:r w:rsidR="00725666">
              <w:rPr>
                <w:rFonts w:ascii="Arial Narrow" w:hAnsi="Arial Narrow"/>
                <w:color w:val="000000" w:themeColor="text1"/>
                <w:sz w:val="18"/>
                <w:szCs w:val="18"/>
              </w:rPr>
              <w:fldChar w:fldCharType="separate"/>
            </w:r>
            <w:r w:rsidRPr="0087043D">
              <w:rPr>
                <w:rFonts w:ascii="Arial Narrow" w:hAnsi="Arial Narrow"/>
                <w:color w:val="000000" w:themeColor="text1"/>
                <w:sz w:val="18"/>
                <w:szCs w:val="18"/>
              </w:rPr>
              <w:fldChar w:fldCharType="end"/>
            </w:r>
            <w:r w:rsidRPr="0087043D">
              <w:rPr>
                <w:rFonts w:ascii="Arial Narrow" w:hAnsi="Arial Narrow"/>
                <w:color w:val="000000" w:themeColor="text1"/>
                <w:sz w:val="18"/>
                <w:szCs w:val="18"/>
              </w:rPr>
              <w:t>Medical Practitioners</w:t>
            </w:r>
            <w:r w:rsidR="00264317" w:rsidRPr="0087043D">
              <w:rPr>
                <w:rFonts w:ascii="Arial Narrow" w:hAnsi="Arial Narrow"/>
                <w:color w:val="000000" w:themeColor="text1"/>
                <w:sz w:val="18"/>
                <w:szCs w:val="18"/>
              </w:rPr>
              <w:t xml:space="preserve"> </w:t>
            </w:r>
            <w:r w:rsidRPr="0087043D">
              <w:rPr>
                <w:rFonts w:ascii="Arial Narrow" w:hAnsi="Arial Narrow"/>
                <w:color w:val="000000" w:themeColor="text1"/>
                <w:sz w:val="18"/>
                <w:szCs w:val="18"/>
              </w:rPr>
              <w:fldChar w:fldCharType="begin">
                <w:ffData>
                  <w:name w:val="Check3"/>
                  <w:enabled/>
                  <w:calcOnExit w:val="0"/>
                  <w:checkBox>
                    <w:sizeAuto/>
                    <w:default w:val="0"/>
                  </w:checkBox>
                </w:ffData>
              </w:fldChar>
            </w:r>
            <w:r w:rsidRPr="0087043D">
              <w:rPr>
                <w:rFonts w:ascii="Arial Narrow" w:hAnsi="Arial Narrow"/>
                <w:color w:val="000000" w:themeColor="text1"/>
                <w:sz w:val="18"/>
                <w:szCs w:val="18"/>
              </w:rPr>
              <w:instrText xml:space="preserve"> FORMCHECKBOX </w:instrText>
            </w:r>
            <w:r w:rsidR="00725666">
              <w:rPr>
                <w:rFonts w:ascii="Arial Narrow" w:hAnsi="Arial Narrow"/>
                <w:color w:val="000000" w:themeColor="text1"/>
                <w:sz w:val="18"/>
                <w:szCs w:val="18"/>
              </w:rPr>
            </w:r>
            <w:r w:rsidR="00725666">
              <w:rPr>
                <w:rFonts w:ascii="Arial Narrow" w:hAnsi="Arial Narrow"/>
                <w:color w:val="000000" w:themeColor="text1"/>
                <w:sz w:val="18"/>
                <w:szCs w:val="18"/>
              </w:rPr>
              <w:fldChar w:fldCharType="separate"/>
            </w:r>
            <w:r w:rsidRPr="0087043D">
              <w:rPr>
                <w:rFonts w:ascii="Arial Narrow" w:hAnsi="Arial Narrow"/>
                <w:color w:val="000000" w:themeColor="text1"/>
                <w:sz w:val="18"/>
                <w:szCs w:val="18"/>
              </w:rPr>
              <w:fldChar w:fldCharType="end"/>
            </w:r>
            <w:r w:rsidRPr="0087043D">
              <w:rPr>
                <w:rFonts w:ascii="Arial Narrow" w:hAnsi="Arial Narrow"/>
                <w:color w:val="000000" w:themeColor="text1"/>
                <w:sz w:val="18"/>
                <w:szCs w:val="18"/>
              </w:rPr>
              <w:t>Nurse practitioners</w:t>
            </w:r>
            <w:r w:rsidR="00264317" w:rsidRPr="0087043D">
              <w:rPr>
                <w:rFonts w:ascii="Arial Narrow" w:hAnsi="Arial Narrow"/>
                <w:color w:val="000000" w:themeColor="text1"/>
                <w:sz w:val="18"/>
                <w:szCs w:val="18"/>
              </w:rPr>
              <w:t xml:space="preserve"> </w:t>
            </w:r>
            <w:r w:rsidRPr="0087043D">
              <w:rPr>
                <w:rFonts w:ascii="Arial Narrow" w:hAnsi="Arial Narrow"/>
                <w:color w:val="000000" w:themeColor="text1"/>
                <w:sz w:val="18"/>
                <w:szCs w:val="18"/>
              </w:rPr>
              <w:fldChar w:fldCharType="begin">
                <w:ffData>
                  <w:name w:val=""/>
                  <w:enabled/>
                  <w:calcOnExit w:val="0"/>
                  <w:checkBox>
                    <w:sizeAuto/>
                    <w:default w:val="0"/>
                  </w:checkBox>
                </w:ffData>
              </w:fldChar>
            </w:r>
            <w:r w:rsidRPr="0087043D">
              <w:rPr>
                <w:rFonts w:ascii="Arial Narrow" w:hAnsi="Arial Narrow"/>
                <w:color w:val="000000" w:themeColor="text1"/>
                <w:sz w:val="18"/>
                <w:szCs w:val="18"/>
              </w:rPr>
              <w:instrText xml:space="preserve"> FORMCHECKBOX </w:instrText>
            </w:r>
            <w:r w:rsidR="00725666">
              <w:rPr>
                <w:rFonts w:ascii="Arial Narrow" w:hAnsi="Arial Narrow"/>
                <w:color w:val="000000" w:themeColor="text1"/>
                <w:sz w:val="18"/>
                <w:szCs w:val="18"/>
              </w:rPr>
            </w:r>
            <w:r w:rsidR="00725666">
              <w:rPr>
                <w:rFonts w:ascii="Arial Narrow" w:hAnsi="Arial Narrow"/>
                <w:color w:val="000000" w:themeColor="text1"/>
                <w:sz w:val="18"/>
                <w:szCs w:val="18"/>
              </w:rPr>
              <w:fldChar w:fldCharType="separate"/>
            </w:r>
            <w:r w:rsidRPr="0087043D">
              <w:rPr>
                <w:rFonts w:ascii="Arial Narrow" w:hAnsi="Arial Narrow"/>
                <w:color w:val="000000" w:themeColor="text1"/>
                <w:sz w:val="18"/>
                <w:szCs w:val="18"/>
              </w:rPr>
              <w:fldChar w:fldCharType="end"/>
            </w:r>
            <w:r w:rsidRPr="0087043D">
              <w:rPr>
                <w:rFonts w:ascii="Arial Narrow" w:hAnsi="Arial Narrow"/>
                <w:color w:val="000000" w:themeColor="text1"/>
                <w:sz w:val="18"/>
                <w:szCs w:val="18"/>
              </w:rPr>
              <w:t>Optometrists</w:t>
            </w:r>
            <w:r w:rsidR="00264317" w:rsidRPr="0087043D">
              <w:rPr>
                <w:rFonts w:ascii="Arial Narrow" w:hAnsi="Arial Narrow"/>
                <w:color w:val="000000" w:themeColor="text1"/>
                <w:sz w:val="18"/>
                <w:szCs w:val="18"/>
              </w:rPr>
              <w:t xml:space="preserve">  </w:t>
            </w:r>
            <w:r w:rsidRPr="0087043D">
              <w:rPr>
                <w:rFonts w:ascii="Arial Narrow" w:hAnsi="Arial Narrow"/>
                <w:color w:val="000000" w:themeColor="text1"/>
                <w:sz w:val="18"/>
                <w:szCs w:val="18"/>
              </w:rPr>
              <w:fldChar w:fldCharType="begin">
                <w:ffData>
                  <w:name w:val="Check5"/>
                  <w:enabled/>
                  <w:calcOnExit w:val="0"/>
                  <w:checkBox>
                    <w:sizeAuto/>
                    <w:default w:val="0"/>
                  </w:checkBox>
                </w:ffData>
              </w:fldChar>
            </w:r>
            <w:r w:rsidRPr="0087043D">
              <w:rPr>
                <w:rFonts w:ascii="Arial Narrow" w:hAnsi="Arial Narrow"/>
                <w:color w:val="000000" w:themeColor="text1"/>
                <w:sz w:val="18"/>
                <w:szCs w:val="18"/>
              </w:rPr>
              <w:instrText xml:space="preserve"> FORMCHECKBOX </w:instrText>
            </w:r>
            <w:r w:rsidR="00725666">
              <w:rPr>
                <w:rFonts w:ascii="Arial Narrow" w:hAnsi="Arial Narrow"/>
                <w:color w:val="000000" w:themeColor="text1"/>
                <w:sz w:val="18"/>
                <w:szCs w:val="18"/>
              </w:rPr>
            </w:r>
            <w:r w:rsidR="00725666">
              <w:rPr>
                <w:rFonts w:ascii="Arial Narrow" w:hAnsi="Arial Narrow"/>
                <w:color w:val="000000" w:themeColor="text1"/>
                <w:sz w:val="18"/>
                <w:szCs w:val="18"/>
              </w:rPr>
              <w:fldChar w:fldCharType="separate"/>
            </w:r>
            <w:r w:rsidRPr="0087043D">
              <w:rPr>
                <w:rFonts w:ascii="Arial Narrow" w:hAnsi="Arial Narrow"/>
                <w:color w:val="000000" w:themeColor="text1"/>
                <w:sz w:val="18"/>
                <w:szCs w:val="18"/>
              </w:rPr>
              <w:fldChar w:fldCharType="end"/>
            </w:r>
            <w:r w:rsidRPr="0087043D">
              <w:rPr>
                <w:rFonts w:ascii="Arial Narrow" w:hAnsi="Arial Narrow"/>
                <w:color w:val="000000" w:themeColor="text1"/>
                <w:sz w:val="18"/>
                <w:szCs w:val="18"/>
              </w:rPr>
              <w:t>Midwives</w:t>
            </w:r>
          </w:p>
        </w:tc>
      </w:tr>
      <w:tr w:rsidR="008C7E0B" w:rsidRPr="0087043D" w:rsidTr="00316FE3">
        <w:tc>
          <w:tcPr>
            <w:tcW w:w="632"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tcPr>
          <w:p w:rsidR="008C7E0B" w:rsidRPr="0087043D" w:rsidRDefault="008C7E0B" w:rsidP="00710FBA">
            <w:pPr>
              <w:rPr>
                <w:rFonts w:ascii="Arial Narrow" w:eastAsia="Calibri" w:hAnsi="Arial Narrow"/>
                <w:sz w:val="18"/>
                <w:szCs w:val="18"/>
              </w:rPr>
            </w:pPr>
            <w:r w:rsidRPr="0087043D">
              <w:rPr>
                <w:rFonts w:ascii="Arial Narrow" w:hAnsi="Arial Narrow"/>
                <w:b/>
                <w:sz w:val="18"/>
                <w:szCs w:val="18"/>
              </w:rPr>
              <w:t>Restriction Type – assessment time by Medicare – Method of obtaining authority approval (if Authority Required):</w:t>
            </w:r>
          </w:p>
          <w:p w:rsidR="008C7E0B" w:rsidRPr="0087043D" w:rsidRDefault="008C7E0B" w:rsidP="008C7E0B">
            <w:pPr>
              <w:rPr>
                <w:rFonts w:ascii="Arial Narrow" w:hAnsi="Arial Narrow"/>
                <w:b/>
                <w:bCs/>
                <w:color w:val="000000" w:themeColor="text1"/>
                <w:sz w:val="18"/>
                <w:szCs w:val="18"/>
              </w:rPr>
            </w:pPr>
            <w:r w:rsidRPr="0087043D">
              <w:rPr>
                <w:rFonts w:ascii="Arial Narrow" w:eastAsia="Calibri" w:hAnsi="Arial Narrow"/>
                <w:sz w:val="18"/>
                <w:szCs w:val="18"/>
              </w:rPr>
              <w:fldChar w:fldCharType="begin">
                <w:ffData>
                  <w:name w:val=""/>
                  <w:enabled/>
                  <w:calcOnExit w:val="0"/>
                  <w:checkBox>
                    <w:sizeAuto/>
                    <w:default w:val="1"/>
                  </w:checkBox>
                </w:ffData>
              </w:fldChar>
            </w:r>
            <w:r w:rsidRPr="0087043D">
              <w:rPr>
                <w:rFonts w:ascii="Arial Narrow" w:eastAsia="Calibri" w:hAnsi="Arial Narrow"/>
                <w:sz w:val="18"/>
                <w:szCs w:val="18"/>
              </w:rPr>
              <w:instrText xml:space="preserve"> FORMCHECKBOX </w:instrText>
            </w:r>
            <w:r w:rsidR="00725666">
              <w:rPr>
                <w:rFonts w:ascii="Arial Narrow" w:eastAsia="Calibri" w:hAnsi="Arial Narrow"/>
                <w:sz w:val="18"/>
                <w:szCs w:val="18"/>
              </w:rPr>
            </w:r>
            <w:r w:rsidR="00725666">
              <w:rPr>
                <w:rFonts w:ascii="Arial Narrow" w:eastAsia="Calibri" w:hAnsi="Arial Narrow"/>
                <w:sz w:val="18"/>
                <w:szCs w:val="18"/>
              </w:rPr>
              <w:fldChar w:fldCharType="separate"/>
            </w:r>
            <w:r w:rsidRPr="0087043D">
              <w:rPr>
                <w:rFonts w:ascii="Arial Narrow" w:eastAsia="Calibri" w:hAnsi="Arial Narrow"/>
                <w:sz w:val="18"/>
                <w:szCs w:val="18"/>
              </w:rPr>
              <w:fldChar w:fldCharType="end"/>
            </w:r>
            <w:r w:rsidRPr="0087043D">
              <w:rPr>
                <w:rFonts w:ascii="Arial Narrow" w:eastAsia="Calibri" w:hAnsi="Arial Narrow"/>
                <w:sz w:val="18"/>
                <w:szCs w:val="18"/>
              </w:rPr>
              <w:t xml:space="preserve">Authority Required – Streamlined [new/existing code] (specification of 4-digit code by prescriber to certify that they have read the PBS restriction; no prior assessment by Medicare; retrospective audit of patient records possible) </w:t>
            </w:r>
          </w:p>
        </w:tc>
      </w:tr>
      <w:tr w:rsidR="008C7E0B" w:rsidRPr="0087043D" w:rsidTr="00316FE3">
        <w:tc>
          <w:tcPr>
            <w:tcW w:w="632" w:type="pct"/>
            <w:vAlign w:val="center"/>
          </w:tcPr>
          <w:p w:rsidR="008C7E0B" w:rsidRPr="0087043D" w:rsidRDefault="008C7E0B" w:rsidP="008C7E0B">
            <w:pPr>
              <w:jc w:val="center"/>
              <w:rPr>
                <w:rFonts w:ascii="Arial Narrow" w:hAnsi="Arial Narrow"/>
                <w:color w:val="000000" w:themeColor="text1"/>
                <w:sz w:val="18"/>
                <w:szCs w:val="18"/>
              </w:rPr>
            </w:pPr>
          </w:p>
        </w:tc>
        <w:tc>
          <w:tcPr>
            <w:tcW w:w="4368" w:type="pct"/>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Administrative Advice:</w:t>
            </w:r>
            <w:r w:rsidRPr="0087043D">
              <w:rPr>
                <w:rFonts w:ascii="Arial Narrow" w:hAnsi="Arial Narrow"/>
                <w:color w:val="000000" w:themeColor="text1"/>
                <w:sz w:val="18"/>
                <w:szCs w:val="18"/>
              </w:rPr>
              <w:t xml:space="preserve"> No increase in the maximum number of repeats may be authorised.</w:t>
            </w:r>
          </w:p>
        </w:tc>
      </w:tr>
      <w:tr w:rsidR="008C7E0B" w:rsidRPr="0087043D" w:rsidTr="00316FE3">
        <w:tc>
          <w:tcPr>
            <w:tcW w:w="632" w:type="pct"/>
            <w:vAlign w:val="center"/>
          </w:tcPr>
          <w:p w:rsidR="008C7E0B" w:rsidRPr="0087043D" w:rsidRDefault="008C7E0B" w:rsidP="008C7E0B">
            <w:pPr>
              <w:jc w:val="center"/>
              <w:rPr>
                <w:rFonts w:ascii="Arial Narrow" w:hAnsi="Arial Narrow"/>
                <w:color w:val="000000" w:themeColor="text1"/>
                <w:sz w:val="18"/>
                <w:szCs w:val="18"/>
              </w:rPr>
            </w:pPr>
          </w:p>
        </w:tc>
        <w:tc>
          <w:tcPr>
            <w:tcW w:w="4368" w:type="pct"/>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 xml:space="preserve">Administrative Advice: </w:t>
            </w:r>
            <w:r w:rsidRPr="0087043D">
              <w:rPr>
                <w:rFonts w:ascii="Arial Narrow" w:hAnsi="Arial Narrow"/>
                <w:bCs/>
                <w:color w:val="000000" w:themeColor="text1"/>
                <w:sz w:val="18"/>
                <w:szCs w:val="18"/>
              </w:rPr>
              <w:t>Special Pricing Arrangements apply.</w:t>
            </w:r>
          </w:p>
        </w:tc>
      </w:tr>
      <w:tr w:rsidR="008C7E0B" w:rsidRPr="0087043D" w:rsidTr="00316FE3">
        <w:tc>
          <w:tcPr>
            <w:tcW w:w="632" w:type="pct"/>
            <w:vAlign w:val="center"/>
          </w:tcPr>
          <w:p w:rsidR="008C7E0B" w:rsidRPr="0087043D" w:rsidRDefault="008C7E0B" w:rsidP="008C7E0B">
            <w:pPr>
              <w:jc w:val="center"/>
              <w:rPr>
                <w:rFonts w:ascii="Arial Narrow" w:hAnsi="Arial Narrow"/>
                <w:color w:val="000000" w:themeColor="text1"/>
                <w:sz w:val="18"/>
                <w:szCs w:val="18"/>
              </w:rPr>
            </w:pPr>
          </w:p>
        </w:tc>
        <w:tc>
          <w:tcPr>
            <w:tcW w:w="4368" w:type="pct"/>
            <w:vAlign w:val="center"/>
          </w:tcPr>
          <w:p w:rsidR="008C7E0B" w:rsidRPr="0087043D" w:rsidRDefault="008C7E0B" w:rsidP="008C7E0B">
            <w:pPr>
              <w:rPr>
                <w:rFonts w:ascii="Arial Narrow" w:hAnsi="Arial Narrow"/>
                <w:b/>
                <w:bCs/>
                <w:color w:val="000000" w:themeColor="text1"/>
                <w:sz w:val="18"/>
                <w:szCs w:val="18"/>
              </w:rPr>
            </w:pPr>
            <w:proofErr w:type="spellStart"/>
            <w:r w:rsidRPr="0087043D">
              <w:rPr>
                <w:rFonts w:ascii="Arial Narrow" w:hAnsi="Arial Narrow"/>
                <w:b/>
                <w:bCs/>
                <w:color w:val="000000" w:themeColor="text1"/>
                <w:sz w:val="18"/>
                <w:szCs w:val="18"/>
              </w:rPr>
              <w:t>Episodicity</w:t>
            </w:r>
            <w:proofErr w:type="spellEnd"/>
            <w:r w:rsidRPr="0087043D">
              <w:rPr>
                <w:rFonts w:ascii="Arial Narrow" w:hAnsi="Arial Narrow"/>
                <w:b/>
                <w:bCs/>
                <w:color w:val="000000" w:themeColor="text1"/>
                <w:sz w:val="18"/>
                <w:szCs w:val="18"/>
              </w:rPr>
              <w:t xml:space="preserve">: </w:t>
            </w:r>
            <w:r w:rsidRPr="0087043D">
              <w:rPr>
                <w:rFonts w:ascii="Arial Narrow" w:hAnsi="Arial Narrow"/>
                <w:bCs/>
                <w:color w:val="000000" w:themeColor="text1"/>
                <w:sz w:val="18"/>
                <w:szCs w:val="18"/>
              </w:rPr>
              <w:t>[nil]</w:t>
            </w:r>
          </w:p>
        </w:tc>
      </w:tr>
      <w:tr w:rsidR="008C7E0B" w:rsidRPr="0087043D" w:rsidTr="00316FE3">
        <w:tc>
          <w:tcPr>
            <w:tcW w:w="632" w:type="pct"/>
            <w:vAlign w:val="center"/>
          </w:tcPr>
          <w:p w:rsidR="008C7E0B" w:rsidRPr="0087043D" w:rsidRDefault="008C7E0B" w:rsidP="008C7E0B">
            <w:pPr>
              <w:jc w:val="center"/>
              <w:rPr>
                <w:rFonts w:ascii="Arial Narrow" w:hAnsi="Arial Narrow"/>
                <w:color w:val="000000" w:themeColor="text1"/>
                <w:sz w:val="18"/>
                <w:szCs w:val="18"/>
              </w:rPr>
            </w:pPr>
          </w:p>
        </w:tc>
        <w:tc>
          <w:tcPr>
            <w:tcW w:w="4368" w:type="pct"/>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 xml:space="preserve">Severity: </w:t>
            </w:r>
            <w:r w:rsidRPr="0087043D">
              <w:rPr>
                <w:rFonts w:ascii="Arial Narrow" w:hAnsi="Arial Narrow"/>
                <w:bCs/>
                <w:color w:val="000000" w:themeColor="text1"/>
                <w:sz w:val="18"/>
                <w:szCs w:val="18"/>
              </w:rPr>
              <w:t>Stage IV (metastatic)</w:t>
            </w:r>
          </w:p>
        </w:tc>
      </w:tr>
      <w:tr w:rsidR="008C7E0B" w:rsidRPr="0087043D" w:rsidTr="00316FE3">
        <w:tc>
          <w:tcPr>
            <w:tcW w:w="632" w:type="pct"/>
            <w:vAlign w:val="center"/>
          </w:tcPr>
          <w:p w:rsidR="008C7E0B" w:rsidRPr="0087043D" w:rsidRDefault="008C7E0B" w:rsidP="008C7E0B">
            <w:pPr>
              <w:jc w:val="center"/>
              <w:rPr>
                <w:rFonts w:ascii="Arial Narrow" w:hAnsi="Arial Narrow"/>
                <w:color w:val="000000" w:themeColor="text1"/>
                <w:sz w:val="18"/>
                <w:szCs w:val="18"/>
              </w:rPr>
            </w:pPr>
          </w:p>
        </w:tc>
        <w:tc>
          <w:tcPr>
            <w:tcW w:w="4368" w:type="pct"/>
            <w:vAlign w:val="center"/>
          </w:tcPr>
          <w:p w:rsidR="008C7E0B" w:rsidRPr="0087043D" w:rsidRDefault="008C7E0B" w:rsidP="0010666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 xml:space="preserve">Condition: </w:t>
            </w:r>
            <w:r w:rsidR="00710FBA" w:rsidRPr="0087043D">
              <w:rPr>
                <w:rFonts w:ascii="Arial Narrow" w:hAnsi="Arial Narrow"/>
                <w:bCs/>
                <w:color w:val="000000" w:themeColor="text1"/>
                <w:sz w:val="18"/>
                <w:szCs w:val="18"/>
              </w:rPr>
              <w:t>n</w:t>
            </w:r>
            <w:r w:rsidRPr="0087043D">
              <w:rPr>
                <w:rFonts w:ascii="Arial Narrow" w:hAnsi="Arial Narrow"/>
                <w:bCs/>
                <w:color w:val="000000" w:themeColor="text1"/>
                <w:sz w:val="18"/>
                <w:szCs w:val="18"/>
              </w:rPr>
              <w:t>on-small cell lung cancer (NSCLC)</w:t>
            </w:r>
          </w:p>
        </w:tc>
      </w:tr>
      <w:tr w:rsidR="008C7E0B" w:rsidRPr="0087043D" w:rsidTr="00742D2E">
        <w:tc>
          <w:tcPr>
            <w:tcW w:w="632"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vAlign w:val="center"/>
            <w:hideMark/>
          </w:tcPr>
          <w:p w:rsidR="008C7E0B" w:rsidRPr="0087043D" w:rsidRDefault="008C7E0B" w:rsidP="00710FBA">
            <w:pPr>
              <w:rPr>
                <w:rFonts w:ascii="Arial Narrow" w:hAnsi="Arial Narrow"/>
                <w:b/>
                <w:bCs/>
                <w:color w:val="000000" w:themeColor="text1"/>
                <w:sz w:val="18"/>
                <w:szCs w:val="18"/>
              </w:rPr>
            </w:pPr>
            <w:r w:rsidRPr="0087043D">
              <w:rPr>
                <w:rFonts w:ascii="Arial Narrow" w:hAnsi="Arial Narrow"/>
                <w:b/>
                <w:bCs/>
                <w:color w:val="000000" w:themeColor="text1"/>
                <w:sz w:val="18"/>
                <w:szCs w:val="18"/>
              </w:rPr>
              <w:t xml:space="preserve">Treatment Phase: </w:t>
            </w:r>
            <w:r w:rsidRPr="0087043D">
              <w:rPr>
                <w:rFonts w:ascii="Arial Narrow" w:hAnsi="Arial Narrow"/>
                <w:bCs/>
                <w:color w:val="000000" w:themeColor="text1"/>
                <w:sz w:val="18"/>
                <w:szCs w:val="18"/>
              </w:rPr>
              <w:t>Continuing combination treatment (with nivolumab) of first-line drug therapy</w:t>
            </w:r>
          </w:p>
        </w:tc>
      </w:tr>
      <w:tr w:rsidR="00024D0F" w:rsidRPr="0087043D" w:rsidTr="00742D2E">
        <w:tc>
          <w:tcPr>
            <w:tcW w:w="632" w:type="pct"/>
            <w:vAlign w:val="center"/>
          </w:tcPr>
          <w:p w:rsidR="00024D0F" w:rsidRPr="0087043D" w:rsidRDefault="00024D0F" w:rsidP="0010666B">
            <w:pPr>
              <w:jc w:val="center"/>
              <w:rPr>
                <w:rFonts w:ascii="Arial Narrow" w:hAnsi="Arial Narrow"/>
                <w:color w:val="000000" w:themeColor="text1"/>
                <w:sz w:val="18"/>
                <w:szCs w:val="18"/>
              </w:rPr>
            </w:pPr>
          </w:p>
        </w:tc>
        <w:tc>
          <w:tcPr>
            <w:tcW w:w="4368" w:type="pct"/>
            <w:vAlign w:val="center"/>
            <w:hideMark/>
          </w:tcPr>
          <w:p w:rsidR="00024D0F" w:rsidRPr="0087043D" w:rsidRDefault="00024D0F" w:rsidP="0010666B">
            <w:pPr>
              <w:rPr>
                <w:rFonts w:ascii="Arial Narrow" w:hAnsi="Arial Narrow"/>
                <w:color w:val="000000" w:themeColor="text1"/>
                <w:sz w:val="18"/>
                <w:szCs w:val="18"/>
              </w:rPr>
            </w:pPr>
            <w:r w:rsidRPr="0087043D">
              <w:rPr>
                <w:rFonts w:ascii="Arial Narrow" w:hAnsi="Arial Narrow"/>
                <w:b/>
                <w:bCs/>
                <w:color w:val="000000" w:themeColor="text1"/>
                <w:sz w:val="18"/>
                <w:szCs w:val="18"/>
              </w:rPr>
              <w:t>Indication:</w:t>
            </w:r>
            <w:r w:rsidRPr="0087043D">
              <w:rPr>
                <w:rFonts w:ascii="Arial Narrow" w:hAnsi="Arial Narrow"/>
                <w:color w:val="000000" w:themeColor="text1"/>
                <w:sz w:val="18"/>
                <w:szCs w:val="18"/>
              </w:rPr>
              <w:t xml:space="preserve"> Stage IV (metastatic) non-small cell lung cancer (NSCLC)</w:t>
            </w:r>
          </w:p>
        </w:tc>
      </w:tr>
      <w:tr w:rsidR="008C7E0B" w:rsidRPr="0087043D" w:rsidTr="00742D2E">
        <w:tc>
          <w:tcPr>
            <w:tcW w:w="632" w:type="pct"/>
            <w:vMerge w:val="restart"/>
            <w:tcBorders>
              <w:top w:val="single" w:sz="4" w:space="0" w:color="auto"/>
              <w:left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vAlign w:val="center"/>
            <w:hideMark/>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Clinical criteria:</w:t>
            </w:r>
          </w:p>
        </w:tc>
      </w:tr>
      <w:tr w:rsidR="008C7E0B" w:rsidRPr="0087043D" w:rsidTr="00742D2E">
        <w:tc>
          <w:tcPr>
            <w:tcW w:w="632" w:type="pct"/>
            <w:vMerge/>
            <w:tcBorders>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vAlign w:val="center"/>
            <w:hideMark/>
          </w:tcPr>
          <w:p w:rsidR="008C7E0B" w:rsidRPr="0087043D" w:rsidRDefault="008C7E0B" w:rsidP="008C7E0B">
            <w:pPr>
              <w:rPr>
                <w:rFonts w:ascii="Arial Narrow" w:hAnsi="Arial Narrow"/>
                <w:bCs/>
                <w:color w:val="000000" w:themeColor="text1"/>
                <w:sz w:val="18"/>
                <w:szCs w:val="18"/>
              </w:rPr>
            </w:pPr>
            <w:r w:rsidRPr="0087043D">
              <w:rPr>
                <w:rFonts w:ascii="Arial Narrow" w:hAnsi="Arial Narrow"/>
                <w:bCs/>
                <w:color w:val="000000" w:themeColor="text1"/>
                <w:sz w:val="18"/>
                <w:szCs w:val="18"/>
              </w:rPr>
              <w:t>Patient must have previously received PBS-subsidised treatment with this drug in this line of treatment.</w:t>
            </w:r>
          </w:p>
        </w:tc>
      </w:tr>
      <w:tr w:rsidR="008C7E0B" w:rsidRPr="0087043D" w:rsidTr="00316FE3">
        <w:tc>
          <w:tcPr>
            <w:tcW w:w="632"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AND</w:t>
            </w:r>
          </w:p>
        </w:tc>
      </w:tr>
      <w:tr w:rsidR="008C7E0B" w:rsidRPr="0087043D" w:rsidTr="00316FE3">
        <w:tc>
          <w:tcPr>
            <w:tcW w:w="632"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i/>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rPr>
                <w:rFonts w:ascii="Arial Narrow" w:hAnsi="Arial Narrow"/>
                <w:bCs/>
                <w:strike/>
                <w:color w:val="000000" w:themeColor="text1"/>
                <w:sz w:val="18"/>
                <w:szCs w:val="18"/>
              </w:rPr>
            </w:pPr>
            <w:r w:rsidRPr="0087043D">
              <w:rPr>
                <w:rFonts w:ascii="Arial Narrow" w:hAnsi="Arial Narrow"/>
                <w:bCs/>
                <w:color w:val="000000" w:themeColor="text1"/>
                <w:sz w:val="18"/>
                <w:szCs w:val="18"/>
              </w:rPr>
              <w:t>Patient must not have developed disease progression while receiving PBS-subsidised treatment with this drug for this condition.</w:t>
            </w:r>
          </w:p>
        </w:tc>
      </w:tr>
      <w:tr w:rsidR="008C7E0B" w:rsidRPr="0087043D" w:rsidTr="00316FE3">
        <w:tc>
          <w:tcPr>
            <w:tcW w:w="632"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AND</w:t>
            </w:r>
          </w:p>
        </w:tc>
      </w:tr>
      <w:tr w:rsidR="008C7E0B" w:rsidRPr="0087043D" w:rsidTr="00316FE3">
        <w:tc>
          <w:tcPr>
            <w:tcW w:w="632"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710FBA">
            <w:pPr>
              <w:rPr>
                <w:rFonts w:ascii="Arial Narrow" w:hAnsi="Arial Narrow"/>
                <w:b/>
                <w:bCs/>
                <w:color w:val="000000" w:themeColor="text1"/>
                <w:sz w:val="18"/>
                <w:szCs w:val="18"/>
              </w:rPr>
            </w:pPr>
            <w:r w:rsidRPr="0087043D">
              <w:rPr>
                <w:rFonts w:ascii="Arial Narrow" w:hAnsi="Arial Narrow"/>
                <w:bCs/>
                <w:color w:val="000000" w:themeColor="text1"/>
                <w:sz w:val="18"/>
                <w:szCs w:val="18"/>
              </w:rPr>
              <w:t xml:space="preserve">The treatment must not exceed 24 months in total, measured from the initial dose, or, must not extend beyond disease progression, whichever comes first </w:t>
            </w:r>
          </w:p>
        </w:tc>
      </w:tr>
      <w:tr w:rsidR="00BF7BE9" w:rsidRPr="0087043D" w:rsidTr="00316FE3">
        <w:trPr>
          <w:trHeight w:val="174"/>
        </w:trPr>
        <w:tc>
          <w:tcPr>
            <w:tcW w:w="632" w:type="pct"/>
            <w:tcBorders>
              <w:top w:val="single" w:sz="4" w:space="0" w:color="auto"/>
              <w:left w:val="single" w:sz="4" w:space="0" w:color="auto"/>
              <w:right w:val="single" w:sz="4" w:space="0" w:color="auto"/>
            </w:tcBorders>
            <w:vAlign w:val="center"/>
          </w:tcPr>
          <w:p w:rsidR="00BF7BE9" w:rsidRPr="0087043D" w:rsidRDefault="00BF7BE9"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right w:val="single" w:sz="4" w:space="0" w:color="auto"/>
            </w:tcBorders>
            <w:vAlign w:val="center"/>
          </w:tcPr>
          <w:p w:rsidR="00BF7BE9" w:rsidRPr="0087043D" w:rsidRDefault="00BF7BE9" w:rsidP="00710FBA">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AND</w:t>
            </w:r>
          </w:p>
        </w:tc>
      </w:tr>
      <w:tr w:rsidR="00710FBA" w:rsidRPr="0087043D" w:rsidTr="00742D2E">
        <w:trPr>
          <w:trHeight w:val="826"/>
        </w:trPr>
        <w:tc>
          <w:tcPr>
            <w:tcW w:w="632" w:type="pct"/>
            <w:tcBorders>
              <w:top w:val="single" w:sz="4" w:space="0" w:color="auto"/>
              <w:left w:val="single" w:sz="4" w:space="0" w:color="auto"/>
              <w:right w:val="single" w:sz="4" w:space="0" w:color="auto"/>
            </w:tcBorders>
            <w:vAlign w:val="center"/>
          </w:tcPr>
          <w:p w:rsidR="00710FBA" w:rsidRPr="0087043D" w:rsidRDefault="00710FBA"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right w:val="single" w:sz="4" w:space="0" w:color="auto"/>
            </w:tcBorders>
            <w:vAlign w:val="center"/>
            <w:hideMark/>
          </w:tcPr>
          <w:p w:rsidR="00710FBA" w:rsidRPr="0087043D" w:rsidRDefault="00710FBA" w:rsidP="00710FBA">
            <w:pPr>
              <w:rPr>
                <w:rFonts w:ascii="Arial Narrow" w:hAnsi="Arial Narrow"/>
                <w:b/>
                <w:bCs/>
                <w:color w:val="000000" w:themeColor="text1"/>
                <w:sz w:val="18"/>
                <w:szCs w:val="18"/>
              </w:rPr>
            </w:pPr>
            <w:r w:rsidRPr="0087043D">
              <w:rPr>
                <w:rFonts w:ascii="Arial Narrow" w:hAnsi="Arial Narrow"/>
                <w:bCs/>
                <w:color w:val="000000" w:themeColor="text1"/>
                <w:sz w:val="18"/>
                <w:szCs w:val="18"/>
              </w:rPr>
              <w:t xml:space="preserve"> The treatment must be in combination with nivolumab </w:t>
            </w:r>
          </w:p>
        </w:tc>
      </w:tr>
    </w:tbl>
    <w:p w:rsidR="008C7E0B" w:rsidRPr="0087043D" w:rsidRDefault="008C7E0B" w:rsidP="008C7E0B">
      <w:pPr>
        <w:rPr>
          <w:b/>
          <w:u w:val="single"/>
        </w:rPr>
      </w:pPr>
    </w:p>
    <w:p w:rsidR="00AE736A" w:rsidRDefault="00AE736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0"/>
        <w:gridCol w:w="7877"/>
      </w:tblGrid>
      <w:tr w:rsidR="008C7E0B" w:rsidRPr="0087043D" w:rsidTr="00316FE3">
        <w:tc>
          <w:tcPr>
            <w:tcW w:w="632"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color w:val="000000" w:themeColor="text1"/>
                <w:sz w:val="18"/>
                <w:szCs w:val="18"/>
              </w:rPr>
              <w:t>Category / Program:</w:t>
            </w:r>
            <w:r w:rsidR="00264317" w:rsidRPr="0087043D">
              <w:rPr>
                <w:rFonts w:ascii="Arial Narrow" w:hAnsi="Arial Narrow"/>
                <w:b/>
                <w:color w:val="000000" w:themeColor="text1"/>
                <w:sz w:val="18"/>
                <w:szCs w:val="18"/>
              </w:rPr>
              <w:t xml:space="preserve"> </w:t>
            </w:r>
            <w:r w:rsidRPr="0087043D">
              <w:rPr>
                <w:rFonts w:ascii="Arial Narrow" w:hAnsi="Arial Narrow"/>
                <w:b/>
                <w:color w:val="000000" w:themeColor="text1"/>
                <w:sz w:val="18"/>
                <w:szCs w:val="18"/>
              </w:rPr>
              <w:t xml:space="preserve"> </w:t>
            </w:r>
            <w:r w:rsidRPr="0087043D">
              <w:rPr>
                <w:rFonts w:ascii="Arial Narrow" w:hAnsi="Arial Narrow"/>
                <w:color w:val="000000" w:themeColor="text1"/>
                <w:sz w:val="18"/>
                <w:szCs w:val="18"/>
              </w:rPr>
              <w:t xml:space="preserve">Section 100 – Efficient Funding of Chemotherapy </w:t>
            </w:r>
          </w:p>
        </w:tc>
      </w:tr>
      <w:tr w:rsidR="008C7E0B" w:rsidRPr="0087043D" w:rsidTr="00316FE3">
        <w:tc>
          <w:tcPr>
            <w:tcW w:w="632"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color w:val="000000" w:themeColor="text1"/>
                <w:sz w:val="18"/>
                <w:szCs w:val="18"/>
              </w:rPr>
              <w:t>Prescriber type:</w:t>
            </w:r>
            <w:r w:rsidR="00264317" w:rsidRPr="0087043D">
              <w:rPr>
                <w:rFonts w:ascii="Arial Narrow" w:hAnsi="Arial Narrow"/>
                <w:b/>
                <w:color w:val="000000" w:themeColor="text1"/>
                <w:sz w:val="18"/>
                <w:szCs w:val="18"/>
              </w:rPr>
              <w:t xml:space="preserve"> </w:t>
            </w:r>
            <w:r w:rsidRPr="0087043D">
              <w:rPr>
                <w:rFonts w:ascii="Arial Narrow" w:hAnsi="Arial Narrow"/>
                <w:color w:val="000000" w:themeColor="text1"/>
                <w:sz w:val="18"/>
                <w:szCs w:val="18"/>
              </w:rPr>
              <w:fldChar w:fldCharType="begin">
                <w:ffData>
                  <w:name w:val="Check1"/>
                  <w:enabled/>
                  <w:calcOnExit w:val="0"/>
                  <w:checkBox>
                    <w:sizeAuto/>
                    <w:default w:val="0"/>
                  </w:checkBox>
                </w:ffData>
              </w:fldChar>
            </w:r>
            <w:r w:rsidRPr="0087043D">
              <w:rPr>
                <w:rFonts w:ascii="Arial Narrow" w:hAnsi="Arial Narrow"/>
                <w:color w:val="000000" w:themeColor="text1"/>
                <w:sz w:val="18"/>
                <w:szCs w:val="18"/>
              </w:rPr>
              <w:instrText xml:space="preserve"> FORMCHECKBOX </w:instrText>
            </w:r>
            <w:r w:rsidR="00725666">
              <w:rPr>
                <w:rFonts w:ascii="Arial Narrow" w:hAnsi="Arial Narrow"/>
                <w:color w:val="000000" w:themeColor="text1"/>
                <w:sz w:val="18"/>
                <w:szCs w:val="18"/>
              </w:rPr>
            </w:r>
            <w:r w:rsidR="00725666">
              <w:rPr>
                <w:rFonts w:ascii="Arial Narrow" w:hAnsi="Arial Narrow"/>
                <w:color w:val="000000" w:themeColor="text1"/>
                <w:sz w:val="18"/>
                <w:szCs w:val="18"/>
              </w:rPr>
              <w:fldChar w:fldCharType="separate"/>
            </w:r>
            <w:r w:rsidRPr="0087043D">
              <w:rPr>
                <w:rFonts w:ascii="Arial Narrow" w:hAnsi="Arial Narrow"/>
                <w:color w:val="000000" w:themeColor="text1"/>
                <w:sz w:val="18"/>
                <w:szCs w:val="18"/>
              </w:rPr>
              <w:fldChar w:fldCharType="end"/>
            </w:r>
            <w:r w:rsidRPr="0087043D">
              <w:rPr>
                <w:rFonts w:ascii="Arial Narrow" w:hAnsi="Arial Narrow"/>
                <w:color w:val="000000" w:themeColor="text1"/>
                <w:sz w:val="18"/>
                <w:szCs w:val="18"/>
              </w:rPr>
              <w:t>Dental</w:t>
            </w:r>
            <w:r w:rsidR="00264317" w:rsidRPr="0087043D">
              <w:rPr>
                <w:rFonts w:ascii="Arial Narrow" w:hAnsi="Arial Narrow"/>
                <w:color w:val="000000" w:themeColor="text1"/>
                <w:sz w:val="18"/>
                <w:szCs w:val="18"/>
              </w:rPr>
              <w:t xml:space="preserve"> </w:t>
            </w:r>
            <w:r w:rsidRPr="0087043D">
              <w:rPr>
                <w:rFonts w:ascii="Arial Narrow" w:hAnsi="Arial Narrow"/>
                <w:color w:val="000000" w:themeColor="text1"/>
                <w:sz w:val="18"/>
                <w:szCs w:val="18"/>
              </w:rPr>
              <w:fldChar w:fldCharType="begin">
                <w:ffData>
                  <w:name w:val=""/>
                  <w:enabled/>
                  <w:calcOnExit w:val="0"/>
                  <w:checkBox>
                    <w:sizeAuto/>
                    <w:default w:val="1"/>
                  </w:checkBox>
                </w:ffData>
              </w:fldChar>
            </w:r>
            <w:r w:rsidRPr="0087043D">
              <w:rPr>
                <w:rFonts w:ascii="Arial Narrow" w:hAnsi="Arial Narrow"/>
                <w:color w:val="000000" w:themeColor="text1"/>
                <w:sz w:val="18"/>
                <w:szCs w:val="18"/>
              </w:rPr>
              <w:instrText xml:space="preserve"> FORMCHECKBOX </w:instrText>
            </w:r>
            <w:r w:rsidR="00725666">
              <w:rPr>
                <w:rFonts w:ascii="Arial Narrow" w:hAnsi="Arial Narrow"/>
                <w:color w:val="000000" w:themeColor="text1"/>
                <w:sz w:val="18"/>
                <w:szCs w:val="18"/>
              </w:rPr>
            </w:r>
            <w:r w:rsidR="00725666">
              <w:rPr>
                <w:rFonts w:ascii="Arial Narrow" w:hAnsi="Arial Narrow"/>
                <w:color w:val="000000" w:themeColor="text1"/>
                <w:sz w:val="18"/>
                <w:szCs w:val="18"/>
              </w:rPr>
              <w:fldChar w:fldCharType="separate"/>
            </w:r>
            <w:r w:rsidRPr="0087043D">
              <w:rPr>
                <w:rFonts w:ascii="Arial Narrow" w:hAnsi="Arial Narrow"/>
                <w:color w:val="000000" w:themeColor="text1"/>
                <w:sz w:val="18"/>
                <w:szCs w:val="18"/>
              </w:rPr>
              <w:fldChar w:fldCharType="end"/>
            </w:r>
            <w:r w:rsidRPr="0087043D">
              <w:rPr>
                <w:rFonts w:ascii="Arial Narrow" w:hAnsi="Arial Narrow"/>
                <w:color w:val="000000" w:themeColor="text1"/>
                <w:sz w:val="18"/>
                <w:szCs w:val="18"/>
              </w:rPr>
              <w:t>Medical Practitioners</w:t>
            </w:r>
            <w:r w:rsidR="00264317" w:rsidRPr="0087043D">
              <w:rPr>
                <w:rFonts w:ascii="Arial Narrow" w:hAnsi="Arial Narrow"/>
                <w:color w:val="000000" w:themeColor="text1"/>
                <w:sz w:val="18"/>
                <w:szCs w:val="18"/>
              </w:rPr>
              <w:t xml:space="preserve"> </w:t>
            </w:r>
            <w:r w:rsidRPr="0087043D">
              <w:rPr>
                <w:rFonts w:ascii="Arial Narrow" w:hAnsi="Arial Narrow"/>
                <w:color w:val="000000" w:themeColor="text1"/>
                <w:sz w:val="18"/>
                <w:szCs w:val="18"/>
              </w:rPr>
              <w:fldChar w:fldCharType="begin">
                <w:ffData>
                  <w:name w:val="Check3"/>
                  <w:enabled/>
                  <w:calcOnExit w:val="0"/>
                  <w:checkBox>
                    <w:sizeAuto/>
                    <w:default w:val="0"/>
                  </w:checkBox>
                </w:ffData>
              </w:fldChar>
            </w:r>
            <w:r w:rsidRPr="0087043D">
              <w:rPr>
                <w:rFonts w:ascii="Arial Narrow" w:hAnsi="Arial Narrow"/>
                <w:color w:val="000000" w:themeColor="text1"/>
                <w:sz w:val="18"/>
                <w:szCs w:val="18"/>
              </w:rPr>
              <w:instrText xml:space="preserve"> FORMCHECKBOX </w:instrText>
            </w:r>
            <w:r w:rsidR="00725666">
              <w:rPr>
                <w:rFonts w:ascii="Arial Narrow" w:hAnsi="Arial Narrow"/>
                <w:color w:val="000000" w:themeColor="text1"/>
                <w:sz w:val="18"/>
                <w:szCs w:val="18"/>
              </w:rPr>
            </w:r>
            <w:r w:rsidR="00725666">
              <w:rPr>
                <w:rFonts w:ascii="Arial Narrow" w:hAnsi="Arial Narrow"/>
                <w:color w:val="000000" w:themeColor="text1"/>
                <w:sz w:val="18"/>
                <w:szCs w:val="18"/>
              </w:rPr>
              <w:fldChar w:fldCharType="separate"/>
            </w:r>
            <w:r w:rsidRPr="0087043D">
              <w:rPr>
                <w:rFonts w:ascii="Arial Narrow" w:hAnsi="Arial Narrow"/>
                <w:color w:val="000000" w:themeColor="text1"/>
                <w:sz w:val="18"/>
                <w:szCs w:val="18"/>
              </w:rPr>
              <w:fldChar w:fldCharType="end"/>
            </w:r>
            <w:r w:rsidRPr="0087043D">
              <w:rPr>
                <w:rFonts w:ascii="Arial Narrow" w:hAnsi="Arial Narrow"/>
                <w:color w:val="000000" w:themeColor="text1"/>
                <w:sz w:val="18"/>
                <w:szCs w:val="18"/>
              </w:rPr>
              <w:t>Nurse practitioners</w:t>
            </w:r>
            <w:r w:rsidR="00264317" w:rsidRPr="0087043D">
              <w:rPr>
                <w:rFonts w:ascii="Arial Narrow" w:hAnsi="Arial Narrow"/>
                <w:color w:val="000000" w:themeColor="text1"/>
                <w:sz w:val="18"/>
                <w:szCs w:val="18"/>
              </w:rPr>
              <w:t xml:space="preserve"> </w:t>
            </w:r>
            <w:r w:rsidRPr="0087043D">
              <w:rPr>
                <w:rFonts w:ascii="Arial Narrow" w:hAnsi="Arial Narrow"/>
                <w:color w:val="000000" w:themeColor="text1"/>
                <w:sz w:val="18"/>
                <w:szCs w:val="18"/>
              </w:rPr>
              <w:fldChar w:fldCharType="begin">
                <w:ffData>
                  <w:name w:val=""/>
                  <w:enabled/>
                  <w:calcOnExit w:val="0"/>
                  <w:checkBox>
                    <w:sizeAuto/>
                    <w:default w:val="0"/>
                  </w:checkBox>
                </w:ffData>
              </w:fldChar>
            </w:r>
            <w:r w:rsidRPr="0087043D">
              <w:rPr>
                <w:rFonts w:ascii="Arial Narrow" w:hAnsi="Arial Narrow"/>
                <w:color w:val="000000" w:themeColor="text1"/>
                <w:sz w:val="18"/>
                <w:szCs w:val="18"/>
              </w:rPr>
              <w:instrText xml:space="preserve"> FORMCHECKBOX </w:instrText>
            </w:r>
            <w:r w:rsidR="00725666">
              <w:rPr>
                <w:rFonts w:ascii="Arial Narrow" w:hAnsi="Arial Narrow"/>
                <w:color w:val="000000" w:themeColor="text1"/>
                <w:sz w:val="18"/>
                <w:szCs w:val="18"/>
              </w:rPr>
            </w:r>
            <w:r w:rsidR="00725666">
              <w:rPr>
                <w:rFonts w:ascii="Arial Narrow" w:hAnsi="Arial Narrow"/>
                <w:color w:val="000000" w:themeColor="text1"/>
                <w:sz w:val="18"/>
                <w:szCs w:val="18"/>
              </w:rPr>
              <w:fldChar w:fldCharType="separate"/>
            </w:r>
            <w:r w:rsidRPr="0087043D">
              <w:rPr>
                <w:rFonts w:ascii="Arial Narrow" w:hAnsi="Arial Narrow"/>
                <w:color w:val="000000" w:themeColor="text1"/>
                <w:sz w:val="18"/>
                <w:szCs w:val="18"/>
              </w:rPr>
              <w:fldChar w:fldCharType="end"/>
            </w:r>
            <w:r w:rsidRPr="0087043D">
              <w:rPr>
                <w:rFonts w:ascii="Arial Narrow" w:hAnsi="Arial Narrow"/>
                <w:color w:val="000000" w:themeColor="text1"/>
                <w:sz w:val="18"/>
                <w:szCs w:val="18"/>
              </w:rPr>
              <w:t>Optometrists</w:t>
            </w:r>
            <w:r w:rsidR="00264317" w:rsidRPr="0087043D">
              <w:rPr>
                <w:rFonts w:ascii="Arial Narrow" w:hAnsi="Arial Narrow"/>
                <w:color w:val="000000" w:themeColor="text1"/>
                <w:sz w:val="18"/>
                <w:szCs w:val="18"/>
              </w:rPr>
              <w:t xml:space="preserve">  </w:t>
            </w:r>
            <w:r w:rsidRPr="0087043D">
              <w:rPr>
                <w:rFonts w:ascii="Arial Narrow" w:hAnsi="Arial Narrow"/>
                <w:color w:val="000000" w:themeColor="text1"/>
                <w:sz w:val="18"/>
                <w:szCs w:val="18"/>
              </w:rPr>
              <w:fldChar w:fldCharType="begin">
                <w:ffData>
                  <w:name w:val="Check5"/>
                  <w:enabled/>
                  <w:calcOnExit w:val="0"/>
                  <w:checkBox>
                    <w:sizeAuto/>
                    <w:default w:val="0"/>
                  </w:checkBox>
                </w:ffData>
              </w:fldChar>
            </w:r>
            <w:r w:rsidRPr="0087043D">
              <w:rPr>
                <w:rFonts w:ascii="Arial Narrow" w:hAnsi="Arial Narrow"/>
                <w:color w:val="000000" w:themeColor="text1"/>
                <w:sz w:val="18"/>
                <w:szCs w:val="18"/>
              </w:rPr>
              <w:instrText xml:space="preserve"> FORMCHECKBOX </w:instrText>
            </w:r>
            <w:r w:rsidR="00725666">
              <w:rPr>
                <w:rFonts w:ascii="Arial Narrow" w:hAnsi="Arial Narrow"/>
                <w:color w:val="000000" w:themeColor="text1"/>
                <w:sz w:val="18"/>
                <w:szCs w:val="18"/>
              </w:rPr>
            </w:r>
            <w:r w:rsidR="00725666">
              <w:rPr>
                <w:rFonts w:ascii="Arial Narrow" w:hAnsi="Arial Narrow"/>
                <w:color w:val="000000" w:themeColor="text1"/>
                <w:sz w:val="18"/>
                <w:szCs w:val="18"/>
              </w:rPr>
              <w:fldChar w:fldCharType="separate"/>
            </w:r>
            <w:r w:rsidRPr="0087043D">
              <w:rPr>
                <w:rFonts w:ascii="Arial Narrow" w:hAnsi="Arial Narrow"/>
                <w:color w:val="000000" w:themeColor="text1"/>
                <w:sz w:val="18"/>
                <w:szCs w:val="18"/>
              </w:rPr>
              <w:fldChar w:fldCharType="end"/>
            </w:r>
            <w:r w:rsidRPr="0087043D">
              <w:rPr>
                <w:rFonts w:ascii="Arial Narrow" w:hAnsi="Arial Narrow"/>
                <w:color w:val="000000" w:themeColor="text1"/>
                <w:sz w:val="18"/>
                <w:szCs w:val="18"/>
              </w:rPr>
              <w:t>Midwives</w:t>
            </w:r>
          </w:p>
        </w:tc>
      </w:tr>
      <w:tr w:rsidR="008C7E0B" w:rsidRPr="0087043D" w:rsidTr="00316FE3">
        <w:tc>
          <w:tcPr>
            <w:tcW w:w="632"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tcPr>
          <w:p w:rsidR="008C7E0B" w:rsidRPr="0087043D" w:rsidRDefault="008C7E0B" w:rsidP="008C7E0B">
            <w:pPr>
              <w:rPr>
                <w:rFonts w:ascii="Arial Narrow" w:hAnsi="Arial Narrow"/>
                <w:b/>
                <w:sz w:val="18"/>
                <w:szCs w:val="18"/>
              </w:rPr>
            </w:pPr>
            <w:r w:rsidRPr="0087043D">
              <w:rPr>
                <w:rFonts w:ascii="Arial Narrow" w:hAnsi="Arial Narrow"/>
                <w:b/>
                <w:sz w:val="18"/>
                <w:szCs w:val="18"/>
              </w:rPr>
              <w:t>Restriction Type – assessment time by Medicare – Method of obtaining authority approval (if Authority Required):</w:t>
            </w:r>
          </w:p>
          <w:p w:rsidR="008C7E0B" w:rsidRPr="0087043D" w:rsidRDefault="008C7E0B" w:rsidP="008C7E0B">
            <w:pPr>
              <w:rPr>
                <w:rFonts w:ascii="Arial Narrow" w:hAnsi="Arial Narrow"/>
                <w:b/>
                <w:bCs/>
                <w:color w:val="000000" w:themeColor="text1"/>
                <w:sz w:val="18"/>
                <w:szCs w:val="18"/>
              </w:rPr>
            </w:pPr>
            <w:r w:rsidRPr="0087043D">
              <w:rPr>
                <w:rFonts w:ascii="Arial Narrow" w:eastAsia="Calibri" w:hAnsi="Arial Narrow"/>
                <w:sz w:val="18"/>
                <w:szCs w:val="18"/>
              </w:rPr>
              <w:fldChar w:fldCharType="begin">
                <w:ffData>
                  <w:name w:val=""/>
                  <w:enabled/>
                  <w:calcOnExit w:val="0"/>
                  <w:checkBox>
                    <w:sizeAuto/>
                    <w:default w:val="1"/>
                  </w:checkBox>
                </w:ffData>
              </w:fldChar>
            </w:r>
            <w:r w:rsidRPr="0087043D">
              <w:rPr>
                <w:rFonts w:ascii="Arial Narrow" w:eastAsia="Calibri" w:hAnsi="Arial Narrow"/>
                <w:sz w:val="18"/>
                <w:szCs w:val="18"/>
              </w:rPr>
              <w:instrText xml:space="preserve"> FORMCHECKBOX </w:instrText>
            </w:r>
            <w:r w:rsidR="00725666">
              <w:rPr>
                <w:rFonts w:ascii="Arial Narrow" w:eastAsia="Calibri" w:hAnsi="Arial Narrow"/>
                <w:sz w:val="18"/>
                <w:szCs w:val="18"/>
              </w:rPr>
            </w:r>
            <w:r w:rsidR="00725666">
              <w:rPr>
                <w:rFonts w:ascii="Arial Narrow" w:eastAsia="Calibri" w:hAnsi="Arial Narrow"/>
                <w:sz w:val="18"/>
                <w:szCs w:val="18"/>
              </w:rPr>
              <w:fldChar w:fldCharType="separate"/>
            </w:r>
            <w:r w:rsidRPr="0087043D">
              <w:rPr>
                <w:rFonts w:ascii="Arial Narrow" w:eastAsia="Calibri" w:hAnsi="Arial Narrow"/>
                <w:sz w:val="18"/>
                <w:szCs w:val="18"/>
              </w:rPr>
              <w:fldChar w:fldCharType="end"/>
            </w:r>
            <w:r w:rsidRPr="0087043D">
              <w:rPr>
                <w:rFonts w:ascii="Arial Narrow" w:eastAsia="Calibri" w:hAnsi="Arial Narrow"/>
                <w:sz w:val="18"/>
                <w:szCs w:val="18"/>
              </w:rPr>
              <w:t xml:space="preserve">Authority Required – Streamlined [new/existing code] (specification of 4-digit code by prescriber to certify that they have read the PBS restriction; no prior assessment by Medicare; retrospective audit of patient records possible) </w:t>
            </w:r>
          </w:p>
        </w:tc>
      </w:tr>
      <w:tr w:rsidR="008C7E0B" w:rsidRPr="0087043D" w:rsidTr="00316FE3">
        <w:tc>
          <w:tcPr>
            <w:tcW w:w="632" w:type="pct"/>
            <w:vAlign w:val="center"/>
          </w:tcPr>
          <w:p w:rsidR="008C7E0B" w:rsidRPr="0087043D" w:rsidRDefault="008C7E0B" w:rsidP="008C7E0B">
            <w:pPr>
              <w:jc w:val="center"/>
              <w:rPr>
                <w:rFonts w:ascii="Arial Narrow" w:hAnsi="Arial Narrow"/>
                <w:color w:val="000000" w:themeColor="text1"/>
                <w:sz w:val="18"/>
                <w:szCs w:val="18"/>
              </w:rPr>
            </w:pPr>
          </w:p>
        </w:tc>
        <w:tc>
          <w:tcPr>
            <w:tcW w:w="4368" w:type="pct"/>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Administrative Advice:</w:t>
            </w:r>
            <w:r w:rsidRPr="0087043D">
              <w:rPr>
                <w:rFonts w:ascii="Arial Narrow" w:hAnsi="Arial Narrow"/>
                <w:color w:val="000000" w:themeColor="text1"/>
                <w:sz w:val="18"/>
                <w:szCs w:val="18"/>
              </w:rPr>
              <w:t xml:space="preserve"> No increase in the maximum number of repeats may be authorised.</w:t>
            </w:r>
          </w:p>
        </w:tc>
      </w:tr>
      <w:tr w:rsidR="008C7E0B" w:rsidRPr="0087043D" w:rsidTr="00316FE3">
        <w:tc>
          <w:tcPr>
            <w:tcW w:w="632" w:type="pct"/>
            <w:vAlign w:val="center"/>
          </w:tcPr>
          <w:p w:rsidR="008C7E0B" w:rsidRPr="0087043D" w:rsidRDefault="008C7E0B" w:rsidP="008C7E0B">
            <w:pPr>
              <w:jc w:val="center"/>
              <w:rPr>
                <w:rFonts w:ascii="Arial Narrow" w:hAnsi="Arial Narrow"/>
                <w:color w:val="000000" w:themeColor="text1"/>
                <w:sz w:val="18"/>
                <w:szCs w:val="18"/>
              </w:rPr>
            </w:pPr>
          </w:p>
        </w:tc>
        <w:tc>
          <w:tcPr>
            <w:tcW w:w="4368" w:type="pct"/>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 xml:space="preserve">Administrative Advice: </w:t>
            </w:r>
            <w:r w:rsidRPr="0087043D">
              <w:rPr>
                <w:rFonts w:ascii="Arial Narrow" w:hAnsi="Arial Narrow"/>
                <w:bCs/>
                <w:color w:val="000000" w:themeColor="text1"/>
                <w:sz w:val="18"/>
                <w:szCs w:val="18"/>
              </w:rPr>
              <w:t>Special Pricing Arrangements apply.</w:t>
            </w:r>
          </w:p>
        </w:tc>
      </w:tr>
      <w:tr w:rsidR="008C7E0B" w:rsidRPr="0087043D" w:rsidTr="00316FE3">
        <w:tc>
          <w:tcPr>
            <w:tcW w:w="632" w:type="pct"/>
            <w:vAlign w:val="center"/>
          </w:tcPr>
          <w:p w:rsidR="008C7E0B" w:rsidRPr="0087043D" w:rsidRDefault="008C7E0B" w:rsidP="008C7E0B">
            <w:pPr>
              <w:jc w:val="center"/>
              <w:rPr>
                <w:rFonts w:ascii="Arial Narrow" w:hAnsi="Arial Narrow"/>
                <w:color w:val="000000" w:themeColor="text1"/>
                <w:sz w:val="18"/>
                <w:szCs w:val="18"/>
              </w:rPr>
            </w:pPr>
          </w:p>
        </w:tc>
        <w:tc>
          <w:tcPr>
            <w:tcW w:w="4368" w:type="pct"/>
            <w:vAlign w:val="center"/>
          </w:tcPr>
          <w:p w:rsidR="008C7E0B" w:rsidRPr="0087043D" w:rsidRDefault="008C7E0B" w:rsidP="00E66584">
            <w:pPr>
              <w:rPr>
                <w:rFonts w:ascii="Arial Narrow" w:hAnsi="Arial Narrow"/>
                <w:bCs/>
                <w:color w:val="000000" w:themeColor="text1"/>
                <w:sz w:val="18"/>
                <w:szCs w:val="18"/>
              </w:rPr>
            </w:pPr>
            <w:r w:rsidRPr="0087043D">
              <w:rPr>
                <w:rFonts w:ascii="Arial Narrow" w:hAnsi="Arial Narrow"/>
                <w:b/>
                <w:bCs/>
                <w:color w:val="000000" w:themeColor="text1"/>
                <w:sz w:val="18"/>
                <w:szCs w:val="18"/>
              </w:rPr>
              <w:t>Administrative Advice:</w:t>
            </w:r>
            <w:r w:rsidRPr="0087043D">
              <w:rPr>
                <w:rFonts w:ascii="Arial Narrow" w:hAnsi="Arial Narrow"/>
                <w:bCs/>
                <w:color w:val="000000" w:themeColor="text1"/>
                <w:sz w:val="18"/>
                <w:szCs w:val="18"/>
              </w:rPr>
              <w:t xml:space="preserve"> A patient may qualify for PBS-subsidised treatment under this restriction once only</w:t>
            </w:r>
          </w:p>
        </w:tc>
      </w:tr>
      <w:tr w:rsidR="008C7E0B" w:rsidRPr="0087043D" w:rsidTr="00316FE3">
        <w:tc>
          <w:tcPr>
            <w:tcW w:w="632" w:type="pct"/>
            <w:vAlign w:val="center"/>
          </w:tcPr>
          <w:p w:rsidR="008C7E0B" w:rsidRPr="0087043D" w:rsidRDefault="008C7E0B" w:rsidP="008C7E0B">
            <w:pPr>
              <w:jc w:val="center"/>
              <w:rPr>
                <w:rFonts w:ascii="Arial Narrow" w:hAnsi="Arial Narrow"/>
                <w:color w:val="000000" w:themeColor="text1"/>
                <w:sz w:val="18"/>
                <w:szCs w:val="18"/>
              </w:rPr>
            </w:pPr>
          </w:p>
        </w:tc>
        <w:tc>
          <w:tcPr>
            <w:tcW w:w="4368" w:type="pct"/>
            <w:vAlign w:val="center"/>
          </w:tcPr>
          <w:p w:rsidR="008C7E0B" w:rsidRPr="0087043D" w:rsidRDefault="008C7E0B" w:rsidP="008C7E0B">
            <w:pPr>
              <w:rPr>
                <w:rFonts w:ascii="Arial Narrow" w:hAnsi="Arial Narrow"/>
                <w:b/>
                <w:bCs/>
                <w:color w:val="000000" w:themeColor="text1"/>
                <w:sz w:val="18"/>
                <w:szCs w:val="18"/>
              </w:rPr>
            </w:pPr>
            <w:proofErr w:type="spellStart"/>
            <w:r w:rsidRPr="0087043D">
              <w:rPr>
                <w:rFonts w:ascii="Arial Narrow" w:hAnsi="Arial Narrow"/>
                <w:b/>
                <w:bCs/>
                <w:color w:val="000000" w:themeColor="text1"/>
                <w:sz w:val="18"/>
                <w:szCs w:val="18"/>
              </w:rPr>
              <w:t>Episodicity</w:t>
            </w:r>
            <w:proofErr w:type="spellEnd"/>
            <w:r w:rsidRPr="0087043D">
              <w:rPr>
                <w:rFonts w:ascii="Arial Narrow" w:hAnsi="Arial Narrow"/>
                <w:b/>
                <w:bCs/>
                <w:color w:val="000000" w:themeColor="text1"/>
                <w:sz w:val="18"/>
                <w:szCs w:val="18"/>
              </w:rPr>
              <w:t xml:space="preserve">: </w:t>
            </w:r>
            <w:r w:rsidRPr="0087043D">
              <w:rPr>
                <w:rFonts w:ascii="Arial Narrow" w:hAnsi="Arial Narrow"/>
                <w:bCs/>
                <w:color w:val="000000" w:themeColor="text1"/>
                <w:sz w:val="18"/>
                <w:szCs w:val="18"/>
              </w:rPr>
              <w:t>[nil]</w:t>
            </w:r>
          </w:p>
        </w:tc>
      </w:tr>
      <w:tr w:rsidR="008C7E0B" w:rsidRPr="0087043D" w:rsidTr="00316FE3">
        <w:tc>
          <w:tcPr>
            <w:tcW w:w="632" w:type="pct"/>
            <w:vAlign w:val="center"/>
          </w:tcPr>
          <w:p w:rsidR="008C7E0B" w:rsidRPr="0087043D" w:rsidRDefault="008C7E0B" w:rsidP="008C7E0B">
            <w:pPr>
              <w:jc w:val="center"/>
              <w:rPr>
                <w:rFonts w:ascii="Arial Narrow" w:hAnsi="Arial Narrow"/>
                <w:color w:val="000000" w:themeColor="text1"/>
                <w:sz w:val="18"/>
                <w:szCs w:val="18"/>
              </w:rPr>
            </w:pPr>
          </w:p>
        </w:tc>
        <w:tc>
          <w:tcPr>
            <w:tcW w:w="4368" w:type="pct"/>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 xml:space="preserve">Severity: </w:t>
            </w:r>
            <w:r w:rsidRPr="0087043D">
              <w:rPr>
                <w:rFonts w:ascii="Arial Narrow" w:hAnsi="Arial Narrow"/>
                <w:bCs/>
                <w:color w:val="000000" w:themeColor="text1"/>
                <w:sz w:val="18"/>
                <w:szCs w:val="18"/>
              </w:rPr>
              <w:t>Stage IV (metastatic)</w:t>
            </w:r>
          </w:p>
        </w:tc>
      </w:tr>
      <w:tr w:rsidR="008C7E0B" w:rsidRPr="0087043D" w:rsidTr="00316FE3">
        <w:tc>
          <w:tcPr>
            <w:tcW w:w="632" w:type="pct"/>
            <w:vAlign w:val="center"/>
          </w:tcPr>
          <w:p w:rsidR="008C7E0B" w:rsidRPr="0087043D" w:rsidRDefault="008C7E0B" w:rsidP="008C7E0B">
            <w:pPr>
              <w:jc w:val="center"/>
              <w:rPr>
                <w:rFonts w:ascii="Arial Narrow" w:hAnsi="Arial Narrow"/>
                <w:color w:val="000000" w:themeColor="text1"/>
                <w:sz w:val="18"/>
                <w:szCs w:val="18"/>
              </w:rPr>
            </w:pPr>
          </w:p>
        </w:tc>
        <w:tc>
          <w:tcPr>
            <w:tcW w:w="4368" w:type="pct"/>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 xml:space="preserve">Condition: </w:t>
            </w:r>
            <w:r w:rsidR="00E66584" w:rsidRPr="0087043D">
              <w:rPr>
                <w:rFonts w:ascii="Arial Narrow" w:hAnsi="Arial Narrow"/>
                <w:bCs/>
                <w:color w:val="000000" w:themeColor="text1"/>
                <w:sz w:val="18"/>
                <w:szCs w:val="18"/>
              </w:rPr>
              <w:t>squamous</w:t>
            </w:r>
            <w:r w:rsidR="00E66584" w:rsidRPr="0087043D">
              <w:rPr>
                <w:rFonts w:ascii="Arial Narrow" w:hAnsi="Arial Narrow"/>
                <w:b/>
                <w:bCs/>
                <w:color w:val="000000" w:themeColor="text1"/>
                <w:sz w:val="18"/>
                <w:szCs w:val="18"/>
              </w:rPr>
              <w:t xml:space="preserve"> </w:t>
            </w:r>
            <w:r w:rsidR="00E66584" w:rsidRPr="0087043D">
              <w:rPr>
                <w:rFonts w:ascii="Arial Narrow" w:hAnsi="Arial Narrow"/>
                <w:bCs/>
                <w:color w:val="000000" w:themeColor="text1"/>
                <w:sz w:val="18"/>
                <w:szCs w:val="18"/>
              </w:rPr>
              <w:t>n</w:t>
            </w:r>
            <w:r w:rsidRPr="0087043D">
              <w:rPr>
                <w:rFonts w:ascii="Arial Narrow" w:hAnsi="Arial Narrow"/>
                <w:bCs/>
                <w:color w:val="000000" w:themeColor="text1"/>
                <w:sz w:val="18"/>
                <w:szCs w:val="18"/>
              </w:rPr>
              <w:t>on-small cell lung cancer (NSCLC)</w:t>
            </w:r>
          </w:p>
        </w:tc>
      </w:tr>
      <w:tr w:rsidR="008C7E0B" w:rsidRPr="0087043D" w:rsidTr="00316FE3">
        <w:tc>
          <w:tcPr>
            <w:tcW w:w="632" w:type="pct"/>
            <w:tcBorders>
              <w:top w:val="single" w:sz="4" w:space="0" w:color="auto"/>
              <w:left w:val="single" w:sz="4" w:space="0" w:color="auto"/>
              <w:bottom w:val="single" w:sz="4" w:space="0" w:color="auto"/>
              <w:right w:val="single" w:sz="4" w:space="0" w:color="auto"/>
            </w:tcBorders>
            <w:vAlign w:val="center"/>
            <w:hideMark/>
          </w:tcPr>
          <w:p w:rsidR="008C7E0B" w:rsidRPr="0087043D" w:rsidRDefault="008C7E0B"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vAlign w:val="center"/>
            <w:hideMark/>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 xml:space="preserve">Treatment Phase: </w:t>
            </w:r>
            <w:r w:rsidRPr="0087043D">
              <w:rPr>
                <w:rFonts w:ascii="Arial Narrow" w:hAnsi="Arial Narrow"/>
                <w:bCs/>
                <w:color w:val="000000" w:themeColor="text1"/>
                <w:sz w:val="18"/>
                <w:szCs w:val="18"/>
              </w:rPr>
              <w:t xml:space="preserve">Grandfather treatment (treatment of a patient commenced on non-PBS subsidised combination treatment as first-line drug therapy) </w:t>
            </w:r>
          </w:p>
        </w:tc>
      </w:tr>
      <w:tr w:rsidR="008C7E0B" w:rsidRPr="0087043D" w:rsidTr="00742D2E">
        <w:tc>
          <w:tcPr>
            <w:tcW w:w="632" w:type="pct"/>
            <w:vMerge w:val="restart"/>
            <w:tcBorders>
              <w:top w:val="single" w:sz="4" w:space="0" w:color="auto"/>
              <w:left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vAlign w:val="center"/>
            <w:hideMark/>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Clinical criteria:</w:t>
            </w:r>
          </w:p>
        </w:tc>
      </w:tr>
      <w:tr w:rsidR="008C7E0B" w:rsidRPr="0087043D" w:rsidTr="00742D2E">
        <w:tc>
          <w:tcPr>
            <w:tcW w:w="632" w:type="pct"/>
            <w:vMerge/>
            <w:tcBorders>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vAlign w:val="center"/>
            <w:hideMark/>
          </w:tcPr>
          <w:p w:rsidR="008C7E0B" w:rsidRPr="0087043D" w:rsidRDefault="008C7E0B" w:rsidP="00E66584">
            <w:pPr>
              <w:rPr>
                <w:rFonts w:ascii="Arial Narrow" w:hAnsi="Arial Narrow"/>
                <w:bCs/>
                <w:color w:val="000000" w:themeColor="text1"/>
                <w:sz w:val="18"/>
                <w:szCs w:val="18"/>
              </w:rPr>
            </w:pPr>
            <w:r w:rsidRPr="0087043D">
              <w:rPr>
                <w:rFonts w:ascii="Arial Narrow" w:hAnsi="Arial Narrow"/>
                <w:bCs/>
                <w:color w:val="000000" w:themeColor="text1"/>
                <w:sz w:val="18"/>
                <w:szCs w:val="18"/>
              </w:rPr>
              <w:t>Patient must have received non-PBS subsidised treatment with this drug as first-line drug therapy for this PBS indication prior to [PBS listing date].</w:t>
            </w:r>
          </w:p>
        </w:tc>
      </w:tr>
      <w:tr w:rsidR="008C7E0B" w:rsidRPr="0087043D" w:rsidTr="00316FE3">
        <w:tc>
          <w:tcPr>
            <w:tcW w:w="632"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AND</w:t>
            </w:r>
          </w:p>
        </w:tc>
      </w:tr>
      <w:tr w:rsidR="008C7E0B" w:rsidRPr="0087043D" w:rsidTr="00316FE3">
        <w:tc>
          <w:tcPr>
            <w:tcW w:w="632"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rPr>
                <w:rFonts w:ascii="Arial Narrow" w:hAnsi="Arial Narrow"/>
                <w:bCs/>
                <w:color w:val="000000" w:themeColor="text1"/>
                <w:sz w:val="18"/>
                <w:szCs w:val="18"/>
              </w:rPr>
            </w:pPr>
            <w:r w:rsidRPr="0087043D">
              <w:rPr>
                <w:rFonts w:ascii="Arial Narrow" w:hAnsi="Arial Narrow"/>
                <w:bCs/>
                <w:color w:val="000000" w:themeColor="text1"/>
                <w:sz w:val="18"/>
                <w:szCs w:val="18"/>
              </w:rPr>
              <w:t>Patient must not have developed disease progression while receiving treatment with this drug for this condition.</w:t>
            </w:r>
          </w:p>
        </w:tc>
      </w:tr>
      <w:tr w:rsidR="00024D0F" w:rsidRPr="0087043D" w:rsidTr="00316FE3">
        <w:tc>
          <w:tcPr>
            <w:tcW w:w="632" w:type="pct"/>
            <w:tcBorders>
              <w:top w:val="single" w:sz="4" w:space="0" w:color="auto"/>
              <w:left w:val="single" w:sz="4" w:space="0" w:color="auto"/>
              <w:bottom w:val="single" w:sz="4" w:space="0" w:color="auto"/>
              <w:right w:val="single" w:sz="4" w:space="0" w:color="auto"/>
            </w:tcBorders>
            <w:vAlign w:val="center"/>
          </w:tcPr>
          <w:p w:rsidR="00024D0F" w:rsidRPr="0087043D" w:rsidRDefault="00024D0F" w:rsidP="0010666B">
            <w:pPr>
              <w:jc w:val="cente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vAlign w:val="center"/>
          </w:tcPr>
          <w:p w:rsidR="00024D0F" w:rsidRPr="0087043D" w:rsidRDefault="00024D0F" w:rsidP="0010666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AND</w:t>
            </w:r>
          </w:p>
        </w:tc>
      </w:tr>
      <w:tr w:rsidR="00024D0F" w:rsidRPr="0087043D" w:rsidTr="00316FE3">
        <w:tc>
          <w:tcPr>
            <w:tcW w:w="632" w:type="pct"/>
            <w:vAlign w:val="center"/>
          </w:tcPr>
          <w:p w:rsidR="00024D0F" w:rsidRPr="0087043D" w:rsidRDefault="00024D0F" w:rsidP="0010666B">
            <w:pPr>
              <w:jc w:val="center"/>
              <w:rPr>
                <w:rFonts w:ascii="Arial Narrow" w:hAnsi="Arial Narrow"/>
                <w:color w:val="333333"/>
                <w:sz w:val="18"/>
                <w:szCs w:val="18"/>
              </w:rPr>
            </w:pPr>
          </w:p>
        </w:tc>
        <w:tc>
          <w:tcPr>
            <w:tcW w:w="4368" w:type="pct"/>
            <w:vAlign w:val="center"/>
          </w:tcPr>
          <w:p w:rsidR="00024D0F" w:rsidRPr="0087043D" w:rsidRDefault="00024D0F" w:rsidP="0010666B">
            <w:pPr>
              <w:rPr>
                <w:rFonts w:ascii="Arial Narrow" w:hAnsi="Arial Narrow"/>
                <w:bCs/>
                <w:color w:val="333333"/>
                <w:sz w:val="18"/>
                <w:szCs w:val="18"/>
              </w:rPr>
            </w:pPr>
            <w:r w:rsidRPr="0087043D">
              <w:rPr>
                <w:rFonts w:ascii="Arial Narrow" w:hAnsi="Arial Narrow"/>
                <w:bCs/>
                <w:color w:val="333333"/>
                <w:sz w:val="18"/>
                <w:szCs w:val="18"/>
              </w:rPr>
              <w:t xml:space="preserve">The condition must be squamous type non-small cell lung cancer </w:t>
            </w:r>
          </w:p>
        </w:tc>
      </w:tr>
      <w:tr w:rsidR="008C7E0B" w:rsidRPr="0087043D" w:rsidTr="00316FE3">
        <w:tc>
          <w:tcPr>
            <w:tcW w:w="632"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AND</w:t>
            </w:r>
          </w:p>
        </w:tc>
      </w:tr>
      <w:tr w:rsidR="008C7E0B" w:rsidRPr="0087043D" w:rsidTr="00316FE3">
        <w:tc>
          <w:tcPr>
            <w:tcW w:w="632"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rPr>
                <w:rFonts w:ascii="Arial Narrow" w:hAnsi="Arial Narrow"/>
                <w:bCs/>
                <w:color w:val="000000" w:themeColor="text1"/>
                <w:sz w:val="18"/>
                <w:szCs w:val="18"/>
              </w:rPr>
            </w:pPr>
            <w:r w:rsidRPr="0087043D">
              <w:rPr>
                <w:rFonts w:ascii="Arial Narrow" w:hAnsi="Arial Narrow"/>
                <w:bCs/>
                <w:color w:val="000000" w:themeColor="text1"/>
                <w:sz w:val="18"/>
                <w:szCs w:val="18"/>
              </w:rPr>
              <w:t>Patient must have a WHO performance status of 0 or 1 prior to initiation of non-PBS-subsidised treatment with this drug for this condition.</w:t>
            </w:r>
          </w:p>
        </w:tc>
      </w:tr>
      <w:tr w:rsidR="008C7E0B" w:rsidRPr="0087043D" w:rsidTr="00316FE3">
        <w:tc>
          <w:tcPr>
            <w:tcW w:w="632"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AND</w:t>
            </w:r>
          </w:p>
        </w:tc>
      </w:tr>
      <w:tr w:rsidR="008C7E0B" w:rsidRPr="0087043D" w:rsidTr="00316FE3">
        <w:tc>
          <w:tcPr>
            <w:tcW w:w="632"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rPr>
                <w:rFonts w:ascii="Arial Narrow" w:hAnsi="Arial Narrow"/>
                <w:bCs/>
                <w:color w:val="000000" w:themeColor="text1"/>
                <w:sz w:val="18"/>
                <w:szCs w:val="18"/>
              </w:rPr>
            </w:pPr>
            <w:r w:rsidRPr="0087043D">
              <w:rPr>
                <w:rFonts w:ascii="Arial Narrow" w:hAnsi="Arial Narrow"/>
                <w:bCs/>
                <w:color w:val="000000" w:themeColor="text1"/>
                <w:sz w:val="18"/>
                <w:szCs w:val="18"/>
              </w:rPr>
              <w:t>The condition must not have evidence of an activating epidermal growth factor receptor (EGFR) gene or an anaplastic lymphoma kinase (ALK) gene rearrangement</w:t>
            </w:r>
            <w:r w:rsidR="00514705" w:rsidRPr="0087043D">
              <w:t xml:space="preserve"> </w:t>
            </w:r>
            <w:r w:rsidR="00514705" w:rsidRPr="0087043D">
              <w:rPr>
                <w:rFonts w:ascii="Arial Narrow" w:hAnsi="Arial Narrow"/>
                <w:bCs/>
                <w:color w:val="000000" w:themeColor="text1"/>
                <w:sz w:val="18"/>
                <w:szCs w:val="18"/>
              </w:rPr>
              <w:t>or a c-ROS proto-oncogene 1 (ROS1) gene arrangement</w:t>
            </w:r>
            <w:r w:rsidRPr="0087043D">
              <w:rPr>
                <w:rFonts w:ascii="Arial Narrow" w:hAnsi="Arial Narrow"/>
                <w:bCs/>
                <w:color w:val="000000" w:themeColor="text1"/>
                <w:sz w:val="18"/>
                <w:szCs w:val="18"/>
              </w:rPr>
              <w:t xml:space="preserve"> in tumour material. </w:t>
            </w:r>
          </w:p>
        </w:tc>
      </w:tr>
      <w:tr w:rsidR="008C7E0B" w:rsidRPr="0087043D" w:rsidTr="00316FE3">
        <w:tc>
          <w:tcPr>
            <w:tcW w:w="632"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AND</w:t>
            </w:r>
          </w:p>
        </w:tc>
      </w:tr>
      <w:tr w:rsidR="008C7E0B" w:rsidRPr="0087043D" w:rsidTr="00316FE3">
        <w:tc>
          <w:tcPr>
            <w:tcW w:w="632"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rPr>
                <w:rFonts w:ascii="Arial Narrow" w:hAnsi="Arial Narrow"/>
                <w:bCs/>
                <w:color w:val="000000" w:themeColor="text1"/>
                <w:sz w:val="18"/>
                <w:szCs w:val="18"/>
              </w:rPr>
            </w:pPr>
            <w:r w:rsidRPr="0087043D">
              <w:rPr>
                <w:rFonts w:ascii="Arial Narrow" w:hAnsi="Arial Narrow"/>
                <w:bCs/>
                <w:color w:val="000000" w:themeColor="text1"/>
                <w:sz w:val="18"/>
                <w:szCs w:val="18"/>
              </w:rPr>
              <w:t>Patient must not have had been treated for this condition in the metastatic setting prior to initiating non-PBS subsidised treatment with this drug for this condition.</w:t>
            </w:r>
          </w:p>
        </w:tc>
      </w:tr>
      <w:tr w:rsidR="008C7E0B" w:rsidRPr="0087043D" w:rsidTr="00742D2E">
        <w:tc>
          <w:tcPr>
            <w:tcW w:w="632"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vAlign w:val="center"/>
            <w:hideMark/>
          </w:tcPr>
          <w:p w:rsidR="008C7E0B" w:rsidRPr="0087043D" w:rsidRDefault="008C7E0B" w:rsidP="008C7E0B">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AND</w:t>
            </w:r>
          </w:p>
        </w:tc>
      </w:tr>
      <w:tr w:rsidR="008C7E0B" w:rsidRPr="0087043D" w:rsidTr="00316FE3">
        <w:tc>
          <w:tcPr>
            <w:tcW w:w="632"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8C7E0B">
            <w:pPr>
              <w:jc w:val="center"/>
              <w:rPr>
                <w:rFonts w:ascii="Arial Narrow" w:hAnsi="Arial Narrow"/>
                <w:color w:val="000000" w:themeColor="text1"/>
                <w:sz w:val="18"/>
                <w:szCs w:val="18"/>
              </w:rPr>
            </w:pPr>
          </w:p>
        </w:tc>
        <w:tc>
          <w:tcPr>
            <w:tcW w:w="4368" w:type="pct"/>
            <w:tcBorders>
              <w:top w:val="single" w:sz="4" w:space="0" w:color="auto"/>
              <w:left w:val="single" w:sz="4" w:space="0" w:color="auto"/>
              <w:bottom w:val="single" w:sz="4" w:space="0" w:color="auto"/>
              <w:right w:val="single" w:sz="4" w:space="0" w:color="auto"/>
            </w:tcBorders>
            <w:vAlign w:val="center"/>
          </w:tcPr>
          <w:p w:rsidR="008C7E0B" w:rsidRPr="0087043D" w:rsidRDefault="008C7E0B" w:rsidP="00E66584">
            <w:pPr>
              <w:rPr>
                <w:rFonts w:ascii="Arial Narrow" w:hAnsi="Arial Narrow"/>
                <w:bCs/>
                <w:color w:val="000000" w:themeColor="text1"/>
                <w:sz w:val="18"/>
                <w:szCs w:val="18"/>
              </w:rPr>
            </w:pPr>
            <w:r w:rsidRPr="0087043D">
              <w:rPr>
                <w:rFonts w:ascii="Arial Narrow" w:hAnsi="Arial Narrow"/>
                <w:bCs/>
                <w:color w:val="000000" w:themeColor="text1"/>
                <w:sz w:val="18"/>
                <w:szCs w:val="18"/>
              </w:rPr>
              <w:t>The treatment must not exceed a total of 24 months under this restriction</w:t>
            </w:r>
          </w:p>
        </w:tc>
      </w:tr>
      <w:tr w:rsidR="00061F1F" w:rsidRPr="0087043D" w:rsidTr="00316FE3">
        <w:trPr>
          <w:trHeight w:val="236"/>
        </w:trPr>
        <w:tc>
          <w:tcPr>
            <w:tcW w:w="632" w:type="pct"/>
            <w:vAlign w:val="center"/>
          </w:tcPr>
          <w:p w:rsidR="00061F1F" w:rsidRPr="0087043D" w:rsidRDefault="00061F1F" w:rsidP="008C7E0B">
            <w:pPr>
              <w:jc w:val="center"/>
              <w:rPr>
                <w:rFonts w:ascii="Arial Narrow" w:hAnsi="Arial Narrow"/>
                <w:color w:val="000000" w:themeColor="text1"/>
                <w:sz w:val="18"/>
                <w:szCs w:val="18"/>
              </w:rPr>
            </w:pPr>
          </w:p>
        </w:tc>
        <w:tc>
          <w:tcPr>
            <w:tcW w:w="4368" w:type="pct"/>
            <w:vAlign w:val="center"/>
          </w:tcPr>
          <w:p w:rsidR="00061F1F" w:rsidRPr="0087043D" w:rsidRDefault="00061F1F" w:rsidP="00E66584">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AND</w:t>
            </w:r>
          </w:p>
        </w:tc>
      </w:tr>
      <w:tr w:rsidR="000A306C" w:rsidRPr="0087043D" w:rsidTr="00316FE3">
        <w:trPr>
          <w:trHeight w:val="254"/>
        </w:trPr>
        <w:tc>
          <w:tcPr>
            <w:tcW w:w="632" w:type="pct"/>
            <w:vAlign w:val="center"/>
          </w:tcPr>
          <w:p w:rsidR="000A306C" w:rsidRPr="0087043D" w:rsidRDefault="000A306C" w:rsidP="008C7E0B">
            <w:pPr>
              <w:jc w:val="center"/>
              <w:rPr>
                <w:rFonts w:ascii="Arial Narrow" w:hAnsi="Arial Narrow"/>
                <w:color w:val="000000" w:themeColor="text1"/>
                <w:sz w:val="18"/>
                <w:szCs w:val="18"/>
              </w:rPr>
            </w:pPr>
          </w:p>
        </w:tc>
        <w:tc>
          <w:tcPr>
            <w:tcW w:w="4368" w:type="pct"/>
            <w:vAlign w:val="center"/>
          </w:tcPr>
          <w:p w:rsidR="000A306C" w:rsidRPr="0087043D" w:rsidRDefault="000A306C" w:rsidP="00E66584">
            <w:pPr>
              <w:rPr>
                <w:rFonts w:ascii="Arial Narrow" w:hAnsi="Arial Narrow"/>
                <w:bCs/>
                <w:color w:val="000000" w:themeColor="text1"/>
                <w:sz w:val="18"/>
                <w:szCs w:val="18"/>
              </w:rPr>
            </w:pPr>
            <w:r w:rsidRPr="0087043D">
              <w:rPr>
                <w:rFonts w:ascii="Arial Narrow" w:hAnsi="Arial Narrow"/>
                <w:bCs/>
                <w:color w:val="000000" w:themeColor="text1"/>
                <w:sz w:val="18"/>
                <w:szCs w:val="18"/>
              </w:rPr>
              <w:t>The treatment must have been in combination with platinum-based chemotherapy for the first two cycles</w:t>
            </w:r>
          </w:p>
        </w:tc>
      </w:tr>
      <w:tr w:rsidR="00061F1F" w:rsidRPr="0087043D" w:rsidTr="00316FE3">
        <w:trPr>
          <w:trHeight w:val="288"/>
        </w:trPr>
        <w:tc>
          <w:tcPr>
            <w:tcW w:w="632" w:type="pct"/>
            <w:vAlign w:val="center"/>
          </w:tcPr>
          <w:p w:rsidR="00061F1F" w:rsidRPr="0087043D" w:rsidRDefault="00061F1F" w:rsidP="00061F1F">
            <w:pPr>
              <w:rPr>
                <w:rFonts w:ascii="Arial Narrow" w:hAnsi="Arial Narrow"/>
                <w:b/>
                <w:bCs/>
                <w:color w:val="000000" w:themeColor="text1"/>
                <w:sz w:val="18"/>
                <w:szCs w:val="18"/>
              </w:rPr>
            </w:pPr>
          </w:p>
        </w:tc>
        <w:tc>
          <w:tcPr>
            <w:tcW w:w="4368" w:type="pct"/>
            <w:vAlign w:val="center"/>
          </w:tcPr>
          <w:p w:rsidR="00061F1F" w:rsidRPr="0087043D" w:rsidRDefault="00061F1F" w:rsidP="00061F1F">
            <w:pPr>
              <w:rPr>
                <w:rFonts w:ascii="Arial Narrow" w:hAnsi="Arial Narrow"/>
                <w:b/>
                <w:bCs/>
                <w:color w:val="000000" w:themeColor="text1"/>
                <w:sz w:val="18"/>
                <w:szCs w:val="18"/>
              </w:rPr>
            </w:pPr>
            <w:r w:rsidRPr="0087043D">
              <w:rPr>
                <w:rFonts w:ascii="Arial Narrow" w:hAnsi="Arial Narrow"/>
                <w:b/>
                <w:bCs/>
                <w:color w:val="000000" w:themeColor="text1"/>
                <w:sz w:val="18"/>
                <w:szCs w:val="18"/>
              </w:rPr>
              <w:t>AND</w:t>
            </w:r>
          </w:p>
        </w:tc>
      </w:tr>
      <w:tr w:rsidR="00E66584" w:rsidRPr="0087043D" w:rsidTr="00742D2E">
        <w:trPr>
          <w:trHeight w:val="620"/>
        </w:trPr>
        <w:tc>
          <w:tcPr>
            <w:tcW w:w="632" w:type="pct"/>
            <w:vAlign w:val="center"/>
          </w:tcPr>
          <w:p w:rsidR="00E66584" w:rsidRPr="0087043D" w:rsidRDefault="00E66584" w:rsidP="008C7E0B">
            <w:pPr>
              <w:jc w:val="center"/>
              <w:rPr>
                <w:rFonts w:ascii="Arial Narrow" w:hAnsi="Arial Narrow"/>
                <w:color w:val="000000" w:themeColor="text1"/>
                <w:sz w:val="18"/>
                <w:szCs w:val="18"/>
              </w:rPr>
            </w:pPr>
          </w:p>
        </w:tc>
        <w:tc>
          <w:tcPr>
            <w:tcW w:w="4368" w:type="pct"/>
            <w:vAlign w:val="center"/>
            <w:hideMark/>
          </w:tcPr>
          <w:p w:rsidR="00E66584" w:rsidRPr="0087043D" w:rsidRDefault="00E66584" w:rsidP="00E66584">
            <w:pPr>
              <w:rPr>
                <w:rFonts w:ascii="Arial Narrow" w:hAnsi="Arial Narrow"/>
                <w:b/>
                <w:bCs/>
                <w:color w:val="000000" w:themeColor="text1"/>
                <w:sz w:val="18"/>
                <w:szCs w:val="18"/>
              </w:rPr>
            </w:pPr>
            <w:r w:rsidRPr="0087043D">
              <w:rPr>
                <w:rFonts w:ascii="Arial Narrow" w:hAnsi="Arial Narrow"/>
                <w:bCs/>
                <w:color w:val="000000" w:themeColor="text1"/>
                <w:sz w:val="18"/>
                <w:szCs w:val="18"/>
              </w:rPr>
              <w:t>The treatment must be in combination</w:t>
            </w:r>
            <w:r w:rsidR="00061F1F" w:rsidRPr="0087043D">
              <w:rPr>
                <w:rFonts w:ascii="Arial Narrow" w:hAnsi="Arial Narrow"/>
                <w:bCs/>
                <w:color w:val="000000" w:themeColor="text1"/>
                <w:sz w:val="18"/>
                <w:szCs w:val="18"/>
              </w:rPr>
              <w:t xml:space="preserve"> </w:t>
            </w:r>
            <w:r w:rsidRPr="0087043D">
              <w:rPr>
                <w:rFonts w:ascii="Arial Narrow" w:hAnsi="Arial Narrow"/>
                <w:bCs/>
                <w:color w:val="000000" w:themeColor="text1"/>
                <w:sz w:val="18"/>
                <w:szCs w:val="18"/>
              </w:rPr>
              <w:t>with nivolumab.</w:t>
            </w:r>
          </w:p>
        </w:tc>
      </w:tr>
      <w:tr w:rsidR="008C7E0B" w:rsidRPr="0087043D" w:rsidTr="00316FE3">
        <w:tc>
          <w:tcPr>
            <w:tcW w:w="632" w:type="pct"/>
            <w:vAlign w:val="center"/>
          </w:tcPr>
          <w:p w:rsidR="008C7E0B" w:rsidRPr="0087043D" w:rsidRDefault="008C7E0B" w:rsidP="008C7E0B">
            <w:pPr>
              <w:jc w:val="center"/>
              <w:rPr>
                <w:rFonts w:ascii="Arial Narrow" w:hAnsi="Arial Narrow"/>
                <w:i/>
                <w:color w:val="000000" w:themeColor="text1"/>
                <w:sz w:val="18"/>
                <w:szCs w:val="18"/>
              </w:rPr>
            </w:pPr>
          </w:p>
        </w:tc>
        <w:tc>
          <w:tcPr>
            <w:tcW w:w="4368" w:type="pct"/>
            <w:vAlign w:val="center"/>
          </w:tcPr>
          <w:p w:rsidR="008C7E0B" w:rsidRPr="0087043D" w:rsidRDefault="008C7E0B" w:rsidP="008C7E0B">
            <w:pPr>
              <w:rPr>
                <w:rFonts w:ascii="Arial Narrow" w:hAnsi="Arial Narrow"/>
                <w:b/>
                <w:i/>
                <w:color w:val="000000" w:themeColor="text1"/>
                <w:sz w:val="18"/>
                <w:szCs w:val="18"/>
              </w:rPr>
            </w:pPr>
            <w:r w:rsidRPr="0087043D">
              <w:rPr>
                <w:rFonts w:ascii="Arial Narrow" w:hAnsi="Arial Narrow"/>
                <w:b/>
                <w:i/>
                <w:color w:val="000000" w:themeColor="text1"/>
                <w:sz w:val="18"/>
                <w:szCs w:val="18"/>
              </w:rPr>
              <w:t>Administrative advice:</w:t>
            </w:r>
          </w:p>
        </w:tc>
      </w:tr>
      <w:tr w:rsidR="008C7E0B" w:rsidRPr="0087043D" w:rsidTr="00316FE3">
        <w:tc>
          <w:tcPr>
            <w:tcW w:w="632" w:type="pct"/>
            <w:vAlign w:val="center"/>
          </w:tcPr>
          <w:p w:rsidR="008C7E0B" w:rsidRPr="0087043D" w:rsidRDefault="008C7E0B" w:rsidP="008C7E0B">
            <w:pPr>
              <w:jc w:val="center"/>
              <w:rPr>
                <w:rFonts w:ascii="Arial Narrow" w:hAnsi="Arial Narrow"/>
                <w:color w:val="000000" w:themeColor="text1"/>
                <w:sz w:val="18"/>
                <w:szCs w:val="18"/>
              </w:rPr>
            </w:pPr>
          </w:p>
        </w:tc>
        <w:tc>
          <w:tcPr>
            <w:tcW w:w="4368" w:type="pct"/>
            <w:vAlign w:val="center"/>
          </w:tcPr>
          <w:p w:rsidR="008C7E0B" w:rsidRPr="0087043D" w:rsidRDefault="008C7E0B" w:rsidP="008C7E0B">
            <w:pPr>
              <w:rPr>
                <w:rFonts w:ascii="Arial Narrow" w:hAnsi="Arial Narrow"/>
                <w:i/>
                <w:color w:val="000000" w:themeColor="text1"/>
                <w:sz w:val="18"/>
                <w:szCs w:val="18"/>
              </w:rPr>
            </w:pPr>
            <w:r w:rsidRPr="0087043D">
              <w:rPr>
                <w:rFonts w:ascii="Arial Narrow" w:hAnsi="Arial Narrow"/>
                <w:color w:val="000000" w:themeColor="text1"/>
                <w:sz w:val="18"/>
                <w:szCs w:val="18"/>
              </w:rPr>
              <w:t>This grandfather restriction will cease to operate from 12 months after the date specified in the Clinical criteria</w:t>
            </w:r>
            <w:r w:rsidRPr="0087043D">
              <w:rPr>
                <w:rFonts w:ascii="Arial Narrow" w:hAnsi="Arial Narrow"/>
                <w:i/>
                <w:color w:val="000000" w:themeColor="text1"/>
                <w:sz w:val="18"/>
                <w:szCs w:val="18"/>
              </w:rPr>
              <w:t>.</w:t>
            </w:r>
          </w:p>
        </w:tc>
      </w:tr>
      <w:bookmarkEnd w:id="49"/>
    </w:tbl>
    <w:p w:rsidR="008C7E0B" w:rsidRPr="0087043D" w:rsidRDefault="008C7E0B" w:rsidP="008C7E0B">
      <w:pPr>
        <w:rPr>
          <w:b/>
          <w:u w:val="single"/>
        </w:rPr>
      </w:pPr>
    </w:p>
    <w:p w:rsidR="00C41FA0" w:rsidRPr="0087043D" w:rsidRDefault="00C41FA0" w:rsidP="008C7E0B">
      <w:pPr>
        <w:rPr>
          <w:b/>
          <w:u w:val="single"/>
        </w:rPr>
      </w:pPr>
    </w:p>
    <w:p w:rsidR="00C41FA0" w:rsidRDefault="00C41FA0" w:rsidP="008C7E0B">
      <w:pPr>
        <w:rPr>
          <w:rFonts w:cs="Calibri"/>
          <w:b/>
          <w:i/>
        </w:rPr>
      </w:pPr>
      <w:r w:rsidRPr="0087043D">
        <w:rPr>
          <w:rFonts w:cs="Calibri"/>
          <w:b/>
          <w:i/>
        </w:rPr>
        <w:t>This restriction may be subject to further review. Should there be any changes made to the restriction the Sponsor will be informed.</w:t>
      </w:r>
    </w:p>
    <w:p w:rsidR="002D2DD2" w:rsidRDefault="002D2DD2" w:rsidP="008C7E0B">
      <w:pPr>
        <w:rPr>
          <w:rFonts w:cs="Calibri"/>
          <w:b/>
          <w:i/>
        </w:rPr>
      </w:pPr>
    </w:p>
    <w:p w:rsidR="002D2DD2" w:rsidRPr="002D2DD2" w:rsidRDefault="002D2DD2" w:rsidP="002D2DD2">
      <w:pPr>
        <w:pStyle w:val="2-SectionHeading"/>
      </w:pPr>
      <w:r w:rsidRPr="00C07617">
        <w:t>Context for Decision</w:t>
      </w:r>
    </w:p>
    <w:p w:rsidR="002D2DD2" w:rsidRPr="002D2DD2" w:rsidRDefault="002D2DD2" w:rsidP="00117AEA">
      <w:pPr>
        <w:pStyle w:val="3-BodyText"/>
        <w:numPr>
          <w:ilvl w:val="0"/>
          <w:numId w:val="0"/>
        </w:numPr>
        <w:ind w:left="720"/>
        <w:jc w:val="left"/>
      </w:pPr>
      <w:r w:rsidRPr="002D2DD2">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2D2DD2" w:rsidRPr="002D2DD2" w:rsidRDefault="002D2DD2" w:rsidP="002D2DD2">
      <w:pPr>
        <w:pStyle w:val="2-SectionHeading"/>
      </w:pPr>
      <w:r>
        <w:t>Sponsor’s Comment</w:t>
      </w:r>
    </w:p>
    <w:p w:rsidR="002D2DD2" w:rsidRPr="002D2DD2" w:rsidRDefault="002D2DD2" w:rsidP="002D2DD2">
      <w:pPr>
        <w:pStyle w:val="3-BodyText"/>
        <w:numPr>
          <w:ilvl w:val="0"/>
          <w:numId w:val="0"/>
        </w:numPr>
        <w:ind w:left="720"/>
        <w:jc w:val="left"/>
      </w:pPr>
      <w:r w:rsidRPr="002D2DD2">
        <w:t>The sponsor had no comment.</w:t>
      </w:r>
    </w:p>
    <w:p w:rsidR="002D2DD2" w:rsidRPr="00316FE3" w:rsidRDefault="002D2DD2" w:rsidP="008C7E0B">
      <w:pPr>
        <w:rPr>
          <w:rFonts w:cs="Calibri"/>
          <w:b/>
          <w:i/>
        </w:rPr>
      </w:pPr>
    </w:p>
    <w:sectPr w:rsidR="002D2DD2" w:rsidRPr="00316FE3" w:rsidSect="008C7E0B">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034A8" w16cex:dateUtc="2020-07-20T05:50:00Z"/>
  <w16cex:commentExtensible w16cex:durableId="22CD06A9" w16cex:dateUtc="2020-07-29T23:13:00Z"/>
  <w16cex:commentExtensible w16cex:durableId="22C16C64" w16cex:dateUtc="2020-07-21T04:00:00Z"/>
  <w16cex:commentExtensible w16cex:durableId="22C1758B" w16cex:dateUtc="2020-07-21T04:39:00Z"/>
  <w16cex:commentExtensible w16cex:durableId="22C15DEA" w16cex:dateUtc="2020-07-21T02:58:00Z"/>
  <w16cex:commentExtensible w16cex:durableId="22C15FC5" w16cex:dateUtc="2020-07-21T03:06:00Z"/>
  <w16cex:commentExtensible w16cex:durableId="22C15721" w16cex:dateUtc="2020-07-21T02:29:00Z"/>
  <w16cex:commentExtensible w16cex:durableId="22C15EC6" w16cex:dateUtc="2020-07-21T03:02:00Z"/>
  <w16cex:commentExtensible w16cex:durableId="22C53CFC" w16cex:dateUtc="2020-07-24T01:27:00Z"/>
  <w16cex:commentExtensible w16cex:durableId="22C542B8" w16cex:dateUtc="2020-07-24T01:51:00Z"/>
  <w16cex:commentExtensible w16cex:durableId="22C5326D" w16cex:dateUtc="2020-07-24T00:41:00Z"/>
  <w16cex:commentExtensible w16cex:durableId="22C53CD8" w16cex:dateUtc="2020-07-24T01:26:00Z"/>
  <w16cex:commentExtensible w16cex:durableId="22C2CCAC" w16cex:dateUtc="2020-07-22T05:03:00Z"/>
  <w16cex:commentExtensible w16cex:durableId="22C3C30B" w16cex:dateUtc="2020-07-22T22:34:00Z"/>
  <w16cex:commentExtensible w16cex:durableId="22C3C412" w16cex:dateUtc="2020-07-22T22:38:00Z"/>
  <w16cex:commentExtensible w16cex:durableId="22CCF2A0" w16cex:dateUtc="2020-07-29T21:47:00Z"/>
  <w16cex:commentExtensible w16cex:durableId="22C3C430" w16cex:dateUtc="2020-07-22T22:39:00Z"/>
  <w16cex:commentExtensible w16cex:durableId="22CCF2AD" w16cex:dateUtc="2020-07-29T21:47:00Z"/>
  <w16cex:commentExtensible w16cex:durableId="22C581B6" w16cex:dateUtc="2020-07-24T06:20:00Z"/>
  <w16cex:commentExtensible w16cex:durableId="22C57F41" w16cex:dateUtc="2020-07-24T06:09:00Z"/>
  <w16cex:commentExtensible w16cex:durableId="22C5242C" w16cex:dateUtc="2020-07-23T23:41:00Z"/>
  <w16cex:commentExtensible w16cex:durableId="22C524BF" w16cex:dateUtc="2020-07-23T23:43:00Z"/>
  <w16cex:commentExtensible w16cex:durableId="22C52844" w16cex:dateUtc="2020-07-23T23:58:00Z"/>
  <w16cex:commentExtensible w16cex:durableId="22C52712" w16cex:dateUtc="2020-07-23T23:53:00Z"/>
  <w16cex:commentExtensible w16cex:durableId="22C52662" w16cex:dateUtc="2020-07-23T23:43:00Z"/>
  <w16cex:commentExtensible w16cex:durableId="22C560A3" w16cex:dateUtc="2020-07-24T03:59:00Z"/>
  <w16cex:commentExtensible w16cex:durableId="22C56184" w16cex:dateUtc="2020-07-24T04:02:00Z"/>
  <w16cex:commentExtensible w16cex:durableId="22C5291C" w16cex:dateUtc="2020-07-23T23:41:00Z"/>
  <w16cex:commentExtensible w16cex:durableId="22C5291B" w16cex:dateUtc="2020-07-23T23:43:00Z"/>
  <w16cex:commentExtensible w16cex:durableId="22C5291A" w16cex:dateUtc="2020-07-23T23:58:00Z"/>
  <w16cex:commentExtensible w16cex:durableId="22C52919" w16cex:dateUtc="2020-07-23T23:53:00Z"/>
  <w16cex:commentExtensible w16cex:durableId="22C52918" w16cex:dateUtc="2020-07-23T23:43:00Z"/>
  <w16cex:commentExtensible w16cex:durableId="22C56530" w16cex:dateUtc="2020-07-24T04:18:00Z"/>
  <w16cex:commentExtensible w16cex:durableId="22C564C8" w16cex:dateUtc="2020-07-24T03:59:00Z"/>
  <w16cex:commentExtensible w16cex:durableId="22C564C7" w16cex:dateUtc="2020-07-24T04:02:00Z"/>
  <w16cex:commentExtensible w16cex:durableId="22CCF612" w16cex:dateUtc="2020-07-29T22:02:00Z"/>
  <w16cex:commentExtensible w16cex:durableId="22C58EBE" w16cex:dateUtc="2020-07-24T07:15:00Z"/>
  <w16cex:commentExtensible w16cex:durableId="22C7DB2D" w16cex:dateUtc="2020-07-26T01:06:00Z"/>
  <w16cex:commentExtensible w16cex:durableId="22C90B81" w16cex:dateUtc="2020-07-26T22:44:00Z"/>
  <w16cex:commentExtensible w16cex:durableId="22CD2AE0" w16cex:dateUtc="2020-07-30T01:47:00Z"/>
  <w16cex:commentExtensible w16cex:durableId="22C907EC" w16cex:dateUtc="2020-07-26T22:29:00Z"/>
  <w16cex:commentExtensible w16cex:durableId="22C807BE" w16cex:dateUtc="2020-07-26T04:16:00Z"/>
  <w16cex:commentExtensible w16cex:durableId="22C8028E" w16cex:dateUtc="2020-07-26T03:54:00Z"/>
  <w16cex:commentExtensible w16cex:durableId="22CD27D7" w16cex:dateUtc="2020-07-30T01:34:00Z"/>
  <w16cex:commentExtensible w16cex:durableId="22CD2A1A" w16cex:dateUtc="2020-07-30T01:44:00Z"/>
  <w16cex:commentExtensible w16cex:durableId="22CD5729" w16cex:dateUtc="2020-07-30T04:56:00Z"/>
  <w16cex:commentExtensible w16cex:durableId="22CD5A49" w16cex:dateUtc="2020-07-30T05:09:00Z"/>
  <w16cex:commentExtensible w16cex:durableId="22CD3683" w16cex:dateUtc="2020-07-30T02:37:00Z"/>
  <w16cex:commentExtensible w16cex:durableId="22BFEDEC" w16cex:dateUtc="2020-07-20T00:48:00Z"/>
  <w16cex:commentExtensible w16cex:durableId="22BFEDAE" w16cex:dateUtc="2020-07-20T00:47:00Z"/>
  <w16cex:commentExtensible w16cex:durableId="22BFEEDC" w16cex:dateUtc="2020-07-20T00:52:00Z"/>
  <w16cex:commentExtensible w16cex:durableId="22BFF23D" w16cex:dateUtc="2020-07-20T00:47:00Z"/>
  <w16cex:commentExtensible w16cex:durableId="22BFF9A7" w16cex:dateUtc="2020-07-20T01:38:00Z"/>
  <w16cex:commentExtensible w16cex:durableId="22C7C95D" w16cex:dateUtc="2020-07-25T23:50:00Z"/>
  <w16cex:commentExtensible w16cex:durableId="22C7D57C" w16cex:dateUtc="2020-07-26T00:42:00Z"/>
  <w16cex:commentExtensible w16cex:durableId="22C7D64C" w16cex:dateUtc="2020-07-26T00:45:00Z"/>
  <w16cex:commentExtensible w16cex:durableId="22C80C8D" w16cex:dateUtc="2020-07-26T04:37:00Z"/>
  <w16cex:commentExtensible w16cex:durableId="22C80CB1" w16cex:dateUtc="2020-07-26T04:37:00Z"/>
  <w16cex:commentExtensible w16cex:durableId="22C80D4E" w16cex:dateUtc="2020-07-26T04:37:00Z"/>
  <w16cex:commentExtensible w16cex:durableId="22C80D69" w16cex:dateUtc="2020-07-26T04:37:00Z"/>
  <w16cex:commentExtensible w16cex:durableId="22C80D7F" w16cex:dateUtc="2020-07-26T04:37:00Z"/>
  <w16cex:commentExtensible w16cex:durableId="22C915B7" w16cex:dateUtc="2020-07-26T23:28:00Z"/>
  <w16cex:commentExtensible w16cex:durableId="22CD6B92" w16cex:dateUtc="2020-07-30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287E71" w16cid:durableId="236B5466"/>
  <w16cid:commentId w16cid:paraId="534C7C47" w16cid:durableId="236E403C"/>
  <w16cid:commentId w16cid:paraId="1F672A9F" w16cid:durableId="236B5467"/>
  <w16cid:commentId w16cid:paraId="432F0A64" w16cid:durableId="236B6412"/>
  <w16cid:commentId w16cid:paraId="46331FBA" w16cid:durableId="236E4080"/>
  <w16cid:commentId w16cid:paraId="7F6D0031" w16cid:durableId="236E417B"/>
  <w16cid:commentId w16cid:paraId="51D4EB47" w16cid:durableId="236B5468"/>
  <w16cid:commentId w16cid:paraId="737476AE" w16cid:durableId="236B6669"/>
  <w16cid:commentId w16cid:paraId="68BD7B84" w16cid:durableId="236E458C"/>
  <w16cid:commentId w16cid:paraId="0B99ED31" w16cid:durableId="236B5469"/>
  <w16cid:commentId w16cid:paraId="65B9FA8C" w16cid:durableId="236B66C2"/>
  <w16cid:commentId w16cid:paraId="08CA9C8F" w16cid:durableId="236E45FF"/>
  <w16cid:commentId w16cid:paraId="24C2475C" w16cid:durableId="236B546A"/>
  <w16cid:commentId w16cid:paraId="7FD6EB32" w16cid:durableId="236B6701"/>
  <w16cid:commentId w16cid:paraId="7A25634A" w16cid:durableId="236E46A8"/>
  <w16cid:commentId w16cid:paraId="7C28A5FD" w16cid:durableId="236E4FF5"/>
  <w16cid:commentId w16cid:paraId="60E19F4D" w16cid:durableId="236E4E5E"/>
  <w16cid:commentId w16cid:paraId="175F97A2" w16cid:durableId="236E4F88"/>
  <w16cid:commentId w16cid:paraId="03D88500" w16cid:durableId="236B546B"/>
  <w16cid:commentId w16cid:paraId="7D1316C5" w16cid:durableId="236E4C03"/>
  <w16cid:commentId w16cid:paraId="65FDCA01" w16cid:durableId="236B546C"/>
  <w16cid:commentId w16cid:paraId="0289A343" w16cid:durableId="236E4C86"/>
  <w16cid:commentId w16cid:paraId="6975CCA5" w16cid:durableId="236B546D"/>
  <w16cid:commentId w16cid:paraId="33D2CEC2" w16cid:durableId="236B68A8"/>
  <w16cid:commentId w16cid:paraId="2A049AFD" w16cid:durableId="236E4EB7"/>
  <w16cid:commentId w16cid:paraId="47DE4B06" w16cid:durableId="236E5016"/>
  <w16cid:commentId w16cid:paraId="1A918A98" w16cid:durableId="236B546E"/>
  <w16cid:commentId w16cid:paraId="6D7A7E5F" w16cid:durableId="236B6938"/>
  <w16cid:commentId w16cid:paraId="3FF097E5" w16cid:durableId="236E510F"/>
  <w16cid:commentId w16cid:paraId="7B8BE1B9" w16cid:durableId="236B546F"/>
  <w16cid:commentId w16cid:paraId="08A23FD2" w16cid:durableId="236B5470"/>
  <w16cid:commentId w16cid:paraId="2D08F96B" w16cid:durableId="236B5471"/>
  <w16cid:commentId w16cid:paraId="7F2D1543" w16cid:durableId="236B6988"/>
  <w16cid:commentId w16cid:paraId="486F20A8" w16cid:durableId="236E5149"/>
  <w16cid:commentId w16cid:paraId="3818A163" w16cid:durableId="236B6A13"/>
  <w16cid:commentId w16cid:paraId="42F064FD" w16cid:durableId="236E519A"/>
  <w16cid:commentId w16cid:paraId="616A9A44" w16cid:durableId="236B5472"/>
  <w16cid:commentId w16cid:paraId="1BC85DA7" w16cid:durableId="236E521D"/>
  <w16cid:commentId w16cid:paraId="2FDAE331" w16cid:durableId="236E52A0"/>
  <w16cid:commentId w16cid:paraId="6E2573F5" w16cid:durableId="236B5473"/>
  <w16cid:commentId w16cid:paraId="4E2F38B1" w16cid:durableId="236B5474"/>
  <w16cid:commentId w16cid:paraId="17571A76" w16cid:durableId="236B6A78"/>
  <w16cid:commentId w16cid:paraId="5DFF47BA" w16cid:durableId="236E52BD"/>
  <w16cid:commentId w16cid:paraId="3915293B" w16cid:durableId="236B5475"/>
  <w16cid:commentId w16cid:paraId="68387745" w16cid:durableId="236B6A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0FB" w:rsidRDefault="00C630FB" w:rsidP="00124A51">
      <w:r>
        <w:separator/>
      </w:r>
    </w:p>
    <w:p w:rsidR="00C630FB" w:rsidRDefault="00C630FB"/>
  </w:endnote>
  <w:endnote w:type="continuationSeparator" w:id="0">
    <w:p w:rsidR="00C630FB" w:rsidRDefault="00C630FB" w:rsidP="00124A51">
      <w:r>
        <w:continuationSeparator/>
      </w:r>
    </w:p>
    <w:p w:rsidR="00C630FB" w:rsidRDefault="00C63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63" w:rsidRDefault="00362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63" w:rsidRDefault="00362D63" w:rsidP="00015886">
    <w:pPr>
      <w:ind w:right="360"/>
      <w:jc w:val="center"/>
      <w:rPr>
        <w:b/>
      </w:rPr>
    </w:pPr>
  </w:p>
  <w:p w:rsidR="00362D63" w:rsidRDefault="00362D63" w:rsidP="00015886">
    <w:pPr>
      <w:ind w:right="360"/>
      <w:jc w:val="center"/>
      <w:rPr>
        <w:b/>
        <w:noProof/>
      </w:rPr>
    </w:pPr>
    <w:r w:rsidRPr="00711B7A">
      <w:rPr>
        <w:b/>
      </w:rPr>
      <w:fldChar w:fldCharType="begin"/>
    </w:r>
    <w:r w:rsidRPr="00711B7A">
      <w:rPr>
        <w:b/>
      </w:rPr>
      <w:instrText xml:space="preserve"> PAGE   \* MERGEFORMAT </w:instrText>
    </w:r>
    <w:r w:rsidRPr="00711B7A">
      <w:rPr>
        <w:b/>
      </w:rPr>
      <w:fldChar w:fldCharType="separate"/>
    </w:r>
    <w:r w:rsidR="00725666">
      <w:rPr>
        <w:b/>
        <w:noProof/>
      </w:rPr>
      <w:t>41</w:t>
    </w:r>
    <w:r w:rsidRPr="00711B7A">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63" w:rsidRDefault="00362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0FB" w:rsidRDefault="00C630FB" w:rsidP="00124A51">
      <w:r>
        <w:separator/>
      </w:r>
    </w:p>
    <w:p w:rsidR="00C630FB" w:rsidRDefault="00C630FB"/>
  </w:footnote>
  <w:footnote w:type="continuationSeparator" w:id="0">
    <w:p w:rsidR="00C630FB" w:rsidRDefault="00C630FB" w:rsidP="00124A51">
      <w:r>
        <w:continuationSeparator/>
      </w:r>
    </w:p>
    <w:p w:rsidR="00C630FB" w:rsidRDefault="00C630FB"/>
  </w:footnote>
  <w:footnote w:id="1">
    <w:p w:rsidR="00362D63" w:rsidRPr="00D86EC2" w:rsidRDefault="00362D63" w:rsidP="00264317">
      <w:pPr>
        <w:pStyle w:val="FootnoteText"/>
        <w:rPr>
          <w:lang w:val="en-US"/>
        </w:rPr>
      </w:pPr>
      <w:r>
        <w:rPr>
          <w:rStyle w:val="FootnoteReference"/>
        </w:rPr>
        <w:footnoteRef/>
      </w:r>
      <w:r>
        <w:t xml:space="preserve"> </w:t>
      </w:r>
      <w:r w:rsidRPr="000A7578">
        <w:rPr>
          <w:noProof/>
        </w:rPr>
        <w:t>Planchard D, Popat S</w:t>
      </w:r>
      <w:r w:rsidRPr="000A7578">
        <w:rPr>
          <w:i/>
          <w:noProof/>
        </w:rPr>
        <w:t>, et al.</w:t>
      </w:r>
      <w:r w:rsidRPr="000A7578">
        <w:rPr>
          <w:noProof/>
        </w:rPr>
        <w:t xml:space="preserve"> Metastatic non-small cell lung cancer: ESMO Clinical Practice Guidelines for diagnosis, treatment and follow-up. </w:t>
      </w:r>
      <w:r w:rsidRPr="000A7578">
        <w:rPr>
          <w:i/>
          <w:noProof/>
        </w:rPr>
        <w:t>Ann Oncol</w:t>
      </w:r>
      <w:r w:rsidRPr="000A7578">
        <w:rPr>
          <w:noProof/>
        </w:rPr>
        <w:t>. 2018; 29 (Suppl 4):iv192-iv237</w:t>
      </w:r>
      <w:r>
        <w:rPr>
          <w:noProof/>
        </w:rPr>
        <w:t xml:space="preserve"> and </w:t>
      </w:r>
      <w:r w:rsidRPr="000A7578">
        <w:rPr>
          <w:noProof/>
        </w:rPr>
        <w:t xml:space="preserve">National Comprehensive Cancer Network. </w:t>
      </w:r>
      <w:r w:rsidRPr="000A7578">
        <w:rPr>
          <w:i/>
          <w:noProof/>
        </w:rPr>
        <w:t xml:space="preserve">Non-small cell lung cancer. </w:t>
      </w:r>
      <w:r w:rsidRPr="000A7578">
        <w:rPr>
          <w:noProof/>
        </w:rPr>
        <w:t>NCCN Clinical Practice Guidelines in Oncology [Internet].</w:t>
      </w:r>
      <w:r>
        <w:rPr>
          <w:noProof/>
        </w:rPr>
        <w:t xml:space="preserve"> </w:t>
      </w:r>
      <w:r w:rsidRPr="000A7578">
        <w:rPr>
          <w:noProof/>
        </w:rPr>
        <w:t xml:space="preserve">2020. [Accessed 21 July 2020]]; Version 5.2020. Available from: </w:t>
      </w:r>
      <w:hyperlink r:id="rId1" w:history="1">
        <w:r w:rsidRPr="000A7578">
          <w:rPr>
            <w:rStyle w:val="Hyperlink"/>
            <w:noProof/>
          </w:rPr>
          <w:t>https://www.nccn.org/</w:t>
        </w:r>
      </w:hyperlink>
      <w:r w:rsidRPr="000A7578">
        <w:rPr>
          <w:noProof/>
        </w:rPr>
        <w:t>.</w:t>
      </w:r>
    </w:p>
  </w:footnote>
  <w:footnote w:id="2">
    <w:p w:rsidR="00362D63" w:rsidRDefault="00362D63">
      <w:pPr>
        <w:pStyle w:val="FootnoteText"/>
      </w:pPr>
      <w:r>
        <w:rPr>
          <w:rStyle w:val="FootnoteReference"/>
        </w:rPr>
        <w:footnoteRef/>
      </w:r>
      <w:r>
        <w:t xml:space="preserve"> </w:t>
      </w:r>
      <w:proofErr w:type="spellStart"/>
      <w:r w:rsidRPr="00434FAC">
        <w:t>Cherny</w:t>
      </w:r>
      <w:proofErr w:type="spellEnd"/>
      <w:r w:rsidRPr="00434FAC">
        <w:t xml:space="preserve"> NI, Dafni U, </w:t>
      </w:r>
      <w:proofErr w:type="spellStart"/>
      <w:r w:rsidRPr="00434FAC">
        <w:t>Bogaerts</w:t>
      </w:r>
      <w:proofErr w:type="spellEnd"/>
      <w:r w:rsidRPr="00434FAC">
        <w:t xml:space="preserve"> J, et al: ESMO-Magnitude of Clinical Benefit Scale version 1.1. Annals of Oncology 28:2340-2366, 2017</w:t>
      </w:r>
    </w:p>
  </w:footnote>
  <w:footnote w:id="3">
    <w:p w:rsidR="00362D63" w:rsidRPr="00B71954" w:rsidRDefault="00362D63">
      <w:pPr>
        <w:pStyle w:val="FootnoteText"/>
        <w:rPr>
          <w:lang w:val="en-US"/>
        </w:rPr>
      </w:pPr>
      <w:r>
        <w:rPr>
          <w:rStyle w:val="FootnoteReference"/>
        </w:rPr>
        <w:footnoteRef/>
      </w:r>
      <w:r>
        <w:t xml:space="preserve"> </w:t>
      </w:r>
      <w:r>
        <w:rPr>
          <w:lang w:val="en-US"/>
        </w:rPr>
        <w:t xml:space="preserve">Source: </w:t>
      </w:r>
      <w:hyperlink r:id="rId2" w:history="1">
        <w:r w:rsidRPr="00271468">
          <w:rPr>
            <w:rStyle w:val="Hyperlink"/>
            <w:lang w:val="en-US"/>
          </w:rPr>
          <w:t>www.eviq.org.au</w:t>
        </w:r>
      </w:hyperlink>
      <w:r>
        <w:rPr>
          <w:lang w:val="en-US"/>
        </w:rPr>
        <w:t xml:space="preserve"> </w:t>
      </w:r>
    </w:p>
  </w:footnote>
  <w:footnote w:id="4">
    <w:p w:rsidR="00362D63" w:rsidRDefault="00362D63" w:rsidP="00BA31F3">
      <w:pPr>
        <w:pStyle w:val="FootnoteText"/>
        <w:ind w:left="142" w:hanging="142"/>
      </w:pPr>
      <w:r>
        <w:rPr>
          <w:rStyle w:val="FootnoteReference"/>
        </w:rPr>
        <w:footnoteRef/>
      </w:r>
      <w:r>
        <w:t xml:space="preserve"> </w:t>
      </w:r>
      <w:r w:rsidRPr="00232233">
        <w:rPr>
          <w:noProof/>
        </w:rPr>
        <w:t>de Castro J, Tagliaferri P</w:t>
      </w:r>
      <w:r w:rsidRPr="00232233">
        <w:rPr>
          <w:i/>
          <w:noProof/>
        </w:rPr>
        <w:t>, et al.</w:t>
      </w:r>
      <w:r w:rsidRPr="00232233">
        <w:rPr>
          <w:noProof/>
        </w:rPr>
        <w:t xml:space="preserve"> Systemic therapy treatment patterns in patients with advanced non-small cell lung cancer (NSCLC): PIvOTAL study. </w:t>
      </w:r>
      <w:r w:rsidRPr="00232233">
        <w:rPr>
          <w:i/>
          <w:noProof/>
        </w:rPr>
        <w:t>Eur J Cancer Care (Engl)</w:t>
      </w:r>
      <w:r w:rsidRPr="00232233">
        <w:rPr>
          <w:noProof/>
        </w:rPr>
        <w:t>. 2017; 26 (6).</w:t>
      </w:r>
    </w:p>
  </w:footnote>
  <w:footnote w:id="5">
    <w:p w:rsidR="00362D63" w:rsidRPr="00A90005" w:rsidRDefault="00362D63" w:rsidP="00716C52">
      <w:pPr>
        <w:pStyle w:val="FootnoteText"/>
        <w:rPr>
          <w:lang w:val="en-US"/>
        </w:rPr>
      </w:pPr>
      <w:r>
        <w:rPr>
          <w:rStyle w:val="FootnoteReference"/>
        </w:rPr>
        <w:footnoteRef/>
      </w:r>
      <w:r>
        <w:t xml:space="preserve"> </w:t>
      </w:r>
      <w:r>
        <w:rPr>
          <w:lang w:val="en-US"/>
        </w:rPr>
        <w:t xml:space="preserve">Weighted number of doses of </w:t>
      </w:r>
      <w:proofErr w:type="spellStart"/>
      <w:r>
        <w:rPr>
          <w:lang w:val="en-US"/>
        </w:rPr>
        <w:t>pembrolizumab</w:t>
      </w:r>
      <w:proofErr w:type="spellEnd"/>
      <w:r>
        <w:rPr>
          <w:lang w:val="en-US"/>
        </w:rPr>
        <w:t xml:space="preserve"> for patients receiving carboplatin/</w:t>
      </w:r>
      <w:proofErr w:type="spellStart"/>
      <w:r>
        <w:rPr>
          <w:lang w:val="en-US"/>
        </w:rPr>
        <w:t>pemetrexed</w:t>
      </w:r>
      <w:proofErr w:type="spellEnd"/>
      <w:r>
        <w:rPr>
          <w:lang w:val="en-US"/>
        </w:rPr>
        <w:t xml:space="preserve"> (72.2% x 13.4 doses) and patients receiving cisplatin/</w:t>
      </w:r>
      <w:proofErr w:type="spellStart"/>
      <w:r>
        <w:rPr>
          <w:lang w:val="en-US"/>
        </w:rPr>
        <w:t>pemetrexed</w:t>
      </w:r>
      <w:proofErr w:type="spellEnd"/>
      <w:r>
        <w:rPr>
          <w:lang w:val="en-US"/>
        </w:rPr>
        <w:t xml:space="preserve"> (28.2% x 14.7 doses).  </w:t>
      </w:r>
    </w:p>
  </w:footnote>
  <w:footnote w:id="6">
    <w:p w:rsidR="00362D63" w:rsidRPr="007B732C" w:rsidRDefault="00362D63" w:rsidP="00716C52">
      <w:pPr>
        <w:pStyle w:val="FootnoteText"/>
        <w:rPr>
          <w:lang w:val="en-US"/>
        </w:rPr>
      </w:pPr>
      <w:r>
        <w:rPr>
          <w:rStyle w:val="FootnoteReference"/>
        </w:rPr>
        <w:footnoteRef/>
      </w:r>
      <w:r>
        <w:t xml:space="preserve"> </w:t>
      </w:r>
      <w:r>
        <w:rPr>
          <w:lang w:val="en-US"/>
        </w:rPr>
        <w:t xml:space="preserve">Weighted number of doses of </w:t>
      </w:r>
      <w:proofErr w:type="spellStart"/>
      <w:r>
        <w:rPr>
          <w:lang w:val="en-US"/>
        </w:rPr>
        <w:t>pemetrexed</w:t>
      </w:r>
      <w:proofErr w:type="spellEnd"/>
      <w:r>
        <w:rPr>
          <w:lang w:val="en-US"/>
        </w:rPr>
        <w:t xml:space="preserve"> for patients receiving carboplatin/</w:t>
      </w:r>
      <w:proofErr w:type="spellStart"/>
      <w:r>
        <w:rPr>
          <w:lang w:val="en-US"/>
        </w:rPr>
        <w:t>pemetrexed</w:t>
      </w:r>
      <w:proofErr w:type="spellEnd"/>
      <w:r>
        <w:rPr>
          <w:lang w:val="en-US"/>
        </w:rPr>
        <w:t xml:space="preserve"> (72.2% x 11.2 doses) and patients receiving cisplatin/</w:t>
      </w:r>
      <w:proofErr w:type="spellStart"/>
      <w:r>
        <w:rPr>
          <w:lang w:val="en-US"/>
        </w:rPr>
        <w:t>pemetrexed</w:t>
      </w:r>
      <w:proofErr w:type="spellEnd"/>
      <w:r>
        <w:rPr>
          <w:lang w:val="en-US"/>
        </w:rPr>
        <w:t xml:space="preserve"> (28.2% x 13.0 doses).  </w:t>
      </w:r>
    </w:p>
  </w:footnote>
  <w:footnote w:id="7">
    <w:p w:rsidR="00362D63" w:rsidRDefault="00362D63">
      <w:pPr>
        <w:pStyle w:val="FootnoteText"/>
      </w:pPr>
      <w:r>
        <w:rPr>
          <w:rStyle w:val="FootnoteReference"/>
        </w:rPr>
        <w:footnoteRef/>
      </w:r>
      <w:r>
        <w:t xml:space="preserve"> </w:t>
      </w:r>
      <w:proofErr w:type="spellStart"/>
      <w:r>
        <w:rPr>
          <w:color w:val="333333"/>
          <w:sz w:val="21"/>
          <w:szCs w:val="21"/>
          <w:shd w:val="clear" w:color="auto" w:fill="F7F7F7"/>
        </w:rPr>
        <w:t>Reck</w:t>
      </w:r>
      <w:proofErr w:type="spellEnd"/>
      <w:r>
        <w:rPr>
          <w:color w:val="333333"/>
          <w:sz w:val="21"/>
          <w:szCs w:val="21"/>
          <w:shd w:val="clear" w:color="auto" w:fill="F7F7F7"/>
        </w:rPr>
        <w:t xml:space="preserve"> M, </w:t>
      </w:r>
      <w:proofErr w:type="spellStart"/>
      <w:r>
        <w:rPr>
          <w:color w:val="333333"/>
          <w:sz w:val="21"/>
          <w:szCs w:val="21"/>
          <w:shd w:val="clear" w:color="auto" w:fill="F7F7F7"/>
        </w:rPr>
        <w:t>Ciuleanu</w:t>
      </w:r>
      <w:proofErr w:type="spellEnd"/>
      <w:r>
        <w:rPr>
          <w:color w:val="333333"/>
          <w:sz w:val="21"/>
          <w:szCs w:val="21"/>
          <w:shd w:val="clear" w:color="auto" w:fill="F7F7F7"/>
        </w:rPr>
        <w:t xml:space="preserve"> TE, </w:t>
      </w:r>
      <w:proofErr w:type="spellStart"/>
      <w:r>
        <w:rPr>
          <w:color w:val="333333"/>
          <w:sz w:val="21"/>
          <w:szCs w:val="21"/>
          <w:shd w:val="clear" w:color="auto" w:fill="F7F7F7"/>
        </w:rPr>
        <w:t>Dols</w:t>
      </w:r>
      <w:proofErr w:type="spellEnd"/>
      <w:r>
        <w:rPr>
          <w:color w:val="333333"/>
          <w:sz w:val="21"/>
          <w:szCs w:val="21"/>
          <w:shd w:val="clear" w:color="auto" w:fill="F7F7F7"/>
        </w:rPr>
        <w:t xml:space="preserve"> MC, et al: Nivolumab plus ipilimumab plus 2 cycles of platinum doublet chemotherapy vs 4 cycles of chemo as first-line treatment for stage IV/recurrent non-small cell lung cancer: </w:t>
      </w:r>
      <w:proofErr w:type="spellStart"/>
      <w:r>
        <w:rPr>
          <w:color w:val="333333"/>
          <w:sz w:val="21"/>
          <w:szCs w:val="21"/>
          <w:shd w:val="clear" w:color="auto" w:fill="F7F7F7"/>
        </w:rPr>
        <w:t>CheckMate</w:t>
      </w:r>
      <w:proofErr w:type="spellEnd"/>
      <w:r>
        <w:rPr>
          <w:color w:val="333333"/>
          <w:sz w:val="21"/>
          <w:szCs w:val="21"/>
          <w:shd w:val="clear" w:color="auto" w:fill="F7F7F7"/>
        </w:rPr>
        <w:t xml:space="preserve"> 9LA. ASCO20 Virtual Scientific Program. </w:t>
      </w:r>
      <w:hyperlink r:id="rId3" w:tgtFrame="_blank" w:history="1">
        <w:r>
          <w:rPr>
            <w:rStyle w:val="Hyperlink"/>
            <w:color w:val="00B3BB"/>
            <w:sz w:val="21"/>
            <w:szCs w:val="21"/>
            <w:shd w:val="clear" w:color="auto" w:fill="F7F7F7"/>
          </w:rPr>
          <w:t>Abstract 9501</w:t>
        </w:r>
      </w:hyperlink>
      <w:r>
        <w:rPr>
          <w:color w:val="333333"/>
          <w:sz w:val="21"/>
          <w:szCs w:val="21"/>
          <w:shd w:val="clear" w:color="auto" w:fill="F7F7F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63" w:rsidRDefault="00362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63" w:rsidRPr="00711B7A" w:rsidRDefault="00362D63" w:rsidP="00711B7A">
    <w:pPr>
      <w:tabs>
        <w:tab w:val="center" w:pos="4153"/>
        <w:tab w:val="right" w:pos="8306"/>
      </w:tabs>
      <w:autoSpaceDE w:val="0"/>
      <w:autoSpaceDN w:val="0"/>
      <w:adjustRightInd w:val="0"/>
      <w:ind w:left="360"/>
      <w:jc w:val="center"/>
      <w:rPr>
        <w:rFonts w:cs="Calibri"/>
        <w:i/>
        <w:iCs/>
      </w:rPr>
    </w:pPr>
    <w:r>
      <w:rPr>
        <w:rFonts w:cs="Calibri"/>
        <w:i/>
        <w:iCs/>
      </w:rPr>
      <w:t>Public Summary Document</w:t>
    </w:r>
    <w:r w:rsidRPr="00711B7A">
      <w:rPr>
        <w:rFonts w:cs="Calibri"/>
        <w:i/>
        <w:iCs/>
      </w:rPr>
      <w:t>–</w:t>
    </w:r>
    <w:r>
      <w:rPr>
        <w:rFonts w:cs="Calibri"/>
        <w:i/>
        <w:iCs/>
      </w:rPr>
      <w:t xml:space="preserve"> November 2020 </w:t>
    </w:r>
    <w:r w:rsidRPr="00711B7A">
      <w:rPr>
        <w:rFonts w:cs="Calibri"/>
        <w:i/>
        <w:iCs/>
      </w:rPr>
      <w:t>PBAC Meeting</w:t>
    </w:r>
  </w:p>
  <w:p w:rsidR="00362D63" w:rsidRPr="00711B7A" w:rsidRDefault="00362D63" w:rsidP="00711B7A">
    <w:pPr>
      <w:tabs>
        <w:tab w:val="center" w:pos="4153"/>
        <w:tab w:val="right" w:pos="8306"/>
      </w:tabs>
      <w:autoSpaceDE w:val="0"/>
      <w:autoSpaceDN w:val="0"/>
      <w:adjustRightInd w:val="0"/>
      <w:jc w:val="center"/>
      <w:rPr>
        <w:rFonts w:cs="Calibri"/>
        <w:i/>
        <w:i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63" w:rsidRDefault="00362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6E30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13710F"/>
    <w:multiLevelType w:val="hybridMultilevel"/>
    <w:tmpl w:val="59A81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DA3FB9"/>
    <w:multiLevelType w:val="hybridMultilevel"/>
    <w:tmpl w:val="95B8527A"/>
    <w:lvl w:ilvl="0" w:tplc="5F383DCE">
      <w:start w:val="1"/>
      <w:numFmt w:val="lowerRoman"/>
      <w:lvlText w:val="%1)"/>
      <w:lvlJc w:val="left"/>
      <w:pPr>
        <w:ind w:left="1178" w:hanging="360"/>
      </w:pPr>
      <w:rPr>
        <w:rFonts w:hint="default"/>
      </w:rPr>
    </w:lvl>
    <w:lvl w:ilvl="1" w:tplc="04090003">
      <w:start w:val="1"/>
      <w:numFmt w:val="bullet"/>
      <w:lvlText w:val="o"/>
      <w:lvlJc w:val="left"/>
      <w:pPr>
        <w:ind w:left="1898" w:hanging="360"/>
      </w:pPr>
      <w:rPr>
        <w:rFonts w:ascii="Courier New" w:hAnsi="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3" w15:restartNumberingAfterBreak="0">
    <w:nsid w:val="13F56492"/>
    <w:multiLevelType w:val="hybridMultilevel"/>
    <w:tmpl w:val="7090C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616066"/>
    <w:multiLevelType w:val="hybridMultilevel"/>
    <w:tmpl w:val="FED27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9945B2"/>
    <w:multiLevelType w:val="hybridMultilevel"/>
    <w:tmpl w:val="E64C73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BF65050"/>
    <w:multiLevelType w:val="hybridMultilevel"/>
    <w:tmpl w:val="AEEAB7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B219F8"/>
    <w:multiLevelType w:val="hybridMultilevel"/>
    <w:tmpl w:val="AA8E94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212BDF"/>
    <w:multiLevelType w:val="hybridMultilevel"/>
    <w:tmpl w:val="FCE8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E4A56"/>
    <w:multiLevelType w:val="hybridMultilevel"/>
    <w:tmpl w:val="055885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2400CB6"/>
    <w:multiLevelType w:val="hybridMultilevel"/>
    <w:tmpl w:val="F5288DAC"/>
    <w:lvl w:ilvl="0" w:tplc="5F383DCE">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8270CA"/>
    <w:multiLevelType w:val="hybridMultilevel"/>
    <w:tmpl w:val="74988B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050A460">
      <w:start w:val="1"/>
      <w:numFmt w:val="bullet"/>
      <w:lvlText w:val="-"/>
      <w:lvlJc w:val="left"/>
      <w:pPr>
        <w:ind w:left="2160" w:hanging="360"/>
      </w:pPr>
      <w:rPr>
        <w:rFonts w:ascii="Arial Narrow" w:hAnsi="Arial Narro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F473B"/>
    <w:multiLevelType w:val="hybridMultilevel"/>
    <w:tmpl w:val="F5288DAC"/>
    <w:lvl w:ilvl="0" w:tplc="5F383DCE">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D6F77"/>
    <w:multiLevelType w:val="hybridMultilevel"/>
    <w:tmpl w:val="E24E6FBE"/>
    <w:lvl w:ilvl="0" w:tplc="5F383DCE">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6E56174D"/>
    <w:multiLevelType w:val="hybridMultilevel"/>
    <w:tmpl w:val="31C4B894"/>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0A837B7"/>
    <w:multiLevelType w:val="hybridMultilevel"/>
    <w:tmpl w:val="6402F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2D1AC4"/>
    <w:multiLevelType w:val="hybridMultilevel"/>
    <w:tmpl w:val="5F9C6D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67547E"/>
    <w:multiLevelType w:val="hybridMultilevel"/>
    <w:tmpl w:val="7A50B89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abstractNumId w:val="19"/>
  </w:num>
  <w:num w:numId="2">
    <w:abstractNumId w:val="12"/>
  </w:num>
  <w:num w:numId="3">
    <w:abstractNumId w:val="13"/>
  </w:num>
  <w:num w:numId="4">
    <w:abstractNumId w:val="0"/>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0"/>
  </w:num>
  <w:num w:numId="9">
    <w:abstractNumId w:val="8"/>
  </w:num>
  <w:num w:numId="10">
    <w:abstractNumId w:val="3"/>
  </w:num>
  <w:num w:numId="11">
    <w:abstractNumId w:val="15"/>
  </w:num>
  <w:num w:numId="12">
    <w:abstractNumId w:val="10"/>
  </w:num>
  <w:num w:numId="13">
    <w:abstractNumId w:val="14"/>
  </w:num>
  <w:num w:numId="14">
    <w:abstractNumId w:val="18"/>
  </w:num>
  <w:num w:numId="15">
    <w:abstractNumId w:val="2"/>
  </w:num>
  <w:num w:numId="16">
    <w:abstractNumId w:val="13"/>
  </w:num>
  <w:num w:numId="17">
    <w:abstractNumId w:val="13"/>
  </w:num>
  <w:num w:numId="18">
    <w:abstractNumId w:val="13"/>
  </w:num>
  <w:num w:numId="19">
    <w:abstractNumId w:val="19"/>
  </w:num>
  <w:num w:numId="20">
    <w:abstractNumId w:val="19"/>
  </w:num>
  <w:num w:numId="21">
    <w:abstractNumId w:val="13"/>
  </w:num>
  <w:num w:numId="22">
    <w:abstractNumId w:val="19"/>
  </w:num>
  <w:num w:numId="23">
    <w:abstractNumId w:val="13"/>
  </w:num>
  <w:num w:numId="24">
    <w:abstractNumId w:val="13"/>
  </w:num>
  <w:num w:numId="25">
    <w:abstractNumId w:val="13"/>
  </w:num>
  <w:num w:numId="26">
    <w:abstractNumId w:val="19"/>
  </w:num>
  <w:num w:numId="27">
    <w:abstractNumId w:val="13"/>
  </w:num>
  <w:num w:numId="28">
    <w:abstractNumId w:val="13"/>
  </w:num>
  <w:num w:numId="29">
    <w:abstractNumId w:val="13"/>
  </w:num>
  <w:num w:numId="30">
    <w:abstractNumId w:val="13"/>
  </w:num>
  <w:num w:numId="31">
    <w:abstractNumId w:val="13"/>
  </w:num>
  <w:num w:numId="32">
    <w:abstractNumId w:val="19"/>
  </w:num>
  <w:num w:numId="33">
    <w:abstractNumId w:val="13"/>
  </w:num>
  <w:num w:numId="34">
    <w:abstractNumId w:val="13"/>
  </w:num>
  <w:num w:numId="35">
    <w:abstractNumId w:val="13"/>
  </w:num>
  <w:num w:numId="36">
    <w:abstractNumId w:val="11"/>
  </w:num>
  <w:num w:numId="37">
    <w:abstractNumId w:val="13"/>
  </w:num>
  <w:num w:numId="38">
    <w:abstractNumId w:val="16"/>
  </w:num>
  <w:num w:numId="39">
    <w:abstractNumId w:val="9"/>
  </w:num>
  <w:num w:numId="40">
    <w:abstractNumId w:val="19"/>
  </w:num>
  <w:num w:numId="41">
    <w:abstractNumId w:val="1"/>
  </w:num>
  <w:num w:numId="42">
    <w:abstractNumId w:val="4"/>
  </w:num>
  <w:num w:numId="43">
    <w:abstractNumId w:val="6"/>
  </w:num>
  <w:num w:numId="44">
    <w:abstractNumId w:val="5"/>
  </w:num>
  <w:num w:numId="45">
    <w:abstractNumId w:val="17"/>
  </w:num>
  <w:num w:numId="46">
    <w:abstractNumId w:val="19"/>
  </w:num>
  <w:num w:numId="47">
    <w:abstractNumId w:val="19"/>
  </w:num>
  <w:num w:numId="48">
    <w:abstractNumId w:val="19"/>
  </w:num>
  <w:num w:numId="49">
    <w:abstractNumId w:val="19"/>
  </w:num>
  <w:num w:numId="5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savePreviewPicture/>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sx2far6apzrces92r50v5wp0xpfwadf0vf&quot;&gt;Nivo plus ipi plus chemo&lt;record-ids&gt;&lt;item&gt;16&lt;/item&gt;&lt;item&gt;17&lt;/item&gt;&lt;item&gt;18&lt;/item&gt;&lt;item&gt;19&lt;/item&gt;&lt;item&gt;20&lt;/item&gt;&lt;item&gt;25&lt;/item&gt;&lt;item&gt;27&lt;/item&gt;&lt;item&gt;28&lt;/item&gt;&lt;item&gt;30&lt;/item&gt;&lt;item&gt;31&lt;/item&gt;&lt;/record-ids&gt;&lt;/item&gt;&lt;/Libraries&gt;"/>
  </w:docVars>
  <w:rsids>
    <w:rsidRoot w:val="00E65E79"/>
    <w:rsid w:val="00000790"/>
    <w:rsid w:val="00000D54"/>
    <w:rsid w:val="0000110B"/>
    <w:rsid w:val="000013EC"/>
    <w:rsid w:val="000016F9"/>
    <w:rsid w:val="00002DB4"/>
    <w:rsid w:val="00003499"/>
    <w:rsid w:val="00003746"/>
    <w:rsid w:val="000039B7"/>
    <w:rsid w:val="000042ED"/>
    <w:rsid w:val="000050AD"/>
    <w:rsid w:val="0000639A"/>
    <w:rsid w:val="00006A7E"/>
    <w:rsid w:val="00006F86"/>
    <w:rsid w:val="000072FB"/>
    <w:rsid w:val="00010824"/>
    <w:rsid w:val="00010BAB"/>
    <w:rsid w:val="00011882"/>
    <w:rsid w:val="00011C8F"/>
    <w:rsid w:val="0001203F"/>
    <w:rsid w:val="000129E3"/>
    <w:rsid w:val="00013092"/>
    <w:rsid w:val="00013247"/>
    <w:rsid w:val="00013404"/>
    <w:rsid w:val="00013A1D"/>
    <w:rsid w:val="00014340"/>
    <w:rsid w:val="00015886"/>
    <w:rsid w:val="000162EF"/>
    <w:rsid w:val="00017E37"/>
    <w:rsid w:val="00017F73"/>
    <w:rsid w:val="000207C9"/>
    <w:rsid w:val="00020892"/>
    <w:rsid w:val="00020C62"/>
    <w:rsid w:val="0002192C"/>
    <w:rsid w:val="00021C5E"/>
    <w:rsid w:val="0002225F"/>
    <w:rsid w:val="00023763"/>
    <w:rsid w:val="00024D0F"/>
    <w:rsid w:val="000250E3"/>
    <w:rsid w:val="0002550D"/>
    <w:rsid w:val="000268BE"/>
    <w:rsid w:val="000274B8"/>
    <w:rsid w:val="000309FC"/>
    <w:rsid w:val="000315DA"/>
    <w:rsid w:val="00031F00"/>
    <w:rsid w:val="00031F0F"/>
    <w:rsid w:val="00033863"/>
    <w:rsid w:val="0003590D"/>
    <w:rsid w:val="00035DC0"/>
    <w:rsid w:val="00036829"/>
    <w:rsid w:val="0003695F"/>
    <w:rsid w:val="00036FC4"/>
    <w:rsid w:val="00037E8F"/>
    <w:rsid w:val="00040492"/>
    <w:rsid w:val="000405C9"/>
    <w:rsid w:val="00040895"/>
    <w:rsid w:val="00042091"/>
    <w:rsid w:val="00042EF6"/>
    <w:rsid w:val="000435EE"/>
    <w:rsid w:val="000436D1"/>
    <w:rsid w:val="00043C37"/>
    <w:rsid w:val="000440D7"/>
    <w:rsid w:val="0004488E"/>
    <w:rsid w:val="00044912"/>
    <w:rsid w:val="00045017"/>
    <w:rsid w:val="000458E3"/>
    <w:rsid w:val="00045A2B"/>
    <w:rsid w:val="00045F2C"/>
    <w:rsid w:val="000467A8"/>
    <w:rsid w:val="0004698F"/>
    <w:rsid w:val="00047BC8"/>
    <w:rsid w:val="00050400"/>
    <w:rsid w:val="00050842"/>
    <w:rsid w:val="0005087B"/>
    <w:rsid w:val="00050DB7"/>
    <w:rsid w:val="0005199D"/>
    <w:rsid w:val="00051ED7"/>
    <w:rsid w:val="00052A01"/>
    <w:rsid w:val="000539D0"/>
    <w:rsid w:val="00054621"/>
    <w:rsid w:val="000546D7"/>
    <w:rsid w:val="0005654D"/>
    <w:rsid w:val="00056ECF"/>
    <w:rsid w:val="000604DF"/>
    <w:rsid w:val="000615AC"/>
    <w:rsid w:val="0006199F"/>
    <w:rsid w:val="00061F1F"/>
    <w:rsid w:val="000628EC"/>
    <w:rsid w:val="00062F63"/>
    <w:rsid w:val="00064774"/>
    <w:rsid w:val="00064B27"/>
    <w:rsid w:val="000653B5"/>
    <w:rsid w:val="000659F8"/>
    <w:rsid w:val="00066360"/>
    <w:rsid w:val="00066AF8"/>
    <w:rsid w:val="00066D54"/>
    <w:rsid w:val="000676C0"/>
    <w:rsid w:val="00067DF4"/>
    <w:rsid w:val="00071248"/>
    <w:rsid w:val="0007179E"/>
    <w:rsid w:val="000720B9"/>
    <w:rsid w:val="00072780"/>
    <w:rsid w:val="000727CA"/>
    <w:rsid w:val="000737F7"/>
    <w:rsid w:val="00073CE5"/>
    <w:rsid w:val="00074517"/>
    <w:rsid w:val="00075346"/>
    <w:rsid w:val="0007672F"/>
    <w:rsid w:val="00076B54"/>
    <w:rsid w:val="000774F0"/>
    <w:rsid w:val="000776E1"/>
    <w:rsid w:val="000778E4"/>
    <w:rsid w:val="00080909"/>
    <w:rsid w:val="000812CA"/>
    <w:rsid w:val="00081E63"/>
    <w:rsid w:val="0008258D"/>
    <w:rsid w:val="00083431"/>
    <w:rsid w:val="00083D25"/>
    <w:rsid w:val="00083DD4"/>
    <w:rsid w:val="00083E99"/>
    <w:rsid w:val="000847C9"/>
    <w:rsid w:val="00084BCE"/>
    <w:rsid w:val="00084D76"/>
    <w:rsid w:val="00084FA8"/>
    <w:rsid w:val="000856C5"/>
    <w:rsid w:val="00085C31"/>
    <w:rsid w:val="0008793B"/>
    <w:rsid w:val="000902D9"/>
    <w:rsid w:val="00090385"/>
    <w:rsid w:val="00090C7E"/>
    <w:rsid w:val="00090DE1"/>
    <w:rsid w:val="00090E60"/>
    <w:rsid w:val="00091454"/>
    <w:rsid w:val="00092600"/>
    <w:rsid w:val="0009262B"/>
    <w:rsid w:val="00092C90"/>
    <w:rsid w:val="00093310"/>
    <w:rsid w:val="00093713"/>
    <w:rsid w:val="0009425C"/>
    <w:rsid w:val="0009445C"/>
    <w:rsid w:val="00095200"/>
    <w:rsid w:val="00095FE5"/>
    <w:rsid w:val="00096284"/>
    <w:rsid w:val="000965F7"/>
    <w:rsid w:val="000971FD"/>
    <w:rsid w:val="000975F7"/>
    <w:rsid w:val="000A02E9"/>
    <w:rsid w:val="000A08DF"/>
    <w:rsid w:val="000A0E49"/>
    <w:rsid w:val="000A102E"/>
    <w:rsid w:val="000A11F1"/>
    <w:rsid w:val="000A1BC0"/>
    <w:rsid w:val="000A205B"/>
    <w:rsid w:val="000A2069"/>
    <w:rsid w:val="000A27C5"/>
    <w:rsid w:val="000A2B4E"/>
    <w:rsid w:val="000A306C"/>
    <w:rsid w:val="000A31B3"/>
    <w:rsid w:val="000A35C5"/>
    <w:rsid w:val="000A4467"/>
    <w:rsid w:val="000A49E9"/>
    <w:rsid w:val="000A5542"/>
    <w:rsid w:val="000A589C"/>
    <w:rsid w:val="000A6039"/>
    <w:rsid w:val="000A7453"/>
    <w:rsid w:val="000A7578"/>
    <w:rsid w:val="000A7D08"/>
    <w:rsid w:val="000A7FCB"/>
    <w:rsid w:val="000B0121"/>
    <w:rsid w:val="000B055A"/>
    <w:rsid w:val="000B0670"/>
    <w:rsid w:val="000B0E75"/>
    <w:rsid w:val="000B1690"/>
    <w:rsid w:val="000B2CB6"/>
    <w:rsid w:val="000B2DCB"/>
    <w:rsid w:val="000B32E2"/>
    <w:rsid w:val="000B359B"/>
    <w:rsid w:val="000B4417"/>
    <w:rsid w:val="000B47E7"/>
    <w:rsid w:val="000B4873"/>
    <w:rsid w:val="000B5129"/>
    <w:rsid w:val="000B59C8"/>
    <w:rsid w:val="000B5CE0"/>
    <w:rsid w:val="000B5E2B"/>
    <w:rsid w:val="000B5F6B"/>
    <w:rsid w:val="000B6CAC"/>
    <w:rsid w:val="000B735A"/>
    <w:rsid w:val="000B7612"/>
    <w:rsid w:val="000B78AE"/>
    <w:rsid w:val="000C01BA"/>
    <w:rsid w:val="000C07A7"/>
    <w:rsid w:val="000C2B23"/>
    <w:rsid w:val="000C308B"/>
    <w:rsid w:val="000C3DF9"/>
    <w:rsid w:val="000C46B8"/>
    <w:rsid w:val="000C513F"/>
    <w:rsid w:val="000C5AD4"/>
    <w:rsid w:val="000C6713"/>
    <w:rsid w:val="000C7022"/>
    <w:rsid w:val="000D0D3D"/>
    <w:rsid w:val="000D0DB0"/>
    <w:rsid w:val="000D1876"/>
    <w:rsid w:val="000D1BFC"/>
    <w:rsid w:val="000D1D5D"/>
    <w:rsid w:val="000D281A"/>
    <w:rsid w:val="000D2848"/>
    <w:rsid w:val="000D326A"/>
    <w:rsid w:val="000D38E6"/>
    <w:rsid w:val="000D3E99"/>
    <w:rsid w:val="000D43A8"/>
    <w:rsid w:val="000D4C17"/>
    <w:rsid w:val="000D51FB"/>
    <w:rsid w:val="000D6A3E"/>
    <w:rsid w:val="000D7E47"/>
    <w:rsid w:val="000E0640"/>
    <w:rsid w:val="000E135D"/>
    <w:rsid w:val="000E190C"/>
    <w:rsid w:val="000E1CBE"/>
    <w:rsid w:val="000E2217"/>
    <w:rsid w:val="000E267D"/>
    <w:rsid w:val="000E2885"/>
    <w:rsid w:val="000E4AB1"/>
    <w:rsid w:val="000E73AC"/>
    <w:rsid w:val="000F00BA"/>
    <w:rsid w:val="000F019A"/>
    <w:rsid w:val="000F02EE"/>
    <w:rsid w:val="000F0ACF"/>
    <w:rsid w:val="000F0C1C"/>
    <w:rsid w:val="000F203B"/>
    <w:rsid w:val="000F316A"/>
    <w:rsid w:val="000F3A6A"/>
    <w:rsid w:val="000F3C74"/>
    <w:rsid w:val="000F4A6C"/>
    <w:rsid w:val="000F4BB8"/>
    <w:rsid w:val="000F4FA9"/>
    <w:rsid w:val="000F524B"/>
    <w:rsid w:val="000F53FB"/>
    <w:rsid w:val="000F551C"/>
    <w:rsid w:val="000F5B21"/>
    <w:rsid w:val="000F6039"/>
    <w:rsid w:val="000F610A"/>
    <w:rsid w:val="000F6871"/>
    <w:rsid w:val="000F7127"/>
    <w:rsid w:val="000F7B54"/>
    <w:rsid w:val="0010015A"/>
    <w:rsid w:val="001003F3"/>
    <w:rsid w:val="001007C3"/>
    <w:rsid w:val="00100B92"/>
    <w:rsid w:val="00100F8A"/>
    <w:rsid w:val="001015B5"/>
    <w:rsid w:val="0010245C"/>
    <w:rsid w:val="00103415"/>
    <w:rsid w:val="001035B7"/>
    <w:rsid w:val="0010422A"/>
    <w:rsid w:val="0010452E"/>
    <w:rsid w:val="00104765"/>
    <w:rsid w:val="001047FD"/>
    <w:rsid w:val="00105AE2"/>
    <w:rsid w:val="001060C6"/>
    <w:rsid w:val="0010666B"/>
    <w:rsid w:val="001067C7"/>
    <w:rsid w:val="00106B80"/>
    <w:rsid w:val="00106DA9"/>
    <w:rsid w:val="00107740"/>
    <w:rsid w:val="00107919"/>
    <w:rsid w:val="0011015B"/>
    <w:rsid w:val="0011032E"/>
    <w:rsid w:val="001105CD"/>
    <w:rsid w:val="00110B72"/>
    <w:rsid w:val="0011126B"/>
    <w:rsid w:val="00111D02"/>
    <w:rsid w:val="00111EE6"/>
    <w:rsid w:val="00112090"/>
    <w:rsid w:val="0011348B"/>
    <w:rsid w:val="001149DF"/>
    <w:rsid w:val="001153DF"/>
    <w:rsid w:val="00115982"/>
    <w:rsid w:val="00115F96"/>
    <w:rsid w:val="00115FEC"/>
    <w:rsid w:val="001169D1"/>
    <w:rsid w:val="00116C53"/>
    <w:rsid w:val="001171DB"/>
    <w:rsid w:val="00117775"/>
    <w:rsid w:val="00117AEA"/>
    <w:rsid w:val="001202BC"/>
    <w:rsid w:val="00120A11"/>
    <w:rsid w:val="001213BF"/>
    <w:rsid w:val="00121799"/>
    <w:rsid w:val="00122241"/>
    <w:rsid w:val="001222FC"/>
    <w:rsid w:val="0012291B"/>
    <w:rsid w:val="001236C9"/>
    <w:rsid w:val="00123894"/>
    <w:rsid w:val="00123902"/>
    <w:rsid w:val="00124A51"/>
    <w:rsid w:val="00124F0B"/>
    <w:rsid w:val="001250E9"/>
    <w:rsid w:val="00125744"/>
    <w:rsid w:val="00126621"/>
    <w:rsid w:val="00126B1D"/>
    <w:rsid w:val="00126FCB"/>
    <w:rsid w:val="00126FF3"/>
    <w:rsid w:val="00127E42"/>
    <w:rsid w:val="001301E9"/>
    <w:rsid w:val="00130240"/>
    <w:rsid w:val="0013032B"/>
    <w:rsid w:val="001318BD"/>
    <w:rsid w:val="00131D82"/>
    <w:rsid w:val="00131EDE"/>
    <w:rsid w:val="00132B22"/>
    <w:rsid w:val="00133201"/>
    <w:rsid w:val="001333AB"/>
    <w:rsid w:val="001334B4"/>
    <w:rsid w:val="00133D08"/>
    <w:rsid w:val="00133D36"/>
    <w:rsid w:val="00136393"/>
    <w:rsid w:val="00137645"/>
    <w:rsid w:val="00137DF9"/>
    <w:rsid w:val="0014015A"/>
    <w:rsid w:val="001408E9"/>
    <w:rsid w:val="00140E99"/>
    <w:rsid w:val="00141A2D"/>
    <w:rsid w:val="00141E52"/>
    <w:rsid w:val="00142020"/>
    <w:rsid w:val="00142E29"/>
    <w:rsid w:val="00143F67"/>
    <w:rsid w:val="00145540"/>
    <w:rsid w:val="001456B0"/>
    <w:rsid w:val="001459D7"/>
    <w:rsid w:val="001472D9"/>
    <w:rsid w:val="001503CA"/>
    <w:rsid w:val="001504A5"/>
    <w:rsid w:val="001506CB"/>
    <w:rsid w:val="00150913"/>
    <w:rsid w:val="00151388"/>
    <w:rsid w:val="00151911"/>
    <w:rsid w:val="00151DFC"/>
    <w:rsid w:val="00152B28"/>
    <w:rsid w:val="00152D2E"/>
    <w:rsid w:val="0015340E"/>
    <w:rsid w:val="00153792"/>
    <w:rsid w:val="00153F2D"/>
    <w:rsid w:val="00154F34"/>
    <w:rsid w:val="0015658F"/>
    <w:rsid w:val="00156B6D"/>
    <w:rsid w:val="00156F8F"/>
    <w:rsid w:val="00157130"/>
    <w:rsid w:val="001576B1"/>
    <w:rsid w:val="001577A0"/>
    <w:rsid w:val="00157B29"/>
    <w:rsid w:val="00160135"/>
    <w:rsid w:val="001601CC"/>
    <w:rsid w:val="0016047B"/>
    <w:rsid w:val="001608F1"/>
    <w:rsid w:val="00160A4C"/>
    <w:rsid w:val="0016260E"/>
    <w:rsid w:val="00162913"/>
    <w:rsid w:val="00162DB1"/>
    <w:rsid w:val="00163E8B"/>
    <w:rsid w:val="00163EFF"/>
    <w:rsid w:val="00163F66"/>
    <w:rsid w:val="00164D3D"/>
    <w:rsid w:val="001661FB"/>
    <w:rsid w:val="0016656D"/>
    <w:rsid w:val="001671A0"/>
    <w:rsid w:val="0016756F"/>
    <w:rsid w:val="0016767F"/>
    <w:rsid w:val="001678EF"/>
    <w:rsid w:val="00167E25"/>
    <w:rsid w:val="00172AED"/>
    <w:rsid w:val="00173565"/>
    <w:rsid w:val="001738A4"/>
    <w:rsid w:val="00173B07"/>
    <w:rsid w:val="00173D78"/>
    <w:rsid w:val="00174E31"/>
    <w:rsid w:val="001751FA"/>
    <w:rsid w:val="00175F95"/>
    <w:rsid w:val="001765BD"/>
    <w:rsid w:val="001770B3"/>
    <w:rsid w:val="00177494"/>
    <w:rsid w:val="00180E63"/>
    <w:rsid w:val="00180F96"/>
    <w:rsid w:val="00181D9C"/>
    <w:rsid w:val="00181DE6"/>
    <w:rsid w:val="00181E08"/>
    <w:rsid w:val="00182BDF"/>
    <w:rsid w:val="00183285"/>
    <w:rsid w:val="00183CE2"/>
    <w:rsid w:val="001840FE"/>
    <w:rsid w:val="00184B0E"/>
    <w:rsid w:val="0018508A"/>
    <w:rsid w:val="00185538"/>
    <w:rsid w:val="00186903"/>
    <w:rsid w:val="00186B48"/>
    <w:rsid w:val="00186CC6"/>
    <w:rsid w:val="001870E0"/>
    <w:rsid w:val="0018752F"/>
    <w:rsid w:val="001907E7"/>
    <w:rsid w:val="00190A8A"/>
    <w:rsid w:val="0019181B"/>
    <w:rsid w:val="00193838"/>
    <w:rsid w:val="00193EF2"/>
    <w:rsid w:val="00193F56"/>
    <w:rsid w:val="00193F74"/>
    <w:rsid w:val="0019473E"/>
    <w:rsid w:val="00194AD8"/>
    <w:rsid w:val="00195222"/>
    <w:rsid w:val="00195278"/>
    <w:rsid w:val="001975D8"/>
    <w:rsid w:val="001A0FC0"/>
    <w:rsid w:val="001A178E"/>
    <w:rsid w:val="001A3625"/>
    <w:rsid w:val="001A36ED"/>
    <w:rsid w:val="001A38A1"/>
    <w:rsid w:val="001A3B6E"/>
    <w:rsid w:val="001A43FA"/>
    <w:rsid w:val="001A4471"/>
    <w:rsid w:val="001A47C5"/>
    <w:rsid w:val="001A581E"/>
    <w:rsid w:val="001A5992"/>
    <w:rsid w:val="001A59FB"/>
    <w:rsid w:val="001A5B8D"/>
    <w:rsid w:val="001A5CE0"/>
    <w:rsid w:val="001A5E9E"/>
    <w:rsid w:val="001A6354"/>
    <w:rsid w:val="001A6366"/>
    <w:rsid w:val="001A638B"/>
    <w:rsid w:val="001A6F5A"/>
    <w:rsid w:val="001A75CB"/>
    <w:rsid w:val="001A7AE8"/>
    <w:rsid w:val="001B204E"/>
    <w:rsid w:val="001B223C"/>
    <w:rsid w:val="001B2372"/>
    <w:rsid w:val="001B3443"/>
    <w:rsid w:val="001B3BBE"/>
    <w:rsid w:val="001B3DBC"/>
    <w:rsid w:val="001B4C2C"/>
    <w:rsid w:val="001B4D20"/>
    <w:rsid w:val="001B50C9"/>
    <w:rsid w:val="001B5767"/>
    <w:rsid w:val="001B5BFC"/>
    <w:rsid w:val="001B5D50"/>
    <w:rsid w:val="001B72BF"/>
    <w:rsid w:val="001B792F"/>
    <w:rsid w:val="001B7A3B"/>
    <w:rsid w:val="001C0894"/>
    <w:rsid w:val="001C0E05"/>
    <w:rsid w:val="001C17DD"/>
    <w:rsid w:val="001C2182"/>
    <w:rsid w:val="001C2A9B"/>
    <w:rsid w:val="001C3122"/>
    <w:rsid w:val="001C4299"/>
    <w:rsid w:val="001C4874"/>
    <w:rsid w:val="001C494A"/>
    <w:rsid w:val="001C5F94"/>
    <w:rsid w:val="001C6E66"/>
    <w:rsid w:val="001C74CB"/>
    <w:rsid w:val="001D1100"/>
    <w:rsid w:val="001D1391"/>
    <w:rsid w:val="001D1526"/>
    <w:rsid w:val="001D1D7A"/>
    <w:rsid w:val="001D25D7"/>
    <w:rsid w:val="001D3036"/>
    <w:rsid w:val="001D3A92"/>
    <w:rsid w:val="001D44D8"/>
    <w:rsid w:val="001D44FC"/>
    <w:rsid w:val="001D490F"/>
    <w:rsid w:val="001D4CB8"/>
    <w:rsid w:val="001D5082"/>
    <w:rsid w:val="001D50B2"/>
    <w:rsid w:val="001D5751"/>
    <w:rsid w:val="001D7645"/>
    <w:rsid w:val="001E0032"/>
    <w:rsid w:val="001E0D2F"/>
    <w:rsid w:val="001E1275"/>
    <w:rsid w:val="001E1975"/>
    <w:rsid w:val="001E1E86"/>
    <w:rsid w:val="001E238E"/>
    <w:rsid w:val="001E2483"/>
    <w:rsid w:val="001E2B1E"/>
    <w:rsid w:val="001E2CFF"/>
    <w:rsid w:val="001E2D7F"/>
    <w:rsid w:val="001E2F24"/>
    <w:rsid w:val="001E30D4"/>
    <w:rsid w:val="001E34DF"/>
    <w:rsid w:val="001E34F1"/>
    <w:rsid w:val="001E4A7C"/>
    <w:rsid w:val="001E4A7E"/>
    <w:rsid w:val="001E4D99"/>
    <w:rsid w:val="001E52EB"/>
    <w:rsid w:val="001E61D2"/>
    <w:rsid w:val="001E6CAD"/>
    <w:rsid w:val="001E740C"/>
    <w:rsid w:val="001E7BC5"/>
    <w:rsid w:val="001F00DC"/>
    <w:rsid w:val="001F0A56"/>
    <w:rsid w:val="001F0D41"/>
    <w:rsid w:val="001F1235"/>
    <w:rsid w:val="001F1847"/>
    <w:rsid w:val="001F1CB3"/>
    <w:rsid w:val="001F28B5"/>
    <w:rsid w:val="001F2AB2"/>
    <w:rsid w:val="001F38B5"/>
    <w:rsid w:val="001F3D3C"/>
    <w:rsid w:val="001F4081"/>
    <w:rsid w:val="001F42D1"/>
    <w:rsid w:val="001F486B"/>
    <w:rsid w:val="001F568D"/>
    <w:rsid w:val="001F7361"/>
    <w:rsid w:val="00200130"/>
    <w:rsid w:val="002011B0"/>
    <w:rsid w:val="0020202C"/>
    <w:rsid w:val="002028FA"/>
    <w:rsid w:val="00203181"/>
    <w:rsid w:val="00203783"/>
    <w:rsid w:val="0020385F"/>
    <w:rsid w:val="00203A47"/>
    <w:rsid w:val="00204184"/>
    <w:rsid w:val="00205792"/>
    <w:rsid w:val="002068A0"/>
    <w:rsid w:val="00206A29"/>
    <w:rsid w:val="00206FD5"/>
    <w:rsid w:val="00207021"/>
    <w:rsid w:val="00207235"/>
    <w:rsid w:val="0020732F"/>
    <w:rsid w:val="00207CA7"/>
    <w:rsid w:val="00207D00"/>
    <w:rsid w:val="002105C1"/>
    <w:rsid w:val="0021085E"/>
    <w:rsid w:val="00210CD9"/>
    <w:rsid w:val="00210FCA"/>
    <w:rsid w:val="002110B9"/>
    <w:rsid w:val="0021114C"/>
    <w:rsid w:val="002114F8"/>
    <w:rsid w:val="002122B0"/>
    <w:rsid w:val="00212C32"/>
    <w:rsid w:val="00213AF0"/>
    <w:rsid w:val="00213EF5"/>
    <w:rsid w:val="0021626B"/>
    <w:rsid w:val="00216A70"/>
    <w:rsid w:val="00216BF5"/>
    <w:rsid w:val="00217999"/>
    <w:rsid w:val="00220CB6"/>
    <w:rsid w:val="002217DA"/>
    <w:rsid w:val="0022352F"/>
    <w:rsid w:val="00223B49"/>
    <w:rsid w:val="00223D5A"/>
    <w:rsid w:val="00224DD4"/>
    <w:rsid w:val="00225578"/>
    <w:rsid w:val="00226FB6"/>
    <w:rsid w:val="00227023"/>
    <w:rsid w:val="0022767C"/>
    <w:rsid w:val="002278A0"/>
    <w:rsid w:val="00227C78"/>
    <w:rsid w:val="00227F4F"/>
    <w:rsid w:val="002300C5"/>
    <w:rsid w:val="002309CC"/>
    <w:rsid w:val="0023209F"/>
    <w:rsid w:val="00232233"/>
    <w:rsid w:val="00232E82"/>
    <w:rsid w:val="00232EE4"/>
    <w:rsid w:val="00233B18"/>
    <w:rsid w:val="00233C01"/>
    <w:rsid w:val="0023413C"/>
    <w:rsid w:val="002346F0"/>
    <w:rsid w:val="00234F1C"/>
    <w:rsid w:val="00235303"/>
    <w:rsid w:val="0023629D"/>
    <w:rsid w:val="00237255"/>
    <w:rsid w:val="00237A3F"/>
    <w:rsid w:val="002400A7"/>
    <w:rsid w:val="00240895"/>
    <w:rsid w:val="0024091A"/>
    <w:rsid w:val="00241E48"/>
    <w:rsid w:val="002424AF"/>
    <w:rsid w:val="002428EF"/>
    <w:rsid w:val="002438E1"/>
    <w:rsid w:val="002439DC"/>
    <w:rsid w:val="002441D2"/>
    <w:rsid w:val="0024443E"/>
    <w:rsid w:val="00244DC8"/>
    <w:rsid w:val="002458BA"/>
    <w:rsid w:val="00245CE9"/>
    <w:rsid w:val="00245CEF"/>
    <w:rsid w:val="002461CD"/>
    <w:rsid w:val="0024636C"/>
    <w:rsid w:val="00247726"/>
    <w:rsid w:val="00247925"/>
    <w:rsid w:val="0024793B"/>
    <w:rsid w:val="00247C50"/>
    <w:rsid w:val="002508A3"/>
    <w:rsid w:val="00251006"/>
    <w:rsid w:val="00252058"/>
    <w:rsid w:val="00252479"/>
    <w:rsid w:val="002524D5"/>
    <w:rsid w:val="002539C4"/>
    <w:rsid w:val="002539E4"/>
    <w:rsid w:val="00253B1D"/>
    <w:rsid w:val="002547DE"/>
    <w:rsid w:val="002548C3"/>
    <w:rsid w:val="002549E6"/>
    <w:rsid w:val="00254DCF"/>
    <w:rsid w:val="0025534B"/>
    <w:rsid w:val="00255BB7"/>
    <w:rsid w:val="00256236"/>
    <w:rsid w:val="00256574"/>
    <w:rsid w:val="00257541"/>
    <w:rsid w:val="002578E0"/>
    <w:rsid w:val="00257A39"/>
    <w:rsid w:val="00257AC4"/>
    <w:rsid w:val="0026035F"/>
    <w:rsid w:val="002612BD"/>
    <w:rsid w:val="0026137D"/>
    <w:rsid w:val="00261EEF"/>
    <w:rsid w:val="00262A1A"/>
    <w:rsid w:val="00262A87"/>
    <w:rsid w:val="002634BA"/>
    <w:rsid w:val="00263509"/>
    <w:rsid w:val="0026397E"/>
    <w:rsid w:val="00264317"/>
    <w:rsid w:val="00264D26"/>
    <w:rsid w:val="0026572C"/>
    <w:rsid w:val="002659A0"/>
    <w:rsid w:val="00265DC7"/>
    <w:rsid w:val="00266762"/>
    <w:rsid w:val="00267642"/>
    <w:rsid w:val="00267AEA"/>
    <w:rsid w:val="002700E6"/>
    <w:rsid w:val="00270A09"/>
    <w:rsid w:val="00270F9C"/>
    <w:rsid w:val="00271216"/>
    <w:rsid w:val="002716AD"/>
    <w:rsid w:val="00271D79"/>
    <w:rsid w:val="00271DE3"/>
    <w:rsid w:val="002722C1"/>
    <w:rsid w:val="00272789"/>
    <w:rsid w:val="0027294B"/>
    <w:rsid w:val="00273EB4"/>
    <w:rsid w:val="002744B0"/>
    <w:rsid w:val="00274682"/>
    <w:rsid w:val="002759CD"/>
    <w:rsid w:val="00275C5A"/>
    <w:rsid w:val="00276181"/>
    <w:rsid w:val="00277427"/>
    <w:rsid w:val="00277BEE"/>
    <w:rsid w:val="00277FD0"/>
    <w:rsid w:val="00280C36"/>
    <w:rsid w:val="00281014"/>
    <w:rsid w:val="00282734"/>
    <w:rsid w:val="00282ABF"/>
    <w:rsid w:val="002835A7"/>
    <w:rsid w:val="0028525E"/>
    <w:rsid w:val="00285DA5"/>
    <w:rsid w:val="00285F63"/>
    <w:rsid w:val="0028665D"/>
    <w:rsid w:val="00286CA4"/>
    <w:rsid w:val="00286D7D"/>
    <w:rsid w:val="00286EBF"/>
    <w:rsid w:val="002910AC"/>
    <w:rsid w:val="00291410"/>
    <w:rsid w:val="00291F18"/>
    <w:rsid w:val="002926D0"/>
    <w:rsid w:val="00292D41"/>
    <w:rsid w:val="0029503C"/>
    <w:rsid w:val="0029520F"/>
    <w:rsid w:val="00295DC2"/>
    <w:rsid w:val="00297197"/>
    <w:rsid w:val="002A069C"/>
    <w:rsid w:val="002A14AB"/>
    <w:rsid w:val="002A1785"/>
    <w:rsid w:val="002A26FB"/>
    <w:rsid w:val="002A2ADE"/>
    <w:rsid w:val="002A2F50"/>
    <w:rsid w:val="002A382B"/>
    <w:rsid w:val="002A3AA7"/>
    <w:rsid w:val="002A56A4"/>
    <w:rsid w:val="002A5F94"/>
    <w:rsid w:val="002A7BB1"/>
    <w:rsid w:val="002A7BCB"/>
    <w:rsid w:val="002B05A1"/>
    <w:rsid w:val="002B09A4"/>
    <w:rsid w:val="002B0AB4"/>
    <w:rsid w:val="002B0CA0"/>
    <w:rsid w:val="002B13E8"/>
    <w:rsid w:val="002B1C1F"/>
    <w:rsid w:val="002B2D62"/>
    <w:rsid w:val="002B307A"/>
    <w:rsid w:val="002B3210"/>
    <w:rsid w:val="002B35AC"/>
    <w:rsid w:val="002B3A38"/>
    <w:rsid w:val="002B3D0B"/>
    <w:rsid w:val="002B417E"/>
    <w:rsid w:val="002B432F"/>
    <w:rsid w:val="002B463B"/>
    <w:rsid w:val="002B4A4D"/>
    <w:rsid w:val="002B5A22"/>
    <w:rsid w:val="002B62B3"/>
    <w:rsid w:val="002B6378"/>
    <w:rsid w:val="002B63F1"/>
    <w:rsid w:val="002B6754"/>
    <w:rsid w:val="002B68F5"/>
    <w:rsid w:val="002B6CCE"/>
    <w:rsid w:val="002B71E8"/>
    <w:rsid w:val="002C1171"/>
    <w:rsid w:val="002C2281"/>
    <w:rsid w:val="002C2510"/>
    <w:rsid w:val="002C2775"/>
    <w:rsid w:val="002C27C1"/>
    <w:rsid w:val="002C2A35"/>
    <w:rsid w:val="002C2B0B"/>
    <w:rsid w:val="002C39B8"/>
    <w:rsid w:val="002C4FEC"/>
    <w:rsid w:val="002C5099"/>
    <w:rsid w:val="002C5889"/>
    <w:rsid w:val="002C5E89"/>
    <w:rsid w:val="002C6B14"/>
    <w:rsid w:val="002C71CE"/>
    <w:rsid w:val="002C7B35"/>
    <w:rsid w:val="002D06F7"/>
    <w:rsid w:val="002D08F8"/>
    <w:rsid w:val="002D0FE5"/>
    <w:rsid w:val="002D1479"/>
    <w:rsid w:val="002D1630"/>
    <w:rsid w:val="002D1D17"/>
    <w:rsid w:val="002D2935"/>
    <w:rsid w:val="002D2DD2"/>
    <w:rsid w:val="002D4910"/>
    <w:rsid w:val="002D4A14"/>
    <w:rsid w:val="002D577C"/>
    <w:rsid w:val="002D5E4C"/>
    <w:rsid w:val="002D6036"/>
    <w:rsid w:val="002D67B6"/>
    <w:rsid w:val="002D7137"/>
    <w:rsid w:val="002E01E8"/>
    <w:rsid w:val="002E0635"/>
    <w:rsid w:val="002E0DBF"/>
    <w:rsid w:val="002E1071"/>
    <w:rsid w:val="002E15B9"/>
    <w:rsid w:val="002E1CC6"/>
    <w:rsid w:val="002E1FC2"/>
    <w:rsid w:val="002E2158"/>
    <w:rsid w:val="002E22F9"/>
    <w:rsid w:val="002E34AD"/>
    <w:rsid w:val="002E3877"/>
    <w:rsid w:val="002E4F02"/>
    <w:rsid w:val="002E768E"/>
    <w:rsid w:val="002E7722"/>
    <w:rsid w:val="002E7951"/>
    <w:rsid w:val="002F0537"/>
    <w:rsid w:val="002F07BA"/>
    <w:rsid w:val="002F0DA9"/>
    <w:rsid w:val="002F1014"/>
    <w:rsid w:val="002F19C7"/>
    <w:rsid w:val="002F1BA6"/>
    <w:rsid w:val="002F2807"/>
    <w:rsid w:val="002F3710"/>
    <w:rsid w:val="002F3BF4"/>
    <w:rsid w:val="002F44F4"/>
    <w:rsid w:val="002F4718"/>
    <w:rsid w:val="002F5F96"/>
    <w:rsid w:val="002F643C"/>
    <w:rsid w:val="002F67E7"/>
    <w:rsid w:val="002F6CAD"/>
    <w:rsid w:val="002F6D87"/>
    <w:rsid w:val="002F71C0"/>
    <w:rsid w:val="002F72C0"/>
    <w:rsid w:val="002F74F1"/>
    <w:rsid w:val="00300C92"/>
    <w:rsid w:val="00301017"/>
    <w:rsid w:val="0030103A"/>
    <w:rsid w:val="0030105A"/>
    <w:rsid w:val="0030155F"/>
    <w:rsid w:val="0030268C"/>
    <w:rsid w:val="003026E7"/>
    <w:rsid w:val="00302E3B"/>
    <w:rsid w:val="00303E27"/>
    <w:rsid w:val="00303F4B"/>
    <w:rsid w:val="0030587B"/>
    <w:rsid w:val="0030594C"/>
    <w:rsid w:val="003068FE"/>
    <w:rsid w:val="00306D19"/>
    <w:rsid w:val="00306D98"/>
    <w:rsid w:val="0030786C"/>
    <w:rsid w:val="00307915"/>
    <w:rsid w:val="00307BD8"/>
    <w:rsid w:val="0031031A"/>
    <w:rsid w:val="00310654"/>
    <w:rsid w:val="00310981"/>
    <w:rsid w:val="00311085"/>
    <w:rsid w:val="00311821"/>
    <w:rsid w:val="003124D9"/>
    <w:rsid w:val="00312594"/>
    <w:rsid w:val="003125B7"/>
    <w:rsid w:val="00313805"/>
    <w:rsid w:val="003144D4"/>
    <w:rsid w:val="003147EF"/>
    <w:rsid w:val="003148D7"/>
    <w:rsid w:val="00315498"/>
    <w:rsid w:val="00315F2C"/>
    <w:rsid w:val="00316474"/>
    <w:rsid w:val="00316F8E"/>
    <w:rsid w:val="00316FE3"/>
    <w:rsid w:val="003172DA"/>
    <w:rsid w:val="003177A1"/>
    <w:rsid w:val="00317DB3"/>
    <w:rsid w:val="0032097B"/>
    <w:rsid w:val="00320E43"/>
    <w:rsid w:val="003212B9"/>
    <w:rsid w:val="00321C53"/>
    <w:rsid w:val="00322107"/>
    <w:rsid w:val="00322355"/>
    <w:rsid w:val="00322846"/>
    <w:rsid w:val="00323A7D"/>
    <w:rsid w:val="00324125"/>
    <w:rsid w:val="003241FA"/>
    <w:rsid w:val="00324F4E"/>
    <w:rsid w:val="003253BC"/>
    <w:rsid w:val="00326DA7"/>
    <w:rsid w:val="00326F1D"/>
    <w:rsid w:val="003270E4"/>
    <w:rsid w:val="003271C8"/>
    <w:rsid w:val="00327358"/>
    <w:rsid w:val="00327DA9"/>
    <w:rsid w:val="00330AF8"/>
    <w:rsid w:val="00330DAA"/>
    <w:rsid w:val="00330F5C"/>
    <w:rsid w:val="0033164E"/>
    <w:rsid w:val="00331671"/>
    <w:rsid w:val="003323DA"/>
    <w:rsid w:val="00333C4B"/>
    <w:rsid w:val="00334159"/>
    <w:rsid w:val="0033416E"/>
    <w:rsid w:val="003346DD"/>
    <w:rsid w:val="00334D02"/>
    <w:rsid w:val="00335763"/>
    <w:rsid w:val="003366C9"/>
    <w:rsid w:val="003371B0"/>
    <w:rsid w:val="00340DF1"/>
    <w:rsid w:val="003411FC"/>
    <w:rsid w:val="00342057"/>
    <w:rsid w:val="00342BB2"/>
    <w:rsid w:val="00343568"/>
    <w:rsid w:val="00343B81"/>
    <w:rsid w:val="00343BC8"/>
    <w:rsid w:val="00345796"/>
    <w:rsid w:val="00345BA9"/>
    <w:rsid w:val="00345E5A"/>
    <w:rsid w:val="00345ED6"/>
    <w:rsid w:val="00347C3D"/>
    <w:rsid w:val="003510C2"/>
    <w:rsid w:val="003511A9"/>
    <w:rsid w:val="003517F9"/>
    <w:rsid w:val="00351BA9"/>
    <w:rsid w:val="003544C3"/>
    <w:rsid w:val="00354956"/>
    <w:rsid w:val="00354F64"/>
    <w:rsid w:val="00355387"/>
    <w:rsid w:val="00355B9A"/>
    <w:rsid w:val="0035620E"/>
    <w:rsid w:val="00356A77"/>
    <w:rsid w:val="00357729"/>
    <w:rsid w:val="003600CC"/>
    <w:rsid w:val="00360345"/>
    <w:rsid w:val="00360803"/>
    <w:rsid w:val="00361454"/>
    <w:rsid w:val="00361A05"/>
    <w:rsid w:val="003624C4"/>
    <w:rsid w:val="003624C8"/>
    <w:rsid w:val="00362D63"/>
    <w:rsid w:val="00363B00"/>
    <w:rsid w:val="003654AC"/>
    <w:rsid w:val="00365C1C"/>
    <w:rsid w:val="00367415"/>
    <w:rsid w:val="003708DE"/>
    <w:rsid w:val="003710CF"/>
    <w:rsid w:val="003717A9"/>
    <w:rsid w:val="00372068"/>
    <w:rsid w:val="0037265C"/>
    <w:rsid w:val="00372D6C"/>
    <w:rsid w:val="0037320A"/>
    <w:rsid w:val="0037358A"/>
    <w:rsid w:val="00373DCB"/>
    <w:rsid w:val="003750F6"/>
    <w:rsid w:val="0037512B"/>
    <w:rsid w:val="0037599F"/>
    <w:rsid w:val="003760FC"/>
    <w:rsid w:val="003763BB"/>
    <w:rsid w:val="00380D27"/>
    <w:rsid w:val="00380DCB"/>
    <w:rsid w:val="0038231F"/>
    <w:rsid w:val="00382371"/>
    <w:rsid w:val="00382373"/>
    <w:rsid w:val="0038365C"/>
    <w:rsid w:val="0038369B"/>
    <w:rsid w:val="00383B78"/>
    <w:rsid w:val="0038411F"/>
    <w:rsid w:val="00385A9D"/>
    <w:rsid w:val="00386675"/>
    <w:rsid w:val="00386953"/>
    <w:rsid w:val="00387740"/>
    <w:rsid w:val="003902B1"/>
    <w:rsid w:val="00390D87"/>
    <w:rsid w:val="003910CC"/>
    <w:rsid w:val="0039179C"/>
    <w:rsid w:val="00391DB6"/>
    <w:rsid w:val="00392528"/>
    <w:rsid w:val="00392A49"/>
    <w:rsid w:val="00392DD0"/>
    <w:rsid w:val="003934B8"/>
    <w:rsid w:val="003937EA"/>
    <w:rsid w:val="003939C6"/>
    <w:rsid w:val="00393A69"/>
    <w:rsid w:val="0039445E"/>
    <w:rsid w:val="00394C4C"/>
    <w:rsid w:val="00395045"/>
    <w:rsid w:val="00396678"/>
    <w:rsid w:val="00396896"/>
    <w:rsid w:val="00396979"/>
    <w:rsid w:val="00396FD0"/>
    <w:rsid w:val="00397735"/>
    <w:rsid w:val="003978EA"/>
    <w:rsid w:val="003A000C"/>
    <w:rsid w:val="003A062F"/>
    <w:rsid w:val="003A1717"/>
    <w:rsid w:val="003A197A"/>
    <w:rsid w:val="003A1A7A"/>
    <w:rsid w:val="003A1C32"/>
    <w:rsid w:val="003A2392"/>
    <w:rsid w:val="003A2831"/>
    <w:rsid w:val="003A3CB6"/>
    <w:rsid w:val="003A3ED1"/>
    <w:rsid w:val="003A44DB"/>
    <w:rsid w:val="003A4EA5"/>
    <w:rsid w:val="003A4EC7"/>
    <w:rsid w:val="003A5D02"/>
    <w:rsid w:val="003A71D3"/>
    <w:rsid w:val="003A7C68"/>
    <w:rsid w:val="003A7EAF"/>
    <w:rsid w:val="003B0382"/>
    <w:rsid w:val="003B2D3A"/>
    <w:rsid w:val="003B3971"/>
    <w:rsid w:val="003B4369"/>
    <w:rsid w:val="003B4E96"/>
    <w:rsid w:val="003B4F6F"/>
    <w:rsid w:val="003B5325"/>
    <w:rsid w:val="003B55D1"/>
    <w:rsid w:val="003B5B61"/>
    <w:rsid w:val="003B6DDE"/>
    <w:rsid w:val="003B6F10"/>
    <w:rsid w:val="003B7403"/>
    <w:rsid w:val="003B7700"/>
    <w:rsid w:val="003B7762"/>
    <w:rsid w:val="003B7795"/>
    <w:rsid w:val="003B7A7A"/>
    <w:rsid w:val="003C0298"/>
    <w:rsid w:val="003C0E47"/>
    <w:rsid w:val="003C10B7"/>
    <w:rsid w:val="003C1654"/>
    <w:rsid w:val="003C2120"/>
    <w:rsid w:val="003C28EE"/>
    <w:rsid w:val="003C2A2D"/>
    <w:rsid w:val="003C32FA"/>
    <w:rsid w:val="003C3493"/>
    <w:rsid w:val="003C459F"/>
    <w:rsid w:val="003C48CF"/>
    <w:rsid w:val="003C5542"/>
    <w:rsid w:val="003C674D"/>
    <w:rsid w:val="003C732C"/>
    <w:rsid w:val="003C7D19"/>
    <w:rsid w:val="003C7D2F"/>
    <w:rsid w:val="003C7D74"/>
    <w:rsid w:val="003D16A5"/>
    <w:rsid w:val="003D1828"/>
    <w:rsid w:val="003D1DE4"/>
    <w:rsid w:val="003D1E9A"/>
    <w:rsid w:val="003D2422"/>
    <w:rsid w:val="003D2741"/>
    <w:rsid w:val="003D298E"/>
    <w:rsid w:val="003D2C26"/>
    <w:rsid w:val="003D33C5"/>
    <w:rsid w:val="003D39A1"/>
    <w:rsid w:val="003D3FBF"/>
    <w:rsid w:val="003D4A30"/>
    <w:rsid w:val="003D4EA7"/>
    <w:rsid w:val="003D5AAD"/>
    <w:rsid w:val="003D6FE3"/>
    <w:rsid w:val="003D7452"/>
    <w:rsid w:val="003D79BB"/>
    <w:rsid w:val="003D7C98"/>
    <w:rsid w:val="003D7D9D"/>
    <w:rsid w:val="003E000F"/>
    <w:rsid w:val="003E0216"/>
    <w:rsid w:val="003E0543"/>
    <w:rsid w:val="003E0D8A"/>
    <w:rsid w:val="003E47EE"/>
    <w:rsid w:val="003E4E5F"/>
    <w:rsid w:val="003E734C"/>
    <w:rsid w:val="003E749E"/>
    <w:rsid w:val="003E754A"/>
    <w:rsid w:val="003E77DC"/>
    <w:rsid w:val="003F0B77"/>
    <w:rsid w:val="003F0C69"/>
    <w:rsid w:val="003F0FA2"/>
    <w:rsid w:val="003F1517"/>
    <w:rsid w:val="003F1EC8"/>
    <w:rsid w:val="003F23DE"/>
    <w:rsid w:val="003F2848"/>
    <w:rsid w:val="003F2C24"/>
    <w:rsid w:val="003F4156"/>
    <w:rsid w:val="003F4B35"/>
    <w:rsid w:val="003F5ADF"/>
    <w:rsid w:val="003F5AF7"/>
    <w:rsid w:val="003F691B"/>
    <w:rsid w:val="003F6EC2"/>
    <w:rsid w:val="003F7209"/>
    <w:rsid w:val="0040020A"/>
    <w:rsid w:val="0040036A"/>
    <w:rsid w:val="00400B29"/>
    <w:rsid w:val="00400D65"/>
    <w:rsid w:val="00400E5A"/>
    <w:rsid w:val="0040108F"/>
    <w:rsid w:val="00401A70"/>
    <w:rsid w:val="00402464"/>
    <w:rsid w:val="00404F30"/>
    <w:rsid w:val="0040504B"/>
    <w:rsid w:val="00405687"/>
    <w:rsid w:val="004059F4"/>
    <w:rsid w:val="004066D5"/>
    <w:rsid w:val="00406C69"/>
    <w:rsid w:val="00406ED3"/>
    <w:rsid w:val="0040735E"/>
    <w:rsid w:val="00407FE5"/>
    <w:rsid w:val="004101B0"/>
    <w:rsid w:val="00410326"/>
    <w:rsid w:val="00410708"/>
    <w:rsid w:val="00410EC7"/>
    <w:rsid w:val="004118E4"/>
    <w:rsid w:val="00411B39"/>
    <w:rsid w:val="00411E1D"/>
    <w:rsid w:val="004127A7"/>
    <w:rsid w:val="00413A1E"/>
    <w:rsid w:val="00414176"/>
    <w:rsid w:val="00414476"/>
    <w:rsid w:val="00414C2E"/>
    <w:rsid w:val="004151CF"/>
    <w:rsid w:val="00415340"/>
    <w:rsid w:val="00415974"/>
    <w:rsid w:val="00415B84"/>
    <w:rsid w:val="00416364"/>
    <w:rsid w:val="004168E5"/>
    <w:rsid w:val="004176D1"/>
    <w:rsid w:val="0042047F"/>
    <w:rsid w:val="004208A3"/>
    <w:rsid w:val="00420AA6"/>
    <w:rsid w:val="00420B9F"/>
    <w:rsid w:val="00420DB0"/>
    <w:rsid w:val="00421439"/>
    <w:rsid w:val="0042192C"/>
    <w:rsid w:val="00421AD3"/>
    <w:rsid w:val="00421B72"/>
    <w:rsid w:val="00422260"/>
    <w:rsid w:val="00422B1A"/>
    <w:rsid w:val="0042413F"/>
    <w:rsid w:val="0042538C"/>
    <w:rsid w:val="0042647B"/>
    <w:rsid w:val="00426A51"/>
    <w:rsid w:val="00427385"/>
    <w:rsid w:val="00427902"/>
    <w:rsid w:val="00430038"/>
    <w:rsid w:val="00430578"/>
    <w:rsid w:val="004308CC"/>
    <w:rsid w:val="004311A6"/>
    <w:rsid w:val="004319F8"/>
    <w:rsid w:val="00431E55"/>
    <w:rsid w:val="004321D0"/>
    <w:rsid w:val="004321F6"/>
    <w:rsid w:val="00432D27"/>
    <w:rsid w:val="00433044"/>
    <w:rsid w:val="004330B6"/>
    <w:rsid w:val="00433619"/>
    <w:rsid w:val="00433B42"/>
    <w:rsid w:val="00433CD6"/>
    <w:rsid w:val="00434088"/>
    <w:rsid w:val="00434A86"/>
    <w:rsid w:val="00434FAC"/>
    <w:rsid w:val="00435DFE"/>
    <w:rsid w:val="004375B9"/>
    <w:rsid w:val="00440380"/>
    <w:rsid w:val="004403DD"/>
    <w:rsid w:val="00441463"/>
    <w:rsid w:val="00442095"/>
    <w:rsid w:val="004428D0"/>
    <w:rsid w:val="00442CAC"/>
    <w:rsid w:val="00443054"/>
    <w:rsid w:val="00443273"/>
    <w:rsid w:val="00443A45"/>
    <w:rsid w:val="00444185"/>
    <w:rsid w:val="004443A7"/>
    <w:rsid w:val="0044442C"/>
    <w:rsid w:val="00445941"/>
    <w:rsid w:val="004459D8"/>
    <w:rsid w:val="004464EB"/>
    <w:rsid w:val="00446786"/>
    <w:rsid w:val="004468F9"/>
    <w:rsid w:val="00447A12"/>
    <w:rsid w:val="00447B4E"/>
    <w:rsid w:val="00447D26"/>
    <w:rsid w:val="00447DFC"/>
    <w:rsid w:val="00447E2A"/>
    <w:rsid w:val="00450CA9"/>
    <w:rsid w:val="00450CF0"/>
    <w:rsid w:val="004515A8"/>
    <w:rsid w:val="004517D4"/>
    <w:rsid w:val="00451F4E"/>
    <w:rsid w:val="004520E0"/>
    <w:rsid w:val="00453C4B"/>
    <w:rsid w:val="00455D45"/>
    <w:rsid w:val="00457767"/>
    <w:rsid w:val="004578D8"/>
    <w:rsid w:val="004579AE"/>
    <w:rsid w:val="00460287"/>
    <w:rsid w:val="004615A4"/>
    <w:rsid w:val="00461830"/>
    <w:rsid w:val="00461A2A"/>
    <w:rsid w:val="004625FA"/>
    <w:rsid w:val="00462715"/>
    <w:rsid w:val="004639B0"/>
    <w:rsid w:val="00464595"/>
    <w:rsid w:val="0046488F"/>
    <w:rsid w:val="00464C0D"/>
    <w:rsid w:val="004658B5"/>
    <w:rsid w:val="004666B8"/>
    <w:rsid w:val="00466FE9"/>
    <w:rsid w:val="0046767B"/>
    <w:rsid w:val="00467C65"/>
    <w:rsid w:val="00470F7E"/>
    <w:rsid w:val="00471140"/>
    <w:rsid w:val="00471EA5"/>
    <w:rsid w:val="00472A79"/>
    <w:rsid w:val="004733EA"/>
    <w:rsid w:val="00473F19"/>
    <w:rsid w:val="00475D17"/>
    <w:rsid w:val="00475E22"/>
    <w:rsid w:val="00476884"/>
    <w:rsid w:val="00476E12"/>
    <w:rsid w:val="00477DEE"/>
    <w:rsid w:val="0048088E"/>
    <w:rsid w:val="00480F2B"/>
    <w:rsid w:val="00481187"/>
    <w:rsid w:val="00482720"/>
    <w:rsid w:val="004828E6"/>
    <w:rsid w:val="004835E7"/>
    <w:rsid w:val="004851B2"/>
    <w:rsid w:val="004862A6"/>
    <w:rsid w:val="004866A0"/>
    <w:rsid w:val="004867D0"/>
    <w:rsid w:val="004867E2"/>
    <w:rsid w:val="00486C75"/>
    <w:rsid w:val="00486E86"/>
    <w:rsid w:val="00490B17"/>
    <w:rsid w:val="00491905"/>
    <w:rsid w:val="00491B3A"/>
    <w:rsid w:val="004920B7"/>
    <w:rsid w:val="004924CC"/>
    <w:rsid w:val="004927CC"/>
    <w:rsid w:val="004929F2"/>
    <w:rsid w:val="00492A23"/>
    <w:rsid w:val="00492CFD"/>
    <w:rsid w:val="00494207"/>
    <w:rsid w:val="00494389"/>
    <w:rsid w:val="004943F2"/>
    <w:rsid w:val="004946CA"/>
    <w:rsid w:val="00494C7E"/>
    <w:rsid w:val="00494DD5"/>
    <w:rsid w:val="004953AC"/>
    <w:rsid w:val="00495841"/>
    <w:rsid w:val="00495C3C"/>
    <w:rsid w:val="00495F70"/>
    <w:rsid w:val="004960E4"/>
    <w:rsid w:val="004962D2"/>
    <w:rsid w:val="00496907"/>
    <w:rsid w:val="004975F9"/>
    <w:rsid w:val="004976A0"/>
    <w:rsid w:val="00497E49"/>
    <w:rsid w:val="004A0D50"/>
    <w:rsid w:val="004A0DA1"/>
    <w:rsid w:val="004A13D6"/>
    <w:rsid w:val="004A2D16"/>
    <w:rsid w:val="004A42F3"/>
    <w:rsid w:val="004A4A00"/>
    <w:rsid w:val="004A52E9"/>
    <w:rsid w:val="004A6040"/>
    <w:rsid w:val="004A61EB"/>
    <w:rsid w:val="004A6597"/>
    <w:rsid w:val="004A6C0B"/>
    <w:rsid w:val="004A7848"/>
    <w:rsid w:val="004B0AA7"/>
    <w:rsid w:val="004B1804"/>
    <w:rsid w:val="004B1A67"/>
    <w:rsid w:val="004B1CB4"/>
    <w:rsid w:val="004B1E96"/>
    <w:rsid w:val="004B27FA"/>
    <w:rsid w:val="004B2A39"/>
    <w:rsid w:val="004B2F18"/>
    <w:rsid w:val="004B32C5"/>
    <w:rsid w:val="004B3DDB"/>
    <w:rsid w:val="004B3ECB"/>
    <w:rsid w:val="004B44FD"/>
    <w:rsid w:val="004B5CFC"/>
    <w:rsid w:val="004B61A4"/>
    <w:rsid w:val="004B692D"/>
    <w:rsid w:val="004B6F79"/>
    <w:rsid w:val="004B73A5"/>
    <w:rsid w:val="004B76C5"/>
    <w:rsid w:val="004B774D"/>
    <w:rsid w:val="004B797D"/>
    <w:rsid w:val="004B7989"/>
    <w:rsid w:val="004C0BDE"/>
    <w:rsid w:val="004C11E2"/>
    <w:rsid w:val="004C1645"/>
    <w:rsid w:val="004C2240"/>
    <w:rsid w:val="004C32EA"/>
    <w:rsid w:val="004C32EE"/>
    <w:rsid w:val="004C3633"/>
    <w:rsid w:val="004C3A17"/>
    <w:rsid w:val="004C3D75"/>
    <w:rsid w:val="004C4A78"/>
    <w:rsid w:val="004C4AED"/>
    <w:rsid w:val="004C5431"/>
    <w:rsid w:val="004C55CB"/>
    <w:rsid w:val="004C5618"/>
    <w:rsid w:val="004C5CCE"/>
    <w:rsid w:val="004C6057"/>
    <w:rsid w:val="004C623D"/>
    <w:rsid w:val="004C67F5"/>
    <w:rsid w:val="004C6B1E"/>
    <w:rsid w:val="004C6B85"/>
    <w:rsid w:val="004C7BE6"/>
    <w:rsid w:val="004C7D0E"/>
    <w:rsid w:val="004D0197"/>
    <w:rsid w:val="004D09CD"/>
    <w:rsid w:val="004D1935"/>
    <w:rsid w:val="004D1993"/>
    <w:rsid w:val="004D1E4B"/>
    <w:rsid w:val="004D1FC9"/>
    <w:rsid w:val="004D24B1"/>
    <w:rsid w:val="004D2C2D"/>
    <w:rsid w:val="004D33E9"/>
    <w:rsid w:val="004D4028"/>
    <w:rsid w:val="004D43AB"/>
    <w:rsid w:val="004D5BE5"/>
    <w:rsid w:val="004D67F2"/>
    <w:rsid w:val="004D69B5"/>
    <w:rsid w:val="004D7227"/>
    <w:rsid w:val="004E0308"/>
    <w:rsid w:val="004E0453"/>
    <w:rsid w:val="004E0E7F"/>
    <w:rsid w:val="004E0EB8"/>
    <w:rsid w:val="004E18E9"/>
    <w:rsid w:val="004E1EF1"/>
    <w:rsid w:val="004E23E4"/>
    <w:rsid w:val="004E2ADC"/>
    <w:rsid w:val="004E339E"/>
    <w:rsid w:val="004E43B2"/>
    <w:rsid w:val="004E48E2"/>
    <w:rsid w:val="004E4F9F"/>
    <w:rsid w:val="004E5009"/>
    <w:rsid w:val="004E53CB"/>
    <w:rsid w:val="004E549A"/>
    <w:rsid w:val="004E575B"/>
    <w:rsid w:val="004E5F7B"/>
    <w:rsid w:val="004E67ED"/>
    <w:rsid w:val="004E6EEC"/>
    <w:rsid w:val="004E70DA"/>
    <w:rsid w:val="004E70DB"/>
    <w:rsid w:val="004F152D"/>
    <w:rsid w:val="004F1C97"/>
    <w:rsid w:val="004F1D02"/>
    <w:rsid w:val="004F2012"/>
    <w:rsid w:val="004F2453"/>
    <w:rsid w:val="004F2679"/>
    <w:rsid w:val="004F2965"/>
    <w:rsid w:val="004F2F21"/>
    <w:rsid w:val="004F335A"/>
    <w:rsid w:val="004F34A8"/>
    <w:rsid w:val="004F37D6"/>
    <w:rsid w:val="004F3A4A"/>
    <w:rsid w:val="004F3DE5"/>
    <w:rsid w:val="004F3F19"/>
    <w:rsid w:val="004F4ABA"/>
    <w:rsid w:val="004F5B13"/>
    <w:rsid w:val="004F6913"/>
    <w:rsid w:val="004F7865"/>
    <w:rsid w:val="00500158"/>
    <w:rsid w:val="0050174E"/>
    <w:rsid w:val="00501854"/>
    <w:rsid w:val="00501922"/>
    <w:rsid w:val="0050219B"/>
    <w:rsid w:val="005028B8"/>
    <w:rsid w:val="005029F9"/>
    <w:rsid w:val="00503BFB"/>
    <w:rsid w:val="00503F17"/>
    <w:rsid w:val="00504184"/>
    <w:rsid w:val="005043EE"/>
    <w:rsid w:val="00504BF4"/>
    <w:rsid w:val="0050516D"/>
    <w:rsid w:val="0050586F"/>
    <w:rsid w:val="00506386"/>
    <w:rsid w:val="00506928"/>
    <w:rsid w:val="00507689"/>
    <w:rsid w:val="005077EF"/>
    <w:rsid w:val="00510922"/>
    <w:rsid w:val="00510E09"/>
    <w:rsid w:val="00511AD5"/>
    <w:rsid w:val="00511DC7"/>
    <w:rsid w:val="005125C3"/>
    <w:rsid w:val="0051260D"/>
    <w:rsid w:val="005133CA"/>
    <w:rsid w:val="00513F5B"/>
    <w:rsid w:val="005140C7"/>
    <w:rsid w:val="005142C5"/>
    <w:rsid w:val="00514705"/>
    <w:rsid w:val="00514AD1"/>
    <w:rsid w:val="00514C74"/>
    <w:rsid w:val="0051501B"/>
    <w:rsid w:val="005152B5"/>
    <w:rsid w:val="005155AC"/>
    <w:rsid w:val="00515C1A"/>
    <w:rsid w:val="00515DB7"/>
    <w:rsid w:val="0051697A"/>
    <w:rsid w:val="00520012"/>
    <w:rsid w:val="00520350"/>
    <w:rsid w:val="00520C93"/>
    <w:rsid w:val="00521092"/>
    <w:rsid w:val="0052123C"/>
    <w:rsid w:val="00521319"/>
    <w:rsid w:val="005225AA"/>
    <w:rsid w:val="00522BC8"/>
    <w:rsid w:val="00523C28"/>
    <w:rsid w:val="00527AAB"/>
    <w:rsid w:val="00530230"/>
    <w:rsid w:val="00530650"/>
    <w:rsid w:val="00530688"/>
    <w:rsid w:val="0053176B"/>
    <w:rsid w:val="00532253"/>
    <w:rsid w:val="00532B43"/>
    <w:rsid w:val="00532CE0"/>
    <w:rsid w:val="00532FF6"/>
    <w:rsid w:val="00533047"/>
    <w:rsid w:val="005342E2"/>
    <w:rsid w:val="00535060"/>
    <w:rsid w:val="00535DD7"/>
    <w:rsid w:val="00536C99"/>
    <w:rsid w:val="00536F42"/>
    <w:rsid w:val="00537038"/>
    <w:rsid w:val="00537182"/>
    <w:rsid w:val="00537270"/>
    <w:rsid w:val="0053737C"/>
    <w:rsid w:val="00537C81"/>
    <w:rsid w:val="00540214"/>
    <w:rsid w:val="005407D8"/>
    <w:rsid w:val="00541D78"/>
    <w:rsid w:val="00541E9C"/>
    <w:rsid w:val="00541ED8"/>
    <w:rsid w:val="00541EDD"/>
    <w:rsid w:val="00542743"/>
    <w:rsid w:val="00542C2D"/>
    <w:rsid w:val="00543D16"/>
    <w:rsid w:val="00543D88"/>
    <w:rsid w:val="005440E6"/>
    <w:rsid w:val="0054489B"/>
    <w:rsid w:val="005451A2"/>
    <w:rsid w:val="00546BC6"/>
    <w:rsid w:val="00546D2A"/>
    <w:rsid w:val="005476D6"/>
    <w:rsid w:val="005478BD"/>
    <w:rsid w:val="005479E3"/>
    <w:rsid w:val="00550FA6"/>
    <w:rsid w:val="00551985"/>
    <w:rsid w:val="005519C7"/>
    <w:rsid w:val="00552BD3"/>
    <w:rsid w:val="005532A0"/>
    <w:rsid w:val="00553C19"/>
    <w:rsid w:val="00554B2D"/>
    <w:rsid w:val="00555109"/>
    <w:rsid w:val="0055524B"/>
    <w:rsid w:val="005561C0"/>
    <w:rsid w:val="00556B35"/>
    <w:rsid w:val="00556F77"/>
    <w:rsid w:val="005570FF"/>
    <w:rsid w:val="0055713B"/>
    <w:rsid w:val="0055741A"/>
    <w:rsid w:val="0055769F"/>
    <w:rsid w:val="005609B5"/>
    <w:rsid w:val="005610F1"/>
    <w:rsid w:val="005611B7"/>
    <w:rsid w:val="00561353"/>
    <w:rsid w:val="005615A0"/>
    <w:rsid w:val="005618D4"/>
    <w:rsid w:val="00561995"/>
    <w:rsid w:val="00561A51"/>
    <w:rsid w:val="00561DC0"/>
    <w:rsid w:val="0056235A"/>
    <w:rsid w:val="00562F7D"/>
    <w:rsid w:val="0056397E"/>
    <w:rsid w:val="00564BED"/>
    <w:rsid w:val="005655E9"/>
    <w:rsid w:val="0056564D"/>
    <w:rsid w:val="00565DF0"/>
    <w:rsid w:val="0056696F"/>
    <w:rsid w:val="00566A20"/>
    <w:rsid w:val="005670EE"/>
    <w:rsid w:val="00567FC3"/>
    <w:rsid w:val="005709AE"/>
    <w:rsid w:val="00571F79"/>
    <w:rsid w:val="00572269"/>
    <w:rsid w:val="0057244A"/>
    <w:rsid w:val="005728B0"/>
    <w:rsid w:val="00572F26"/>
    <w:rsid w:val="00573D2B"/>
    <w:rsid w:val="005741CC"/>
    <w:rsid w:val="00574333"/>
    <w:rsid w:val="005750C5"/>
    <w:rsid w:val="005752DE"/>
    <w:rsid w:val="00575416"/>
    <w:rsid w:val="005757A8"/>
    <w:rsid w:val="00575BE2"/>
    <w:rsid w:val="00575D8D"/>
    <w:rsid w:val="0057608F"/>
    <w:rsid w:val="00576263"/>
    <w:rsid w:val="00576972"/>
    <w:rsid w:val="00576B4F"/>
    <w:rsid w:val="005771D7"/>
    <w:rsid w:val="00580148"/>
    <w:rsid w:val="0058092F"/>
    <w:rsid w:val="00580AB1"/>
    <w:rsid w:val="00581603"/>
    <w:rsid w:val="005824D9"/>
    <w:rsid w:val="00582CAF"/>
    <w:rsid w:val="00582F20"/>
    <w:rsid w:val="00583466"/>
    <w:rsid w:val="00583699"/>
    <w:rsid w:val="00584391"/>
    <w:rsid w:val="0058454A"/>
    <w:rsid w:val="00584B19"/>
    <w:rsid w:val="00584ED3"/>
    <w:rsid w:val="00585CDD"/>
    <w:rsid w:val="00586411"/>
    <w:rsid w:val="00586B17"/>
    <w:rsid w:val="00586FFD"/>
    <w:rsid w:val="00587058"/>
    <w:rsid w:val="00587235"/>
    <w:rsid w:val="0059005F"/>
    <w:rsid w:val="00591957"/>
    <w:rsid w:val="0059261D"/>
    <w:rsid w:val="005929A9"/>
    <w:rsid w:val="005938A6"/>
    <w:rsid w:val="0059409D"/>
    <w:rsid w:val="00594AA0"/>
    <w:rsid w:val="0059584B"/>
    <w:rsid w:val="00596DFF"/>
    <w:rsid w:val="0059799F"/>
    <w:rsid w:val="00597BF9"/>
    <w:rsid w:val="005A0064"/>
    <w:rsid w:val="005A136F"/>
    <w:rsid w:val="005A1419"/>
    <w:rsid w:val="005A19AB"/>
    <w:rsid w:val="005A1A98"/>
    <w:rsid w:val="005A1CED"/>
    <w:rsid w:val="005A2373"/>
    <w:rsid w:val="005A2A7C"/>
    <w:rsid w:val="005A2D72"/>
    <w:rsid w:val="005A2FD2"/>
    <w:rsid w:val="005A309A"/>
    <w:rsid w:val="005A373D"/>
    <w:rsid w:val="005A4B21"/>
    <w:rsid w:val="005A53DD"/>
    <w:rsid w:val="005A553E"/>
    <w:rsid w:val="005A5D45"/>
    <w:rsid w:val="005A5DDE"/>
    <w:rsid w:val="005A67E4"/>
    <w:rsid w:val="005A6B2F"/>
    <w:rsid w:val="005A6EA0"/>
    <w:rsid w:val="005B0B58"/>
    <w:rsid w:val="005B2352"/>
    <w:rsid w:val="005B43B0"/>
    <w:rsid w:val="005B45E6"/>
    <w:rsid w:val="005B4E53"/>
    <w:rsid w:val="005B5857"/>
    <w:rsid w:val="005B5C0C"/>
    <w:rsid w:val="005B63F1"/>
    <w:rsid w:val="005B7096"/>
    <w:rsid w:val="005B7691"/>
    <w:rsid w:val="005B7997"/>
    <w:rsid w:val="005C1081"/>
    <w:rsid w:val="005C1B83"/>
    <w:rsid w:val="005C25FF"/>
    <w:rsid w:val="005C2A7E"/>
    <w:rsid w:val="005C2AE5"/>
    <w:rsid w:val="005C2D55"/>
    <w:rsid w:val="005C346B"/>
    <w:rsid w:val="005C6207"/>
    <w:rsid w:val="005C64AE"/>
    <w:rsid w:val="005C6844"/>
    <w:rsid w:val="005C6956"/>
    <w:rsid w:val="005C69F5"/>
    <w:rsid w:val="005D044D"/>
    <w:rsid w:val="005D0ABD"/>
    <w:rsid w:val="005D14C2"/>
    <w:rsid w:val="005D18AD"/>
    <w:rsid w:val="005D2004"/>
    <w:rsid w:val="005D22A9"/>
    <w:rsid w:val="005D26B4"/>
    <w:rsid w:val="005D342F"/>
    <w:rsid w:val="005D3BCB"/>
    <w:rsid w:val="005D42B9"/>
    <w:rsid w:val="005D449C"/>
    <w:rsid w:val="005D458C"/>
    <w:rsid w:val="005D5C48"/>
    <w:rsid w:val="005D5E9A"/>
    <w:rsid w:val="005D668C"/>
    <w:rsid w:val="005D6799"/>
    <w:rsid w:val="005D6C60"/>
    <w:rsid w:val="005D6DF8"/>
    <w:rsid w:val="005E07BB"/>
    <w:rsid w:val="005E1158"/>
    <w:rsid w:val="005E15CA"/>
    <w:rsid w:val="005E3489"/>
    <w:rsid w:val="005E38BC"/>
    <w:rsid w:val="005E3E3C"/>
    <w:rsid w:val="005E437B"/>
    <w:rsid w:val="005E5687"/>
    <w:rsid w:val="005E6197"/>
    <w:rsid w:val="005E6CBC"/>
    <w:rsid w:val="005E6CBE"/>
    <w:rsid w:val="005E72FF"/>
    <w:rsid w:val="005E73C0"/>
    <w:rsid w:val="005E7A66"/>
    <w:rsid w:val="005F00B1"/>
    <w:rsid w:val="005F082E"/>
    <w:rsid w:val="005F0A9B"/>
    <w:rsid w:val="005F0B2C"/>
    <w:rsid w:val="005F0F24"/>
    <w:rsid w:val="005F1D6D"/>
    <w:rsid w:val="005F2074"/>
    <w:rsid w:val="005F2706"/>
    <w:rsid w:val="005F28DF"/>
    <w:rsid w:val="005F2F70"/>
    <w:rsid w:val="005F3233"/>
    <w:rsid w:val="005F5A7D"/>
    <w:rsid w:val="005F5C5D"/>
    <w:rsid w:val="005F6365"/>
    <w:rsid w:val="005F6A8F"/>
    <w:rsid w:val="005F6BB7"/>
    <w:rsid w:val="005F7578"/>
    <w:rsid w:val="005F7588"/>
    <w:rsid w:val="005F7D1C"/>
    <w:rsid w:val="0060079B"/>
    <w:rsid w:val="00600EBA"/>
    <w:rsid w:val="0060130F"/>
    <w:rsid w:val="00601571"/>
    <w:rsid w:val="00601C34"/>
    <w:rsid w:val="00602253"/>
    <w:rsid w:val="00603054"/>
    <w:rsid w:val="00603DB9"/>
    <w:rsid w:val="00606FBA"/>
    <w:rsid w:val="00607128"/>
    <w:rsid w:val="00607669"/>
    <w:rsid w:val="006076F4"/>
    <w:rsid w:val="00607AFD"/>
    <w:rsid w:val="00607B06"/>
    <w:rsid w:val="00610BDA"/>
    <w:rsid w:val="00611F9E"/>
    <w:rsid w:val="006121BB"/>
    <w:rsid w:val="00612943"/>
    <w:rsid w:val="00612F97"/>
    <w:rsid w:val="0061345D"/>
    <w:rsid w:val="00613985"/>
    <w:rsid w:val="0061527B"/>
    <w:rsid w:val="0061549B"/>
    <w:rsid w:val="00615CF3"/>
    <w:rsid w:val="00615F2D"/>
    <w:rsid w:val="00616209"/>
    <w:rsid w:val="00616802"/>
    <w:rsid w:val="00617D8B"/>
    <w:rsid w:val="00617E12"/>
    <w:rsid w:val="00620C25"/>
    <w:rsid w:val="00621477"/>
    <w:rsid w:val="006216A3"/>
    <w:rsid w:val="00621ADA"/>
    <w:rsid w:val="00621CB5"/>
    <w:rsid w:val="00622A52"/>
    <w:rsid w:val="00623F7B"/>
    <w:rsid w:val="006248FD"/>
    <w:rsid w:val="00625C7C"/>
    <w:rsid w:val="00625E42"/>
    <w:rsid w:val="006264BC"/>
    <w:rsid w:val="0062690D"/>
    <w:rsid w:val="00626A98"/>
    <w:rsid w:val="006305EB"/>
    <w:rsid w:val="00630840"/>
    <w:rsid w:val="00630C93"/>
    <w:rsid w:val="00630E68"/>
    <w:rsid w:val="0063158F"/>
    <w:rsid w:val="0063187D"/>
    <w:rsid w:val="00631BA5"/>
    <w:rsid w:val="00631D6B"/>
    <w:rsid w:val="00632084"/>
    <w:rsid w:val="00632183"/>
    <w:rsid w:val="006323C8"/>
    <w:rsid w:val="006324AC"/>
    <w:rsid w:val="006330A1"/>
    <w:rsid w:val="0063337B"/>
    <w:rsid w:val="006345A7"/>
    <w:rsid w:val="0063462C"/>
    <w:rsid w:val="0063479F"/>
    <w:rsid w:val="00635040"/>
    <w:rsid w:val="006353F0"/>
    <w:rsid w:val="006357B5"/>
    <w:rsid w:val="00635930"/>
    <w:rsid w:val="006364A1"/>
    <w:rsid w:val="0063678E"/>
    <w:rsid w:val="00636D16"/>
    <w:rsid w:val="00637ABE"/>
    <w:rsid w:val="00637BFD"/>
    <w:rsid w:val="00641774"/>
    <w:rsid w:val="00641A66"/>
    <w:rsid w:val="00641C4E"/>
    <w:rsid w:val="00641E3D"/>
    <w:rsid w:val="00641FB3"/>
    <w:rsid w:val="00643D27"/>
    <w:rsid w:val="00643E21"/>
    <w:rsid w:val="0064434C"/>
    <w:rsid w:val="00644EDC"/>
    <w:rsid w:val="00646383"/>
    <w:rsid w:val="00646A64"/>
    <w:rsid w:val="006471CC"/>
    <w:rsid w:val="006474CB"/>
    <w:rsid w:val="00647A29"/>
    <w:rsid w:val="00650470"/>
    <w:rsid w:val="0065079F"/>
    <w:rsid w:val="00650986"/>
    <w:rsid w:val="00652520"/>
    <w:rsid w:val="00652A28"/>
    <w:rsid w:val="00652EDA"/>
    <w:rsid w:val="0065379F"/>
    <w:rsid w:val="00654064"/>
    <w:rsid w:val="0065591C"/>
    <w:rsid w:val="006559A6"/>
    <w:rsid w:val="00656188"/>
    <w:rsid w:val="006566BD"/>
    <w:rsid w:val="0065715A"/>
    <w:rsid w:val="00657D7F"/>
    <w:rsid w:val="00657F16"/>
    <w:rsid w:val="006610F1"/>
    <w:rsid w:val="00661571"/>
    <w:rsid w:val="00661BB8"/>
    <w:rsid w:val="00661C6B"/>
    <w:rsid w:val="0066324C"/>
    <w:rsid w:val="00663456"/>
    <w:rsid w:val="0066467B"/>
    <w:rsid w:val="006657C6"/>
    <w:rsid w:val="006660E5"/>
    <w:rsid w:val="00666761"/>
    <w:rsid w:val="00666C0F"/>
    <w:rsid w:val="00667200"/>
    <w:rsid w:val="00667689"/>
    <w:rsid w:val="00667EA0"/>
    <w:rsid w:val="00670F74"/>
    <w:rsid w:val="00671004"/>
    <w:rsid w:val="006718A6"/>
    <w:rsid w:val="006725D4"/>
    <w:rsid w:val="00672646"/>
    <w:rsid w:val="00672780"/>
    <w:rsid w:val="00672C73"/>
    <w:rsid w:val="00672CC7"/>
    <w:rsid w:val="00673098"/>
    <w:rsid w:val="00674E42"/>
    <w:rsid w:val="0067568F"/>
    <w:rsid w:val="00675837"/>
    <w:rsid w:val="006760FE"/>
    <w:rsid w:val="006763E3"/>
    <w:rsid w:val="006776FD"/>
    <w:rsid w:val="0067795A"/>
    <w:rsid w:val="00680100"/>
    <w:rsid w:val="00680962"/>
    <w:rsid w:val="00680E95"/>
    <w:rsid w:val="006813F8"/>
    <w:rsid w:val="00682112"/>
    <w:rsid w:val="006828CC"/>
    <w:rsid w:val="00682BA6"/>
    <w:rsid w:val="00682D99"/>
    <w:rsid w:val="00682E77"/>
    <w:rsid w:val="00683042"/>
    <w:rsid w:val="006832A5"/>
    <w:rsid w:val="0068371B"/>
    <w:rsid w:val="006838B9"/>
    <w:rsid w:val="006854EB"/>
    <w:rsid w:val="00685A5A"/>
    <w:rsid w:val="00686289"/>
    <w:rsid w:val="006862A3"/>
    <w:rsid w:val="00686654"/>
    <w:rsid w:val="00686957"/>
    <w:rsid w:val="00686DE2"/>
    <w:rsid w:val="006872BA"/>
    <w:rsid w:val="006900C7"/>
    <w:rsid w:val="0069029E"/>
    <w:rsid w:val="00690795"/>
    <w:rsid w:val="00691648"/>
    <w:rsid w:val="0069179A"/>
    <w:rsid w:val="006917D7"/>
    <w:rsid w:val="006921E5"/>
    <w:rsid w:val="00694102"/>
    <w:rsid w:val="0069434C"/>
    <w:rsid w:val="00694F44"/>
    <w:rsid w:val="00696F51"/>
    <w:rsid w:val="006979A5"/>
    <w:rsid w:val="006A03AC"/>
    <w:rsid w:val="006A0AC4"/>
    <w:rsid w:val="006A0E1A"/>
    <w:rsid w:val="006A392A"/>
    <w:rsid w:val="006A3D7D"/>
    <w:rsid w:val="006A3D8B"/>
    <w:rsid w:val="006A4F8C"/>
    <w:rsid w:val="006A618D"/>
    <w:rsid w:val="006A6B99"/>
    <w:rsid w:val="006A6D17"/>
    <w:rsid w:val="006A7E5F"/>
    <w:rsid w:val="006A7E8B"/>
    <w:rsid w:val="006B1154"/>
    <w:rsid w:val="006B1E0C"/>
    <w:rsid w:val="006B24AD"/>
    <w:rsid w:val="006B261B"/>
    <w:rsid w:val="006B2645"/>
    <w:rsid w:val="006B2C90"/>
    <w:rsid w:val="006B35E6"/>
    <w:rsid w:val="006B465A"/>
    <w:rsid w:val="006B491B"/>
    <w:rsid w:val="006B4C00"/>
    <w:rsid w:val="006B65D9"/>
    <w:rsid w:val="006B6DD0"/>
    <w:rsid w:val="006C0399"/>
    <w:rsid w:val="006C26CC"/>
    <w:rsid w:val="006C2A8E"/>
    <w:rsid w:val="006C2DE1"/>
    <w:rsid w:val="006C3255"/>
    <w:rsid w:val="006C3568"/>
    <w:rsid w:val="006C3F26"/>
    <w:rsid w:val="006C540F"/>
    <w:rsid w:val="006C5455"/>
    <w:rsid w:val="006C60EC"/>
    <w:rsid w:val="006C6496"/>
    <w:rsid w:val="006C77EE"/>
    <w:rsid w:val="006C7F44"/>
    <w:rsid w:val="006D04A1"/>
    <w:rsid w:val="006D0D17"/>
    <w:rsid w:val="006D36A4"/>
    <w:rsid w:val="006D3C7D"/>
    <w:rsid w:val="006D45D5"/>
    <w:rsid w:val="006D4659"/>
    <w:rsid w:val="006D547A"/>
    <w:rsid w:val="006D57D9"/>
    <w:rsid w:val="006D5B2B"/>
    <w:rsid w:val="006D5D5F"/>
    <w:rsid w:val="006D68FB"/>
    <w:rsid w:val="006D69B4"/>
    <w:rsid w:val="006D74E6"/>
    <w:rsid w:val="006D778D"/>
    <w:rsid w:val="006E107D"/>
    <w:rsid w:val="006E113A"/>
    <w:rsid w:val="006E198F"/>
    <w:rsid w:val="006E2512"/>
    <w:rsid w:val="006E2868"/>
    <w:rsid w:val="006E331F"/>
    <w:rsid w:val="006E3341"/>
    <w:rsid w:val="006E3BBA"/>
    <w:rsid w:val="006E3FDB"/>
    <w:rsid w:val="006E7AA8"/>
    <w:rsid w:val="006E7E01"/>
    <w:rsid w:val="006F0535"/>
    <w:rsid w:val="006F0CB3"/>
    <w:rsid w:val="006F0F4A"/>
    <w:rsid w:val="006F10E2"/>
    <w:rsid w:val="006F26B7"/>
    <w:rsid w:val="006F2DF5"/>
    <w:rsid w:val="006F306C"/>
    <w:rsid w:val="006F3204"/>
    <w:rsid w:val="006F3965"/>
    <w:rsid w:val="006F3E4A"/>
    <w:rsid w:val="006F54A7"/>
    <w:rsid w:val="006F63A5"/>
    <w:rsid w:val="006F66E5"/>
    <w:rsid w:val="006F6BE8"/>
    <w:rsid w:val="006F714C"/>
    <w:rsid w:val="00700984"/>
    <w:rsid w:val="00700F61"/>
    <w:rsid w:val="0070142B"/>
    <w:rsid w:val="00702053"/>
    <w:rsid w:val="0070276E"/>
    <w:rsid w:val="00702F8F"/>
    <w:rsid w:val="00703301"/>
    <w:rsid w:val="00703784"/>
    <w:rsid w:val="00704135"/>
    <w:rsid w:val="007058E6"/>
    <w:rsid w:val="00705D50"/>
    <w:rsid w:val="00706AD3"/>
    <w:rsid w:val="00706F1B"/>
    <w:rsid w:val="007079FC"/>
    <w:rsid w:val="00710FBA"/>
    <w:rsid w:val="00711A36"/>
    <w:rsid w:val="00711B7A"/>
    <w:rsid w:val="007129D8"/>
    <w:rsid w:val="00712CCF"/>
    <w:rsid w:val="0071350E"/>
    <w:rsid w:val="0071360A"/>
    <w:rsid w:val="00713639"/>
    <w:rsid w:val="00714016"/>
    <w:rsid w:val="00714C26"/>
    <w:rsid w:val="00714DB7"/>
    <w:rsid w:val="0071529C"/>
    <w:rsid w:val="00716C52"/>
    <w:rsid w:val="00716C5D"/>
    <w:rsid w:val="00716CA4"/>
    <w:rsid w:val="00716E94"/>
    <w:rsid w:val="007170DA"/>
    <w:rsid w:val="007171C6"/>
    <w:rsid w:val="007172AD"/>
    <w:rsid w:val="007176B4"/>
    <w:rsid w:val="00720801"/>
    <w:rsid w:val="00720BAA"/>
    <w:rsid w:val="00721BF7"/>
    <w:rsid w:val="00722539"/>
    <w:rsid w:val="00722951"/>
    <w:rsid w:val="00722B1B"/>
    <w:rsid w:val="007237B7"/>
    <w:rsid w:val="00723D83"/>
    <w:rsid w:val="0072416F"/>
    <w:rsid w:val="00724975"/>
    <w:rsid w:val="00724AEC"/>
    <w:rsid w:val="00724E95"/>
    <w:rsid w:val="0072501B"/>
    <w:rsid w:val="00725233"/>
    <w:rsid w:val="00725666"/>
    <w:rsid w:val="00727C94"/>
    <w:rsid w:val="00727C99"/>
    <w:rsid w:val="00731B0A"/>
    <w:rsid w:val="00731E20"/>
    <w:rsid w:val="00731EAE"/>
    <w:rsid w:val="007324DD"/>
    <w:rsid w:val="00732CB6"/>
    <w:rsid w:val="00733073"/>
    <w:rsid w:val="0073362C"/>
    <w:rsid w:val="0073501C"/>
    <w:rsid w:val="00735033"/>
    <w:rsid w:val="00735328"/>
    <w:rsid w:val="007355BA"/>
    <w:rsid w:val="00736799"/>
    <w:rsid w:val="00736834"/>
    <w:rsid w:val="0073685B"/>
    <w:rsid w:val="00736990"/>
    <w:rsid w:val="007370BF"/>
    <w:rsid w:val="00737E25"/>
    <w:rsid w:val="0074076D"/>
    <w:rsid w:val="00740C83"/>
    <w:rsid w:val="0074157B"/>
    <w:rsid w:val="007428E1"/>
    <w:rsid w:val="00742D2E"/>
    <w:rsid w:val="007449BF"/>
    <w:rsid w:val="00744B40"/>
    <w:rsid w:val="00744BF2"/>
    <w:rsid w:val="00745154"/>
    <w:rsid w:val="007457CA"/>
    <w:rsid w:val="00746BC0"/>
    <w:rsid w:val="00750498"/>
    <w:rsid w:val="007510B4"/>
    <w:rsid w:val="007518C9"/>
    <w:rsid w:val="00752142"/>
    <w:rsid w:val="007523F9"/>
    <w:rsid w:val="00753514"/>
    <w:rsid w:val="0075357E"/>
    <w:rsid w:val="00753A28"/>
    <w:rsid w:val="00754B58"/>
    <w:rsid w:val="007550BB"/>
    <w:rsid w:val="00755269"/>
    <w:rsid w:val="00755A88"/>
    <w:rsid w:val="00756671"/>
    <w:rsid w:val="007573E8"/>
    <w:rsid w:val="0075765E"/>
    <w:rsid w:val="00757874"/>
    <w:rsid w:val="00757C5C"/>
    <w:rsid w:val="0076010B"/>
    <w:rsid w:val="00760C4E"/>
    <w:rsid w:val="00760F9E"/>
    <w:rsid w:val="00761359"/>
    <w:rsid w:val="00761BC6"/>
    <w:rsid w:val="00762269"/>
    <w:rsid w:val="00762335"/>
    <w:rsid w:val="007623DD"/>
    <w:rsid w:val="007627BE"/>
    <w:rsid w:val="00763064"/>
    <w:rsid w:val="0076422A"/>
    <w:rsid w:val="00764E9B"/>
    <w:rsid w:val="00764F03"/>
    <w:rsid w:val="0076576B"/>
    <w:rsid w:val="00765816"/>
    <w:rsid w:val="00765AC4"/>
    <w:rsid w:val="00765B1A"/>
    <w:rsid w:val="00766A5D"/>
    <w:rsid w:val="00766FA7"/>
    <w:rsid w:val="00767DA3"/>
    <w:rsid w:val="007700C8"/>
    <w:rsid w:val="00770A0C"/>
    <w:rsid w:val="00770AD0"/>
    <w:rsid w:val="00770E48"/>
    <w:rsid w:val="007714A3"/>
    <w:rsid w:val="007717AC"/>
    <w:rsid w:val="00771ED4"/>
    <w:rsid w:val="007729F7"/>
    <w:rsid w:val="00772B57"/>
    <w:rsid w:val="00774123"/>
    <w:rsid w:val="00774B32"/>
    <w:rsid w:val="00774C9F"/>
    <w:rsid w:val="0077622B"/>
    <w:rsid w:val="00776E05"/>
    <w:rsid w:val="00776F0F"/>
    <w:rsid w:val="00777335"/>
    <w:rsid w:val="007776D8"/>
    <w:rsid w:val="007778A3"/>
    <w:rsid w:val="00780077"/>
    <w:rsid w:val="007801E3"/>
    <w:rsid w:val="00780E13"/>
    <w:rsid w:val="00781B88"/>
    <w:rsid w:val="007823A3"/>
    <w:rsid w:val="00782715"/>
    <w:rsid w:val="00783694"/>
    <w:rsid w:val="007843F2"/>
    <w:rsid w:val="00785A9F"/>
    <w:rsid w:val="007861CA"/>
    <w:rsid w:val="007862B0"/>
    <w:rsid w:val="00786B68"/>
    <w:rsid w:val="007876C3"/>
    <w:rsid w:val="00787768"/>
    <w:rsid w:val="007879BF"/>
    <w:rsid w:val="00790082"/>
    <w:rsid w:val="007904FF"/>
    <w:rsid w:val="007925DF"/>
    <w:rsid w:val="00792D17"/>
    <w:rsid w:val="00792E3A"/>
    <w:rsid w:val="00793B47"/>
    <w:rsid w:val="0079480A"/>
    <w:rsid w:val="00794F6D"/>
    <w:rsid w:val="00795AD1"/>
    <w:rsid w:val="00795D12"/>
    <w:rsid w:val="00796AA5"/>
    <w:rsid w:val="00796C61"/>
    <w:rsid w:val="00797A42"/>
    <w:rsid w:val="007A08AA"/>
    <w:rsid w:val="007A0A12"/>
    <w:rsid w:val="007A132D"/>
    <w:rsid w:val="007A1345"/>
    <w:rsid w:val="007A2DDB"/>
    <w:rsid w:val="007A2E4E"/>
    <w:rsid w:val="007A347F"/>
    <w:rsid w:val="007A3985"/>
    <w:rsid w:val="007A4045"/>
    <w:rsid w:val="007A4B4B"/>
    <w:rsid w:val="007A4DD9"/>
    <w:rsid w:val="007A64B3"/>
    <w:rsid w:val="007A70BA"/>
    <w:rsid w:val="007A7193"/>
    <w:rsid w:val="007A78EE"/>
    <w:rsid w:val="007B09F7"/>
    <w:rsid w:val="007B0D68"/>
    <w:rsid w:val="007B251D"/>
    <w:rsid w:val="007B27EA"/>
    <w:rsid w:val="007B33B5"/>
    <w:rsid w:val="007B4F58"/>
    <w:rsid w:val="007B51B1"/>
    <w:rsid w:val="007B528D"/>
    <w:rsid w:val="007B628E"/>
    <w:rsid w:val="007B63CA"/>
    <w:rsid w:val="007B6F4D"/>
    <w:rsid w:val="007B732C"/>
    <w:rsid w:val="007B77D1"/>
    <w:rsid w:val="007C07C7"/>
    <w:rsid w:val="007C0D19"/>
    <w:rsid w:val="007C17D8"/>
    <w:rsid w:val="007C1BF5"/>
    <w:rsid w:val="007C1CD9"/>
    <w:rsid w:val="007C310B"/>
    <w:rsid w:val="007C32EF"/>
    <w:rsid w:val="007C361D"/>
    <w:rsid w:val="007C42B2"/>
    <w:rsid w:val="007C437E"/>
    <w:rsid w:val="007C4B84"/>
    <w:rsid w:val="007C4EF7"/>
    <w:rsid w:val="007C5376"/>
    <w:rsid w:val="007C62FA"/>
    <w:rsid w:val="007C64F4"/>
    <w:rsid w:val="007C6E7D"/>
    <w:rsid w:val="007C70FF"/>
    <w:rsid w:val="007C7C25"/>
    <w:rsid w:val="007C7DB2"/>
    <w:rsid w:val="007D004F"/>
    <w:rsid w:val="007D084F"/>
    <w:rsid w:val="007D0B38"/>
    <w:rsid w:val="007D1959"/>
    <w:rsid w:val="007D1CC2"/>
    <w:rsid w:val="007D1D52"/>
    <w:rsid w:val="007D204C"/>
    <w:rsid w:val="007D219D"/>
    <w:rsid w:val="007D2417"/>
    <w:rsid w:val="007D271A"/>
    <w:rsid w:val="007D4264"/>
    <w:rsid w:val="007D5440"/>
    <w:rsid w:val="007D58D6"/>
    <w:rsid w:val="007D69EB"/>
    <w:rsid w:val="007D6FC6"/>
    <w:rsid w:val="007D72B9"/>
    <w:rsid w:val="007D7AF4"/>
    <w:rsid w:val="007E085B"/>
    <w:rsid w:val="007E128F"/>
    <w:rsid w:val="007E3590"/>
    <w:rsid w:val="007E3B13"/>
    <w:rsid w:val="007E43E2"/>
    <w:rsid w:val="007E45BA"/>
    <w:rsid w:val="007E4846"/>
    <w:rsid w:val="007E63EF"/>
    <w:rsid w:val="007E7319"/>
    <w:rsid w:val="007E7732"/>
    <w:rsid w:val="007F0009"/>
    <w:rsid w:val="007F064F"/>
    <w:rsid w:val="007F07E2"/>
    <w:rsid w:val="007F1017"/>
    <w:rsid w:val="007F1111"/>
    <w:rsid w:val="007F1913"/>
    <w:rsid w:val="007F446E"/>
    <w:rsid w:val="007F46BA"/>
    <w:rsid w:val="007F4A3F"/>
    <w:rsid w:val="007F4A61"/>
    <w:rsid w:val="007F5255"/>
    <w:rsid w:val="007F56CC"/>
    <w:rsid w:val="007F59A5"/>
    <w:rsid w:val="007F61C2"/>
    <w:rsid w:val="007F61C6"/>
    <w:rsid w:val="007F78B4"/>
    <w:rsid w:val="007F7CEF"/>
    <w:rsid w:val="00801962"/>
    <w:rsid w:val="008019BC"/>
    <w:rsid w:val="00803548"/>
    <w:rsid w:val="0080385A"/>
    <w:rsid w:val="008038A0"/>
    <w:rsid w:val="008039D3"/>
    <w:rsid w:val="00805142"/>
    <w:rsid w:val="008052EE"/>
    <w:rsid w:val="0080583B"/>
    <w:rsid w:val="0080596E"/>
    <w:rsid w:val="00805FCE"/>
    <w:rsid w:val="00807A8B"/>
    <w:rsid w:val="008103D4"/>
    <w:rsid w:val="00810792"/>
    <w:rsid w:val="00811383"/>
    <w:rsid w:val="00812149"/>
    <w:rsid w:val="00812700"/>
    <w:rsid w:val="00812CAC"/>
    <w:rsid w:val="008135A6"/>
    <w:rsid w:val="00814234"/>
    <w:rsid w:val="008146F7"/>
    <w:rsid w:val="00815209"/>
    <w:rsid w:val="00815AEF"/>
    <w:rsid w:val="00816361"/>
    <w:rsid w:val="008166EF"/>
    <w:rsid w:val="00816B9B"/>
    <w:rsid w:val="00816FEF"/>
    <w:rsid w:val="00817756"/>
    <w:rsid w:val="00820A8C"/>
    <w:rsid w:val="00820E73"/>
    <w:rsid w:val="008215FB"/>
    <w:rsid w:val="008216FC"/>
    <w:rsid w:val="008220B1"/>
    <w:rsid w:val="0082259E"/>
    <w:rsid w:val="00823174"/>
    <w:rsid w:val="008233E6"/>
    <w:rsid w:val="008247B5"/>
    <w:rsid w:val="00825751"/>
    <w:rsid w:val="00826459"/>
    <w:rsid w:val="008264EB"/>
    <w:rsid w:val="00826A1C"/>
    <w:rsid w:val="00826C87"/>
    <w:rsid w:val="00827CA2"/>
    <w:rsid w:val="00827CE0"/>
    <w:rsid w:val="008305FC"/>
    <w:rsid w:val="0083134E"/>
    <w:rsid w:val="008315DF"/>
    <w:rsid w:val="0083173C"/>
    <w:rsid w:val="0083233F"/>
    <w:rsid w:val="008326DE"/>
    <w:rsid w:val="00833B05"/>
    <w:rsid w:val="00833F29"/>
    <w:rsid w:val="008348A0"/>
    <w:rsid w:val="00834E6E"/>
    <w:rsid w:val="00834FE8"/>
    <w:rsid w:val="008350F2"/>
    <w:rsid w:val="0083545D"/>
    <w:rsid w:val="008362B4"/>
    <w:rsid w:val="0083641A"/>
    <w:rsid w:val="008365D8"/>
    <w:rsid w:val="008370C5"/>
    <w:rsid w:val="00837556"/>
    <w:rsid w:val="00837F06"/>
    <w:rsid w:val="008405E3"/>
    <w:rsid w:val="00840CA2"/>
    <w:rsid w:val="0084180E"/>
    <w:rsid w:val="00841F7E"/>
    <w:rsid w:val="00842913"/>
    <w:rsid w:val="0084374F"/>
    <w:rsid w:val="0084482C"/>
    <w:rsid w:val="00844927"/>
    <w:rsid w:val="00844A22"/>
    <w:rsid w:val="00845A6C"/>
    <w:rsid w:val="008474ED"/>
    <w:rsid w:val="00847703"/>
    <w:rsid w:val="00847CB2"/>
    <w:rsid w:val="00847DF5"/>
    <w:rsid w:val="008502C4"/>
    <w:rsid w:val="00851608"/>
    <w:rsid w:val="00851DC4"/>
    <w:rsid w:val="0085242D"/>
    <w:rsid w:val="00852478"/>
    <w:rsid w:val="0085309D"/>
    <w:rsid w:val="00853C3C"/>
    <w:rsid w:val="00853F03"/>
    <w:rsid w:val="00854F05"/>
    <w:rsid w:val="0085604E"/>
    <w:rsid w:val="00856505"/>
    <w:rsid w:val="00856897"/>
    <w:rsid w:val="00856E9A"/>
    <w:rsid w:val="008576D2"/>
    <w:rsid w:val="00860213"/>
    <w:rsid w:val="00860295"/>
    <w:rsid w:val="0086075D"/>
    <w:rsid w:val="00860876"/>
    <w:rsid w:val="008624D0"/>
    <w:rsid w:val="00862502"/>
    <w:rsid w:val="00862691"/>
    <w:rsid w:val="00862CC1"/>
    <w:rsid w:val="008660D4"/>
    <w:rsid w:val="00867E24"/>
    <w:rsid w:val="0087043D"/>
    <w:rsid w:val="00870DC0"/>
    <w:rsid w:val="00871FA9"/>
    <w:rsid w:val="008728E9"/>
    <w:rsid w:val="00872D7A"/>
    <w:rsid w:val="0087369D"/>
    <w:rsid w:val="00874332"/>
    <w:rsid w:val="008743DD"/>
    <w:rsid w:val="00874454"/>
    <w:rsid w:val="00876783"/>
    <w:rsid w:val="008769B2"/>
    <w:rsid w:val="008779B7"/>
    <w:rsid w:val="00880CD8"/>
    <w:rsid w:val="0088149C"/>
    <w:rsid w:val="0088227B"/>
    <w:rsid w:val="00882874"/>
    <w:rsid w:val="00882E3C"/>
    <w:rsid w:val="00883787"/>
    <w:rsid w:val="00884302"/>
    <w:rsid w:val="008845A4"/>
    <w:rsid w:val="008852F1"/>
    <w:rsid w:val="008855E4"/>
    <w:rsid w:val="00886645"/>
    <w:rsid w:val="00886CD2"/>
    <w:rsid w:val="008918F0"/>
    <w:rsid w:val="00891C03"/>
    <w:rsid w:val="00891E6F"/>
    <w:rsid w:val="00892678"/>
    <w:rsid w:val="0089275D"/>
    <w:rsid w:val="00892A36"/>
    <w:rsid w:val="00893239"/>
    <w:rsid w:val="00893304"/>
    <w:rsid w:val="0089392E"/>
    <w:rsid w:val="00894489"/>
    <w:rsid w:val="00895053"/>
    <w:rsid w:val="0089553B"/>
    <w:rsid w:val="00895B08"/>
    <w:rsid w:val="008963A5"/>
    <w:rsid w:val="00896672"/>
    <w:rsid w:val="00896B7E"/>
    <w:rsid w:val="00896D5D"/>
    <w:rsid w:val="008A0138"/>
    <w:rsid w:val="008A01B2"/>
    <w:rsid w:val="008A17DF"/>
    <w:rsid w:val="008A24F7"/>
    <w:rsid w:val="008A316F"/>
    <w:rsid w:val="008A3363"/>
    <w:rsid w:val="008A3371"/>
    <w:rsid w:val="008A39A2"/>
    <w:rsid w:val="008A3C3E"/>
    <w:rsid w:val="008A4195"/>
    <w:rsid w:val="008A4D37"/>
    <w:rsid w:val="008A6E85"/>
    <w:rsid w:val="008A76F3"/>
    <w:rsid w:val="008A79DE"/>
    <w:rsid w:val="008B1757"/>
    <w:rsid w:val="008B1E07"/>
    <w:rsid w:val="008B2154"/>
    <w:rsid w:val="008B2EB8"/>
    <w:rsid w:val="008B30EE"/>
    <w:rsid w:val="008B3491"/>
    <w:rsid w:val="008B34A7"/>
    <w:rsid w:val="008B4081"/>
    <w:rsid w:val="008B425C"/>
    <w:rsid w:val="008B6CCE"/>
    <w:rsid w:val="008B7147"/>
    <w:rsid w:val="008B7992"/>
    <w:rsid w:val="008B7D7E"/>
    <w:rsid w:val="008C0A20"/>
    <w:rsid w:val="008C1CE7"/>
    <w:rsid w:val="008C4FBE"/>
    <w:rsid w:val="008C5520"/>
    <w:rsid w:val="008C5610"/>
    <w:rsid w:val="008C5739"/>
    <w:rsid w:val="008C7E0B"/>
    <w:rsid w:val="008C7ECB"/>
    <w:rsid w:val="008D006A"/>
    <w:rsid w:val="008D1625"/>
    <w:rsid w:val="008D17F6"/>
    <w:rsid w:val="008D2158"/>
    <w:rsid w:val="008D218A"/>
    <w:rsid w:val="008D2CDD"/>
    <w:rsid w:val="008D30E9"/>
    <w:rsid w:val="008D3427"/>
    <w:rsid w:val="008D3983"/>
    <w:rsid w:val="008D3B86"/>
    <w:rsid w:val="008D3EDF"/>
    <w:rsid w:val="008D430A"/>
    <w:rsid w:val="008D4755"/>
    <w:rsid w:val="008D4C3D"/>
    <w:rsid w:val="008D69AC"/>
    <w:rsid w:val="008D6AB3"/>
    <w:rsid w:val="008D743C"/>
    <w:rsid w:val="008E007E"/>
    <w:rsid w:val="008E0684"/>
    <w:rsid w:val="008E0AD6"/>
    <w:rsid w:val="008E0D3C"/>
    <w:rsid w:val="008E0F70"/>
    <w:rsid w:val="008E1467"/>
    <w:rsid w:val="008E1618"/>
    <w:rsid w:val="008E1937"/>
    <w:rsid w:val="008E1B9E"/>
    <w:rsid w:val="008E1E60"/>
    <w:rsid w:val="008E263B"/>
    <w:rsid w:val="008E44A1"/>
    <w:rsid w:val="008E44A9"/>
    <w:rsid w:val="008E4E85"/>
    <w:rsid w:val="008E5487"/>
    <w:rsid w:val="008E55AB"/>
    <w:rsid w:val="008E57E1"/>
    <w:rsid w:val="008F07B9"/>
    <w:rsid w:val="008F120A"/>
    <w:rsid w:val="008F12D5"/>
    <w:rsid w:val="008F27E0"/>
    <w:rsid w:val="008F292D"/>
    <w:rsid w:val="008F2C27"/>
    <w:rsid w:val="008F3BEE"/>
    <w:rsid w:val="008F40B5"/>
    <w:rsid w:val="008F48EB"/>
    <w:rsid w:val="008F4CD0"/>
    <w:rsid w:val="008F4E50"/>
    <w:rsid w:val="008F4F0B"/>
    <w:rsid w:val="008F5A04"/>
    <w:rsid w:val="008F621F"/>
    <w:rsid w:val="008F677C"/>
    <w:rsid w:val="008F7FFD"/>
    <w:rsid w:val="00901787"/>
    <w:rsid w:val="0090179E"/>
    <w:rsid w:val="009021C4"/>
    <w:rsid w:val="00903FCB"/>
    <w:rsid w:val="009046C4"/>
    <w:rsid w:val="009057FA"/>
    <w:rsid w:val="009062A5"/>
    <w:rsid w:val="0091021F"/>
    <w:rsid w:val="00910BA5"/>
    <w:rsid w:val="00910BDC"/>
    <w:rsid w:val="00910FA7"/>
    <w:rsid w:val="00911272"/>
    <w:rsid w:val="00911C7A"/>
    <w:rsid w:val="00912321"/>
    <w:rsid w:val="0091232E"/>
    <w:rsid w:val="009135D6"/>
    <w:rsid w:val="009138E5"/>
    <w:rsid w:val="00914C77"/>
    <w:rsid w:val="009155C8"/>
    <w:rsid w:val="00921367"/>
    <w:rsid w:val="0092195C"/>
    <w:rsid w:val="00921ACB"/>
    <w:rsid w:val="0092369B"/>
    <w:rsid w:val="00925830"/>
    <w:rsid w:val="009278E7"/>
    <w:rsid w:val="00930ABE"/>
    <w:rsid w:val="00931FEA"/>
    <w:rsid w:val="009325A7"/>
    <w:rsid w:val="00933039"/>
    <w:rsid w:val="00934091"/>
    <w:rsid w:val="0093428F"/>
    <w:rsid w:val="00934412"/>
    <w:rsid w:val="00934988"/>
    <w:rsid w:val="00934D46"/>
    <w:rsid w:val="0093502E"/>
    <w:rsid w:val="00937089"/>
    <w:rsid w:val="00937D39"/>
    <w:rsid w:val="00940105"/>
    <w:rsid w:val="0094222A"/>
    <w:rsid w:val="00942502"/>
    <w:rsid w:val="00942892"/>
    <w:rsid w:val="009428E4"/>
    <w:rsid w:val="009438E3"/>
    <w:rsid w:val="00944B4B"/>
    <w:rsid w:val="00944E1C"/>
    <w:rsid w:val="00944ECE"/>
    <w:rsid w:val="00944F8A"/>
    <w:rsid w:val="00947084"/>
    <w:rsid w:val="00947BCE"/>
    <w:rsid w:val="0095045B"/>
    <w:rsid w:val="00950B1A"/>
    <w:rsid w:val="009510A2"/>
    <w:rsid w:val="00952250"/>
    <w:rsid w:val="0095254F"/>
    <w:rsid w:val="009527C1"/>
    <w:rsid w:val="00953257"/>
    <w:rsid w:val="00953350"/>
    <w:rsid w:val="00953CD5"/>
    <w:rsid w:val="0095414B"/>
    <w:rsid w:val="009542CA"/>
    <w:rsid w:val="0095474C"/>
    <w:rsid w:val="00954A81"/>
    <w:rsid w:val="00956C6C"/>
    <w:rsid w:val="00956CE0"/>
    <w:rsid w:val="00957207"/>
    <w:rsid w:val="00957B8B"/>
    <w:rsid w:val="009605B2"/>
    <w:rsid w:val="00960780"/>
    <w:rsid w:val="00961C4C"/>
    <w:rsid w:val="009629A7"/>
    <w:rsid w:val="00962CB9"/>
    <w:rsid w:val="00964312"/>
    <w:rsid w:val="00965B8A"/>
    <w:rsid w:val="009670AC"/>
    <w:rsid w:val="00967BC1"/>
    <w:rsid w:val="00967F4D"/>
    <w:rsid w:val="009704FA"/>
    <w:rsid w:val="0097071F"/>
    <w:rsid w:val="009714CA"/>
    <w:rsid w:val="009717AC"/>
    <w:rsid w:val="00972528"/>
    <w:rsid w:val="00972EDC"/>
    <w:rsid w:val="009745A8"/>
    <w:rsid w:val="0097462C"/>
    <w:rsid w:val="00974766"/>
    <w:rsid w:val="009751C1"/>
    <w:rsid w:val="0097652F"/>
    <w:rsid w:val="00976731"/>
    <w:rsid w:val="0097722F"/>
    <w:rsid w:val="00977937"/>
    <w:rsid w:val="00977939"/>
    <w:rsid w:val="00977A37"/>
    <w:rsid w:val="00977FF7"/>
    <w:rsid w:val="009800F7"/>
    <w:rsid w:val="00980420"/>
    <w:rsid w:val="00980421"/>
    <w:rsid w:val="009811F1"/>
    <w:rsid w:val="009818F9"/>
    <w:rsid w:val="009834BD"/>
    <w:rsid w:val="00983E57"/>
    <w:rsid w:val="00983FD1"/>
    <w:rsid w:val="009840F1"/>
    <w:rsid w:val="00984BA0"/>
    <w:rsid w:val="00984CC8"/>
    <w:rsid w:val="009857C3"/>
    <w:rsid w:val="00985DE2"/>
    <w:rsid w:val="00985F09"/>
    <w:rsid w:val="0098675D"/>
    <w:rsid w:val="009919E3"/>
    <w:rsid w:val="009922F9"/>
    <w:rsid w:val="009926E0"/>
    <w:rsid w:val="00992797"/>
    <w:rsid w:val="00993FEB"/>
    <w:rsid w:val="00993FFC"/>
    <w:rsid w:val="0099451E"/>
    <w:rsid w:val="00994FD9"/>
    <w:rsid w:val="009950E4"/>
    <w:rsid w:val="00995308"/>
    <w:rsid w:val="00995FEE"/>
    <w:rsid w:val="00996B1A"/>
    <w:rsid w:val="00996B89"/>
    <w:rsid w:val="00996E01"/>
    <w:rsid w:val="00997BF9"/>
    <w:rsid w:val="00997D61"/>
    <w:rsid w:val="009A15C8"/>
    <w:rsid w:val="009A18A8"/>
    <w:rsid w:val="009A2DCC"/>
    <w:rsid w:val="009A38AA"/>
    <w:rsid w:val="009A5ABC"/>
    <w:rsid w:val="009A5EBE"/>
    <w:rsid w:val="009A7F10"/>
    <w:rsid w:val="009A7F90"/>
    <w:rsid w:val="009A7F91"/>
    <w:rsid w:val="009B126E"/>
    <w:rsid w:val="009B2463"/>
    <w:rsid w:val="009B3032"/>
    <w:rsid w:val="009B3C1C"/>
    <w:rsid w:val="009B3E26"/>
    <w:rsid w:val="009B40B3"/>
    <w:rsid w:val="009B48D7"/>
    <w:rsid w:val="009B5343"/>
    <w:rsid w:val="009B5605"/>
    <w:rsid w:val="009B73BD"/>
    <w:rsid w:val="009B7A88"/>
    <w:rsid w:val="009B7AFA"/>
    <w:rsid w:val="009C0E5B"/>
    <w:rsid w:val="009C0F14"/>
    <w:rsid w:val="009C1A15"/>
    <w:rsid w:val="009C1D73"/>
    <w:rsid w:val="009C29E5"/>
    <w:rsid w:val="009C2B28"/>
    <w:rsid w:val="009C2C3A"/>
    <w:rsid w:val="009C309C"/>
    <w:rsid w:val="009C3706"/>
    <w:rsid w:val="009C3731"/>
    <w:rsid w:val="009C3A3A"/>
    <w:rsid w:val="009C403E"/>
    <w:rsid w:val="009C5765"/>
    <w:rsid w:val="009C66F7"/>
    <w:rsid w:val="009C6CEA"/>
    <w:rsid w:val="009C7425"/>
    <w:rsid w:val="009C778A"/>
    <w:rsid w:val="009C7B85"/>
    <w:rsid w:val="009D0254"/>
    <w:rsid w:val="009D05F5"/>
    <w:rsid w:val="009D0688"/>
    <w:rsid w:val="009D0802"/>
    <w:rsid w:val="009D1A64"/>
    <w:rsid w:val="009D39D7"/>
    <w:rsid w:val="009D499C"/>
    <w:rsid w:val="009D4B1C"/>
    <w:rsid w:val="009D5B91"/>
    <w:rsid w:val="009D5BE4"/>
    <w:rsid w:val="009D7034"/>
    <w:rsid w:val="009D730B"/>
    <w:rsid w:val="009D7433"/>
    <w:rsid w:val="009D792E"/>
    <w:rsid w:val="009D7FC7"/>
    <w:rsid w:val="009E059A"/>
    <w:rsid w:val="009E0851"/>
    <w:rsid w:val="009E0911"/>
    <w:rsid w:val="009E0DFE"/>
    <w:rsid w:val="009E1660"/>
    <w:rsid w:val="009E1FA5"/>
    <w:rsid w:val="009E20DD"/>
    <w:rsid w:val="009E31F6"/>
    <w:rsid w:val="009E3426"/>
    <w:rsid w:val="009E3BA8"/>
    <w:rsid w:val="009E4220"/>
    <w:rsid w:val="009E4364"/>
    <w:rsid w:val="009E45AF"/>
    <w:rsid w:val="009E4C07"/>
    <w:rsid w:val="009E5896"/>
    <w:rsid w:val="009F0676"/>
    <w:rsid w:val="009F08C1"/>
    <w:rsid w:val="009F14BB"/>
    <w:rsid w:val="009F1CF6"/>
    <w:rsid w:val="009F21C3"/>
    <w:rsid w:val="009F259F"/>
    <w:rsid w:val="009F25F1"/>
    <w:rsid w:val="009F4263"/>
    <w:rsid w:val="009F550E"/>
    <w:rsid w:val="009F5914"/>
    <w:rsid w:val="009F59D5"/>
    <w:rsid w:val="009F59EA"/>
    <w:rsid w:val="009F6B63"/>
    <w:rsid w:val="00A00606"/>
    <w:rsid w:val="00A006D8"/>
    <w:rsid w:val="00A01184"/>
    <w:rsid w:val="00A02281"/>
    <w:rsid w:val="00A02C41"/>
    <w:rsid w:val="00A037C2"/>
    <w:rsid w:val="00A03D43"/>
    <w:rsid w:val="00A04030"/>
    <w:rsid w:val="00A04380"/>
    <w:rsid w:val="00A05472"/>
    <w:rsid w:val="00A05C32"/>
    <w:rsid w:val="00A05F4C"/>
    <w:rsid w:val="00A0653F"/>
    <w:rsid w:val="00A06F4E"/>
    <w:rsid w:val="00A07139"/>
    <w:rsid w:val="00A07577"/>
    <w:rsid w:val="00A103F1"/>
    <w:rsid w:val="00A10C05"/>
    <w:rsid w:val="00A11CD0"/>
    <w:rsid w:val="00A13237"/>
    <w:rsid w:val="00A13948"/>
    <w:rsid w:val="00A1397A"/>
    <w:rsid w:val="00A139ED"/>
    <w:rsid w:val="00A13FF5"/>
    <w:rsid w:val="00A14257"/>
    <w:rsid w:val="00A1441F"/>
    <w:rsid w:val="00A14488"/>
    <w:rsid w:val="00A15486"/>
    <w:rsid w:val="00A1555B"/>
    <w:rsid w:val="00A155C5"/>
    <w:rsid w:val="00A15FD5"/>
    <w:rsid w:val="00A160C5"/>
    <w:rsid w:val="00A16AD8"/>
    <w:rsid w:val="00A17739"/>
    <w:rsid w:val="00A20814"/>
    <w:rsid w:val="00A21461"/>
    <w:rsid w:val="00A21C95"/>
    <w:rsid w:val="00A21CF3"/>
    <w:rsid w:val="00A220BF"/>
    <w:rsid w:val="00A22BB1"/>
    <w:rsid w:val="00A23018"/>
    <w:rsid w:val="00A238D4"/>
    <w:rsid w:val="00A23E43"/>
    <w:rsid w:val="00A244DB"/>
    <w:rsid w:val="00A2467A"/>
    <w:rsid w:val="00A24813"/>
    <w:rsid w:val="00A25EFF"/>
    <w:rsid w:val="00A27AEC"/>
    <w:rsid w:val="00A27B24"/>
    <w:rsid w:val="00A30C0E"/>
    <w:rsid w:val="00A30D0F"/>
    <w:rsid w:val="00A31C7F"/>
    <w:rsid w:val="00A31F7C"/>
    <w:rsid w:val="00A320DB"/>
    <w:rsid w:val="00A32213"/>
    <w:rsid w:val="00A3237D"/>
    <w:rsid w:val="00A32A40"/>
    <w:rsid w:val="00A32F38"/>
    <w:rsid w:val="00A33DB8"/>
    <w:rsid w:val="00A35463"/>
    <w:rsid w:val="00A35465"/>
    <w:rsid w:val="00A35AA5"/>
    <w:rsid w:val="00A35CCB"/>
    <w:rsid w:val="00A35D16"/>
    <w:rsid w:val="00A36537"/>
    <w:rsid w:val="00A365AE"/>
    <w:rsid w:val="00A370F3"/>
    <w:rsid w:val="00A37BCD"/>
    <w:rsid w:val="00A41689"/>
    <w:rsid w:val="00A42592"/>
    <w:rsid w:val="00A43C59"/>
    <w:rsid w:val="00A43D92"/>
    <w:rsid w:val="00A44104"/>
    <w:rsid w:val="00A450E2"/>
    <w:rsid w:val="00A47000"/>
    <w:rsid w:val="00A47182"/>
    <w:rsid w:val="00A47F22"/>
    <w:rsid w:val="00A50DA5"/>
    <w:rsid w:val="00A50ECD"/>
    <w:rsid w:val="00A511EA"/>
    <w:rsid w:val="00A518F3"/>
    <w:rsid w:val="00A52729"/>
    <w:rsid w:val="00A53071"/>
    <w:rsid w:val="00A53675"/>
    <w:rsid w:val="00A552B3"/>
    <w:rsid w:val="00A55D3D"/>
    <w:rsid w:val="00A564D7"/>
    <w:rsid w:val="00A56B6A"/>
    <w:rsid w:val="00A5742A"/>
    <w:rsid w:val="00A578DC"/>
    <w:rsid w:val="00A57F35"/>
    <w:rsid w:val="00A6074D"/>
    <w:rsid w:val="00A619E3"/>
    <w:rsid w:val="00A61B8E"/>
    <w:rsid w:val="00A61C84"/>
    <w:rsid w:val="00A636A1"/>
    <w:rsid w:val="00A6374F"/>
    <w:rsid w:val="00A640E2"/>
    <w:rsid w:val="00A64874"/>
    <w:rsid w:val="00A64AFF"/>
    <w:rsid w:val="00A64D65"/>
    <w:rsid w:val="00A650EC"/>
    <w:rsid w:val="00A654B0"/>
    <w:rsid w:val="00A65778"/>
    <w:rsid w:val="00A65E1C"/>
    <w:rsid w:val="00A66C35"/>
    <w:rsid w:val="00A6725B"/>
    <w:rsid w:val="00A67757"/>
    <w:rsid w:val="00A70605"/>
    <w:rsid w:val="00A70AB9"/>
    <w:rsid w:val="00A71647"/>
    <w:rsid w:val="00A73134"/>
    <w:rsid w:val="00A73195"/>
    <w:rsid w:val="00A735F3"/>
    <w:rsid w:val="00A74C3C"/>
    <w:rsid w:val="00A74EB9"/>
    <w:rsid w:val="00A75ED1"/>
    <w:rsid w:val="00A76001"/>
    <w:rsid w:val="00A76084"/>
    <w:rsid w:val="00A768C1"/>
    <w:rsid w:val="00A777B2"/>
    <w:rsid w:val="00A80D80"/>
    <w:rsid w:val="00A810D2"/>
    <w:rsid w:val="00A81216"/>
    <w:rsid w:val="00A82286"/>
    <w:rsid w:val="00A825D4"/>
    <w:rsid w:val="00A828F6"/>
    <w:rsid w:val="00A82A6C"/>
    <w:rsid w:val="00A82B73"/>
    <w:rsid w:val="00A83780"/>
    <w:rsid w:val="00A84511"/>
    <w:rsid w:val="00A854FA"/>
    <w:rsid w:val="00A86E8B"/>
    <w:rsid w:val="00A87164"/>
    <w:rsid w:val="00A87812"/>
    <w:rsid w:val="00A87EF3"/>
    <w:rsid w:val="00A90005"/>
    <w:rsid w:val="00A91507"/>
    <w:rsid w:val="00A9215A"/>
    <w:rsid w:val="00A92E05"/>
    <w:rsid w:val="00A93072"/>
    <w:rsid w:val="00A938BD"/>
    <w:rsid w:val="00A93953"/>
    <w:rsid w:val="00A947A3"/>
    <w:rsid w:val="00A95152"/>
    <w:rsid w:val="00A959D8"/>
    <w:rsid w:val="00A95A2B"/>
    <w:rsid w:val="00A95DDA"/>
    <w:rsid w:val="00A95F47"/>
    <w:rsid w:val="00A96876"/>
    <w:rsid w:val="00A97524"/>
    <w:rsid w:val="00AA0161"/>
    <w:rsid w:val="00AA113D"/>
    <w:rsid w:val="00AA1599"/>
    <w:rsid w:val="00AA1761"/>
    <w:rsid w:val="00AA26D7"/>
    <w:rsid w:val="00AA2EC4"/>
    <w:rsid w:val="00AA50C1"/>
    <w:rsid w:val="00AA5954"/>
    <w:rsid w:val="00AA6406"/>
    <w:rsid w:val="00AA6419"/>
    <w:rsid w:val="00AA6BD5"/>
    <w:rsid w:val="00AA6BD8"/>
    <w:rsid w:val="00AA6C7D"/>
    <w:rsid w:val="00AA72FC"/>
    <w:rsid w:val="00AA7A03"/>
    <w:rsid w:val="00AA7FD6"/>
    <w:rsid w:val="00AB042A"/>
    <w:rsid w:val="00AB0E27"/>
    <w:rsid w:val="00AB0F20"/>
    <w:rsid w:val="00AB0F25"/>
    <w:rsid w:val="00AB19EF"/>
    <w:rsid w:val="00AB2D34"/>
    <w:rsid w:val="00AB2D6E"/>
    <w:rsid w:val="00AB327F"/>
    <w:rsid w:val="00AB3430"/>
    <w:rsid w:val="00AB37B9"/>
    <w:rsid w:val="00AB3B4F"/>
    <w:rsid w:val="00AB4AD1"/>
    <w:rsid w:val="00AB5568"/>
    <w:rsid w:val="00AB5E07"/>
    <w:rsid w:val="00AB5E45"/>
    <w:rsid w:val="00AB684B"/>
    <w:rsid w:val="00AB6F09"/>
    <w:rsid w:val="00AB7393"/>
    <w:rsid w:val="00AB7CFA"/>
    <w:rsid w:val="00AC14B0"/>
    <w:rsid w:val="00AC20DD"/>
    <w:rsid w:val="00AC4174"/>
    <w:rsid w:val="00AC466B"/>
    <w:rsid w:val="00AC4823"/>
    <w:rsid w:val="00AC4C01"/>
    <w:rsid w:val="00AC5187"/>
    <w:rsid w:val="00AC573E"/>
    <w:rsid w:val="00AC5B48"/>
    <w:rsid w:val="00AC6E20"/>
    <w:rsid w:val="00AC7A7D"/>
    <w:rsid w:val="00AC7DD0"/>
    <w:rsid w:val="00AD065D"/>
    <w:rsid w:val="00AD0974"/>
    <w:rsid w:val="00AD1450"/>
    <w:rsid w:val="00AD1B1B"/>
    <w:rsid w:val="00AD29BB"/>
    <w:rsid w:val="00AD4960"/>
    <w:rsid w:val="00AD4DEB"/>
    <w:rsid w:val="00AD5178"/>
    <w:rsid w:val="00AD53A7"/>
    <w:rsid w:val="00AD6502"/>
    <w:rsid w:val="00AD652B"/>
    <w:rsid w:val="00AD79BB"/>
    <w:rsid w:val="00AE0695"/>
    <w:rsid w:val="00AE0982"/>
    <w:rsid w:val="00AE0D45"/>
    <w:rsid w:val="00AE0D6E"/>
    <w:rsid w:val="00AE1101"/>
    <w:rsid w:val="00AE126E"/>
    <w:rsid w:val="00AE2724"/>
    <w:rsid w:val="00AE3101"/>
    <w:rsid w:val="00AE3828"/>
    <w:rsid w:val="00AE38EB"/>
    <w:rsid w:val="00AE3E7E"/>
    <w:rsid w:val="00AE6ECB"/>
    <w:rsid w:val="00AE736A"/>
    <w:rsid w:val="00AE7CFA"/>
    <w:rsid w:val="00AE7FB2"/>
    <w:rsid w:val="00AF1315"/>
    <w:rsid w:val="00AF19BF"/>
    <w:rsid w:val="00AF2DC3"/>
    <w:rsid w:val="00AF3187"/>
    <w:rsid w:val="00AF53B6"/>
    <w:rsid w:val="00AF55A0"/>
    <w:rsid w:val="00AF5747"/>
    <w:rsid w:val="00AF661A"/>
    <w:rsid w:val="00B00E49"/>
    <w:rsid w:val="00B01166"/>
    <w:rsid w:val="00B01EBA"/>
    <w:rsid w:val="00B023DF"/>
    <w:rsid w:val="00B033E5"/>
    <w:rsid w:val="00B03A4B"/>
    <w:rsid w:val="00B03A63"/>
    <w:rsid w:val="00B0420B"/>
    <w:rsid w:val="00B0530F"/>
    <w:rsid w:val="00B059AE"/>
    <w:rsid w:val="00B066CF"/>
    <w:rsid w:val="00B075D6"/>
    <w:rsid w:val="00B113D0"/>
    <w:rsid w:val="00B1163B"/>
    <w:rsid w:val="00B1360D"/>
    <w:rsid w:val="00B13ABE"/>
    <w:rsid w:val="00B13C17"/>
    <w:rsid w:val="00B1496C"/>
    <w:rsid w:val="00B16402"/>
    <w:rsid w:val="00B1791C"/>
    <w:rsid w:val="00B17ABB"/>
    <w:rsid w:val="00B201A4"/>
    <w:rsid w:val="00B201CD"/>
    <w:rsid w:val="00B201D1"/>
    <w:rsid w:val="00B20424"/>
    <w:rsid w:val="00B20835"/>
    <w:rsid w:val="00B211AD"/>
    <w:rsid w:val="00B213A6"/>
    <w:rsid w:val="00B216DF"/>
    <w:rsid w:val="00B235B0"/>
    <w:rsid w:val="00B23AB5"/>
    <w:rsid w:val="00B246F5"/>
    <w:rsid w:val="00B24DF6"/>
    <w:rsid w:val="00B24FCF"/>
    <w:rsid w:val="00B257B8"/>
    <w:rsid w:val="00B26E77"/>
    <w:rsid w:val="00B27526"/>
    <w:rsid w:val="00B30745"/>
    <w:rsid w:val="00B312ED"/>
    <w:rsid w:val="00B31A06"/>
    <w:rsid w:val="00B31C38"/>
    <w:rsid w:val="00B31F0D"/>
    <w:rsid w:val="00B3386C"/>
    <w:rsid w:val="00B34FBF"/>
    <w:rsid w:val="00B34FE2"/>
    <w:rsid w:val="00B35166"/>
    <w:rsid w:val="00B357D8"/>
    <w:rsid w:val="00B3587D"/>
    <w:rsid w:val="00B360F4"/>
    <w:rsid w:val="00B36A00"/>
    <w:rsid w:val="00B36B4C"/>
    <w:rsid w:val="00B36CF6"/>
    <w:rsid w:val="00B37679"/>
    <w:rsid w:val="00B37837"/>
    <w:rsid w:val="00B378C1"/>
    <w:rsid w:val="00B37BFC"/>
    <w:rsid w:val="00B401C0"/>
    <w:rsid w:val="00B40358"/>
    <w:rsid w:val="00B40B29"/>
    <w:rsid w:val="00B41438"/>
    <w:rsid w:val="00B41571"/>
    <w:rsid w:val="00B41614"/>
    <w:rsid w:val="00B41AD1"/>
    <w:rsid w:val="00B41E0C"/>
    <w:rsid w:val="00B42851"/>
    <w:rsid w:val="00B42F80"/>
    <w:rsid w:val="00B432DA"/>
    <w:rsid w:val="00B435CB"/>
    <w:rsid w:val="00B45981"/>
    <w:rsid w:val="00B466A0"/>
    <w:rsid w:val="00B46865"/>
    <w:rsid w:val="00B4688E"/>
    <w:rsid w:val="00B46946"/>
    <w:rsid w:val="00B505C8"/>
    <w:rsid w:val="00B50C30"/>
    <w:rsid w:val="00B50DB8"/>
    <w:rsid w:val="00B51D73"/>
    <w:rsid w:val="00B52087"/>
    <w:rsid w:val="00B52C4C"/>
    <w:rsid w:val="00B53654"/>
    <w:rsid w:val="00B536A1"/>
    <w:rsid w:val="00B538B1"/>
    <w:rsid w:val="00B53905"/>
    <w:rsid w:val="00B5460E"/>
    <w:rsid w:val="00B54B5B"/>
    <w:rsid w:val="00B5551B"/>
    <w:rsid w:val="00B55570"/>
    <w:rsid w:val="00B555D9"/>
    <w:rsid w:val="00B5562E"/>
    <w:rsid w:val="00B55D65"/>
    <w:rsid w:val="00B561F3"/>
    <w:rsid w:val="00B57000"/>
    <w:rsid w:val="00B57B18"/>
    <w:rsid w:val="00B60939"/>
    <w:rsid w:val="00B60AC5"/>
    <w:rsid w:val="00B60AFD"/>
    <w:rsid w:val="00B60F5D"/>
    <w:rsid w:val="00B618C3"/>
    <w:rsid w:val="00B621BA"/>
    <w:rsid w:val="00B62715"/>
    <w:rsid w:val="00B62AEB"/>
    <w:rsid w:val="00B64EE9"/>
    <w:rsid w:val="00B65611"/>
    <w:rsid w:val="00B65811"/>
    <w:rsid w:val="00B65CA8"/>
    <w:rsid w:val="00B6607E"/>
    <w:rsid w:val="00B663FD"/>
    <w:rsid w:val="00B6762B"/>
    <w:rsid w:val="00B67DC8"/>
    <w:rsid w:val="00B70AB2"/>
    <w:rsid w:val="00B70E8E"/>
    <w:rsid w:val="00B71954"/>
    <w:rsid w:val="00B73CD6"/>
    <w:rsid w:val="00B74CE5"/>
    <w:rsid w:val="00B75819"/>
    <w:rsid w:val="00B761AF"/>
    <w:rsid w:val="00B76206"/>
    <w:rsid w:val="00B76C92"/>
    <w:rsid w:val="00B77311"/>
    <w:rsid w:val="00B80727"/>
    <w:rsid w:val="00B818A4"/>
    <w:rsid w:val="00B82088"/>
    <w:rsid w:val="00B82A4B"/>
    <w:rsid w:val="00B82FCD"/>
    <w:rsid w:val="00B83031"/>
    <w:rsid w:val="00B834F2"/>
    <w:rsid w:val="00B83C9B"/>
    <w:rsid w:val="00B84117"/>
    <w:rsid w:val="00B84A30"/>
    <w:rsid w:val="00B84C9C"/>
    <w:rsid w:val="00B8502D"/>
    <w:rsid w:val="00B85131"/>
    <w:rsid w:val="00B855F7"/>
    <w:rsid w:val="00B858F0"/>
    <w:rsid w:val="00B85901"/>
    <w:rsid w:val="00B85AA2"/>
    <w:rsid w:val="00B85BEE"/>
    <w:rsid w:val="00B8649C"/>
    <w:rsid w:val="00B867FF"/>
    <w:rsid w:val="00B8695D"/>
    <w:rsid w:val="00B86E5B"/>
    <w:rsid w:val="00B87F0A"/>
    <w:rsid w:val="00B901BE"/>
    <w:rsid w:val="00B904E5"/>
    <w:rsid w:val="00B915A3"/>
    <w:rsid w:val="00B9219E"/>
    <w:rsid w:val="00B92D0B"/>
    <w:rsid w:val="00B9384B"/>
    <w:rsid w:val="00B941CD"/>
    <w:rsid w:val="00B94945"/>
    <w:rsid w:val="00B94DD6"/>
    <w:rsid w:val="00B9519B"/>
    <w:rsid w:val="00B95D9F"/>
    <w:rsid w:val="00BA0FB3"/>
    <w:rsid w:val="00BA256F"/>
    <w:rsid w:val="00BA31F3"/>
    <w:rsid w:val="00BA322D"/>
    <w:rsid w:val="00BA3A2F"/>
    <w:rsid w:val="00BA3A5F"/>
    <w:rsid w:val="00BA3FC4"/>
    <w:rsid w:val="00BA515D"/>
    <w:rsid w:val="00BA5359"/>
    <w:rsid w:val="00BA63FA"/>
    <w:rsid w:val="00BA6499"/>
    <w:rsid w:val="00BB00B3"/>
    <w:rsid w:val="00BB0BDD"/>
    <w:rsid w:val="00BB170F"/>
    <w:rsid w:val="00BB176C"/>
    <w:rsid w:val="00BB1ADB"/>
    <w:rsid w:val="00BB1EF4"/>
    <w:rsid w:val="00BB1FCA"/>
    <w:rsid w:val="00BB28EE"/>
    <w:rsid w:val="00BB2A73"/>
    <w:rsid w:val="00BB3A45"/>
    <w:rsid w:val="00BB3B4A"/>
    <w:rsid w:val="00BB3C94"/>
    <w:rsid w:val="00BB4ACC"/>
    <w:rsid w:val="00BB52D4"/>
    <w:rsid w:val="00BB5EC8"/>
    <w:rsid w:val="00BB6D38"/>
    <w:rsid w:val="00BB703E"/>
    <w:rsid w:val="00BB732D"/>
    <w:rsid w:val="00BB7405"/>
    <w:rsid w:val="00BB7739"/>
    <w:rsid w:val="00BB7E68"/>
    <w:rsid w:val="00BC01BF"/>
    <w:rsid w:val="00BC1ABF"/>
    <w:rsid w:val="00BC2F3D"/>
    <w:rsid w:val="00BC3631"/>
    <w:rsid w:val="00BC41E5"/>
    <w:rsid w:val="00BC461E"/>
    <w:rsid w:val="00BC49A5"/>
    <w:rsid w:val="00BC591F"/>
    <w:rsid w:val="00BC676B"/>
    <w:rsid w:val="00BC6FEB"/>
    <w:rsid w:val="00BC7300"/>
    <w:rsid w:val="00BC7BD3"/>
    <w:rsid w:val="00BC7D39"/>
    <w:rsid w:val="00BC7D6D"/>
    <w:rsid w:val="00BC7DF0"/>
    <w:rsid w:val="00BD149C"/>
    <w:rsid w:val="00BD17CE"/>
    <w:rsid w:val="00BD2108"/>
    <w:rsid w:val="00BD2E83"/>
    <w:rsid w:val="00BD32EC"/>
    <w:rsid w:val="00BD36DD"/>
    <w:rsid w:val="00BD4679"/>
    <w:rsid w:val="00BD46F9"/>
    <w:rsid w:val="00BD4B83"/>
    <w:rsid w:val="00BD564B"/>
    <w:rsid w:val="00BD67E6"/>
    <w:rsid w:val="00BD68A3"/>
    <w:rsid w:val="00BD6938"/>
    <w:rsid w:val="00BD6CF3"/>
    <w:rsid w:val="00BD774F"/>
    <w:rsid w:val="00BE005F"/>
    <w:rsid w:val="00BE0ECA"/>
    <w:rsid w:val="00BE1140"/>
    <w:rsid w:val="00BE1202"/>
    <w:rsid w:val="00BE1396"/>
    <w:rsid w:val="00BE2180"/>
    <w:rsid w:val="00BE21F2"/>
    <w:rsid w:val="00BE2A78"/>
    <w:rsid w:val="00BE2F1E"/>
    <w:rsid w:val="00BE3915"/>
    <w:rsid w:val="00BE4275"/>
    <w:rsid w:val="00BE53D0"/>
    <w:rsid w:val="00BE589F"/>
    <w:rsid w:val="00BE69B7"/>
    <w:rsid w:val="00BF06AE"/>
    <w:rsid w:val="00BF0F95"/>
    <w:rsid w:val="00BF2433"/>
    <w:rsid w:val="00BF3076"/>
    <w:rsid w:val="00BF47BF"/>
    <w:rsid w:val="00BF48B7"/>
    <w:rsid w:val="00BF505A"/>
    <w:rsid w:val="00BF534A"/>
    <w:rsid w:val="00BF5403"/>
    <w:rsid w:val="00BF61C9"/>
    <w:rsid w:val="00BF672F"/>
    <w:rsid w:val="00BF69A0"/>
    <w:rsid w:val="00BF6C94"/>
    <w:rsid w:val="00BF6CF8"/>
    <w:rsid w:val="00BF71D9"/>
    <w:rsid w:val="00BF7AF5"/>
    <w:rsid w:val="00BF7BE9"/>
    <w:rsid w:val="00BF7F62"/>
    <w:rsid w:val="00C00424"/>
    <w:rsid w:val="00C007B1"/>
    <w:rsid w:val="00C01463"/>
    <w:rsid w:val="00C0151D"/>
    <w:rsid w:val="00C05173"/>
    <w:rsid w:val="00C068F6"/>
    <w:rsid w:val="00C06945"/>
    <w:rsid w:val="00C069B7"/>
    <w:rsid w:val="00C06F70"/>
    <w:rsid w:val="00C104C4"/>
    <w:rsid w:val="00C1179F"/>
    <w:rsid w:val="00C1198C"/>
    <w:rsid w:val="00C119A5"/>
    <w:rsid w:val="00C11DEA"/>
    <w:rsid w:val="00C12878"/>
    <w:rsid w:val="00C12B37"/>
    <w:rsid w:val="00C12C14"/>
    <w:rsid w:val="00C15278"/>
    <w:rsid w:val="00C15680"/>
    <w:rsid w:val="00C15E7D"/>
    <w:rsid w:val="00C15F04"/>
    <w:rsid w:val="00C1751B"/>
    <w:rsid w:val="00C179B3"/>
    <w:rsid w:val="00C17E3F"/>
    <w:rsid w:val="00C17F9A"/>
    <w:rsid w:val="00C200AA"/>
    <w:rsid w:val="00C20E86"/>
    <w:rsid w:val="00C21690"/>
    <w:rsid w:val="00C21CD0"/>
    <w:rsid w:val="00C2229E"/>
    <w:rsid w:val="00C2245B"/>
    <w:rsid w:val="00C230AB"/>
    <w:rsid w:val="00C237ED"/>
    <w:rsid w:val="00C24302"/>
    <w:rsid w:val="00C244FF"/>
    <w:rsid w:val="00C24632"/>
    <w:rsid w:val="00C25418"/>
    <w:rsid w:val="00C25B25"/>
    <w:rsid w:val="00C25C24"/>
    <w:rsid w:val="00C25D9C"/>
    <w:rsid w:val="00C267B0"/>
    <w:rsid w:val="00C26A4D"/>
    <w:rsid w:val="00C271A9"/>
    <w:rsid w:val="00C27398"/>
    <w:rsid w:val="00C27525"/>
    <w:rsid w:val="00C2778B"/>
    <w:rsid w:val="00C27C05"/>
    <w:rsid w:val="00C30602"/>
    <w:rsid w:val="00C30EDA"/>
    <w:rsid w:val="00C31649"/>
    <w:rsid w:val="00C31AE0"/>
    <w:rsid w:val="00C32F4F"/>
    <w:rsid w:val="00C33E0C"/>
    <w:rsid w:val="00C33F93"/>
    <w:rsid w:val="00C33FD6"/>
    <w:rsid w:val="00C3434C"/>
    <w:rsid w:val="00C35B7F"/>
    <w:rsid w:val="00C37C31"/>
    <w:rsid w:val="00C37E8A"/>
    <w:rsid w:val="00C40187"/>
    <w:rsid w:val="00C40385"/>
    <w:rsid w:val="00C41768"/>
    <w:rsid w:val="00C41FA0"/>
    <w:rsid w:val="00C42DAD"/>
    <w:rsid w:val="00C43388"/>
    <w:rsid w:val="00C4364E"/>
    <w:rsid w:val="00C43DA8"/>
    <w:rsid w:val="00C45C3E"/>
    <w:rsid w:val="00C45D1D"/>
    <w:rsid w:val="00C45D71"/>
    <w:rsid w:val="00C46523"/>
    <w:rsid w:val="00C475AA"/>
    <w:rsid w:val="00C50854"/>
    <w:rsid w:val="00C514CF"/>
    <w:rsid w:val="00C516CC"/>
    <w:rsid w:val="00C51D17"/>
    <w:rsid w:val="00C521C1"/>
    <w:rsid w:val="00C5233A"/>
    <w:rsid w:val="00C5245D"/>
    <w:rsid w:val="00C52BFB"/>
    <w:rsid w:val="00C53697"/>
    <w:rsid w:val="00C537D7"/>
    <w:rsid w:val="00C539B3"/>
    <w:rsid w:val="00C53C98"/>
    <w:rsid w:val="00C55892"/>
    <w:rsid w:val="00C55E2E"/>
    <w:rsid w:val="00C56FCF"/>
    <w:rsid w:val="00C5768B"/>
    <w:rsid w:val="00C57B6C"/>
    <w:rsid w:val="00C602A2"/>
    <w:rsid w:val="00C61997"/>
    <w:rsid w:val="00C628A6"/>
    <w:rsid w:val="00C630FB"/>
    <w:rsid w:val="00C63955"/>
    <w:rsid w:val="00C63F81"/>
    <w:rsid w:val="00C64297"/>
    <w:rsid w:val="00C64344"/>
    <w:rsid w:val="00C65108"/>
    <w:rsid w:val="00C65576"/>
    <w:rsid w:val="00C66165"/>
    <w:rsid w:val="00C66A2B"/>
    <w:rsid w:val="00C678D8"/>
    <w:rsid w:val="00C7060A"/>
    <w:rsid w:val="00C711AF"/>
    <w:rsid w:val="00C71489"/>
    <w:rsid w:val="00C7151A"/>
    <w:rsid w:val="00C717BC"/>
    <w:rsid w:val="00C717E3"/>
    <w:rsid w:val="00C71F60"/>
    <w:rsid w:val="00C72241"/>
    <w:rsid w:val="00C73C96"/>
    <w:rsid w:val="00C747D7"/>
    <w:rsid w:val="00C750C8"/>
    <w:rsid w:val="00C7560F"/>
    <w:rsid w:val="00C765E0"/>
    <w:rsid w:val="00C7663F"/>
    <w:rsid w:val="00C76BEC"/>
    <w:rsid w:val="00C80A0E"/>
    <w:rsid w:val="00C80D34"/>
    <w:rsid w:val="00C8208E"/>
    <w:rsid w:val="00C82105"/>
    <w:rsid w:val="00C8213F"/>
    <w:rsid w:val="00C82574"/>
    <w:rsid w:val="00C8347C"/>
    <w:rsid w:val="00C83BF9"/>
    <w:rsid w:val="00C84A5C"/>
    <w:rsid w:val="00C85154"/>
    <w:rsid w:val="00C851FC"/>
    <w:rsid w:val="00C85EC8"/>
    <w:rsid w:val="00C86930"/>
    <w:rsid w:val="00C8797A"/>
    <w:rsid w:val="00C87C3C"/>
    <w:rsid w:val="00C900B8"/>
    <w:rsid w:val="00C90C71"/>
    <w:rsid w:val="00C91316"/>
    <w:rsid w:val="00C914DD"/>
    <w:rsid w:val="00C91D32"/>
    <w:rsid w:val="00C91FD1"/>
    <w:rsid w:val="00C927B8"/>
    <w:rsid w:val="00C92874"/>
    <w:rsid w:val="00C92B1E"/>
    <w:rsid w:val="00C931CF"/>
    <w:rsid w:val="00C9384F"/>
    <w:rsid w:val="00C938CF"/>
    <w:rsid w:val="00C94053"/>
    <w:rsid w:val="00C94E4D"/>
    <w:rsid w:val="00C94EBA"/>
    <w:rsid w:val="00C951BF"/>
    <w:rsid w:val="00C9624D"/>
    <w:rsid w:val="00C969DA"/>
    <w:rsid w:val="00CA17A1"/>
    <w:rsid w:val="00CA2C77"/>
    <w:rsid w:val="00CA3A67"/>
    <w:rsid w:val="00CA3AEF"/>
    <w:rsid w:val="00CA444F"/>
    <w:rsid w:val="00CA4529"/>
    <w:rsid w:val="00CA456D"/>
    <w:rsid w:val="00CA4A9F"/>
    <w:rsid w:val="00CA50EE"/>
    <w:rsid w:val="00CA5245"/>
    <w:rsid w:val="00CA56A6"/>
    <w:rsid w:val="00CA5A85"/>
    <w:rsid w:val="00CA60E5"/>
    <w:rsid w:val="00CA63B7"/>
    <w:rsid w:val="00CA6E93"/>
    <w:rsid w:val="00CA71F4"/>
    <w:rsid w:val="00CA7B09"/>
    <w:rsid w:val="00CA7DC7"/>
    <w:rsid w:val="00CB0FC5"/>
    <w:rsid w:val="00CB12A5"/>
    <w:rsid w:val="00CB1468"/>
    <w:rsid w:val="00CB1CAC"/>
    <w:rsid w:val="00CB1E99"/>
    <w:rsid w:val="00CB2F2A"/>
    <w:rsid w:val="00CB5530"/>
    <w:rsid w:val="00CB5A58"/>
    <w:rsid w:val="00CB5B1A"/>
    <w:rsid w:val="00CB6A48"/>
    <w:rsid w:val="00CB6B22"/>
    <w:rsid w:val="00CB7B6F"/>
    <w:rsid w:val="00CB7F5F"/>
    <w:rsid w:val="00CC07A0"/>
    <w:rsid w:val="00CC09C9"/>
    <w:rsid w:val="00CC0CC4"/>
    <w:rsid w:val="00CC19BA"/>
    <w:rsid w:val="00CC1A8C"/>
    <w:rsid w:val="00CC1B39"/>
    <w:rsid w:val="00CC27EE"/>
    <w:rsid w:val="00CC319D"/>
    <w:rsid w:val="00CC35EA"/>
    <w:rsid w:val="00CC3848"/>
    <w:rsid w:val="00CC42D5"/>
    <w:rsid w:val="00CC5E99"/>
    <w:rsid w:val="00CC6652"/>
    <w:rsid w:val="00CC6C81"/>
    <w:rsid w:val="00CD1D28"/>
    <w:rsid w:val="00CD359A"/>
    <w:rsid w:val="00CD36DD"/>
    <w:rsid w:val="00CD39F0"/>
    <w:rsid w:val="00CD3F77"/>
    <w:rsid w:val="00CD4731"/>
    <w:rsid w:val="00CD572A"/>
    <w:rsid w:val="00CD6ADC"/>
    <w:rsid w:val="00CD6CAD"/>
    <w:rsid w:val="00CD6EE9"/>
    <w:rsid w:val="00CD7193"/>
    <w:rsid w:val="00CE1F30"/>
    <w:rsid w:val="00CE224B"/>
    <w:rsid w:val="00CE2894"/>
    <w:rsid w:val="00CE372B"/>
    <w:rsid w:val="00CE38C8"/>
    <w:rsid w:val="00CE3B57"/>
    <w:rsid w:val="00CE5B2D"/>
    <w:rsid w:val="00CE6274"/>
    <w:rsid w:val="00CE77B6"/>
    <w:rsid w:val="00CE780C"/>
    <w:rsid w:val="00CE7F11"/>
    <w:rsid w:val="00CF0CB6"/>
    <w:rsid w:val="00CF1257"/>
    <w:rsid w:val="00CF18EF"/>
    <w:rsid w:val="00CF1AE5"/>
    <w:rsid w:val="00CF22D8"/>
    <w:rsid w:val="00CF23C6"/>
    <w:rsid w:val="00CF24A3"/>
    <w:rsid w:val="00CF2B8D"/>
    <w:rsid w:val="00CF34AF"/>
    <w:rsid w:val="00CF3C01"/>
    <w:rsid w:val="00CF456B"/>
    <w:rsid w:val="00CF4820"/>
    <w:rsid w:val="00CF4857"/>
    <w:rsid w:val="00CF5598"/>
    <w:rsid w:val="00CF5A22"/>
    <w:rsid w:val="00CF6900"/>
    <w:rsid w:val="00CF7D09"/>
    <w:rsid w:val="00D01B7C"/>
    <w:rsid w:val="00D01F17"/>
    <w:rsid w:val="00D0262E"/>
    <w:rsid w:val="00D0364C"/>
    <w:rsid w:val="00D03D2B"/>
    <w:rsid w:val="00D0583F"/>
    <w:rsid w:val="00D05E3D"/>
    <w:rsid w:val="00D05FD1"/>
    <w:rsid w:val="00D06139"/>
    <w:rsid w:val="00D10AC8"/>
    <w:rsid w:val="00D110BD"/>
    <w:rsid w:val="00D1168D"/>
    <w:rsid w:val="00D11F92"/>
    <w:rsid w:val="00D13675"/>
    <w:rsid w:val="00D13C8F"/>
    <w:rsid w:val="00D14035"/>
    <w:rsid w:val="00D141E1"/>
    <w:rsid w:val="00D14EAD"/>
    <w:rsid w:val="00D15314"/>
    <w:rsid w:val="00D16D25"/>
    <w:rsid w:val="00D17725"/>
    <w:rsid w:val="00D17C1E"/>
    <w:rsid w:val="00D17D6C"/>
    <w:rsid w:val="00D20711"/>
    <w:rsid w:val="00D20B49"/>
    <w:rsid w:val="00D20B7D"/>
    <w:rsid w:val="00D2155B"/>
    <w:rsid w:val="00D2181A"/>
    <w:rsid w:val="00D23D11"/>
    <w:rsid w:val="00D244B6"/>
    <w:rsid w:val="00D25F1B"/>
    <w:rsid w:val="00D261BD"/>
    <w:rsid w:val="00D269B7"/>
    <w:rsid w:val="00D271E8"/>
    <w:rsid w:val="00D272B4"/>
    <w:rsid w:val="00D2734A"/>
    <w:rsid w:val="00D2754D"/>
    <w:rsid w:val="00D27B27"/>
    <w:rsid w:val="00D305B4"/>
    <w:rsid w:val="00D31DFE"/>
    <w:rsid w:val="00D32531"/>
    <w:rsid w:val="00D32868"/>
    <w:rsid w:val="00D33BE9"/>
    <w:rsid w:val="00D33ECD"/>
    <w:rsid w:val="00D33F93"/>
    <w:rsid w:val="00D34464"/>
    <w:rsid w:val="00D353FF"/>
    <w:rsid w:val="00D357FF"/>
    <w:rsid w:val="00D35CB9"/>
    <w:rsid w:val="00D35E9F"/>
    <w:rsid w:val="00D37E13"/>
    <w:rsid w:val="00D40FAE"/>
    <w:rsid w:val="00D415E8"/>
    <w:rsid w:val="00D421FD"/>
    <w:rsid w:val="00D424C7"/>
    <w:rsid w:val="00D42AA3"/>
    <w:rsid w:val="00D43B2A"/>
    <w:rsid w:val="00D43D83"/>
    <w:rsid w:val="00D44691"/>
    <w:rsid w:val="00D448B6"/>
    <w:rsid w:val="00D462DE"/>
    <w:rsid w:val="00D47575"/>
    <w:rsid w:val="00D47D8B"/>
    <w:rsid w:val="00D50867"/>
    <w:rsid w:val="00D50D2E"/>
    <w:rsid w:val="00D5100B"/>
    <w:rsid w:val="00D511B1"/>
    <w:rsid w:val="00D515E5"/>
    <w:rsid w:val="00D5243B"/>
    <w:rsid w:val="00D52C1C"/>
    <w:rsid w:val="00D533EC"/>
    <w:rsid w:val="00D53514"/>
    <w:rsid w:val="00D53E99"/>
    <w:rsid w:val="00D5412C"/>
    <w:rsid w:val="00D54DFA"/>
    <w:rsid w:val="00D55384"/>
    <w:rsid w:val="00D56A95"/>
    <w:rsid w:val="00D574CE"/>
    <w:rsid w:val="00D57BE5"/>
    <w:rsid w:val="00D57C29"/>
    <w:rsid w:val="00D612E0"/>
    <w:rsid w:val="00D62119"/>
    <w:rsid w:val="00D6370D"/>
    <w:rsid w:val="00D63F88"/>
    <w:rsid w:val="00D652EC"/>
    <w:rsid w:val="00D65DDE"/>
    <w:rsid w:val="00D6630D"/>
    <w:rsid w:val="00D679ED"/>
    <w:rsid w:val="00D67B9C"/>
    <w:rsid w:val="00D70418"/>
    <w:rsid w:val="00D70B50"/>
    <w:rsid w:val="00D70F16"/>
    <w:rsid w:val="00D71554"/>
    <w:rsid w:val="00D7283F"/>
    <w:rsid w:val="00D72F57"/>
    <w:rsid w:val="00D737DE"/>
    <w:rsid w:val="00D74644"/>
    <w:rsid w:val="00D75985"/>
    <w:rsid w:val="00D75E74"/>
    <w:rsid w:val="00D76A44"/>
    <w:rsid w:val="00D77B2E"/>
    <w:rsid w:val="00D801C2"/>
    <w:rsid w:val="00D80246"/>
    <w:rsid w:val="00D81222"/>
    <w:rsid w:val="00D813DE"/>
    <w:rsid w:val="00D815EF"/>
    <w:rsid w:val="00D81D8A"/>
    <w:rsid w:val="00D81F26"/>
    <w:rsid w:val="00D833B1"/>
    <w:rsid w:val="00D833F4"/>
    <w:rsid w:val="00D834C3"/>
    <w:rsid w:val="00D83EB1"/>
    <w:rsid w:val="00D84EC5"/>
    <w:rsid w:val="00D858D2"/>
    <w:rsid w:val="00D86231"/>
    <w:rsid w:val="00D8654E"/>
    <w:rsid w:val="00D86904"/>
    <w:rsid w:val="00D86B2B"/>
    <w:rsid w:val="00D86EC2"/>
    <w:rsid w:val="00D87167"/>
    <w:rsid w:val="00D87E02"/>
    <w:rsid w:val="00D91923"/>
    <w:rsid w:val="00D91E5F"/>
    <w:rsid w:val="00D92592"/>
    <w:rsid w:val="00D92E67"/>
    <w:rsid w:val="00D93753"/>
    <w:rsid w:val="00D940C8"/>
    <w:rsid w:val="00D95698"/>
    <w:rsid w:val="00D959FD"/>
    <w:rsid w:val="00D9632F"/>
    <w:rsid w:val="00D9687D"/>
    <w:rsid w:val="00D97646"/>
    <w:rsid w:val="00DA07D6"/>
    <w:rsid w:val="00DA3167"/>
    <w:rsid w:val="00DA336B"/>
    <w:rsid w:val="00DA3C79"/>
    <w:rsid w:val="00DA3D3B"/>
    <w:rsid w:val="00DA4DC3"/>
    <w:rsid w:val="00DA4E1D"/>
    <w:rsid w:val="00DA5971"/>
    <w:rsid w:val="00DA60E8"/>
    <w:rsid w:val="00DA6D0A"/>
    <w:rsid w:val="00DA6FE5"/>
    <w:rsid w:val="00DA7276"/>
    <w:rsid w:val="00DA77A5"/>
    <w:rsid w:val="00DA7DA8"/>
    <w:rsid w:val="00DB0141"/>
    <w:rsid w:val="00DB0C13"/>
    <w:rsid w:val="00DB0D45"/>
    <w:rsid w:val="00DB0FE1"/>
    <w:rsid w:val="00DB2729"/>
    <w:rsid w:val="00DB314B"/>
    <w:rsid w:val="00DB3622"/>
    <w:rsid w:val="00DB391A"/>
    <w:rsid w:val="00DB3DBF"/>
    <w:rsid w:val="00DB484F"/>
    <w:rsid w:val="00DB7E50"/>
    <w:rsid w:val="00DC04F6"/>
    <w:rsid w:val="00DC0690"/>
    <w:rsid w:val="00DC12EE"/>
    <w:rsid w:val="00DC1D43"/>
    <w:rsid w:val="00DC1D65"/>
    <w:rsid w:val="00DC3C57"/>
    <w:rsid w:val="00DC5501"/>
    <w:rsid w:val="00DC6B11"/>
    <w:rsid w:val="00DC7154"/>
    <w:rsid w:val="00DC7411"/>
    <w:rsid w:val="00DC7E8A"/>
    <w:rsid w:val="00DD0F78"/>
    <w:rsid w:val="00DD1012"/>
    <w:rsid w:val="00DD13E8"/>
    <w:rsid w:val="00DD14C0"/>
    <w:rsid w:val="00DD198F"/>
    <w:rsid w:val="00DD273C"/>
    <w:rsid w:val="00DD3F28"/>
    <w:rsid w:val="00DD4537"/>
    <w:rsid w:val="00DD4E15"/>
    <w:rsid w:val="00DD517B"/>
    <w:rsid w:val="00DD54F2"/>
    <w:rsid w:val="00DD58D6"/>
    <w:rsid w:val="00DD5990"/>
    <w:rsid w:val="00DD5DA7"/>
    <w:rsid w:val="00DD7A52"/>
    <w:rsid w:val="00DD7A8A"/>
    <w:rsid w:val="00DE0806"/>
    <w:rsid w:val="00DE0A56"/>
    <w:rsid w:val="00DE0CB4"/>
    <w:rsid w:val="00DE0E56"/>
    <w:rsid w:val="00DE15E9"/>
    <w:rsid w:val="00DE1FF7"/>
    <w:rsid w:val="00DE2304"/>
    <w:rsid w:val="00DE2ADA"/>
    <w:rsid w:val="00DE3138"/>
    <w:rsid w:val="00DE349C"/>
    <w:rsid w:val="00DE37F8"/>
    <w:rsid w:val="00DE3982"/>
    <w:rsid w:val="00DE3BE3"/>
    <w:rsid w:val="00DE3ED6"/>
    <w:rsid w:val="00DE447B"/>
    <w:rsid w:val="00DE4A72"/>
    <w:rsid w:val="00DE4FCB"/>
    <w:rsid w:val="00DE517F"/>
    <w:rsid w:val="00DE5356"/>
    <w:rsid w:val="00DE5D07"/>
    <w:rsid w:val="00DE5E06"/>
    <w:rsid w:val="00DE5E0D"/>
    <w:rsid w:val="00DE60E5"/>
    <w:rsid w:val="00DE65CC"/>
    <w:rsid w:val="00DE65F3"/>
    <w:rsid w:val="00DE72A7"/>
    <w:rsid w:val="00DE7832"/>
    <w:rsid w:val="00DF18FC"/>
    <w:rsid w:val="00DF2821"/>
    <w:rsid w:val="00DF42FC"/>
    <w:rsid w:val="00DF4565"/>
    <w:rsid w:val="00DF478C"/>
    <w:rsid w:val="00DF4F64"/>
    <w:rsid w:val="00DF5D2B"/>
    <w:rsid w:val="00DF6868"/>
    <w:rsid w:val="00DF7CDC"/>
    <w:rsid w:val="00DF7E4E"/>
    <w:rsid w:val="00E00E8E"/>
    <w:rsid w:val="00E01BF5"/>
    <w:rsid w:val="00E01EB2"/>
    <w:rsid w:val="00E0420F"/>
    <w:rsid w:val="00E05630"/>
    <w:rsid w:val="00E057AA"/>
    <w:rsid w:val="00E06DBB"/>
    <w:rsid w:val="00E07609"/>
    <w:rsid w:val="00E0786B"/>
    <w:rsid w:val="00E10149"/>
    <w:rsid w:val="00E1026E"/>
    <w:rsid w:val="00E1081B"/>
    <w:rsid w:val="00E11340"/>
    <w:rsid w:val="00E116E2"/>
    <w:rsid w:val="00E122A1"/>
    <w:rsid w:val="00E12458"/>
    <w:rsid w:val="00E12E4F"/>
    <w:rsid w:val="00E137D9"/>
    <w:rsid w:val="00E14BAC"/>
    <w:rsid w:val="00E1542D"/>
    <w:rsid w:val="00E16372"/>
    <w:rsid w:val="00E16CAA"/>
    <w:rsid w:val="00E17418"/>
    <w:rsid w:val="00E2042B"/>
    <w:rsid w:val="00E20E4D"/>
    <w:rsid w:val="00E20EBE"/>
    <w:rsid w:val="00E20ED6"/>
    <w:rsid w:val="00E21358"/>
    <w:rsid w:val="00E2249B"/>
    <w:rsid w:val="00E22732"/>
    <w:rsid w:val="00E22A0D"/>
    <w:rsid w:val="00E23775"/>
    <w:rsid w:val="00E23DFE"/>
    <w:rsid w:val="00E244F6"/>
    <w:rsid w:val="00E2615C"/>
    <w:rsid w:val="00E2654C"/>
    <w:rsid w:val="00E2771E"/>
    <w:rsid w:val="00E30F1A"/>
    <w:rsid w:val="00E311EF"/>
    <w:rsid w:val="00E312EC"/>
    <w:rsid w:val="00E3161F"/>
    <w:rsid w:val="00E31B4F"/>
    <w:rsid w:val="00E32180"/>
    <w:rsid w:val="00E3239E"/>
    <w:rsid w:val="00E33358"/>
    <w:rsid w:val="00E33CD5"/>
    <w:rsid w:val="00E34948"/>
    <w:rsid w:val="00E34F79"/>
    <w:rsid w:val="00E364A5"/>
    <w:rsid w:val="00E36E6E"/>
    <w:rsid w:val="00E36ED9"/>
    <w:rsid w:val="00E374A3"/>
    <w:rsid w:val="00E37569"/>
    <w:rsid w:val="00E37D6C"/>
    <w:rsid w:val="00E401B2"/>
    <w:rsid w:val="00E40DDD"/>
    <w:rsid w:val="00E41E30"/>
    <w:rsid w:val="00E41E53"/>
    <w:rsid w:val="00E42F73"/>
    <w:rsid w:val="00E43B00"/>
    <w:rsid w:val="00E43D70"/>
    <w:rsid w:val="00E43EF2"/>
    <w:rsid w:val="00E447C8"/>
    <w:rsid w:val="00E453D8"/>
    <w:rsid w:val="00E45E14"/>
    <w:rsid w:val="00E463DF"/>
    <w:rsid w:val="00E466F3"/>
    <w:rsid w:val="00E4696C"/>
    <w:rsid w:val="00E46B1A"/>
    <w:rsid w:val="00E46CB7"/>
    <w:rsid w:val="00E473B5"/>
    <w:rsid w:val="00E47AE8"/>
    <w:rsid w:val="00E47B2C"/>
    <w:rsid w:val="00E51560"/>
    <w:rsid w:val="00E52222"/>
    <w:rsid w:val="00E5379E"/>
    <w:rsid w:val="00E53A8D"/>
    <w:rsid w:val="00E53B7F"/>
    <w:rsid w:val="00E53FC8"/>
    <w:rsid w:val="00E54347"/>
    <w:rsid w:val="00E55424"/>
    <w:rsid w:val="00E55865"/>
    <w:rsid w:val="00E55915"/>
    <w:rsid w:val="00E55BB5"/>
    <w:rsid w:val="00E55BBA"/>
    <w:rsid w:val="00E56393"/>
    <w:rsid w:val="00E573BA"/>
    <w:rsid w:val="00E60083"/>
    <w:rsid w:val="00E60115"/>
    <w:rsid w:val="00E608C2"/>
    <w:rsid w:val="00E60968"/>
    <w:rsid w:val="00E61AB5"/>
    <w:rsid w:val="00E62905"/>
    <w:rsid w:val="00E64D91"/>
    <w:rsid w:val="00E655A4"/>
    <w:rsid w:val="00E65E36"/>
    <w:rsid w:val="00E65E79"/>
    <w:rsid w:val="00E66584"/>
    <w:rsid w:val="00E66B0E"/>
    <w:rsid w:val="00E66BA2"/>
    <w:rsid w:val="00E66F8D"/>
    <w:rsid w:val="00E6720A"/>
    <w:rsid w:val="00E67416"/>
    <w:rsid w:val="00E676BE"/>
    <w:rsid w:val="00E70497"/>
    <w:rsid w:val="00E70D39"/>
    <w:rsid w:val="00E718B6"/>
    <w:rsid w:val="00E71F51"/>
    <w:rsid w:val="00E723BA"/>
    <w:rsid w:val="00E72CB5"/>
    <w:rsid w:val="00E73581"/>
    <w:rsid w:val="00E73677"/>
    <w:rsid w:val="00E73BC9"/>
    <w:rsid w:val="00E73E9E"/>
    <w:rsid w:val="00E74617"/>
    <w:rsid w:val="00E75163"/>
    <w:rsid w:val="00E76712"/>
    <w:rsid w:val="00E7677B"/>
    <w:rsid w:val="00E76EA5"/>
    <w:rsid w:val="00E819CB"/>
    <w:rsid w:val="00E819CF"/>
    <w:rsid w:val="00E81C1D"/>
    <w:rsid w:val="00E82D6D"/>
    <w:rsid w:val="00E8305F"/>
    <w:rsid w:val="00E833F7"/>
    <w:rsid w:val="00E83BDF"/>
    <w:rsid w:val="00E83D5E"/>
    <w:rsid w:val="00E8511D"/>
    <w:rsid w:val="00E85D3C"/>
    <w:rsid w:val="00E8677D"/>
    <w:rsid w:val="00E87A1D"/>
    <w:rsid w:val="00E87FD9"/>
    <w:rsid w:val="00E901B6"/>
    <w:rsid w:val="00E9094A"/>
    <w:rsid w:val="00E91D35"/>
    <w:rsid w:val="00E91F29"/>
    <w:rsid w:val="00E92052"/>
    <w:rsid w:val="00E926A5"/>
    <w:rsid w:val="00E92D24"/>
    <w:rsid w:val="00E92FAB"/>
    <w:rsid w:val="00E9428F"/>
    <w:rsid w:val="00E94559"/>
    <w:rsid w:val="00E94BEF"/>
    <w:rsid w:val="00E95BBB"/>
    <w:rsid w:val="00E96115"/>
    <w:rsid w:val="00E97452"/>
    <w:rsid w:val="00EA0A66"/>
    <w:rsid w:val="00EA0D44"/>
    <w:rsid w:val="00EA17C3"/>
    <w:rsid w:val="00EA2CAA"/>
    <w:rsid w:val="00EA3864"/>
    <w:rsid w:val="00EA59A3"/>
    <w:rsid w:val="00EA612E"/>
    <w:rsid w:val="00EA6A3D"/>
    <w:rsid w:val="00EA6ACF"/>
    <w:rsid w:val="00EA6C0D"/>
    <w:rsid w:val="00EA7C02"/>
    <w:rsid w:val="00EA7F1C"/>
    <w:rsid w:val="00EB01B8"/>
    <w:rsid w:val="00EB15B6"/>
    <w:rsid w:val="00EB1761"/>
    <w:rsid w:val="00EB216B"/>
    <w:rsid w:val="00EB21F0"/>
    <w:rsid w:val="00EB3172"/>
    <w:rsid w:val="00EB32D9"/>
    <w:rsid w:val="00EB33BF"/>
    <w:rsid w:val="00EB3D06"/>
    <w:rsid w:val="00EB41BA"/>
    <w:rsid w:val="00EB4383"/>
    <w:rsid w:val="00EB48D5"/>
    <w:rsid w:val="00EB4916"/>
    <w:rsid w:val="00EB5137"/>
    <w:rsid w:val="00EB5E9B"/>
    <w:rsid w:val="00EB5F82"/>
    <w:rsid w:val="00EB620A"/>
    <w:rsid w:val="00EB65BA"/>
    <w:rsid w:val="00EB7902"/>
    <w:rsid w:val="00EC00C9"/>
    <w:rsid w:val="00EC01DA"/>
    <w:rsid w:val="00EC0DD9"/>
    <w:rsid w:val="00EC0F78"/>
    <w:rsid w:val="00EC2549"/>
    <w:rsid w:val="00EC2649"/>
    <w:rsid w:val="00EC31ED"/>
    <w:rsid w:val="00EC358C"/>
    <w:rsid w:val="00EC38CC"/>
    <w:rsid w:val="00EC429F"/>
    <w:rsid w:val="00EC5836"/>
    <w:rsid w:val="00EC688C"/>
    <w:rsid w:val="00EC740A"/>
    <w:rsid w:val="00EC7650"/>
    <w:rsid w:val="00EC78BA"/>
    <w:rsid w:val="00ED0335"/>
    <w:rsid w:val="00ED0726"/>
    <w:rsid w:val="00ED08EA"/>
    <w:rsid w:val="00ED0B55"/>
    <w:rsid w:val="00ED0ED7"/>
    <w:rsid w:val="00ED1BB3"/>
    <w:rsid w:val="00ED2214"/>
    <w:rsid w:val="00ED245A"/>
    <w:rsid w:val="00ED25CB"/>
    <w:rsid w:val="00ED27FE"/>
    <w:rsid w:val="00ED4391"/>
    <w:rsid w:val="00ED442B"/>
    <w:rsid w:val="00ED4654"/>
    <w:rsid w:val="00ED552F"/>
    <w:rsid w:val="00ED55E2"/>
    <w:rsid w:val="00ED5796"/>
    <w:rsid w:val="00ED57EA"/>
    <w:rsid w:val="00ED5B36"/>
    <w:rsid w:val="00ED5BD4"/>
    <w:rsid w:val="00ED6241"/>
    <w:rsid w:val="00ED6CDF"/>
    <w:rsid w:val="00ED74F6"/>
    <w:rsid w:val="00ED7666"/>
    <w:rsid w:val="00EE07D3"/>
    <w:rsid w:val="00EE172C"/>
    <w:rsid w:val="00EE1996"/>
    <w:rsid w:val="00EE1B2C"/>
    <w:rsid w:val="00EE1B5B"/>
    <w:rsid w:val="00EE1C01"/>
    <w:rsid w:val="00EE1C22"/>
    <w:rsid w:val="00EE2031"/>
    <w:rsid w:val="00EE22AF"/>
    <w:rsid w:val="00EE35CF"/>
    <w:rsid w:val="00EE3A3A"/>
    <w:rsid w:val="00EE3BCF"/>
    <w:rsid w:val="00EE3CD7"/>
    <w:rsid w:val="00EE4DFB"/>
    <w:rsid w:val="00EE4F7D"/>
    <w:rsid w:val="00EE50F7"/>
    <w:rsid w:val="00EE6D5B"/>
    <w:rsid w:val="00EE7FAB"/>
    <w:rsid w:val="00EF0171"/>
    <w:rsid w:val="00EF04BD"/>
    <w:rsid w:val="00EF067F"/>
    <w:rsid w:val="00EF1B25"/>
    <w:rsid w:val="00EF1DA0"/>
    <w:rsid w:val="00EF3F26"/>
    <w:rsid w:val="00EF427A"/>
    <w:rsid w:val="00EF4747"/>
    <w:rsid w:val="00EF4BF8"/>
    <w:rsid w:val="00EF6356"/>
    <w:rsid w:val="00EF6AEA"/>
    <w:rsid w:val="00EF6EDE"/>
    <w:rsid w:val="00EF7937"/>
    <w:rsid w:val="00EF7BD9"/>
    <w:rsid w:val="00F003CE"/>
    <w:rsid w:val="00F008F6"/>
    <w:rsid w:val="00F01903"/>
    <w:rsid w:val="00F02253"/>
    <w:rsid w:val="00F02AD9"/>
    <w:rsid w:val="00F03568"/>
    <w:rsid w:val="00F03C2E"/>
    <w:rsid w:val="00F04A66"/>
    <w:rsid w:val="00F04A96"/>
    <w:rsid w:val="00F04B4B"/>
    <w:rsid w:val="00F04F0F"/>
    <w:rsid w:val="00F0516C"/>
    <w:rsid w:val="00F062E7"/>
    <w:rsid w:val="00F067A2"/>
    <w:rsid w:val="00F06E02"/>
    <w:rsid w:val="00F072B9"/>
    <w:rsid w:val="00F07951"/>
    <w:rsid w:val="00F07B9E"/>
    <w:rsid w:val="00F1054A"/>
    <w:rsid w:val="00F10F2C"/>
    <w:rsid w:val="00F1116F"/>
    <w:rsid w:val="00F1263A"/>
    <w:rsid w:val="00F128A9"/>
    <w:rsid w:val="00F12BBA"/>
    <w:rsid w:val="00F12E33"/>
    <w:rsid w:val="00F1308C"/>
    <w:rsid w:val="00F1329A"/>
    <w:rsid w:val="00F132B9"/>
    <w:rsid w:val="00F13824"/>
    <w:rsid w:val="00F14FFE"/>
    <w:rsid w:val="00F15208"/>
    <w:rsid w:val="00F15B77"/>
    <w:rsid w:val="00F164BC"/>
    <w:rsid w:val="00F16C66"/>
    <w:rsid w:val="00F175E7"/>
    <w:rsid w:val="00F206ED"/>
    <w:rsid w:val="00F22CE4"/>
    <w:rsid w:val="00F22F73"/>
    <w:rsid w:val="00F23772"/>
    <w:rsid w:val="00F239B4"/>
    <w:rsid w:val="00F24561"/>
    <w:rsid w:val="00F24837"/>
    <w:rsid w:val="00F249BE"/>
    <w:rsid w:val="00F24FB6"/>
    <w:rsid w:val="00F25154"/>
    <w:rsid w:val="00F2575F"/>
    <w:rsid w:val="00F25818"/>
    <w:rsid w:val="00F27565"/>
    <w:rsid w:val="00F310D4"/>
    <w:rsid w:val="00F31414"/>
    <w:rsid w:val="00F31A82"/>
    <w:rsid w:val="00F31D5A"/>
    <w:rsid w:val="00F31F75"/>
    <w:rsid w:val="00F32A09"/>
    <w:rsid w:val="00F32A47"/>
    <w:rsid w:val="00F3327D"/>
    <w:rsid w:val="00F3350E"/>
    <w:rsid w:val="00F33975"/>
    <w:rsid w:val="00F33DE9"/>
    <w:rsid w:val="00F345D7"/>
    <w:rsid w:val="00F34FF5"/>
    <w:rsid w:val="00F355ED"/>
    <w:rsid w:val="00F35B29"/>
    <w:rsid w:val="00F35DD0"/>
    <w:rsid w:val="00F35E6D"/>
    <w:rsid w:val="00F3619A"/>
    <w:rsid w:val="00F3655C"/>
    <w:rsid w:val="00F36A36"/>
    <w:rsid w:val="00F36E12"/>
    <w:rsid w:val="00F379E4"/>
    <w:rsid w:val="00F37D25"/>
    <w:rsid w:val="00F37FE7"/>
    <w:rsid w:val="00F40AAA"/>
    <w:rsid w:val="00F40BA7"/>
    <w:rsid w:val="00F40E8B"/>
    <w:rsid w:val="00F40F75"/>
    <w:rsid w:val="00F40F9D"/>
    <w:rsid w:val="00F41ACD"/>
    <w:rsid w:val="00F4234B"/>
    <w:rsid w:val="00F423CC"/>
    <w:rsid w:val="00F42AAE"/>
    <w:rsid w:val="00F4429C"/>
    <w:rsid w:val="00F45328"/>
    <w:rsid w:val="00F454CF"/>
    <w:rsid w:val="00F467E6"/>
    <w:rsid w:val="00F46CB6"/>
    <w:rsid w:val="00F4734C"/>
    <w:rsid w:val="00F4756D"/>
    <w:rsid w:val="00F47BD6"/>
    <w:rsid w:val="00F47DE8"/>
    <w:rsid w:val="00F533B2"/>
    <w:rsid w:val="00F53709"/>
    <w:rsid w:val="00F53826"/>
    <w:rsid w:val="00F53FDF"/>
    <w:rsid w:val="00F541D5"/>
    <w:rsid w:val="00F542C1"/>
    <w:rsid w:val="00F545B0"/>
    <w:rsid w:val="00F555E9"/>
    <w:rsid w:val="00F557FF"/>
    <w:rsid w:val="00F55C87"/>
    <w:rsid w:val="00F55E73"/>
    <w:rsid w:val="00F55EDA"/>
    <w:rsid w:val="00F56C80"/>
    <w:rsid w:val="00F5772A"/>
    <w:rsid w:val="00F60092"/>
    <w:rsid w:val="00F60260"/>
    <w:rsid w:val="00F607A7"/>
    <w:rsid w:val="00F61938"/>
    <w:rsid w:val="00F61C18"/>
    <w:rsid w:val="00F62444"/>
    <w:rsid w:val="00F63699"/>
    <w:rsid w:val="00F63A9E"/>
    <w:rsid w:val="00F65F4B"/>
    <w:rsid w:val="00F66AC9"/>
    <w:rsid w:val="00F67A69"/>
    <w:rsid w:val="00F709FA"/>
    <w:rsid w:val="00F70BFF"/>
    <w:rsid w:val="00F70C9D"/>
    <w:rsid w:val="00F717DC"/>
    <w:rsid w:val="00F71FA7"/>
    <w:rsid w:val="00F731C2"/>
    <w:rsid w:val="00F74CD9"/>
    <w:rsid w:val="00F7504C"/>
    <w:rsid w:val="00F762D0"/>
    <w:rsid w:val="00F77342"/>
    <w:rsid w:val="00F80A7B"/>
    <w:rsid w:val="00F80E5D"/>
    <w:rsid w:val="00F81995"/>
    <w:rsid w:val="00F81E78"/>
    <w:rsid w:val="00F82181"/>
    <w:rsid w:val="00F82FF9"/>
    <w:rsid w:val="00F851CE"/>
    <w:rsid w:val="00F8574E"/>
    <w:rsid w:val="00F8585D"/>
    <w:rsid w:val="00F8594E"/>
    <w:rsid w:val="00F85C55"/>
    <w:rsid w:val="00F85DC3"/>
    <w:rsid w:val="00F86E0C"/>
    <w:rsid w:val="00F870C0"/>
    <w:rsid w:val="00F87C30"/>
    <w:rsid w:val="00F907FB"/>
    <w:rsid w:val="00F91219"/>
    <w:rsid w:val="00F91ED0"/>
    <w:rsid w:val="00F92444"/>
    <w:rsid w:val="00F9393E"/>
    <w:rsid w:val="00F93B59"/>
    <w:rsid w:val="00F94268"/>
    <w:rsid w:val="00F94DF1"/>
    <w:rsid w:val="00F96066"/>
    <w:rsid w:val="00F96FD0"/>
    <w:rsid w:val="00F9763D"/>
    <w:rsid w:val="00F97A78"/>
    <w:rsid w:val="00F97D95"/>
    <w:rsid w:val="00F97E12"/>
    <w:rsid w:val="00FA0B20"/>
    <w:rsid w:val="00FA1754"/>
    <w:rsid w:val="00FA24E7"/>
    <w:rsid w:val="00FA3D41"/>
    <w:rsid w:val="00FA4A38"/>
    <w:rsid w:val="00FA542C"/>
    <w:rsid w:val="00FA59CD"/>
    <w:rsid w:val="00FA5EE6"/>
    <w:rsid w:val="00FA6438"/>
    <w:rsid w:val="00FA7956"/>
    <w:rsid w:val="00FB0D70"/>
    <w:rsid w:val="00FB2531"/>
    <w:rsid w:val="00FB2FCB"/>
    <w:rsid w:val="00FB339E"/>
    <w:rsid w:val="00FB5920"/>
    <w:rsid w:val="00FB5FC8"/>
    <w:rsid w:val="00FB6A83"/>
    <w:rsid w:val="00FB6B87"/>
    <w:rsid w:val="00FB6BAE"/>
    <w:rsid w:val="00FB7384"/>
    <w:rsid w:val="00FB7C55"/>
    <w:rsid w:val="00FC097E"/>
    <w:rsid w:val="00FC1074"/>
    <w:rsid w:val="00FC112B"/>
    <w:rsid w:val="00FC1884"/>
    <w:rsid w:val="00FC18EB"/>
    <w:rsid w:val="00FC18FA"/>
    <w:rsid w:val="00FC371D"/>
    <w:rsid w:val="00FC4482"/>
    <w:rsid w:val="00FC4C23"/>
    <w:rsid w:val="00FC5F0B"/>
    <w:rsid w:val="00FC6968"/>
    <w:rsid w:val="00FC6DEF"/>
    <w:rsid w:val="00FC76C8"/>
    <w:rsid w:val="00FC783C"/>
    <w:rsid w:val="00FD06E1"/>
    <w:rsid w:val="00FD0FC6"/>
    <w:rsid w:val="00FD1129"/>
    <w:rsid w:val="00FD2100"/>
    <w:rsid w:val="00FD27DA"/>
    <w:rsid w:val="00FD2A68"/>
    <w:rsid w:val="00FD3D01"/>
    <w:rsid w:val="00FD436C"/>
    <w:rsid w:val="00FD446D"/>
    <w:rsid w:val="00FD4F2C"/>
    <w:rsid w:val="00FD4FC1"/>
    <w:rsid w:val="00FD58C1"/>
    <w:rsid w:val="00FD6394"/>
    <w:rsid w:val="00FD6C50"/>
    <w:rsid w:val="00FE0032"/>
    <w:rsid w:val="00FE0874"/>
    <w:rsid w:val="00FE0E6C"/>
    <w:rsid w:val="00FE0F95"/>
    <w:rsid w:val="00FE1CDC"/>
    <w:rsid w:val="00FE2231"/>
    <w:rsid w:val="00FE2B40"/>
    <w:rsid w:val="00FE38AE"/>
    <w:rsid w:val="00FE42E7"/>
    <w:rsid w:val="00FE48EF"/>
    <w:rsid w:val="00FE5ED4"/>
    <w:rsid w:val="00FE64E9"/>
    <w:rsid w:val="00FE6EEE"/>
    <w:rsid w:val="00FE70C3"/>
    <w:rsid w:val="00FE7239"/>
    <w:rsid w:val="00FF09AB"/>
    <w:rsid w:val="00FF1E88"/>
    <w:rsid w:val="00FF2345"/>
    <w:rsid w:val="00FF2ACE"/>
    <w:rsid w:val="00FF2AD9"/>
    <w:rsid w:val="00FF2FF4"/>
    <w:rsid w:val="00FF31D8"/>
    <w:rsid w:val="00FF34D7"/>
    <w:rsid w:val="00FF359F"/>
    <w:rsid w:val="00FF3DCF"/>
    <w:rsid w:val="00FF414A"/>
    <w:rsid w:val="00FF4246"/>
    <w:rsid w:val="00FF492C"/>
    <w:rsid w:val="00FF4A21"/>
    <w:rsid w:val="00FF5AA3"/>
    <w:rsid w:val="00FF5AD8"/>
    <w:rsid w:val="00FF6CF0"/>
    <w:rsid w:val="00FF765A"/>
    <w:rsid w:val="00FF796D"/>
    <w:rsid w:val="00FF79E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C0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E0B"/>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Bullets Points,Styl moj,Akapit z listą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table" w:customStyle="1" w:styleId="TableGrid41">
    <w:name w:val="Table Grid41"/>
    <w:basedOn w:val="TableNormal"/>
    <w:next w:val="TableGrid"/>
    <w:uiPriority w:val="39"/>
    <w:rsid w:val="004414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44A9"/>
    <w:rPr>
      <w:color w:val="808080"/>
    </w:rPr>
  </w:style>
  <w:style w:type="paragraph" w:styleId="FootnoteText">
    <w:name w:val="footnote text"/>
    <w:aliases w:val="Footnote Text Char1,Footnote Text Char Char,Footnote Text Char2,Footnote Text Char Char1"/>
    <w:basedOn w:val="Normal"/>
    <w:link w:val="FootnoteTextChar"/>
    <w:uiPriority w:val="99"/>
    <w:unhideWhenUsed/>
    <w:rsid w:val="0080596E"/>
    <w:rPr>
      <w:sz w:val="20"/>
      <w:szCs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uiPriority w:val="99"/>
    <w:rsid w:val="0080596E"/>
    <w:rPr>
      <w:rFonts w:ascii="Calibri" w:hAnsi="Calibri" w:cs="Arial"/>
    </w:rPr>
  </w:style>
  <w:style w:type="character" w:styleId="FootnoteReference">
    <w:name w:val="footnote reference"/>
    <w:basedOn w:val="DefaultParagraphFont"/>
    <w:uiPriority w:val="99"/>
    <w:semiHidden/>
    <w:unhideWhenUsed/>
    <w:rsid w:val="0080596E"/>
    <w:rPr>
      <w:vertAlign w:val="superscript"/>
    </w:rPr>
  </w:style>
  <w:style w:type="paragraph" w:customStyle="1" w:styleId="Tablebold">
    <w:name w:val="Table bold"/>
    <w:basedOn w:val="Tabletext"/>
    <w:uiPriority w:val="99"/>
    <w:rsid w:val="00C5233A"/>
    <w:pPr>
      <w:keepNext/>
      <w:keepLines/>
      <w:spacing w:before="60" w:after="60"/>
    </w:pPr>
    <w:rPr>
      <w:rFonts w:ascii="Verdana" w:eastAsia="Calibri" w:hAnsi="Verdana"/>
      <w:b/>
      <w:snapToGrid/>
      <w:sz w:val="18"/>
      <w:szCs w:val="22"/>
      <w:lang w:eastAsia="en-US"/>
    </w:rPr>
  </w:style>
  <w:style w:type="table" w:customStyle="1" w:styleId="ASDTable3">
    <w:name w:val="ASD Table3"/>
    <w:basedOn w:val="TableNormal"/>
    <w:next w:val="TableGrid"/>
    <w:uiPriority w:val="39"/>
    <w:rsid w:val="00AD517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7">
    <w:name w:val="ASD Table7"/>
    <w:basedOn w:val="TableNormal"/>
    <w:next w:val="TableGrid"/>
    <w:uiPriority w:val="39"/>
    <w:rsid w:val="003511A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8">
    <w:name w:val="ASD Table8"/>
    <w:basedOn w:val="TableNormal"/>
    <w:next w:val="TableGrid"/>
    <w:uiPriority w:val="39"/>
    <w:rsid w:val="00F02A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32233"/>
    <w:pPr>
      <w:jc w:val="center"/>
    </w:pPr>
    <w:rPr>
      <w:rFonts w:cs="Calibri"/>
      <w:noProof/>
    </w:rPr>
  </w:style>
  <w:style w:type="character" w:customStyle="1" w:styleId="EndNoteBibliographyTitleChar">
    <w:name w:val="EndNote Bibliography Title Char"/>
    <w:basedOn w:val="DefaultParagraphFont"/>
    <w:link w:val="EndNoteBibliographyTitle"/>
    <w:rsid w:val="00232233"/>
    <w:rPr>
      <w:rFonts w:ascii="Calibri" w:hAnsi="Calibri" w:cs="Calibri"/>
      <w:noProof/>
      <w:sz w:val="24"/>
      <w:szCs w:val="24"/>
    </w:rPr>
  </w:style>
  <w:style w:type="paragraph" w:customStyle="1" w:styleId="EndNoteBibliography">
    <w:name w:val="EndNote Bibliography"/>
    <w:basedOn w:val="Normal"/>
    <w:link w:val="EndNoteBibliographyChar"/>
    <w:rsid w:val="00232233"/>
    <w:rPr>
      <w:rFonts w:cs="Calibri"/>
      <w:noProof/>
    </w:rPr>
  </w:style>
  <w:style w:type="character" w:customStyle="1" w:styleId="EndNoteBibliographyChar">
    <w:name w:val="EndNote Bibliography Char"/>
    <w:basedOn w:val="DefaultParagraphFont"/>
    <w:link w:val="EndNoteBibliography"/>
    <w:rsid w:val="00232233"/>
    <w:rPr>
      <w:rFonts w:ascii="Calibri" w:hAnsi="Calibri" w:cs="Calibri"/>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106707082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43"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meetinglibrary.asco.org/record/184688/abstract" TargetMode="External"/><Relationship Id="rId2" Type="http://schemas.openxmlformats.org/officeDocument/2006/relationships/hyperlink" Target="http://www.eviq.org.au" TargetMode="External"/><Relationship Id="rId1" Type="http://schemas.openxmlformats.org/officeDocument/2006/relationships/hyperlink" Target="https://www.ncc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13211-C5FB-4F52-BDCE-6FA519C8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15116</Words>
  <Characters>90849</Characters>
  <Application>Microsoft Office Word</Application>
  <DocSecurity>0</DocSecurity>
  <Lines>757</Lines>
  <Paragraphs>211</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6.07	NIVOLUMAB PLUS IPILIMUMAB, </vt:lpstr>
      <vt:lpstr>Nivolumab:</vt:lpstr>
      <vt:lpstr>Injection concentrate for I.V. infusion 40 mg in 4 mL, Injection concentrate for</vt:lpstr>
      <vt:lpstr>Ipilimumab:</vt:lpstr>
      <vt:lpstr>Injection concentrate for I.V. infusion 50 mg in 10 mL  Yervoy®</vt:lpstr>
      <vt:lpstr>Bristol-Myers Squibb Australia Pty Ltd</vt:lpstr>
      <vt:lpstr>1 	Purpose of submission</vt:lpstr>
      <vt:lpstr>Background</vt:lpstr>
      <vt:lpstr>    Registration status</vt:lpstr>
      <vt:lpstr>Requested listing</vt:lpstr>
      <vt:lpstr>Population and disease</vt:lpstr>
      <vt:lpstr>Comparator</vt:lpstr>
      <vt:lpstr>Consideration of the evidence</vt:lpstr>
      <vt:lpstr>    Sponsor hearing</vt:lpstr>
      <vt:lpstr>    Consumer comments</vt:lpstr>
      <vt:lpstr>    Clinical trials</vt:lpstr>
      <vt:lpstr>    Comparative effectiveness</vt:lpstr>
      <vt:lpstr>    Comparative harms</vt:lpstr>
      <vt:lpstr>    Benefits/harms</vt:lpstr>
      <vt:lpstr>    Clinical claim</vt:lpstr>
      <vt:lpstr>    Economic analysis </vt:lpstr>
      <vt:lpstr>    Drug cost/patient/course</vt:lpstr>
      <vt:lpstr>    Estimated PBS usage &amp; financial implications</vt:lpstr>
      <vt:lpstr>    Financial Management – Risk Sharing Arrangements</vt:lpstr>
      <vt:lpstr>PBAC Outcome</vt:lpstr>
      <vt:lpstr>Recommended listing</vt:lpstr>
    </vt:vector>
  </TitlesOfParts>
  <Company/>
  <LinksUpToDate>false</LinksUpToDate>
  <CharactersWithSpaces>105754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2021-03-05T00:58:00Z</dcterms:created>
  <dcterms:modified xsi:type="dcterms:W3CDTF">2021-03-05T01:00:00Z</dcterms:modified>
</cp:coreProperties>
</file>