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24F" w:rsidRPr="00FA739A" w:rsidRDefault="0053124F" w:rsidP="0053124F">
      <w:pPr>
        <w:pStyle w:val="1MainTitle"/>
        <w:jc w:val="left"/>
        <w:rPr>
          <w:rFonts w:eastAsia="Calibri"/>
          <w:lang w:eastAsia="en-US"/>
        </w:rPr>
      </w:pPr>
      <w:r w:rsidRPr="00FA739A">
        <w:rPr>
          <w:rFonts w:eastAsia="Calibri"/>
          <w:lang w:eastAsia="en-US"/>
        </w:rPr>
        <w:t>7.13</w:t>
      </w:r>
      <w:r w:rsidR="00BF27A0" w:rsidRPr="00FA739A">
        <w:rPr>
          <w:rFonts w:eastAsia="Calibri"/>
          <w:lang w:eastAsia="en-US"/>
        </w:rPr>
        <w:tab/>
      </w:r>
      <w:r w:rsidRPr="00FA739A">
        <w:rPr>
          <w:rFonts w:eastAsia="Calibri"/>
          <w:lang w:eastAsia="en-US"/>
        </w:rPr>
        <w:t>RIBOCICLIB</w:t>
      </w:r>
      <w:r w:rsidR="00BF27A0" w:rsidRPr="00FA739A">
        <w:rPr>
          <w:rFonts w:eastAsia="Calibri"/>
          <w:lang w:eastAsia="en-US"/>
        </w:rPr>
        <w:t>,</w:t>
      </w:r>
      <w:r w:rsidR="00F82E5C" w:rsidRPr="00FA739A">
        <w:rPr>
          <w:rFonts w:eastAsia="Calibri"/>
          <w:lang w:eastAsia="en-US"/>
        </w:rPr>
        <w:t xml:space="preserve"> </w:t>
      </w:r>
      <w:r w:rsidR="005E0D82" w:rsidRPr="00FA739A">
        <w:rPr>
          <w:rFonts w:eastAsia="Calibri"/>
          <w:lang w:eastAsia="en-US"/>
        </w:rPr>
        <w:br/>
      </w:r>
      <w:r w:rsidRPr="00FA739A">
        <w:rPr>
          <w:rFonts w:eastAsia="Calibri"/>
          <w:lang w:eastAsia="en-US"/>
        </w:rPr>
        <w:t>200 mg tablet, 21</w:t>
      </w:r>
      <w:r w:rsidR="0018173A" w:rsidRPr="00FA739A">
        <w:rPr>
          <w:rFonts w:eastAsia="Calibri"/>
          <w:lang w:eastAsia="en-US"/>
        </w:rPr>
        <w:t>, 42, 63</w:t>
      </w:r>
    </w:p>
    <w:p w:rsidR="00BF27A0" w:rsidRPr="00FA739A" w:rsidRDefault="0053124F" w:rsidP="007D6B49">
      <w:pPr>
        <w:pStyle w:val="1MainTitle"/>
        <w:ind w:firstLine="0"/>
        <w:jc w:val="left"/>
        <w:outlineLvl w:val="9"/>
        <w:rPr>
          <w:rFonts w:eastAsia="Calibri"/>
          <w:lang w:eastAsia="en-US"/>
        </w:rPr>
      </w:pPr>
      <w:r w:rsidRPr="00FA739A">
        <w:rPr>
          <w:rFonts w:eastAsia="Calibri"/>
          <w:lang w:eastAsia="en-US"/>
        </w:rPr>
        <w:t>Kisqali</w:t>
      </w:r>
      <w:r w:rsidR="00B04829" w:rsidRPr="00FA739A">
        <w:rPr>
          <w:rFonts w:eastAsia="Calibri"/>
          <w:lang w:eastAsia="en-US"/>
        </w:rPr>
        <w:t xml:space="preserve">, </w:t>
      </w:r>
      <w:r w:rsidR="005E0D82" w:rsidRPr="00FA739A">
        <w:rPr>
          <w:rFonts w:eastAsia="Calibri"/>
          <w:lang w:eastAsia="en-US"/>
        </w:rPr>
        <w:br/>
      </w:r>
      <w:r w:rsidRPr="00FA739A">
        <w:rPr>
          <w:rFonts w:eastAsia="Calibri"/>
          <w:lang w:eastAsia="en-US"/>
        </w:rPr>
        <w:t>Novartis Pharmaceuticals Australia Pty Ltd</w:t>
      </w:r>
      <w:r w:rsidR="00BF27A0" w:rsidRPr="00FA739A">
        <w:rPr>
          <w:rFonts w:eastAsia="Calibri"/>
          <w:lang w:eastAsia="en-US"/>
        </w:rPr>
        <w:t xml:space="preserve"> </w:t>
      </w:r>
    </w:p>
    <w:p w:rsidR="008A50F1" w:rsidRPr="00FA739A" w:rsidRDefault="00CE10C4" w:rsidP="008F0213">
      <w:pPr>
        <w:pStyle w:val="2-SectionHeading"/>
      </w:pPr>
      <w:r w:rsidRPr="00FA739A">
        <w:t xml:space="preserve">Purpose of </w:t>
      </w:r>
      <w:r w:rsidR="0004240E" w:rsidRPr="00FA739A">
        <w:t>Application</w:t>
      </w:r>
      <w:r w:rsidR="00034905" w:rsidRPr="00FA739A">
        <w:t xml:space="preserve"> </w:t>
      </w:r>
    </w:p>
    <w:p w:rsidR="005B7D88" w:rsidRPr="00466DBE" w:rsidRDefault="001B720C" w:rsidP="00090640">
      <w:pPr>
        <w:widowControl w:val="0"/>
        <w:numPr>
          <w:ilvl w:val="1"/>
          <w:numId w:val="1"/>
        </w:numPr>
        <w:spacing w:after="120"/>
        <w:rPr>
          <w:rFonts w:asciiTheme="minorHAnsi" w:hAnsiTheme="minorHAnsi"/>
          <w:bCs/>
          <w:snapToGrid w:val="0"/>
        </w:rPr>
      </w:pPr>
      <w:r w:rsidRPr="00FA739A">
        <w:t xml:space="preserve">At its July 2020 meeting the PBAC considered a major submission seeking a Section 85 Authority Required PBS listing for ribociclib (200 mg tablets) to be used in combination with fulvestrant (250mg/5mL injection) for </w:t>
      </w:r>
      <w:r w:rsidR="000E025D" w:rsidRPr="00FA739A">
        <w:t xml:space="preserve">the </w:t>
      </w:r>
      <w:r w:rsidRPr="00FA739A">
        <w:t xml:space="preserve">treatment of patients with </w:t>
      </w:r>
      <w:r w:rsidR="000E025D" w:rsidRPr="00FA739A">
        <w:t xml:space="preserve">hormone receptor positive (HR+), human epidermal growth factor receptor-2 negative (HER2-) </w:t>
      </w:r>
      <w:r w:rsidRPr="00FA739A">
        <w:t xml:space="preserve">advanced or metastatic breast cancer. The PBAC deferred </w:t>
      </w:r>
      <w:r w:rsidR="005A555D" w:rsidRPr="00FA739A">
        <w:t xml:space="preserve">making a </w:t>
      </w:r>
      <w:r w:rsidRPr="00FA739A">
        <w:t xml:space="preserve">recommendation at the July 2020 meeting. The </w:t>
      </w:r>
      <w:r w:rsidR="00EF44A0" w:rsidRPr="00FA739A">
        <w:t>mi</w:t>
      </w:r>
      <w:r w:rsidR="00FF2801" w:rsidRPr="00FA739A">
        <w:t xml:space="preserve">nor </w:t>
      </w:r>
      <w:r w:rsidR="001301DB" w:rsidRPr="00FA739A">
        <w:t>re</w:t>
      </w:r>
      <w:r w:rsidR="00FF2801" w:rsidRPr="00FA739A">
        <w:t>submission sought to</w:t>
      </w:r>
      <w:r w:rsidR="005B7D88" w:rsidRPr="00FA739A">
        <w:t xml:space="preserve"> amend the </w:t>
      </w:r>
      <w:r w:rsidR="007C491F" w:rsidRPr="00FA739A">
        <w:t>economic model and resolve the</w:t>
      </w:r>
      <w:r w:rsidR="005B7D88" w:rsidRPr="00FA739A">
        <w:t xml:space="preserve"> outstanding matters</w:t>
      </w:r>
      <w:r w:rsidR="007C491F" w:rsidRPr="00FA739A">
        <w:t xml:space="preserve"> as requested by the PBAC</w:t>
      </w:r>
      <w:r w:rsidR="00AD5F30" w:rsidRPr="00FA739A">
        <w:t xml:space="preserve"> including a reduced weighted price and reduced financial estimates</w:t>
      </w:r>
      <w:r w:rsidR="005B7D88" w:rsidRPr="00FA739A">
        <w:t xml:space="preserve">. </w:t>
      </w:r>
    </w:p>
    <w:p w:rsidR="006F0A71" w:rsidRPr="00466DBE" w:rsidRDefault="00C5151E" w:rsidP="00090640">
      <w:pPr>
        <w:widowControl w:val="0"/>
        <w:numPr>
          <w:ilvl w:val="1"/>
          <w:numId w:val="1"/>
        </w:numPr>
        <w:spacing w:after="120"/>
        <w:rPr>
          <w:rFonts w:asciiTheme="minorHAnsi" w:hAnsiTheme="minorHAnsi"/>
          <w:bCs/>
          <w:snapToGrid w:val="0"/>
        </w:rPr>
      </w:pPr>
      <w:r w:rsidRPr="00FA739A">
        <w:rPr>
          <w:rFonts w:asciiTheme="minorHAnsi" w:hAnsiTheme="minorHAnsi" w:cs="Arial"/>
          <w:snapToGrid w:val="0"/>
        </w:rPr>
        <w:t>Listing w</w:t>
      </w:r>
      <w:r w:rsidR="005B7D88" w:rsidRPr="00FA739A">
        <w:rPr>
          <w:rFonts w:asciiTheme="minorHAnsi" w:hAnsiTheme="minorHAnsi" w:cs="Arial"/>
          <w:snapToGrid w:val="0"/>
        </w:rPr>
        <w:t xml:space="preserve">as requested on the basis of a </w:t>
      </w:r>
      <w:r w:rsidRPr="00FA739A">
        <w:rPr>
          <w:rFonts w:asciiTheme="minorHAnsi" w:hAnsiTheme="minorHAnsi" w:cs="Arial"/>
          <w:snapToGrid w:val="0"/>
        </w:rPr>
        <w:t>cost-minimisation</w:t>
      </w:r>
      <w:r w:rsidR="008A2C19" w:rsidRPr="00FA739A">
        <w:rPr>
          <w:rFonts w:asciiTheme="minorHAnsi" w:hAnsiTheme="minorHAnsi" w:cs="Arial"/>
          <w:snapToGrid w:val="0"/>
        </w:rPr>
        <w:t xml:space="preserve"> analysis versus ribociclib plus non-steroidal aromatase inhibitors (RIBO+NSAI) in first</w:t>
      </w:r>
      <w:r w:rsidR="000E025D" w:rsidRPr="00FA739A">
        <w:rPr>
          <w:rFonts w:asciiTheme="minorHAnsi" w:hAnsiTheme="minorHAnsi" w:cs="Arial"/>
          <w:snapToGrid w:val="0"/>
        </w:rPr>
        <w:t>-</w:t>
      </w:r>
      <w:r w:rsidR="008A2C19" w:rsidRPr="00FA739A">
        <w:rPr>
          <w:rFonts w:asciiTheme="minorHAnsi" w:hAnsiTheme="minorHAnsi" w:cs="Arial"/>
          <w:snapToGrid w:val="0"/>
        </w:rPr>
        <w:t>line treatment and a c</w:t>
      </w:r>
      <w:r w:rsidRPr="00FA739A">
        <w:rPr>
          <w:rFonts w:asciiTheme="minorHAnsi" w:hAnsiTheme="minorHAnsi" w:cs="Arial"/>
          <w:snapToGrid w:val="0"/>
        </w:rPr>
        <w:t xml:space="preserve">ost-effectiveness analysis versus </w:t>
      </w:r>
      <w:r w:rsidR="008A2C19" w:rsidRPr="00FA739A">
        <w:t>everolimus plus exemestane (EVE+EXE) in subsequent</w:t>
      </w:r>
      <w:r w:rsidR="000E025D" w:rsidRPr="00FA739A">
        <w:t>-</w:t>
      </w:r>
      <w:r w:rsidR="008A2C19" w:rsidRPr="00FA739A">
        <w:t>line treatment</w:t>
      </w:r>
      <w:r w:rsidRPr="00FA739A">
        <w:rPr>
          <w:rFonts w:asciiTheme="minorHAnsi" w:hAnsiTheme="minorHAnsi" w:cs="Arial"/>
          <w:snapToGrid w:val="0"/>
        </w:rPr>
        <w:t xml:space="preserve">. </w:t>
      </w:r>
    </w:p>
    <w:p w:rsidR="008A2C19" w:rsidRPr="00FA739A" w:rsidRDefault="00B77707" w:rsidP="00550CE2">
      <w:pPr>
        <w:pStyle w:val="Tabletitles"/>
        <w:keepNext/>
        <w:keepLines/>
        <w:rPr>
          <w:rFonts w:eastAsiaTheme="majorEastAsia"/>
        </w:rPr>
      </w:pPr>
      <w:r w:rsidRPr="00FA739A">
        <w:rPr>
          <w:rFonts w:eastAsiaTheme="majorEastAsia"/>
        </w:rPr>
        <w:lastRenderedPageBreak/>
        <w:t xml:space="preserve">Table </w:t>
      </w:r>
      <w:r w:rsidR="008F28E9" w:rsidRPr="00466DBE">
        <w:rPr>
          <w:rFonts w:eastAsiaTheme="majorEastAsia"/>
        </w:rPr>
        <w:t>1</w:t>
      </w:r>
      <w:r w:rsidR="008A2C19" w:rsidRPr="00FA739A">
        <w:rPr>
          <w:rFonts w:eastAsiaTheme="majorEastAsia"/>
        </w:rPr>
        <w:t>: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414"/>
        <w:gridCol w:w="7602"/>
      </w:tblGrid>
      <w:tr w:rsidR="008A2C19" w:rsidRPr="00FA739A" w:rsidTr="008A2C19">
        <w:trPr>
          <w:cantSplit/>
          <w:tblHeader/>
        </w:trPr>
        <w:tc>
          <w:tcPr>
            <w:tcW w:w="784" w:type="pct"/>
            <w:shd w:val="clear" w:color="auto" w:fill="auto"/>
          </w:tcPr>
          <w:p w:rsidR="008A2C19" w:rsidRPr="00466DBE" w:rsidRDefault="008A2C19" w:rsidP="00550CE2">
            <w:pPr>
              <w:pStyle w:val="In-tableHeading"/>
              <w:keepLines/>
              <w:rPr>
                <w:szCs w:val="20"/>
                <w:lang w:val="en-AU"/>
              </w:rPr>
            </w:pPr>
            <w:r w:rsidRPr="00466DBE">
              <w:rPr>
                <w:lang w:val="en-AU"/>
              </w:rPr>
              <w:t>Component</w:t>
            </w:r>
          </w:p>
        </w:tc>
        <w:tc>
          <w:tcPr>
            <w:tcW w:w="4216" w:type="pct"/>
            <w:shd w:val="clear" w:color="auto" w:fill="auto"/>
          </w:tcPr>
          <w:p w:rsidR="008A2C19" w:rsidRPr="00466DBE" w:rsidRDefault="008A2C19" w:rsidP="00550CE2">
            <w:pPr>
              <w:pStyle w:val="In-tableHeading"/>
              <w:keepLines/>
              <w:rPr>
                <w:lang w:val="en-AU"/>
              </w:rPr>
            </w:pPr>
            <w:r w:rsidRPr="00466DBE">
              <w:rPr>
                <w:lang w:val="en-AU"/>
              </w:rPr>
              <w:t>Description</w:t>
            </w:r>
          </w:p>
        </w:tc>
      </w:tr>
      <w:tr w:rsidR="008A2C19" w:rsidRPr="00FA739A" w:rsidTr="008A2C19">
        <w:trPr>
          <w:cantSplit/>
        </w:trPr>
        <w:tc>
          <w:tcPr>
            <w:tcW w:w="784" w:type="pct"/>
            <w:shd w:val="clear" w:color="auto" w:fill="auto"/>
          </w:tcPr>
          <w:p w:rsidR="008A2C19" w:rsidRPr="00FA739A" w:rsidRDefault="008A2C19" w:rsidP="00550CE2">
            <w:pPr>
              <w:pStyle w:val="TableText0"/>
              <w:keepLines/>
            </w:pPr>
            <w:r w:rsidRPr="00FA739A">
              <w:t>Population</w:t>
            </w:r>
          </w:p>
        </w:tc>
        <w:tc>
          <w:tcPr>
            <w:tcW w:w="4216" w:type="pct"/>
            <w:tcBorders>
              <w:top w:val="single" w:sz="4" w:space="0" w:color="auto"/>
              <w:left w:val="single" w:sz="4" w:space="0" w:color="auto"/>
              <w:bottom w:val="single" w:sz="4" w:space="0" w:color="auto"/>
              <w:right w:val="single" w:sz="4" w:space="0" w:color="auto"/>
            </w:tcBorders>
          </w:tcPr>
          <w:p w:rsidR="008A2C19" w:rsidRPr="00FA739A" w:rsidRDefault="008A2C19" w:rsidP="00550CE2">
            <w:pPr>
              <w:pStyle w:val="TableText0"/>
              <w:keepLines/>
              <w:rPr>
                <w:szCs w:val="20"/>
              </w:rPr>
            </w:pPr>
            <w:r w:rsidRPr="00FA739A">
              <w:rPr>
                <w:iCs/>
                <w:szCs w:val="20"/>
              </w:rPr>
              <w:t>Non-pre</w:t>
            </w:r>
            <w:r w:rsidRPr="00FA739A">
              <w:rPr>
                <w:szCs w:val="20"/>
              </w:rPr>
              <w:t>menopausal patients with HR+/HER2– locally advanced or metastatic breast cancer.</w:t>
            </w:r>
          </w:p>
        </w:tc>
      </w:tr>
      <w:tr w:rsidR="008A2C19" w:rsidRPr="00FA739A" w:rsidTr="008A2C19">
        <w:trPr>
          <w:cantSplit/>
        </w:trPr>
        <w:tc>
          <w:tcPr>
            <w:tcW w:w="784" w:type="pct"/>
            <w:shd w:val="clear" w:color="auto" w:fill="auto"/>
          </w:tcPr>
          <w:p w:rsidR="008A2C19" w:rsidRPr="00FA739A" w:rsidRDefault="008A2C19" w:rsidP="00550CE2">
            <w:pPr>
              <w:pStyle w:val="TableText0"/>
              <w:keepLines/>
            </w:pPr>
            <w:r w:rsidRPr="00FA739A">
              <w:t>Intervention</w:t>
            </w:r>
          </w:p>
        </w:tc>
        <w:tc>
          <w:tcPr>
            <w:tcW w:w="4216" w:type="pct"/>
            <w:tcBorders>
              <w:top w:val="single" w:sz="4" w:space="0" w:color="auto"/>
              <w:left w:val="single" w:sz="4" w:space="0" w:color="auto"/>
              <w:bottom w:val="single" w:sz="4" w:space="0" w:color="auto"/>
              <w:right w:val="single" w:sz="4" w:space="0" w:color="auto"/>
            </w:tcBorders>
          </w:tcPr>
          <w:p w:rsidR="008A2C19" w:rsidRPr="00FA739A" w:rsidRDefault="008A2C19" w:rsidP="00550CE2">
            <w:pPr>
              <w:pStyle w:val="TableText0"/>
              <w:keepLines/>
            </w:pPr>
            <w:r w:rsidRPr="00FA739A">
              <w:t>RIBO (600 mg po on days 1-21 of a 28-day cycle) + FULV (500 mg IM on day 1 and day 15 of a 28-day cycle, and day 1 every 28 days thereafter).</w:t>
            </w:r>
          </w:p>
        </w:tc>
      </w:tr>
      <w:tr w:rsidR="008A2C19" w:rsidRPr="00FA739A" w:rsidTr="008A2C19">
        <w:trPr>
          <w:cantSplit/>
        </w:trPr>
        <w:tc>
          <w:tcPr>
            <w:tcW w:w="784" w:type="pct"/>
            <w:shd w:val="clear" w:color="auto" w:fill="auto"/>
          </w:tcPr>
          <w:p w:rsidR="008A2C19" w:rsidRPr="00FA739A" w:rsidRDefault="008A2C19" w:rsidP="00550CE2">
            <w:pPr>
              <w:pStyle w:val="TableText0"/>
              <w:keepLines/>
            </w:pPr>
            <w:r w:rsidRPr="00FA739A">
              <w:t>Comparators</w:t>
            </w:r>
          </w:p>
        </w:tc>
        <w:tc>
          <w:tcPr>
            <w:tcW w:w="4216" w:type="pct"/>
            <w:tcBorders>
              <w:top w:val="single" w:sz="4" w:space="0" w:color="auto"/>
              <w:left w:val="single" w:sz="4" w:space="0" w:color="auto"/>
              <w:bottom w:val="single" w:sz="4" w:space="0" w:color="auto"/>
              <w:right w:val="single" w:sz="4" w:space="0" w:color="auto"/>
            </w:tcBorders>
          </w:tcPr>
          <w:p w:rsidR="008A2C19" w:rsidRPr="00FA739A" w:rsidRDefault="008A2C19" w:rsidP="00550CE2">
            <w:pPr>
              <w:pStyle w:val="TableText0"/>
              <w:keepLines/>
            </w:pPr>
            <w:r w:rsidRPr="00FA739A">
              <w:t>First-line (endocrine-sensitive and endocrine-resistant) setting – RIBO (600 mg po on days 1-21 of a 28-day cycle) + NSAI (LET 2.5 mg po daily or ANA 1 mg po daily).</w:t>
            </w:r>
          </w:p>
          <w:p w:rsidR="008A2C19" w:rsidRPr="00FA739A" w:rsidRDefault="008A2C19" w:rsidP="00550CE2">
            <w:pPr>
              <w:pStyle w:val="TableText0"/>
              <w:keepLines/>
            </w:pPr>
            <w:r w:rsidRPr="00FA739A">
              <w:t>Second-line setting – EVE (10 mg po daily) + EXE (25 mg po daily).</w:t>
            </w:r>
          </w:p>
        </w:tc>
      </w:tr>
      <w:tr w:rsidR="008A2C19" w:rsidRPr="00FA739A" w:rsidTr="008A2C19">
        <w:trPr>
          <w:cantSplit/>
        </w:trPr>
        <w:tc>
          <w:tcPr>
            <w:tcW w:w="784" w:type="pct"/>
            <w:shd w:val="clear" w:color="auto" w:fill="auto"/>
          </w:tcPr>
          <w:p w:rsidR="008A2C19" w:rsidRPr="00FA739A" w:rsidRDefault="008A2C19" w:rsidP="00550CE2">
            <w:pPr>
              <w:pStyle w:val="TableText0"/>
              <w:keepLines/>
            </w:pPr>
            <w:r w:rsidRPr="00FA739A">
              <w:t>Outcomes</w:t>
            </w:r>
          </w:p>
        </w:tc>
        <w:tc>
          <w:tcPr>
            <w:tcW w:w="4216" w:type="pct"/>
            <w:tcBorders>
              <w:top w:val="single" w:sz="4" w:space="0" w:color="auto"/>
              <w:left w:val="single" w:sz="4" w:space="0" w:color="auto"/>
              <w:bottom w:val="single" w:sz="4" w:space="0" w:color="auto"/>
              <w:right w:val="single" w:sz="4" w:space="0" w:color="auto"/>
            </w:tcBorders>
          </w:tcPr>
          <w:p w:rsidR="008A2C19" w:rsidRPr="00FA739A" w:rsidRDefault="008A2C19" w:rsidP="00550CE2">
            <w:pPr>
              <w:pStyle w:val="TableText0"/>
              <w:keepLines/>
            </w:pPr>
            <w:r w:rsidRPr="00FA739A">
              <w:t xml:space="preserve">Progression free survival (PFS) </w:t>
            </w:r>
          </w:p>
          <w:p w:rsidR="008A2C19" w:rsidRPr="00FA739A" w:rsidRDefault="008A2C19" w:rsidP="00550CE2">
            <w:pPr>
              <w:pStyle w:val="TableText0"/>
              <w:keepLines/>
            </w:pPr>
            <w:r w:rsidRPr="00FA739A">
              <w:t xml:space="preserve">Overall survival (OS) </w:t>
            </w:r>
          </w:p>
          <w:p w:rsidR="008A2C19" w:rsidRPr="00FA739A" w:rsidRDefault="008A2C19" w:rsidP="00550CE2">
            <w:pPr>
              <w:pStyle w:val="TableText0"/>
              <w:keepLines/>
            </w:pPr>
            <w:r w:rsidRPr="00FA739A">
              <w:t>Overall Response Rate (ORR)</w:t>
            </w:r>
          </w:p>
          <w:p w:rsidR="008A2C19" w:rsidRPr="00FA739A" w:rsidRDefault="008A2C19" w:rsidP="00550CE2">
            <w:pPr>
              <w:pStyle w:val="TableText0"/>
              <w:keepLines/>
            </w:pPr>
            <w:r w:rsidRPr="00FA739A">
              <w:t xml:space="preserve">Health related quality of life (HRQoL) </w:t>
            </w:r>
          </w:p>
          <w:p w:rsidR="008A2C19" w:rsidRPr="00FA739A" w:rsidRDefault="008A2C19" w:rsidP="00550CE2">
            <w:pPr>
              <w:pStyle w:val="TableText0"/>
              <w:keepLines/>
              <w:rPr>
                <w:rFonts w:eastAsia="Times New Roman" w:cs="Arial"/>
                <w:bCs w:val="0"/>
                <w:snapToGrid w:val="0"/>
                <w:color w:val="0066FF"/>
                <w:szCs w:val="20"/>
              </w:rPr>
            </w:pPr>
            <w:r w:rsidRPr="00FA739A">
              <w:t>Adverse events (AE)</w:t>
            </w:r>
          </w:p>
        </w:tc>
      </w:tr>
      <w:tr w:rsidR="008A2C19" w:rsidRPr="00FA739A" w:rsidTr="008A2C19">
        <w:trPr>
          <w:cantSplit/>
        </w:trPr>
        <w:tc>
          <w:tcPr>
            <w:tcW w:w="784" w:type="pct"/>
            <w:shd w:val="clear" w:color="auto" w:fill="auto"/>
          </w:tcPr>
          <w:p w:rsidR="008A2C19" w:rsidRPr="00FA739A" w:rsidRDefault="008A2C19" w:rsidP="00550CE2">
            <w:pPr>
              <w:pStyle w:val="TableText0"/>
              <w:keepLines/>
            </w:pPr>
            <w:r w:rsidRPr="00FA739A">
              <w:t>Clinical claim</w:t>
            </w:r>
          </w:p>
        </w:tc>
        <w:tc>
          <w:tcPr>
            <w:tcW w:w="4216" w:type="pct"/>
            <w:tcBorders>
              <w:top w:val="single" w:sz="4" w:space="0" w:color="auto"/>
              <w:left w:val="single" w:sz="4" w:space="0" w:color="auto"/>
              <w:bottom w:val="single" w:sz="4" w:space="0" w:color="auto"/>
              <w:right w:val="single" w:sz="4" w:space="0" w:color="auto"/>
            </w:tcBorders>
          </w:tcPr>
          <w:p w:rsidR="008A2C19" w:rsidRPr="00FA739A" w:rsidRDefault="008A2C19" w:rsidP="00550CE2">
            <w:pPr>
              <w:pStyle w:val="TableText0"/>
              <w:keepLines/>
            </w:pPr>
            <w:r w:rsidRPr="00FA739A">
              <w:t>RIBO+FULV provides non-inferior effectiveness and safety compared to RIBO+NSAI in the first-line treatment setting.</w:t>
            </w:r>
          </w:p>
          <w:p w:rsidR="008A2C19" w:rsidRPr="00FA739A" w:rsidRDefault="008A2C19" w:rsidP="00550CE2">
            <w:pPr>
              <w:pStyle w:val="TableText0"/>
              <w:keepLines/>
              <w:rPr>
                <w:rFonts w:eastAsia="Times New Roman" w:cs="Arial"/>
                <w:bCs w:val="0"/>
                <w:snapToGrid w:val="0"/>
                <w:color w:val="0066FF"/>
                <w:szCs w:val="20"/>
              </w:rPr>
            </w:pPr>
            <w:r w:rsidRPr="00FA739A">
              <w:t>RIBO+FULV provides superior effectiveness and safety to EVE+EXE in the second-line treatment setting.</w:t>
            </w:r>
          </w:p>
        </w:tc>
      </w:tr>
    </w:tbl>
    <w:p w:rsidR="008A2C19" w:rsidRPr="00FA739A" w:rsidRDefault="008A2C19" w:rsidP="00550CE2">
      <w:pPr>
        <w:pStyle w:val="TableFooter"/>
        <w:keepNext/>
        <w:keepLines/>
      </w:pPr>
      <w:r w:rsidRPr="00FA739A">
        <w:t>EVE= everolimus; EXE= exemestane; FULV= fulvestrant; HR+= hormone receptor positive; HER2- = human epidermal growth factor receptor 2-negative; IM= intramuscular; NSAI= non-steroidal aromatase inhibitor; po= per oral; mg=milligram; RIBO= ribociclib; ANA= anastrozole; LET= letrozole.</w:t>
      </w:r>
    </w:p>
    <w:p w:rsidR="008A2C19" w:rsidRPr="00FA739A" w:rsidRDefault="008A2C19" w:rsidP="00550CE2">
      <w:pPr>
        <w:pStyle w:val="TableFooter"/>
        <w:keepNext/>
        <w:keepLines/>
        <w:rPr>
          <w:sz w:val="20"/>
        </w:rPr>
      </w:pPr>
      <w:r w:rsidRPr="00FA739A">
        <w:t>Source: Table 1-1, p40 of the July 2020 submission</w:t>
      </w:r>
    </w:p>
    <w:p w:rsidR="00A01432" w:rsidRPr="00FA739A" w:rsidRDefault="00A01432" w:rsidP="006F0A71">
      <w:pPr>
        <w:pStyle w:val="2-SectionHeading"/>
      </w:pPr>
      <w:r w:rsidRPr="00FA739A">
        <w:t xml:space="preserve">Background </w:t>
      </w:r>
    </w:p>
    <w:p w:rsidR="00A01432" w:rsidRPr="00FA739A" w:rsidRDefault="00A01432" w:rsidP="00B16273">
      <w:pPr>
        <w:pStyle w:val="4-SubsectionHeading"/>
      </w:pPr>
      <w:r w:rsidRPr="00FA739A">
        <w:t>Registration status</w:t>
      </w:r>
    </w:p>
    <w:p w:rsidR="00696702" w:rsidRPr="00FA739A" w:rsidRDefault="00696702" w:rsidP="000E025D">
      <w:pPr>
        <w:pStyle w:val="3-BodyText"/>
        <w:numPr>
          <w:ilvl w:val="1"/>
          <w:numId w:val="1"/>
        </w:numPr>
      </w:pPr>
      <w:r w:rsidRPr="00FA739A">
        <w:t>Ribociclib was first approved by the Therapeutic Goods Administration (TGA) in October 2017 and later updated in February 2020 for the following indication:</w:t>
      </w:r>
    </w:p>
    <w:p w:rsidR="00696702" w:rsidRPr="00FA739A" w:rsidRDefault="00696702" w:rsidP="007D6B49">
      <w:pPr>
        <w:pStyle w:val="ListParagraph"/>
        <w:ind w:left="720" w:firstLine="0"/>
        <w:jc w:val="both"/>
      </w:pPr>
      <w:r w:rsidRPr="00FA739A">
        <w:t>“KISQALI is indicated for the treatment of patients with hormone receptor (HR)-positive, human epidermal growth factor receptor 2 (HER2)-negative advanced or metastatic breast cancer, in combination with an aromatase inhibitor or fulvestrant, as initial endocrine-based therapy or following prior endocrine therapy”.</w:t>
      </w:r>
    </w:p>
    <w:p w:rsidR="00696702" w:rsidRPr="00FA739A" w:rsidRDefault="00696702" w:rsidP="00090640">
      <w:pPr>
        <w:pStyle w:val="3-BodyText"/>
        <w:numPr>
          <w:ilvl w:val="1"/>
          <w:numId w:val="1"/>
        </w:numPr>
        <w:snapToGrid w:val="0"/>
      </w:pPr>
      <w:r w:rsidRPr="00FA739A">
        <w:t xml:space="preserve">The sponsor of this submission (Novartis/Sandoz) lodged a TGA submission seeking registration of a generic form of fulvestrant in September 2019. The TGA approved registration of the generic form in May 2020 with the indication: “… for the treatment of postmenopausal women with hormone-receptor positive, locally advanced or metastatic breast cancer who have progressive disease following prior tamoxifen therapy” (i.e. the same indication as non-generic fulvestrant). </w:t>
      </w:r>
    </w:p>
    <w:p w:rsidR="00696702" w:rsidRPr="00FA739A" w:rsidRDefault="0040586D" w:rsidP="00090640">
      <w:pPr>
        <w:pStyle w:val="3-BodyText"/>
        <w:numPr>
          <w:ilvl w:val="1"/>
          <w:numId w:val="1"/>
        </w:numPr>
        <w:snapToGrid w:val="0"/>
      </w:pPr>
      <w:r w:rsidRPr="00FA739A">
        <w:t>As noted above, t</w:t>
      </w:r>
      <w:r w:rsidR="00696702" w:rsidRPr="00FA739A">
        <w:t xml:space="preserve">he TGA indication for ribociclib includes combination use with fulvestrant. Consequently, combination use (in first or second-line) is considered to be “on-label”. </w:t>
      </w:r>
    </w:p>
    <w:p w:rsidR="00A01432" w:rsidRPr="00FA739A" w:rsidRDefault="00A01432" w:rsidP="00B16273">
      <w:pPr>
        <w:pStyle w:val="4-SubsectionHeading"/>
      </w:pPr>
      <w:r w:rsidRPr="00FA739A">
        <w:t xml:space="preserve">Previous PBAC consideration </w:t>
      </w:r>
    </w:p>
    <w:p w:rsidR="007C491F" w:rsidRPr="00FA739A" w:rsidRDefault="00696702" w:rsidP="00090640">
      <w:pPr>
        <w:pStyle w:val="3-BodyText"/>
        <w:numPr>
          <w:ilvl w:val="1"/>
          <w:numId w:val="1"/>
        </w:numPr>
        <w:snapToGrid w:val="0"/>
        <w:rPr>
          <w:i/>
        </w:rPr>
      </w:pPr>
      <w:r w:rsidRPr="00FA739A">
        <w:rPr>
          <w:iCs/>
        </w:rPr>
        <w:t>Fulvestrant (as combination therapy or as monotherapy) is not currently PBS listed for any indication</w:t>
      </w:r>
      <w:r w:rsidRPr="00FA739A">
        <w:t xml:space="preserve">. At its July 2020 meeting the PBAC recommended listing of fulvestrant for the treatment of patients with HR+, HER2- </w:t>
      </w:r>
      <w:r w:rsidR="007C491F" w:rsidRPr="00FA739A">
        <w:t xml:space="preserve">unresectable </w:t>
      </w:r>
      <w:r w:rsidRPr="00FA739A">
        <w:t>advanced</w:t>
      </w:r>
      <w:r w:rsidR="007C491F" w:rsidRPr="00FA739A">
        <w:t xml:space="preserve"> or metastatic</w:t>
      </w:r>
      <w:r w:rsidRPr="00FA739A">
        <w:t xml:space="preserve"> breast cancer.</w:t>
      </w:r>
    </w:p>
    <w:p w:rsidR="007C491F" w:rsidRPr="00FA739A" w:rsidRDefault="007C491F" w:rsidP="00090640">
      <w:pPr>
        <w:pStyle w:val="3-BodyText"/>
        <w:numPr>
          <w:ilvl w:val="1"/>
          <w:numId w:val="1"/>
        </w:numPr>
        <w:snapToGrid w:val="0"/>
        <w:rPr>
          <w:i/>
        </w:rPr>
      </w:pPr>
      <w:r w:rsidRPr="00FA739A">
        <w:lastRenderedPageBreak/>
        <w:t>Ribociclib as combination treatment with an NSAI, was recommended for</w:t>
      </w:r>
      <w:r w:rsidR="000E025D" w:rsidRPr="00FA739A">
        <w:t xml:space="preserve"> the</w:t>
      </w:r>
      <w:r w:rsidRPr="00FA739A">
        <w:t xml:space="preserve"> treatment of patients with HR+, HER2- unresectable advanced or metastatic breast cancer at the March 2018 PBAC meeting.</w:t>
      </w:r>
    </w:p>
    <w:p w:rsidR="00A01432" w:rsidRPr="00FA739A" w:rsidRDefault="0040586D" w:rsidP="00A65BD0">
      <w:pPr>
        <w:pStyle w:val="3Bodytext"/>
      </w:pPr>
      <w:r w:rsidRPr="00FA739A">
        <w:t>At its July 2020 meeting t</w:t>
      </w:r>
      <w:r w:rsidR="007C491F" w:rsidRPr="00FA739A">
        <w:t>he PBAC deferred making a recommendation to extend the listing of ribociclib</w:t>
      </w:r>
      <w:r w:rsidRPr="00FA739A">
        <w:t xml:space="preserve"> to include combination use with fulvestrant</w:t>
      </w:r>
      <w:r w:rsidR="007C491F" w:rsidRPr="00FA739A">
        <w:t xml:space="preserve">. The PBAC was of a mind to recommend </w:t>
      </w:r>
      <w:r w:rsidR="008107FA" w:rsidRPr="00466DBE">
        <w:rPr>
          <w:bCs/>
          <w:snapToGrid w:val="0"/>
        </w:rPr>
        <w:t>ribociclib in combination with fulvestrant (</w:t>
      </w:r>
      <w:r w:rsidR="001614C6" w:rsidRPr="00FA739A">
        <w:t>RIBO+FULV</w:t>
      </w:r>
      <w:r w:rsidR="008107FA" w:rsidRPr="00FA739A">
        <w:t>)</w:t>
      </w:r>
      <w:r w:rsidR="007C491F" w:rsidRPr="00FA739A">
        <w:t>, but considered th</w:t>
      </w:r>
      <w:r w:rsidR="000E025D" w:rsidRPr="00FA739A">
        <w:t>ere</w:t>
      </w:r>
      <w:r w:rsidR="007C491F" w:rsidRPr="00FA739A">
        <w:t xml:space="preserve"> </w:t>
      </w:r>
      <w:r w:rsidR="008107FA" w:rsidRPr="00FA739A">
        <w:t>was</w:t>
      </w:r>
      <w:r w:rsidR="007C491F" w:rsidRPr="00FA739A">
        <w:t xml:space="preserve"> a need to resolve the appropriate weighted price, financial impact and changes to risk sharing arrangements for ribociclib (</w:t>
      </w:r>
      <w:r w:rsidR="00C045C7" w:rsidRPr="00FA739A">
        <w:t>p</w:t>
      </w:r>
      <w:r w:rsidR="007C491F" w:rsidRPr="00FA739A">
        <w:t>aragraph 7.</w:t>
      </w:r>
      <w:r w:rsidR="008107FA" w:rsidRPr="00FA739A">
        <w:t>1</w:t>
      </w:r>
      <w:r w:rsidR="007C491F" w:rsidRPr="00FA739A">
        <w:t xml:space="preserve">, </w:t>
      </w:r>
      <w:r w:rsidR="00C045C7" w:rsidRPr="00FA739A">
        <w:t>ribociclib</w:t>
      </w:r>
      <w:r w:rsidR="00DF6B01">
        <w:t>,</w:t>
      </w:r>
      <w:r w:rsidR="00C045C7" w:rsidRPr="00FA739A">
        <w:t xml:space="preserve"> </w:t>
      </w:r>
      <w:r w:rsidR="00DF6B01">
        <w:t>Public Summary Document (</w:t>
      </w:r>
      <w:r w:rsidR="00C045C7" w:rsidRPr="00FA739A">
        <w:t>PSD</w:t>
      </w:r>
      <w:r w:rsidR="00DF6B01">
        <w:t>)</w:t>
      </w:r>
      <w:r w:rsidR="00C045C7" w:rsidRPr="00FA739A">
        <w:t xml:space="preserve">, </w:t>
      </w:r>
      <w:r w:rsidR="007C491F" w:rsidRPr="00FA739A">
        <w:t>July 2020</w:t>
      </w:r>
      <w:r w:rsidR="00C045C7" w:rsidRPr="00FA739A">
        <w:t xml:space="preserve"> PBAC</w:t>
      </w:r>
      <w:r w:rsidR="007C491F" w:rsidRPr="00FA739A">
        <w:t xml:space="preserve"> Meeting). The PBAC also advised that revisions to the economic model were required and the second-line price for RIBO+FULV should be reduced so that the ICER is below </w:t>
      </w:r>
      <w:r w:rsidR="00A65BD0" w:rsidRPr="00A65BD0">
        <w:t>$55,000 to &lt; $75,000</w:t>
      </w:r>
      <w:r w:rsidR="007C491F" w:rsidRPr="00FA739A">
        <w:t xml:space="preserve"> per QALY (</w:t>
      </w:r>
      <w:r w:rsidR="00C045C7" w:rsidRPr="00FA739A">
        <w:t>p</w:t>
      </w:r>
      <w:r w:rsidR="007C491F" w:rsidRPr="00FA739A">
        <w:t xml:space="preserve">aragraph 7.18, </w:t>
      </w:r>
      <w:r w:rsidR="00C045C7" w:rsidRPr="00FA739A">
        <w:t>ribociclib PSD</w:t>
      </w:r>
      <w:r w:rsidR="007C491F" w:rsidRPr="00FA739A">
        <w:t xml:space="preserve">, July 2020 </w:t>
      </w:r>
      <w:r w:rsidR="00C045C7" w:rsidRPr="00FA739A">
        <w:t xml:space="preserve">PBAC </w:t>
      </w:r>
      <w:r w:rsidR="007C491F" w:rsidRPr="00FA739A">
        <w:t xml:space="preserve">Meeting). </w:t>
      </w:r>
    </w:p>
    <w:p w:rsidR="00360428" w:rsidRPr="00FA739A" w:rsidRDefault="00B77707" w:rsidP="007D6B49">
      <w:pPr>
        <w:pStyle w:val="3-BodyText"/>
        <w:numPr>
          <w:ilvl w:val="1"/>
          <w:numId w:val="1"/>
        </w:numPr>
        <w:snapToGrid w:val="0"/>
        <w:rPr>
          <w:lang w:eastAsia="en-US"/>
        </w:rPr>
      </w:pPr>
      <w:r w:rsidRPr="00FA739A">
        <w:rPr>
          <w:lang w:eastAsia="en-US"/>
        </w:rPr>
        <w:t>A summary of the previous submission/s and current submission is provided in the table below.</w:t>
      </w:r>
      <w:r w:rsidR="002B7075" w:rsidRPr="00FA739A">
        <w:rPr>
          <w:lang w:eastAsia="en-US"/>
        </w:rPr>
        <w:t xml:space="preserve"> </w:t>
      </w:r>
    </w:p>
    <w:p w:rsidR="00B77707" w:rsidRPr="00FA739A" w:rsidRDefault="00B77707" w:rsidP="00322A93">
      <w:pPr>
        <w:pStyle w:val="Tabletitles"/>
        <w:keepNext/>
        <w:rPr>
          <w:lang w:eastAsia="en-US"/>
        </w:rPr>
      </w:pPr>
      <w:r w:rsidRPr="00FA739A">
        <w:rPr>
          <w:rFonts w:eastAsiaTheme="majorEastAsia"/>
        </w:rPr>
        <w:lastRenderedPageBreak/>
        <w:t xml:space="preserve">Table </w:t>
      </w:r>
      <w:r w:rsidR="008F28E9" w:rsidRPr="00466DBE">
        <w:rPr>
          <w:rFonts w:eastAsiaTheme="majorEastAsia"/>
        </w:rPr>
        <w:t>2</w:t>
      </w:r>
      <w:r w:rsidRPr="00FA739A">
        <w:rPr>
          <w:rFonts w:eastAsiaTheme="majorEastAsia"/>
        </w:rPr>
        <w:t xml:space="preserve">: </w:t>
      </w:r>
      <w:r w:rsidRPr="00FA739A">
        <w:rPr>
          <w:lang w:eastAsia="en-US"/>
        </w:rPr>
        <w:t>Summary of the previous submissions and current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9"/>
        <w:gridCol w:w="3801"/>
        <w:gridCol w:w="3776"/>
      </w:tblGrid>
      <w:tr w:rsidR="003C28F7" w:rsidRPr="00FA739A" w:rsidTr="00A24FDB">
        <w:trPr>
          <w:cantSplit/>
          <w:trHeight w:val="220"/>
          <w:tblHeader/>
        </w:trPr>
        <w:tc>
          <w:tcPr>
            <w:tcW w:w="798" w:type="pct"/>
            <w:tcBorders>
              <w:top w:val="single" w:sz="4" w:space="0" w:color="auto"/>
              <w:left w:val="single" w:sz="4" w:space="0" w:color="auto"/>
              <w:bottom w:val="single" w:sz="4" w:space="0" w:color="auto"/>
              <w:right w:val="single" w:sz="4" w:space="0" w:color="auto"/>
            </w:tcBorders>
          </w:tcPr>
          <w:p w:rsidR="003C28F7" w:rsidRPr="00FA739A" w:rsidRDefault="003C28F7" w:rsidP="00322A93">
            <w:pPr>
              <w:pStyle w:val="TableText0"/>
              <w:widowControl w:val="0"/>
            </w:pPr>
          </w:p>
        </w:tc>
        <w:tc>
          <w:tcPr>
            <w:tcW w:w="2108" w:type="pct"/>
            <w:tcBorders>
              <w:top w:val="single" w:sz="4" w:space="0" w:color="auto"/>
              <w:left w:val="single" w:sz="4" w:space="0" w:color="auto"/>
              <w:bottom w:val="single" w:sz="4" w:space="0" w:color="auto"/>
              <w:right w:val="single" w:sz="4" w:space="0" w:color="auto"/>
            </w:tcBorders>
            <w:vAlign w:val="center"/>
            <w:hideMark/>
          </w:tcPr>
          <w:p w:rsidR="003C28F7" w:rsidRPr="00FA739A" w:rsidRDefault="003C28F7" w:rsidP="00322A93">
            <w:pPr>
              <w:pStyle w:val="TableText0"/>
              <w:widowControl w:val="0"/>
              <w:rPr>
                <w:b/>
              </w:rPr>
            </w:pPr>
            <w:r w:rsidRPr="00FA739A">
              <w:rPr>
                <w:b/>
              </w:rPr>
              <w:t>July 2020 submission</w:t>
            </w:r>
          </w:p>
        </w:tc>
        <w:tc>
          <w:tcPr>
            <w:tcW w:w="2094" w:type="pct"/>
            <w:tcBorders>
              <w:top w:val="single" w:sz="4" w:space="0" w:color="auto"/>
              <w:left w:val="single" w:sz="4" w:space="0" w:color="auto"/>
              <w:bottom w:val="single" w:sz="4" w:space="0" w:color="auto"/>
              <w:right w:val="single" w:sz="4" w:space="0" w:color="auto"/>
            </w:tcBorders>
            <w:hideMark/>
          </w:tcPr>
          <w:p w:rsidR="003C28F7" w:rsidRPr="00FA739A" w:rsidRDefault="003C28F7" w:rsidP="00322A93">
            <w:pPr>
              <w:pStyle w:val="TableText0"/>
              <w:widowControl w:val="0"/>
              <w:rPr>
                <w:b/>
              </w:rPr>
            </w:pPr>
            <w:r w:rsidRPr="00FA739A">
              <w:rPr>
                <w:b/>
              </w:rPr>
              <w:t>Current resubmission</w:t>
            </w:r>
          </w:p>
        </w:tc>
      </w:tr>
      <w:tr w:rsidR="003C28F7" w:rsidRPr="00FA739A" w:rsidTr="00A24FDB">
        <w:trPr>
          <w:cantSplit/>
          <w:trHeight w:val="525"/>
        </w:trPr>
        <w:tc>
          <w:tcPr>
            <w:tcW w:w="798" w:type="pct"/>
            <w:tcBorders>
              <w:top w:val="single" w:sz="4" w:space="0" w:color="auto"/>
              <w:left w:val="single" w:sz="4" w:space="0" w:color="auto"/>
              <w:bottom w:val="single" w:sz="4" w:space="0" w:color="auto"/>
              <w:right w:val="single" w:sz="4" w:space="0" w:color="auto"/>
            </w:tcBorders>
            <w:hideMark/>
          </w:tcPr>
          <w:p w:rsidR="003C28F7" w:rsidRPr="00FA739A" w:rsidRDefault="003C28F7" w:rsidP="00322A93">
            <w:pPr>
              <w:pStyle w:val="TableText0"/>
              <w:widowControl w:val="0"/>
            </w:pPr>
            <w:r w:rsidRPr="00FA739A">
              <w:t>Requested PBS listing</w:t>
            </w:r>
          </w:p>
        </w:tc>
        <w:tc>
          <w:tcPr>
            <w:tcW w:w="2108" w:type="pct"/>
            <w:tcBorders>
              <w:top w:val="single" w:sz="4" w:space="0" w:color="auto"/>
              <w:left w:val="single" w:sz="4" w:space="0" w:color="auto"/>
              <w:bottom w:val="single" w:sz="4" w:space="0" w:color="auto"/>
              <w:right w:val="single" w:sz="4" w:space="0" w:color="auto"/>
            </w:tcBorders>
          </w:tcPr>
          <w:p w:rsidR="003C28F7" w:rsidRPr="00FA739A" w:rsidRDefault="008107FA" w:rsidP="00322A93">
            <w:pPr>
              <w:pStyle w:val="TableText0"/>
              <w:widowControl w:val="0"/>
            </w:pPr>
            <w:r w:rsidRPr="00FA739A">
              <w:t>T</w:t>
            </w:r>
            <w:r w:rsidR="003C28F7" w:rsidRPr="00FA739A">
              <w:t>reatment of non-premenopausal patients with HR+/HER2- locally advanced or metastatic breast cancer, in combination with fulvestrant</w:t>
            </w:r>
            <w:r w:rsidRPr="00FA739A">
              <w:t xml:space="preserve"> (in first or subsequent lines)</w:t>
            </w:r>
            <w:r w:rsidR="003C28F7" w:rsidRPr="00FA739A">
              <w:t xml:space="preserve">. </w:t>
            </w:r>
          </w:p>
        </w:tc>
        <w:tc>
          <w:tcPr>
            <w:tcW w:w="2094" w:type="pct"/>
            <w:tcBorders>
              <w:top w:val="single" w:sz="4" w:space="0" w:color="auto"/>
              <w:left w:val="single" w:sz="4" w:space="0" w:color="auto"/>
              <w:bottom w:val="single" w:sz="4" w:space="0" w:color="auto"/>
              <w:right w:val="single" w:sz="4" w:space="0" w:color="auto"/>
            </w:tcBorders>
          </w:tcPr>
          <w:p w:rsidR="003C28F7" w:rsidRPr="00FA739A" w:rsidRDefault="003C28F7" w:rsidP="00322A93">
            <w:pPr>
              <w:pStyle w:val="TableText0"/>
              <w:widowControl w:val="0"/>
            </w:pPr>
            <w:r w:rsidRPr="00FA739A">
              <w:t>Unchanged</w:t>
            </w:r>
          </w:p>
        </w:tc>
      </w:tr>
      <w:tr w:rsidR="003C28F7" w:rsidRPr="00FA739A" w:rsidTr="00A24FDB">
        <w:trPr>
          <w:cantSplit/>
          <w:trHeight w:val="422"/>
        </w:trPr>
        <w:tc>
          <w:tcPr>
            <w:tcW w:w="798" w:type="pct"/>
            <w:tcBorders>
              <w:top w:val="single" w:sz="4" w:space="0" w:color="auto"/>
              <w:left w:val="single" w:sz="4" w:space="0" w:color="auto"/>
              <w:bottom w:val="single" w:sz="4" w:space="0" w:color="auto"/>
              <w:right w:val="single" w:sz="4" w:space="0" w:color="auto"/>
            </w:tcBorders>
            <w:hideMark/>
          </w:tcPr>
          <w:p w:rsidR="003C28F7" w:rsidRPr="00FA739A" w:rsidRDefault="003C28F7" w:rsidP="00322A93">
            <w:pPr>
              <w:pStyle w:val="TableText0"/>
              <w:widowControl w:val="0"/>
            </w:pPr>
            <w:r w:rsidRPr="00FA739A">
              <w:t xml:space="preserve">Requested effective </w:t>
            </w:r>
            <w:r w:rsidR="008A58B0" w:rsidRPr="00FA739A">
              <w:t>AEMP</w:t>
            </w:r>
            <w:r w:rsidRPr="00FA739A">
              <w:t>s</w:t>
            </w:r>
          </w:p>
          <w:p w:rsidR="006611D5" w:rsidRPr="00FA739A" w:rsidRDefault="006611D5" w:rsidP="00322A93">
            <w:pPr>
              <w:pStyle w:val="TableText0"/>
              <w:widowControl w:val="0"/>
            </w:pPr>
            <w:r w:rsidRPr="00FA739A">
              <w:t>Ribociclib</w:t>
            </w:r>
          </w:p>
        </w:tc>
        <w:tc>
          <w:tcPr>
            <w:tcW w:w="2108" w:type="pct"/>
            <w:tcBorders>
              <w:top w:val="single" w:sz="4" w:space="0" w:color="auto"/>
              <w:left w:val="single" w:sz="4" w:space="0" w:color="auto"/>
              <w:bottom w:val="single" w:sz="4" w:space="0" w:color="auto"/>
              <w:right w:val="single" w:sz="4" w:space="0" w:color="auto"/>
            </w:tcBorders>
          </w:tcPr>
          <w:p w:rsidR="003C28F7" w:rsidRPr="00FA739A" w:rsidRDefault="003C28F7" w:rsidP="00322A93">
            <w:pPr>
              <w:pStyle w:val="TableText0"/>
              <w:widowControl w:val="0"/>
            </w:pPr>
            <w:r w:rsidRPr="00FA739A">
              <w:t>600 mg dose (200 mg, 63 tablets per pack)</w:t>
            </w:r>
          </w:p>
          <w:p w:rsidR="003C28F7" w:rsidRPr="00FA739A" w:rsidRDefault="003C28F7" w:rsidP="00322A93">
            <w:pPr>
              <w:pStyle w:val="TableText0"/>
              <w:widowControl w:val="0"/>
              <w:rPr>
                <w:iCs/>
              </w:rPr>
            </w:pPr>
            <w:r w:rsidRPr="00FA739A">
              <w:t>1L</w:t>
            </w:r>
            <w:r w:rsidR="008A58B0" w:rsidRPr="00FA739A">
              <w:t xml:space="preserve"> AEMP</w:t>
            </w:r>
            <w:r w:rsidRPr="00FA739A">
              <w:t xml:space="preserve">: </w:t>
            </w:r>
            <w:r w:rsidRPr="00FA739A">
              <w:rPr>
                <w:iCs/>
              </w:rPr>
              <w:t>$</w:t>
            </w:r>
            <w:r w:rsidR="00AB6780">
              <w:rPr>
                <w:iCs/>
                <w:noProof/>
                <w:color w:val="000000"/>
                <w:highlight w:val="black"/>
              </w:rPr>
              <w:t>'''''''''''''''''''''</w:t>
            </w:r>
          </w:p>
          <w:p w:rsidR="003C28F7" w:rsidRPr="00FA739A" w:rsidRDefault="003C28F7" w:rsidP="00322A93">
            <w:pPr>
              <w:pStyle w:val="TableText0"/>
              <w:widowControl w:val="0"/>
            </w:pPr>
            <w:r w:rsidRPr="00FA739A">
              <w:rPr>
                <w:iCs/>
              </w:rPr>
              <w:t>2L</w:t>
            </w:r>
            <w:r w:rsidR="008A58B0" w:rsidRPr="00FA739A">
              <w:rPr>
                <w:iCs/>
              </w:rPr>
              <w:t xml:space="preserve"> AEMP</w:t>
            </w:r>
            <w:r w:rsidRPr="00FA739A">
              <w:rPr>
                <w:iCs/>
              </w:rPr>
              <w:t>: $</w:t>
            </w:r>
            <w:r w:rsidR="00AB6780">
              <w:rPr>
                <w:iCs/>
                <w:noProof/>
                <w:color w:val="000000"/>
                <w:highlight w:val="black"/>
              </w:rPr>
              <w:t>'''''''''''''''''''''''</w:t>
            </w:r>
          </w:p>
          <w:p w:rsidR="003C28F7" w:rsidRPr="00FA739A" w:rsidRDefault="003C28F7" w:rsidP="00322A93">
            <w:pPr>
              <w:pStyle w:val="TableText0"/>
              <w:widowControl w:val="0"/>
              <w:rPr>
                <w:snapToGrid w:val="0"/>
                <w:lang w:eastAsia="en-US"/>
              </w:rPr>
            </w:pPr>
            <w:r w:rsidRPr="00FA739A">
              <w:rPr>
                <w:snapToGrid w:val="0"/>
                <w:lang w:eastAsia="en-US"/>
              </w:rPr>
              <w:t>Weighted</w:t>
            </w:r>
            <w:r w:rsidR="008A58B0" w:rsidRPr="00FA739A">
              <w:rPr>
                <w:snapToGrid w:val="0"/>
                <w:lang w:eastAsia="en-US"/>
              </w:rPr>
              <w:t xml:space="preserve"> AEMP</w:t>
            </w:r>
            <w:r w:rsidRPr="00FA739A">
              <w:rPr>
                <w:snapToGrid w:val="0"/>
                <w:lang w:eastAsia="en-US"/>
              </w:rPr>
              <w:t xml:space="preserve">: </w:t>
            </w:r>
            <w:r w:rsidR="00265B3F" w:rsidRPr="00FA739A">
              <w:rPr>
                <w:snapToGrid w:val="0"/>
                <w:lang w:eastAsia="en-US"/>
              </w:rPr>
              <w:t>$</w:t>
            </w:r>
            <w:r w:rsidR="00AB6780">
              <w:rPr>
                <w:noProof/>
                <w:snapToGrid w:val="0"/>
                <w:color w:val="000000"/>
                <w:highlight w:val="black"/>
                <w:lang w:eastAsia="en-US"/>
              </w:rPr>
              <w:t>''''''''''''''''''''''</w:t>
            </w:r>
            <w:r w:rsidR="00265B3F" w:rsidRPr="00FA739A">
              <w:rPr>
                <w:snapToGrid w:val="0"/>
                <w:lang w:eastAsia="en-US"/>
              </w:rPr>
              <w:t xml:space="preserve"> (</w:t>
            </w:r>
            <w:r w:rsidR="006611D5" w:rsidRPr="00FA739A">
              <w:rPr>
                <w:snapToGrid w:val="0"/>
                <w:lang w:eastAsia="en-US"/>
              </w:rPr>
              <w:t>63% 1L)</w:t>
            </w:r>
          </w:p>
          <w:p w:rsidR="00265B3F" w:rsidRPr="00FA739A" w:rsidRDefault="00265B3F" w:rsidP="00322A93">
            <w:pPr>
              <w:pStyle w:val="TableText0"/>
              <w:widowControl w:val="0"/>
              <w:rPr>
                <w:snapToGrid w:val="0"/>
                <w:lang w:eastAsia="en-US"/>
              </w:rPr>
            </w:pPr>
            <w:r w:rsidRPr="00FA739A">
              <w:rPr>
                <w:snapToGrid w:val="0"/>
                <w:lang w:eastAsia="en-US"/>
              </w:rPr>
              <w:t>Weighted</w:t>
            </w:r>
            <w:r w:rsidR="008A58B0" w:rsidRPr="00FA739A">
              <w:rPr>
                <w:snapToGrid w:val="0"/>
                <w:lang w:eastAsia="en-US"/>
              </w:rPr>
              <w:t xml:space="preserve"> AEMP</w:t>
            </w:r>
            <w:r w:rsidRPr="00FA739A">
              <w:rPr>
                <w:snapToGrid w:val="0"/>
                <w:lang w:eastAsia="en-US"/>
              </w:rPr>
              <w:t>, pre-PBAC response: $</w:t>
            </w:r>
            <w:r w:rsidR="00AB6780">
              <w:rPr>
                <w:noProof/>
                <w:snapToGrid w:val="0"/>
                <w:color w:val="000000"/>
                <w:highlight w:val="black"/>
                <w:lang w:eastAsia="en-US"/>
              </w:rPr>
              <w:t>'''''''''''''''''''</w:t>
            </w:r>
            <w:r w:rsidRPr="00FA739A">
              <w:rPr>
                <w:snapToGrid w:val="0"/>
                <w:lang w:eastAsia="en-US"/>
              </w:rPr>
              <w:t xml:space="preserve"> (71.5% 1L)</w:t>
            </w:r>
          </w:p>
        </w:tc>
        <w:tc>
          <w:tcPr>
            <w:tcW w:w="2094" w:type="pct"/>
            <w:tcBorders>
              <w:top w:val="single" w:sz="4" w:space="0" w:color="auto"/>
              <w:left w:val="single" w:sz="4" w:space="0" w:color="auto"/>
              <w:bottom w:val="single" w:sz="4" w:space="0" w:color="auto"/>
              <w:right w:val="single" w:sz="4" w:space="0" w:color="auto"/>
            </w:tcBorders>
          </w:tcPr>
          <w:p w:rsidR="006611D5" w:rsidRPr="00FA739A" w:rsidRDefault="006611D5" w:rsidP="00322A93">
            <w:pPr>
              <w:pStyle w:val="TableText0"/>
              <w:widowControl w:val="0"/>
              <w:rPr>
                <w:snapToGrid w:val="0"/>
                <w:lang w:eastAsia="en-US"/>
              </w:rPr>
            </w:pPr>
            <w:r w:rsidRPr="00FA739A">
              <w:rPr>
                <w:snapToGrid w:val="0"/>
                <w:lang w:eastAsia="en-US"/>
              </w:rPr>
              <w:t>600 mg dose (200 mg, 63 tablets per pack)</w:t>
            </w:r>
          </w:p>
          <w:p w:rsidR="006611D5" w:rsidRPr="00FA739A" w:rsidRDefault="006611D5" w:rsidP="00322A93">
            <w:pPr>
              <w:pStyle w:val="TableText0"/>
              <w:widowControl w:val="0"/>
              <w:rPr>
                <w:snapToGrid w:val="0"/>
                <w:lang w:eastAsia="en-US"/>
              </w:rPr>
            </w:pPr>
            <w:r w:rsidRPr="00FA739A">
              <w:rPr>
                <w:snapToGrid w:val="0"/>
                <w:lang w:eastAsia="en-US"/>
              </w:rPr>
              <w:t>1L</w:t>
            </w:r>
            <w:r w:rsidR="008A58B0" w:rsidRPr="00FA739A">
              <w:rPr>
                <w:snapToGrid w:val="0"/>
                <w:lang w:eastAsia="en-US"/>
              </w:rPr>
              <w:t xml:space="preserve"> AEMP</w:t>
            </w:r>
            <w:r w:rsidRPr="00FA739A">
              <w:rPr>
                <w:snapToGrid w:val="0"/>
                <w:lang w:eastAsia="en-US"/>
              </w:rPr>
              <w:t>: $</w:t>
            </w:r>
            <w:r w:rsidR="00AB6780">
              <w:rPr>
                <w:noProof/>
                <w:snapToGrid w:val="0"/>
                <w:color w:val="000000"/>
                <w:highlight w:val="black"/>
                <w:lang w:eastAsia="en-US"/>
              </w:rPr>
              <w:t>'''''''''''''''''''''''</w:t>
            </w:r>
            <w:r w:rsidR="000E025D" w:rsidRPr="00FA739A">
              <w:rPr>
                <w:snapToGrid w:val="0"/>
                <w:lang w:eastAsia="en-US"/>
              </w:rPr>
              <w:t xml:space="preserve"> (unchanged)</w:t>
            </w:r>
          </w:p>
          <w:p w:rsidR="006611D5" w:rsidRPr="00FA739A" w:rsidRDefault="006611D5" w:rsidP="00322A93">
            <w:pPr>
              <w:pStyle w:val="TableText0"/>
              <w:widowControl w:val="0"/>
              <w:rPr>
                <w:snapToGrid w:val="0"/>
                <w:lang w:eastAsia="en-US"/>
              </w:rPr>
            </w:pPr>
            <w:r w:rsidRPr="00FA739A">
              <w:rPr>
                <w:snapToGrid w:val="0"/>
                <w:lang w:eastAsia="en-US"/>
              </w:rPr>
              <w:t>2L</w:t>
            </w:r>
            <w:r w:rsidR="008A58B0" w:rsidRPr="00FA739A">
              <w:rPr>
                <w:snapToGrid w:val="0"/>
                <w:lang w:eastAsia="en-US"/>
              </w:rPr>
              <w:t xml:space="preserve"> AEMP</w:t>
            </w:r>
            <w:r w:rsidRPr="00FA739A">
              <w:rPr>
                <w:snapToGrid w:val="0"/>
                <w:lang w:eastAsia="en-US"/>
              </w:rPr>
              <w:t>:</w:t>
            </w:r>
            <w:r w:rsidR="008A58B0" w:rsidRPr="00FA739A">
              <w:rPr>
                <w:snapToGrid w:val="0"/>
                <w:lang w:eastAsia="en-US"/>
              </w:rPr>
              <w:t xml:space="preserve"> $</w:t>
            </w:r>
            <w:r w:rsidR="00AB6780">
              <w:rPr>
                <w:noProof/>
                <w:snapToGrid w:val="0"/>
                <w:color w:val="000000"/>
                <w:highlight w:val="black"/>
                <w:lang w:eastAsia="en-US"/>
              </w:rPr>
              <w:t>''''''''''''''''''''</w:t>
            </w:r>
            <w:r w:rsidR="000E025D" w:rsidRPr="00FA739A">
              <w:rPr>
                <w:snapToGrid w:val="0"/>
                <w:lang w:eastAsia="en-US"/>
              </w:rPr>
              <w:t xml:space="preserve"> (reduced)</w:t>
            </w:r>
          </w:p>
          <w:p w:rsidR="003C28F7" w:rsidRPr="00FA739A" w:rsidRDefault="001B24FB" w:rsidP="00322A93">
            <w:pPr>
              <w:pStyle w:val="TableText0"/>
              <w:widowControl w:val="0"/>
              <w:rPr>
                <w:snapToGrid w:val="0"/>
                <w:lang w:eastAsia="en-US"/>
              </w:rPr>
            </w:pPr>
            <w:r w:rsidRPr="00FA739A">
              <w:rPr>
                <w:snapToGrid w:val="0"/>
                <w:lang w:eastAsia="en-US"/>
              </w:rPr>
              <w:t>Weighted</w:t>
            </w:r>
            <w:r w:rsidR="008A58B0" w:rsidRPr="00FA739A">
              <w:rPr>
                <w:snapToGrid w:val="0"/>
                <w:lang w:eastAsia="en-US"/>
              </w:rPr>
              <w:t xml:space="preserve"> AEMP</w:t>
            </w:r>
            <w:r w:rsidR="000E025D" w:rsidRPr="00FA739A">
              <w:rPr>
                <w:snapToGrid w:val="0"/>
                <w:lang w:eastAsia="en-US"/>
              </w:rPr>
              <w:t xml:space="preserve"> using this approach would be</w:t>
            </w:r>
            <w:r w:rsidRPr="00FA739A">
              <w:rPr>
                <w:snapToGrid w:val="0"/>
                <w:lang w:eastAsia="en-US"/>
              </w:rPr>
              <w:t xml:space="preserve"> $</w:t>
            </w:r>
            <w:r w:rsidR="00AB6780">
              <w:rPr>
                <w:noProof/>
                <w:snapToGrid w:val="0"/>
                <w:color w:val="000000"/>
                <w:highlight w:val="black"/>
                <w:lang w:eastAsia="en-US"/>
              </w:rPr>
              <w:t>''''''''''''''''''''''</w:t>
            </w:r>
            <w:r w:rsidRPr="00FA739A">
              <w:rPr>
                <w:snapToGrid w:val="0"/>
                <w:lang w:eastAsia="en-US"/>
              </w:rPr>
              <w:t xml:space="preserve"> (76% 1L overall, 49% in yr 1 and up to 87% in yr 6)</w:t>
            </w:r>
            <w:r w:rsidR="000E025D" w:rsidRPr="00FA739A">
              <w:rPr>
                <w:snapToGrid w:val="0"/>
                <w:lang w:eastAsia="en-US"/>
              </w:rPr>
              <w:t xml:space="preserve">, though the resubmission proposed a </w:t>
            </w:r>
            <w:r w:rsidR="009F55A3" w:rsidRPr="00FA739A">
              <w:rPr>
                <w:snapToGrid w:val="0"/>
                <w:lang w:eastAsia="en-US"/>
              </w:rPr>
              <w:t xml:space="preserve">further reduction </w:t>
            </w:r>
            <w:r w:rsidR="000E025D" w:rsidRPr="00FA739A">
              <w:rPr>
                <w:snapToGrid w:val="0"/>
                <w:lang w:eastAsia="en-US"/>
              </w:rPr>
              <w:t>with a</w:t>
            </w:r>
            <w:r w:rsidR="009F55A3" w:rsidRPr="00FA739A">
              <w:rPr>
                <w:snapToGrid w:val="0"/>
                <w:lang w:eastAsia="en-US"/>
              </w:rPr>
              <w:t xml:space="preserve"> weighted AEMP </w:t>
            </w:r>
            <w:r w:rsidR="000E025D" w:rsidRPr="00FA739A">
              <w:rPr>
                <w:snapToGrid w:val="0"/>
                <w:lang w:eastAsia="en-US"/>
              </w:rPr>
              <w:t>of $</w:t>
            </w:r>
            <w:r w:rsidR="00AB6780">
              <w:rPr>
                <w:noProof/>
                <w:snapToGrid w:val="0"/>
                <w:color w:val="000000"/>
                <w:highlight w:val="black"/>
                <w:lang w:eastAsia="en-US"/>
              </w:rPr>
              <w:t>'''''''''''''''''''''</w:t>
            </w:r>
            <w:r w:rsidR="000E025D" w:rsidRPr="00FA739A">
              <w:rPr>
                <w:snapToGrid w:val="0"/>
                <w:lang w:eastAsia="en-US"/>
              </w:rPr>
              <w:t>, consistent with t</w:t>
            </w:r>
            <w:r w:rsidR="009F55A3" w:rsidRPr="00FA739A">
              <w:rPr>
                <w:snapToGrid w:val="0"/>
                <w:lang w:eastAsia="en-US"/>
              </w:rPr>
              <w:t>he curren</w:t>
            </w:r>
            <w:r w:rsidR="00E50A44" w:rsidRPr="00FA739A">
              <w:rPr>
                <w:snapToGrid w:val="0"/>
                <w:lang w:eastAsia="en-US"/>
              </w:rPr>
              <w:t>t ribociclib price</w:t>
            </w:r>
            <w:r w:rsidR="000E025D" w:rsidRPr="00FA739A">
              <w:rPr>
                <w:snapToGrid w:val="0"/>
                <w:lang w:eastAsia="en-US"/>
              </w:rPr>
              <w:t xml:space="preserve"> in its existing listing</w:t>
            </w:r>
            <w:r w:rsidR="00E50A44" w:rsidRPr="00FA739A">
              <w:rPr>
                <w:snapToGrid w:val="0"/>
                <w:lang w:eastAsia="en-US"/>
              </w:rPr>
              <w:t>.</w:t>
            </w:r>
          </w:p>
        </w:tc>
      </w:tr>
      <w:tr w:rsidR="006611D5" w:rsidRPr="00FA739A" w:rsidTr="00A24FDB">
        <w:trPr>
          <w:cantSplit/>
          <w:trHeight w:val="422"/>
        </w:trPr>
        <w:tc>
          <w:tcPr>
            <w:tcW w:w="798" w:type="pct"/>
            <w:tcBorders>
              <w:top w:val="single" w:sz="4" w:space="0" w:color="auto"/>
              <w:left w:val="single" w:sz="4" w:space="0" w:color="auto"/>
              <w:bottom w:val="single" w:sz="4" w:space="0" w:color="auto"/>
              <w:right w:val="single" w:sz="4" w:space="0" w:color="auto"/>
            </w:tcBorders>
          </w:tcPr>
          <w:p w:rsidR="006611D5" w:rsidRPr="00FA739A" w:rsidRDefault="006611D5" w:rsidP="00322A93">
            <w:pPr>
              <w:pStyle w:val="TableText0"/>
              <w:widowControl w:val="0"/>
            </w:pPr>
            <w:r w:rsidRPr="00FA739A">
              <w:t xml:space="preserve">Requested effective </w:t>
            </w:r>
            <w:r w:rsidR="009F55A3" w:rsidRPr="00FA739A">
              <w:t>AEMP</w:t>
            </w:r>
          </w:p>
          <w:p w:rsidR="006611D5" w:rsidRPr="00FA739A" w:rsidRDefault="006611D5" w:rsidP="00322A93">
            <w:pPr>
              <w:pStyle w:val="TableText0"/>
              <w:widowControl w:val="0"/>
            </w:pPr>
            <w:r w:rsidRPr="00FA739A">
              <w:t>Fulvestrant</w:t>
            </w:r>
          </w:p>
        </w:tc>
        <w:tc>
          <w:tcPr>
            <w:tcW w:w="2108" w:type="pct"/>
            <w:tcBorders>
              <w:top w:val="single" w:sz="4" w:space="0" w:color="auto"/>
              <w:left w:val="single" w:sz="4" w:space="0" w:color="auto"/>
              <w:bottom w:val="single" w:sz="4" w:space="0" w:color="auto"/>
              <w:right w:val="single" w:sz="4" w:space="0" w:color="auto"/>
            </w:tcBorders>
          </w:tcPr>
          <w:p w:rsidR="006611D5" w:rsidRPr="00FA739A" w:rsidRDefault="006611D5" w:rsidP="00322A93">
            <w:pPr>
              <w:pStyle w:val="TableText0"/>
              <w:widowControl w:val="0"/>
            </w:pPr>
            <w:r w:rsidRPr="00FA739A">
              <w:t>$</w:t>
            </w:r>
            <w:r w:rsidR="00AB6780">
              <w:rPr>
                <w:noProof/>
                <w:color w:val="000000"/>
                <w:highlight w:val="black"/>
              </w:rPr>
              <w:t>''''''''''</w:t>
            </w:r>
          </w:p>
        </w:tc>
        <w:tc>
          <w:tcPr>
            <w:tcW w:w="2094" w:type="pct"/>
            <w:tcBorders>
              <w:top w:val="single" w:sz="4" w:space="0" w:color="auto"/>
              <w:left w:val="single" w:sz="4" w:space="0" w:color="auto"/>
              <w:bottom w:val="single" w:sz="4" w:space="0" w:color="auto"/>
              <w:right w:val="single" w:sz="4" w:space="0" w:color="auto"/>
            </w:tcBorders>
          </w:tcPr>
          <w:p w:rsidR="006611D5" w:rsidRPr="00FA739A" w:rsidRDefault="00A24FDB" w:rsidP="00322A93">
            <w:pPr>
              <w:pStyle w:val="TableText0"/>
              <w:widowControl w:val="0"/>
              <w:rPr>
                <w:snapToGrid w:val="0"/>
                <w:lang w:eastAsia="en-US"/>
              </w:rPr>
            </w:pPr>
            <w:r w:rsidRPr="00FA739A">
              <w:rPr>
                <w:snapToGrid w:val="0"/>
                <w:lang w:eastAsia="en-US"/>
              </w:rPr>
              <w:t>Unchanged</w:t>
            </w:r>
          </w:p>
        </w:tc>
      </w:tr>
      <w:tr w:rsidR="003C28F7" w:rsidRPr="00FA739A" w:rsidTr="00322A93">
        <w:trPr>
          <w:cantSplit/>
          <w:trHeight w:val="249"/>
        </w:trPr>
        <w:tc>
          <w:tcPr>
            <w:tcW w:w="798" w:type="pct"/>
            <w:tcBorders>
              <w:top w:val="single" w:sz="4" w:space="0" w:color="auto"/>
              <w:left w:val="single" w:sz="4" w:space="0" w:color="auto"/>
              <w:bottom w:val="single" w:sz="4" w:space="0" w:color="auto"/>
              <w:right w:val="single" w:sz="4" w:space="0" w:color="auto"/>
            </w:tcBorders>
            <w:hideMark/>
          </w:tcPr>
          <w:p w:rsidR="003C28F7" w:rsidRPr="00FA739A" w:rsidRDefault="003C28F7" w:rsidP="00322A93">
            <w:pPr>
              <w:pStyle w:val="TableText0"/>
              <w:widowControl w:val="0"/>
            </w:pPr>
            <w:r w:rsidRPr="00FA739A">
              <w:t>Comparator</w:t>
            </w:r>
          </w:p>
        </w:tc>
        <w:tc>
          <w:tcPr>
            <w:tcW w:w="2108" w:type="pct"/>
            <w:tcBorders>
              <w:top w:val="single" w:sz="4" w:space="0" w:color="auto"/>
              <w:left w:val="single" w:sz="4" w:space="0" w:color="auto"/>
              <w:bottom w:val="single" w:sz="4" w:space="0" w:color="auto"/>
              <w:right w:val="single" w:sz="4" w:space="0" w:color="auto"/>
            </w:tcBorders>
          </w:tcPr>
          <w:p w:rsidR="003C28F7" w:rsidRPr="00FA739A" w:rsidRDefault="00A24FDB" w:rsidP="00322A93">
            <w:pPr>
              <w:pStyle w:val="TableText0"/>
              <w:widowControl w:val="0"/>
            </w:pPr>
            <w:r w:rsidRPr="00FA739A">
              <w:t>1L: RIBO+NSAI</w:t>
            </w:r>
          </w:p>
          <w:p w:rsidR="00A24FDB" w:rsidRPr="00FA739A" w:rsidRDefault="00A24FDB" w:rsidP="00322A93">
            <w:pPr>
              <w:pStyle w:val="TableText0"/>
              <w:widowControl w:val="0"/>
            </w:pPr>
            <w:r w:rsidRPr="00FA739A">
              <w:t>2L: EXE+EVE</w:t>
            </w:r>
          </w:p>
        </w:tc>
        <w:tc>
          <w:tcPr>
            <w:tcW w:w="2094" w:type="pct"/>
            <w:tcBorders>
              <w:top w:val="single" w:sz="4" w:space="0" w:color="auto"/>
              <w:left w:val="single" w:sz="4" w:space="0" w:color="auto"/>
              <w:bottom w:val="single" w:sz="4" w:space="0" w:color="auto"/>
              <w:right w:val="single" w:sz="4" w:space="0" w:color="auto"/>
            </w:tcBorders>
          </w:tcPr>
          <w:p w:rsidR="003C28F7" w:rsidRPr="00FA739A" w:rsidRDefault="00A24FDB" w:rsidP="00322A93">
            <w:pPr>
              <w:pStyle w:val="TableText0"/>
              <w:widowControl w:val="0"/>
              <w:rPr>
                <w:snapToGrid w:val="0"/>
                <w:lang w:eastAsia="en-US"/>
              </w:rPr>
            </w:pPr>
            <w:r w:rsidRPr="00FA739A">
              <w:rPr>
                <w:snapToGrid w:val="0"/>
                <w:lang w:eastAsia="en-US"/>
              </w:rPr>
              <w:t>Unchanged</w:t>
            </w:r>
          </w:p>
        </w:tc>
      </w:tr>
      <w:tr w:rsidR="003C28F7" w:rsidRPr="00FA739A" w:rsidTr="00A24FDB">
        <w:trPr>
          <w:cantSplit/>
          <w:trHeight w:val="860"/>
        </w:trPr>
        <w:tc>
          <w:tcPr>
            <w:tcW w:w="798" w:type="pct"/>
            <w:tcBorders>
              <w:top w:val="single" w:sz="4" w:space="0" w:color="auto"/>
              <w:left w:val="single" w:sz="4" w:space="0" w:color="auto"/>
              <w:bottom w:val="single" w:sz="4" w:space="0" w:color="auto"/>
              <w:right w:val="single" w:sz="4" w:space="0" w:color="auto"/>
            </w:tcBorders>
            <w:hideMark/>
          </w:tcPr>
          <w:p w:rsidR="003C28F7" w:rsidRPr="00FA739A" w:rsidRDefault="003C28F7" w:rsidP="00322A93">
            <w:pPr>
              <w:pStyle w:val="TableText0"/>
              <w:widowControl w:val="0"/>
              <w:rPr>
                <w:highlight w:val="yellow"/>
              </w:rPr>
            </w:pPr>
            <w:r w:rsidRPr="00FA739A">
              <w:t>Clinical evidence</w:t>
            </w:r>
          </w:p>
        </w:tc>
        <w:tc>
          <w:tcPr>
            <w:tcW w:w="2108" w:type="pct"/>
            <w:tcBorders>
              <w:top w:val="single" w:sz="4" w:space="0" w:color="auto"/>
              <w:left w:val="single" w:sz="4" w:space="0" w:color="auto"/>
              <w:bottom w:val="single" w:sz="4" w:space="0" w:color="auto"/>
              <w:right w:val="single" w:sz="4" w:space="0" w:color="auto"/>
            </w:tcBorders>
          </w:tcPr>
          <w:p w:rsidR="003C28F7" w:rsidRPr="00FA739A" w:rsidRDefault="00A24FDB" w:rsidP="00322A93">
            <w:pPr>
              <w:pStyle w:val="TableText0"/>
              <w:widowControl w:val="0"/>
              <w:rPr>
                <w:snapToGrid w:val="0"/>
                <w:lang w:eastAsia="en-US"/>
              </w:rPr>
            </w:pPr>
            <w:r w:rsidRPr="00FA739A">
              <w:rPr>
                <w:snapToGrid w:val="0"/>
                <w:lang w:eastAsia="en-US"/>
              </w:rPr>
              <w:t>MONALEESA-3 (RIBO+FULV vs PBO+FULV)</w:t>
            </w:r>
          </w:p>
          <w:p w:rsidR="00A24FDB" w:rsidRPr="00FA739A" w:rsidRDefault="00A24FDB" w:rsidP="00322A93">
            <w:pPr>
              <w:pStyle w:val="TableText0"/>
              <w:widowControl w:val="0"/>
              <w:rPr>
                <w:snapToGrid w:val="0"/>
                <w:lang w:eastAsia="en-US"/>
              </w:rPr>
            </w:pPr>
            <w:r w:rsidRPr="00FA739A">
              <w:rPr>
                <w:snapToGrid w:val="0"/>
                <w:lang w:eastAsia="en-US"/>
              </w:rPr>
              <w:t>1L: unanchored MAIC using MONALEESA-2 (RIBO+NSAI vs PBO+</w:t>
            </w:r>
            <w:r w:rsidR="008107FA" w:rsidRPr="00FA739A">
              <w:rPr>
                <w:snapToGrid w:val="0"/>
                <w:lang w:eastAsia="en-US"/>
              </w:rPr>
              <w:t>FULV</w:t>
            </w:r>
            <w:r w:rsidRPr="00FA739A">
              <w:rPr>
                <w:snapToGrid w:val="0"/>
                <w:lang w:eastAsia="en-US"/>
              </w:rPr>
              <w:t>)</w:t>
            </w:r>
          </w:p>
          <w:p w:rsidR="00A24FDB" w:rsidRPr="00FA739A" w:rsidRDefault="00A24FDB" w:rsidP="00322A93">
            <w:pPr>
              <w:pStyle w:val="TableText0"/>
              <w:widowControl w:val="0"/>
              <w:rPr>
                <w:snapToGrid w:val="0"/>
                <w:lang w:eastAsia="en-US"/>
              </w:rPr>
            </w:pPr>
            <w:r w:rsidRPr="00FA739A">
              <w:rPr>
                <w:snapToGrid w:val="0"/>
                <w:lang w:eastAsia="en-US"/>
              </w:rPr>
              <w:t>2L: unanchored MAIC using BOLERO-2 (EVE+EXE vs PBO+EXE)</w:t>
            </w:r>
          </w:p>
        </w:tc>
        <w:tc>
          <w:tcPr>
            <w:tcW w:w="2094" w:type="pct"/>
            <w:tcBorders>
              <w:top w:val="single" w:sz="4" w:space="0" w:color="auto"/>
              <w:left w:val="single" w:sz="4" w:space="0" w:color="auto"/>
              <w:bottom w:val="single" w:sz="4" w:space="0" w:color="auto"/>
              <w:right w:val="single" w:sz="4" w:space="0" w:color="auto"/>
            </w:tcBorders>
          </w:tcPr>
          <w:p w:rsidR="003C28F7" w:rsidRPr="00FA739A" w:rsidRDefault="00A24FDB" w:rsidP="00322A93">
            <w:pPr>
              <w:pStyle w:val="TableText0"/>
              <w:widowControl w:val="0"/>
            </w:pPr>
            <w:r w:rsidRPr="00FA739A">
              <w:t>Unchanged</w:t>
            </w:r>
          </w:p>
        </w:tc>
      </w:tr>
      <w:tr w:rsidR="003C28F7" w:rsidRPr="00FA739A" w:rsidTr="00A24FDB">
        <w:trPr>
          <w:cantSplit/>
          <w:trHeight w:val="860"/>
        </w:trPr>
        <w:tc>
          <w:tcPr>
            <w:tcW w:w="798" w:type="pct"/>
            <w:tcBorders>
              <w:top w:val="single" w:sz="4" w:space="0" w:color="auto"/>
              <w:left w:val="single" w:sz="4" w:space="0" w:color="auto"/>
              <w:bottom w:val="single" w:sz="4" w:space="0" w:color="auto"/>
              <w:right w:val="single" w:sz="4" w:space="0" w:color="auto"/>
            </w:tcBorders>
            <w:hideMark/>
          </w:tcPr>
          <w:p w:rsidR="003C28F7" w:rsidRPr="00FA739A" w:rsidRDefault="003C28F7" w:rsidP="00322A93">
            <w:pPr>
              <w:pStyle w:val="TableText0"/>
              <w:widowControl w:val="0"/>
              <w:rPr>
                <w:highlight w:val="yellow"/>
              </w:rPr>
            </w:pPr>
            <w:r w:rsidRPr="00FA739A">
              <w:t>Key effectiveness data</w:t>
            </w:r>
          </w:p>
        </w:tc>
        <w:tc>
          <w:tcPr>
            <w:tcW w:w="2108" w:type="pct"/>
            <w:tcBorders>
              <w:top w:val="single" w:sz="4" w:space="0" w:color="auto"/>
              <w:left w:val="single" w:sz="4" w:space="0" w:color="auto"/>
              <w:bottom w:val="single" w:sz="4" w:space="0" w:color="auto"/>
              <w:right w:val="single" w:sz="4" w:space="0" w:color="auto"/>
            </w:tcBorders>
          </w:tcPr>
          <w:p w:rsidR="00D30D7C" w:rsidRPr="00FA739A" w:rsidRDefault="00D30D7C" w:rsidP="00322A93">
            <w:pPr>
              <w:pStyle w:val="TableText0"/>
              <w:widowControl w:val="0"/>
              <w:rPr>
                <w:b/>
                <w:snapToGrid w:val="0"/>
                <w:lang w:eastAsia="en-US"/>
              </w:rPr>
            </w:pPr>
            <w:r w:rsidRPr="00FA739A">
              <w:rPr>
                <w:b/>
                <w:snapToGrid w:val="0"/>
                <w:lang w:eastAsia="en-US"/>
              </w:rPr>
              <w:t>1L</w:t>
            </w:r>
          </w:p>
          <w:p w:rsidR="003C28F7" w:rsidRPr="00FA739A" w:rsidRDefault="00A2436D" w:rsidP="00322A93">
            <w:pPr>
              <w:pStyle w:val="TableText0"/>
              <w:widowControl w:val="0"/>
              <w:rPr>
                <w:snapToGrid w:val="0"/>
                <w:lang w:eastAsia="en-US"/>
              </w:rPr>
            </w:pPr>
            <w:r w:rsidRPr="00FA739A">
              <w:rPr>
                <w:snapToGrid w:val="0"/>
                <w:lang w:eastAsia="en-US"/>
              </w:rPr>
              <w:t xml:space="preserve">Weighted PFS </w:t>
            </w:r>
            <w:r w:rsidR="00D30D7C" w:rsidRPr="00FA739A">
              <w:rPr>
                <w:snapToGrid w:val="0"/>
                <w:lang w:eastAsia="en-US"/>
              </w:rPr>
              <w:t>HR 0.92 (95% CI: 0.72, 1.18)</w:t>
            </w:r>
            <w:r w:rsidRPr="00FA739A">
              <w:rPr>
                <w:snapToGrid w:val="0"/>
                <w:lang w:eastAsia="en-US"/>
              </w:rPr>
              <w:t xml:space="preserve"> A</w:t>
            </w:r>
            <w:r w:rsidR="00D30D7C" w:rsidRPr="00FA739A">
              <w:rPr>
                <w:snapToGrid w:val="0"/>
                <w:lang w:eastAsia="en-US"/>
              </w:rPr>
              <w:t>bsolute difference median PFS 2.5 months (95% CI: -3.9, 10.9)</w:t>
            </w:r>
          </w:p>
          <w:p w:rsidR="00A2436D" w:rsidRPr="00FA739A" w:rsidRDefault="00A2436D" w:rsidP="00322A93">
            <w:pPr>
              <w:pStyle w:val="TableText0"/>
              <w:widowControl w:val="0"/>
              <w:rPr>
                <w:snapToGrid w:val="0"/>
                <w:lang w:eastAsia="en-US"/>
              </w:rPr>
            </w:pPr>
            <w:r w:rsidRPr="00FA739A">
              <w:rPr>
                <w:snapToGrid w:val="0"/>
                <w:lang w:eastAsia="en-US"/>
              </w:rPr>
              <w:t xml:space="preserve">Weighted OS </w:t>
            </w:r>
            <w:r w:rsidR="00D30D7C" w:rsidRPr="00FA739A">
              <w:rPr>
                <w:snapToGrid w:val="0"/>
                <w:lang w:eastAsia="en-US"/>
              </w:rPr>
              <w:t>HR 1.08 (95% CI: 0.73, 1.60)</w:t>
            </w:r>
            <w:r w:rsidRPr="00FA739A">
              <w:rPr>
                <w:snapToGrid w:val="0"/>
                <w:lang w:eastAsia="en-US"/>
              </w:rPr>
              <w:t xml:space="preserve"> </w:t>
            </w:r>
          </w:p>
          <w:p w:rsidR="00D30D7C" w:rsidRPr="00FA739A" w:rsidRDefault="00A2436D" w:rsidP="00322A93">
            <w:pPr>
              <w:pStyle w:val="TableText0"/>
              <w:widowControl w:val="0"/>
              <w:rPr>
                <w:snapToGrid w:val="0"/>
                <w:lang w:eastAsia="en-US"/>
              </w:rPr>
            </w:pPr>
            <w:r w:rsidRPr="00FA739A">
              <w:rPr>
                <w:snapToGrid w:val="0"/>
                <w:lang w:eastAsia="en-US"/>
              </w:rPr>
              <w:t>Median OS not reached for active arms</w:t>
            </w:r>
          </w:p>
          <w:p w:rsidR="00A2436D" w:rsidRPr="00FA739A" w:rsidRDefault="00A2436D" w:rsidP="00322A93">
            <w:pPr>
              <w:pStyle w:val="TableText0"/>
              <w:widowControl w:val="0"/>
              <w:rPr>
                <w:b/>
                <w:snapToGrid w:val="0"/>
                <w:lang w:eastAsia="en-US"/>
              </w:rPr>
            </w:pPr>
            <w:r w:rsidRPr="00FA739A">
              <w:rPr>
                <w:b/>
                <w:snapToGrid w:val="0"/>
                <w:lang w:eastAsia="en-US"/>
              </w:rPr>
              <w:t>2L</w:t>
            </w:r>
          </w:p>
          <w:p w:rsidR="00A2436D" w:rsidRPr="00FA739A" w:rsidRDefault="00A2436D" w:rsidP="00322A93">
            <w:pPr>
              <w:pStyle w:val="TableText0"/>
              <w:widowControl w:val="0"/>
              <w:rPr>
                <w:snapToGrid w:val="0"/>
                <w:lang w:eastAsia="en-US"/>
              </w:rPr>
            </w:pPr>
            <w:r w:rsidRPr="00FA739A">
              <w:rPr>
                <w:snapToGrid w:val="0"/>
                <w:lang w:eastAsia="en-US"/>
              </w:rPr>
              <w:t>Weighted PFS HR 0.40 (95% CI: 0.27, 0.56)</w:t>
            </w:r>
          </w:p>
          <w:p w:rsidR="00A2436D" w:rsidRPr="00FA739A" w:rsidRDefault="00A2436D" w:rsidP="00322A93">
            <w:pPr>
              <w:pStyle w:val="TableText0"/>
              <w:widowControl w:val="0"/>
              <w:rPr>
                <w:snapToGrid w:val="0"/>
                <w:lang w:eastAsia="en-US"/>
              </w:rPr>
            </w:pPr>
            <w:r w:rsidRPr="00FA739A">
              <w:rPr>
                <w:snapToGrid w:val="0"/>
                <w:lang w:eastAsia="en-US"/>
              </w:rPr>
              <w:t>Absolute difference median PFS 11.0 months (95% CI: 4.5, 16.0; p&lt;0.0001)</w:t>
            </w:r>
          </w:p>
          <w:p w:rsidR="00A2436D" w:rsidRPr="00FA739A" w:rsidRDefault="00A2436D" w:rsidP="00322A93">
            <w:pPr>
              <w:pStyle w:val="TableText0"/>
              <w:widowControl w:val="0"/>
              <w:rPr>
                <w:snapToGrid w:val="0"/>
                <w:lang w:eastAsia="en-US"/>
              </w:rPr>
            </w:pPr>
            <w:r w:rsidRPr="00FA739A">
              <w:rPr>
                <w:snapToGrid w:val="0"/>
                <w:lang w:eastAsia="en-US"/>
              </w:rPr>
              <w:t xml:space="preserve">Weighted OS HR 0.56 (95% CI: 0.38, 0.80; p=0.004) </w:t>
            </w:r>
          </w:p>
          <w:p w:rsidR="00A2436D" w:rsidRPr="00FA739A" w:rsidRDefault="00A2436D" w:rsidP="00322A93">
            <w:pPr>
              <w:pStyle w:val="TableText0"/>
              <w:widowControl w:val="0"/>
              <w:rPr>
                <w:b/>
                <w:snapToGrid w:val="0"/>
                <w:lang w:eastAsia="en-US"/>
              </w:rPr>
            </w:pPr>
            <w:r w:rsidRPr="00FA739A">
              <w:rPr>
                <w:snapToGrid w:val="0"/>
                <w:lang w:eastAsia="en-US"/>
              </w:rPr>
              <w:t>Median OS not reached for RIBO+FULV</w:t>
            </w:r>
          </w:p>
        </w:tc>
        <w:tc>
          <w:tcPr>
            <w:tcW w:w="2094" w:type="pct"/>
            <w:tcBorders>
              <w:top w:val="single" w:sz="4" w:space="0" w:color="auto"/>
              <w:left w:val="single" w:sz="4" w:space="0" w:color="auto"/>
              <w:bottom w:val="single" w:sz="4" w:space="0" w:color="auto"/>
              <w:right w:val="single" w:sz="4" w:space="0" w:color="auto"/>
            </w:tcBorders>
          </w:tcPr>
          <w:p w:rsidR="003C28F7" w:rsidRPr="00FA739A" w:rsidRDefault="00A2436D" w:rsidP="00322A93">
            <w:pPr>
              <w:pStyle w:val="TableText0"/>
              <w:widowControl w:val="0"/>
            </w:pPr>
            <w:r w:rsidRPr="00FA739A">
              <w:t xml:space="preserve">Unchanged </w:t>
            </w:r>
          </w:p>
        </w:tc>
      </w:tr>
      <w:tr w:rsidR="003C28F7" w:rsidRPr="00FA739A" w:rsidTr="00A24FDB">
        <w:trPr>
          <w:cantSplit/>
          <w:trHeight w:val="860"/>
        </w:trPr>
        <w:tc>
          <w:tcPr>
            <w:tcW w:w="798" w:type="pct"/>
            <w:tcBorders>
              <w:top w:val="single" w:sz="4" w:space="0" w:color="auto"/>
              <w:left w:val="single" w:sz="4" w:space="0" w:color="auto"/>
              <w:bottom w:val="single" w:sz="4" w:space="0" w:color="auto"/>
              <w:right w:val="single" w:sz="4" w:space="0" w:color="auto"/>
            </w:tcBorders>
            <w:hideMark/>
          </w:tcPr>
          <w:p w:rsidR="003C28F7" w:rsidRPr="00FA739A" w:rsidRDefault="003C28F7" w:rsidP="00360428">
            <w:pPr>
              <w:pStyle w:val="TableText0"/>
              <w:keepNext w:val="0"/>
              <w:widowControl w:val="0"/>
            </w:pPr>
            <w:r w:rsidRPr="00FA739A">
              <w:t>Clinical claim</w:t>
            </w:r>
          </w:p>
        </w:tc>
        <w:tc>
          <w:tcPr>
            <w:tcW w:w="2108" w:type="pct"/>
            <w:tcBorders>
              <w:top w:val="single" w:sz="4" w:space="0" w:color="auto"/>
              <w:left w:val="single" w:sz="4" w:space="0" w:color="auto"/>
              <w:bottom w:val="single" w:sz="4" w:space="0" w:color="auto"/>
              <w:right w:val="single" w:sz="4" w:space="0" w:color="auto"/>
            </w:tcBorders>
          </w:tcPr>
          <w:p w:rsidR="00A2436D" w:rsidRPr="00FA739A" w:rsidRDefault="00A2436D" w:rsidP="00360428">
            <w:pPr>
              <w:pStyle w:val="TableText0"/>
              <w:keepNext w:val="0"/>
              <w:widowControl w:val="0"/>
            </w:pPr>
            <w:r w:rsidRPr="00FA739A">
              <w:t>RIBO+FULV provides non-inferior effectiveness and safety compared to RIBO+NSAI in the first-line treatment setting.</w:t>
            </w:r>
          </w:p>
          <w:p w:rsidR="003C28F7" w:rsidRPr="00FA739A" w:rsidRDefault="00A2436D" w:rsidP="00360428">
            <w:pPr>
              <w:pStyle w:val="TableText0"/>
              <w:keepNext w:val="0"/>
              <w:widowControl w:val="0"/>
            </w:pPr>
            <w:r w:rsidRPr="00FA739A">
              <w:t>RIBO+FULV provides superior effectiveness and safety to EVE+EXE in the second-line treatment setting.</w:t>
            </w:r>
          </w:p>
        </w:tc>
        <w:tc>
          <w:tcPr>
            <w:tcW w:w="2094" w:type="pct"/>
            <w:tcBorders>
              <w:top w:val="single" w:sz="4" w:space="0" w:color="auto"/>
              <w:left w:val="single" w:sz="4" w:space="0" w:color="auto"/>
              <w:bottom w:val="single" w:sz="4" w:space="0" w:color="auto"/>
              <w:right w:val="single" w:sz="4" w:space="0" w:color="auto"/>
            </w:tcBorders>
          </w:tcPr>
          <w:p w:rsidR="003C28F7" w:rsidRPr="00FA739A" w:rsidRDefault="00A2436D" w:rsidP="00360428">
            <w:pPr>
              <w:pStyle w:val="TableText0"/>
              <w:keepNext w:val="0"/>
              <w:widowControl w:val="0"/>
            </w:pPr>
            <w:r w:rsidRPr="00FA739A">
              <w:t>Unchanged</w:t>
            </w:r>
          </w:p>
        </w:tc>
      </w:tr>
      <w:tr w:rsidR="003C28F7" w:rsidRPr="00FA739A" w:rsidTr="00A2436D">
        <w:trPr>
          <w:cantSplit/>
          <w:trHeight w:val="860"/>
        </w:trPr>
        <w:tc>
          <w:tcPr>
            <w:tcW w:w="798" w:type="pct"/>
            <w:tcBorders>
              <w:top w:val="single" w:sz="4" w:space="0" w:color="auto"/>
              <w:left w:val="single" w:sz="4" w:space="0" w:color="auto"/>
              <w:bottom w:val="single" w:sz="4" w:space="0" w:color="auto"/>
              <w:right w:val="single" w:sz="4" w:space="0" w:color="auto"/>
            </w:tcBorders>
            <w:hideMark/>
          </w:tcPr>
          <w:p w:rsidR="003C28F7" w:rsidRPr="00FA739A" w:rsidRDefault="003C28F7" w:rsidP="00360428">
            <w:pPr>
              <w:pStyle w:val="TableText0"/>
              <w:keepNext w:val="0"/>
              <w:widowControl w:val="0"/>
              <w:rPr>
                <w:highlight w:val="yellow"/>
              </w:rPr>
            </w:pPr>
            <w:r w:rsidRPr="00FA739A">
              <w:t>Economic evaluation</w:t>
            </w:r>
          </w:p>
        </w:tc>
        <w:tc>
          <w:tcPr>
            <w:tcW w:w="2108" w:type="pct"/>
            <w:tcBorders>
              <w:top w:val="single" w:sz="4" w:space="0" w:color="auto"/>
              <w:left w:val="single" w:sz="4" w:space="0" w:color="auto"/>
              <w:bottom w:val="single" w:sz="4" w:space="0" w:color="auto"/>
              <w:right w:val="single" w:sz="4" w:space="0" w:color="auto"/>
            </w:tcBorders>
          </w:tcPr>
          <w:p w:rsidR="003C28F7" w:rsidRPr="00FA739A" w:rsidRDefault="00A2436D" w:rsidP="00360428">
            <w:pPr>
              <w:pStyle w:val="TableText0"/>
              <w:keepNext w:val="0"/>
              <w:widowControl w:val="0"/>
              <w:rPr>
                <w:iCs/>
              </w:rPr>
            </w:pPr>
            <w:r w:rsidRPr="00FA739A">
              <w:rPr>
                <w:iCs/>
              </w:rPr>
              <w:t>1L Cost-minimisation</w:t>
            </w:r>
            <w:r w:rsidR="00D367D9" w:rsidRPr="00FA739A">
              <w:rPr>
                <w:iCs/>
              </w:rPr>
              <w:t xml:space="preserve"> vs RIBO+NSAI assuming no difference in dose, duration or dose intensity.</w:t>
            </w:r>
          </w:p>
          <w:p w:rsidR="00D367D9" w:rsidRPr="00FA739A" w:rsidRDefault="00D367D9" w:rsidP="00360428">
            <w:pPr>
              <w:pStyle w:val="TableText0"/>
              <w:keepNext w:val="0"/>
              <w:widowControl w:val="0"/>
              <w:rPr>
                <w:iCs/>
              </w:rPr>
            </w:pPr>
            <w:r w:rsidRPr="00FA739A">
              <w:rPr>
                <w:iCs/>
              </w:rPr>
              <w:t>2L Cost-effectiveness analysis vs EVE+EXE</w:t>
            </w:r>
          </w:p>
        </w:tc>
        <w:tc>
          <w:tcPr>
            <w:tcW w:w="2094" w:type="pct"/>
            <w:tcBorders>
              <w:top w:val="single" w:sz="4" w:space="0" w:color="auto"/>
              <w:left w:val="single" w:sz="4" w:space="0" w:color="auto"/>
              <w:bottom w:val="single" w:sz="4" w:space="0" w:color="auto"/>
              <w:right w:val="single" w:sz="4" w:space="0" w:color="auto"/>
            </w:tcBorders>
          </w:tcPr>
          <w:p w:rsidR="003C28F7" w:rsidRPr="00FA739A" w:rsidRDefault="00D367D9" w:rsidP="00360428">
            <w:pPr>
              <w:pStyle w:val="TableText0"/>
              <w:keepNext w:val="0"/>
              <w:widowControl w:val="0"/>
            </w:pPr>
            <w:r w:rsidRPr="00FA739A">
              <w:t>1L Cost-minimisation unchanged</w:t>
            </w:r>
          </w:p>
          <w:p w:rsidR="00E04090" w:rsidRPr="00FA739A" w:rsidRDefault="00E04090" w:rsidP="00360428">
            <w:pPr>
              <w:pStyle w:val="TableText0"/>
              <w:keepNext w:val="0"/>
              <w:widowControl w:val="0"/>
            </w:pPr>
            <w:r w:rsidRPr="00FA739A">
              <w:t>2L Cost-effectiveness analysis including changes:</w:t>
            </w:r>
          </w:p>
          <w:p w:rsidR="00E04090" w:rsidRPr="00FA739A" w:rsidRDefault="00E04090" w:rsidP="00090640">
            <w:pPr>
              <w:pStyle w:val="TableText0"/>
              <w:keepNext w:val="0"/>
              <w:widowControl w:val="0"/>
              <w:numPr>
                <w:ilvl w:val="0"/>
                <w:numId w:val="27"/>
              </w:numPr>
              <w:ind w:left="399" w:hanging="142"/>
            </w:pPr>
            <w:r w:rsidRPr="00FA739A">
              <w:t>reduction in time horizon from 10 years to 7 years</w:t>
            </w:r>
          </w:p>
          <w:p w:rsidR="00E04090" w:rsidRPr="00FA739A" w:rsidRDefault="00E04090" w:rsidP="00090640">
            <w:pPr>
              <w:pStyle w:val="TableText0"/>
              <w:keepNext w:val="0"/>
              <w:widowControl w:val="0"/>
              <w:numPr>
                <w:ilvl w:val="0"/>
                <w:numId w:val="27"/>
              </w:numPr>
              <w:ind w:left="399" w:hanging="142"/>
            </w:pPr>
            <w:r w:rsidRPr="00FA739A">
              <w:t>extrapolation of survival curves methodology changed</w:t>
            </w:r>
          </w:p>
        </w:tc>
      </w:tr>
      <w:tr w:rsidR="003C28F7" w:rsidRPr="00FA739A" w:rsidTr="00A24FDB">
        <w:trPr>
          <w:cantSplit/>
          <w:trHeight w:val="416"/>
        </w:trPr>
        <w:tc>
          <w:tcPr>
            <w:tcW w:w="798" w:type="pct"/>
            <w:tcBorders>
              <w:top w:val="single" w:sz="4" w:space="0" w:color="auto"/>
              <w:left w:val="single" w:sz="4" w:space="0" w:color="auto"/>
              <w:bottom w:val="single" w:sz="4" w:space="0" w:color="auto"/>
              <w:right w:val="single" w:sz="4" w:space="0" w:color="auto"/>
            </w:tcBorders>
            <w:hideMark/>
          </w:tcPr>
          <w:p w:rsidR="003C28F7" w:rsidRPr="00FA739A" w:rsidRDefault="003C28F7" w:rsidP="00360428">
            <w:pPr>
              <w:pStyle w:val="TableText0"/>
              <w:keepNext w:val="0"/>
              <w:widowControl w:val="0"/>
              <w:rPr>
                <w:highlight w:val="yellow"/>
              </w:rPr>
            </w:pPr>
            <w:r w:rsidRPr="00FA739A">
              <w:lastRenderedPageBreak/>
              <w:t>Number of patients</w:t>
            </w:r>
          </w:p>
        </w:tc>
        <w:tc>
          <w:tcPr>
            <w:tcW w:w="2108" w:type="pct"/>
            <w:tcBorders>
              <w:top w:val="single" w:sz="4" w:space="0" w:color="auto"/>
              <w:left w:val="single" w:sz="4" w:space="0" w:color="auto"/>
              <w:bottom w:val="single" w:sz="4" w:space="0" w:color="auto"/>
              <w:right w:val="single" w:sz="4" w:space="0" w:color="auto"/>
            </w:tcBorders>
          </w:tcPr>
          <w:p w:rsidR="00E04090" w:rsidRPr="00FA739A" w:rsidRDefault="00E04090" w:rsidP="00360428">
            <w:pPr>
              <w:widowControl w:val="0"/>
              <w:jc w:val="left"/>
              <w:rPr>
                <w:rFonts w:ascii="Arial Narrow" w:eastAsiaTheme="majorEastAsia" w:hAnsi="Arial Narrow" w:cstheme="majorBidi"/>
                <w:bCs/>
                <w:sz w:val="20"/>
              </w:rPr>
            </w:pPr>
            <w:r w:rsidRPr="00FA739A">
              <w:rPr>
                <w:rFonts w:ascii="Arial Narrow" w:eastAsiaTheme="majorEastAsia" w:hAnsi="Arial Narrow" w:cstheme="majorBidi"/>
                <w:bCs/>
                <w:sz w:val="20"/>
              </w:rPr>
              <w:t>The submission used a combined epidemiological and market share approach.</w:t>
            </w:r>
          </w:p>
          <w:p w:rsidR="00E04090" w:rsidRPr="00FA739A" w:rsidRDefault="00E04090" w:rsidP="00360428">
            <w:pPr>
              <w:widowControl w:val="0"/>
              <w:jc w:val="left"/>
              <w:rPr>
                <w:rFonts w:ascii="Arial Narrow" w:eastAsiaTheme="majorEastAsia" w:hAnsi="Arial Narrow" w:cstheme="majorBidi"/>
                <w:bCs/>
                <w:sz w:val="20"/>
              </w:rPr>
            </w:pPr>
          </w:p>
          <w:p w:rsidR="003C28F7" w:rsidRPr="00FA739A" w:rsidRDefault="00805463" w:rsidP="00360428">
            <w:pPr>
              <w:pStyle w:val="TableText0"/>
              <w:keepNext w:val="0"/>
              <w:widowControl w:val="0"/>
            </w:pPr>
            <w:r w:rsidRPr="00FA739A">
              <w:t xml:space="preserve">1L: </w:t>
            </w:r>
            <w:r w:rsidR="00E04090" w:rsidRPr="00FA739A">
              <w:t xml:space="preserve">Estimated </w:t>
            </w:r>
            <w:r w:rsidR="00A65BD0">
              <w:t>500 to &lt; 5000</w:t>
            </w:r>
            <w:r w:rsidR="00A65BD0" w:rsidRPr="00FA739A">
              <w:t xml:space="preserve"> </w:t>
            </w:r>
            <w:r w:rsidR="00E04090" w:rsidRPr="00FA739A">
              <w:t>patients (</w:t>
            </w:r>
            <w:r w:rsidR="00A65BD0">
              <w:t xml:space="preserve">500 to &lt; 5,000 </w:t>
            </w:r>
            <w:r w:rsidR="00E04090" w:rsidRPr="00FA739A">
              <w:t xml:space="preserve">scripts) in year 1, increasing to </w:t>
            </w:r>
            <w:r w:rsidR="00A65BD0">
              <w:t xml:space="preserve">500 to &lt; 5,000 </w:t>
            </w:r>
            <w:r w:rsidR="00E04090" w:rsidRPr="00FA739A">
              <w:t>patients (</w:t>
            </w:r>
            <w:r w:rsidR="00A65BD0">
              <w:t xml:space="preserve">20,000 to &lt; 30,000 </w:t>
            </w:r>
            <w:r w:rsidR="00E04090" w:rsidRPr="00FA739A">
              <w:t>scripts) in year 6.</w:t>
            </w:r>
          </w:p>
          <w:p w:rsidR="00805463" w:rsidRPr="00FA739A" w:rsidRDefault="00805463" w:rsidP="00360428">
            <w:pPr>
              <w:pStyle w:val="TableText0"/>
              <w:keepNext w:val="0"/>
              <w:widowControl w:val="0"/>
            </w:pPr>
            <w:r w:rsidRPr="00FA739A">
              <w:t xml:space="preserve">2L: Estimated 500 </w:t>
            </w:r>
            <w:r w:rsidR="00A65BD0">
              <w:t xml:space="preserve">to &lt; 5000 </w:t>
            </w:r>
            <w:r w:rsidRPr="00FA739A">
              <w:t>patients (</w:t>
            </w:r>
            <w:r w:rsidR="00A65BD0">
              <w:t xml:space="preserve">5,000 to &lt; 10,000 </w:t>
            </w:r>
            <w:r w:rsidRPr="00FA739A">
              <w:t>scripts) in year 1, increasing to 627 patients (</w:t>
            </w:r>
            <w:r w:rsidR="00A65BD0">
              <w:t>10,000 to &lt; 20,000</w:t>
            </w:r>
            <w:r w:rsidRPr="00FA739A">
              <w:t xml:space="preserve"> scripts) in year 6.</w:t>
            </w:r>
          </w:p>
          <w:p w:rsidR="007A7BB9" w:rsidRPr="00FA739A" w:rsidRDefault="007A7BB9" w:rsidP="00360428">
            <w:pPr>
              <w:pStyle w:val="TableText0"/>
              <w:keepNext w:val="0"/>
              <w:widowControl w:val="0"/>
            </w:pPr>
            <w:r w:rsidRPr="00FA739A">
              <w:t>(paragraph 6.79, Table 22)</w:t>
            </w:r>
          </w:p>
        </w:tc>
        <w:tc>
          <w:tcPr>
            <w:tcW w:w="2094" w:type="pct"/>
            <w:tcBorders>
              <w:top w:val="single" w:sz="4" w:space="0" w:color="auto"/>
              <w:left w:val="single" w:sz="4" w:space="0" w:color="auto"/>
              <w:bottom w:val="single" w:sz="4" w:space="0" w:color="auto"/>
              <w:right w:val="single" w:sz="4" w:space="0" w:color="auto"/>
            </w:tcBorders>
          </w:tcPr>
          <w:p w:rsidR="007000DD" w:rsidRPr="00FA739A" w:rsidRDefault="007000DD" w:rsidP="00360428">
            <w:pPr>
              <w:widowControl w:val="0"/>
              <w:jc w:val="left"/>
              <w:rPr>
                <w:rFonts w:ascii="Arial Narrow" w:eastAsiaTheme="majorEastAsia" w:hAnsi="Arial Narrow" w:cstheme="majorBidi"/>
                <w:bCs/>
                <w:sz w:val="20"/>
              </w:rPr>
            </w:pPr>
            <w:r w:rsidRPr="00FA739A">
              <w:rPr>
                <w:rFonts w:ascii="Arial Narrow" w:eastAsiaTheme="majorEastAsia" w:hAnsi="Arial Narrow" w:cstheme="majorBidi"/>
                <w:bCs/>
                <w:sz w:val="20"/>
              </w:rPr>
              <w:t>Overall approach unchanged. Changes include:</w:t>
            </w:r>
          </w:p>
          <w:p w:rsidR="007000DD" w:rsidRPr="00FA739A" w:rsidRDefault="007000DD" w:rsidP="00090640">
            <w:pPr>
              <w:pStyle w:val="ListParagraph"/>
              <w:widowControl w:val="0"/>
              <w:numPr>
                <w:ilvl w:val="0"/>
                <w:numId w:val="27"/>
              </w:numPr>
              <w:spacing w:after="0"/>
              <w:ind w:left="399" w:hanging="141"/>
              <w:rPr>
                <w:rFonts w:ascii="Arial Narrow" w:eastAsiaTheme="majorEastAsia" w:hAnsi="Arial Narrow" w:cstheme="majorBidi"/>
                <w:bCs/>
                <w:sz w:val="20"/>
              </w:rPr>
            </w:pPr>
            <w:r w:rsidRPr="00FA739A">
              <w:rPr>
                <w:rFonts w:ascii="Arial Narrow" w:eastAsiaTheme="majorEastAsia" w:hAnsi="Arial Narrow" w:cstheme="majorBidi"/>
                <w:bCs/>
                <w:sz w:val="20"/>
              </w:rPr>
              <w:t>reduced uptake</w:t>
            </w:r>
            <w:r w:rsidR="000E025D" w:rsidRPr="00FA739A">
              <w:rPr>
                <w:rFonts w:ascii="Arial Narrow" w:eastAsiaTheme="majorEastAsia" w:hAnsi="Arial Narrow" w:cstheme="majorBidi"/>
                <w:bCs/>
                <w:sz w:val="20"/>
              </w:rPr>
              <w:t xml:space="preserve"> and substitution</w:t>
            </w:r>
            <w:r w:rsidRPr="00FA739A">
              <w:rPr>
                <w:rFonts w:ascii="Arial Narrow" w:eastAsiaTheme="majorEastAsia" w:hAnsi="Arial Narrow" w:cstheme="majorBidi"/>
                <w:bCs/>
                <w:sz w:val="20"/>
              </w:rPr>
              <w:t xml:space="preserve"> rates</w:t>
            </w:r>
          </w:p>
          <w:p w:rsidR="007000DD" w:rsidRPr="00FA739A" w:rsidRDefault="007000DD" w:rsidP="00090640">
            <w:pPr>
              <w:pStyle w:val="ListParagraph"/>
              <w:widowControl w:val="0"/>
              <w:numPr>
                <w:ilvl w:val="0"/>
                <w:numId w:val="27"/>
              </w:numPr>
              <w:spacing w:after="0"/>
              <w:ind w:left="399" w:hanging="141"/>
              <w:rPr>
                <w:rFonts w:ascii="Arial Narrow" w:eastAsiaTheme="majorEastAsia" w:hAnsi="Arial Narrow" w:cstheme="majorBidi"/>
                <w:bCs/>
                <w:sz w:val="20"/>
              </w:rPr>
            </w:pPr>
            <w:r w:rsidRPr="00FA739A">
              <w:rPr>
                <w:rFonts w:ascii="Arial Narrow" w:eastAsiaTheme="majorEastAsia" w:hAnsi="Arial Narrow" w:cstheme="majorBidi"/>
                <w:bCs/>
                <w:sz w:val="20"/>
              </w:rPr>
              <w:t>assumed EVE+EXE negative growth</w:t>
            </w:r>
          </w:p>
          <w:p w:rsidR="00395D6B" w:rsidRPr="00FA739A" w:rsidRDefault="00395D6B" w:rsidP="00090640">
            <w:pPr>
              <w:pStyle w:val="ListParagraph"/>
              <w:widowControl w:val="0"/>
              <w:numPr>
                <w:ilvl w:val="0"/>
                <w:numId w:val="27"/>
              </w:numPr>
              <w:spacing w:after="0"/>
              <w:ind w:left="399" w:hanging="141"/>
              <w:rPr>
                <w:rFonts w:ascii="Arial Narrow" w:eastAsiaTheme="majorEastAsia" w:hAnsi="Arial Narrow" w:cstheme="majorBidi"/>
                <w:bCs/>
                <w:sz w:val="20"/>
              </w:rPr>
            </w:pPr>
            <w:r w:rsidRPr="00FA739A">
              <w:rPr>
                <w:rFonts w:ascii="Arial Narrow" w:eastAsiaTheme="majorEastAsia" w:hAnsi="Arial Narrow" w:cstheme="majorBidi"/>
                <w:bCs/>
                <w:sz w:val="20"/>
              </w:rPr>
              <w:t>price reduced</w:t>
            </w:r>
          </w:p>
          <w:p w:rsidR="007000DD" w:rsidRPr="00FA739A" w:rsidRDefault="007000DD" w:rsidP="00360428">
            <w:pPr>
              <w:pStyle w:val="TableText0"/>
              <w:keepNext w:val="0"/>
              <w:widowControl w:val="0"/>
            </w:pPr>
            <w:r w:rsidRPr="00FA739A">
              <w:t xml:space="preserve">1L: Estimated </w:t>
            </w:r>
            <w:r w:rsidR="00A65BD0">
              <w:t>&lt; 500</w:t>
            </w:r>
            <w:r w:rsidRPr="00FA739A">
              <w:t xml:space="preserve"> patients (</w:t>
            </w:r>
            <w:r w:rsidR="00A65BD0" w:rsidRPr="00A65BD0">
              <w:t>5,000 to &lt; 10,000</w:t>
            </w:r>
            <w:r w:rsidRPr="00FA739A">
              <w:t xml:space="preserve">) in year 1, increasing to </w:t>
            </w:r>
            <w:r w:rsidR="00A65BD0">
              <w:t>500 to &lt; 5,000</w:t>
            </w:r>
            <w:r w:rsidRPr="00FA739A">
              <w:t xml:space="preserve"> patients (</w:t>
            </w:r>
            <w:r w:rsidR="00A65BD0">
              <w:t>20,000 to &lt; 30,000</w:t>
            </w:r>
            <w:r w:rsidRPr="00FA739A">
              <w:t xml:space="preserve"> scripts) in year 6.</w:t>
            </w:r>
          </w:p>
          <w:p w:rsidR="003C28F7" w:rsidRPr="00FA739A" w:rsidRDefault="007000DD" w:rsidP="00C101D3">
            <w:pPr>
              <w:pStyle w:val="TableText0"/>
              <w:keepNext w:val="0"/>
              <w:widowControl w:val="0"/>
            </w:pPr>
            <w:r w:rsidRPr="00FA739A">
              <w:t xml:space="preserve">2L: Estimated </w:t>
            </w:r>
            <w:r w:rsidR="00A65BD0">
              <w:t xml:space="preserve">&lt; 500 </w:t>
            </w:r>
            <w:r w:rsidR="00A65BD0" w:rsidRPr="00FA739A">
              <w:t xml:space="preserve">patients </w:t>
            </w:r>
            <w:r w:rsidRPr="00FA739A">
              <w:t>(</w:t>
            </w:r>
            <w:r w:rsidR="00A65BD0" w:rsidRPr="00A65BD0">
              <w:t>5,000 to &lt; 10,000</w:t>
            </w:r>
            <w:r w:rsidRPr="00FA739A">
              <w:t xml:space="preserve"> scripts)</w:t>
            </w:r>
            <w:r w:rsidR="00395D6B" w:rsidRPr="00FA739A">
              <w:t xml:space="preserve"> in year 1, de</w:t>
            </w:r>
            <w:r w:rsidRPr="00FA739A">
              <w:t xml:space="preserve">creasing to </w:t>
            </w:r>
            <w:r w:rsidR="00A65BD0">
              <w:t>&lt; 500</w:t>
            </w:r>
            <w:r w:rsidR="00A65BD0" w:rsidRPr="00FA739A">
              <w:t xml:space="preserve"> </w:t>
            </w:r>
            <w:r w:rsidRPr="00FA739A">
              <w:t>patients (</w:t>
            </w:r>
            <w:r w:rsidR="00A65BD0">
              <w:t>500 to &lt; 5,000</w:t>
            </w:r>
            <w:r w:rsidRPr="00FA739A">
              <w:t xml:space="preserve"> scripts) in year 6.</w:t>
            </w:r>
          </w:p>
        </w:tc>
      </w:tr>
      <w:tr w:rsidR="003C28F7" w:rsidRPr="00FA739A" w:rsidTr="00A24FDB">
        <w:trPr>
          <w:cantSplit/>
          <w:trHeight w:val="416"/>
        </w:trPr>
        <w:tc>
          <w:tcPr>
            <w:tcW w:w="798" w:type="pct"/>
            <w:tcBorders>
              <w:top w:val="single" w:sz="4" w:space="0" w:color="auto"/>
              <w:left w:val="single" w:sz="4" w:space="0" w:color="auto"/>
              <w:bottom w:val="single" w:sz="4" w:space="0" w:color="auto"/>
              <w:right w:val="single" w:sz="4" w:space="0" w:color="auto"/>
            </w:tcBorders>
            <w:hideMark/>
          </w:tcPr>
          <w:p w:rsidR="003C28F7" w:rsidRPr="00FA739A" w:rsidRDefault="003C28F7" w:rsidP="00360428">
            <w:pPr>
              <w:pStyle w:val="TableText0"/>
              <w:keepNext w:val="0"/>
              <w:widowControl w:val="0"/>
              <w:rPr>
                <w:highlight w:val="yellow"/>
              </w:rPr>
            </w:pPr>
            <w:r w:rsidRPr="00FA739A">
              <w:t>Estimated net cost to PBS</w:t>
            </w:r>
          </w:p>
        </w:tc>
        <w:tc>
          <w:tcPr>
            <w:tcW w:w="2108" w:type="pct"/>
            <w:tcBorders>
              <w:top w:val="single" w:sz="4" w:space="0" w:color="auto"/>
              <w:left w:val="single" w:sz="4" w:space="0" w:color="auto"/>
              <w:bottom w:val="single" w:sz="4" w:space="0" w:color="auto"/>
              <w:right w:val="single" w:sz="4" w:space="0" w:color="auto"/>
            </w:tcBorders>
          </w:tcPr>
          <w:p w:rsidR="003C28F7" w:rsidRPr="00FA739A" w:rsidRDefault="007000DD" w:rsidP="00360428">
            <w:pPr>
              <w:pStyle w:val="TableText0"/>
              <w:keepNext w:val="0"/>
              <w:widowControl w:val="0"/>
            </w:pPr>
            <w:r w:rsidRPr="00FA739A">
              <w:t xml:space="preserve">Net cost to PBS/RPBS of </w:t>
            </w:r>
            <w:r w:rsidR="00783D4C" w:rsidRPr="00783D4C">
              <w:t>$50 million to &lt; $60 million</w:t>
            </w:r>
            <w:r w:rsidR="00805463" w:rsidRPr="00FA739A">
              <w:t xml:space="preserve"> in Year 6, and a total of </w:t>
            </w:r>
            <w:r w:rsidR="00783D4C">
              <w:t>$200 million to &lt; $30</w:t>
            </w:r>
            <w:r w:rsidR="00783D4C" w:rsidRPr="00783D4C">
              <w:t>0 million</w:t>
            </w:r>
            <w:r w:rsidR="00805463" w:rsidRPr="00FA739A">
              <w:t>in the first 6 years of listing</w:t>
            </w:r>
            <w:r w:rsidRPr="00FA739A">
              <w:t>.</w:t>
            </w:r>
          </w:p>
        </w:tc>
        <w:tc>
          <w:tcPr>
            <w:tcW w:w="2094" w:type="pct"/>
            <w:tcBorders>
              <w:top w:val="single" w:sz="4" w:space="0" w:color="auto"/>
              <w:left w:val="single" w:sz="4" w:space="0" w:color="auto"/>
              <w:bottom w:val="single" w:sz="4" w:space="0" w:color="auto"/>
              <w:right w:val="single" w:sz="4" w:space="0" w:color="auto"/>
            </w:tcBorders>
          </w:tcPr>
          <w:p w:rsidR="003C28F7" w:rsidRPr="00FA739A" w:rsidRDefault="007000DD" w:rsidP="00360428">
            <w:pPr>
              <w:pStyle w:val="TableText0"/>
              <w:keepNext w:val="0"/>
              <w:widowControl w:val="0"/>
            </w:pPr>
            <w:r w:rsidRPr="00FA739A">
              <w:t xml:space="preserve">Net cost to PBS/RPBS of </w:t>
            </w:r>
            <w:r w:rsidR="00783D4C">
              <w:t>$10 million to &lt; $2</w:t>
            </w:r>
            <w:r w:rsidR="00783D4C" w:rsidRPr="00783D4C">
              <w:t>0 million</w:t>
            </w:r>
            <w:r w:rsidR="00783D4C">
              <w:t xml:space="preserve"> </w:t>
            </w:r>
            <w:r w:rsidRPr="00FA739A">
              <w:t xml:space="preserve">in Year 6, and a total of </w:t>
            </w:r>
            <w:r w:rsidR="00783D4C">
              <w:t>$80 million to &lt; $9</w:t>
            </w:r>
            <w:r w:rsidR="00783D4C" w:rsidRPr="00783D4C">
              <w:t>0 million</w:t>
            </w:r>
            <w:r w:rsidRPr="00FA739A">
              <w:t>in the first 6 years of listing.</w:t>
            </w:r>
          </w:p>
        </w:tc>
      </w:tr>
      <w:tr w:rsidR="003C28F7" w:rsidRPr="00FA739A" w:rsidTr="00A24FDB">
        <w:trPr>
          <w:cantSplit/>
          <w:trHeight w:val="416"/>
        </w:trPr>
        <w:tc>
          <w:tcPr>
            <w:tcW w:w="798" w:type="pct"/>
            <w:tcBorders>
              <w:top w:val="single" w:sz="4" w:space="0" w:color="auto"/>
              <w:left w:val="single" w:sz="4" w:space="0" w:color="auto"/>
              <w:bottom w:val="single" w:sz="4" w:space="0" w:color="auto"/>
              <w:right w:val="single" w:sz="4" w:space="0" w:color="auto"/>
            </w:tcBorders>
            <w:hideMark/>
          </w:tcPr>
          <w:p w:rsidR="003C28F7" w:rsidRPr="00FA739A" w:rsidRDefault="003C28F7" w:rsidP="00360428">
            <w:pPr>
              <w:pStyle w:val="TableText0"/>
              <w:keepNext w:val="0"/>
              <w:widowControl w:val="0"/>
            </w:pPr>
            <w:r w:rsidRPr="00FA739A">
              <w:t>Risk sharing arrangement</w:t>
            </w:r>
          </w:p>
        </w:tc>
        <w:tc>
          <w:tcPr>
            <w:tcW w:w="2108" w:type="pct"/>
            <w:tcBorders>
              <w:top w:val="single" w:sz="4" w:space="0" w:color="auto"/>
              <w:left w:val="single" w:sz="4" w:space="0" w:color="auto"/>
              <w:bottom w:val="single" w:sz="4" w:space="0" w:color="auto"/>
              <w:right w:val="single" w:sz="4" w:space="0" w:color="auto"/>
            </w:tcBorders>
          </w:tcPr>
          <w:p w:rsidR="003C28F7" w:rsidRPr="00FA739A" w:rsidRDefault="007000DD" w:rsidP="00360428">
            <w:pPr>
              <w:pStyle w:val="TableText0"/>
              <w:keepNext w:val="0"/>
              <w:widowControl w:val="0"/>
            </w:pPr>
            <w:r w:rsidRPr="00FA739A">
              <w:t xml:space="preserve">The increases to the financial caps proposed in the pre-PBAC response would result in a net cost to PBS/RPBS of </w:t>
            </w:r>
            <w:r w:rsidR="00783D4C">
              <w:t>$90 million to &lt; $10</w:t>
            </w:r>
            <w:r w:rsidR="00783D4C" w:rsidRPr="00783D4C">
              <w:t>0 million</w:t>
            </w:r>
            <w:r w:rsidR="00395D6B" w:rsidRPr="00FA739A">
              <w:t xml:space="preserve"> over the first 5</w:t>
            </w:r>
            <w:r w:rsidRPr="00FA739A">
              <w:t xml:space="preserve"> years of listing.</w:t>
            </w:r>
            <w:r w:rsidR="005358BA" w:rsidRPr="00FA739A">
              <w:t xml:space="preserve"> (paragraph 6.92)</w:t>
            </w:r>
          </w:p>
        </w:tc>
        <w:tc>
          <w:tcPr>
            <w:tcW w:w="2094" w:type="pct"/>
            <w:tcBorders>
              <w:top w:val="single" w:sz="4" w:space="0" w:color="auto"/>
              <w:left w:val="single" w:sz="4" w:space="0" w:color="auto"/>
              <w:bottom w:val="single" w:sz="4" w:space="0" w:color="auto"/>
              <w:right w:val="single" w:sz="4" w:space="0" w:color="auto"/>
            </w:tcBorders>
          </w:tcPr>
          <w:p w:rsidR="003C28F7" w:rsidRPr="00FA739A" w:rsidRDefault="00395D6B" w:rsidP="00783D4C">
            <w:pPr>
              <w:pStyle w:val="TableText0"/>
              <w:keepNext w:val="0"/>
              <w:widowControl w:val="0"/>
            </w:pPr>
            <w:r w:rsidRPr="00FA739A">
              <w:t xml:space="preserve">Net cost to PBS/RPBS of </w:t>
            </w:r>
            <w:r w:rsidR="00783D4C" w:rsidRPr="00783D4C">
              <w:t>$</w:t>
            </w:r>
            <w:r w:rsidR="00783D4C">
              <w:t>4</w:t>
            </w:r>
            <w:r w:rsidR="00783D4C" w:rsidRPr="00783D4C">
              <w:t>0 million to &lt; $</w:t>
            </w:r>
            <w:r w:rsidR="00783D4C">
              <w:t>5</w:t>
            </w:r>
            <w:r w:rsidR="00783D4C" w:rsidRPr="00783D4C">
              <w:t>0 million</w:t>
            </w:r>
            <w:r w:rsidR="00783D4C">
              <w:t xml:space="preserve"> </w:t>
            </w:r>
            <w:r w:rsidRPr="00FA739A">
              <w:t>over the first 5 years of listing (</w:t>
            </w:r>
            <w:r w:rsidR="00783D4C">
              <w:t>$30 million to &lt; $4</w:t>
            </w:r>
            <w:r w:rsidR="00783D4C" w:rsidRPr="00783D4C">
              <w:t>0 million</w:t>
            </w:r>
            <w:r w:rsidRPr="00FA739A">
              <w:t xml:space="preserve"> for 2L). </w:t>
            </w:r>
            <w:r w:rsidR="005B09E2" w:rsidRPr="00FA739A">
              <w:t>E</w:t>
            </w:r>
            <w:r w:rsidR="005358BA" w:rsidRPr="00FA739A">
              <w:t>xisting 1L caps</w:t>
            </w:r>
            <w:r w:rsidR="00D81DEE" w:rsidRPr="00FA739A">
              <w:t xml:space="preserve">: </w:t>
            </w:r>
            <w:r w:rsidR="00783D4C">
              <w:t>$200 million to &lt; $30</w:t>
            </w:r>
            <w:r w:rsidR="00783D4C" w:rsidRPr="00783D4C">
              <w:t>0 million</w:t>
            </w:r>
            <w:r w:rsidR="005358BA" w:rsidRPr="00FA739A">
              <w:t xml:space="preserve"> over 5 years.</w:t>
            </w:r>
          </w:p>
        </w:tc>
      </w:tr>
      <w:tr w:rsidR="003C28F7" w:rsidRPr="00FA739A" w:rsidTr="00A24FDB">
        <w:trPr>
          <w:cantSplit/>
          <w:trHeight w:val="860"/>
        </w:trPr>
        <w:tc>
          <w:tcPr>
            <w:tcW w:w="798" w:type="pct"/>
            <w:tcBorders>
              <w:top w:val="single" w:sz="4" w:space="0" w:color="auto"/>
              <w:left w:val="single" w:sz="4" w:space="0" w:color="auto"/>
              <w:bottom w:val="single" w:sz="4" w:space="0" w:color="auto"/>
              <w:right w:val="single" w:sz="4" w:space="0" w:color="auto"/>
            </w:tcBorders>
            <w:hideMark/>
          </w:tcPr>
          <w:p w:rsidR="003C28F7" w:rsidRPr="00FA739A" w:rsidRDefault="003C28F7" w:rsidP="00360428">
            <w:pPr>
              <w:pStyle w:val="TableText0"/>
              <w:keepNext w:val="0"/>
              <w:widowControl w:val="0"/>
              <w:rPr>
                <w:highlight w:val="yellow"/>
              </w:rPr>
            </w:pPr>
            <w:r w:rsidRPr="00FA739A">
              <w:rPr>
                <w:highlight w:val="yellow"/>
              </w:rPr>
              <w:br w:type="page"/>
            </w:r>
            <w:r w:rsidRPr="00FA739A">
              <w:t>PBAC decision</w:t>
            </w:r>
          </w:p>
        </w:tc>
        <w:tc>
          <w:tcPr>
            <w:tcW w:w="2108" w:type="pct"/>
            <w:tcBorders>
              <w:top w:val="single" w:sz="4" w:space="0" w:color="auto"/>
              <w:left w:val="single" w:sz="4" w:space="0" w:color="auto"/>
              <w:bottom w:val="single" w:sz="4" w:space="0" w:color="auto"/>
              <w:right w:val="single" w:sz="4" w:space="0" w:color="auto"/>
            </w:tcBorders>
            <w:hideMark/>
          </w:tcPr>
          <w:p w:rsidR="003C28F7" w:rsidRPr="00FA739A" w:rsidRDefault="003C28F7" w:rsidP="00360428">
            <w:pPr>
              <w:pStyle w:val="TableText0"/>
              <w:keepNext w:val="0"/>
              <w:widowControl w:val="0"/>
            </w:pPr>
            <w:r w:rsidRPr="00FA739A">
              <w:br w:type="page"/>
            </w:r>
            <w:r w:rsidR="005358BA" w:rsidRPr="00FA739A">
              <w:t>Defer</w:t>
            </w:r>
          </w:p>
          <w:p w:rsidR="003C28F7" w:rsidRPr="00FA739A" w:rsidRDefault="003C28F7" w:rsidP="00360428">
            <w:pPr>
              <w:widowControl w:val="0"/>
              <w:spacing w:after="120"/>
              <w:jc w:val="left"/>
              <w:rPr>
                <w:rFonts w:ascii="Arial Narrow" w:eastAsiaTheme="majorEastAsia" w:hAnsi="Arial Narrow" w:cstheme="majorBidi"/>
                <w:bCs/>
                <w:sz w:val="20"/>
              </w:rPr>
            </w:pPr>
            <w:r w:rsidRPr="00FA739A">
              <w:rPr>
                <w:rFonts w:ascii="Arial Narrow" w:eastAsiaTheme="majorEastAsia" w:hAnsi="Arial Narrow" w:cstheme="majorBidi"/>
                <w:b/>
                <w:bCs/>
                <w:sz w:val="20"/>
              </w:rPr>
              <w:t>PBAC Comment:</w:t>
            </w:r>
            <w:r w:rsidRPr="00FA739A">
              <w:rPr>
                <w:rFonts w:ascii="Arial Narrow" w:eastAsiaTheme="majorEastAsia" w:hAnsi="Arial Narrow" w:cstheme="majorBidi"/>
                <w:bCs/>
                <w:sz w:val="20"/>
              </w:rPr>
              <w:t xml:space="preserve"> </w:t>
            </w:r>
            <w:r w:rsidR="005358BA" w:rsidRPr="00FA739A">
              <w:rPr>
                <w:rFonts w:ascii="Arial Narrow" w:eastAsiaTheme="majorEastAsia" w:hAnsi="Arial Narrow" w:cstheme="majorBidi"/>
                <w:bCs/>
                <w:sz w:val="20"/>
              </w:rPr>
              <w:t>The PBAC deferred making a recommendation to extend the listing of ribociclib to include use in combination with fulvestrant for the treatment of patients with hormone receptor positive (HR+) and human epidermal growth factor receptor 2 negative (HER2-) unresectable advanced or metastatic breast cancer. The PBAC recognised the clinical need for this combination therapy. The PBAC was of a mind to recommend ribociclib in combination with fulvestrant (RIBO+FULV), but considered that there remains a need to resolve the appropriate weighted price, financial impact and changes to risk sharing arrangements for ribociclib. (paragraph 7.1)</w:t>
            </w:r>
          </w:p>
        </w:tc>
        <w:tc>
          <w:tcPr>
            <w:tcW w:w="2094" w:type="pct"/>
            <w:tcBorders>
              <w:top w:val="single" w:sz="4" w:space="0" w:color="auto"/>
              <w:left w:val="single" w:sz="4" w:space="0" w:color="auto"/>
              <w:bottom w:val="single" w:sz="4" w:space="0" w:color="auto"/>
              <w:right w:val="single" w:sz="4" w:space="0" w:color="auto"/>
            </w:tcBorders>
            <w:hideMark/>
          </w:tcPr>
          <w:p w:rsidR="003C28F7" w:rsidRPr="00FA739A" w:rsidRDefault="003C28F7" w:rsidP="00360428">
            <w:pPr>
              <w:pStyle w:val="TableText0"/>
              <w:keepNext w:val="0"/>
              <w:widowControl w:val="0"/>
            </w:pPr>
            <w:r w:rsidRPr="00FA739A">
              <w:t>-</w:t>
            </w:r>
          </w:p>
        </w:tc>
      </w:tr>
    </w:tbl>
    <w:p w:rsidR="00B77707" w:rsidRPr="00FA739A" w:rsidRDefault="00B77707" w:rsidP="00B77707">
      <w:pPr>
        <w:pStyle w:val="TableFigureFooter"/>
        <w:keepNext/>
        <w:rPr>
          <w:lang w:eastAsia="en-US"/>
        </w:rPr>
      </w:pPr>
      <w:r w:rsidRPr="00FA739A">
        <w:rPr>
          <w:lang w:eastAsia="en-US"/>
        </w:rPr>
        <w:t xml:space="preserve">Source: </w:t>
      </w:r>
      <w:r w:rsidR="005358BA" w:rsidRPr="00FA739A">
        <w:rPr>
          <w:lang w:eastAsia="en-US"/>
        </w:rPr>
        <w:t>Paragraph references</w:t>
      </w:r>
      <w:r w:rsidRPr="00FA739A">
        <w:rPr>
          <w:color w:val="FF0000"/>
          <w:lang w:eastAsia="en-US"/>
        </w:rPr>
        <w:t xml:space="preserve"> </w:t>
      </w:r>
      <w:r w:rsidRPr="00FA739A">
        <w:rPr>
          <w:lang w:eastAsia="en-US"/>
        </w:rPr>
        <w:t>refer to the</w:t>
      </w:r>
      <w:r w:rsidR="005358BA" w:rsidRPr="00FA739A">
        <w:rPr>
          <w:lang w:eastAsia="en-US"/>
        </w:rPr>
        <w:t xml:space="preserve"> RIBO+FULV July 2020</w:t>
      </w:r>
      <w:r w:rsidRPr="00FA739A">
        <w:rPr>
          <w:lang w:eastAsia="en-US"/>
        </w:rPr>
        <w:t xml:space="preserve"> </w:t>
      </w:r>
      <w:r w:rsidR="005B09E2" w:rsidRPr="00FA739A">
        <w:rPr>
          <w:lang w:eastAsia="en-US"/>
        </w:rPr>
        <w:t>PSD</w:t>
      </w:r>
      <w:r w:rsidRPr="00FA739A">
        <w:rPr>
          <w:lang w:eastAsia="en-US"/>
        </w:rPr>
        <w:t xml:space="preserve">. </w:t>
      </w:r>
    </w:p>
    <w:p w:rsidR="00B77707" w:rsidRPr="00FA739A" w:rsidRDefault="00B77707" w:rsidP="00A01432">
      <w:pPr>
        <w:rPr>
          <w:rFonts w:ascii="Arial" w:hAnsi="Arial"/>
          <w:b/>
          <w:sz w:val="22"/>
          <w:szCs w:val="22"/>
        </w:rPr>
      </w:pPr>
    </w:p>
    <w:p w:rsidR="006350CC" w:rsidRPr="00FA739A" w:rsidRDefault="006350CC" w:rsidP="006350CC">
      <w:pPr>
        <w:pStyle w:val="Bodytextitalics"/>
      </w:pPr>
      <w:r w:rsidRPr="00FA739A">
        <w:t xml:space="preserve">For more detail on PBAC’s view, see section </w:t>
      </w:r>
      <w:r w:rsidR="008C1F01" w:rsidRPr="00FA739A">
        <w:t>5</w:t>
      </w:r>
      <w:r w:rsidRPr="00FA739A">
        <w:t xml:space="preserve"> PBAC outcome.</w:t>
      </w:r>
    </w:p>
    <w:p w:rsidR="00B17EE5" w:rsidRPr="00FA739A" w:rsidRDefault="00B17EE5" w:rsidP="00917D69">
      <w:pPr>
        <w:pStyle w:val="2-SectionHeading"/>
      </w:pPr>
      <w:r w:rsidRPr="00FA739A">
        <w:t>Requested listing</w:t>
      </w:r>
    </w:p>
    <w:p w:rsidR="00CD37BC" w:rsidRPr="00FA739A" w:rsidRDefault="00B17EE5" w:rsidP="006A0BB9">
      <w:pPr>
        <w:pStyle w:val="3Bodytext"/>
        <w:rPr>
          <w:rFonts w:cstheme="minorHAnsi"/>
        </w:rPr>
      </w:pPr>
      <w:r w:rsidRPr="00FA739A">
        <w:t xml:space="preserve">The </w:t>
      </w:r>
      <w:r w:rsidR="00CD37BC" w:rsidRPr="00FA739A">
        <w:t xml:space="preserve">requested listing </w:t>
      </w:r>
      <w:r w:rsidR="00A0738B" w:rsidRPr="00FA739A">
        <w:t>for ribociclib</w:t>
      </w:r>
      <w:r w:rsidR="00521F12" w:rsidRPr="00FA739A">
        <w:t>, proposed by the sponsor,</w:t>
      </w:r>
      <w:r w:rsidR="00A0738B" w:rsidRPr="00FA739A">
        <w:t xml:space="preserve"> </w:t>
      </w:r>
      <w:r w:rsidR="00CD37BC" w:rsidRPr="00FA739A">
        <w:t xml:space="preserve">is unchanged from the previous </w:t>
      </w:r>
      <w:r w:rsidRPr="00FA739A">
        <w:t>submission</w:t>
      </w:r>
      <w:r w:rsidR="00CD37BC" w:rsidRPr="00FA739A">
        <w:t xml:space="preserve"> and is reproduced below. </w:t>
      </w:r>
    </w:p>
    <w:tbl>
      <w:tblPr>
        <w:tblW w:w="4960" w:type="pct"/>
        <w:tblInd w:w="28" w:type="dxa"/>
        <w:tblCellMar>
          <w:left w:w="28" w:type="dxa"/>
          <w:right w:w="28" w:type="dxa"/>
        </w:tblCellMar>
        <w:tblLook w:val="04A0" w:firstRow="1" w:lastRow="0" w:firstColumn="1" w:lastColumn="0" w:noHBand="0" w:noVBand="1"/>
      </w:tblPr>
      <w:tblGrid>
        <w:gridCol w:w="1663"/>
        <w:gridCol w:w="1143"/>
        <w:gridCol w:w="1277"/>
        <w:gridCol w:w="992"/>
        <w:gridCol w:w="1701"/>
        <w:gridCol w:w="2178"/>
      </w:tblGrid>
      <w:tr w:rsidR="00CD37BC" w:rsidRPr="00FA739A" w:rsidTr="00CD37BC">
        <w:trPr>
          <w:cantSplit/>
          <w:trHeight w:val="463"/>
        </w:trPr>
        <w:tc>
          <w:tcPr>
            <w:tcW w:w="929" w:type="pct"/>
            <w:tcBorders>
              <w:top w:val="single" w:sz="4" w:space="0" w:color="auto"/>
              <w:left w:val="nil"/>
              <w:bottom w:val="single" w:sz="4" w:space="0" w:color="auto"/>
            </w:tcBorders>
            <w:vAlign w:val="center"/>
            <w:hideMark/>
          </w:tcPr>
          <w:p w:rsidR="00CD37BC" w:rsidRPr="00FA739A" w:rsidRDefault="00CD37BC" w:rsidP="006A0BB9">
            <w:pPr>
              <w:pStyle w:val="TableText0"/>
            </w:pPr>
            <w:bookmarkStart w:id="0" w:name="_Toc535915928"/>
            <w:r w:rsidRPr="00FA739A">
              <w:lastRenderedPageBreak/>
              <w:t>Name, Restriction,</w:t>
            </w:r>
          </w:p>
          <w:p w:rsidR="00CD37BC" w:rsidRPr="00FA739A" w:rsidRDefault="00CD37BC" w:rsidP="006A0BB9">
            <w:pPr>
              <w:pStyle w:val="TableText0"/>
            </w:pPr>
            <w:r w:rsidRPr="00FA739A">
              <w:t>Manner of administration and form</w:t>
            </w:r>
          </w:p>
        </w:tc>
        <w:tc>
          <w:tcPr>
            <w:tcW w:w="638" w:type="pct"/>
            <w:tcBorders>
              <w:top w:val="single" w:sz="4" w:space="0" w:color="auto"/>
              <w:bottom w:val="single" w:sz="4" w:space="0" w:color="auto"/>
            </w:tcBorders>
            <w:hideMark/>
          </w:tcPr>
          <w:p w:rsidR="00CD37BC" w:rsidRPr="00FA739A" w:rsidRDefault="00CD37BC" w:rsidP="006A0BB9">
            <w:pPr>
              <w:pStyle w:val="TableText0"/>
            </w:pPr>
            <w:r w:rsidRPr="00FA739A">
              <w:t>Max.</w:t>
            </w:r>
          </w:p>
          <w:p w:rsidR="00CD37BC" w:rsidRPr="00FA739A" w:rsidRDefault="00CD37BC" w:rsidP="006A0BB9">
            <w:pPr>
              <w:pStyle w:val="TableText0"/>
            </w:pPr>
            <w:r w:rsidRPr="00FA739A">
              <w:t>Qty (packs)</w:t>
            </w:r>
          </w:p>
        </w:tc>
        <w:tc>
          <w:tcPr>
            <w:tcW w:w="713" w:type="pct"/>
            <w:tcBorders>
              <w:top w:val="single" w:sz="4" w:space="0" w:color="auto"/>
              <w:bottom w:val="single" w:sz="4" w:space="0" w:color="auto"/>
            </w:tcBorders>
            <w:vAlign w:val="center"/>
            <w:hideMark/>
          </w:tcPr>
          <w:p w:rsidR="00CD37BC" w:rsidRPr="00FA739A" w:rsidRDefault="00CD37BC" w:rsidP="006A0BB9">
            <w:pPr>
              <w:pStyle w:val="TableText0"/>
            </w:pPr>
            <w:r w:rsidRPr="00FA739A">
              <w:t>Max.</w:t>
            </w:r>
          </w:p>
          <w:p w:rsidR="00CD37BC" w:rsidRPr="00FA739A" w:rsidRDefault="00CD37BC" w:rsidP="006A0BB9">
            <w:pPr>
              <w:pStyle w:val="TableText0"/>
            </w:pPr>
            <w:r w:rsidRPr="00FA739A">
              <w:t>Qty (units)</w:t>
            </w:r>
          </w:p>
        </w:tc>
        <w:tc>
          <w:tcPr>
            <w:tcW w:w="554" w:type="pct"/>
            <w:tcBorders>
              <w:top w:val="single" w:sz="4" w:space="0" w:color="auto"/>
              <w:bottom w:val="single" w:sz="4" w:space="0" w:color="auto"/>
            </w:tcBorders>
            <w:vAlign w:val="center"/>
            <w:hideMark/>
          </w:tcPr>
          <w:p w:rsidR="00CD37BC" w:rsidRPr="00FA739A" w:rsidRDefault="00CD37BC" w:rsidP="006A0BB9">
            <w:pPr>
              <w:pStyle w:val="TableText0"/>
            </w:pPr>
            <w:r w:rsidRPr="00FA739A">
              <w:rPr>
                <w:rFonts w:cs="Times New Roman"/>
              </w:rPr>
              <w:t>№</w:t>
            </w:r>
            <w:r w:rsidRPr="00FA739A">
              <w:t>.of</w:t>
            </w:r>
          </w:p>
          <w:p w:rsidR="00CD37BC" w:rsidRPr="00FA739A" w:rsidRDefault="00CD37BC" w:rsidP="006A0BB9">
            <w:pPr>
              <w:pStyle w:val="TableText0"/>
            </w:pPr>
            <w:r w:rsidRPr="00FA739A">
              <w:t>Rpts</w:t>
            </w:r>
          </w:p>
        </w:tc>
        <w:tc>
          <w:tcPr>
            <w:tcW w:w="950" w:type="pct"/>
            <w:tcBorders>
              <w:top w:val="single" w:sz="4" w:space="0" w:color="auto"/>
              <w:bottom w:val="single" w:sz="4" w:space="0" w:color="auto"/>
            </w:tcBorders>
            <w:vAlign w:val="center"/>
            <w:hideMark/>
          </w:tcPr>
          <w:p w:rsidR="00CD37BC" w:rsidRPr="00FA739A" w:rsidRDefault="00CD37BC" w:rsidP="006A0BB9">
            <w:pPr>
              <w:pStyle w:val="TableText0"/>
            </w:pPr>
            <w:r w:rsidRPr="00FA739A">
              <w:t xml:space="preserve">Dispensed Price for Max. Qty </w:t>
            </w:r>
          </w:p>
        </w:tc>
        <w:tc>
          <w:tcPr>
            <w:tcW w:w="1216" w:type="pct"/>
            <w:tcBorders>
              <w:top w:val="single" w:sz="4" w:space="0" w:color="auto"/>
              <w:bottom w:val="single" w:sz="4" w:space="0" w:color="auto"/>
              <w:right w:val="nil"/>
            </w:tcBorders>
            <w:vAlign w:val="center"/>
            <w:hideMark/>
          </w:tcPr>
          <w:p w:rsidR="00CD37BC" w:rsidRPr="00466DBE" w:rsidRDefault="00CD37BC" w:rsidP="006A0BB9">
            <w:pPr>
              <w:pStyle w:val="TableText0"/>
            </w:pPr>
            <w:r w:rsidRPr="00FA739A">
              <w:t>Proprietary Name and Manufacturer</w:t>
            </w:r>
          </w:p>
        </w:tc>
      </w:tr>
      <w:tr w:rsidR="00CD37BC" w:rsidRPr="00FA739A" w:rsidTr="00CD37BC">
        <w:trPr>
          <w:cantSplit/>
          <w:trHeight w:val="567"/>
        </w:trPr>
        <w:tc>
          <w:tcPr>
            <w:tcW w:w="929" w:type="pct"/>
            <w:tcBorders>
              <w:top w:val="single" w:sz="4" w:space="0" w:color="auto"/>
            </w:tcBorders>
            <w:hideMark/>
          </w:tcPr>
          <w:p w:rsidR="00CD37BC" w:rsidRPr="00FA739A" w:rsidRDefault="00CD37BC" w:rsidP="006A0BB9">
            <w:pPr>
              <w:pStyle w:val="TableText0"/>
              <w:rPr>
                <w:smallCaps/>
              </w:rPr>
            </w:pPr>
            <w:r w:rsidRPr="00FA739A">
              <w:rPr>
                <w:smallCaps/>
              </w:rPr>
              <w:t>Ribociclib,</w:t>
            </w:r>
          </w:p>
          <w:p w:rsidR="00CD37BC" w:rsidRPr="00FA739A" w:rsidRDefault="00CD37BC" w:rsidP="006A0BB9">
            <w:pPr>
              <w:pStyle w:val="TableText0"/>
            </w:pPr>
            <w:r w:rsidRPr="00FA739A">
              <w:rPr>
                <w:smallCaps/>
              </w:rPr>
              <w:t>200 mg tablets</w:t>
            </w:r>
          </w:p>
        </w:tc>
        <w:tc>
          <w:tcPr>
            <w:tcW w:w="638" w:type="pct"/>
            <w:tcBorders>
              <w:top w:val="single" w:sz="4" w:space="0" w:color="auto"/>
            </w:tcBorders>
          </w:tcPr>
          <w:p w:rsidR="00CD37BC" w:rsidRPr="00FA739A" w:rsidRDefault="00CD37BC" w:rsidP="006A0BB9">
            <w:pPr>
              <w:pStyle w:val="TableText0"/>
            </w:pPr>
            <w:r w:rsidRPr="00FA739A">
              <w:t>1</w:t>
            </w:r>
          </w:p>
        </w:tc>
        <w:tc>
          <w:tcPr>
            <w:tcW w:w="713" w:type="pct"/>
            <w:tcBorders>
              <w:top w:val="single" w:sz="4" w:space="0" w:color="auto"/>
            </w:tcBorders>
            <w:vAlign w:val="center"/>
            <w:hideMark/>
          </w:tcPr>
          <w:p w:rsidR="00CD37BC" w:rsidRPr="00FA739A" w:rsidRDefault="00CD37BC" w:rsidP="006A0BB9">
            <w:pPr>
              <w:pStyle w:val="TableText0"/>
            </w:pPr>
            <w:r w:rsidRPr="00FA739A">
              <w:t>63</w:t>
            </w:r>
            <w:r w:rsidRPr="00FA739A">
              <w:rPr>
                <w:vertAlign w:val="superscript"/>
              </w:rPr>
              <w:t>a</w:t>
            </w:r>
          </w:p>
          <w:p w:rsidR="00CD37BC" w:rsidRPr="00FA739A" w:rsidRDefault="00CD37BC" w:rsidP="006A0BB9">
            <w:pPr>
              <w:pStyle w:val="TableText0"/>
            </w:pPr>
          </w:p>
          <w:p w:rsidR="00CD37BC" w:rsidRPr="00FA739A" w:rsidRDefault="00CD37BC" w:rsidP="006A0BB9">
            <w:pPr>
              <w:pStyle w:val="TableText0"/>
            </w:pPr>
            <w:r w:rsidRPr="00FA739A">
              <w:t>42</w:t>
            </w:r>
            <w:r w:rsidRPr="00FA739A">
              <w:rPr>
                <w:vertAlign w:val="superscript"/>
              </w:rPr>
              <w:t>a</w:t>
            </w:r>
          </w:p>
          <w:p w:rsidR="00CD37BC" w:rsidRPr="00FA739A" w:rsidRDefault="00CD37BC" w:rsidP="006A0BB9">
            <w:pPr>
              <w:pStyle w:val="TableText0"/>
            </w:pPr>
          </w:p>
          <w:p w:rsidR="00CD37BC" w:rsidRPr="00FA739A" w:rsidRDefault="00CD37BC" w:rsidP="006A0BB9">
            <w:pPr>
              <w:pStyle w:val="TableText0"/>
            </w:pPr>
            <w:r w:rsidRPr="00FA739A">
              <w:t>21</w:t>
            </w:r>
            <w:r w:rsidRPr="00FA739A">
              <w:rPr>
                <w:vertAlign w:val="superscript"/>
              </w:rPr>
              <w:t>a</w:t>
            </w:r>
          </w:p>
          <w:p w:rsidR="00CD37BC" w:rsidRPr="00FA739A" w:rsidRDefault="00CD37BC" w:rsidP="006A0BB9">
            <w:pPr>
              <w:pStyle w:val="TableText0"/>
            </w:pPr>
          </w:p>
        </w:tc>
        <w:tc>
          <w:tcPr>
            <w:tcW w:w="554" w:type="pct"/>
            <w:tcBorders>
              <w:top w:val="single" w:sz="4" w:space="0" w:color="auto"/>
            </w:tcBorders>
          </w:tcPr>
          <w:p w:rsidR="00CD37BC" w:rsidRPr="00FA739A" w:rsidRDefault="00CD37BC" w:rsidP="006A0BB9">
            <w:pPr>
              <w:pStyle w:val="TableText0"/>
            </w:pPr>
            <w:r w:rsidRPr="00FA739A">
              <w:t>5</w:t>
            </w:r>
          </w:p>
          <w:p w:rsidR="00CD37BC" w:rsidRPr="00FA739A" w:rsidRDefault="00CD37BC" w:rsidP="006A0BB9">
            <w:pPr>
              <w:pStyle w:val="TableText0"/>
            </w:pPr>
          </w:p>
        </w:tc>
        <w:tc>
          <w:tcPr>
            <w:tcW w:w="950" w:type="pct"/>
            <w:tcBorders>
              <w:top w:val="single" w:sz="4" w:space="0" w:color="auto"/>
            </w:tcBorders>
            <w:vAlign w:val="center"/>
            <w:hideMark/>
          </w:tcPr>
          <w:p w:rsidR="00CD37BC" w:rsidRPr="00FA739A" w:rsidRDefault="00CD37BC" w:rsidP="006A0BB9">
            <w:pPr>
              <w:pStyle w:val="TableText0"/>
            </w:pPr>
            <w:r w:rsidRPr="00FA739A">
              <w:t>P</w:t>
            </w:r>
            <w:r w:rsidR="00031472" w:rsidRPr="00FA739A">
              <w:t>P: $5,536.97</w:t>
            </w:r>
            <w:r w:rsidRPr="00FA739A">
              <w:rPr>
                <w:vertAlign w:val="superscript"/>
              </w:rPr>
              <w:t>b</w:t>
            </w:r>
          </w:p>
          <w:p w:rsidR="00CD37BC" w:rsidRPr="00FA739A" w:rsidRDefault="00031472" w:rsidP="006A0BB9">
            <w:pPr>
              <w:pStyle w:val="TableText0"/>
              <w:rPr>
                <w:iCs/>
              </w:rPr>
            </w:pPr>
            <w:r w:rsidRPr="00FA739A">
              <w:t>EP</w:t>
            </w:r>
            <w:r w:rsidR="00CD37BC" w:rsidRPr="00FA739A">
              <w:t xml:space="preserve">: </w:t>
            </w:r>
            <w:r w:rsidRPr="00FA739A">
              <w:rPr>
                <w:iCs/>
              </w:rPr>
              <w:t>$</w:t>
            </w:r>
            <w:r w:rsidR="00AB6780">
              <w:rPr>
                <w:iCs/>
                <w:noProof/>
                <w:color w:val="000000"/>
                <w:highlight w:val="black"/>
              </w:rPr>
              <w:t>'''''''''''''''''''</w:t>
            </w:r>
          </w:p>
          <w:p w:rsidR="00CD37BC" w:rsidRPr="00FA739A" w:rsidRDefault="00031472" w:rsidP="006A0BB9">
            <w:pPr>
              <w:pStyle w:val="TableText0"/>
            </w:pPr>
            <w:r w:rsidRPr="00FA739A">
              <w:t>PP: $3,750.30</w:t>
            </w:r>
            <w:r w:rsidR="00CD37BC" w:rsidRPr="00FA739A">
              <w:rPr>
                <w:vertAlign w:val="superscript"/>
              </w:rPr>
              <w:t>b</w:t>
            </w:r>
          </w:p>
          <w:p w:rsidR="00CD37BC" w:rsidRPr="00FA739A" w:rsidRDefault="00031472" w:rsidP="006A0BB9">
            <w:pPr>
              <w:pStyle w:val="TableText0"/>
            </w:pPr>
            <w:r w:rsidRPr="00FA739A">
              <w:rPr>
                <w:iCs/>
              </w:rPr>
              <w:t>EP: $</w:t>
            </w:r>
            <w:r w:rsidR="00AB6780">
              <w:rPr>
                <w:iCs/>
                <w:noProof/>
                <w:color w:val="000000"/>
                <w:highlight w:val="black"/>
              </w:rPr>
              <w:t>'''''''''''''''''''</w:t>
            </w:r>
          </w:p>
          <w:p w:rsidR="00CD37BC" w:rsidRPr="00FA739A" w:rsidRDefault="00031472" w:rsidP="006A0BB9">
            <w:pPr>
              <w:pStyle w:val="TableText0"/>
            </w:pPr>
            <w:r w:rsidRPr="00FA739A">
              <w:t>PP: $1,956.46</w:t>
            </w:r>
            <w:r w:rsidR="00CD37BC" w:rsidRPr="00FA739A">
              <w:rPr>
                <w:vertAlign w:val="superscript"/>
              </w:rPr>
              <w:t>b</w:t>
            </w:r>
          </w:p>
          <w:p w:rsidR="00CD37BC" w:rsidRPr="00FA739A" w:rsidRDefault="00031472" w:rsidP="00031472">
            <w:pPr>
              <w:pStyle w:val="TableText0"/>
              <w:rPr>
                <w:iCs/>
              </w:rPr>
            </w:pPr>
            <w:r w:rsidRPr="00FA739A">
              <w:t>EP</w:t>
            </w:r>
            <w:r w:rsidR="00CD37BC" w:rsidRPr="00FA739A">
              <w:t xml:space="preserve">: </w:t>
            </w:r>
            <w:r w:rsidR="00CD37BC" w:rsidRPr="00FA739A">
              <w:rPr>
                <w:iCs/>
              </w:rPr>
              <w:t>$</w:t>
            </w:r>
            <w:r w:rsidR="00AB6780">
              <w:rPr>
                <w:iCs/>
                <w:noProof/>
                <w:color w:val="000000"/>
                <w:highlight w:val="black"/>
              </w:rPr>
              <w:t>''''''''''''''''</w:t>
            </w:r>
          </w:p>
        </w:tc>
        <w:tc>
          <w:tcPr>
            <w:tcW w:w="1216" w:type="pct"/>
            <w:tcBorders>
              <w:top w:val="single" w:sz="4" w:space="0" w:color="auto"/>
            </w:tcBorders>
            <w:hideMark/>
          </w:tcPr>
          <w:p w:rsidR="00CD37BC" w:rsidRPr="00FA739A" w:rsidRDefault="00CD37BC" w:rsidP="006A0BB9">
            <w:pPr>
              <w:pStyle w:val="TableText0"/>
            </w:pPr>
            <w:r w:rsidRPr="00FA739A">
              <w:t>Kisqali, Novartis Pharmaceuticals Australia Pty Limited</w:t>
            </w:r>
          </w:p>
        </w:tc>
      </w:tr>
    </w:tbl>
    <w:p w:rsidR="00CD37BC" w:rsidRPr="00FA739A" w:rsidRDefault="00CD37BC" w:rsidP="00CD37BC">
      <w:pPr>
        <w:pStyle w:val="TableFigureFooter"/>
      </w:pPr>
      <w:r w:rsidRPr="00FA739A">
        <w:t>PP= published price; EP-1L= proposed effective price first-line; EP-2L= proposed effective price second-line.</w:t>
      </w:r>
    </w:p>
    <w:p w:rsidR="00CD37BC" w:rsidRPr="00FA739A" w:rsidRDefault="00CD37BC" w:rsidP="00CD37BC">
      <w:pPr>
        <w:pStyle w:val="TableFigureFooter"/>
      </w:pPr>
      <w:r w:rsidRPr="00FA739A">
        <w:rPr>
          <w:vertAlign w:val="superscript"/>
        </w:rPr>
        <w:t>a</w:t>
      </w:r>
      <w:r w:rsidRPr="00FA739A">
        <w:t xml:space="preserve"> 63 tablets per cycle (600mg/day) = 3 x 21 days; 42 tablets/cycle (400mg/day) = 2 x 21 days; 21 tablets/cycle (200mg/day) = 1x 21 days. </w:t>
      </w:r>
    </w:p>
    <w:p w:rsidR="00CD37BC" w:rsidRPr="00FA739A" w:rsidRDefault="00CD37BC" w:rsidP="00CD37BC">
      <w:pPr>
        <w:pStyle w:val="TableFigureFooter"/>
      </w:pPr>
      <w:r w:rsidRPr="00FA739A">
        <w:rPr>
          <w:vertAlign w:val="superscript"/>
        </w:rPr>
        <w:t>b</w:t>
      </w:r>
      <w:r w:rsidRPr="00FA739A">
        <w:t xml:space="preserve"> Published price. Special pricing arrangements apply for the effective prices. Approved ex-manufacturer price for ribociclib 600mg is $</w:t>
      </w:r>
      <w:r w:rsidR="00AB6780">
        <w:rPr>
          <w:noProof/>
          <w:color w:val="000000"/>
          <w:highlight w:val="black"/>
        </w:rPr>
        <w:t>'''''''''''''''''''''''</w:t>
      </w:r>
      <w:r w:rsidRPr="00FA739A">
        <w:t xml:space="preserve">. </w:t>
      </w:r>
    </w:p>
    <w:p w:rsidR="00CD37BC" w:rsidRPr="00FA739A" w:rsidRDefault="00CD37BC" w:rsidP="00CD37BC">
      <w:pPr>
        <w:pStyle w:val="3Bodytext"/>
        <w:numPr>
          <w:ilvl w:val="0"/>
          <w:numId w:val="0"/>
        </w:numPr>
        <w:rPr>
          <w:rFonts w:cstheme="minorHAnsi"/>
          <w:i/>
        </w:rPr>
      </w:pPr>
      <w:r w:rsidRPr="00FA739A">
        <w:rPr>
          <w:rFonts w:cstheme="minorHAnsi"/>
          <w:i/>
        </w:rPr>
        <w:t>Amend existing listing/s as follows</w:t>
      </w:r>
      <w:r w:rsidR="00162206" w:rsidRPr="00FA739A">
        <w:rPr>
          <w:rFonts w:cstheme="minorHAnsi"/>
          <w:i/>
        </w:rPr>
        <w:t xml:space="preserve"> (changes to existing first-line listing are shown in italics)</w:t>
      </w:r>
      <w:r w:rsidRPr="00FA739A">
        <w:rPr>
          <w:rFonts w:cstheme="minorHAnsi"/>
          <w:i/>
        </w:rPr>
        <w:t>:</w:t>
      </w:r>
    </w:p>
    <w:tbl>
      <w:tblPr>
        <w:tblW w:w="4966" w:type="pct"/>
        <w:tblInd w:w="23" w:type="dxa"/>
        <w:tblCellMar>
          <w:left w:w="28" w:type="dxa"/>
          <w:right w:w="28" w:type="dxa"/>
        </w:tblCellMar>
        <w:tblLook w:val="04A0" w:firstRow="1" w:lastRow="0" w:firstColumn="1" w:lastColumn="0" w:noHBand="0" w:noVBand="1"/>
      </w:tblPr>
      <w:tblGrid>
        <w:gridCol w:w="1664"/>
        <w:gridCol w:w="7291"/>
      </w:tblGrid>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pPr>
            <w:r w:rsidRPr="00FA739A">
              <w:t>Category/Program:</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pPr>
            <w:r w:rsidRPr="00FA739A">
              <w:t>GENERAL – General Schedule</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pPr>
            <w:r w:rsidRPr="00FA739A">
              <w:t>PBS indication:</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pPr>
            <w:r w:rsidRPr="00FA739A">
              <w:t>Locally advanced or metastatic breast cancer</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FA739A">
              <w:t>Treatment phase:</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rPr>
                <w:b/>
                <w:bCs w:val="0"/>
              </w:rPr>
            </w:pPr>
            <w:r w:rsidRPr="00FA739A">
              <w:rPr>
                <w:b/>
                <w:bCs w:val="0"/>
              </w:rPr>
              <w:t>Initial treatment- FIRST LINE</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FA739A">
              <w:t>Restriction:</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466DBE">
              <w:fldChar w:fldCharType="begin">
                <w:ffData>
                  <w:name w:val=""/>
                  <w:enabled/>
                  <w:calcOnExit w:val="0"/>
                  <w:checkBox>
                    <w:sizeAuto/>
                    <w:default w:val="1"/>
                  </w:checkBox>
                </w:ffData>
              </w:fldChar>
            </w:r>
            <w:r w:rsidRPr="00FA739A">
              <w:instrText xml:space="preserve"> FORMCHECKBOX </w:instrText>
            </w:r>
            <w:r w:rsidR="00980405">
              <w:fldChar w:fldCharType="separate"/>
            </w:r>
            <w:r w:rsidRPr="00466DBE">
              <w:fldChar w:fldCharType="end"/>
            </w:r>
            <w:r w:rsidRPr="00FA739A">
              <w:t>Authority Required – telephone/electronic</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FA739A">
              <w:t>Clinical criteria:</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FA739A">
              <w:t xml:space="preserve">Patient must not have previously been treated with endocrine therapy for advanced or metastatic breast cancer, </w:t>
            </w:r>
          </w:p>
          <w:p w:rsidR="00CD37BC" w:rsidRPr="00FA739A" w:rsidRDefault="00CD37BC" w:rsidP="006A0BB9">
            <w:pPr>
              <w:pStyle w:val="TableText0"/>
              <w:keepNext w:val="0"/>
            </w:pPr>
            <w:r w:rsidRPr="00FA739A">
              <w:t>AND</w:t>
            </w:r>
          </w:p>
          <w:p w:rsidR="00CD37BC" w:rsidRPr="00FA739A" w:rsidRDefault="00CD37BC" w:rsidP="006A0BB9">
            <w:pPr>
              <w:pStyle w:val="TableText0"/>
              <w:keepNext w:val="0"/>
            </w:pPr>
            <w:r w:rsidRPr="00FA739A">
              <w:t>Patient must not have previously been treated with abemaciclib OR palbociclib OR patient must have developed an intolerance to abemaciclib or palbociclib of a severity necessitating permanent treatment withdrawal, AND</w:t>
            </w:r>
          </w:p>
          <w:p w:rsidR="00CD37BC" w:rsidRPr="00FA739A" w:rsidRDefault="00CD37BC" w:rsidP="006A0BB9">
            <w:pPr>
              <w:pStyle w:val="TableText0"/>
              <w:keepNext w:val="0"/>
            </w:pPr>
            <w:r w:rsidRPr="00FA739A">
              <w:t>The condition must be hormone receptor positive, AND</w:t>
            </w:r>
          </w:p>
          <w:p w:rsidR="00CD37BC" w:rsidRPr="00FA739A" w:rsidRDefault="00CD37BC" w:rsidP="006A0BB9">
            <w:pPr>
              <w:pStyle w:val="TableText0"/>
              <w:keepNext w:val="0"/>
            </w:pPr>
            <w:r w:rsidRPr="00FA739A">
              <w:t>The condition must be human epidermal growth factor receptor 2 (HER2) negative, AND</w:t>
            </w:r>
          </w:p>
          <w:p w:rsidR="00CD37BC" w:rsidRPr="00FA739A" w:rsidRDefault="00CD37BC" w:rsidP="006A0BB9">
            <w:pPr>
              <w:pStyle w:val="TableText0"/>
              <w:keepNext w:val="0"/>
            </w:pPr>
            <w:r w:rsidRPr="00FA739A">
              <w:t>The condition must be inoperable, AND</w:t>
            </w:r>
          </w:p>
          <w:p w:rsidR="00CD37BC" w:rsidRPr="00FA739A" w:rsidRDefault="00CD37BC" w:rsidP="006A0BB9">
            <w:pPr>
              <w:pStyle w:val="TableText0"/>
              <w:keepNext w:val="0"/>
            </w:pPr>
            <w:r w:rsidRPr="00FA739A">
              <w:t>Patient must have a World Health Organisation (WHO) Eastern Cooperative Oncology Group (ECOG) performance status score of 2 or less, AND</w:t>
            </w:r>
          </w:p>
          <w:p w:rsidR="00CD37BC" w:rsidRPr="00FA739A" w:rsidRDefault="00CD37BC" w:rsidP="006A0BB9">
            <w:pPr>
              <w:pStyle w:val="TableText0"/>
              <w:keepNext w:val="0"/>
            </w:pPr>
            <w:r w:rsidRPr="00FA739A">
              <w:t xml:space="preserve">The treatment must be in combination with anastrozole or letrozole </w:t>
            </w:r>
            <w:r w:rsidRPr="00FA739A">
              <w:rPr>
                <w:i/>
              </w:rPr>
              <w:t>or fulvestrant</w:t>
            </w:r>
            <w:r w:rsidRPr="00FA739A">
              <w:t xml:space="preserve"> AND</w:t>
            </w:r>
          </w:p>
          <w:p w:rsidR="00CD37BC" w:rsidRPr="00FA739A" w:rsidRDefault="00CD37BC" w:rsidP="006A0BB9">
            <w:pPr>
              <w:pStyle w:val="TableText0"/>
              <w:keepNext w:val="0"/>
            </w:pPr>
            <w:r w:rsidRPr="00FA739A">
              <w:t>The treatment must not be in combination with abemaciclib or palbociclib</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rPr>
                <w:color w:val="000000"/>
              </w:rPr>
            </w:pPr>
            <w:r w:rsidRPr="00FA739A">
              <w:t>Population criteria:</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rPr>
                <w:color w:val="000000"/>
              </w:rPr>
            </w:pPr>
            <w:r w:rsidRPr="00FA739A">
              <w:rPr>
                <w:color w:val="000000"/>
              </w:rPr>
              <w:t>Patient must not be premenopausal,</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tcPr>
          <w:p w:rsidR="00CD37BC" w:rsidRPr="00FA739A" w:rsidRDefault="00CD37BC" w:rsidP="006A0BB9">
            <w:pPr>
              <w:pStyle w:val="TableText0"/>
              <w:keepNext w:val="0"/>
            </w:pPr>
            <w:r w:rsidRPr="00FA739A">
              <w:t>Prescribing instructions:</w:t>
            </w:r>
          </w:p>
        </w:tc>
        <w:tc>
          <w:tcPr>
            <w:tcW w:w="4071" w:type="pct"/>
            <w:tcBorders>
              <w:top w:val="single" w:sz="4" w:space="0" w:color="auto"/>
              <w:left w:val="single" w:sz="4" w:space="0" w:color="auto"/>
              <w:bottom w:val="single" w:sz="4" w:space="0" w:color="auto"/>
              <w:right w:val="single" w:sz="4" w:space="0" w:color="auto"/>
            </w:tcBorders>
          </w:tcPr>
          <w:p w:rsidR="00CD37BC" w:rsidRPr="00FA739A" w:rsidRDefault="00CD37BC" w:rsidP="006A0BB9">
            <w:pPr>
              <w:pStyle w:val="TableText0"/>
              <w:keepNext w:val="0"/>
              <w:rPr>
                <w:color w:val="000000"/>
              </w:rPr>
            </w:pPr>
            <w:r w:rsidRPr="00FA739A">
              <w:rPr>
                <w:color w:val="000000"/>
              </w:rPr>
              <w:t>A patient who has progressive disease when treated with this drug is no longer eligible for PBS-subsidised treatment with this drug</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rPr>
                <w:color w:val="000000"/>
              </w:rPr>
            </w:pPr>
            <w:r w:rsidRPr="00FA739A">
              <w:t>Administrative Advice:</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rPr>
                <w:color w:val="000000"/>
              </w:rPr>
            </w:pPr>
            <w:r w:rsidRPr="00FA739A">
              <w:rPr>
                <w:color w:val="000000"/>
              </w:rPr>
              <w:t>No increase in the maximum quantity or number of units may be authorised</w:t>
            </w:r>
          </w:p>
          <w:p w:rsidR="00CD37BC" w:rsidRPr="00FA739A" w:rsidRDefault="00CD37BC" w:rsidP="006A0BB9">
            <w:pPr>
              <w:pStyle w:val="TableText0"/>
              <w:keepNext w:val="0"/>
              <w:rPr>
                <w:color w:val="000000"/>
              </w:rPr>
            </w:pPr>
            <w:r w:rsidRPr="00FA739A">
              <w:rPr>
                <w:color w:val="000000"/>
              </w:rPr>
              <w:t>No increase in the maximum number of repeats may be authorised</w:t>
            </w:r>
          </w:p>
          <w:p w:rsidR="00CD37BC" w:rsidRPr="00FA739A" w:rsidRDefault="00CD37BC" w:rsidP="006A0BB9">
            <w:pPr>
              <w:pStyle w:val="TableText0"/>
              <w:keepNext w:val="0"/>
              <w:rPr>
                <w:color w:val="000000"/>
              </w:rPr>
            </w:pPr>
            <w:r w:rsidRPr="00FA739A">
              <w:rPr>
                <w:color w:val="000000"/>
              </w:rPr>
              <w:t>Special Pricing Arrangements apply</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FA739A">
              <w:t>Cautions:</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rPr>
                <w:color w:val="000000"/>
              </w:rPr>
            </w:pPr>
            <w:r w:rsidRPr="00FA739A">
              <w:rPr>
                <w:color w:val="000000"/>
              </w:rPr>
              <w:t>QT interval monitoring is required for patients treated with this drug</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FA739A">
              <w:t>Treatment Phase:</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rPr>
                <w:b/>
                <w:bCs w:val="0"/>
                <w:color w:val="000000"/>
              </w:rPr>
            </w:pPr>
            <w:r w:rsidRPr="00FA739A">
              <w:rPr>
                <w:b/>
                <w:bCs w:val="0"/>
                <w:color w:val="000000"/>
              </w:rPr>
              <w:t>Continuing- FIRST LINE</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FA739A">
              <w:t>Clinical criteria:</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rPr>
                <w:color w:val="000000"/>
              </w:rPr>
            </w:pPr>
            <w:r w:rsidRPr="00FA739A">
              <w:rPr>
                <w:color w:val="000000"/>
              </w:rPr>
              <w:t>Patient must have previously received PBS-subsidised treatment with this drug for this condition, AND</w:t>
            </w:r>
          </w:p>
          <w:p w:rsidR="00CD37BC" w:rsidRPr="00FA739A" w:rsidRDefault="00CD37BC" w:rsidP="006A0BB9">
            <w:pPr>
              <w:pStyle w:val="TableText0"/>
              <w:keepNext w:val="0"/>
              <w:rPr>
                <w:color w:val="000000"/>
              </w:rPr>
            </w:pPr>
            <w:r w:rsidRPr="00FA739A">
              <w:rPr>
                <w:color w:val="000000"/>
              </w:rPr>
              <w:t>Patient must not have developed disease progression while receiving treatment with this drug for this condition, AND</w:t>
            </w:r>
          </w:p>
          <w:p w:rsidR="00CD37BC" w:rsidRPr="00FA739A" w:rsidRDefault="00CD37BC" w:rsidP="006A0BB9">
            <w:pPr>
              <w:pStyle w:val="TableText0"/>
              <w:keepNext w:val="0"/>
              <w:rPr>
                <w:color w:val="000000"/>
              </w:rPr>
            </w:pPr>
            <w:r w:rsidRPr="00FA739A">
              <w:rPr>
                <w:color w:val="000000"/>
              </w:rPr>
              <w:t>Patient must have stable or responding disease, AND</w:t>
            </w:r>
          </w:p>
          <w:p w:rsidR="00CD37BC" w:rsidRPr="00FA739A" w:rsidRDefault="00CD37BC" w:rsidP="006A0BB9">
            <w:pPr>
              <w:pStyle w:val="TableText0"/>
              <w:keepNext w:val="0"/>
              <w:rPr>
                <w:color w:val="000000"/>
              </w:rPr>
            </w:pPr>
            <w:r w:rsidRPr="00FA739A">
              <w:rPr>
                <w:color w:val="000000"/>
              </w:rPr>
              <w:t xml:space="preserve">The treatment must be in combination with anastrozole or letrozole </w:t>
            </w:r>
            <w:r w:rsidRPr="00FA739A">
              <w:rPr>
                <w:i/>
                <w:color w:val="000000"/>
              </w:rPr>
              <w:t>or fulvestrant,</w:t>
            </w:r>
            <w:r w:rsidRPr="00FA739A">
              <w:rPr>
                <w:color w:val="000000"/>
              </w:rPr>
              <w:t xml:space="preserve"> AND</w:t>
            </w:r>
          </w:p>
          <w:p w:rsidR="00CD37BC" w:rsidRPr="00FA739A" w:rsidRDefault="00CD37BC" w:rsidP="006A0BB9">
            <w:pPr>
              <w:pStyle w:val="TableText0"/>
              <w:keepNext w:val="0"/>
              <w:rPr>
                <w:color w:val="000000"/>
              </w:rPr>
            </w:pPr>
            <w:r w:rsidRPr="00FA739A">
              <w:rPr>
                <w:color w:val="000000"/>
              </w:rPr>
              <w:t>The treatment must not be in combination with abemaciclib or palbociclib</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tcPr>
          <w:p w:rsidR="00CD37BC" w:rsidRPr="00FA739A" w:rsidRDefault="00CD37BC" w:rsidP="006A0BB9">
            <w:pPr>
              <w:pStyle w:val="TableText0"/>
              <w:keepNext w:val="0"/>
            </w:pPr>
            <w:r w:rsidRPr="00FA739A">
              <w:t>Population criteria:</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FA739A">
              <w:t>Patient must not be premenopausal</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tcPr>
          <w:p w:rsidR="00CD37BC" w:rsidRPr="00FA739A" w:rsidRDefault="00CD37BC" w:rsidP="006A0BB9">
            <w:pPr>
              <w:pStyle w:val="TableText0"/>
              <w:keepNext w:val="0"/>
            </w:pPr>
            <w:r w:rsidRPr="00FA739A">
              <w:t>Prescribing instructions:</w:t>
            </w:r>
          </w:p>
        </w:tc>
        <w:tc>
          <w:tcPr>
            <w:tcW w:w="4071" w:type="pct"/>
            <w:tcBorders>
              <w:top w:val="single" w:sz="4" w:space="0" w:color="auto"/>
              <w:left w:val="single" w:sz="4" w:space="0" w:color="auto"/>
              <w:bottom w:val="single" w:sz="4" w:space="0" w:color="auto"/>
              <w:right w:val="single" w:sz="4" w:space="0" w:color="auto"/>
            </w:tcBorders>
          </w:tcPr>
          <w:p w:rsidR="00CD37BC" w:rsidRPr="00FA739A" w:rsidRDefault="00CD37BC" w:rsidP="006A0BB9">
            <w:pPr>
              <w:pStyle w:val="TableText0"/>
              <w:keepNext w:val="0"/>
            </w:pPr>
            <w:r w:rsidRPr="00FA739A">
              <w:t>A patient who has progressive disease when treated with this drug is no longer eligible for PBS-subsidised treatment with this drug</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FA739A">
              <w:t>Administrative Advice:</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FA739A">
              <w:t>No increase in the maximum quantity or number of units may be authorised</w:t>
            </w:r>
          </w:p>
          <w:p w:rsidR="00CD37BC" w:rsidRPr="00FA739A" w:rsidRDefault="00CD37BC" w:rsidP="006A0BB9">
            <w:pPr>
              <w:pStyle w:val="TableText0"/>
              <w:keepNext w:val="0"/>
            </w:pPr>
            <w:r w:rsidRPr="00FA739A">
              <w:t>No increase in the maximum number of repeats may be authorised</w:t>
            </w:r>
          </w:p>
          <w:p w:rsidR="00CD37BC" w:rsidRPr="00FA739A" w:rsidRDefault="00CD37BC" w:rsidP="006A0BB9">
            <w:pPr>
              <w:pStyle w:val="TableText0"/>
              <w:keepNext w:val="0"/>
              <w:rPr>
                <w:color w:val="000000"/>
              </w:rPr>
            </w:pPr>
            <w:r w:rsidRPr="00FA739A">
              <w:t>Special Pricing Arrangements apply</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FA739A">
              <w:t>Cautions:</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rPr>
                <w:color w:val="000000"/>
              </w:rPr>
            </w:pPr>
            <w:r w:rsidRPr="00FA739A">
              <w:t>QT interval monitoring is required for patients treated with this drug</w:t>
            </w:r>
          </w:p>
        </w:tc>
      </w:tr>
    </w:tbl>
    <w:p w:rsidR="00CD37BC" w:rsidRPr="00FA739A" w:rsidRDefault="00CD37BC" w:rsidP="00CD37BC">
      <w:pPr>
        <w:pStyle w:val="3Bodytext"/>
        <w:numPr>
          <w:ilvl w:val="0"/>
          <w:numId w:val="0"/>
        </w:numPr>
        <w:rPr>
          <w:rFonts w:cstheme="minorHAnsi"/>
          <w:i/>
        </w:rPr>
      </w:pPr>
    </w:p>
    <w:p w:rsidR="00CD37BC" w:rsidRPr="00FA739A" w:rsidRDefault="00CD37BC" w:rsidP="00CD37BC">
      <w:pPr>
        <w:spacing w:after="120"/>
        <w:rPr>
          <w:rFonts w:asciiTheme="minorHAnsi" w:hAnsiTheme="minorHAnsi" w:cstheme="minorHAnsi"/>
          <w:i/>
        </w:rPr>
      </w:pPr>
      <w:r w:rsidRPr="00FA739A">
        <w:rPr>
          <w:rFonts w:asciiTheme="minorHAnsi" w:hAnsiTheme="minorHAnsi" w:cstheme="minorHAnsi"/>
          <w:i/>
        </w:rPr>
        <w:t>Add new indications to ribociclib as follows:</w:t>
      </w:r>
    </w:p>
    <w:tbl>
      <w:tblPr>
        <w:tblW w:w="4966" w:type="pct"/>
        <w:tblInd w:w="23" w:type="dxa"/>
        <w:tblCellMar>
          <w:left w:w="28" w:type="dxa"/>
          <w:right w:w="28" w:type="dxa"/>
        </w:tblCellMar>
        <w:tblLook w:val="04A0" w:firstRow="1" w:lastRow="0" w:firstColumn="1" w:lastColumn="0" w:noHBand="0" w:noVBand="1"/>
      </w:tblPr>
      <w:tblGrid>
        <w:gridCol w:w="1664"/>
        <w:gridCol w:w="7291"/>
      </w:tblGrid>
      <w:tr w:rsidR="00CD37BC" w:rsidRPr="00FA739A" w:rsidTr="00CD37BC">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rPr>
                <w:b/>
              </w:rPr>
            </w:pPr>
            <w:r w:rsidRPr="00FA739A">
              <w:rPr>
                <w:b/>
              </w:rPr>
              <w:t xml:space="preserve">Treatment Phase: </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rPr>
                <w:b/>
                <w:bCs w:val="0"/>
              </w:rPr>
            </w:pPr>
            <w:r w:rsidRPr="00FA739A">
              <w:rPr>
                <w:b/>
                <w:bCs w:val="0"/>
              </w:rPr>
              <w:t>Initial treatment – Grandfather patients – FIRST LINE</w:t>
            </w:r>
          </w:p>
        </w:tc>
      </w:tr>
      <w:tr w:rsidR="00CD37BC" w:rsidRPr="00FA739A" w:rsidTr="00CD37BC">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FA739A">
              <w:t>Clinical criteria:</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rPr>
                <w:bCs w:val="0"/>
              </w:rPr>
            </w:pPr>
            <w:r w:rsidRPr="00FA739A">
              <w:rPr>
                <w:bCs w:val="0"/>
              </w:rPr>
              <w:t>Patient must have previously received non-PBS-subsidised treatment with this drug for this condition prior to [insert date of PBS listing], AND</w:t>
            </w:r>
          </w:p>
          <w:p w:rsidR="00CD37BC" w:rsidRPr="00FA739A" w:rsidRDefault="00CD37BC" w:rsidP="006A0BB9">
            <w:pPr>
              <w:pStyle w:val="TableText0"/>
              <w:keepNext w:val="0"/>
              <w:rPr>
                <w:bCs w:val="0"/>
              </w:rPr>
            </w:pPr>
            <w:r w:rsidRPr="00FA739A">
              <w:rPr>
                <w:bCs w:val="0"/>
              </w:rPr>
              <w:t>Patient must not have previously been treated with endocrine therapy for advanced or metastatic breast cancer prior to initiating treatment with this drug for this condition, AND</w:t>
            </w:r>
          </w:p>
          <w:p w:rsidR="00CD37BC" w:rsidRPr="00FA739A" w:rsidRDefault="00CD37BC" w:rsidP="006A0BB9">
            <w:pPr>
              <w:pStyle w:val="TableText0"/>
              <w:keepNext w:val="0"/>
              <w:rPr>
                <w:bCs w:val="0"/>
              </w:rPr>
            </w:pPr>
            <w:r w:rsidRPr="00FA739A">
              <w:rPr>
                <w:bCs w:val="0"/>
              </w:rPr>
              <w:t>Patient must not have previously been treated with abemaciclib or palbociclib OR patient must have developed an intolerance to abemaciclib or palbociclib of a severity necessitating permanent treatment withdrawal, AND</w:t>
            </w:r>
          </w:p>
          <w:p w:rsidR="00CD37BC" w:rsidRPr="00FA739A" w:rsidRDefault="00CD37BC" w:rsidP="006A0BB9">
            <w:pPr>
              <w:pStyle w:val="TableText0"/>
              <w:keepNext w:val="0"/>
              <w:rPr>
                <w:bCs w:val="0"/>
              </w:rPr>
            </w:pPr>
            <w:r w:rsidRPr="00FA739A">
              <w:rPr>
                <w:bCs w:val="0"/>
              </w:rPr>
              <w:t>The condition must be hormone receptor positive, AND</w:t>
            </w:r>
          </w:p>
          <w:p w:rsidR="00CD37BC" w:rsidRPr="00FA739A" w:rsidRDefault="00CD37BC" w:rsidP="006A0BB9">
            <w:pPr>
              <w:pStyle w:val="TableText0"/>
              <w:keepNext w:val="0"/>
              <w:rPr>
                <w:bCs w:val="0"/>
              </w:rPr>
            </w:pPr>
            <w:r w:rsidRPr="00FA739A">
              <w:rPr>
                <w:bCs w:val="0"/>
              </w:rPr>
              <w:t>The condition must be human epidermal growth factor receptor 2 (HER2) negative, AND</w:t>
            </w:r>
          </w:p>
          <w:p w:rsidR="00CD37BC" w:rsidRPr="00FA739A" w:rsidRDefault="00CD37BC" w:rsidP="006A0BB9">
            <w:pPr>
              <w:pStyle w:val="TableText0"/>
              <w:keepNext w:val="0"/>
              <w:rPr>
                <w:bCs w:val="0"/>
              </w:rPr>
            </w:pPr>
            <w:r w:rsidRPr="00FA739A">
              <w:rPr>
                <w:bCs w:val="0"/>
              </w:rPr>
              <w:t>The condition must be inoperable, AND</w:t>
            </w:r>
          </w:p>
          <w:p w:rsidR="00CD37BC" w:rsidRPr="00FA739A" w:rsidRDefault="00CD37BC" w:rsidP="006A0BB9">
            <w:pPr>
              <w:pStyle w:val="TableText0"/>
              <w:keepNext w:val="0"/>
              <w:rPr>
                <w:bCs w:val="0"/>
              </w:rPr>
            </w:pPr>
            <w:r w:rsidRPr="00FA739A">
              <w:rPr>
                <w:bCs w:val="0"/>
              </w:rPr>
              <w:t>Patient must have had a World Health Organisation (WHO) Eastern Cooperative Oncology Group (ECOG) performance status score of 2 or less prior to initiating treatment with this drug for this condition, AND</w:t>
            </w:r>
          </w:p>
          <w:p w:rsidR="00CD37BC" w:rsidRPr="00FA739A" w:rsidRDefault="00CD37BC" w:rsidP="006A0BB9">
            <w:pPr>
              <w:pStyle w:val="TableText0"/>
              <w:keepNext w:val="0"/>
              <w:rPr>
                <w:bCs w:val="0"/>
              </w:rPr>
            </w:pPr>
            <w:r w:rsidRPr="00FA739A">
              <w:rPr>
                <w:bCs w:val="0"/>
              </w:rPr>
              <w:t>Patient must not have developed disease progression while receiving treatment with this drug for this condition, AND</w:t>
            </w:r>
          </w:p>
          <w:p w:rsidR="00CD37BC" w:rsidRPr="00FA739A" w:rsidRDefault="00CD37BC" w:rsidP="006A0BB9">
            <w:pPr>
              <w:pStyle w:val="TableText0"/>
              <w:keepNext w:val="0"/>
              <w:rPr>
                <w:bCs w:val="0"/>
              </w:rPr>
            </w:pPr>
            <w:r w:rsidRPr="00FA739A">
              <w:rPr>
                <w:bCs w:val="0"/>
              </w:rPr>
              <w:t>Patient must have stable or responding disease, AND</w:t>
            </w:r>
          </w:p>
          <w:p w:rsidR="00CD37BC" w:rsidRPr="00FA739A" w:rsidRDefault="00CD37BC" w:rsidP="006A0BB9">
            <w:pPr>
              <w:pStyle w:val="TableText0"/>
              <w:keepNext w:val="0"/>
              <w:rPr>
                <w:bCs w:val="0"/>
              </w:rPr>
            </w:pPr>
            <w:r w:rsidRPr="00FA739A">
              <w:rPr>
                <w:bCs w:val="0"/>
              </w:rPr>
              <w:t>The treatment must be in combination with anastrozole or letrozole or fulvestrant AND</w:t>
            </w:r>
          </w:p>
          <w:p w:rsidR="00CD37BC" w:rsidRPr="00FA739A" w:rsidRDefault="00CD37BC" w:rsidP="006A0BB9">
            <w:pPr>
              <w:pStyle w:val="TableText0"/>
              <w:keepNext w:val="0"/>
              <w:rPr>
                <w:bCs w:val="0"/>
              </w:rPr>
            </w:pPr>
            <w:r w:rsidRPr="00FA739A">
              <w:rPr>
                <w:bCs w:val="0"/>
              </w:rPr>
              <w:t>The treatment must not be in combination with abemaciclib or palbociclib</w:t>
            </w:r>
          </w:p>
        </w:tc>
      </w:tr>
      <w:tr w:rsidR="00CD37BC" w:rsidRPr="00FA739A" w:rsidTr="00CD37BC">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FA739A">
              <w:t>Population criteria:</w:t>
            </w:r>
          </w:p>
          <w:p w:rsidR="00CD37BC" w:rsidRPr="00FA739A" w:rsidRDefault="00CD37BC" w:rsidP="006A0BB9">
            <w:pPr>
              <w:pStyle w:val="TableText0"/>
              <w:keepNext w:val="0"/>
            </w:pPr>
            <w:r w:rsidRPr="00FA739A">
              <w:t>Administrative advice:</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rPr>
                <w:bCs w:val="0"/>
              </w:rPr>
            </w:pPr>
            <w:r w:rsidRPr="00FA739A">
              <w:rPr>
                <w:bCs w:val="0"/>
              </w:rPr>
              <w:t>Patient must not be premenopausal.</w:t>
            </w:r>
          </w:p>
          <w:p w:rsidR="00CD37BC" w:rsidRPr="00FA739A" w:rsidRDefault="00CD37BC" w:rsidP="006A0BB9">
            <w:pPr>
              <w:pStyle w:val="TableText0"/>
              <w:keepNext w:val="0"/>
              <w:rPr>
                <w:bCs w:val="0"/>
              </w:rPr>
            </w:pPr>
            <w:r w:rsidRPr="00FA739A">
              <w:rPr>
                <w:bCs w:val="0"/>
              </w:rPr>
              <w:t>A patient may qualify for PBS-subsidised treatment under this restriction once only.</w:t>
            </w:r>
          </w:p>
          <w:p w:rsidR="00CD37BC" w:rsidRPr="00FA739A" w:rsidRDefault="00CD37BC" w:rsidP="006A0BB9">
            <w:pPr>
              <w:pStyle w:val="TableText0"/>
              <w:keepNext w:val="0"/>
              <w:rPr>
                <w:bCs w:val="0"/>
              </w:rPr>
            </w:pPr>
            <w:r w:rsidRPr="00FA739A">
              <w:rPr>
                <w:bCs w:val="0"/>
              </w:rPr>
              <w:t>For continuing PBS-subsidised treatment, a Grandfathered patient must qualify under the Continuing treatment criteria.</w:t>
            </w:r>
          </w:p>
          <w:p w:rsidR="00CD37BC" w:rsidRPr="00FA739A" w:rsidRDefault="00CD37BC" w:rsidP="006A0BB9">
            <w:pPr>
              <w:pStyle w:val="TableText0"/>
              <w:keepNext w:val="0"/>
              <w:rPr>
                <w:bCs w:val="0"/>
              </w:rPr>
            </w:pPr>
          </w:p>
          <w:p w:rsidR="00CD37BC" w:rsidRPr="00FA739A" w:rsidRDefault="00CD37BC" w:rsidP="006A0BB9">
            <w:pPr>
              <w:pStyle w:val="TableText0"/>
              <w:keepNext w:val="0"/>
              <w:rPr>
                <w:bCs w:val="0"/>
              </w:rPr>
            </w:pPr>
            <w:r w:rsidRPr="00FA739A">
              <w:rPr>
                <w:bCs w:val="0"/>
              </w:rPr>
              <w:t>This Grandfather restriction will cease to operate 12 months after the date specified in the clinical criteria</w:t>
            </w:r>
          </w:p>
        </w:tc>
      </w:tr>
      <w:tr w:rsidR="00CD37BC" w:rsidRPr="00FA739A" w:rsidTr="00CD37BC">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FA739A">
              <w:t>Cautions:</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rPr>
                <w:bCs w:val="0"/>
              </w:rPr>
            </w:pPr>
            <w:r w:rsidRPr="00FA739A">
              <w:rPr>
                <w:bCs w:val="0"/>
              </w:rPr>
              <w:t>QT interval monitoring is required for patients treated with this drug</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rPr>
                <w:b/>
              </w:rPr>
            </w:pPr>
            <w:r w:rsidRPr="00FA739A">
              <w:rPr>
                <w:b/>
              </w:rPr>
              <w:t xml:space="preserve">Treatment Phase: </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rPr>
                <w:b/>
                <w:bCs w:val="0"/>
                <w:i/>
                <w:color w:val="000000"/>
              </w:rPr>
            </w:pPr>
            <w:r w:rsidRPr="00FA739A">
              <w:rPr>
                <w:b/>
                <w:bCs w:val="0"/>
              </w:rPr>
              <w:t xml:space="preserve">Initial treatment – Second line </w:t>
            </w:r>
            <w:r w:rsidRPr="00FA739A">
              <w:rPr>
                <w:b/>
                <w:bCs w:val="0"/>
                <w:i/>
              </w:rPr>
              <w:t>and subsequent line</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FA739A">
              <w:t xml:space="preserve">Clinical criteria: </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FA739A">
              <w:t>Patient must have developed progressive disease following treatment with endocrine therapy</w:t>
            </w:r>
            <w:r w:rsidRPr="00FA739A">
              <w:rPr>
                <w:i/>
              </w:rPr>
              <w:t xml:space="preserve"> </w:t>
            </w:r>
            <w:r w:rsidRPr="00FA739A">
              <w:t xml:space="preserve">for advanced or metastatic breast cancer, AND </w:t>
            </w:r>
          </w:p>
          <w:p w:rsidR="00CD37BC" w:rsidRPr="00FA739A" w:rsidRDefault="00CD37BC" w:rsidP="006A0BB9">
            <w:pPr>
              <w:pStyle w:val="TableText0"/>
              <w:keepNext w:val="0"/>
            </w:pPr>
            <w:r w:rsidRPr="00FA739A">
              <w:t>The condition must be hormone receptor positive, AND</w:t>
            </w:r>
          </w:p>
          <w:p w:rsidR="00CD37BC" w:rsidRPr="00FA739A" w:rsidRDefault="00CD37BC" w:rsidP="006A0BB9">
            <w:pPr>
              <w:pStyle w:val="TableText0"/>
              <w:keepNext w:val="0"/>
            </w:pPr>
            <w:r w:rsidRPr="00FA739A">
              <w:t>The condition must be human epidermal growth factor receptor 2 (HER2) negative, AND</w:t>
            </w:r>
          </w:p>
          <w:p w:rsidR="00CD37BC" w:rsidRPr="00FA739A" w:rsidRDefault="00CD37BC" w:rsidP="006A0BB9">
            <w:pPr>
              <w:pStyle w:val="TableText0"/>
              <w:keepNext w:val="0"/>
            </w:pPr>
            <w:r w:rsidRPr="00FA739A">
              <w:t>The condition must be inoperable, AND</w:t>
            </w:r>
          </w:p>
          <w:p w:rsidR="00CD37BC" w:rsidRPr="00FA739A" w:rsidRDefault="00CD37BC" w:rsidP="006A0BB9">
            <w:pPr>
              <w:pStyle w:val="TableText0"/>
              <w:keepNext w:val="0"/>
            </w:pPr>
            <w:r w:rsidRPr="00FA739A">
              <w:t>Patient must have a World Health Organisation (WHO) Eastern Cooperative Oncology Group (ECOG) performance status score of 2 or less, AND</w:t>
            </w:r>
          </w:p>
          <w:p w:rsidR="00CD37BC" w:rsidRPr="00FA739A" w:rsidRDefault="00CD37BC" w:rsidP="006A0BB9">
            <w:pPr>
              <w:pStyle w:val="TableText0"/>
              <w:keepNext w:val="0"/>
            </w:pPr>
            <w:r w:rsidRPr="00FA739A">
              <w:t>The treatment must be in combination with fulvestrant, AND</w:t>
            </w:r>
          </w:p>
          <w:p w:rsidR="00CD37BC" w:rsidRPr="00FA739A" w:rsidRDefault="00CD37BC" w:rsidP="006A0BB9">
            <w:pPr>
              <w:pStyle w:val="TableText0"/>
              <w:keepNext w:val="0"/>
            </w:pPr>
            <w:r w:rsidRPr="00FA739A">
              <w:t>Patients must not have previously received treatment with a CDK inhibitor in the first-line setting, AND</w:t>
            </w:r>
          </w:p>
          <w:p w:rsidR="00CD37BC" w:rsidRPr="00FA739A" w:rsidRDefault="00CD37BC" w:rsidP="006A0BB9">
            <w:pPr>
              <w:pStyle w:val="TableText0"/>
              <w:keepNext w:val="0"/>
              <w:rPr>
                <w:color w:val="000000"/>
              </w:rPr>
            </w:pPr>
            <w:r w:rsidRPr="00FA739A">
              <w:t>The treatment must not be in combination with abemaciclib or palbociclib</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FA739A">
              <w:t>Population criteria:</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rPr>
                <w:color w:val="000000"/>
              </w:rPr>
            </w:pPr>
            <w:r w:rsidRPr="00FA739A">
              <w:t>Patient must not be premenopausal.</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rPr>
                <w:b/>
              </w:rPr>
            </w:pPr>
            <w:r w:rsidRPr="00FA739A">
              <w:rPr>
                <w:b/>
              </w:rPr>
              <w:t xml:space="preserve">Treatment Phase: </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rPr>
                <w:b/>
                <w:bCs w:val="0"/>
                <w:color w:val="000000"/>
              </w:rPr>
            </w:pPr>
            <w:r w:rsidRPr="00FA739A">
              <w:rPr>
                <w:b/>
                <w:bCs w:val="0"/>
              </w:rPr>
              <w:t xml:space="preserve">Continuing treatment – Second line </w:t>
            </w:r>
            <w:r w:rsidRPr="00FA739A">
              <w:rPr>
                <w:b/>
                <w:bCs w:val="0"/>
                <w:i/>
              </w:rPr>
              <w:t>and subsequent line</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FA739A">
              <w:t>Clinical criteria:</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FA739A">
              <w:t>Patient must have previously received PBS-subsidised treatment with this drug for this condition, AND</w:t>
            </w:r>
          </w:p>
          <w:p w:rsidR="00CD37BC" w:rsidRPr="00FA739A" w:rsidRDefault="00CD37BC" w:rsidP="006A0BB9">
            <w:pPr>
              <w:pStyle w:val="TableText0"/>
              <w:keepNext w:val="0"/>
            </w:pPr>
            <w:r w:rsidRPr="00FA739A">
              <w:t>Patient must not have developed disease progression while receiving treatment with this drug for this condition, AND</w:t>
            </w:r>
          </w:p>
          <w:p w:rsidR="00CD37BC" w:rsidRPr="00FA739A" w:rsidRDefault="00CD37BC" w:rsidP="006A0BB9">
            <w:pPr>
              <w:pStyle w:val="TableText0"/>
              <w:keepNext w:val="0"/>
            </w:pPr>
            <w:r w:rsidRPr="00FA739A">
              <w:t>Patient must have stable or responding disease, AND</w:t>
            </w:r>
          </w:p>
          <w:p w:rsidR="00CD37BC" w:rsidRPr="00FA739A" w:rsidRDefault="00CD37BC" w:rsidP="006A0BB9">
            <w:pPr>
              <w:pStyle w:val="TableText0"/>
              <w:keepNext w:val="0"/>
            </w:pPr>
            <w:r w:rsidRPr="00FA739A">
              <w:t xml:space="preserve">The treatment must be in combination with fulvestrant AND </w:t>
            </w:r>
          </w:p>
          <w:p w:rsidR="00CD37BC" w:rsidRPr="00FA739A" w:rsidRDefault="00CD37BC" w:rsidP="006A0BB9">
            <w:pPr>
              <w:pStyle w:val="TableText0"/>
              <w:keepNext w:val="0"/>
              <w:rPr>
                <w:color w:val="000000"/>
              </w:rPr>
            </w:pPr>
            <w:r w:rsidRPr="00FA739A">
              <w:t>The treatment must not be in combination with abemaciclib or palbociclib</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FA739A">
              <w:t>Population criteria:</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rPr>
                <w:color w:val="000000"/>
              </w:rPr>
            </w:pPr>
            <w:r w:rsidRPr="00FA739A">
              <w:t>Patient must not be premenopausal.</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tcPr>
          <w:p w:rsidR="00CD37BC" w:rsidRPr="00FA739A" w:rsidRDefault="00CD37BC" w:rsidP="006A0BB9">
            <w:pPr>
              <w:pStyle w:val="TableText0"/>
              <w:keepNext w:val="0"/>
            </w:pPr>
            <w:r w:rsidRPr="00FA739A">
              <w:rPr>
                <w:rFonts w:eastAsia="MS Gothic"/>
                <w:bCs w:val="0"/>
              </w:rPr>
              <w:t>Cautions:</w:t>
            </w:r>
          </w:p>
        </w:tc>
        <w:tc>
          <w:tcPr>
            <w:tcW w:w="4071" w:type="pct"/>
            <w:tcBorders>
              <w:top w:val="single" w:sz="4" w:space="0" w:color="auto"/>
              <w:left w:val="single" w:sz="4" w:space="0" w:color="auto"/>
              <w:bottom w:val="single" w:sz="4" w:space="0" w:color="auto"/>
              <w:right w:val="single" w:sz="4" w:space="0" w:color="auto"/>
            </w:tcBorders>
          </w:tcPr>
          <w:p w:rsidR="00CD37BC" w:rsidRPr="00FA739A" w:rsidRDefault="00CD37BC" w:rsidP="006A0BB9">
            <w:pPr>
              <w:pStyle w:val="TableText0"/>
              <w:keepNext w:val="0"/>
            </w:pPr>
            <w:r w:rsidRPr="00FA739A">
              <w:rPr>
                <w:rFonts w:eastAsia="MS Gothic"/>
                <w:bCs w:val="0"/>
                <w:color w:val="000000"/>
              </w:rPr>
              <w:t>QT interval monitoring is required for patients treated with this drug</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rPr>
                <w:b/>
              </w:rPr>
            </w:pPr>
            <w:r w:rsidRPr="00FA739A">
              <w:rPr>
                <w:b/>
              </w:rPr>
              <w:t xml:space="preserve">Treatment Phase: </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rPr>
                <w:b/>
                <w:bCs w:val="0"/>
                <w:color w:val="000000"/>
              </w:rPr>
            </w:pPr>
            <w:r w:rsidRPr="00FA739A">
              <w:rPr>
                <w:b/>
                <w:bCs w:val="0"/>
              </w:rPr>
              <w:t xml:space="preserve">Initial treatment – Grandfather patients – Second line </w:t>
            </w:r>
            <w:r w:rsidRPr="00FA739A">
              <w:rPr>
                <w:b/>
                <w:bCs w:val="0"/>
                <w:i/>
              </w:rPr>
              <w:t>and subsequent line</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FA739A">
              <w:lastRenderedPageBreak/>
              <w:t>Clinical criteria:</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keepNext w:val="0"/>
            </w:pPr>
            <w:r w:rsidRPr="00FA739A">
              <w:t>Patient must have previously received non-PBS-subsidised treatment with this drug for this condition prior to [insert date of PBS listing], AND</w:t>
            </w:r>
          </w:p>
          <w:p w:rsidR="00CD37BC" w:rsidRPr="00FA739A" w:rsidRDefault="00CD37BC" w:rsidP="006A0BB9">
            <w:pPr>
              <w:pStyle w:val="TableText0"/>
              <w:keepNext w:val="0"/>
            </w:pPr>
            <w:r w:rsidRPr="00FA739A">
              <w:t>Patient must have developed progressive disease following treatment with endocrine therapy</w:t>
            </w:r>
            <w:r w:rsidRPr="00FA739A">
              <w:rPr>
                <w:i/>
              </w:rPr>
              <w:t xml:space="preserve"> </w:t>
            </w:r>
            <w:r w:rsidRPr="00FA739A">
              <w:t>for advanced or metastatic breast cancer prior to initiating treatment with this drug for this condition, AND</w:t>
            </w:r>
          </w:p>
          <w:p w:rsidR="00CD37BC" w:rsidRPr="00FA739A" w:rsidRDefault="00CD37BC" w:rsidP="006A0BB9">
            <w:pPr>
              <w:pStyle w:val="TableText0"/>
              <w:keepNext w:val="0"/>
            </w:pPr>
            <w:r w:rsidRPr="00FA739A">
              <w:t>Patients must not have previously received treatment with a CDK inhibitor in the first-line setting, AND</w:t>
            </w:r>
          </w:p>
          <w:p w:rsidR="00CD37BC" w:rsidRPr="00FA739A" w:rsidRDefault="00CD37BC" w:rsidP="006A0BB9">
            <w:pPr>
              <w:pStyle w:val="TableText0"/>
              <w:keepNext w:val="0"/>
            </w:pPr>
            <w:r w:rsidRPr="00FA739A">
              <w:t>The condition must be hormone receptor positive, AND</w:t>
            </w:r>
          </w:p>
          <w:p w:rsidR="00CD37BC" w:rsidRPr="00FA739A" w:rsidRDefault="00CD37BC" w:rsidP="006A0BB9">
            <w:pPr>
              <w:pStyle w:val="TableText0"/>
              <w:keepNext w:val="0"/>
            </w:pPr>
            <w:r w:rsidRPr="00FA739A">
              <w:t>The condition must be human epidermal growth factor receptor 2 (HER2) negative, AND</w:t>
            </w:r>
          </w:p>
          <w:p w:rsidR="00CD37BC" w:rsidRPr="00FA739A" w:rsidRDefault="00CD37BC" w:rsidP="006A0BB9">
            <w:pPr>
              <w:pStyle w:val="TableText0"/>
              <w:keepNext w:val="0"/>
            </w:pPr>
            <w:r w:rsidRPr="00FA739A">
              <w:t>The condition must be inoperable, AND</w:t>
            </w:r>
          </w:p>
          <w:p w:rsidR="00CD37BC" w:rsidRPr="00FA739A" w:rsidRDefault="00CD37BC" w:rsidP="006A0BB9">
            <w:pPr>
              <w:pStyle w:val="TableText0"/>
              <w:keepNext w:val="0"/>
            </w:pPr>
            <w:r w:rsidRPr="00FA739A">
              <w:t>Patient must have had a World Health Organisation (WHO) Eastern Cooperative Oncology Group (ECOG) performance status score of 2 or less prior to initiating treatment with this drug for this condition, AND</w:t>
            </w:r>
          </w:p>
          <w:p w:rsidR="00CD37BC" w:rsidRPr="00FA739A" w:rsidRDefault="00CD37BC" w:rsidP="006A0BB9">
            <w:pPr>
              <w:pStyle w:val="TableText0"/>
              <w:keepNext w:val="0"/>
            </w:pPr>
            <w:r w:rsidRPr="00FA739A">
              <w:t>Patient must not have developed disease progression while receiving treatment with this drug for this condition, AND</w:t>
            </w:r>
          </w:p>
          <w:p w:rsidR="00CD37BC" w:rsidRPr="00FA739A" w:rsidRDefault="00CD37BC" w:rsidP="006A0BB9">
            <w:pPr>
              <w:pStyle w:val="TableText0"/>
              <w:keepNext w:val="0"/>
            </w:pPr>
            <w:r w:rsidRPr="00FA739A">
              <w:t>Patient must have stable or responding disease, AND</w:t>
            </w:r>
          </w:p>
          <w:p w:rsidR="00CD37BC" w:rsidRPr="00FA739A" w:rsidRDefault="00CD37BC" w:rsidP="006A0BB9">
            <w:pPr>
              <w:pStyle w:val="TableText0"/>
              <w:keepNext w:val="0"/>
            </w:pPr>
            <w:r w:rsidRPr="00FA739A">
              <w:t xml:space="preserve">The treatment must in combination with fulvestrant, AND </w:t>
            </w:r>
          </w:p>
          <w:p w:rsidR="00CD37BC" w:rsidRPr="00FA739A" w:rsidRDefault="00CD37BC" w:rsidP="006A0BB9">
            <w:pPr>
              <w:pStyle w:val="TableText0"/>
              <w:keepNext w:val="0"/>
              <w:rPr>
                <w:color w:val="000000"/>
              </w:rPr>
            </w:pPr>
            <w:r w:rsidRPr="00FA739A">
              <w:t>The treatment must not be in combination with abemaciclib or palbociclib</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pPr>
            <w:r w:rsidRPr="00FA739A">
              <w:t>Population criteria:</w:t>
            </w:r>
          </w:p>
        </w:tc>
        <w:tc>
          <w:tcPr>
            <w:tcW w:w="4071" w:type="pct"/>
            <w:tcBorders>
              <w:top w:val="single" w:sz="4" w:space="0" w:color="auto"/>
              <w:left w:val="single" w:sz="4" w:space="0" w:color="auto"/>
              <w:bottom w:val="single" w:sz="4" w:space="0" w:color="auto"/>
              <w:right w:val="single" w:sz="4" w:space="0" w:color="auto"/>
            </w:tcBorders>
            <w:hideMark/>
          </w:tcPr>
          <w:p w:rsidR="00CD37BC" w:rsidRPr="00FA739A" w:rsidRDefault="00CD37BC" w:rsidP="006A0BB9">
            <w:pPr>
              <w:pStyle w:val="TableText0"/>
            </w:pPr>
            <w:r w:rsidRPr="00FA739A">
              <w:t>Patient must not be premenopausal.</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tcPr>
          <w:p w:rsidR="00CD37BC" w:rsidRPr="00FA739A" w:rsidRDefault="00CD37BC" w:rsidP="006A0BB9">
            <w:pPr>
              <w:pStyle w:val="TableText0"/>
            </w:pPr>
            <w:r w:rsidRPr="00FA739A">
              <w:t>Administrative advice:</w:t>
            </w:r>
          </w:p>
        </w:tc>
        <w:tc>
          <w:tcPr>
            <w:tcW w:w="4071" w:type="pct"/>
            <w:tcBorders>
              <w:top w:val="single" w:sz="4" w:space="0" w:color="auto"/>
              <w:left w:val="single" w:sz="4" w:space="0" w:color="auto"/>
              <w:bottom w:val="single" w:sz="4" w:space="0" w:color="auto"/>
              <w:right w:val="single" w:sz="4" w:space="0" w:color="auto"/>
            </w:tcBorders>
          </w:tcPr>
          <w:p w:rsidR="00CD37BC" w:rsidRPr="00FA739A" w:rsidRDefault="00CD37BC" w:rsidP="006A0BB9">
            <w:pPr>
              <w:pStyle w:val="TableText0"/>
            </w:pPr>
            <w:r w:rsidRPr="00FA739A">
              <w:t>A patient may qualify for PBS-subsidised treatment under this restriction once only. For continuing PBS-subsidised treatment, a Grandfathered patient must qualify under the Continuing treatment criteria.</w:t>
            </w:r>
          </w:p>
          <w:p w:rsidR="00CD37BC" w:rsidRPr="00FA739A" w:rsidRDefault="00CD37BC" w:rsidP="006A0BB9">
            <w:pPr>
              <w:pStyle w:val="TableText0"/>
            </w:pPr>
            <w:r w:rsidRPr="00FA739A">
              <w:rPr>
                <w:bCs w:val="0"/>
                <w:szCs w:val="20"/>
              </w:rPr>
              <w:t>This Grandfather restriction will cease to operate 12 months after the date specified in the clinical criteria</w:t>
            </w:r>
          </w:p>
        </w:tc>
      </w:tr>
      <w:tr w:rsidR="00CD37BC" w:rsidRPr="00FA739A" w:rsidTr="006A0BB9">
        <w:trPr>
          <w:trHeight w:val="20"/>
        </w:trPr>
        <w:tc>
          <w:tcPr>
            <w:tcW w:w="929" w:type="pct"/>
            <w:tcBorders>
              <w:top w:val="single" w:sz="4" w:space="0" w:color="auto"/>
              <w:left w:val="single" w:sz="4" w:space="0" w:color="auto"/>
              <w:bottom w:val="single" w:sz="4" w:space="0" w:color="auto"/>
              <w:right w:val="single" w:sz="4" w:space="0" w:color="auto"/>
            </w:tcBorders>
          </w:tcPr>
          <w:p w:rsidR="00CD37BC" w:rsidRPr="00FA739A" w:rsidRDefault="00CD37BC" w:rsidP="006A0BB9">
            <w:pPr>
              <w:pStyle w:val="TableText0"/>
            </w:pPr>
            <w:r w:rsidRPr="00FA739A">
              <w:rPr>
                <w:rFonts w:eastAsia="MS Gothic"/>
                <w:bCs w:val="0"/>
              </w:rPr>
              <w:t>Cautions:</w:t>
            </w:r>
          </w:p>
        </w:tc>
        <w:tc>
          <w:tcPr>
            <w:tcW w:w="4071" w:type="pct"/>
            <w:tcBorders>
              <w:top w:val="single" w:sz="4" w:space="0" w:color="auto"/>
              <w:left w:val="single" w:sz="4" w:space="0" w:color="auto"/>
              <w:bottom w:val="single" w:sz="4" w:space="0" w:color="auto"/>
              <w:right w:val="single" w:sz="4" w:space="0" w:color="auto"/>
            </w:tcBorders>
          </w:tcPr>
          <w:p w:rsidR="00CD37BC" w:rsidRPr="00FA739A" w:rsidRDefault="00CD37BC" w:rsidP="006A0BB9">
            <w:pPr>
              <w:pStyle w:val="TableText0"/>
            </w:pPr>
            <w:r w:rsidRPr="00FA739A">
              <w:rPr>
                <w:rFonts w:eastAsia="MS Gothic"/>
                <w:bCs w:val="0"/>
                <w:color w:val="000000"/>
              </w:rPr>
              <w:t>QT interval monitoring is required for patients treated with this drug</w:t>
            </w:r>
          </w:p>
        </w:tc>
      </w:tr>
    </w:tbl>
    <w:p w:rsidR="00CD37BC" w:rsidRPr="00FA739A" w:rsidRDefault="00CD37BC" w:rsidP="00CD37BC">
      <w:pPr>
        <w:pStyle w:val="3Bodytext"/>
        <w:numPr>
          <w:ilvl w:val="0"/>
          <w:numId w:val="0"/>
        </w:numPr>
        <w:rPr>
          <w:rFonts w:cstheme="minorHAnsi"/>
          <w:i/>
        </w:rPr>
      </w:pPr>
    </w:p>
    <w:p w:rsidR="00031472" w:rsidRPr="00FA739A" w:rsidRDefault="005C0A86" w:rsidP="007D6B49">
      <w:pPr>
        <w:pStyle w:val="3Bodytext"/>
        <w:jc w:val="both"/>
        <w:rPr>
          <w:i/>
        </w:rPr>
      </w:pPr>
      <w:r w:rsidRPr="00FA739A">
        <w:t>T</w:t>
      </w:r>
      <w:r w:rsidR="00031472" w:rsidRPr="00FA739A">
        <w:t xml:space="preserve">he July 2020 submission </w:t>
      </w:r>
      <w:r w:rsidR="00173119" w:rsidRPr="00FA739A">
        <w:t xml:space="preserve">requested </w:t>
      </w:r>
      <w:r w:rsidRPr="00FA739A">
        <w:t>a higher price for the proposed new listing of ribociclib (i.e. for use in combination with fulvestrant) than currently applies to the existing listing (which is for use in combination with a non-steroidal aromatase inhibitor (NSAI; letrozole or anastrozole)). T</w:t>
      </w:r>
      <w:r w:rsidR="00031472" w:rsidRPr="00FA739A">
        <w:t xml:space="preserve">he resubmission requested the same </w:t>
      </w:r>
      <w:r w:rsidRPr="00FA739A">
        <w:t xml:space="preserve">effective AEMP (and </w:t>
      </w:r>
      <w:r w:rsidR="00031472" w:rsidRPr="00FA739A">
        <w:t>Special Pricing Arrangement</w:t>
      </w:r>
      <w:r w:rsidRPr="00FA739A">
        <w:t>) as</w:t>
      </w:r>
      <w:r w:rsidR="00031472" w:rsidRPr="00FA739A">
        <w:t xml:space="preserve"> </w:t>
      </w:r>
      <w:r w:rsidRPr="00FA739A">
        <w:t xml:space="preserve">applies to the existing listing. </w:t>
      </w:r>
    </w:p>
    <w:p w:rsidR="00521F12" w:rsidRPr="00FA739A" w:rsidRDefault="00A0738B" w:rsidP="007D6B49">
      <w:pPr>
        <w:pStyle w:val="3Bodytext"/>
        <w:jc w:val="both"/>
      </w:pPr>
      <w:r w:rsidRPr="00FA739A">
        <w:t xml:space="preserve">The PBAC </w:t>
      </w:r>
      <w:r w:rsidR="00521F12" w:rsidRPr="00FA739A">
        <w:t xml:space="preserve">previously </w:t>
      </w:r>
      <w:r w:rsidRPr="00FA739A">
        <w:t xml:space="preserve">considered that the listing for fulvestrant (for use in combination with ribociclib) should </w:t>
      </w:r>
      <w:r w:rsidR="008446C9" w:rsidRPr="00FA739A">
        <w:t xml:space="preserve">combine </w:t>
      </w:r>
      <w:r w:rsidRPr="00FA739A">
        <w:t xml:space="preserve">initial and continuing treatment (paragraph 3.3 </w:t>
      </w:r>
      <w:r w:rsidR="00C045C7" w:rsidRPr="00FA739A">
        <w:t>r</w:t>
      </w:r>
      <w:r w:rsidRPr="00FA739A">
        <w:t>ibociclib</w:t>
      </w:r>
      <w:r w:rsidR="00C045C7" w:rsidRPr="00FA739A">
        <w:t xml:space="preserve"> PSD</w:t>
      </w:r>
      <w:r w:rsidRPr="00FA739A">
        <w:t xml:space="preserve">, July 2020 PBAC meeting). </w:t>
      </w:r>
    </w:p>
    <w:p w:rsidR="00A0738B" w:rsidRPr="00FA739A" w:rsidRDefault="00521F12" w:rsidP="007D6B49">
      <w:pPr>
        <w:pStyle w:val="3Bodytext"/>
        <w:jc w:val="both"/>
      </w:pPr>
      <w:r w:rsidRPr="00FA739A">
        <w:t>The PBAC recalled its July 2020 consideration of a submission for fulvestrant monotherapy and noted that fulvestrant would be acceptably cost-effective for use as monotherapy at the price proposed in this submission. Thus</w:t>
      </w:r>
      <w:r w:rsidR="007D0F42" w:rsidRPr="00FA739A">
        <w:t>,</w:t>
      </w:r>
      <w:r w:rsidRPr="00FA739A">
        <w:t xml:space="preserve"> the PBAC reiterated its July 2020 recommendation for a broad listing for fulvestrant that allows use as monotherapy</w:t>
      </w:r>
      <w:r w:rsidR="007D0F42" w:rsidRPr="00FA739A">
        <w:t xml:space="preserve"> and reiterated its recommended listing for fulvestrant from July 2020, which is outlined in Section 6 ‘Recommended listing’. The PBAC noted</w:t>
      </w:r>
      <w:r w:rsidRPr="00FA739A">
        <w:t xml:space="preserve"> that</w:t>
      </w:r>
      <w:r w:rsidR="007D0F42" w:rsidRPr="00FA739A">
        <w:t xml:space="preserve"> this restriction would also allow use of fulvestrant in combination with ribociclib due to </w:t>
      </w:r>
      <w:r w:rsidRPr="00FA739A">
        <w:t xml:space="preserve">the proposed changes to the ribociclib listing. </w:t>
      </w:r>
    </w:p>
    <w:bookmarkEnd w:id="0"/>
    <w:p w:rsidR="00B17EE5" w:rsidRPr="00FA739A" w:rsidRDefault="005C0A86" w:rsidP="007D6B49">
      <w:pPr>
        <w:pStyle w:val="3Bodytext"/>
        <w:jc w:val="both"/>
      </w:pPr>
      <w:r w:rsidRPr="00FA739A">
        <w:t>The PBAC consider</w:t>
      </w:r>
      <w:r w:rsidR="00293A7B" w:rsidRPr="00FA739A">
        <w:t>ed</w:t>
      </w:r>
      <w:r w:rsidRPr="00FA739A">
        <w:t xml:space="preserve"> it would be </w:t>
      </w:r>
      <w:r w:rsidR="00192BC4" w:rsidRPr="00FA739A">
        <w:t xml:space="preserve">preferable to </w:t>
      </w:r>
      <w:r w:rsidR="00C75D34" w:rsidRPr="00FA739A">
        <w:t xml:space="preserve">simplify the initial </w:t>
      </w:r>
      <w:r w:rsidR="0003334D" w:rsidRPr="00FA739A">
        <w:t xml:space="preserve">ribociclib </w:t>
      </w:r>
      <w:r w:rsidR="00C75D34" w:rsidRPr="00FA739A">
        <w:t>restrictions to have a single initial restriction</w:t>
      </w:r>
      <w:r w:rsidR="00293A7B" w:rsidRPr="00FA739A">
        <w:t xml:space="preserve"> </w:t>
      </w:r>
      <w:r w:rsidR="008446C9" w:rsidRPr="00FA739A">
        <w:t xml:space="preserve">combining first and subsequent line treatment </w:t>
      </w:r>
      <w:r w:rsidR="00293A7B" w:rsidRPr="00FA739A">
        <w:t>in order to</w:t>
      </w:r>
      <w:r w:rsidR="001301DB" w:rsidRPr="00FA739A">
        <w:t xml:space="preserve"> help avoid confusion as to what constitutes the various ‘lines’ of therapy. For example, the previous </w:t>
      </w:r>
      <w:r w:rsidR="00C101D3">
        <w:t>Public Summary Document (PSD)</w:t>
      </w:r>
      <w:r w:rsidR="00C101D3" w:rsidRPr="00FA739A">
        <w:t xml:space="preserve"> </w:t>
      </w:r>
      <w:r w:rsidR="001301DB" w:rsidRPr="00FA739A">
        <w:t xml:space="preserve">noted that, consistent with the existing restrictions for CDKIs+NSAIs, the proposed criterion excluding </w:t>
      </w:r>
      <w:r w:rsidR="007D0F42" w:rsidRPr="00FA739A">
        <w:t xml:space="preserve">patients </w:t>
      </w:r>
      <w:r w:rsidR="007D0F42" w:rsidRPr="00FA739A">
        <w:lastRenderedPageBreak/>
        <w:t xml:space="preserve">who received </w:t>
      </w:r>
      <w:r w:rsidR="001301DB" w:rsidRPr="00FA739A">
        <w:t xml:space="preserve">prior endocrine therapy in the ‘first-line’ setting would still permit patients with visceral disease who </w:t>
      </w:r>
      <w:r w:rsidR="007D0F42" w:rsidRPr="00FA739A">
        <w:t>received</w:t>
      </w:r>
      <w:r w:rsidR="001301DB" w:rsidRPr="00FA739A">
        <w:t xml:space="preserve"> chemotherapy before endocrine therapy to access RIBO+FULV. </w:t>
      </w:r>
      <w:r w:rsidR="00293A7B" w:rsidRPr="00FA739A">
        <w:t>The PBAC noted that a</w:t>
      </w:r>
      <w:r w:rsidR="001301DB" w:rsidRPr="00FA739A">
        <w:t xml:space="preserve"> </w:t>
      </w:r>
      <w:r w:rsidR="008446C9" w:rsidRPr="00FA739A">
        <w:t>combined</w:t>
      </w:r>
      <w:r w:rsidR="001301DB" w:rsidRPr="00FA739A">
        <w:t xml:space="preserve"> listing would result in ribociclib having a significantly different restriction to the other CDKIs</w:t>
      </w:r>
      <w:r w:rsidR="00293A7B" w:rsidRPr="00FA739A">
        <w:t>, but considered this would be reasonable</w:t>
      </w:r>
      <w:r w:rsidR="001301DB" w:rsidRPr="00FA739A">
        <w:t>.</w:t>
      </w:r>
      <w:r w:rsidR="00293A7B" w:rsidRPr="00FA739A">
        <w:t xml:space="preserve"> The PBAC also considered </w:t>
      </w:r>
      <w:r w:rsidR="008446C9" w:rsidRPr="00FA739A">
        <w:t>restrictions combining first and subsequent line treatment would be appropriate for</w:t>
      </w:r>
      <w:r w:rsidR="00293A7B" w:rsidRPr="00FA739A">
        <w:t xml:space="preserve"> grandfather and continuing restrictions.</w:t>
      </w:r>
    </w:p>
    <w:p w:rsidR="006350CC" w:rsidRPr="00FA739A" w:rsidRDefault="006350CC" w:rsidP="006350CC">
      <w:pPr>
        <w:pStyle w:val="Bodytextitalics"/>
      </w:pPr>
      <w:r w:rsidRPr="00FA739A">
        <w:t xml:space="preserve">For more detail on PBAC’s view, see section </w:t>
      </w:r>
      <w:r w:rsidR="0003334D" w:rsidRPr="00FA739A">
        <w:t>5</w:t>
      </w:r>
      <w:r w:rsidRPr="00FA739A">
        <w:t xml:space="preserve"> PBAC outcome.</w:t>
      </w:r>
    </w:p>
    <w:p w:rsidR="000B558D" w:rsidRPr="00FA739A" w:rsidRDefault="008D7A41" w:rsidP="00090640">
      <w:pPr>
        <w:pStyle w:val="Heading1"/>
        <w:keepLines/>
        <w:numPr>
          <w:ilvl w:val="0"/>
          <w:numId w:val="3"/>
        </w:numPr>
        <w:spacing w:before="240"/>
        <w:ind w:left="709" w:hanging="709"/>
        <w:rPr>
          <w:sz w:val="32"/>
          <w:szCs w:val="32"/>
        </w:rPr>
      </w:pPr>
      <w:r w:rsidRPr="00FA739A">
        <w:rPr>
          <w:sz w:val="32"/>
          <w:szCs w:val="32"/>
        </w:rPr>
        <w:t>C</w:t>
      </w:r>
      <w:r w:rsidR="00D84934" w:rsidRPr="00FA739A">
        <w:rPr>
          <w:sz w:val="32"/>
          <w:szCs w:val="32"/>
        </w:rPr>
        <w:t>onsideration of the evidence</w:t>
      </w:r>
    </w:p>
    <w:p w:rsidR="006350CC" w:rsidRPr="00FA739A" w:rsidRDefault="006350CC" w:rsidP="006350CC">
      <w:pPr>
        <w:pStyle w:val="4-SubsectionHeading"/>
        <w:keepLines/>
        <w:rPr>
          <w:lang w:eastAsia="en-US"/>
        </w:rPr>
      </w:pPr>
      <w:r w:rsidRPr="00FA739A">
        <w:rPr>
          <w:lang w:eastAsia="en-US"/>
        </w:rPr>
        <w:t>Sponsor hearing</w:t>
      </w:r>
    </w:p>
    <w:p w:rsidR="006350CC" w:rsidRPr="00FA739A" w:rsidRDefault="006350CC" w:rsidP="006350CC">
      <w:pPr>
        <w:widowControl w:val="0"/>
        <w:numPr>
          <w:ilvl w:val="1"/>
          <w:numId w:val="1"/>
        </w:numPr>
        <w:spacing w:after="120"/>
        <w:rPr>
          <w:rFonts w:asciiTheme="minorHAnsi" w:hAnsiTheme="minorHAnsi" w:cs="Arial"/>
          <w:bCs/>
          <w:snapToGrid w:val="0"/>
        </w:rPr>
      </w:pPr>
      <w:r w:rsidRPr="00FA739A">
        <w:rPr>
          <w:rFonts w:asciiTheme="minorHAnsi" w:hAnsiTheme="minorHAnsi" w:cs="Arial"/>
          <w:bCs/>
          <w:snapToGrid w:val="0"/>
        </w:rPr>
        <w:t>There was no hearing for this item as it was a minor submission.</w:t>
      </w:r>
    </w:p>
    <w:p w:rsidR="006350CC" w:rsidRPr="00FA739A" w:rsidRDefault="006350CC" w:rsidP="006350CC">
      <w:pPr>
        <w:pStyle w:val="4-SubsectionHeading"/>
        <w:keepLines/>
        <w:rPr>
          <w:lang w:eastAsia="en-US"/>
        </w:rPr>
      </w:pPr>
      <w:r w:rsidRPr="00FA739A">
        <w:rPr>
          <w:lang w:eastAsia="en-US"/>
        </w:rPr>
        <w:t>Consumer comments</w:t>
      </w:r>
    </w:p>
    <w:p w:rsidR="006350CC" w:rsidRPr="00FA739A" w:rsidRDefault="006350CC" w:rsidP="006350CC">
      <w:pPr>
        <w:widowControl w:val="0"/>
        <w:numPr>
          <w:ilvl w:val="1"/>
          <w:numId w:val="1"/>
        </w:numPr>
        <w:spacing w:after="120"/>
        <w:rPr>
          <w:rFonts w:asciiTheme="minorHAnsi" w:hAnsiTheme="minorHAnsi" w:cs="Arial"/>
          <w:bCs/>
          <w:snapToGrid w:val="0"/>
        </w:rPr>
      </w:pPr>
      <w:r w:rsidRPr="00FA739A">
        <w:rPr>
          <w:rFonts w:asciiTheme="minorHAnsi" w:hAnsiTheme="minorHAnsi" w:cs="Arial"/>
          <w:bCs/>
          <w:snapToGrid w:val="0"/>
        </w:rPr>
        <w:t>The PBAC noted and welcomed the input from individuals (</w:t>
      </w:r>
      <w:r w:rsidR="002D6899" w:rsidRPr="00FA739A">
        <w:rPr>
          <w:rFonts w:asciiTheme="minorHAnsi" w:hAnsiTheme="minorHAnsi" w:cs="Arial"/>
          <w:bCs/>
          <w:snapToGrid w:val="0"/>
        </w:rPr>
        <w:t>1</w:t>
      </w:r>
      <w:r w:rsidRPr="00FA739A">
        <w:rPr>
          <w:rFonts w:asciiTheme="minorHAnsi" w:hAnsiTheme="minorHAnsi" w:cs="Arial"/>
          <w:bCs/>
          <w:snapToGrid w:val="0"/>
        </w:rPr>
        <w:t xml:space="preserve">), and organisations (1) via the Consumer Comments facility on the PBS website. The comments described </w:t>
      </w:r>
      <w:r w:rsidR="00FB063A" w:rsidRPr="00FA739A">
        <w:rPr>
          <w:rFonts w:asciiTheme="minorHAnsi" w:hAnsiTheme="minorHAnsi" w:cs="Arial"/>
          <w:bCs/>
          <w:snapToGrid w:val="0"/>
        </w:rPr>
        <w:t xml:space="preserve">the benefits of an oral medication (ribociclib), with increased flexibility in hospital attendance </w:t>
      </w:r>
      <w:r w:rsidR="00E90C8A" w:rsidRPr="00FA739A">
        <w:rPr>
          <w:rFonts w:asciiTheme="minorHAnsi" w:hAnsiTheme="minorHAnsi" w:cs="Arial"/>
          <w:bCs/>
          <w:snapToGrid w:val="0"/>
        </w:rPr>
        <w:t xml:space="preserve">for administration </w:t>
      </w:r>
      <w:r w:rsidR="00FB063A" w:rsidRPr="00FA739A">
        <w:rPr>
          <w:rFonts w:asciiTheme="minorHAnsi" w:hAnsiTheme="minorHAnsi" w:cs="Arial"/>
          <w:bCs/>
          <w:snapToGrid w:val="0"/>
        </w:rPr>
        <w:t>and improved side-effect profile compared with chemotherapy.</w:t>
      </w:r>
    </w:p>
    <w:p w:rsidR="006350CC" w:rsidRPr="00322A93" w:rsidRDefault="006350CC" w:rsidP="00322A93">
      <w:pPr>
        <w:pStyle w:val="3Bodytext"/>
        <w:jc w:val="both"/>
        <w:rPr>
          <w:snapToGrid w:val="0"/>
        </w:rPr>
      </w:pPr>
      <w:r w:rsidRPr="00FA739A">
        <w:rPr>
          <w:snapToGrid w:val="0"/>
        </w:rPr>
        <w:t xml:space="preserve">The Medical Oncology Group of Australia (MOGA) also expressed its strong support for the </w:t>
      </w:r>
      <w:r w:rsidR="00E90C8A" w:rsidRPr="00FA739A">
        <w:rPr>
          <w:snapToGrid w:val="0"/>
        </w:rPr>
        <w:t>ribocicli</w:t>
      </w:r>
      <w:r w:rsidR="00B83EED" w:rsidRPr="00FA739A">
        <w:rPr>
          <w:snapToGrid w:val="0"/>
        </w:rPr>
        <w:t>b</w:t>
      </w:r>
      <w:r w:rsidR="00E90C8A" w:rsidRPr="00FA739A">
        <w:rPr>
          <w:snapToGrid w:val="0"/>
        </w:rPr>
        <w:t xml:space="preserve"> + fulvestrant </w:t>
      </w:r>
      <w:r w:rsidRPr="00FA739A">
        <w:rPr>
          <w:snapToGrid w:val="0"/>
        </w:rPr>
        <w:t xml:space="preserve">submission, categorising it as one of the therapies of “high priority for PBS listing” on the basis of the </w:t>
      </w:r>
      <w:r w:rsidR="00E90C8A" w:rsidRPr="00FA739A">
        <w:rPr>
          <w:snapToGrid w:val="0"/>
        </w:rPr>
        <w:t xml:space="preserve">MONALEESA-3 </w:t>
      </w:r>
      <w:r w:rsidRPr="00FA739A">
        <w:rPr>
          <w:snapToGrid w:val="0"/>
        </w:rPr>
        <w:t xml:space="preserve">trial. The PBAC noted that the MOGA presented a European Society for Medical Oncology Magnitude of Clinical Benefit Scale (ESMO-MCBS) for </w:t>
      </w:r>
      <w:r w:rsidR="00E90C8A" w:rsidRPr="00FA739A">
        <w:rPr>
          <w:snapToGrid w:val="0"/>
        </w:rPr>
        <w:t>r</w:t>
      </w:r>
      <w:r w:rsidR="00202510" w:rsidRPr="00FA739A">
        <w:rPr>
          <w:snapToGrid w:val="0"/>
        </w:rPr>
        <w:t>ibocicli</w:t>
      </w:r>
      <w:r w:rsidR="00E90C8A" w:rsidRPr="00FA739A">
        <w:rPr>
          <w:snapToGrid w:val="0"/>
        </w:rPr>
        <w:t>b in combination with fulvestrant</w:t>
      </w:r>
      <w:r w:rsidRPr="00FA739A">
        <w:rPr>
          <w:snapToGrid w:val="0"/>
        </w:rPr>
        <w:t xml:space="preserve">, which was limited to </w:t>
      </w:r>
      <w:r w:rsidR="00E90C8A" w:rsidRPr="00FA739A">
        <w:rPr>
          <w:snapToGrid w:val="0"/>
        </w:rPr>
        <w:t>3</w:t>
      </w:r>
      <w:r w:rsidRPr="00FA739A">
        <w:rPr>
          <w:snapToGrid w:val="0"/>
        </w:rPr>
        <w:t xml:space="preserve"> (out of a maximum of 5, where 5 and 4 represent the grades with substantial improvement)</w:t>
      </w:r>
      <w:r w:rsidR="00202510" w:rsidRPr="00FA739A">
        <w:rPr>
          <w:rStyle w:val="FootnoteReference"/>
          <w:snapToGrid w:val="0"/>
        </w:rPr>
        <w:footnoteReference w:id="1"/>
      </w:r>
      <w:r w:rsidRPr="00FA739A">
        <w:rPr>
          <w:snapToGrid w:val="0"/>
        </w:rPr>
        <w:t xml:space="preserve"> based on a comparison </w:t>
      </w:r>
      <w:r w:rsidR="00202510" w:rsidRPr="00FA739A">
        <w:rPr>
          <w:snapToGrid w:val="0"/>
        </w:rPr>
        <w:t xml:space="preserve">of PFS </w:t>
      </w:r>
      <w:r w:rsidRPr="00FA739A">
        <w:rPr>
          <w:snapToGrid w:val="0"/>
        </w:rPr>
        <w:t xml:space="preserve">with </w:t>
      </w:r>
      <w:r w:rsidR="00202510" w:rsidRPr="00FA739A">
        <w:rPr>
          <w:snapToGrid w:val="0"/>
        </w:rPr>
        <w:t>placebo</w:t>
      </w:r>
      <w:r w:rsidR="00B83EED" w:rsidRPr="00FA739A">
        <w:rPr>
          <w:snapToGrid w:val="0"/>
        </w:rPr>
        <w:t>,</w:t>
      </w:r>
      <w:r w:rsidR="00202510" w:rsidRPr="00FA739A">
        <w:rPr>
          <w:snapToGrid w:val="0"/>
        </w:rPr>
        <w:t xml:space="preserve"> </w:t>
      </w:r>
      <w:r w:rsidR="00E90C8A" w:rsidRPr="00FA739A">
        <w:rPr>
          <w:snapToGrid w:val="0"/>
        </w:rPr>
        <w:t xml:space="preserve">as median OS of </w:t>
      </w:r>
      <w:r w:rsidR="00202510" w:rsidRPr="00FA739A">
        <w:rPr>
          <w:snapToGrid w:val="0"/>
        </w:rPr>
        <w:t>the RIBO+FULV</w:t>
      </w:r>
      <w:r w:rsidR="00E90C8A" w:rsidRPr="00FA739A">
        <w:rPr>
          <w:snapToGrid w:val="0"/>
        </w:rPr>
        <w:t xml:space="preserve"> arm in</w:t>
      </w:r>
      <w:r w:rsidR="00202510" w:rsidRPr="00FA739A">
        <w:rPr>
          <w:snapToGrid w:val="0"/>
        </w:rPr>
        <w:t xml:space="preserve"> the</w:t>
      </w:r>
      <w:r w:rsidR="00E90C8A" w:rsidRPr="00FA739A">
        <w:rPr>
          <w:snapToGrid w:val="0"/>
        </w:rPr>
        <w:t xml:space="preserve"> MONALEESA</w:t>
      </w:r>
      <w:r w:rsidR="00202510" w:rsidRPr="00FA739A">
        <w:rPr>
          <w:snapToGrid w:val="0"/>
        </w:rPr>
        <w:t>-3 trial had</w:t>
      </w:r>
      <w:r w:rsidR="00E90C8A" w:rsidRPr="00FA739A">
        <w:rPr>
          <w:snapToGrid w:val="0"/>
        </w:rPr>
        <w:t xml:space="preserve"> not yet been reached</w:t>
      </w:r>
      <w:r w:rsidRPr="00FA739A">
        <w:rPr>
          <w:snapToGrid w:val="0"/>
        </w:rPr>
        <w:t xml:space="preserve">. </w:t>
      </w:r>
      <w:r w:rsidR="00202510" w:rsidRPr="00FA739A">
        <w:rPr>
          <w:snapToGrid w:val="0"/>
        </w:rPr>
        <w:t>MOGA noted that the score is likely to increase to 4 once median OS is reached.</w:t>
      </w:r>
      <w:r w:rsidRPr="00FA739A">
        <w:rPr>
          <w:snapToGrid w:val="0"/>
        </w:rPr>
        <w:t xml:space="preserve"> </w:t>
      </w:r>
    </w:p>
    <w:p w:rsidR="006350CC" w:rsidRPr="00FA739A" w:rsidRDefault="006350CC" w:rsidP="006350CC">
      <w:pPr>
        <w:pStyle w:val="4-SubsectionHeading"/>
        <w:keepLines/>
        <w:rPr>
          <w:lang w:eastAsia="en-US"/>
        </w:rPr>
      </w:pPr>
      <w:r w:rsidRPr="00FA739A">
        <w:rPr>
          <w:lang w:eastAsia="en-US"/>
        </w:rPr>
        <w:t>Clinical evidence</w:t>
      </w:r>
    </w:p>
    <w:p w:rsidR="00700CE7" w:rsidRPr="00FA739A" w:rsidRDefault="008D6DE5" w:rsidP="007D6B49">
      <w:pPr>
        <w:pStyle w:val="3Bodytext"/>
        <w:jc w:val="both"/>
      </w:pPr>
      <w:r w:rsidRPr="00FA739A">
        <w:t>In July 2020</w:t>
      </w:r>
      <w:r w:rsidR="001301DB" w:rsidRPr="00FA739A">
        <w:t>,</w:t>
      </w:r>
      <w:r w:rsidRPr="00FA739A">
        <w:t xml:space="preserve"> the PBAC considered</w:t>
      </w:r>
      <w:r w:rsidR="00700CE7" w:rsidRPr="00FA739A">
        <w:t>:</w:t>
      </w:r>
    </w:p>
    <w:p w:rsidR="008D6DE5" w:rsidRPr="00FA739A" w:rsidRDefault="001301DB" w:rsidP="00322A93">
      <w:pPr>
        <w:pStyle w:val="3Bodytext"/>
        <w:numPr>
          <w:ilvl w:val="0"/>
          <w:numId w:val="29"/>
        </w:numPr>
        <w:spacing w:after="0"/>
        <w:ind w:left="1077" w:hanging="357"/>
        <w:jc w:val="both"/>
      </w:pPr>
      <w:r w:rsidRPr="00FA739A">
        <w:rPr>
          <w:lang w:eastAsia="en-US"/>
        </w:rPr>
        <w:t>t</w:t>
      </w:r>
      <w:r w:rsidR="00700CE7" w:rsidRPr="00FA739A">
        <w:rPr>
          <w:lang w:eastAsia="en-US"/>
        </w:rPr>
        <w:t xml:space="preserve">he claim of non-inferior comparative effectiveness in the first line setting based on the outcome of PFS was reasonable </w:t>
      </w:r>
      <w:r w:rsidR="00700CE7" w:rsidRPr="00FA739A">
        <w:rPr>
          <w:color w:val="000000" w:themeColor="text1"/>
        </w:rPr>
        <w:t xml:space="preserve">(paragraph 7.9 </w:t>
      </w:r>
      <w:r w:rsidR="00D81DEE" w:rsidRPr="00FA739A">
        <w:rPr>
          <w:color w:val="000000" w:themeColor="text1"/>
        </w:rPr>
        <w:t xml:space="preserve">ribociclib PSD, </w:t>
      </w:r>
      <w:r w:rsidR="00700CE7" w:rsidRPr="00FA739A">
        <w:rPr>
          <w:color w:val="000000" w:themeColor="text1"/>
        </w:rPr>
        <w:t>July 2020 PBAC meeting);</w:t>
      </w:r>
    </w:p>
    <w:p w:rsidR="00700CE7" w:rsidRPr="00FA739A" w:rsidRDefault="00700CE7" w:rsidP="00322A93">
      <w:pPr>
        <w:pStyle w:val="3Bodytext"/>
        <w:numPr>
          <w:ilvl w:val="0"/>
          <w:numId w:val="29"/>
        </w:numPr>
        <w:spacing w:after="0"/>
        <w:ind w:left="1077" w:hanging="357"/>
        <w:jc w:val="both"/>
      </w:pPr>
      <w:r w:rsidRPr="00FA739A">
        <w:rPr>
          <w:lang w:eastAsia="en-US"/>
        </w:rPr>
        <w:t xml:space="preserve">the claim of non-inferior comparative safety versus RIBO+NSAI in the first line setting was reasonable </w:t>
      </w:r>
      <w:r w:rsidRPr="00FA739A">
        <w:rPr>
          <w:color w:val="000000" w:themeColor="text1"/>
        </w:rPr>
        <w:t>(paragraph 7.10</w:t>
      </w:r>
      <w:r w:rsidR="00D81DEE" w:rsidRPr="00FA739A">
        <w:rPr>
          <w:color w:val="000000" w:themeColor="text1"/>
        </w:rPr>
        <w:t xml:space="preserve">, ribociclib PSD, </w:t>
      </w:r>
      <w:r w:rsidRPr="00FA739A">
        <w:rPr>
          <w:color w:val="000000" w:themeColor="text1"/>
        </w:rPr>
        <w:t>July 2020 PBAC meeting);</w:t>
      </w:r>
    </w:p>
    <w:p w:rsidR="00700CE7" w:rsidRPr="00FA739A" w:rsidRDefault="0013539F" w:rsidP="00322A93">
      <w:pPr>
        <w:pStyle w:val="3Bodytext"/>
        <w:numPr>
          <w:ilvl w:val="0"/>
          <w:numId w:val="29"/>
        </w:numPr>
        <w:spacing w:after="0"/>
        <w:ind w:left="1077" w:hanging="357"/>
        <w:jc w:val="both"/>
      </w:pPr>
      <w:r w:rsidRPr="00FA739A">
        <w:rPr>
          <w:lang w:eastAsia="en-US"/>
        </w:rPr>
        <w:lastRenderedPageBreak/>
        <w:t>the claim of superior comparative effectiveness in the second-line treatment setting was supported, however, the magnitude of benefit for RIBO+FULV over EVE+EXE was highly uncertain given the potential for bias in the unanchored MAIC</w:t>
      </w:r>
      <w:r w:rsidR="00646F99" w:rsidRPr="00FA739A">
        <w:rPr>
          <w:lang w:eastAsia="en-US"/>
        </w:rPr>
        <w:t>. Given the significant limitations of the clinical data, in accepting this claim, the PBAC took into account the high clinical need in a very small patient population</w:t>
      </w:r>
      <w:r w:rsidRPr="00FA739A">
        <w:rPr>
          <w:lang w:eastAsia="en-US"/>
        </w:rPr>
        <w:t xml:space="preserve"> (</w:t>
      </w:r>
      <w:r w:rsidRPr="00FA739A">
        <w:rPr>
          <w:color w:val="000000" w:themeColor="text1"/>
        </w:rPr>
        <w:t>paragraph 7.12</w:t>
      </w:r>
      <w:r w:rsidR="00D81DEE" w:rsidRPr="00FA739A">
        <w:rPr>
          <w:color w:val="000000" w:themeColor="text1"/>
        </w:rPr>
        <w:t xml:space="preserve">. ribociclib PSD, </w:t>
      </w:r>
      <w:r w:rsidRPr="00FA739A">
        <w:rPr>
          <w:color w:val="000000" w:themeColor="text1"/>
        </w:rPr>
        <w:t>July 2020 PBAC meeting); and</w:t>
      </w:r>
    </w:p>
    <w:p w:rsidR="0013539F" w:rsidRPr="00FA739A" w:rsidRDefault="0013539F" w:rsidP="00322A93">
      <w:pPr>
        <w:widowControl w:val="0"/>
        <w:numPr>
          <w:ilvl w:val="0"/>
          <w:numId w:val="29"/>
        </w:numPr>
        <w:spacing w:after="120"/>
        <w:ind w:left="1077" w:hanging="357"/>
        <w:rPr>
          <w:lang w:eastAsia="en-US"/>
        </w:rPr>
      </w:pPr>
      <w:r w:rsidRPr="00FA739A">
        <w:rPr>
          <w:lang w:eastAsia="en-US"/>
        </w:rPr>
        <w:t>the claim of superior comparative safety</w:t>
      </w:r>
      <w:r w:rsidR="00B83EED" w:rsidRPr="00FA739A">
        <w:rPr>
          <w:lang w:eastAsia="en-US"/>
        </w:rPr>
        <w:t xml:space="preserve"> versus EVE+EXE</w:t>
      </w:r>
      <w:r w:rsidRPr="00FA739A">
        <w:rPr>
          <w:lang w:eastAsia="en-US"/>
        </w:rPr>
        <w:t xml:space="preserve"> was based on limited clinical data but appeared clinically reasonable</w:t>
      </w:r>
      <w:r w:rsidR="00646F99" w:rsidRPr="00FA739A">
        <w:rPr>
          <w:lang w:eastAsia="en-US"/>
        </w:rPr>
        <w:t xml:space="preserve"> (</w:t>
      </w:r>
      <w:r w:rsidR="00646F99" w:rsidRPr="00FA739A">
        <w:rPr>
          <w:color w:val="000000" w:themeColor="text1"/>
        </w:rPr>
        <w:t>paragraph 7.13</w:t>
      </w:r>
      <w:r w:rsidR="00D81DEE" w:rsidRPr="00FA739A">
        <w:rPr>
          <w:color w:val="000000" w:themeColor="text1"/>
        </w:rPr>
        <w:t xml:space="preserve">, ribociclib PSD, </w:t>
      </w:r>
      <w:r w:rsidR="00646F99" w:rsidRPr="00FA739A">
        <w:rPr>
          <w:color w:val="000000" w:themeColor="text1"/>
        </w:rPr>
        <w:t>July 2020 PBAC meeting)</w:t>
      </w:r>
      <w:r w:rsidRPr="00FA739A">
        <w:rPr>
          <w:lang w:eastAsia="en-US"/>
        </w:rPr>
        <w:t>.</w:t>
      </w:r>
    </w:p>
    <w:p w:rsidR="008D6DE5" w:rsidRPr="00FA739A" w:rsidRDefault="00202510" w:rsidP="007D6B49">
      <w:pPr>
        <w:pStyle w:val="3Bodytext"/>
        <w:jc w:val="both"/>
      </w:pPr>
      <w:r w:rsidRPr="00FA739A">
        <w:t>The PBAC noted that n</w:t>
      </w:r>
      <w:r w:rsidR="008D6DE5" w:rsidRPr="00FA739A">
        <w:t xml:space="preserve">o </w:t>
      </w:r>
      <w:r w:rsidR="003B7B57" w:rsidRPr="00FA739A">
        <w:t>additional</w:t>
      </w:r>
      <w:r w:rsidR="008D6DE5" w:rsidRPr="00FA739A">
        <w:t xml:space="preserve"> </w:t>
      </w:r>
      <w:r w:rsidR="0013539F" w:rsidRPr="00FA739A">
        <w:t xml:space="preserve">clinical </w:t>
      </w:r>
      <w:r w:rsidR="008D6DE5" w:rsidRPr="00FA739A">
        <w:t>data were presented in the minor resubmission</w:t>
      </w:r>
      <w:r w:rsidRPr="00FA739A">
        <w:t xml:space="preserve"> and its consideration of the clinical claims were unchanged from the July 2020 submission as outlined above</w:t>
      </w:r>
      <w:r w:rsidR="008D6DE5" w:rsidRPr="00FA739A">
        <w:t>.</w:t>
      </w:r>
    </w:p>
    <w:p w:rsidR="005A3173" w:rsidRPr="00FA739A" w:rsidRDefault="005A3173" w:rsidP="007D6B49">
      <w:pPr>
        <w:pStyle w:val="4-SubsectionHeading"/>
        <w:keepLines/>
        <w:rPr>
          <w:lang w:eastAsia="en-US"/>
        </w:rPr>
      </w:pPr>
      <w:r w:rsidRPr="00FA739A">
        <w:rPr>
          <w:lang w:eastAsia="en-US"/>
        </w:rPr>
        <w:t>Economic analysis</w:t>
      </w:r>
      <w:r w:rsidR="009803E4" w:rsidRPr="00FA739A">
        <w:rPr>
          <w:lang w:eastAsia="en-US"/>
        </w:rPr>
        <w:t xml:space="preserve"> </w:t>
      </w:r>
    </w:p>
    <w:p w:rsidR="0059469B" w:rsidRPr="00FA739A" w:rsidRDefault="0059469B" w:rsidP="007D6B49">
      <w:pPr>
        <w:pStyle w:val="3Bodytext"/>
        <w:keepNext/>
        <w:keepLines/>
        <w:numPr>
          <w:ilvl w:val="0"/>
          <w:numId w:val="0"/>
        </w:numPr>
        <w:ind w:left="720" w:hanging="720"/>
        <w:outlineLvl w:val="2"/>
        <w:rPr>
          <w:rFonts w:cstheme="minorHAnsi"/>
          <w:b/>
          <w:i/>
          <w:szCs w:val="24"/>
        </w:rPr>
      </w:pPr>
      <w:r w:rsidRPr="00FA739A">
        <w:rPr>
          <w:rFonts w:cstheme="minorHAnsi"/>
          <w:b/>
          <w:i/>
          <w:szCs w:val="24"/>
        </w:rPr>
        <w:t>First line</w:t>
      </w:r>
    </w:p>
    <w:p w:rsidR="008D6DE5" w:rsidRPr="00FA739A" w:rsidRDefault="008D6DE5" w:rsidP="007D6B49">
      <w:pPr>
        <w:pStyle w:val="3Bodytext"/>
        <w:keepNext/>
        <w:keepLines/>
        <w:jc w:val="both"/>
        <w:rPr>
          <w:rFonts w:cstheme="minorHAnsi"/>
          <w:szCs w:val="24"/>
        </w:rPr>
      </w:pPr>
      <w:r w:rsidRPr="00FA739A">
        <w:rPr>
          <w:rFonts w:cstheme="minorHAnsi"/>
          <w:szCs w:val="24"/>
        </w:rPr>
        <w:t xml:space="preserve">The submission considered by the PBAC in July 2020 presented </w:t>
      </w:r>
      <w:r w:rsidR="0013539F" w:rsidRPr="00FA739A">
        <w:rPr>
          <w:rFonts w:cstheme="minorHAnsi"/>
          <w:szCs w:val="24"/>
        </w:rPr>
        <w:t xml:space="preserve">a cost minimisation analysis of RIBO+FULV versus RIBO+NSAI as first line treatment. The PBAC </w:t>
      </w:r>
      <w:r w:rsidR="0085341D" w:rsidRPr="00FA739A">
        <w:rPr>
          <w:rFonts w:cstheme="minorHAnsi"/>
          <w:szCs w:val="24"/>
        </w:rPr>
        <w:t xml:space="preserve">previously </w:t>
      </w:r>
      <w:r w:rsidR="0013539F" w:rsidRPr="00FA739A">
        <w:rPr>
          <w:rFonts w:cstheme="minorHAnsi"/>
          <w:szCs w:val="24"/>
        </w:rPr>
        <w:t>considered this was appropriate</w:t>
      </w:r>
      <w:r w:rsidR="00990E29" w:rsidRPr="00FA739A">
        <w:rPr>
          <w:rFonts w:cstheme="minorHAnsi"/>
          <w:szCs w:val="24"/>
        </w:rPr>
        <w:t xml:space="preserve">. The </w:t>
      </w:r>
      <w:r w:rsidR="00C41ED1" w:rsidRPr="00FA739A">
        <w:rPr>
          <w:rFonts w:cstheme="minorHAnsi"/>
          <w:szCs w:val="24"/>
        </w:rPr>
        <w:t xml:space="preserve">minor </w:t>
      </w:r>
      <w:r w:rsidR="00990E29" w:rsidRPr="00FA739A">
        <w:rPr>
          <w:rFonts w:cstheme="minorHAnsi"/>
          <w:szCs w:val="24"/>
        </w:rPr>
        <w:t>resubmission did not propose any changes to the cost-minimisation analysis, or the price of ribociclib derived from this approach.</w:t>
      </w:r>
    </w:p>
    <w:p w:rsidR="00B4296E" w:rsidRPr="00FA739A" w:rsidRDefault="00B4296E" w:rsidP="00B4296E">
      <w:pPr>
        <w:pStyle w:val="3-BodyText"/>
        <w:numPr>
          <w:ilvl w:val="1"/>
          <w:numId w:val="1"/>
        </w:numPr>
      </w:pPr>
      <w:r w:rsidRPr="00FA739A">
        <w:t>The submission estimated the equi-effective doses as:</w:t>
      </w:r>
    </w:p>
    <w:p w:rsidR="00B4296E" w:rsidRPr="00FA739A" w:rsidRDefault="00B4296E" w:rsidP="00322A93">
      <w:pPr>
        <w:pStyle w:val="3-BodyText"/>
        <w:numPr>
          <w:ilvl w:val="0"/>
          <w:numId w:val="39"/>
        </w:numPr>
        <w:spacing w:after="0"/>
        <w:ind w:left="1077" w:hanging="357"/>
      </w:pPr>
      <w:r w:rsidRPr="00FA739A">
        <w:t xml:space="preserve">ribociclib 511 mg daily for 21 days of a 28- day cycle with fulvestrant 500mg once every 28 days plus fulvestrant 500 mg loading dose at day 14; and </w:t>
      </w:r>
    </w:p>
    <w:p w:rsidR="00B4296E" w:rsidRPr="00FA739A" w:rsidRDefault="00B4296E" w:rsidP="00322A93">
      <w:pPr>
        <w:pStyle w:val="3-BodyText"/>
        <w:numPr>
          <w:ilvl w:val="0"/>
          <w:numId w:val="39"/>
        </w:numPr>
        <w:ind w:left="1077" w:hanging="357"/>
      </w:pPr>
      <w:r w:rsidRPr="00FA739A">
        <w:t xml:space="preserve">ribociclib 511 mg daily for 21 days of a 28-day cycle with letrozole 2.5 mg once daily. </w:t>
      </w:r>
    </w:p>
    <w:p w:rsidR="00990E29" w:rsidRPr="00FA739A" w:rsidRDefault="00990E29" w:rsidP="007D6B49">
      <w:pPr>
        <w:pStyle w:val="3-BodyText"/>
        <w:numPr>
          <w:ilvl w:val="1"/>
          <w:numId w:val="1"/>
        </w:numPr>
        <w:rPr>
          <w:rFonts w:cs="Arial"/>
          <w:snapToGrid w:val="0"/>
        </w:rPr>
      </w:pPr>
      <w:r w:rsidRPr="00FA739A">
        <w:rPr>
          <w:rFonts w:cs="Arial"/>
          <w:snapToGrid w:val="0"/>
        </w:rPr>
        <w:t xml:space="preserve">The results of the cost-minimisation </w:t>
      </w:r>
      <w:r w:rsidR="00C41ED1" w:rsidRPr="00FA739A">
        <w:rPr>
          <w:rFonts w:cs="Arial"/>
          <w:snapToGrid w:val="0"/>
        </w:rPr>
        <w:t xml:space="preserve">analysis </w:t>
      </w:r>
      <w:r w:rsidRPr="00FA739A">
        <w:rPr>
          <w:rFonts w:cs="Arial"/>
          <w:snapToGrid w:val="0"/>
        </w:rPr>
        <w:t xml:space="preserve">are presented in </w:t>
      </w:r>
      <w:r w:rsidRPr="00FA739A">
        <w:t>the table below</w:t>
      </w:r>
      <w:r w:rsidRPr="00FA739A">
        <w:rPr>
          <w:rFonts w:cs="Arial"/>
          <w:snapToGrid w:val="0"/>
        </w:rPr>
        <w:t xml:space="preserve">. </w:t>
      </w:r>
    </w:p>
    <w:p w:rsidR="00990E29" w:rsidRPr="00FA739A" w:rsidRDefault="00990E29" w:rsidP="007F7CA2">
      <w:pPr>
        <w:pStyle w:val="Tabletitles"/>
        <w:keepNext/>
        <w:keepLines/>
        <w:rPr>
          <w:rFonts w:eastAsiaTheme="majorEastAsia"/>
        </w:rPr>
      </w:pPr>
      <w:r w:rsidRPr="00FA739A">
        <w:rPr>
          <w:rFonts w:eastAsiaTheme="majorEastAsia"/>
        </w:rPr>
        <w:t>Table</w:t>
      </w:r>
      <w:r w:rsidR="007F7CA2" w:rsidRPr="00FA739A">
        <w:rPr>
          <w:rFonts w:eastAsiaTheme="majorEastAsia"/>
        </w:rPr>
        <w:t xml:space="preserve"> </w:t>
      </w:r>
      <w:r w:rsidR="008F28E9" w:rsidRPr="00466DBE">
        <w:rPr>
          <w:rFonts w:eastAsiaTheme="majorEastAsia"/>
        </w:rPr>
        <w:t>3</w:t>
      </w:r>
      <w:r w:rsidRPr="00FA739A">
        <w:rPr>
          <w:rFonts w:eastAsiaTheme="majorEastAsia"/>
        </w:rPr>
        <w:t>: Results of the cost-minimisation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126"/>
        <w:gridCol w:w="1985"/>
        <w:gridCol w:w="1934"/>
      </w:tblGrid>
      <w:tr w:rsidR="00990E29" w:rsidRPr="00FA739A" w:rsidTr="00FF18C9">
        <w:tc>
          <w:tcPr>
            <w:tcW w:w="2971" w:type="dxa"/>
            <w:tcBorders>
              <w:top w:val="single" w:sz="4" w:space="0" w:color="auto"/>
              <w:left w:val="single" w:sz="4" w:space="0" w:color="auto"/>
              <w:bottom w:val="single" w:sz="4" w:space="0" w:color="auto"/>
              <w:right w:val="single" w:sz="4" w:space="0" w:color="auto"/>
            </w:tcBorders>
            <w:hideMark/>
          </w:tcPr>
          <w:p w:rsidR="00990E29" w:rsidRPr="00466DBE" w:rsidRDefault="00990E29" w:rsidP="007F7CA2">
            <w:pPr>
              <w:keepNext/>
              <w:keepLines/>
              <w:jc w:val="left"/>
              <w:rPr>
                <w:rFonts w:eastAsiaTheme="majorEastAsia"/>
              </w:rPr>
            </w:pPr>
            <w:r w:rsidRPr="00466DBE">
              <w:rPr>
                <w:rFonts w:ascii="Arial Narrow" w:eastAsiaTheme="majorEastAsia" w:hAnsi="Arial Narrow"/>
                <w:b/>
                <w:sz w:val="20"/>
              </w:rPr>
              <w:t>Component</w:t>
            </w:r>
          </w:p>
        </w:tc>
        <w:tc>
          <w:tcPr>
            <w:tcW w:w="2126" w:type="dxa"/>
            <w:tcBorders>
              <w:top w:val="single" w:sz="4" w:space="0" w:color="auto"/>
              <w:left w:val="single" w:sz="4" w:space="0" w:color="auto"/>
              <w:bottom w:val="single" w:sz="4" w:space="0" w:color="auto"/>
              <w:right w:val="single" w:sz="4" w:space="0" w:color="auto"/>
            </w:tcBorders>
            <w:hideMark/>
          </w:tcPr>
          <w:p w:rsidR="00990E29" w:rsidRPr="00466DBE" w:rsidRDefault="00990E29" w:rsidP="007F7CA2">
            <w:pPr>
              <w:keepNext/>
              <w:keepLines/>
              <w:jc w:val="center"/>
              <w:rPr>
                <w:rFonts w:ascii="Arial Narrow" w:eastAsiaTheme="majorEastAsia" w:hAnsi="Arial Narrow"/>
                <w:b/>
                <w:sz w:val="20"/>
              </w:rPr>
            </w:pPr>
            <w:r w:rsidRPr="00466DBE">
              <w:rPr>
                <w:rFonts w:ascii="Arial Narrow" w:eastAsiaTheme="majorEastAsia" w:hAnsi="Arial Narrow"/>
                <w:b/>
                <w:sz w:val="20"/>
              </w:rPr>
              <w:t>RIBO+FULV</w:t>
            </w:r>
          </w:p>
        </w:tc>
        <w:tc>
          <w:tcPr>
            <w:tcW w:w="1985" w:type="dxa"/>
            <w:tcBorders>
              <w:top w:val="single" w:sz="4" w:space="0" w:color="auto"/>
              <w:left w:val="single" w:sz="4" w:space="0" w:color="auto"/>
              <w:bottom w:val="single" w:sz="4" w:space="0" w:color="auto"/>
              <w:right w:val="single" w:sz="4" w:space="0" w:color="auto"/>
            </w:tcBorders>
            <w:hideMark/>
          </w:tcPr>
          <w:p w:rsidR="00990E29" w:rsidRPr="00466DBE" w:rsidRDefault="00990E29" w:rsidP="007F7CA2">
            <w:pPr>
              <w:keepNext/>
              <w:keepLines/>
              <w:jc w:val="center"/>
              <w:rPr>
                <w:rFonts w:ascii="Arial Narrow" w:eastAsiaTheme="majorEastAsia" w:hAnsi="Arial Narrow"/>
                <w:b/>
                <w:sz w:val="20"/>
              </w:rPr>
            </w:pPr>
            <w:r w:rsidRPr="00466DBE">
              <w:rPr>
                <w:rFonts w:ascii="Arial Narrow" w:eastAsiaTheme="majorEastAsia" w:hAnsi="Arial Narrow"/>
                <w:b/>
                <w:sz w:val="20"/>
              </w:rPr>
              <w:t>RIBO+NSAI</w:t>
            </w:r>
          </w:p>
        </w:tc>
        <w:tc>
          <w:tcPr>
            <w:tcW w:w="1934" w:type="dxa"/>
            <w:tcBorders>
              <w:top w:val="single" w:sz="4" w:space="0" w:color="auto"/>
              <w:left w:val="single" w:sz="4" w:space="0" w:color="auto"/>
              <w:bottom w:val="single" w:sz="4" w:space="0" w:color="auto"/>
              <w:right w:val="single" w:sz="4" w:space="0" w:color="auto"/>
            </w:tcBorders>
            <w:hideMark/>
          </w:tcPr>
          <w:p w:rsidR="00990E29" w:rsidRPr="00466DBE" w:rsidRDefault="00990E29" w:rsidP="007F7CA2">
            <w:pPr>
              <w:keepNext/>
              <w:keepLines/>
              <w:jc w:val="center"/>
              <w:rPr>
                <w:rFonts w:ascii="Arial Narrow" w:eastAsiaTheme="majorEastAsia" w:hAnsi="Arial Narrow"/>
                <w:b/>
                <w:sz w:val="20"/>
              </w:rPr>
            </w:pPr>
            <w:r w:rsidRPr="00466DBE">
              <w:rPr>
                <w:rFonts w:ascii="Arial Narrow" w:eastAsiaTheme="majorEastAsia" w:hAnsi="Arial Narrow"/>
                <w:b/>
                <w:sz w:val="20"/>
              </w:rPr>
              <w:t>Difference</w:t>
            </w:r>
          </w:p>
        </w:tc>
      </w:tr>
      <w:tr w:rsidR="00FF18C9" w:rsidRPr="00FA739A" w:rsidTr="00B972DD">
        <w:tc>
          <w:tcPr>
            <w:tcW w:w="9016" w:type="dxa"/>
            <w:gridSpan w:val="4"/>
            <w:tcBorders>
              <w:top w:val="single" w:sz="4" w:space="0" w:color="auto"/>
              <w:left w:val="single" w:sz="4" w:space="0" w:color="auto"/>
              <w:bottom w:val="single" w:sz="4" w:space="0" w:color="auto"/>
              <w:right w:val="single" w:sz="4" w:space="0" w:color="auto"/>
            </w:tcBorders>
          </w:tcPr>
          <w:p w:rsidR="00FF18C9" w:rsidRPr="00466DBE" w:rsidRDefault="00FF18C9" w:rsidP="00100850">
            <w:pPr>
              <w:keepNext/>
              <w:jc w:val="left"/>
              <w:rPr>
                <w:rFonts w:ascii="Arial Narrow" w:eastAsiaTheme="majorEastAsia" w:hAnsi="Arial Narrow"/>
                <w:b/>
                <w:sz w:val="20"/>
              </w:rPr>
            </w:pPr>
            <w:r w:rsidRPr="00466DBE">
              <w:rPr>
                <w:rFonts w:ascii="Arial Narrow" w:eastAsiaTheme="majorEastAsia" w:hAnsi="Arial Narrow"/>
                <w:b/>
                <w:sz w:val="20"/>
              </w:rPr>
              <w:t>Step 1: Treatment costs if ribociclib price were the same as the existing listing</w:t>
            </w:r>
          </w:p>
        </w:tc>
      </w:tr>
      <w:tr w:rsidR="00990E29" w:rsidRPr="00FA739A" w:rsidTr="00FF18C9">
        <w:tc>
          <w:tcPr>
            <w:tcW w:w="7082" w:type="dxa"/>
            <w:gridSpan w:val="3"/>
            <w:tcBorders>
              <w:top w:val="single" w:sz="4" w:space="0" w:color="auto"/>
              <w:left w:val="single" w:sz="4" w:space="0" w:color="auto"/>
              <w:bottom w:val="single" w:sz="4" w:space="0" w:color="auto"/>
              <w:right w:val="single" w:sz="4" w:space="0" w:color="auto"/>
            </w:tcBorders>
            <w:hideMark/>
          </w:tcPr>
          <w:p w:rsidR="00990E29" w:rsidRPr="00466DBE" w:rsidRDefault="00990E29" w:rsidP="00990E29">
            <w:pPr>
              <w:keepNext/>
              <w:jc w:val="left"/>
              <w:rPr>
                <w:rFonts w:ascii="Arial Narrow" w:eastAsiaTheme="majorEastAsia" w:hAnsi="Arial Narrow"/>
                <w:b/>
                <w:sz w:val="20"/>
              </w:rPr>
            </w:pPr>
            <w:r w:rsidRPr="00466DBE">
              <w:rPr>
                <w:rFonts w:ascii="Arial Narrow" w:eastAsiaTheme="majorEastAsia" w:hAnsi="Arial Narrow"/>
                <w:b/>
                <w:sz w:val="20"/>
              </w:rPr>
              <w:t>Medicine costs (28-day cycle)</w:t>
            </w:r>
          </w:p>
        </w:tc>
        <w:tc>
          <w:tcPr>
            <w:tcW w:w="1934" w:type="dxa"/>
            <w:tcBorders>
              <w:top w:val="single" w:sz="4" w:space="0" w:color="auto"/>
              <w:left w:val="single" w:sz="4" w:space="0" w:color="auto"/>
              <w:bottom w:val="single" w:sz="4" w:space="0" w:color="auto"/>
              <w:right w:val="single" w:sz="4" w:space="0" w:color="auto"/>
            </w:tcBorders>
          </w:tcPr>
          <w:p w:rsidR="00990E29" w:rsidRPr="00466DBE" w:rsidRDefault="00990E29" w:rsidP="00990E29">
            <w:pPr>
              <w:keepNext/>
              <w:jc w:val="left"/>
              <w:rPr>
                <w:rFonts w:ascii="Arial Narrow" w:eastAsiaTheme="majorEastAsia" w:hAnsi="Arial Narrow"/>
                <w:b/>
                <w:sz w:val="20"/>
              </w:rPr>
            </w:pPr>
          </w:p>
        </w:tc>
      </w:tr>
      <w:tr w:rsidR="00990E29" w:rsidRPr="00FA739A" w:rsidTr="00FF18C9">
        <w:tc>
          <w:tcPr>
            <w:tcW w:w="2971" w:type="dxa"/>
            <w:tcBorders>
              <w:top w:val="single" w:sz="4" w:space="0" w:color="auto"/>
              <w:left w:val="single" w:sz="4" w:space="0" w:color="auto"/>
              <w:bottom w:val="single" w:sz="4" w:space="0" w:color="auto"/>
              <w:right w:val="single" w:sz="4" w:space="0" w:color="auto"/>
            </w:tcBorders>
            <w:hideMark/>
          </w:tcPr>
          <w:p w:rsidR="00990E29" w:rsidRPr="00466DBE" w:rsidRDefault="00990E29" w:rsidP="00990E29">
            <w:pPr>
              <w:keepNext/>
              <w:jc w:val="left"/>
              <w:rPr>
                <w:rFonts w:ascii="Arial Narrow" w:eastAsiaTheme="majorEastAsia" w:hAnsi="Arial Narrow"/>
                <w:sz w:val="20"/>
              </w:rPr>
            </w:pPr>
            <w:r w:rsidRPr="00466DBE">
              <w:rPr>
                <w:rFonts w:ascii="Arial Narrow" w:eastAsiaTheme="majorEastAsia" w:hAnsi="Arial Narrow"/>
                <w:sz w:val="20"/>
              </w:rPr>
              <w:t xml:space="preserve">Ribociclib, AEMP (at current price) </w:t>
            </w:r>
          </w:p>
          <w:p w:rsidR="00990E29" w:rsidRPr="00466DBE" w:rsidRDefault="00990E29" w:rsidP="00990E29">
            <w:pPr>
              <w:keepNext/>
              <w:numPr>
                <w:ilvl w:val="0"/>
                <w:numId w:val="40"/>
              </w:numPr>
              <w:ind w:left="168" w:hanging="142"/>
              <w:jc w:val="left"/>
              <w:rPr>
                <w:rFonts w:ascii="Arial Narrow" w:eastAsiaTheme="majorEastAsia" w:hAnsi="Arial Narrow"/>
                <w:snapToGrid w:val="0"/>
                <w:sz w:val="20"/>
              </w:rPr>
            </w:pPr>
            <w:r w:rsidRPr="00466DBE">
              <w:rPr>
                <w:rFonts w:ascii="Arial Narrow" w:eastAsiaTheme="majorEastAsia" w:hAnsi="Arial Narrow"/>
                <w:snapToGrid w:val="0"/>
                <w:sz w:val="20"/>
              </w:rPr>
              <w:t>With relative dose intensity (85.2%)</w:t>
            </w:r>
          </w:p>
        </w:tc>
        <w:tc>
          <w:tcPr>
            <w:tcW w:w="2126" w:type="dxa"/>
            <w:tcBorders>
              <w:top w:val="nil"/>
              <w:left w:val="nil"/>
              <w:bottom w:val="single" w:sz="4" w:space="0" w:color="auto"/>
              <w:right w:val="single" w:sz="4" w:space="0" w:color="auto"/>
            </w:tcBorders>
            <w:vAlign w:val="bottom"/>
            <w:hideMark/>
          </w:tcPr>
          <w:p w:rsidR="00990E29" w:rsidRPr="00FA739A" w:rsidRDefault="00990E29" w:rsidP="00990E29">
            <w:pPr>
              <w:keepNext/>
              <w:jc w:val="center"/>
              <w:rPr>
                <w:rFonts w:ascii="Arial Narrow" w:hAnsi="Arial Narrow" w:cs="Calibri"/>
                <w:color w:val="000000"/>
                <w:sz w:val="20"/>
                <w:szCs w:val="20"/>
              </w:rPr>
            </w:pPr>
            <w:r w:rsidRPr="00FA739A">
              <w:rPr>
                <w:rFonts w:ascii="Arial Narrow" w:hAnsi="Arial Narrow" w:cs="Calibri"/>
                <w:color w:val="000000"/>
                <w:sz w:val="20"/>
                <w:szCs w:val="20"/>
              </w:rPr>
              <w:t>$</w:t>
            </w:r>
            <w:r w:rsidR="00AB6780">
              <w:rPr>
                <w:rFonts w:ascii="Arial Narrow" w:hAnsi="Arial Narrow" w:cs="Calibri"/>
                <w:noProof/>
                <w:color w:val="000000"/>
                <w:sz w:val="20"/>
                <w:szCs w:val="20"/>
                <w:highlight w:val="black"/>
              </w:rPr>
              <w:t>'''''''''''''''''''''</w:t>
            </w:r>
          </w:p>
          <w:p w:rsidR="00990E29" w:rsidRPr="00466DBE" w:rsidRDefault="00990E29" w:rsidP="00990E29">
            <w:pPr>
              <w:keepNext/>
              <w:jc w:val="center"/>
              <w:rPr>
                <w:rFonts w:ascii="Arial Narrow" w:eastAsiaTheme="majorEastAsia" w:hAnsi="Arial Narrow"/>
                <w:sz w:val="20"/>
              </w:rPr>
            </w:pPr>
            <w:r w:rsidRPr="00FA739A">
              <w:rPr>
                <w:rFonts w:ascii="Arial Narrow" w:hAnsi="Arial Narrow" w:cs="Calibri"/>
                <w:color w:val="000000"/>
                <w:sz w:val="20"/>
                <w:szCs w:val="20"/>
              </w:rPr>
              <w:t>$</w:t>
            </w:r>
            <w:r w:rsidR="00AB6780">
              <w:rPr>
                <w:rFonts w:ascii="Arial Narrow" w:hAnsi="Arial Narrow" w:cs="Calibri"/>
                <w:noProof/>
                <w:color w:val="000000"/>
                <w:sz w:val="20"/>
                <w:szCs w:val="20"/>
                <w:highlight w:val="black"/>
              </w:rPr>
              <w:t>''''''''''''''''''''</w:t>
            </w:r>
          </w:p>
        </w:tc>
        <w:tc>
          <w:tcPr>
            <w:tcW w:w="1985" w:type="dxa"/>
            <w:tcBorders>
              <w:top w:val="nil"/>
              <w:left w:val="nil"/>
              <w:bottom w:val="single" w:sz="4" w:space="0" w:color="auto"/>
              <w:right w:val="single" w:sz="4" w:space="0" w:color="auto"/>
            </w:tcBorders>
            <w:vAlign w:val="bottom"/>
            <w:hideMark/>
          </w:tcPr>
          <w:p w:rsidR="00990E29" w:rsidRPr="00FA739A" w:rsidRDefault="00990E29" w:rsidP="00990E29">
            <w:pPr>
              <w:keepNext/>
              <w:jc w:val="center"/>
              <w:rPr>
                <w:rFonts w:ascii="Arial Narrow" w:hAnsi="Arial Narrow" w:cs="Calibri"/>
                <w:color w:val="000000"/>
                <w:sz w:val="20"/>
                <w:szCs w:val="20"/>
              </w:rPr>
            </w:pPr>
            <w:r w:rsidRPr="00FA739A">
              <w:rPr>
                <w:rFonts w:ascii="Arial Narrow" w:hAnsi="Arial Narrow" w:cs="Calibri"/>
                <w:color w:val="000000"/>
                <w:sz w:val="20"/>
                <w:szCs w:val="20"/>
              </w:rPr>
              <w:t>$</w:t>
            </w:r>
            <w:r w:rsidR="00AB6780">
              <w:rPr>
                <w:rFonts w:ascii="Arial Narrow" w:hAnsi="Arial Narrow" w:cs="Calibri"/>
                <w:noProof/>
                <w:color w:val="000000"/>
                <w:sz w:val="20"/>
                <w:szCs w:val="20"/>
                <w:highlight w:val="black"/>
              </w:rPr>
              <w:t>''''''''''''''''''''</w:t>
            </w:r>
          </w:p>
          <w:p w:rsidR="00990E29" w:rsidRPr="00466DBE" w:rsidRDefault="00990E29" w:rsidP="00990E29">
            <w:pPr>
              <w:keepNext/>
              <w:jc w:val="center"/>
              <w:rPr>
                <w:rFonts w:ascii="Arial Narrow" w:eastAsiaTheme="majorEastAsia" w:hAnsi="Arial Narrow"/>
                <w:sz w:val="20"/>
              </w:rPr>
            </w:pPr>
            <w:r w:rsidRPr="00FA739A">
              <w:rPr>
                <w:rFonts w:ascii="Arial Narrow" w:hAnsi="Arial Narrow" w:cs="Calibri"/>
                <w:color w:val="000000"/>
                <w:sz w:val="20"/>
                <w:szCs w:val="20"/>
              </w:rPr>
              <w:t>$</w:t>
            </w:r>
            <w:r w:rsidR="00AB6780">
              <w:rPr>
                <w:rFonts w:ascii="Arial Narrow" w:hAnsi="Arial Narrow" w:cs="Calibri"/>
                <w:noProof/>
                <w:color w:val="000000"/>
                <w:sz w:val="20"/>
                <w:szCs w:val="20"/>
                <w:highlight w:val="black"/>
              </w:rPr>
              <w:t>''''''''''''''''''''''</w:t>
            </w:r>
          </w:p>
        </w:tc>
        <w:tc>
          <w:tcPr>
            <w:tcW w:w="1934" w:type="dxa"/>
            <w:tcBorders>
              <w:top w:val="nil"/>
              <w:left w:val="nil"/>
              <w:bottom w:val="single" w:sz="4" w:space="0" w:color="auto"/>
              <w:right w:val="single" w:sz="4" w:space="0" w:color="auto"/>
            </w:tcBorders>
            <w:vAlign w:val="bottom"/>
            <w:hideMark/>
          </w:tcPr>
          <w:p w:rsidR="00990E29" w:rsidRPr="00FA739A" w:rsidRDefault="00990E29" w:rsidP="00990E29">
            <w:pPr>
              <w:keepNext/>
              <w:jc w:val="center"/>
              <w:rPr>
                <w:rFonts w:ascii="Arial Narrow" w:hAnsi="Arial Narrow" w:cs="Calibri"/>
                <w:color w:val="000000"/>
                <w:sz w:val="20"/>
                <w:szCs w:val="20"/>
              </w:rPr>
            </w:pPr>
            <w:r w:rsidRPr="00FA739A">
              <w:rPr>
                <w:rFonts w:ascii="Arial Narrow" w:hAnsi="Arial Narrow" w:cs="Calibri"/>
                <w:color w:val="000000"/>
                <w:sz w:val="20"/>
                <w:szCs w:val="20"/>
              </w:rPr>
              <w:t>$0.00</w:t>
            </w:r>
          </w:p>
        </w:tc>
      </w:tr>
      <w:tr w:rsidR="00990E29" w:rsidRPr="00FA739A" w:rsidTr="00FF18C9">
        <w:tc>
          <w:tcPr>
            <w:tcW w:w="2971" w:type="dxa"/>
            <w:tcBorders>
              <w:top w:val="single" w:sz="4" w:space="0" w:color="auto"/>
              <w:left w:val="single" w:sz="4" w:space="0" w:color="auto"/>
              <w:bottom w:val="single" w:sz="4" w:space="0" w:color="auto"/>
              <w:right w:val="single" w:sz="4" w:space="0" w:color="auto"/>
            </w:tcBorders>
            <w:hideMark/>
          </w:tcPr>
          <w:p w:rsidR="00990E29" w:rsidRPr="00466DBE" w:rsidRDefault="00990E29" w:rsidP="00990E29">
            <w:pPr>
              <w:keepNext/>
              <w:jc w:val="left"/>
              <w:rPr>
                <w:rFonts w:ascii="Arial Narrow" w:eastAsiaTheme="majorEastAsia" w:hAnsi="Arial Narrow"/>
                <w:sz w:val="20"/>
              </w:rPr>
            </w:pPr>
            <w:r w:rsidRPr="00466DBE">
              <w:rPr>
                <w:rFonts w:ascii="Arial Narrow" w:eastAsiaTheme="majorEastAsia" w:hAnsi="Arial Narrow"/>
                <w:sz w:val="20"/>
              </w:rPr>
              <w:t>Fulvestrant, AEMP</w:t>
            </w:r>
          </w:p>
        </w:tc>
        <w:tc>
          <w:tcPr>
            <w:tcW w:w="2126" w:type="dxa"/>
            <w:tcBorders>
              <w:top w:val="nil"/>
              <w:left w:val="nil"/>
              <w:bottom w:val="single" w:sz="4" w:space="0" w:color="auto"/>
              <w:right w:val="single" w:sz="4" w:space="0" w:color="auto"/>
            </w:tcBorders>
            <w:vAlign w:val="bottom"/>
            <w:hideMark/>
          </w:tcPr>
          <w:p w:rsidR="00990E29" w:rsidRPr="00466DBE" w:rsidRDefault="00990E29" w:rsidP="00990E29">
            <w:pPr>
              <w:keepNext/>
              <w:jc w:val="center"/>
              <w:rPr>
                <w:rFonts w:ascii="Arial Narrow" w:eastAsiaTheme="majorEastAsia" w:hAnsi="Arial Narrow"/>
                <w:sz w:val="20"/>
              </w:rPr>
            </w:pPr>
            <w:r w:rsidRPr="00FA739A">
              <w:rPr>
                <w:rFonts w:ascii="Arial Narrow" w:hAnsi="Arial Narrow" w:cs="Calibri"/>
                <w:color w:val="000000"/>
                <w:sz w:val="20"/>
                <w:szCs w:val="20"/>
              </w:rPr>
              <w:t>$</w:t>
            </w:r>
            <w:r w:rsidR="00AB6780">
              <w:rPr>
                <w:rFonts w:ascii="Arial Narrow" w:hAnsi="Arial Narrow" w:cs="Calibri"/>
                <w:noProof/>
                <w:color w:val="000000"/>
                <w:sz w:val="20"/>
                <w:szCs w:val="20"/>
                <w:highlight w:val="black"/>
              </w:rPr>
              <w:t>'''''''''''''''</w:t>
            </w:r>
          </w:p>
        </w:tc>
        <w:tc>
          <w:tcPr>
            <w:tcW w:w="1985" w:type="dxa"/>
            <w:tcBorders>
              <w:top w:val="nil"/>
              <w:left w:val="nil"/>
              <w:bottom w:val="single" w:sz="4" w:space="0" w:color="auto"/>
              <w:right w:val="single" w:sz="4" w:space="0" w:color="auto"/>
            </w:tcBorders>
            <w:vAlign w:val="bottom"/>
            <w:hideMark/>
          </w:tcPr>
          <w:p w:rsidR="00990E29" w:rsidRPr="00466DBE" w:rsidRDefault="00990E29" w:rsidP="00990E29">
            <w:pPr>
              <w:keepNext/>
              <w:jc w:val="center"/>
              <w:rPr>
                <w:rFonts w:ascii="Arial Narrow" w:eastAsiaTheme="majorEastAsia" w:hAnsi="Arial Narrow"/>
                <w:sz w:val="20"/>
              </w:rPr>
            </w:pPr>
            <w:r w:rsidRPr="00FA739A">
              <w:rPr>
                <w:rFonts w:ascii="Arial Narrow" w:hAnsi="Arial Narrow" w:cs="Calibri"/>
                <w:color w:val="000000"/>
                <w:sz w:val="20"/>
                <w:szCs w:val="20"/>
              </w:rPr>
              <w:t>$0.00</w:t>
            </w:r>
          </w:p>
        </w:tc>
        <w:tc>
          <w:tcPr>
            <w:tcW w:w="1934" w:type="dxa"/>
            <w:tcBorders>
              <w:top w:val="nil"/>
              <w:left w:val="nil"/>
              <w:bottom w:val="single" w:sz="4" w:space="0" w:color="auto"/>
              <w:right w:val="single" w:sz="4" w:space="0" w:color="auto"/>
            </w:tcBorders>
            <w:vAlign w:val="bottom"/>
            <w:hideMark/>
          </w:tcPr>
          <w:p w:rsidR="00990E29" w:rsidRPr="00FA739A" w:rsidRDefault="00990E29" w:rsidP="00990E29">
            <w:pPr>
              <w:keepNext/>
              <w:jc w:val="center"/>
              <w:rPr>
                <w:rFonts w:ascii="Arial Narrow" w:hAnsi="Arial Narrow" w:cs="Calibri"/>
                <w:color w:val="000000"/>
                <w:sz w:val="20"/>
                <w:szCs w:val="20"/>
              </w:rPr>
            </w:pPr>
            <w:r w:rsidRPr="00FA739A">
              <w:rPr>
                <w:rFonts w:ascii="Arial Narrow" w:hAnsi="Arial Narrow" w:cs="Calibri"/>
                <w:color w:val="000000"/>
                <w:sz w:val="20"/>
                <w:szCs w:val="20"/>
              </w:rPr>
              <w:t>$</w:t>
            </w:r>
            <w:r w:rsidR="00AB6780">
              <w:rPr>
                <w:rFonts w:ascii="Arial Narrow" w:hAnsi="Arial Narrow" w:cs="Calibri"/>
                <w:noProof/>
                <w:color w:val="000000"/>
                <w:sz w:val="20"/>
                <w:szCs w:val="20"/>
                <w:highlight w:val="black"/>
              </w:rPr>
              <w:t>''''''''''''''''</w:t>
            </w:r>
          </w:p>
        </w:tc>
      </w:tr>
      <w:tr w:rsidR="00990E29" w:rsidRPr="00FA739A" w:rsidTr="00FF18C9">
        <w:tc>
          <w:tcPr>
            <w:tcW w:w="2971" w:type="dxa"/>
            <w:tcBorders>
              <w:top w:val="single" w:sz="4" w:space="0" w:color="auto"/>
              <w:left w:val="single" w:sz="4" w:space="0" w:color="auto"/>
              <w:bottom w:val="single" w:sz="4" w:space="0" w:color="auto"/>
              <w:right w:val="single" w:sz="4" w:space="0" w:color="auto"/>
            </w:tcBorders>
            <w:hideMark/>
          </w:tcPr>
          <w:p w:rsidR="00990E29" w:rsidRPr="00466DBE" w:rsidRDefault="00990E29" w:rsidP="00990E29">
            <w:pPr>
              <w:keepNext/>
              <w:jc w:val="left"/>
              <w:rPr>
                <w:rFonts w:ascii="Arial Narrow" w:eastAsiaTheme="majorEastAsia" w:hAnsi="Arial Narrow"/>
                <w:sz w:val="20"/>
              </w:rPr>
            </w:pPr>
            <w:r w:rsidRPr="00466DBE">
              <w:rPr>
                <w:rFonts w:ascii="Arial Narrow" w:eastAsiaTheme="majorEastAsia" w:hAnsi="Arial Narrow"/>
                <w:sz w:val="20"/>
              </w:rPr>
              <w:t>Fulvestrant loading dose, AEMP</w:t>
            </w:r>
          </w:p>
        </w:tc>
        <w:tc>
          <w:tcPr>
            <w:tcW w:w="2126" w:type="dxa"/>
            <w:tcBorders>
              <w:top w:val="nil"/>
              <w:left w:val="nil"/>
              <w:bottom w:val="single" w:sz="4" w:space="0" w:color="auto"/>
              <w:right w:val="single" w:sz="4" w:space="0" w:color="auto"/>
            </w:tcBorders>
            <w:vAlign w:val="bottom"/>
            <w:hideMark/>
          </w:tcPr>
          <w:p w:rsidR="00990E29" w:rsidRPr="00466DBE" w:rsidRDefault="00990E29" w:rsidP="00990E29">
            <w:pPr>
              <w:keepNext/>
              <w:jc w:val="center"/>
              <w:rPr>
                <w:rFonts w:ascii="Arial Narrow" w:eastAsiaTheme="majorEastAsia" w:hAnsi="Arial Narrow"/>
                <w:sz w:val="20"/>
              </w:rPr>
            </w:pPr>
            <w:r w:rsidRPr="00466DBE">
              <w:rPr>
                <w:rFonts w:ascii="Arial Narrow" w:eastAsiaTheme="majorEastAsia" w:hAnsi="Arial Narrow"/>
                <w:sz w:val="20"/>
              </w:rPr>
              <w:t>$</w:t>
            </w:r>
            <w:r w:rsidR="00AB6780">
              <w:rPr>
                <w:rFonts w:ascii="Arial Narrow" w:eastAsiaTheme="majorEastAsia" w:hAnsi="Arial Narrow"/>
                <w:noProof/>
                <w:color w:val="000000"/>
                <w:sz w:val="20"/>
                <w:highlight w:val="black"/>
              </w:rPr>
              <w:t>'''''''''''''</w:t>
            </w:r>
          </w:p>
        </w:tc>
        <w:tc>
          <w:tcPr>
            <w:tcW w:w="1985" w:type="dxa"/>
            <w:tcBorders>
              <w:top w:val="nil"/>
              <w:left w:val="nil"/>
              <w:bottom w:val="single" w:sz="4" w:space="0" w:color="auto"/>
              <w:right w:val="single" w:sz="4" w:space="0" w:color="auto"/>
            </w:tcBorders>
            <w:vAlign w:val="center"/>
            <w:hideMark/>
          </w:tcPr>
          <w:p w:rsidR="00990E29" w:rsidRPr="00466DBE" w:rsidRDefault="00990E29" w:rsidP="00990E29">
            <w:pPr>
              <w:keepNext/>
              <w:jc w:val="center"/>
              <w:rPr>
                <w:rFonts w:ascii="Arial Narrow" w:eastAsiaTheme="majorEastAsia" w:hAnsi="Arial Narrow"/>
                <w:sz w:val="20"/>
              </w:rPr>
            </w:pPr>
            <w:r w:rsidRPr="00FA739A">
              <w:rPr>
                <w:rFonts w:ascii="Arial Narrow" w:hAnsi="Arial Narrow" w:cs="Calibri"/>
                <w:color w:val="000000"/>
                <w:sz w:val="20"/>
                <w:szCs w:val="20"/>
              </w:rPr>
              <w:t>$0.00</w:t>
            </w:r>
          </w:p>
        </w:tc>
        <w:tc>
          <w:tcPr>
            <w:tcW w:w="1934" w:type="dxa"/>
            <w:tcBorders>
              <w:top w:val="nil"/>
              <w:left w:val="nil"/>
              <w:bottom w:val="single" w:sz="4" w:space="0" w:color="auto"/>
              <w:right w:val="single" w:sz="4" w:space="0" w:color="auto"/>
            </w:tcBorders>
            <w:vAlign w:val="bottom"/>
            <w:hideMark/>
          </w:tcPr>
          <w:p w:rsidR="00990E29" w:rsidRPr="00FA739A" w:rsidRDefault="00990E29" w:rsidP="0085341D">
            <w:pPr>
              <w:keepNext/>
              <w:jc w:val="center"/>
              <w:rPr>
                <w:rFonts w:ascii="Arial Narrow" w:hAnsi="Arial Narrow" w:cs="Calibri"/>
                <w:color w:val="000000"/>
                <w:sz w:val="20"/>
                <w:szCs w:val="20"/>
              </w:rPr>
            </w:pPr>
            <w:r w:rsidRPr="00FA739A">
              <w:rPr>
                <w:rFonts w:ascii="Arial Narrow" w:hAnsi="Arial Narrow" w:cs="Calibri"/>
                <w:color w:val="000000"/>
                <w:sz w:val="20"/>
                <w:szCs w:val="20"/>
              </w:rPr>
              <w:t>$</w:t>
            </w:r>
            <w:r w:rsidR="00AB6780">
              <w:rPr>
                <w:rFonts w:ascii="Arial Narrow" w:hAnsi="Arial Narrow" w:cs="Calibri"/>
                <w:noProof/>
                <w:color w:val="000000"/>
                <w:sz w:val="20"/>
                <w:szCs w:val="20"/>
                <w:highlight w:val="black"/>
              </w:rPr>
              <w:t>'''''''''''''</w:t>
            </w:r>
            <w:r w:rsidRPr="00FA739A">
              <w:rPr>
                <w:rFonts w:ascii="Arial Narrow" w:hAnsi="Arial Narrow" w:cs="Calibri"/>
                <w:color w:val="000000"/>
                <w:sz w:val="20"/>
                <w:szCs w:val="20"/>
              </w:rPr>
              <w:t xml:space="preserve"> </w:t>
            </w:r>
          </w:p>
        </w:tc>
      </w:tr>
      <w:tr w:rsidR="00990E29" w:rsidRPr="00FA739A" w:rsidTr="00FF18C9">
        <w:tc>
          <w:tcPr>
            <w:tcW w:w="2971" w:type="dxa"/>
            <w:tcBorders>
              <w:top w:val="single" w:sz="4" w:space="0" w:color="auto"/>
              <w:left w:val="single" w:sz="4" w:space="0" w:color="auto"/>
              <w:bottom w:val="single" w:sz="4" w:space="0" w:color="auto"/>
              <w:right w:val="single" w:sz="4" w:space="0" w:color="auto"/>
            </w:tcBorders>
            <w:hideMark/>
          </w:tcPr>
          <w:p w:rsidR="00990E29" w:rsidRPr="00466DBE" w:rsidRDefault="00990E29" w:rsidP="00990E29">
            <w:pPr>
              <w:keepNext/>
              <w:jc w:val="left"/>
              <w:rPr>
                <w:rFonts w:ascii="Arial Narrow" w:eastAsiaTheme="majorEastAsia" w:hAnsi="Arial Narrow"/>
                <w:sz w:val="20"/>
              </w:rPr>
            </w:pPr>
            <w:r w:rsidRPr="00466DBE">
              <w:rPr>
                <w:rFonts w:ascii="Arial Narrow" w:eastAsiaTheme="majorEastAsia" w:hAnsi="Arial Narrow"/>
                <w:sz w:val="20"/>
              </w:rPr>
              <w:t>NSAI</w:t>
            </w:r>
          </w:p>
        </w:tc>
        <w:tc>
          <w:tcPr>
            <w:tcW w:w="2126" w:type="dxa"/>
            <w:tcBorders>
              <w:top w:val="nil"/>
              <w:left w:val="nil"/>
              <w:bottom w:val="single" w:sz="4" w:space="0" w:color="auto"/>
              <w:right w:val="single" w:sz="4" w:space="0" w:color="auto"/>
            </w:tcBorders>
            <w:vAlign w:val="bottom"/>
            <w:hideMark/>
          </w:tcPr>
          <w:p w:rsidR="00990E29" w:rsidRPr="00466DBE" w:rsidRDefault="00990E29" w:rsidP="00990E29">
            <w:pPr>
              <w:keepNext/>
              <w:jc w:val="center"/>
              <w:rPr>
                <w:rFonts w:ascii="Arial Narrow" w:eastAsiaTheme="majorEastAsia" w:hAnsi="Arial Narrow"/>
                <w:sz w:val="20"/>
              </w:rPr>
            </w:pPr>
            <w:r w:rsidRPr="00FA739A">
              <w:rPr>
                <w:rFonts w:ascii="Arial Narrow" w:hAnsi="Arial Narrow" w:cs="Calibri"/>
                <w:color w:val="000000"/>
                <w:sz w:val="20"/>
                <w:szCs w:val="20"/>
              </w:rPr>
              <w:t>$0.00</w:t>
            </w:r>
          </w:p>
        </w:tc>
        <w:tc>
          <w:tcPr>
            <w:tcW w:w="1985" w:type="dxa"/>
            <w:tcBorders>
              <w:top w:val="nil"/>
              <w:left w:val="nil"/>
              <w:bottom w:val="single" w:sz="4" w:space="0" w:color="auto"/>
              <w:right w:val="single" w:sz="4" w:space="0" w:color="auto"/>
            </w:tcBorders>
            <w:vAlign w:val="bottom"/>
            <w:hideMark/>
          </w:tcPr>
          <w:p w:rsidR="00990E29" w:rsidRPr="00466DBE" w:rsidRDefault="00990E29" w:rsidP="00990E29">
            <w:pPr>
              <w:keepNext/>
              <w:jc w:val="center"/>
              <w:rPr>
                <w:rFonts w:ascii="Arial Narrow" w:eastAsiaTheme="majorEastAsia" w:hAnsi="Arial Narrow"/>
                <w:sz w:val="20"/>
              </w:rPr>
            </w:pPr>
            <w:r w:rsidRPr="00FA739A">
              <w:rPr>
                <w:rFonts w:ascii="Arial Narrow" w:hAnsi="Arial Narrow" w:cs="Calibri"/>
                <w:color w:val="000000"/>
                <w:sz w:val="20"/>
                <w:szCs w:val="20"/>
              </w:rPr>
              <w:t>$15.66</w:t>
            </w:r>
          </w:p>
        </w:tc>
        <w:tc>
          <w:tcPr>
            <w:tcW w:w="1934" w:type="dxa"/>
            <w:tcBorders>
              <w:top w:val="nil"/>
              <w:left w:val="nil"/>
              <w:bottom w:val="single" w:sz="4" w:space="0" w:color="auto"/>
              <w:right w:val="single" w:sz="4" w:space="0" w:color="auto"/>
            </w:tcBorders>
            <w:vAlign w:val="bottom"/>
            <w:hideMark/>
          </w:tcPr>
          <w:p w:rsidR="00990E29" w:rsidRPr="00FA739A" w:rsidRDefault="00990E29" w:rsidP="00990E29">
            <w:pPr>
              <w:keepNext/>
              <w:jc w:val="center"/>
              <w:rPr>
                <w:rFonts w:ascii="Arial Narrow" w:hAnsi="Arial Narrow" w:cs="Calibri"/>
                <w:color w:val="000000"/>
                <w:sz w:val="20"/>
                <w:szCs w:val="20"/>
              </w:rPr>
            </w:pPr>
            <w:r w:rsidRPr="00FA739A">
              <w:rPr>
                <w:rFonts w:ascii="Arial Narrow" w:hAnsi="Arial Narrow" w:cs="Calibri"/>
                <w:color w:val="000000"/>
                <w:sz w:val="20"/>
                <w:szCs w:val="20"/>
              </w:rPr>
              <w:t>-$15.66</w:t>
            </w:r>
          </w:p>
        </w:tc>
      </w:tr>
      <w:tr w:rsidR="00990E29" w:rsidRPr="00FA739A" w:rsidTr="00FF18C9">
        <w:tc>
          <w:tcPr>
            <w:tcW w:w="7082" w:type="dxa"/>
            <w:gridSpan w:val="3"/>
            <w:tcBorders>
              <w:top w:val="single" w:sz="4" w:space="0" w:color="auto"/>
              <w:left w:val="single" w:sz="4" w:space="0" w:color="auto"/>
              <w:bottom w:val="single" w:sz="4" w:space="0" w:color="auto"/>
              <w:right w:val="single" w:sz="4" w:space="0" w:color="auto"/>
            </w:tcBorders>
            <w:hideMark/>
          </w:tcPr>
          <w:p w:rsidR="00990E29" w:rsidRPr="00FA739A" w:rsidRDefault="00990E29" w:rsidP="00990E29">
            <w:pPr>
              <w:keepNext/>
              <w:jc w:val="left"/>
              <w:rPr>
                <w:rFonts w:ascii="Arial Narrow" w:hAnsi="Arial Narrow" w:cs="Calibri"/>
                <w:b/>
                <w:color w:val="000000"/>
                <w:sz w:val="20"/>
                <w:szCs w:val="20"/>
              </w:rPr>
            </w:pPr>
            <w:r w:rsidRPr="00FA739A">
              <w:rPr>
                <w:rFonts w:ascii="Arial Narrow" w:hAnsi="Arial Narrow" w:cs="Calibri"/>
                <w:b/>
                <w:color w:val="000000"/>
                <w:sz w:val="20"/>
                <w:szCs w:val="20"/>
              </w:rPr>
              <w:t>Additional costs (28-day cycle)</w:t>
            </w:r>
          </w:p>
        </w:tc>
        <w:tc>
          <w:tcPr>
            <w:tcW w:w="1934" w:type="dxa"/>
            <w:tcBorders>
              <w:top w:val="single" w:sz="4" w:space="0" w:color="auto"/>
              <w:left w:val="single" w:sz="4" w:space="0" w:color="auto"/>
              <w:bottom w:val="single" w:sz="4" w:space="0" w:color="auto"/>
              <w:right w:val="single" w:sz="4" w:space="0" w:color="auto"/>
            </w:tcBorders>
          </w:tcPr>
          <w:p w:rsidR="00990E29" w:rsidRPr="00FA739A" w:rsidRDefault="00990E29" w:rsidP="00990E29">
            <w:pPr>
              <w:keepNext/>
              <w:jc w:val="left"/>
              <w:rPr>
                <w:rFonts w:ascii="Arial Narrow" w:hAnsi="Arial Narrow" w:cs="Calibri"/>
                <w:b/>
                <w:color w:val="000000"/>
                <w:sz w:val="20"/>
                <w:szCs w:val="20"/>
              </w:rPr>
            </w:pPr>
          </w:p>
        </w:tc>
      </w:tr>
      <w:tr w:rsidR="00990E29" w:rsidRPr="00FA739A" w:rsidTr="00FF18C9">
        <w:tc>
          <w:tcPr>
            <w:tcW w:w="2971" w:type="dxa"/>
            <w:tcBorders>
              <w:top w:val="single" w:sz="4" w:space="0" w:color="auto"/>
              <w:left w:val="single" w:sz="4" w:space="0" w:color="auto"/>
              <w:bottom w:val="single" w:sz="4" w:space="0" w:color="auto"/>
              <w:right w:val="single" w:sz="4" w:space="0" w:color="auto"/>
            </w:tcBorders>
            <w:hideMark/>
          </w:tcPr>
          <w:p w:rsidR="00990E29" w:rsidRPr="00466DBE" w:rsidRDefault="00990E29" w:rsidP="00990E29">
            <w:pPr>
              <w:keepNext/>
              <w:jc w:val="left"/>
              <w:rPr>
                <w:rFonts w:ascii="Arial Narrow" w:eastAsiaTheme="majorEastAsia" w:hAnsi="Arial Narrow"/>
                <w:sz w:val="20"/>
              </w:rPr>
            </w:pPr>
            <w:r w:rsidRPr="00466DBE">
              <w:rPr>
                <w:rFonts w:ascii="Arial Narrow" w:eastAsiaTheme="majorEastAsia" w:hAnsi="Arial Narrow"/>
                <w:sz w:val="20"/>
              </w:rPr>
              <w:t>Administration</w:t>
            </w:r>
          </w:p>
        </w:tc>
        <w:tc>
          <w:tcPr>
            <w:tcW w:w="2126" w:type="dxa"/>
            <w:tcBorders>
              <w:top w:val="nil"/>
              <w:left w:val="nil"/>
              <w:bottom w:val="single" w:sz="4" w:space="0" w:color="auto"/>
              <w:right w:val="single" w:sz="4" w:space="0" w:color="auto"/>
            </w:tcBorders>
            <w:vAlign w:val="bottom"/>
            <w:hideMark/>
          </w:tcPr>
          <w:p w:rsidR="00990E29" w:rsidRPr="00FA739A" w:rsidRDefault="00990E29" w:rsidP="00990E29">
            <w:pPr>
              <w:keepNext/>
              <w:jc w:val="center"/>
              <w:rPr>
                <w:rFonts w:ascii="Arial Narrow" w:hAnsi="Arial Narrow" w:cs="Calibri"/>
                <w:color w:val="000000"/>
                <w:sz w:val="20"/>
                <w:szCs w:val="20"/>
              </w:rPr>
            </w:pPr>
            <w:r w:rsidRPr="00FA739A">
              <w:rPr>
                <w:rFonts w:ascii="Arial Narrow" w:hAnsi="Arial Narrow" w:cs="Calibri"/>
                <w:color w:val="000000"/>
                <w:sz w:val="20"/>
                <w:szCs w:val="20"/>
              </w:rPr>
              <w:t>$9.75</w:t>
            </w:r>
          </w:p>
        </w:tc>
        <w:tc>
          <w:tcPr>
            <w:tcW w:w="1985" w:type="dxa"/>
            <w:tcBorders>
              <w:top w:val="nil"/>
              <w:left w:val="nil"/>
              <w:bottom w:val="single" w:sz="4" w:space="0" w:color="auto"/>
              <w:right w:val="single" w:sz="4" w:space="0" w:color="auto"/>
            </w:tcBorders>
            <w:vAlign w:val="bottom"/>
            <w:hideMark/>
          </w:tcPr>
          <w:p w:rsidR="00990E29" w:rsidRPr="00FA739A" w:rsidRDefault="00990E29" w:rsidP="00990E29">
            <w:pPr>
              <w:keepNext/>
              <w:jc w:val="center"/>
              <w:rPr>
                <w:rFonts w:ascii="Arial Narrow" w:hAnsi="Arial Narrow" w:cs="Calibri"/>
                <w:color w:val="000000"/>
                <w:sz w:val="20"/>
                <w:szCs w:val="20"/>
              </w:rPr>
            </w:pPr>
            <w:r w:rsidRPr="00FA739A">
              <w:rPr>
                <w:rFonts w:ascii="Arial Narrow" w:hAnsi="Arial Narrow" w:cs="Calibri"/>
                <w:color w:val="000000"/>
                <w:sz w:val="20"/>
                <w:szCs w:val="20"/>
              </w:rPr>
              <w:t>$0.00</w:t>
            </w:r>
          </w:p>
        </w:tc>
        <w:tc>
          <w:tcPr>
            <w:tcW w:w="1934" w:type="dxa"/>
            <w:tcBorders>
              <w:top w:val="nil"/>
              <w:left w:val="nil"/>
              <w:bottom w:val="single" w:sz="4" w:space="0" w:color="auto"/>
              <w:right w:val="single" w:sz="4" w:space="0" w:color="auto"/>
            </w:tcBorders>
            <w:vAlign w:val="bottom"/>
            <w:hideMark/>
          </w:tcPr>
          <w:p w:rsidR="00990E29" w:rsidRPr="00FA739A" w:rsidRDefault="00990E29" w:rsidP="00990E29">
            <w:pPr>
              <w:keepNext/>
              <w:jc w:val="center"/>
              <w:rPr>
                <w:rFonts w:ascii="Arial Narrow" w:hAnsi="Arial Narrow" w:cs="Calibri"/>
                <w:color w:val="000000"/>
                <w:sz w:val="20"/>
                <w:szCs w:val="20"/>
              </w:rPr>
            </w:pPr>
            <w:r w:rsidRPr="00FA739A">
              <w:rPr>
                <w:rFonts w:ascii="Arial Narrow" w:hAnsi="Arial Narrow" w:cs="Calibri"/>
                <w:color w:val="000000"/>
                <w:sz w:val="20"/>
                <w:szCs w:val="20"/>
              </w:rPr>
              <w:t>$9.75</w:t>
            </w:r>
          </w:p>
        </w:tc>
      </w:tr>
      <w:tr w:rsidR="00990E29" w:rsidRPr="00FA739A" w:rsidTr="00FF18C9">
        <w:tc>
          <w:tcPr>
            <w:tcW w:w="2971" w:type="dxa"/>
            <w:tcBorders>
              <w:top w:val="single" w:sz="4" w:space="0" w:color="auto"/>
              <w:left w:val="single" w:sz="4" w:space="0" w:color="auto"/>
              <w:bottom w:val="single" w:sz="4" w:space="0" w:color="auto"/>
              <w:right w:val="single" w:sz="4" w:space="0" w:color="auto"/>
            </w:tcBorders>
            <w:hideMark/>
          </w:tcPr>
          <w:p w:rsidR="00990E29" w:rsidRPr="00466DBE" w:rsidRDefault="00990E29" w:rsidP="00990E29">
            <w:pPr>
              <w:keepNext/>
              <w:jc w:val="left"/>
              <w:rPr>
                <w:rFonts w:ascii="Arial Narrow" w:eastAsiaTheme="majorEastAsia" w:hAnsi="Arial Narrow"/>
                <w:sz w:val="20"/>
              </w:rPr>
            </w:pPr>
            <w:r w:rsidRPr="00466DBE">
              <w:rPr>
                <w:rFonts w:ascii="Arial Narrow" w:eastAsiaTheme="majorEastAsia" w:hAnsi="Arial Narrow"/>
                <w:sz w:val="20"/>
              </w:rPr>
              <w:t>Administration loading dose</w:t>
            </w:r>
          </w:p>
        </w:tc>
        <w:tc>
          <w:tcPr>
            <w:tcW w:w="2126" w:type="dxa"/>
            <w:tcBorders>
              <w:top w:val="nil"/>
              <w:left w:val="nil"/>
              <w:bottom w:val="single" w:sz="4" w:space="0" w:color="auto"/>
              <w:right w:val="single" w:sz="4" w:space="0" w:color="auto"/>
            </w:tcBorders>
            <w:vAlign w:val="bottom"/>
            <w:hideMark/>
          </w:tcPr>
          <w:p w:rsidR="00990E29" w:rsidRPr="00FA739A" w:rsidRDefault="00990E29" w:rsidP="00990E29">
            <w:pPr>
              <w:keepNext/>
              <w:jc w:val="center"/>
              <w:rPr>
                <w:rFonts w:ascii="Arial Narrow" w:hAnsi="Arial Narrow" w:cs="Calibri"/>
                <w:color w:val="000000"/>
                <w:sz w:val="20"/>
                <w:szCs w:val="20"/>
              </w:rPr>
            </w:pPr>
            <w:r w:rsidRPr="00FA739A">
              <w:rPr>
                <w:rFonts w:ascii="Arial Narrow" w:hAnsi="Arial Narrow" w:cs="Calibri"/>
                <w:color w:val="000000"/>
                <w:sz w:val="20"/>
                <w:szCs w:val="20"/>
              </w:rPr>
              <w:t>$0.68</w:t>
            </w:r>
          </w:p>
        </w:tc>
        <w:tc>
          <w:tcPr>
            <w:tcW w:w="1985" w:type="dxa"/>
            <w:tcBorders>
              <w:top w:val="nil"/>
              <w:left w:val="nil"/>
              <w:bottom w:val="single" w:sz="4" w:space="0" w:color="auto"/>
              <w:right w:val="single" w:sz="4" w:space="0" w:color="auto"/>
            </w:tcBorders>
            <w:vAlign w:val="bottom"/>
            <w:hideMark/>
          </w:tcPr>
          <w:p w:rsidR="00990E29" w:rsidRPr="00FA739A" w:rsidRDefault="00990E29" w:rsidP="00990E29">
            <w:pPr>
              <w:keepNext/>
              <w:jc w:val="center"/>
              <w:rPr>
                <w:rFonts w:ascii="Arial Narrow" w:hAnsi="Arial Narrow" w:cs="Calibri"/>
                <w:color w:val="000000"/>
                <w:sz w:val="20"/>
                <w:szCs w:val="20"/>
              </w:rPr>
            </w:pPr>
            <w:r w:rsidRPr="00FA739A">
              <w:rPr>
                <w:rFonts w:ascii="Arial Narrow" w:hAnsi="Arial Narrow" w:cs="Calibri"/>
                <w:color w:val="000000"/>
                <w:sz w:val="20"/>
                <w:szCs w:val="20"/>
              </w:rPr>
              <w:t>$0.00</w:t>
            </w:r>
          </w:p>
        </w:tc>
        <w:tc>
          <w:tcPr>
            <w:tcW w:w="1934" w:type="dxa"/>
            <w:tcBorders>
              <w:top w:val="nil"/>
              <w:left w:val="nil"/>
              <w:bottom w:val="single" w:sz="4" w:space="0" w:color="auto"/>
              <w:right w:val="single" w:sz="4" w:space="0" w:color="auto"/>
            </w:tcBorders>
            <w:vAlign w:val="bottom"/>
            <w:hideMark/>
          </w:tcPr>
          <w:p w:rsidR="00990E29" w:rsidRPr="00FA739A" w:rsidRDefault="00990E29" w:rsidP="00990E29">
            <w:pPr>
              <w:keepNext/>
              <w:jc w:val="center"/>
              <w:rPr>
                <w:rFonts w:ascii="Arial Narrow" w:hAnsi="Arial Narrow" w:cs="Calibri"/>
                <w:color w:val="000000"/>
                <w:sz w:val="20"/>
                <w:szCs w:val="20"/>
              </w:rPr>
            </w:pPr>
            <w:r w:rsidRPr="00FA739A">
              <w:rPr>
                <w:rFonts w:ascii="Arial Narrow" w:hAnsi="Arial Narrow" w:cs="Calibri"/>
                <w:color w:val="000000"/>
                <w:sz w:val="20"/>
                <w:szCs w:val="20"/>
              </w:rPr>
              <w:t>$0.68</w:t>
            </w:r>
          </w:p>
        </w:tc>
      </w:tr>
      <w:tr w:rsidR="00990E29" w:rsidRPr="00FA739A" w:rsidTr="00FF18C9">
        <w:tc>
          <w:tcPr>
            <w:tcW w:w="2971" w:type="dxa"/>
            <w:tcBorders>
              <w:top w:val="single" w:sz="4" w:space="0" w:color="auto"/>
              <w:left w:val="single" w:sz="4" w:space="0" w:color="auto"/>
              <w:bottom w:val="single" w:sz="4" w:space="0" w:color="auto"/>
              <w:right w:val="single" w:sz="4" w:space="0" w:color="auto"/>
            </w:tcBorders>
            <w:hideMark/>
          </w:tcPr>
          <w:p w:rsidR="00990E29" w:rsidRPr="00466DBE" w:rsidRDefault="00990E29" w:rsidP="00990E29">
            <w:pPr>
              <w:keepNext/>
              <w:jc w:val="left"/>
              <w:rPr>
                <w:rFonts w:ascii="Arial Narrow" w:eastAsiaTheme="majorEastAsia" w:hAnsi="Arial Narrow"/>
                <w:sz w:val="20"/>
              </w:rPr>
            </w:pPr>
            <w:r w:rsidRPr="00466DBE">
              <w:rPr>
                <w:rFonts w:ascii="Arial Narrow" w:eastAsiaTheme="majorEastAsia" w:hAnsi="Arial Narrow"/>
                <w:sz w:val="20"/>
              </w:rPr>
              <w:t>Monitoring</w:t>
            </w:r>
          </w:p>
        </w:tc>
        <w:tc>
          <w:tcPr>
            <w:tcW w:w="2126" w:type="dxa"/>
            <w:tcBorders>
              <w:top w:val="nil"/>
              <w:left w:val="nil"/>
              <w:bottom w:val="single" w:sz="4" w:space="0" w:color="auto"/>
              <w:right w:val="single" w:sz="4" w:space="0" w:color="auto"/>
            </w:tcBorders>
            <w:vAlign w:val="bottom"/>
            <w:hideMark/>
          </w:tcPr>
          <w:p w:rsidR="00990E29" w:rsidRPr="00FA739A" w:rsidRDefault="00990E29" w:rsidP="00990E29">
            <w:pPr>
              <w:keepNext/>
              <w:jc w:val="center"/>
              <w:rPr>
                <w:rFonts w:ascii="Arial Narrow" w:hAnsi="Arial Narrow" w:cs="Calibri"/>
                <w:color w:val="000000"/>
                <w:sz w:val="20"/>
                <w:szCs w:val="20"/>
              </w:rPr>
            </w:pPr>
            <w:r w:rsidRPr="00FA739A">
              <w:rPr>
                <w:rFonts w:ascii="Arial Narrow" w:hAnsi="Arial Narrow" w:cs="Calibri"/>
                <w:color w:val="000000"/>
                <w:sz w:val="20"/>
                <w:szCs w:val="20"/>
              </w:rPr>
              <w:t>$35.06</w:t>
            </w:r>
          </w:p>
        </w:tc>
        <w:tc>
          <w:tcPr>
            <w:tcW w:w="1985" w:type="dxa"/>
            <w:tcBorders>
              <w:top w:val="nil"/>
              <w:left w:val="nil"/>
              <w:bottom w:val="single" w:sz="4" w:space="0" w:color="auto"/>
              <w:right w:val="single" w:sz="4" w:space="0" w:color="auto"/>
            </w:tcBorders>
            <w:vAlign w:val="bottom"/>
            <w:hideMark/>
          </w:tcPr>
          <w:p w:rsidR="00990E29" w:rsidRPr="00FA739A" w:rsidRDefault="00990E29" w:rsidP="00990E29">
            <w:pPr>
              <w:keepNext/>
              <w:jc w:val="center"/>
              <w:rPr>
                <w:rFonts w:ascii="Arial Narrow" w:hAnsi="Arial Narrow" w:cs="Calibri"/>
                <w:color w:val="000000"/>
                <w:sz w:val="20"/>
                <w:szCs w:val="20"/>
              </w:rPr>
            </w:pPr>
            <w:r w:rsidRPr="00FA739A">
              <w:rPr>
                <w:rFonts w:ascii="Arial Narrow" w:hAnsi="Arial Narrow" w:cs="Calibri"/>
                <w:color w:val="000000"/>
                <w:sz w:val="20"/>
                <w:szCs w:val="20"/>
              </w:rPr>
              <w:t>$66.97</w:t>
            </w:r>
          </w:p>
        </w:tc>
        <w:tc>
          <w:tcPr>
            <w:tcW w:w="1934" w:type="dxa"/>
            <w:tcBorders>
              <w:top w:val="nil"/>
              <w:left w:val="nil"/>
              <w:bottom w:val="single" w:sz="4" w:space="0" w:color="auto"/>
              <w:right w:val="single" w:sz="4" w:space="0" w:color="auto"/>
            </w:tcBorders>
            <w:vAlign w:val="bottom"/>
            <w:hideMark/>
          </w:tcPr>
          <w:p w:rsidR="00990E29" w:rsidRPr="00FA739A" w:rsidRDefault="00990E29" w:rsidP="00990E29">
            <w:pPr>
              <w:keepNext/>
              <w:jc w:val="center"/>
              <w:rPr>
                <w:rFonts w:ascii="Arial Narrow" w:hAnsi="Arial Narrow" w:cs="Calibri"/>
                <w:color w:val="000000"/>
                <w:sz w:val="20"/>
                <w:szCs w:val="20"/>
              </w:rPr>
            </w:pPr>
            <w:r w:rsidRPr="00FA739A">
              <w:rPr>
                <w:rFonts w:ascii="Arial Narrow" w:hAnsi="Arial Narrow" w:cs="Calibri"/>
                <w:color w:val="000000"/>
                <w:sz w:val="20"/>
                <w:szCs w:val="20"/>
              </w:rPr>
              <w:t>-$31.91</w:t>
            </w:r>
          </w:p>
        </w:tc>
      </w:tr>
      <w:tr w:rsidR="00990E29" w:rsidRPr="00FA739A" w:rsidTr="00FF18C9">
        <w:tc>
          <w:tcPr>
            <w:tcW w:w="2971" w:type="dxa"/>
            <w:tcBorders>
              <w:top w:val="single" w:sz="4" w:space="0" w:color="auto"/>
              <w:left w:val="single" w:sz="4" w:space="0" w:color="auto"/>
              <w:bottom w:val="single" w:sz="4" w:space="0" w:color="auto"/>
              <w:right w:val="single" w:sz="4" w:space="0" w:color="auto"/>
            </w:tcBorders>
            <w:hideMark/>
          </w:tcPr>
          <w:p w:rsidR="00990E29" w:rsidRPr="00466DBE" w:rsidRDefault="00990E29" w:rsidP="00990E29">
            <w:pPr>
              <w:keepNext/>
              <w:jc w:val="left"/>
              <w:rPr>
                <w:rFonts w:ascii="Arial Narrow" w:eastAsiaTheme="majorEastAsia" w:hAnsi="Arial Narrow"/>
                <w:sz w:val="20"/>
              </w:rPr>
            </w:pPr>
            <w:r w:rsidRPr="00466DBE">
              <w:rPr>
                <w:rFonts w:ascii="Arial Narrow" w:eastAsiaTheme="majorEastAsia" w:hAnsi="Arial Narrow"/>
                <w:sz w:val="20"/>
              </w:rPr>
              <w:t>Adverse events</w:t>
            </w:r>
          </w:p>
        </w:tc>
        <w:tc>
          <w:tcPr>
            <w:tcW w:w="2126" w:type="dxa"/>
            <w:tcBorders>
              <w:top w:val="nil"/>
              <w:left w:val="nil"/>
              <w:bottom w:val="single" w:sz="4" w:space="0" w:color="auto"/>
              <w:right w:val="single" w:sz="4" w:space="0" w:color="auto"/>
            </w:tcBorders>
            <w:vAlign w:val="bottom"/>
            <w:hideMark/>
          </w:tcPr>
          <w:p w:rsidR="00990E29" w:rsidRPr="00FA739A" w:rsidRDefault="00990E29" w:rsidP="00990E29">
            <w:pPr>
              <w:keepNext/>
              <w:jc w:val="center"/>
              <w:rPr>
                <w:rFonts w:ascii="Arial Narrow" w:hAnsi="Arial Narrow" w:cs="Calibri"/>
                <w:color w:val="000000"/>
                <w:sz w:val="20"/>
                <w:szCs w:val="20"/>
              </w:rPr>
            </w:pPr>
            <w:r w:rsidRPr="00FA739A">
              <w:rPr>
                <w:rFonts w:ascii="Arial Narrow" w:hAnsi="Arial Narrow" w:cs="Calibri"/>
                <w:color w:val="000000"/>
                <w:sz w:val="20"/>
                <w:szCs w:val="20"/>
              </w:rPr>
              <w:t>$0.09</w:t>
            </w:r>
          </w:p>
        </w:tc>
        <w:tc>
          <w:tcPr>
            <w:tcW w:w="1985" w:type="dxa"/>
            <w:tcBorders>
              <w:top w:val="nil"/>
              <w:left w:val="nil"/>
              <w:bottom w:val="single" w:sz="4" w:space="0" w:color="auto"/>
              <w:right w:val="single" w:sz="4" w:space="0" w:color="auto"/>
            </w:tcBorders>
            <w:vAlign w:val="bottom"/>
            <w:hideMark/>
          </w:tcPr>
          <w:p w:rsidR="00990E29" w:rsidRPr="00FA739A" w:rsidRDefault="00990E29" w:rsidP="00990E29">
            <w:pPr>
              <w:keepNext/>
              <w:jc w:val="center"/>
              <w:rPr>
                <w:rFonts w:ascii="Arial Narrow" w:hAnsi="Arial Narrow" w:cs="Calibri"/>
                <w:color w:val="000000"/>
                <w:sz w:val="20"/>
                <w:szCs w:val="20"/>
              </w:rPr>
            </w:pPr>
            <w:r w:rsidRPr="00FA739A">
              <w:rPr>
                <w:rFonts w:ascii="Arial Narrow" w:hAnsi="Arial Narrow" w:cs="Calibri"/>
                <w:color w:val="000000"/>
                <w:sz w:val="20"/>
                <w:szCs w:val="20"/>
              </w:rPr>
              <w:t>$0.23</w:t>
            </w:r>
          </w:p>
        </w:tc>
        <w:tc>
          <w:tcPr>
            <w:tcW w:w="1934" w:type="dxa"/>
            <w:tcBorders>
              <w:top w:val="nil"/>
              <w:left w:val="nil"/>
              <w:bottom w:val="single" w:sz="4" w:space="0" w:color="auto"/>
              <w:right w:val="single" w:sz="4" w:space="0" w:color="auto"/>
            </w:tcBorders>
            <w:vAlign w:val="bottom"/>
            <w:hideMark/>
          </w:tcPr>
          <w:p w:rsidR="00990E29" w:rsidRPr="00FA739A" w:rsidRDefault="00990E29" w:rsidP="00990E29">
            <w:pPr>
              <w:keepNext/>
              <w:jc w:val="center"/>
              <w:rPr>
                <w:rFonts w:ascii="Arial Narrow" w:hAnsi="Arial Narrow" w:cs="Calibri"/>
                <w:color w:val="000000"/>
                <w:sz w:val="20"/>
                <w:szCs w:val="20"/>
              </w:rPr>
            </w:pPr>
            <w:r w:rsidRPr="00FA739A">
              <w:rPr>
                <w:rFonts w:ascii="Arial Narrow" w:hAnsi="Arial Narrow" w:cs="Calibri"/>
                <w:color w:val="000000"/>
                <w:sz w:val="20"/>
                <w:szCs w:val="20"/>
              </w:rPr>
              <w:t>-$0.13</w:t>
            </w:r>
          </w:p>
        </w:tc>
      </w:tr>
      <w:tr w:rsidR="00990E29" w:rsidRPr="00FA739A" w:rsidTr="00FF18C9">
        <w:tc>
          <w:tcPr>
            <w:tcW w:w="2971" w:type="dxa"/>
            <w:tcBorders>
              <w:top w:val="single" w:sz="4" w:space="0" w:color="auto"/>
              <w:left w:val="single" w:sz="4" w:space="0" w:color="auto"/>
              <w:bottom w:val="single" w:sz="4" w:space="0" w:color="auto"/>
              <w:right w:val="single" w:sz="4" w:space="0" w:color="auto"/>
            </w:tcBorders>
            <w:hideMark/>
          </w:tcPr>
          <w:p w:rsidR="00990E29" w:rsidRPr="00FA739A" w:rsidRDefault="00990E29" w:rsidP="00990E29">
            <w:pPr>
              <w:keepNext/>
              <w:jc w:val="left"/>
              <w:rPr>
                <w:rFonts w:ascii="Arial Narrow" w:eastAsiaTheme="majorEastAsia" w:hAnsi="Arial Narrow" w:cstheme="majorBidi"/>
                <w:b/>
                <w:bCs/>
                <w:sz w:val="20"/>
              </w:rPr>
            </w:pPr>
            <w:r w:rsidRPr="00FA739A">
              <w:rPr>
                <w:rFonts w:ascii="Arial Narrow" w:eastAsiaTheme="majorEastAsia" w:hAnsi="Arial Narrow" w:cstheme="majorBidi"/>
                <w:b/>
                <w:bCs/>
                <w:sz w:val="20"/>
              </w:rPr>
              <w:t>Total cost per 28-day cycle</w:t>
            </w:r>
          </w:p>
        </w:tc>
        <w:tc>
          <w:tcPr>
            <w:tcW w:w="2126" w:type="dxa"/>
            <w:tcBorders>
              <w:top w:val="nil"/>
              <w:left w:val="nil"/>
              <w:bottom w:val="single" w:sz="4" w:space="0" w:color="auto"/>
              <w:right w:val="single" w:sz="4" w:space="0" w:color="auto"/>
            </w:tcBorders>
            <w:vAlign w:val="bottom"/>
            <w:hideMark/>
          </w:tcPr>
          <w:p w:rsidR="00990E29" w:rsidRPr="00FA739A" w:rsidRDefault="00990E29" w:rsidP="00990E29">
            <w:pPr>
              <w:keepNext/>
              <w:jc w:val="center"/>
              <w:rPr>
                <w:rFonts w:ascii="Arial Narrow" w:eastAsiaTheme="majorEastAsia" w:hAnsi="Arial Narrow" w:cstheme="majorBidi"/>
                <w:b/>
                <w:bCs/>
                <w:sz w:val="20"/>
                <w:vertAlign w:val="superscript"/>
              </w:rPr>
            </w:pPr>
            <w:r w:rsidRPr="00FA739A">
              <w:rPr>
                <w:rFonts w:ascii="Arial Narrow" w:eastAsiaTheme="majorEastAsia" w:hAnsi="Arial Narrow" w:cstheme="majorBidi"/>
                <w:b/>
                <w:bCs/>
                <w:sz w:val="20"/>
              </w:rPr>
              <w:t>$</w:t>
            </w:r>
            <w:r w:rsidR="00AB6780">
              <w:rPr>
                <w:rFonts w:ascii="Arial Narrow" w:eastAsiaTheme="majorEastAsia" w:hAnsi="Arial Narrow" w:cstheme="majorBidi"/>
                <w:b/>
                <w:bCs/>
                <w:noProof/>
                <w:color w:val="000000"/>
                <w:sz w:val="20"/>
                <w:highlight w:val="black"/>
              </w:rPr>
              <w:t>''''''''''''''''</w:t>
            </w:r>
          </w:p>
        </w:tc>
        <w:tc>
          <w:tcPr>
            <w:tcW w:w="1985" w:type="dxa"/>
            <w:tcBorders>
              <w:top w:val="nil"/>
              <w:left w:val="nil"/>
              <w:bottom w:val="single" w:sz="4" w:space="0" w:color="auto"/>
              <w:right w:val="single" w:sz="4" w:space="0" w:color="auto"/>
            </w:tcBorders>
            <w:vAlign w:val="center"/>
            <w:hideMark/>
          </w:tcPr>
          <w:p w:rsidR="00990E29" w:rsidRPr="00FA739A" w:rsidRDefault="00990E29" w:rsidP="00990E29">
            <w:pPr>
              <w:keepNext/>
              <w:jc w:val="center"/>
              <w:rPr>
                <w:rFonts w:ascii="Arial Narrow" w:eastAsiaTheme="majorEastAsia" w:hAnsi="Arial Narrow" w:cstheme="majorBidi"/>
                <w:bCs/>
                <w:sz w:val="20"/>
              </w:rPr>
            </w:pPr>
            <w:r w:rsidRPr="00FA739A">
              <w:rPr>
                <w:rFonts w:ascii="Arial Narrow" w:hAnsi="Arial Narrow" w:cs="Calibri"/>
                <w:b/>
                <w:bCs/>
                <w:color w:val="000000"/>
                <w:sz w:val="20"/>
                <w:szCs w:val="20"/>
              </w:rPr>
              <w:t>$</w:t>
            </w:r>
            <w:r w:rsidR="00AB6780">
              <w:rPr>
                <w:rFonts w:ascii="Arial Narrow" w:hAnsi="Arial Narrow" w:cs="Calibri"/>
                <w:b/>
                <w:bCs/>
                <w:noProof/>
                <w:color w:val="000000"/>
                <w:sz w:val="20"/>
                <w:szCs w:val="20"/>
                <w:highlight w:val="black"/>
              </w:rPr>
              <w:t>'''''''''''''''''</w:t>
            </w:r>
          </w:p>
        </w:tc>
        <w:tc>
          <w:tcPr>
            <w:tcW w:w="1934" w:type="dxa"/>
            <w:tcBorders>
              <w:top w:val="nil"/>
              <w:left w:val="nil"/>
              <w:bottom w:val="single" w:sz="4" w:space="0" w:color="auto"/>
              <w:right w:val="single" w:sz="4" w:space="0" w:color="auto"/>
            </w:tcBorders>
            <w:vAlign w:val="bottom"/>
            <w:hideMark/>
          </w:tcPr>
          <w:p w:rsidR="00990E29" w:rsidRPr="00FA739A" w:rsidRDefault="00990E29" w:rsidP="00990E29">
            <w:pPr>
              <w:keepNext/>
              <w:jc w:val="center"/>
              <w:rPr>
                <w:rFonts w:ascii="Arial Narrow" w:hAnsi="Arial Narrow" w:cs="Calibri"/>
                <w:b/>
                <w:bCs/>
                <w:color w:val="000000"/>
                <w:sz w:val="20"/>
                <w:szCs w:val="20"/>
                <w:vertAlign w:val="superscript"/>
              </w:rPr>
            </w:pPr>
            <w:r w:rsidRPr="00FA739A">
              <w:rPr>
                <w:rFonts w:ascii="Arial Narrow" w:hAnsi="Arial Narrow" w:cs="Calibri"/>
                <w:b/>
                <w:bCs/>
                <w:color w:val="000000"/>
                <w:sz w:val="20"/>
                <w:szCs w:val="20"/>
              </w:rPr>
              <w:t>$</w:t>
            </w:r>
            <w:r w:rsidR="00AB6780">
              <w:rPr>
                <w:rFonts w:ascii="Arial Narrow" w:hAnsi="Arial Narrow" w:cs="Calibri"/>
                <w:b/>
                <w:bCs/>
                <w:noProof/>
                <w:color w:val="000000"/>
                <w:sz w:val="20"/>
                <w:szCs w:val="20"/>
                <w:highlight w:val="black"/>
              </w:rPr>
              <w:t>'''''''''''''''</w:t>
            </w:r>
          </w:p>
        </w:tc>
      </w:tr>
      <w:tr w:rsidR="00990E29" w:rsidRPr="00FA739A" w:rsidTr="00FF18C9">
        <w:tc>
          <w:tcPr>
            <w:tcW w:w="9016" w:type="dxa"/>
            <w:gridSpan w:val="4"/>
            <w:tcBorders>
              <w:top w:val="single" w:sz="4" w:space="0" w:color="auto"/>
              <w:left w:val="single" w:sz="4" w:space="0" w:color="auto"/>
              <w:bottom w:val="single" w:sz="4" w:space="0" w:color="auto"/>
              <w:right w:val="single" w:sz="4" w:space="0" w:color="auto"/>
            </w:tcBorders>
          </w:tcPr>
          <w:p w:rsidR="00990E29" w:rsidRPr="00FA739A" w:rsidRDefault="00FF18C9" w:rsidP="00990E29">
            <w:pPr>
              <w:keepNext/>
              <w:jc w:val="left"/>
              <w:rPr>
                <w:rFonts w:ascii="Arial Narrow" w:hAnsi="Arial Narrow" w:cs="Calibri"/>
                <w:b/>
                <w:bCs/>
                <w:color w:val="000000"/>
                <w:sz w:val="20"/>
                <w:szCs w:val="20"/>
              </w:rPr>
            </w:pPr>
            <w:r w:rsidRPr="00FA739A">
              <w:rPr>
                <w:rFonts w:ascii="Arial Narrow" w:hAnsi="Arial Narrow" w:cs="Calibri"/>
                <w:b/>
                <w:bCs/>
                <w:color w:val="000000"/>
                <w:sz w:val="20"/>
                <w:szCs w:val="20"/>
              </w:rPr>
              <w:t xml:space="preserve">Step 2: </w:t>
            </w:r>
            <w:r w:rsidR="00990E29" w:rsidRPr="00FA739A">
              <w:rPr>
                <w:rFonts w:ascii="Arial Narrow" w:hAnsi="Arial Narrow" w:cs="Calibri"/>
                <w:b/>
                <w:bCs/>
                <w:color w:val="000000"/>
                <w:sz w:val="20"/>
                <w:szCs w:val="20"/>
              </w:rPr>
              <w:t>Price of ribociclib required for cost-minimisation (no net difference in total cost per cycle)</w:t>
            </w:r>
          </w:p>
        </w:tc>
      </w:tr>
      <w:tr w:rsidR="00990E29" w:rsidRPr="00FA739A" w:rsidTr="00FF18C9">
        <w:tc>
          <w:tcPr>
            <w:tcW w:w="2971" w:type="dxa"/>
            <w:tcBorders>
              <w:top w:val="single" w:sz="4" w:space="0" w:color="auto"/>
              <w:left w:val="single" w:sz="4" w:space="0" w:color="auto"/>
              <w:bottom w:val="single" w:sz="4" w:space="0" w:color="auto"/>
              <w:right w:val="single" w:sz="4" w:space="0" w:color="auto"/>
            </w:tcBorders>
          </w:tcPr>
          <w:p w:rsidR="00990E29" w:rsidRPr="00FA739A" w:rsidRDefault="00990E29" w:rsidP="00990E29">
            <w:pPr>
              <w:keepNext/>
              <w:jc w:val="left"/>
              <w:rPr>
                <w:rFonts w:ascii="Arial Narrow" w:eastAsiaTheme="majorEastAsia" w:hAnsi="Arial Narrow" w:cstheme="majorBidi"/>
                <w:bCs/>
                <w:sz w:val="20"/>
              </w:rPr>
            </w:pPr>
            <w:r w:rsidRPr="00466DBE">
              <w:rPr>
                <w:rFonts w:ascii="Arial Narrow" w:eastAsiaTheme="majorEastAsia" w:hAnsi="Arial Narrow"/>
                <w:sz w:val="20"/>
              </w:rPr>
              <w:t>Ribociclib, AEMP (proposed)</w:t>
            </w:r>
          </w:p>
        </w:tc>
        <w:tc>
          <w:tcPr>
            <w:tcW w:w="2126" w:type="dxa"/>
            <w:tcBorders>
              <w:top w:val="single" w:sz="4" w:space="0" w:color="auto"/>
              <w:left w:val="nil"/>
              <w:bottom w:val="single" w:sz="4" w:space="0" w:color="auto"/>
              <w:right w:val="single" w:sz="4" w:space="0" w:color="auto"/>
            </w:tcBorders>
            <w:vAlign w:val="bottom"/>
          </w:tcPr>
          <w:p w:rsidR="00990E29" w:rsidRPr="00FA739A" w:rsidRDefault="00990E29" w:rsidP="00100850">
            <w:pPr>
              <w:keepNext/>
              <w:jc w:val="center"/>
              <w:rPr>
                <w:rFonts w:ascii="Arial Narrow" w:hAnsi="Arial Narrow" w:cs="Calibri"/>
                <w:b/>
                <w:bCs/>
                <w:color w:val="000000"/>
                <w:sz w:val="20"/>
                <w:szCs w:val="20"/>
                <w:vertAlign w:val="superscript"/>
              </w:rPr>
            </w:pPr>
            <w:r w:rsidRPr="00FA739A">
              <w:rPr>
                <w:rFonts w:ascii="Arial Narrow" w:hAnsi="Arial Narrow" w:cs="Calibri"/>
                <w:b/>
                <w:color w:val="000000"/>
                <w:sz w:val="20"/>
                <w:szCs w:val="20"/>
              </w:rPr>
              <w:t>$</w:t>
            </w:r>
            <w:r w:rsidR="00AB6780">
              <w:rPr>
                <w:rFonts w:ascii="Arial Narrow" w:hAnsi="Arial Narrow" w:cs="Calibri"/>
                <w:b/>
                <w:noProof/>
                <w:color w:val="000000"/>
                <w:sz w:val="20"/>
                <w:szCs w:val="20"/>
                <w:highlight w:val="black"/>
              </w:rPr>
              <w:t>'''''''''''''''''</w:t>
            </w:r>
          </w:p>
        </w:tc>
        <w:tc>
          <w:tcPr>
            <w:tcW w:w="1985" w:type="dxa"/>
            <w:tcBorders>
              <w:top w:val="single" w:sz="4" w:space="0" w:color="auto"/>
              <w:left w:val="nil"/>
              <w:bottom w:val="single" w:sz="4" w:space="0" w:color="auto"/>
              <w:right w:val="single" w:sz="4" w:space="0" w:color="auto"/>
            </w:tcBorders>
            <w:vAlign w:val="center"/>
          </w:tcPr>
          <w:p w:rsidR="00990E29" w:rsidRPr="00FA739A" w:rsidRDefault="00990E29" w:rsidP="00990E29">
            <w:pPr>
              <w:keepNext/>
              <w:jc w:val="center"/>
              <w:rPr>
                <w:rFonts w:ascii="Arial Narrow" w:hAnsi="Arial Narrow" w:cs="Calibri"/>
                <w:b/>
                <w:bCs/>
                <w:color w:val="000000"/>
                <w:sz w:val="20"/>
                <w:szCs w:val="20"/>
              </w:rPr>
            </w:pPr>
          </w:p>
        </w:tc>
        <w:tc>
          <w:tcPr>
            <w:tcW w:w="1934" w:type="dxa"/>
            <w:tcBorders>
              <w:top w:val="single" w:sz="4" w:space="0" w:color="auto"/>
              <w:left w:val="nil"/>
              <w:bottom w:val="single" w:sz="4" w:space="0" w:color="auto"/>
              <w:right w:val="single" w:sz="4" w:space="0" w:color="auto"/>
            </w:tcBorders>
            <w:vAlign w:val="bottom"/>
          </w:tcPr>
          <w:p w:rsidR="00990E29" w:rsidRPr="00FA739A" w:rsidRDefault="00990E29" w:rsidP="00990E29">
            <w:pPr>
              <w:keepNext/>
              <w:jc w:val="center"/>
              <w:rPr>
                <w:rFonts w:ascii="Arial Narrow" w:hAnsi="Arial Narrow" w:cs="Calibri"/>
                <w:b/>
                <w:bCs/>
                <w:color w:val="000000"/>
                <w:sz w:val="20"/>
                <w:szCs w:val="20"/>
              </w:rPr>
            </w:pPr>
          </w:p>
        </w:tc>
      </w:tr>
    </w:tbl>
    <w:p w:rsidR="00990E29" w:rsidRPr="00FA739A" w:rsidRDefault="00990E29" w:rsidP="00990E29">
      <w:pPr>
        <w:spacing w:after="120"/>
        <w:contextualSpacing/>
        <w:rPr>
          <w:rFonts w:ascii="Arial Narrow" w:hAnsi="Arial Narrow" w:cs="Arial"/>
          <w:snapToGrid w:val="0"/>
          <w:sz w:val="18"/>
          <w:szCs w:val="22"/>
        </w:rPr>
      </w:pPr>
      <w:r w:rsidRPr="00FA739A">
        <w:rPr>
          <w:rFonts w:ascii="Arial Narrow" w:hAnsi="Arial Narrow" w:cs="Arial"/>
          <w:snapToGrid w:val="0"/>
          <w:sz w:val="18"/>
          <w:szCs w:val="22"/>
        </w:rPr>
        <w:t xml:space="preserve">Source: Table 3-6, p185 of the submission. </w:t>
      </w:r>
      <w:r w:rsidRPr="00FA739A">
        <w:rPr>
          <w:rFonts w:ascii="Arial Narrow" w:hAnsi="Arial Narrow" w:cs="Arial"/>
          <w:iCs/>
          <w:snapToGrid w:val="0"/>
          <w:sz w:val="18"/>
          <w:szCs w:val="22"/>
        </w:rPr>
        <w:t>Italicised values calculated during the evaluation to correct the price of fulvestrant</w:t>
      </w:r>
      <w:r w:rsidRPr="00FA739A">
        <w:rPr>
          <w:rFonts w:ascii="Arial Narrow" w:hAnsi="Arial Narrow" w:cs="Arial"/>
          <w:snapToGrid w:val="0"/>
          <w:sz w:val="18"/>
          <w:szCs w:val="22"/>
        </w:rPr>
        <w:t>.</w:t>
      </w:r>
    </w:p>
    <w:p w:rsidR="00990E29" w:rsidRPr="00FA739A" w:rsidRDefault="00990E29" w:rsidP="007D6B49">
      <w:pPr>
        <w:spacing w:after="240"/>
        <w:contextualSpacing/>
        <w:rPr>
          <w:rFonts w:ascii="Arial Narrow" w:hAnsi="Arial Narrow" w:cs="Arial"/>
          <w:snapToGrid w:val="0"/>
          <w:sz w:val="18"/>
          <w:szCs w:val="22"/>
        </w:rPr>
      </w:pPr>
      <w:r w:rsidRPr="00FA739A">
        <w:rPr>
          <w:rFonts w:ascii="Arial Narrow" w:hAnsi="Arial Narrow" w:cs="Arial"/>
          <w:snapToGrid w:val="0"/>
          <w:sz w:val="18"/>
          <w:szCs w:val="22"/>
        </w:rPr>
        <w:t>RIBO+FULV = ribociclib + fulvestrant; RIBO+NSAI = ribociclib + non-steroidal aromatase inhibitor.</w:t>
      </w:r>
    </w:p>
    <w:p w:rsidR="00990E29" w:rsidRPr="00FA739A" w:rsidRDefault="00D547D9" w:rsidP="007D6B49">
      <w:pPr>
        <w:pStyle w:val="3Bodytext"/>
        <w:jc w:val="both"/>
      </w:pPr>
      <w:r w:rsidRPr="00FA739A">
        <w:lastRenderedPageBreak/>
        <w:t>If the ribociclib price were the same as in the existing listing, t</w:t>
      </w:r>
      <w:r w:rsidR="00990E29" w:rsidRPr="00FA739A">
        <w:t xml:space="preserve">he treatment cost of RIBO+FULV </w:t>
      </w:r>
      <w:r w:rsidRPr="00FA739A">
        <w:t>would</w:t>
      </w:r>
      <w:r w:rsidR="00990E29" w:rsidRPr="00FA739A">
        <w:t xml:space="preserve"> be $</w:t>
      </w:r>
      <w:r w:rsidR="00AB6780">
        <w:rPr>
          <w:noProof/>
          <w:color w:val="000000"/>
          <w:highlight w:val="black"/>
        </w:rPr>
        <w:t>'''''''''''''</w:t>
      </w:r>
      <w:r w:rsidR="00990E29" w:rsidRPr="00FA739A">
        <w:t xml:space="preserve"> higher than RIBO+NSAI (per 28-day cycle) </w:t>
      </w:r>
      <w:r w:rsidRPr="00FA739A">
        <w:t xml:space="preserve">due to fulvestrant having a higher price than </w:t>
      </w:r>
      <w:r w:rsidR="0031132A" w:rsidRPr="00FA739A">
        <w:t xml:space="preserve">the </w:t>
      </w:r>
      <w:r w:rsidRPr="00FA739A">
        <w:t>NSAI</w:t>
      </w:r>
      <w:r w:rsidR="0031132A" w:rsidRPr="00FA739A">
        <w:t>s</w:t>
      </w:r>
      <w:r w:rsidRPr="00FA739A">
        <w:t>.</w:t>
      </w:r>
      <w:r w:rsidR="00990E29" w:rsidRPr="00FA739A">
        <w:t xml:space="preserve"> </w:t>
      </w:r>
      <w:r w:rsidRPr="00FA739A">
        <w:t xml:space="preserve">Thus, </w:t>
      </w:r>
      <w:r w:rsidR="00990E29" w:rsidRPr="00FA739A">
        <w:t>a lower price is required for ribociclib when used in combination with fulvestrant than the current price in combination with an NSAI. As such, the proposed effective AEMP for ribociclib 600 mg dose in this setting was $</w:t>
      </w:r>
      <w:r w:rsidR="00AB6780">
        <w:rPr>
          <w:noProof/>
          <w:color w:val="000000"/>
          <w:highlight w:val="black"/>
        </w:rPr>
        <w:t>''''''''''''''''''</w:t>
      </w:r>
      <w:r w:rsidRPr="00FA739A">
        <w:t xml:space="preserve">, which is </w:t>
      </w:r>
      <w:r w:rsidR="00A23268" w:rsidRPr="00FA739A">
        <w:rPr>
          <w:rFonts w:cstheme="minorHAnsi"/>
          <w:szCs w:val="24"/>
        </w:rPr>
        <w:t>22% lower than the ribociclib price in the RIBO+NSAI combination.</w:t>
      </w:r>
    </w:p>
    <w:p w:rsidR="008007A2" w:rsidRPr="00FA739A" w:rsidRDefault="00A23268" w:rsidP="00090640">
      <w:pPr>
        <w:pStyle w:val="3-BodyText"/>
        <w:numPr>
          <w:ilvl w:val="1"/>
          <w:numId w:val="1"/>
        </w:numPr>
      </w:pPr>
      <w:r w:rsidRPr="00FA739A">
        <w:t xml:space="preserve">The cost-minimisation analysis was based on the current AEMP of ribociclib (in its current listing for use in combination with NSAI). </w:t>
      </w:r>
      <w:r w:rsidR="008007A2" w:rsidRPr="00FA739A">
        <w:t>In July 2020</w:t>
      </w:r>
      <w:r w:rsidRPr="00FA739A">
        <w:t>,</w:t>
      </w:r>
      <w:r w:rsidR="008007A2" w:rsidRPr="00FA739A">
        <w:t xml:space="preserve"> the PBAC noted that</w:t>
      </w:r>
      <w:r w:rsidRPr="00FA739A">
        <w:t>, at the time of recommending ribociclib</w:t>
      </w:r>
      <w:r w:rsidR="00A55677" w:rsidRPr="00FA739A">
        <w:t xml:space="preserve"> for use in combination with an NSAI</w:t>
      </w:r>
      <w:r w:rsidRPr="00FA739A">
        <w:t>,</w:t>
      </w:r>
      <w:r w:rsidR="008007A2" w:rsidRPr="00FA739A">
        <w:t xml:space="preserve"> the CDKI caps were intended to be exceeded by 27% in order to achieve</w:t>
      </w:r>
      <w:r w:rsidRPr="00FA739A">
        <w:t xml:space="preserve"> a</w:t>
      </w:r>
      <w:r w:rsidR="008007A2" w:rsidRPr="00FA739A">
        <w:t xml:space="preserve"> cost-effective net cost as per the RIBO+NSAI submission. The PBAC noted that these caps are not currently being reached and therefore the cost-effectiveness of ribociclib (and other CDKIs) in the current listing is uncertain. Given the highly uncertain patient numbers for the proposed new listing, the PBAC considered that the AEMP in the first-line setting (which was cost-minimised against RIBO+NSAI) should be based on the intended cost-effective price for the existing listing of ribociclib (i.e. the effective net cost that was intended for ribociclib including both the effective price and the intended RSA rebate for breaching the subsidisation caps) (paragraph 7.24</w:t>
      </w:r>
      <w:r w:rsidR="00D81DEE" w:rsidRPr="00FA739A">
        <w:t xml:space="preserve">, ribociclib PSD, </w:t>
      </w:r>
      <w:r w:rsidR="008007A2" w:rsidRPr="00FA739A">
        <w:t>July 2020 PBAC meeting).</w:t>
      </w:r>
      <w:r w:rsidR="00CD480B" w:rsidRPr="00FA739A">
        <w:t xml:space="preserve"> The PBAC noted that the most recent data, up to the end of year 2 of the caps, indicate that the current CDKI caps reached 95.5% in year 2 and</w:t>
      </w:r>
      <w:r w:rsidR="00317DC4" w:rsidRPr="00FA739A">
        <w:t xml:space="preserve"> the resubmission stated that</w:t>
      </w:r>
      <w:r w:rsidR="00CD480B" w:rsidRPr="00FA739A">
        <w:t xml:space="preserve"> it is expected that</w:t>
      </w:r>
      <w:r w:rsidR="00317DC4" w:rsidRPr="00FA739A">
        <w:t xml:space="preserve"> the</w:t>
      </w:r>
      <w:r w:rsidR="00CD480B" w:rsidRPr="00FA739A">
        <w:t xml:space="preserve"> caps will be exceeded in years 3-5. </w:t>
      </w:r>
    </w:p>
    <w:p w:rsidR="0059469B" w:rsidRPr="00FA739A" w:rsidRDefault="003A7842" w:rsidP="00090640">
      <w:pPr>
        <w:pStyle w:val="3-BodyText"/>
        <w:numPr>
          <w:ilvl w:val="1"/>
          <w:numId w:val="1"/>
        </w:numPr>
      </w:pPr>
      <w:r w:rsidRPr="00FA739A">
        <w:t xml:space="preserve">The resubmission noted that </w:t>
      </w:r>
      <w:r w:rsidRPr="00FA739A">
        <w:rPr>
          <w:rFonts w:cstheme="minorHAnsi"/>
        </w:rPr>
        <w:t xml:space="preserve">during negotiations, the AEMP was reduced </w:t>
      </w:r>
      <w:r w:rsidR="00B4296E" w:rsidRPr="00FA739A">
        <w:rPr>
          <w:rFonts w:cstheme="minorHAnsi"/>
        </w:rPr>
        <w:t xml:space="preserve">thus reducing the proportion by which the caps were </w:t>
      </w:r>
      <w:r w:rsidR="00A23268" w:rsidRPr="00FA739A">
        <w:rPr>
          <w:rFonts w:cstheme="minorHAnsi"/>
        </w:rPr>
        <w:t>intended</w:t>
      </w:r>
      <w:r w:rsidR="00B4296E" w:rsidRPr="00FA739A">
        <w:rPr>
          <w:rFonts w:cstheme="minorHAnsi"/>
        </w:rPr>
        <w:t xml:space="preserve"> to be exceeded from </w:t>
      </w:r>
      <w:r w:rsidRPr="00FA739A">
        <w:rPr>
          <w:rFonts w:cstheme="minorHAnsi"/>
        </w:rPr>
        <w:t xml:space="preserve">27% to 21.9%. </w:t>
      </w:r>
      <w:r w:rsidR="0059469B" w:rsidRPr="00FA739A">
        <w:t xml:space="preserve">The resubmission maintained </w:t>
      </w:r>
      <w:r w:rsidR="006A7C2B" w:rsidRPr="00FA739A">
        <w:t xml:space="preserve">the previously proposed ribociclib </w:t>
      </w:r>
      <w:r w:rsidR="0059469B" w:rsidRPr="00FA739A">
        <w:t>AEMP of $</w:t>
      </w:r>
      <w:r w:rsidR="00AB6780">
        <w:rPr>
          <w:noProof/>
          <w:color w:val="000000"/>
          <w:highlight w:val="black"/>
        </w:rPr>
        <w:t>'''''''''''</w:t>
      </w:r>
      <w:r w:rsidR="0059469B" w:rsidRPr="00FA739A">
        <w:t xml:space="preserve"> for the following reasons: </w:t>
      </w:r>
    </w:p>
    <w:p w:rsidR="003A7842" w:rsidRPr="00FA739A" w:rsidRDefault="008007A2" w:rsidP="00322A93">
      <w:pPr>
        <w:pStyle w:val="3-BodyText"/>
        <w:numPr>
          <w:ilvl w:val="2"/>
          <w:numId w:val="1"/>
        </w:numPr>
        <w:ind w:left="1077" w:hanging="357"/>
      </w:pPr>
      <w:r w:rsidRPr="00FA739A">
        <w:rPr>
          <w:rFonts w:cstheme="minorHAnsi"/>
        </w:rPr>
        <w:t xml:space="preserve">The resubmission </w:t>
      </w:r>
      <w:r w:rsidR="00D547D9" w:rsidRPr="00FA739A">
        <w:rPr>
          <w:rFonts w:cstheme="minorHAnsi"/>
        </w:rPr>
        <w:t xml:space="preserve">stated that </w:t>
      </w:r>
      <w:r w:rsidR="00402441" w:rsidRPr="00FA739A">
        <w:rPr>
          <w:rFonts w:cstheme="minorHAnsi"/>
        </w:rPr>
        <w:t xml:space="preserve">the reduction in the effective price and the RSA for the RIBO+NSAI submission </w:t>
      </w:r>
      <w:r w:rsidRPr="00FA739A">
        <w:rPr>
          <w:rFonts w:cstheme="minorHAnsi"/>
        </w:rPr>
        <w:t>was to address concerns around the immature OS for the MONALEESA</w:t>
      </w:r>
      <w:r w:rsidR="001D124F" w:rsidRPr="00FA739A">
        <w:rPr>
          <w:rFonts w:cstheme="minorHAnsi"/>
        </w:rPr>
        <w:t>-</w:t>
      </w:r>
      <w:r w:rsidRPr="00FA739A">
        <w:rPr>
          <w:rFonts w:cstheme="minorHAnsi"/>
        </w:rPr>
        <w:t>2 data</w:t>
      </w:r>
      <w:r w:rsidR="00402441" w:rsidRPr="00FA739A">
        <w:rPr>
          <w:rFonts w:cstheme="minorHAnsi"/>
        </w:rPr>
        <w:t xml:space="preserve">. The </w:t>
      </w:r>
      <w:r w:rsidR="0059469B" w:rsidRPr="00FA739A">
        <w:rPr>
          <w:rFonts w:cstheme="minorHAnsi"/>
        </w:rPr>
        <w:t>re</w:t>
      </w:r>
      <w:r w:rsidR="00402441" w:rsidRPr="00FA739A">
        <w:rPr>
          <w:rFonts w:cstheme="minorHAnsi"/>
        </w:rPr>
        <w:t xml:space="preserve">submission noted that, since this time, statistically significant overall survival gain has been reported for pre-menopausal patients in the pivotal MONALEESA-7 study. The </w:t>
      </w:r>
      <w:r w:rsidR="0059469B" w:rsidRPr="00FA739A">
        <w:rPr>
          <w:rFonts w:cstheme="minorHAnsi"/>
        </w:rPr>
        <w:t>re</w:t>
      </w:r>
      <w:r w:rsidR="00402441" w:rsidRPr="00FA739A">
        <w:rPr>
          <w:rFonts w:cstheme="minorHAnsi"/>
        </w:rPr>
        <w:t xml:space="preserve">submission also argued that </w:t>
      </w:r>
      <w:r w:rsidR="0059469B" w:rsidRPr="00FA739A">
        <w:rPr>
          <w:rFonts w:cstheme="minorHAnsi"/>
        </w:rPr>
        <w:t xml:space="preserve">this is not the case with the current submission, which is based on the MONALEESA-3 data wherein the secondary endpoint of </w:t>
      </w:r>
      <w:r w:rsidR="00B002E3" w:rsidRPr="00FA739A">
        <w:rPr>
          <w:rFonts w:cstheme="minorHAnsi"/>
        </w:rPr>
        <w:t>OS</w:t>
      </w:r>
      <w:r w:rsidR="0059469B" w:rsidRPr="00FA739A">
        <w:rPr>
          <w:rFonts w:cstheme="minorHAnsi"/>
        </w:rPr>
        <w:t xml:space="preserve"> was met.</w:t>
      </w:r>
      <w:r w:rsidR="00D547D9" w:rsidRPr="00FA739A">
        <w:rPr>
          <w:rFonts w:cstheme="minorHAnsi"/>
        </w:rPr>
        <w:t xml:space="preserve"> </w:t>
      </w:r>
    </w:p>
    <w:p w:rsidR="0059469B" w:rsidRPr="00FA739A" w:rsidRDefault="0059469B" w:rsidP="00322A93">
      <w:pPr>
        <w:pStyle w:val="3-BodyText"/>
        <w:numPr>
          <w:ilvl w:val="2"/>
          <w:numId w:val="1"/>
        </w:numPr>
        <w:ind w:left="1077" w:hanging="357"/>
      </w:pPr>
      <w:r w:rsidRPr="00FA739A">
        <w:rPr>
          <w:rFonts w:cstheme="minorHAnsi"/>
        </w:rPr>
        <w:t>The resubmission noted that although caps were not reached in the first two years of listing the financial caps are expected to</w:t>
      </w:r>
      <w:r w:rsidR="00D547D9" w:rsidRPr="00FA739A">
        <w:rPr>
          <w:rFonts w:cstheme="minorHAnsi"/>
        </w:rPr>
        <w:t xml:space="preserve"> be</w:t>
      </w:r>
      <w:r w:rsidRPr="00FA739A">
        <w:rPr>
          <w:rFonts w:cstheme="minorHAnsi"/>
        </w:rPr>
        <w:t xml:space="preserve"> breach</w:t>
      </w:r>
      <w:r w:rsidR="00D547D9" w:rsidRPr="00FA739A">
        <w:rPr>
          <w:rFonts w:cstheme="minorHAnsi"/>
        </w:rPr>
        <w:t>ed</w:t>
      </w:r>
      <w:r w:rsidRPr="00FA739A">
        <w:rPr>
          <w:rFonts w:cstheme="minorHAnsi"/>
        </w:rPr>
        <w:t xml:space="preserve"> in years 3, 4 and 5 due to increased utilisation due to market growth from listing of palbociclib and abemaciclib.</w:t>
      </w:r>
    </w:p>
    <w:p w:rsidR="003A7842" w:rsidRPr="00FA739A" w:rsidRDefault="003A7842" w:rsidP="007D6B49">
      <w:pPr>
        <w:pStyle w:val="3Bodytext"/>
        <w:jc w:val="both"/>
      </w:pPr>
      <w:r w:rsidRPr="00FA739A">
        <w:t xml:space="preserve">The resubmission presented the following figure showing the increase in the CDK 4/6 inhibitor market. </w:t>
      </w:r>
    </w:p>
    <w:p w:rsidR="003A7842" w:rsidRPr="00FA739A" w:rsidRDefault="00141138" w:rsidP="003A7842">
      <w:pPr>
        <w:pStyle w:val="TableFigureHeading"/>
      </w:pPr>
      <w:r w:rsidRPr="00FA739A">
        <w:rPr>
          <w:rStyle w:val="CommentReference"/>
          <w:sz w:val="20"/>
          <w:szCs w:val="24"/>
        </w:rPr>
        <w:lastRenderedPageBreak/>
        <w:t xml:space="preserve">Figure </w:t>
      </w:r>
      <w:r w:rsidR="008F28E9" w:rsidRPr="00466DBE">
        <w:rPr>
          <w:rStyle w:val="CommentReference"/>
          <w:sz w:val="20"/>
          <w:szCs w:val="24"/>
        </w:rPr>
        <w:t>1</w:t>
      </w:r>
      <w:r w:rsidRPr="00FA739A">
        <w:rPr>
          <w:rStyle w:val="CommentReference"/>
          <w:sz w:val="20"/>
          <w:szCs w:val="24"/>
        </w:rPr>
        <w:t>:</w:t>
      </w:r>
      <w:r w:rsidR="003A7842" w:rsidRPr="00FA739A">
        <w:tab/>
        <w:t>PBS Benefits data processed from July 2018 – June 2020</w:t>
      </w:r>
    </w:p>
    <w:p w:rsidR="003A7842" w:rsidRPr="00FA739A" w:rsidRDefault="003A7842" w:rsidP="007D6B49">
      <w:pPr>
        <w:pStyle w:val="3Bodytext"/>
        <w:numPr>
          <w:ilvl w:val="0"/>
          <w:numId w:val="0"/>
        </w:numPr>
        <w:ind w:left="720" w:hanging="720"/>
        <w:rPr>
          <w:rFonts w:cstheme="minorHAnsi"/>
        </w:rPr>
      </w:pPr>
      <w:r w:rsidRPr="005D167A">
        <w:rPr>
          <w:noProof/>
        </w:rPr>
        <w:drawing>
          <wp:inline distT="0" distB="0" distL="0" distR="0" wp14:anchorId="09AC21FC" wp14:editId="41B1B54E">
            <wp:extent cx="5547360" cy="2743200"/>
            <wp:effectExtent l="0" t="0" r="15240" b="0"/>
            <wp:docPr id="10" name="Chart 10" title="Figure 1: PBS Benefits data processed from July 2018 – June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1138" w:rsidRPr="00FA739A" w:rsidRDefault="00B4296E" w:rsidP="007D6B49">
      <w:pPr>
        <w:pStyle w:val="3Bodytext"/>
        <w:numPr>
          <w:ilvl w:val="0"/>
          <w:numId w:val="0"/>
        </w:numPr>
        <w:spacing w:after="240"/>
        <w:rPr>
          <w:rFonts w:ascii="Arial Narrow" w:hAnsi="Arial Narrow" w:cstheme="minorHAnsi"/>
          <w:sz w:val="18"/>
          <w:szCs w:val="18"/>
        </w:rPr>
      </w:pPr>
      <w:r w:rsidRPr="00FA739A">
        <w:rPr>
          <w:rFonts w:ascii="Arial Narrow" w:hAnsi="Arial Narrow" w:cstheme="minorHAnsi"/>
          <w:sz w:val="18"/>
          <w:szCs w:val="18"/>
        </w:rPr>
        <w:t>Source: Figure 1, p5 of the resubmission.</w:t>
      </w:r>
    </w:p>
    <w:p w:rsidR="0031132A" w:rsidRPr="00FA739A" w:rsidRDefault="00A55677" w:rsidP="007D6B49">
      <w:pPr>
        <w:pStyle w:val="3Bodytext"/>
        <w:jc w:val="both"/>
      </w:pPr>
      <w:r w:rsidRPr="00FA739A">
        <w:rPr>
          <w:rFonts w:cstheme="minorHAnsi"/>
          <w:szCs w:val="24"/>
        </w:rPr>
        <w:t>The PBAC noted</w:t>
      </w:r>
      <w:r w:rsidR="001933D9" w:rsidRPr="00FA739A">
        <w:rPr>
          <w:rFonts w:cstheme="minorHAnsi"/>
          <w:szCs w:val="24"/>
        </w:rPr>
        <w:t xml:space="preserve"> that the requested ribociclib price</w:t>
      </w:r>
      <w:r w:rsidRPr="00FA739A">
        <w:rPr>
          <w:rFonts w:cstheme="minorHAnsi"/>
          <w:szCs w:val="24"/>
        </w:rPr>
        <w:t xml:space="preserve"> is not consistent with the intended cost-effective price for the existing listing of ribociclib </w:t>
      </w:r>
      <w:r w:rsidR="001933D9" w:rsidRPr="00FA739A">
        <w:rPr>
          <w:rFonts w:cstheme="minorHAnsi"/>
          <w:szCs w:val="24"/>
        </w:rPr>
        <w:t>when</w:t>
      </w:r>
      <w:r w:rsidRPr="00FA739A">
        <w:rPr>
          <w:rFonts w:cstheme="minorHAnsi"/>
          <w:szCs w:val="24"/>
        </w:rPr>
        <w:t xml:space="preserve"> the cost of concomitant therapies are taken into account</w:t>
      </w:r>
      <w:r w:rsidR="001933D9" w:rsidRPr="00FA739A">
        <w:rPr>
          <w:rFonts w:cstheme="minorHAnsi"/>
          <w:szCs w:val="24"/>
        </w:rPr>
        <w:t>. However, t</w:t>
      </w:r>
      <w:r w:rsidR="004B2A9B" w:rsidRPr="00FA739A">
        <w:t xml:space="preserve">he </w:t>
      </w:r>
      <w:r w:rsidRPr="00FA739A">
        <w:t xml:space="preserve">PBAC </w:t>
      </w:r>
      <w:r w:rsidR="004B2A9B" w:rsidRPr="00FA739A">
        <w:t>note</w:t>
      </w:r>
      <w:r w:rsidR="001D124F" w:rsidRPr="00FA739A">
        <w:t>d</w:t>
      </w:r>
      <w:r w:rsidR="004B2A9B" w:rsidRPr="00FA739A">
        <w:t xml:space="preserve"> that the requested price of ribociclib is 22% lower than in the existing listing. Thus, based on the ribociclib component alone (i.e. without taking into account the cost of fulvestrant</w:t>
      </w:r>
      <w:r w:rsidR="006A7C2B" w:rsidRPr="00FA739A">
        <w:t xml:space="preserve"> or an NSAI</w:t>
      </w:r>
      <w:r w:rsidR="004B2A9B" w:rsidRPr="00FA739A">
        <w:t xml:space="preserve">), </w:t>
      </w:r>
      <w:r w:rsidR="006A7C2B" w:rsidRPr="00FA739A">
        <w:t>the proposed</w:t>
      </w:r>
      <w:r w:rsidR="004B2A9B" w:rsidRPr="00FA739A">
        <w:t xml:space="preserve"> </w:t>
      </w:r>
      <w:r w:rsidR="004B2A9B" w:rsidRPr="00FA739A">
        <w:rPr>
          <w:rFonts w:cstheme="minorHAnsi"/>
          <w:szCs w:val="24"/>
        </w:rPr>
        <w:t xml:space="preserve">AEMP in the first-line setting </w:t>
      </w:r>
      <w:r w:rsidRPr="00FA739A">
        <w:rPr>
          <w:rFonts w:cstheme="minorHAnsi"/>
          <w:szCs w:val="24"/>
        </w:rPr>
        <w:t>is</w:t>
      </w:r>
      <w:r w:rsidR="004B2A9B" w:rsidRPr="00FA739A">
        <w:rPr>
          <w:rFonts w:cstheme="minorHAnsi"/>
          <w:szCs w:val="24"/>
        </w:rPr>
        <w:t xml:space="preserve"> </w:t>
      </w:r>
      <w:r w:rsidR="006A7C2B" w:rsidRPr="00FA739A">
        <w:rPr>
          <w:rFonts w:cstheme="minorHAnsi"/>
          <w:szCs w:val="24"/>
        </w:rPr>
        <w:t>consistent with</w:t>
      </w:r>
      <w:r w:rsidR="004B2A9B" w:rsidRPr="00FA739A">
        <w:rPr>
          <w:rFonts w:cstheme="minorHAnsi"/>
          <w:szCs w:val="24"/>
        </w:rPr>
        <w:t xml:space="preserve"> the </w:t>
      </w:r>
      <w:r w:rsidR="006A7C2B" w:rsidRPr="00FA739A">
        <w:rPr>
          <w:rFonts w:cstheme="minorHAnsi"/>
          <w:szCs w:val="24"/>
        </w:rPr>
        <w:t xml:space="preserve">intended cost-effective price for the existing listing of ribociclib </w:t>
      </w:r>
      <w:r w:rsidR="004B2A9B" w:rsidRPr="00FA739A">
        <w:rPr>
          <w:rFonts w:cstheme="minorHAnsi"/>
          <w:szCs w:val="24"/>
        </w:rPr>
        <w:t>(i.e. the effective net cost that was intended for ribociclib including both the effective price and the intended RSA rebate for breaching the subsidisation caps)</w:t>
      </w:r>
      <w:r w:rsidR="006A7C2B" w:rsidRPr="00FA739A">
        <w:rPr>
          <w:rFonts w:cstheme="minorHAnsi"/>
          <w:szCs w:val="24"/>
        </w:rPr>
        <w:t xml:space="preserve">. </w:t>
      </w:r>
    </w:p>
    <w:p w:rsidR="0059469B" w:rsidRPr="00FA739A" w:rsidRDefault="0059469B" w:rsidP="007D6B49">
      <w:pPr>
        <w:pStyle w:val="3Bodytext"/>
        <w:numPr>
          <w:ilvl w:val="0"/>
          <w:numId w:val="0"/>
        </w:numPr>
        <w:spacing w:before="240"/>
        <w:outlineLvl w:val="2"/>
        <w:rPr>
          <w:rFonts w:cstheme="minorHAnsi"/>
          <w:b/>
          <w:i/>
          <w:szCs w:val="24"/>
        </w:rPr>
      </w:pPr>
      <w:r w:rsidRPr="00FA739A">
        <w:rPr>
          <w:rFonts w:cstheme="minorHAnsi"/>
          <w:b/>
          <w:i/>
          <w:szCs w:val="24"/>
        </w:rPr>
        <w:t>Second/subsequent line</w:t>
      </w:r>
    </w:p>
    <w:p w:rsidR="0059469B" w:rsidRPr="00FA739A" w:rsidRDefault="0059469B" w:rsidP="006D0C9B">
      <w:pPr>
        <w:pStyle w:val="3Bodytext"/>
      </w:pPr>
      <w:r w:rsidRPr="00FA739A">
        <w:t xml:space="preserve">The July 2020 submission also presented a cost-effectiveness analysis for RIBO+FULV versus EVE+EXE in second/subsequent line treatment. The PBAC requested two changes to this model: a </w:t>
      </w:r>
      <w:r w:rsidR="00BF68C8" w:rsidRPr="00FA739A">
        <w:t>7-year</w:t>
      </w:r>
      <w:r w:rsidRPr="00FA739A">
        <w:t xml:space="preserve"> time horizon</w:t>
      </w:r>
      <w:r w:rsidR="006A7C2B" w:rsidRPr="00FA739A">
        <w:t>;</w:t>
      </w:r>
      <w:r w:rsidRPr="00FA739A">
        <w:t xml:space="preserve"> </w:t>
      </w:r>
      <w:r w:rsidRPr="00647939">
        <w:t xml:space="preserve">and </w:t>
      </w:r>
      <w:r w:rsidR="00647939" w:rsidRPr="00647939">
        <w:t>adjustment to the</w:t>
      </w:r>
      <w:r w:rsidRPr="00647939">
        <w:t xml:space="preserve"> methodology for extrapolation of survival data. The</w:t>
      </w:r>
      <w:r w:rsidRPr="00FA739A">
        <w:t xml:space="preserve"> PBAC also advised that the price should be reduced in order to achieve an ICER of &lt;</w:t>
      </w:r>
      <w:r w:rsidR="006D0C9B" w:rsidRPr="006D0C9B">
        <w:rPr>
          <w:rFonts w:cstheme="minorHAnsi"/>
          <w:szCs w:val="24"/>
        </w:rPr>
        <w:t xml:space="preserve">$55,000 to &lt; $75,000 </w:t>
      </w:r>
      <w:r w:rsidRPr="00FA739A">
        <w:t xml:space="preserve">per QALY in </w:t>
      </w:r>
      <w:r w:rsidR="006A7C2B" w:rsidRPr="00FA739A">
        <w:t>this</w:t>
      </w:r>
      <w:r w:rsidRPr="00FA739A">
        <w:t xml:space="preserve"> setting.</w:t>
      </w:r>
      <w:r w:rsidR="00C063F4" w:rsidRPr="00FA739A">
        <w:t xml:space="preserve"> This was in the context of the uncertainty that is associated with an unanchored MAIC.</w:t>
      </w:r>
    </w:p>
    <w:p w:rsidR="0059469B" w:rsidRPr="00FA739A" w:rsidRDefault="006A7C2B" w:rsidP="007D6B49">
      <w:pPr>
        <w:pStyle w:val="3Bodytext"/>
        <w:jc w:val="both"/>
        <w:rPr>
          <w:rFonts w:cstheme="minorHAnsi"/>
          <w:szCs w:val="24"/>
        </w:rPr>
      </w:pPr>
      <w:r w:rsidRPr="00FA739A">
        <w:rPr>
          <w:rFonts w:cstheme="minorHAnsi"/>
          <w:szCs w:val="24"/>
        </w:rPr>
        <w:t>T</w:t>
      </w:r>
      <w:r w:rsidR="003A7842" w:rsidRPr="00FA739A">
        <w:rPr>
          <w:rFonts w:cstheme="minorHAnsi"/>
          <w:szCs w:val="24"/>
        </w:rPr>
        <w:t xml:space="preserve">he resubmission </w:t>
      </w:r>
      <w:r w:rsidR="0059469B" w:rsidRPr="00FA739A">
        <w:rPr>
          <w:rFonts w:cstheme="minorHAnsi"/>
          <w:szCs w:val="24"/>
        </w:rPr>
        <w:t xml:space="preserve">accepted the </w:t>
      </w:r>
      <w:r w:rsidR="00BF68C8" w:rsidRPr="00FA739A">
        <w:rPr>
          <w:rFonts w:cstheme="minorHAnsi"/>
          <w:szCs w:val="24"/>
        </w:rPr>
        <w:t>7-year</w:t>
      </w:r>
      <w:r w:rsidR="0059469B" w:rsidRPr="00FA739A">
        <w:rPr>
          <w:rFonts w:cstheme="minorHAnsi"/>
          <w:szCs w:val="24"/>
        </w:rPr>
        <w:t xml:space="preserve"> time horizon in the context of </w:t>
      </w:r>
      <w:r w:rsidR="00C41ED1" w:rsidRPr="00FA739A">
        <w:rPr>
          <w:rFonts w:cstheme="minorHAnsi"/>
          <w:szCs w:val="24"/>
        </w:rPr>
        <w:t xml:space="preserve">the </w:t>
      </w:r>
      <w:r w:rsidR="0059469B" w:rsidRPr="00FA739A">
        <w:rPr>
          <w:rFonts w:cstheme="minorHAnsi"/>
          <w:szCs w:val="24"/>
        </w:rPr>
        <w:t>uncertain comparative data.</w:t>
      </w:r>
    </w:p>
    <w:p w:rsidR="00970277" w:rsidRPr="00FA739A" w:rsidRDefault="00970277" w:rsidP="007D6B49">
      <w:pPr>
        <w:pStyle w:val="3Bodytext"/>
        <w:jc w:val="both"/>
        <w:rPr>
          <w:rFonts w:cstheme="minorHAnsi"/>
          <w:szCs w:val="24"/>
        </w:rPr>
      </w:pPr>
      <w:r w:rsidRPr="00FA739A">
        <w:t>In</w:t>
      </w:r>
      <w:r w:rsidR="00C41ED1" w:rsidRPr="00FA739A">
        <w:t xml:space="preserve"> its</w:t>
      </w:r>
      <w:r w:rsidRPr="00FA739A">
        <w:t xml:space="preserve"> consideration of the July 2020 submission</w:t>
      </w:r>
      <w:r w:rsidR="00C41ED1" w:rsidRPr="00FA739A">
        <w:t>,</w:t>
      </w:r>
      <w:r w:rsidRPr="00FA739A">
        <w:t xml:space="preserve"> the PBAC noted that “PFS and OS for RIBO+FULV were extrapolated using exponential functions, and no observed trial data were applied in the model. PFS and OS for EVE+EXE were estimated by applying hazard ratios from the unanchored MAIC to PFS and OS in the RIBO+FULV arm. The PBAC considered that the extrapolation appeared to be a poor visual fit to the observed </w:t>
      </w:r>
      <w:r w:rsidRPr="00FA739A">
        <w:lastRenderedPageBreak/>
        <w:t>data, and appeared to underestimate the OS for EVE+EXE in the first 3 years of the model. The PBAC considered that the model should use observed KM data up to the time point at which the observed data becomes unreliable as a result of small numbers of patients remaining event-free.”</w:t>
      </w:r>
      <w:r w:rsidR="00141138" w:rsidRPr="00FA739A">
        <w:t xml:space="preserve"> (paragraph 7.17</w:t>
      </w:r>
      <w:r w:rsidR="00D81DEE" w:rsidRPr="00FA739A">
        <w:t xml:space="preserve">, ribociclib PSD, </w:t>
      </w:r>
      <w:r w:rsidR="00141138" w:rsidRPr="00FA739A">
        <w:t xml:space="preserve">July 2020 PBAC meeting). </w:t>
      </w:r>
      <w:r w:rsidRPr="00FA739A">
        <w:t>The evaluator’s revised extrapolations a</w:t>
      </w:r>
      <w:r w:rsidR="00141138" w:rsidRPr="00FA739A">
        <w:t xml:space="preserve">re shown in </w:t>
      </w:r>
      <w:r w:rsidR="008F28E9" w:rsidRPr="00FA739A">
        <w:t>Figure 2</w:t>
      </w:r>
      <w:r w:rsidRPr="00FA739A">
        <w:t>.</w:t>
      </w:r>
    </w:p>
    <w:p w:rsidR="00EF6FA8" w:rsidRPr="00FA739A" w:rsidRDefault="00EF6FA8" w:rsidP="00EF6FA8">
      <w:pPr>
        <w:pStyle w:val="3Bodytext"/>
        <w:jc w:val="both"/>
        <w:rPr>
          <w:rFonts w:cstheme="minorHAnsi"/>
          <w:szCs w:val="24"/>
        </w:rPr>
      </w:pPr>
      <w:r w:rsidRPr="00FA739A">
        <w:rPr>
          <w:rFonts w:cstheme="minorHAnsi"/>
          <w:szCs w:val="24"/>
        </w:rPr>
        <w:t xml:space="preserve">The </w:t>
      </w:r>
      <w:r w:rsidRPr="00FA739A">
        <w:t xml:space="preserve">minor resubmission </w:t>
      </w:r>
      <w:r w:rsidRPr="00FA739A">
        <w:rPr>
          <w:rFonts w:cstheme="minorHAnsi"/>
          <w:szCs w:val="24"/>
        </w:rPr>
        <w:t xml:space="preserve">noted that the evaluator’s </w:t>
      </w:r>
      <w:r w:rsidRPr="00FA739A">
        <w:t>approach</w:t>
      </w:r>
      <w:r w:rsidRPr="00FA739A">
        <w:rPr>
          <w:rFonts w:cstheme="minorHAnsi"/>
          <w:szCs w:val="24"/>
        </w:rPr>
        <w:t xml:space="preserve"> used </w:t>
      </w:r>
      <w:r w:rsidR="008D0512" w:rsidRPr="00FA739A">
        <w:rPr>
          <w:rFonts w:cstheme="minorHAnsi"/>
          <w:szCs w:val="24"/>
        </w:rPr>
        <w:t>Kaplan-Meier (</w:t>
      </w:r>
      <w:r w:rsidRPr="00FA739A">
        <w:rPr>
          <w:rFonts w:cstheme="minorHAnsi"/>
          <w:szCs w:val="24"/>
        </w:rPr>
        <w:t>K</w:t>
      </w:r>
      <w:r w:rsidR="008C1F01" w:rsidRPr="00FA739A">
        <w:rPr>
          <w:rFonts w:cstheme="minorHAnsi"/>
          <w:szCs w:val="24"/>
        </w:rPr>
        <w:noBreakHyphen/>
      </w:r>
      <w:r w:rsidRPr="00FA739A">
        <w:rPr>
          <w:rFonts w:cstheme="minorHAnsi"/>
          <w:szCs w:val="24"/>
        </w:rPr>
        <w:t>M</w:t>
      </w:r>
      <w:r w:rsidR="008D0512" w:rsidRPr="00FA739A">
        <w:rPr>
          <w:rFonts w:cstheme="minorHAnsi"/>
          <w:szCs w:val="24"/>
        </w:rPr>
        <w:t>)</w:t>
      </w:r>
      <w:r w:rsidRPr="00FA739A">
        <w:rPr>
          <w:rFonts w:cstheme="minorHAnsi"/>
          <w:szCs w:val="24"/>
        </w:rPr>
        <w:t xml:space="preserve"> data up to the point of median survival, whereas the PBAC recommended use of K-M data up to the point of median follow-up. </w:t>
      </w:r>
    </w:p>
    <w:p w:rsidR="006A61D9" w:rsidRPr="00FA739A" w:rsidRDefault="006A61D9">
      <w:pPr>
        <w:pStyle w:val="Caption"/>
        <w:keepNext/>
        <w:keepLines/>
        <w:spacing w:before="240" w:after="0"/>
        <w:rPr>
          <w:rStyle w:val="CommentReference"/>
          <w:rFonts w:asciiTheme="minorHAnsi" w:eastAsiaTheme="minorHAnsi" w:hAnsiTheme="minorHAnsi" w:cstheme="minorBidi"/>
          <w:b w:val="0"/>
          <w:iCs w:val="0"/>
          <w:color w:val="auto"/>
          <w:sz w:val="20"/>
          <w:szCs w:val="24"/>
        </w:rPr>
      </w:pPr>
      <w:bookmarkStart w:id="1" w:name="_Ref53173644"/>
      <w:r w:rsidRPr="00FA739A">
        <w:rPr>
          <w:rStyle w:val="CommentReference"/>
          <w:sz w:val="20"/>
          <w:szCs w:val="18"/>
        </w:rPr>
        <w:lastRenderedPageBreak/>
        <w:t xml:space="preserve">Figure </w:t>
      </w:r>
      <w:r w:rsidR="008F28E9" w:rsidRPr="00466DBE">
        <w:rPr>
          <w:rStyle w:val="CommentReference"/>
          <w:sz w:val="20"/>
          <w:szCs w:val="24"/>
        </w:rPr>
        <w:t>2</w:t>
      </w:r>
      <w:bookmarkEnd w:id="1"/>
      <w:r w:rsidRPr="00FA739A">
        <w:rPr>
          <w:rStyle w:val="CommentReference"/>
          <w:sz w:val="20"/>
          <w:szCs w:val="18"/>
        </w:rPr>
        <w:t xml:space="preserve">: Observed and modelled PFS and OS for patients treated with RIBO+FULV and EVE+EXE </w:t>
      </w:r>
      <w:r w:rsidR="00BB6C06" w:rsidRPr="00FA739A">
        <w:rPr>
          <w:rStyle w:val="CommentReference"/>
          <w:sz w:val="20"/>
          <w:szCs w:val="24"/>
        </w:rPr>
        <w:t>using K</w:t>
      </w:r>
      <w:r w:rsidR="008D0512" w:rsidRPr="00FA739A">
        <w:rPr>
          <w:rStyle w:val="CommentReference"/>
          <w:sz w:val="20"/>
          <w:szCs w:val="24"/>
        </w:rPr>
        <w:t>-</w:t>
      </w:r>
      <w:r w:rsidR="00BB6C06" w:rsidRPr="00FA739A">
        <w:rPr>
          <w:rStyle w:val="CommentReference"/>
          <w:sz w:val="20"/>
          <w:szCs w:val="24"/>
        </w:rPr>
        <w:t xml:space="preserve">M data up to the point of median </w:t>
      </w:r>
      <w:r w:rsidR="008D0512" w:rsidRPr="00FA739A">
        <w:rPr>
          <w:rStyle w:val="CommentReference"/>
          <w:sz w:val="20"/>
          <w:szCs w:val="24"/>
        </w:rPr>
        <w:t xml:space="preserve">PFS (A) and OS (B) </w:t>
      </w:r>
      <w:r w:rsidR="00BB6C06" w:rsidRPr="00FA739A">
        <w:rPr>
          <w:rStyle w:val="CommentReference"/>
          <w:sz w:val="20"/>
          <w:szCs w:val="24"/>
        </w:rPr>
        <w:t xml:space="preserve">(evaluator’s method) </w:t>
      </w:r>
    </w:p>
    <w:p w:rsidR="008D0512" w:rsidRPr="00FA739A" w:rsidRDefault="006A61D9" w:rsidP="00550CE2">
      <w:pPr>
        <w:pStyle w:val="3Bodytext"/>
        <w:keepNext/>
        <w:keepLines/>
        <w:numPr>
          <w:ilvl w:val="0"/>
          <w:numId w:val="0"/>
        </w:numPr>
        <w:pBdr>
          <w:top w:val="single" w:sz="4" w:space="1" w:color="auto"/>
          <w:left w:val="single" w:sz="4" w:space="4" w:color="auto"/>
          <w:bottom w:val="single" w:sz="4" w:space="1" w:color="auto"/>
          <w:right w:val="single" w:sz="4" w:space="4" w:color="auto"/>
        </w:pBdr>
        <w:spacing w:after="0"/>
      </w:pPr>
      <w:r w:rsidRPr="005D167A">
        <w:rPr>
          <w:rFonts w:ascii="Arial Narrow" w:hAnsi="Arial Narrow"/>
          <w:noProof/>
          <w:sz w:val="18"/>
          <w:szCs w:val="18"/>
        </w:rPr>
        <w:drawing>
          <wp:inline distT="0" distB="0" distL="0" distR="0" wp14:anchorId="7FAA1CEC" wp14:editId="238F0801">
            <wp:extent cx="5562600" cy="2570671"/>
            <wp:effectExtent l="0" t="0" r="0" b="1270"/>
            <wp:docPr id="16" name="Picture 16" title="Figure 2: Observed and modelled PFS and OS for patients treated with RIBO+FULV and EVE+EXE using K-M data up to the point of median PFS (A) and OS (B) (evaluator’s meth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5566201" cy="2572335"/>
                    </a:xfrm>
                    <a:prstGeom prst="rect">
                      <a:avLst/>
                    </a:prstGeom>
                    <a:noFill/>
                    <a:ln>
                      <a:noFill/>
                    </a:ln>
                    <a:extLst>
                      <a:ext uri="{53640926-AAD7-44D8-BBD7-CCE9431645EC}">
                        <a14:shadowObscured xmlns:a14="http://schemas.microsoft.com/office/drawing/2010/main"/>
                      </a:ext>
                    </a:extLst>
                  </pic:spPr>
                </pic:pic>
              </a:graphicData>
            </a:graphic>
          </wp:inline>
        </w:drawing>
      </w:r>
    </w:p>
    <w:p w:rsidR="008D0512" w:rsidRPr="00FA739A" w:rsidRDefault="008D0512" w:rsidP="00550CE2">
      <w:pPr>
        <w:pStyle w:val="TableFigureHeading"/>
        <w:keepLines/>
        <w:pBdr>
          <w:top w:val="single" w:sz="4" w:space="1" w:color="auto"/>
          <w:left w:val="single" w:sz="4" w:space="4" w:color="auto"/>
          <w:bottom w:val="single" w:sz="4" w:space="1" w:color="auto"/>
          <w:right w:val="single" w:sz="4" w:space="4" w:color="auto"/>
        </w:pBdr>
      </w:pPr>
      <w:r w:rsidRPr="00FA739A">
        <w:t>A. Selected PFS distributions vs K-M data, 7 years</w:t>
      </w:r>
    </w:p>
    <w:p w:rsidR="008A55D4" w:rsidRPr="00FA739A" w:rsidRDefault="008A55D4" w:rsidP="00550CE2">
      <w:pPr>
        <w:pStyle w:val="TableFigureHeading"/>
        <w:keepLines/>
        <w:pBdr>
          <w:top w:val="single" w:sz="4" w:space="1" w:color="auto"/>
          <w:left w:val="single" w:sz="4" w:space="4" w:color="auto"/>
          <w:bottom w:val="single" w:sz="4" w:space="1" w:color="auto"/>
          <w:right w:val="single" w:sz="4" w:space="4" w:color="auto"/>
        </w:pBdr>
      </w:pPr>
    </w:p>
    <w:p w:rsidR="006A61D9" w:rsidRPr="00FA739A" w:rsidRDefault="006A61D9" w:rsidP="00550CE2">
      <w:pPr>
        <w:pStyle w:val="3Bodytext"/>
        <w:keepNext/>
        <w:keepLines/>
        <w:numPr>
          <w:ilvl w:val="0"/>
          <w:numId w:val="0"/>
        </w:numPr>
        <w:pBdr>
          <w:top w:val="single" w:sz="4" w:space="1" w:color="auto"/>
          <w:left w:val="single" w:sz="4" w:space="4" w:color="auto"/>
          <w:bottom w:val="single" w:sz="4" w:space="1" w:color="auto"/>
          <w:right w:val="single" w:sz="4" w:space="4" w:color="auto"/>
        </w:pBdr>
        <w:spacing w:after="0"/>
        <w:ind w:left="720" w:hanging="720"/>
      </w:pPr>
      <w:r w:rsidRPr="005D167A">
        <w:rPr>
          <w:noProof/>
        </w:rPr>
        <w:drawing>
          <wp:inline distT="0" distB="0" distL="0" distR="0" wp14:anchorId="1D213CE2" wp14:editId="5BA8C001">
            <wp:extent cx="5589224" cy="2674189"/>
            <wp:effectExtent l="0" t="0" r="0" b="0"/>
            <wp:docPr id="17" name="Picture 17" title="A. Selected PFS distributions vs K-M data, 7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5591471" cy="2675264"/>
                    </a:xfrm>
                    <a:prstGeom prst="rect">
                      <a:avLst/>
                    </a:prstGeom>
                    <a:noFill/>
                    <a:ln>
                      <a:noFill/>
                    </a:ln>
                    <a:extLst>
                      <a:ext uri="{53640926-AAD7-44D8-BBD7-CCE9431645EC}">
                        <a14:shadowObscured xmlns:a14="http://schemas.microsoft.com/office/drawing/2010/main"/>
                      </a:ext>
                    </a:extLst>
                  </pic:spPr>
                </pic:pic>
              </a:graphicData>
            </a:graphic>
          </wp:inline>
        </w:drawing>
      </w:r>
    </w:p>
    <w:p w:rsidR="008D0512" w:rsidRPr="00FA739A" w:rsidRDefault="008D0512" w:rsidP="00550CE2">
      <w:pPr>
        <w:pStyle w:val="TableFigureHeading"/>
        <w:keepLines/>
        <w:pBdr>
          <w:top w:val="single" w:sz="4" w:space="1" w:color="auto"/>
          <w:left w:val="single" w:sz="4" w:space="4" w:color="auto"/>
          <w:bottom w:val="single" w:sz="4" w:space="1" w:color="auto"/>
          <w:right w:val="single" w:sz="4" w:space="4" w:color="auto"/>
        </w:pBdr>
      </w:pPr>
      <w:r w:rsidRPr="00FA739A">
        <w:t>B. Selected OS distributions vs K-M data, 7 years</w:t>
      </w:r>
    </w:p>
    <w:p w:rsidR="008B35C7" w:rsidRPr="00FA739A" w:rsidRDefault="008B35C7" w:rsidP="00550CE2">
      <w:pPr>
        <w:pStyle w:val="TableFooter"/>
        <w:keepNext/>
        <w:keepLines/>
      </w:pPr>
      <w:r w:rsidRPr="00FA739A">
        <w:t xml:space="preserve">Source: </w:t>
      </w:r>
      <w:r w:rsidR="007F7CA2" w:rsidRPr="00FA739A">
        <w:t xml:space="preserve">Constructed for the minor </w:t>
      </w:r>
      <w:r w:rsidR="00776321" w:rsidRPr="00FA739A">
        <w:t>overview</w:t>
      </w:r>
      <w:r w:rsidR="007F7CA2" w:rsidRPr="00FA739A">
        <w:t xml:space="preserve"> using the resubmission CEA model, worksheet</w:t>
      </w:r>
      <w:r w:rsidR="00776321" w:rsidRPr="00FA739A">
        <w:t xml:space="preserve"> “Efficacy PFS” and “Efficacy PPS_OS”.</w:t>
      </w:r>
    </w:p>
    <w:p w:rsidR="001D124F" w:rsidRPr="00FA739A" w:rsidRDefault="00467409" w:rsidP="00550CE2">
      <w:pPr>
        <w:pStyle w:val="TableFooter"/>
        <w:keepNext/>
        <w:keepLines/>
      </w:pPr>
      <w:r w:rsidRPr="00FA739A">
        <w:t>Note: the evaluator’s method uses the K-M data up to median survival. As median OS was not reached in the relevant MONALEESA-3 subgroup, almost all the K-M data were used in the extrapolation of OS in the RIBO+FULV arm.</w:t>
      </w:r>
    </w:p>
    <w:p w:rsidR="001D124F" w:rsidRPr="00FA739A" w:rsidRDefault="001D124F" w:rsidP="00776321">
      <w:pPr>
        <w:pStyle w:val="TableFooter"/>
        <w:rPr>
          <w:i/>
        </w:rPr>
      </w:pPr>
    </w:p>
    <w:p w:rsidR="006A0BB9" w:rsidRPr="00FA739A" w:rsidRDefault="0059469B" w:rsidP="00EF6FA8">
      <w:pPr>
        <w:pStyle w:val="3Bodytext"/>
        <w:jc w:val="both"/>
        <w:rPr>
          <w:rFonts w:cstheme="minorHAnsi"/>
          <w:szCs w:val="24"/>
        </w:rPr>
      </w:pPr>
      <w:r w:rsidRPr="00FA739A">
        <w:t>The minor resubmission did not agree with the evaluator’</w:t>
      </w:r>
      <w:r w:rsidR="008B35C7" w:rsidRPr="00FA739A">
        <w:t>s</w:t>
      </w:r>
      <w:r w:rsidRPr="00FA739A">
        <w:t xml:space="preserve"> methodology for extrapolation of the </w:t>
      </w:r>
      <w:r w:rsidR="00970277" w:rsidRPr="00FA739A">
        <w:t>K-M</w:t>
      </w:r>
      <w:r w:rsidRPr="00FA739A">
        <w:t xml:space="preserve"> data</w:t>
      </w:r>
      <w:r w:rsidR="00970277" w:rsidRPr="00FA739A">
        <w:t xml:space="preserve">. </w:t>
      </w:r>
      <w:r w:rsidR="00050A45" w:rsidRPr="00FA739A">
        <w:rPr>
          <w:rFonts w:cstheme="minorHAnsi"/>
          <w:szCs w:val="24"/>
        </w:rPr>
        <w:t>The resubmission noted that truncation of the observed data at the median survival estimates (as per the evaluators approach) lead to inconsistent numbers of patients at risk across the arms</w:t>
      </w:r>
      <w:r w:rsidR="009725EA" w:rsidRPr="00FA739A">
        <w:rPr>
          <w:rFonts w:cstheme="minorHAnsi"/>
          <w:szCs w:val="24"/>
        </w:rPr>
        <w:t xml:space="preserve"> (as shown in the table below)</w:t>
      </w:r>
      <w:r w:rsidR="001676C8" w:rsidRPr="00FA739A">
        <w:rPr>
          <w:rFonts w:cstheme="minorHAnsi"/>
          <w:szCs w:val="24"/>
        </w:rPr>
        <w:t>, and lead to use of all the observed K-M data in the extrapolation of OS in the RIBO+FULV arm</w:t>
      </w:r>
      <w:r w:rsidR="00050A45" w:rsidRPr="00FA739A">
        <w:rPr>
          <w:rFonts w:cstheme="minorHAnsi"/>
          <w:szCs w:val="24"/>
        </w:rPr>
        <w:t xml:space="preserve">. The resubmission also argued that statistical literature suggests </w:t>
      </w:r>
      <w:r w:rsidR="00776321" w:rsidRPr="00FA739A">
        <w:rPr>
          <w:rFonts w:cstheme="minorHAnsi"/>
          <w:szCs w:val="24"/>
        </w:rPr>
        <w:t>only around 10-20% of patients</w:t>
      </w:r>
      <w:r w:rsidR="00050A45" w:rsidRPr="00FA739A">
        <w:rPr>
          <w:rFonts w:cstheme="minorHAnsi"/>
          <w:szCs w:val="24"/>
        </w:rPr>
        <w:t xml:space="preserve"> are required to be at risk of an event for K-M curves to remain reliable</w:t>
      </w:r>
      <w:r w:rsidR="00141138" w:rsidRPr="00FA739A">
        <w:rPr>
          <w:rFonts w:cstheme="minorHAnsi"/>
          <w:szCs w:val="24"/>
        </w:rPr>
        <w:t>. On this basis the resubmission</w:t>
      </w:r>
      <w:r w:rsidR="00050A45" w:rsidRPr="00FA739A">
        <w:rPr>
          <w:rFonts w:cstheme="minorHAnsi"/>
          <w:szCs w:val="24"/>
        </w:rPr>
        <w:t xml:space="preserve"> proposed</w:t>
      </w:r>
      <w:r w:rsidR="00141138" w:rsidRPr="00FA739A">
        <w:rPr>
          <w:rFonts w:cstheme="minorHAnsi"/>
          <w:szCs w:val="24"/>
        </w:rPr>
        <w:t>,</w:t>
      </w:r>
      <w:r w:rsidR="00050A45" w:rsidRPr="00FA739A">
        <w:rPr>
          <w:rFonts w:cstheme="minorHAnsi"/>
          <w:szCs w:val="24"/>
        </w:rPr>
        <w:t xml:space="preserve"> with a sample size of 100, </w:t>
      </w:r>
      <w:r w:rsidR="00050A45" w:rsidRPr="00FA739A">
        <w:rPr>
          <w:rFonts w:cstheme="minorHAnsi"/>
        </w:rPr>
        <w:lastRenderedPageBreak/>
        <w:t>approximately 20 patients at risk would be a more appropriate threshold at which the observed data becomes less reliable</w:t>
      </w:r>
      <w:r w:rsidR="00050A45" w:rsidRPr="00FA739A">
        <w:rPr>
          <w:rFonts w:cstheme="minorHAnsi"/>
          <w:szCs w:val="24"/>
        </w:rPr>
        <w:t xml:space="preserve">. </w:t>
      </w:r>
    </w:p>
    <w:p w:rsidR="008D0512" w:rsidRPr="00FA739A" w:rsidRDefault="00A87F2E" w:rsidP="007D6B49">
      <w:pPr>
        <w:pStyle w:val="3Bodytext"/>
        <w:jc w:val="both"/>
        <w:rPr>
          <w:rFonts w:cstheme="minorHAnsi"/>
          <w:i/>
          <w:szCs w:val="24"/>
        </w:rPr>
      </w:pPr>
      <w:r w:rsidRPr="00FA739A">
        <w:rPr>
          <w:rFonts w:cstheme="minorHAnsi"/>
          <w:szCs w:val="24"/>
        </w:rPr>
        <w:t>As such, t</w:t>
      </w:r>
      <w:r w:rsidR="00090640" w:rsidRPr="00FA739A">
        <w:rPr>
          <w:rFonts w:cstheme="minorHAnsi"/>
          <w:szCs w:val="24"/>
        </w:rPr>
        <w:t xml:space="preserve">he sponsor </w:t>
      </w:r>
      <w:r w:rsidR="005D76CD" w:rsidRPr="00FA739A">
        <w:rPr>
          <w:rFonts w:cstheme="minorHAnsi"/>
          <w:szCs w:val="24"/>
        </w:rPr>
        <w:t>proposed an alternative approach to PFS and OS extrapolations</w:t>
      </w:r>
      <w:r w:rsidR="008D0512" w:rsidRPr="00FA739A">
        <w:rPr>
          <w:rFonts w:cstheme="minorHAnsi"/>
          <w:szCs w:val="24"/>
        </w:rPr>
        <w:t xml:space="preserve"> </w:t>
      </w:r>
      <w:r w:rsidR="006A0BB9" w:rsidRPr="00FA739A">
        <w:rPr>
          <w:rFonts w:cstheme="minorHAnsi"/>
          <w:szCs w:val="24"/>
        </w:rPr>
        <w:t>using</w:t>
      </w:r>
      <w:r w:rsidR="00677ABB" w:rsidRPr="00FA739A">
        <w:rPr>
          <w:rFonts w:cstheme="minorHAnsi"/>
          <w:szCs w:val="24"/>
        </w:rPr>
        <w:t xml:space="preserve"> the evaluator’s extrapolation approach but using K-M data up to</w:t>
      </w:r>
      <w:r w:rsidR="006A0BB9" w:rsidRPr="00FA739A">
        <w:rPr>
          <w:rFonts w:cstheme="minorHAnsi"/>
          <w:szCs w:val="24"/>
        </w:rPr>
        <w:t xml:space="preserve"> the point where 20 patients remained at risk</w:t>
      </w:r>
      <w:r w:rsidR="00DF26A4" w:rsidRPr="00FA739A">
        <w:rPr>
          <w:rFonts w:cstheme="minorHAnsi"/>
          <w:szCs w:val="24"/>
        </w:rPr>
        <w:t xml:space="preserve">. </w:t>
      </w:r>
      <w:r w:rsidR="008F28E9" w:rsidRPr="00FA739A">
        <w:rPr>
          <w:rStyle w:val="CommentReference"/>
          <w:sz w:val="24"/>
          <w:szCs w:val="22"/>
        </w:rPr>
        <w:t>Figure</w:t>
      </w:r>
      <w:r w:rsidR="008F28E9" w:rsidRPr="00FA739A">
        <w:rPr>
          <w:rStyle w:val="CommentReference"/>
          <w:sz w:val="24"/>
          <w:szCs w:val="24"/>
        </w:rPr>
        <w:t xml:space="preserve"> </w:t>
      </w:r>
      <w:r w:rsidR="008F28E9" w:rsidRPr="00466DBE">
        <w:rPr>
          <w:rStyle w:val="CommentReference"/>
          <w:sz w:val="24"/>
          <w:szCs w:val="24"/>
        </w:rPr>
        <w:t>3</w:t>
      </w:r>
      <w:r w:rsidR="00AC51A3" w:rsidRPr="00FA739A">
        <w:rPr>
          <w:rFonts w:cstheme="minorHAnsi"/>
          <w:szCs w:val="24"/>
        </w:rPr>
        <w:t xml:space="preserve"> shows the resubmission’s amended </w:t>
      </w:r>
      <w:r w:rsidR="00CF7DE0" w:rsidRPr="00FA739A">
        <w:rPr>
          <w:rFonts w:cstheme="minorHAnsi"/>
          <w:szCs w:val="24"/>
        </w:rPr>
        <w:t xml:space="preserve">PFS and </w:t>
      </w:r>
      <w:r w:rsidR="00AC51A3" w:rsidRPr="00FA739A">
        <w:rPr>
          <w:rFonts w:cstheme="minorHAnsi"/>
          <w:szCs w:val="24"/>
        </w:rPr>
        <w:t xml:space="preserve">OS extrapolations. </w:t>
      </w:r>
    </w:p>
    <w:p w:rsidR="00AC51A3" w:rsidRPr="00FA739A" w:rsidRDefault="00141138" w:rsidP="007D6B49">
      <w:pPr>
        <w:pStyle w:val="TableFigureHeading"/>
        <w:spacing w:before="240"/>
      </w:pPr>
      <w:bookmarkStart w:id="2" w:name="_Ref53173782"/>
      <w:r w:rsidRPr="00FA739A">
        <w:rPr>
          <w:rStyle w:val="CommentReference"/>
          <w:sz w:val="20"/>
          <w:szCs w:val="24"/>
        </w:rPr>
        <w:t xml:space="preserve">Figure </w:t>
      </w:r>
      <w:r w:rsidR="008F28E9" w:rsidRPr="009978AC">
        <w:rPr>
          <w:rStyle w:val="CommentReference"/>
          <w:sz w:val="20"/>
          <w:szCs w:val="24"/>
        </w:rPr>
        <w:t>3</w:t>
      </w:r>
      <w:bookmarkEnd w:id="2"/>
      <w:r w:rsidRPr="00FA739A">
        <w:rPr>
          <w:rStyle w:val="CommentReference"/>
          <w:sz w:val="20"/>
          <w:szCs w:val="24"/>
        </w:rPr>
        <w:t xml:space="preserve">: </w:t>
      </w:r>
      <w:r w:rsidR="00BB6C06" w:rsidRPr="00FA739A">
        <w:rPr>
          <w:rStyle w:val="CommentReference"/>
          <w:sz w:val="20"/>
          <w:szCs w:val="24"/>
        </w:rPr>
        <w:t xml:space="preserve">Observed and modelled PFS </w:t>
      </w:r>
      <w:r w:rsidR="00095BD9" w:rsidRPr="00FA739A">
        <w:rPr>
          <w:rStyle w:val="CommentReference"/>
          <w:sz w:val="20"/>
          <w:szCs w:val="24"/>
        </w:rPr>
        <w:t xml:space="preserve">(A) </w:t>
      </w:r>
      <w:r w:rsidR="00BB6C06" w:rsidRPr="00FA739A">
        <w:rPr>
          <w:rStyle w:val="CommentReference"/>
          <w:sz w:val="20"/>
          <w:szCs w:val="24"/>
        </w:rPr>
        <w:t xml:space="preserve">and OS </w:t>
      </w:r>
      <w:r w:rsidR="00095BD9" w:rsidRPr="00FA739A">
        <w:rPr>
          <w:rStyle w:val="CommentReference"/>
          <w:sz w:val="20"/>
          <w:szCs w:val="24"/>
        </w:rPr>
        <w:t xml:space="preserve">(B) </w:t>
      </w:r>
      <w:r w:rsidR="00BB6C06" w:rsidRPr="00FA739A">
        <w:rPr>
          <w:rStyle w:val="CommentReference"/>
          <w:sz w:val="20"/>
          <w:szCs w:val="24"/>
        </w:rPr>
        <w:t>for patients treated with RIBO+FULV and EVE+EXE - r</w:t>
      </w:r>
      <w:r w:rsidR="00AC51A3" w:rsidRPr="00FA739A">
        <w:t>esubmission revised PFS and OS extrapolations</w:t>
      </w:r>
      <w:r w:rsidR="00BB6C06" w:rsidRPr="00FA739A">
        <w:t>, applying KM data up to the point at which 20 patients are at risk</w:t>
      </w:r>
    </w:p>
    <w:p w:rsidR="005D76CD" w:rsidRPr="00FA739A" w:rsidRDefault="00440A82" w:rsidP="00550CE2">
      <w:pPr>
        <w:pStyle w:val="TableFigureHeading"/>
        <w:pBdr>
          <w:top w:val="single" w:sz="4" w:space="1" w:color="auto"/>
          <w:left w:val="single" w:sz="4" w:space="4" w:color="auto"/>
          <w:bottom w:val="single" w:sz="4" w:space="1" w:color="auto"/>
          <w:right w:val="single" w:sz="4" w:space="4" w:color="auto"/>
        </w:pBdr>
      </w:pPr>
      <w:r w:rsidRPr="005D167A">
        <w:rPr>
          <w:noProof/>
        </w:rPr>
        <w:drawing>
          <wp:inline distT="0" distB="0" distL="0" distR="0" wp14:anchorId="3F072DFE" wp14:editId="13D930DB">
            <wp:extent cx="5570848" cy="2622431"/>
            <wp:effectExtent l="0" t="0" r="0" b="6985"/>
            <wp:docPr id="14" name="Picture 14" title="Figure 3: Observed and modelled PFS (A) and OS (B) for patients treated with RIBO+FULV and EVE+EXE - resubmission revised PFS and OS extrapolations, applying KM data up to the point at which 20 patients are at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5574830" cy="2624306"/>
                    </a:xfrm>
                    <a:prstGeom prst="rect">
                      <a:avLst/>
                    </a:prstGeom>
                    <a:noFill/>
                    <a:ln>
                      <a:noFill/>
                    </a:ln>
                    <a:extLst>
                      <a:ext uri="{53640926-AAD7-44D8-BBD7-CCE9431645EC}">
                        <a14:shadowObscured xmlns:a14="http://schemas.microsoft.com/office/drawing/2010/main"/>
                      </a:ext>
                    </a:extLst>
                  </pic:spPr>
                </pic:pic>
              </a:graphicData>
            </a:graphic>
          </wp:inline>
        </w:drawing>
      </w:r>
    </w:p>
    <w:p w:rsidR="005D76CD" w:rsidRPr="00FA739A" w:rsidRDefault="005D76CD" w:rsidP="00550CE2">
      <w:pPr>
        <w:pStyle w:val="TableFigureHeading"/>
        <w:pBdr>
          <w:top w:val="single" w:sz="4" w:space="1" w:color="auto"/>
          <w:left w:val="single" w:sz="4" w:space="4" w:color="auto"/>
          <w:bottom w:val="single" w:sz="4" w:space="1" w:color="auto"/>
          <w:right w:val="single" w:sz="4" w:space="4" w:color="auto"/>
        </w:pBdr>
      </w:pPr>
      <w:r w:rsidRPr="00FA739A">
        <w:t>A. Selected PFS distributions vs K-M data, 7 years</w:t>
      </w:r>
    </w:p>
    <w:p w:rsidR="00440A82" w:rsidRPr="00FA739A" w:rsidRDefault="00440A82" w:rsidP="00550CE2">
      <w:pPr>
        <w:pStyle w:val="TableFigureHeading"/>
        <w:pBdr>
          <w:top w:val="single" w:sz="4" w:space="1" w:color="auto"/>
          <w:left w:val="single" w:sz="4" w:space="4" w:color="auto"/>
          <w:bottom w:val="single" w:sz="4" w:space="1" w:color="auto"/>
          <w:right w:val="single" w:sz="4" w:space="4" w:color="auto"/>
        </w:pBdr>
      </w:pPr>
      <w:r w:rsidRPr="005D167A">
        <w:rPr>
          <w:noProof/>
        </w:rPr>
        <w:drawing>
          <wp:inline distT="0" distB="0" distL="0" distR="0" wp14:anchorId="28923924" wp14:editId="70C7D8E5">
            <wp:extent cx="5554433" cy="2665563"/>
            <wp:effectExtent l="0" t="0" r="8255" b="1905"/>
            <wp:docPr id="15" name="Picture 15" title="A. Selected PFS distributions vs K-M data, 7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5557209" cy="2666895"/>
                    </a:xfrm>
                    <a:prstGeom prst="rect">
                      <a:avLst/>
                    </a:prstGeom>
                    <a:noFill/>
                    <a:ln>
                      <a:noFill/>
                    </a:ln>
                    <a:extLst>
                      <a:ext uri="{53640926-AAD7-44D8-BBD7-CCE9431645EC}">
                        <a14:shadowObscured xmlns:a14="http://schemas.microsoft.com/office/drawing/2010/main"/>
                      </a:ext>
                    </a:extLst>
                  </pic:spPr>
                </pic:pic>
              </a:graphicData>
            </a:graphic>
          </wp:inline>
        </w:drawing>
      </w:r>
    </w:p>
    <w:p w:rsidR="005D76CD" w:rsidRPr="00FA739A" w:rsidRDefault="005D76CD">
      <w:pPr>
        <w:pStyle w:val="TableFigureHeading"/>
        <w:pBdr>
          <w:top w:val="single" w:sz="4" w:space="1" w:color="auto"/>
          <w:left w:val="single" w:sz="4" w:space="4" w:color="auto"/>
          <w:bottom w:val="single" w:sz="4" w:space="1" w:color="auto"/>
          <w:right w:val="single" w:sz="4" w:space="4" w:color="auto"/>
        </w:pBdr>
      </w:pPr>
    </w:p>
    <w:p w:rsidR="005D76CD" w:rsidRPr="00FA739A" w:rsidRDefault="005D76CD">
      <w:pPr>
        <w:pStyle w:val="TableFigureHeading"/>
        <w:pBdr>
          <w:top w:val="single" w:sz="4" w:space="1" w:color="auto"/>
          <w:left w:val="single" w:sz="4" w:space="4" w:color="auto"/>
          <w:bottom w:val="single" w:sz="4" w:space="1" w:color="auto"/>
          <w:right w:val="single" w:sz="4" w:space="4" w:color="auto"/>
        </w:pBdr>
      </w:pPr>
      <w:r w:rsidRPr="00FA739A">
        <w:t>B. Selected OS distributions vs K-M data, 7 years</w:t>
      </w:r>
    </w:p>
    <w:p w:rsidR="00776321" w:rsidRPr="00FA739A" w:rsidRDefault="00776321" w:rsidP="00776321">
      <w:pPr>
        <w:pStyle w:val="TableFooter"/>
      </w:pPr>
      <w:r w:rsidRPr="00FA739A">
        <w:t>Source: Constructed for the minor overview using the resubmission CEA model, worksheet “Efficacy PFS” and “Efficacy PPS_OS”.</w:t>
      </w:r>
    </w:p>
    <w:p w:rsidR="005D76CD" w:rsidRPr="00FA739A" w:rsidRDefault="005D76CD" w:rsidP="00776321">
      <w:pPr>
        <w:pStyle w:val="TableFooter"/>
      </w:pPr>
    </w:p>
    <w:p w:rsidR="005A0A1C" w:rsidRPr="00FA739A" w:rsidRDefault="00DF26A4" w:rsidP="00B7247E">
      <w:pPr>
        <w:pStyle w:val="3Bodytext"/>
        <w:jc w:val="both"/>
      </w:pPr>
      <w:r w:rsidRPr="00FA739A">
        <w:t xml:space="preserve">The PBAC noted that the PBAC Guidelines (version 5, Section 3A.4.3) state “Where extrapolation is undertaken, use observed time-to-event data in preference to </w:t>
      </w:r>
      <w:r w:rsidRPr="00FA739A">
        <w:lastRenderedPageBreak/>
        <w:t xml:space="preserve">modelled data up to the time point at which the observed data become unreliable as a result of small numbers of patients remaining event-free”. </w:t>
      </w:r>
    </w:p>
    <w:p w:rsidR="00DF26A4" w:rsidRPr="00FA739A" w:rsidRDefault="00DF26A4" w:rsidP="005A0A1C">
      <w:pPr>
        <w:pStyle w:val="3Bodytext"/>
        <w:jc w:val="both"/>
      </w:pPr>
      <w:r w:rsidRPr="00FA739A">
        <w:t>The PBAC noted that extrapolating from the point of median follow-up (</w:t>
      </w:r>
      <w:r w:rsidR="00892B8F" w:rsidRPr="00FA739A">
        <w:t>39 months for RIBO+FULV and 18 months for EVE+EXE)</w:t>
      </w:r>
      <w:r w:rsidRPr="00FA739A">
        <w:t xml:space="preserve"> resulted i</w:t>
      </w:r>
      <w:r w:rsidR="00892B8F" w:rsidRPr="00FA739A">
        <w:t>n a slight increase in the ICER. The PBAC noted that this approach used more PFS K-M data for the EVE+EXE arm, but less OS K-M data for the EVE+EXE arm than the resubmission’s appr</w:t>
      </w:r>
      <w:r w:rsidR="00995861" w:rsidRPr="00FA739A">
        <w:t xml:space="preserve">oach and that this approach may </w:t>
      </w:r>
      <w:r w:rsidR="00892B8F" w:rsidRPr="00FA739A">
        <w:t xml:space="preserve">overestimate OS for the EVE+EXE arm. Overall, the PBAC considered </w:t>
      </w:r>
      <w:r w:rsidRPr="00FA739A">
        <w:t xml:space="preserve">that the </w:t>
      </w:r>
      <w:r w:rsidR="00995861" w:rsidRPr="00FA739A">
        <w:t xml:space="preserve">resubmission’s approach to extrapolation appeared reasonable and </w:t>
      </w:r>
      <w:r w:rsidR="00822AA9" w:rsidRPr="00FA739A">
        <w:t xml:space="preserve">resulted in survival curves that had </w:t>
      </w:r>
      <w:r w:rsidR="005A0A1C" w:rsidRPr="00FA739A">
        <w:t>good visual fit to the observed data</w:t>
      </w:r>
      <w:r w:rsidR="00822AA9" w:rsidRPr="00FA739A">
        <w:t xml:space="preserve">. </w:t>
      </w:r>
      <w:r w:rsidR="005A0A1C" w:rsidRPr="00FA739A">
        <w:t xml:space="preserve">Further the PBAC considered that the resubmission’s approach </w:t>
      </w:r>
      <w:r w:rsidR="00995861" w:rsidRPr="00FA739A">
        <w:t>was consistent with the recommendation in the guidelines to use observed time-to-event data in preference to modelled data up to the time point at which the observed data become unreliable as a result of small numbers of patients remaining event-free.</w:t>
      </w:r>
    </w:p>
    <w:p w:rsidR="005D76CD" w:rsidRPr="00FA739A" w:rsidRDefault="00DF26A4" w:rsidP="005D76CD">
      <w:pPr>
        <w:pStyle w:val="3Bodytext"/>
        <w:jc w:val="both"/>
        <w:rPr>
          <w:rFonts w:cstheme="minorHAnsi"/>
          <w:i/>
          <w:szCs w:val="24"/>
        </w:rPr>
      </w:pPr>
      <w:r w:rsidRPr="00FA739A">
        <w:rPr>
          <w:rFonts w:cstheme="minorHAnsi"/>
          <w:szCs w:val="24"/>
        </w:rPr>
        <w:t>The resubmission r</w:t>
      </w:r>
      <w:r w:rsidR="005D76CD" w:rsidRPr="00FA739A">
        <w:rPr>
          <w:rFonts w:cstheme="minorHAnsi"/>
          <w:szCs w:val="24"/>
        </w:rPr>
        <w:t xml:space="preserve">ecalculated ICERs using K-M data up to the point where 20 patients remained at risk, along with sensitivity analyses using 25 patients and 15 patients </w:t>
      </w:r>
      <w:r w:rsidRPr="00FA739A">
        <w:rPr>
          <w:rFonts w:cstheme="minorHAnsi"/>
          <w:szCs w:val="24"/>
        </w:rPr>
        <w:t>as</w:t>
      </w:r>
      <w:r w:rsidR="005D76CD" w:rsidRPr="00FA739A">
        <w:rPr>
          <w:rFonts w:cstheme="minorHAnsi"/>
          <w:szCs w:val="24"/>
        </w:rPr>
        <w:t xml:space="preserve"> shown in</w:t>
      </w:r>
      <w:r w:rsidR="008F28E9" w:rsidRPr="00FA739A">
        <w:rPr>
          <w:rFonts w:cstheme="minorHAnsi"/>
          <w:szCs w:val="24"/>
        </w:rPr>
        <w:t xml:space="preserve"> </w:t>
      </w:r>
      <w:r w:rsidR="008F28E9" w:rsidRPr="00FA739A">
        <w:t xml:space="preserve">Table </w:t>
      </w:r>
      <w:r w:rsidR="008F28E9" w:rsidRPr="009978AC">
        <w:t>4</w:t>
      </w:r>
      <w:r w:rsidR="005D76CD" w:rsidRPr="00FA739A">
        <w:rPr>
          <w:rFonts w:cstheme="minorHAnsi"/>
          <w:szCs w:val="24"/>
        </w:rPr>
        <w:t xml:space="preserve">. These revised ICERs </w:t>
      </w:r>
      <w:r w:rsidR="00154734" w:rsidRPr="00FA739A">
        <w:rPr>
          <w:rFonts w:cstheme="minorHAnsi"/>
          <w:szCs w:val="24"/>
        </w:rPr>
        <w:t xml:space="preserve">were </w:t>
      </w:r>
      <w:r w:rsidR="005D76CD" w:rsidRPr="00FA739A">
        <w:rPr>
          <w:rFonts w:cstheme="minorHAnsi"/>
          <w:szCs w:val="24"/>
        </w:rPr>
        <w:t>not independently evaluated as this was a minor resubmission.</w:t>
      </w:r>
    </w:p>
    <w:p w:rsidR="005D76CD" w:rsidRPr="00FA739A" w:rsidRDefault="005D76CD" w:rsidP="005D76CD">
      <w:pPr>
        <w:pStyle w:val="Caption"/>
        <w:spacing w:after="0"/>
      </w:pPr>
      <w:bookmarkStart w:id="3" w:name="_Ref56502690"/>
      <w:r w:rsidRPr="00FA739A">
        <w:t xml:space="preserve">Table </w:t>
      </w:r>
      <w:r w:rsidR="008F28E9" w:rsidRPr="009978AC">
        <w:t>4</w:t>
      </w:r>
      <w:bookmarkEnd w:id="3"/>
      <w:r w:rsidRPr="009978AC">
        <w:t>:</w:t>
      </w:r>
      <w:r w:rsidRPr="00FA739A">
        <w:t xml:space="preserve"> Months of PFS and OS where KM data is reliable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1168"/>
        <w:gridCol w:w="1077"/>
        <w:gridCol w:w="1157"/>
        <w:gridCol w:w="997"/>
        <w:gridCol w:w="1532"/>
        <w:gridCol w:w="1530"/>
      </w:tblGrid>
      <w:tr w:rsidR="005D76CD" w:rsidRPr="00FA739A" w:rsidTr="00B7247E">
        <w:trPr>
          <w:tblHeader/>
        </w:trPr>
        <w:tc>
          <w:tcPr>
            <w:tcW w:w="1555" w:type="dxa"/>
            <w:tcMar>
              <w:top w:w="0" w:type="dxa"/>
              <w:left w:w="108" w:type="dxa"/>
              <w:bottom w:w="0" w:type="dxa"/>
              <w:right w:w="108" w:type="dxa"/>
            </w:tcMar>
            <w:vAlign w:val="center"/>
          </w:tcPr>
          <w:p w:rsidR="005D76CD" w:rsidRPr="00FA739A" w:rsidRDefault="005D76CD" w:rsidP="00A94718">
            <w:pPr>
              <w:jc w:val="left"/>
              <w:rPr>
                <w:rFonts w:ascii="Arial Narrow" w:hAnsi="Arial Narrow" w:cstheme="minorHAnsi"/>
                <w:sz w:val="20"/>
                <w:szCs w:val="20"/>
              </w:rPr>
            </w:pPr>
          </w:p>
        </w:tc>
        <w:tc>
          <w:tcPr>
            <w:tcW w:w="2245" w:type="dxa"/>
            <w:gridSpan w:val="2"/>
            <w:tcMar>
              <w:top w:w="0" w:type="dxa"/>
              <w:left w:w="108" w:type="dxa"/>
              <w:bottom w:w="0" w:type="dxa"/>
              <w:right w:w="108" w:type="dxa"/>
            </w:tcMar>
            <w:vAlign w:val="center"/>
            <w:hideMark/>
          </w:tcPr>
          <w:p w:rsidR="005D76CD" w:rsidRPr="00FA739A" w:rsidRDefault="005D76CD" w:rsidP="00A94718">
            <w:pPr>
              <w:jc w:val="center"/>
              <w:rPr>
                <w:rFonts w:ascii="Arial Narrow" w:hAnsi="Arial Narrow" w:cstheme="minorHAnsi"/>
                <w:b/>
                <w:bCs/>
                <w:sz w:val="20"/>
                <w:szCs w:val="20"/>
              </w:rPr>
            </w:pPr>
            <w:r w:rsidRPr="00FA739A">
              <w:rPr>
                <w:rFonts w:ascii="Arial Narrow" w:hAnsi="Arial Narrow" w:cstheme="minorHAnsi"/>
                <w:b/>
                <w:bCs/>
                <w:sz w:val="20"/>
                <w:szCs w:val="20"/>
              </w:rPr>
              <w:t>RIBO+FULV, n = 100</w:t>
            </w:r>
          </w:p>
        </w:tc>
        <w:tc>
          <w:tcPr>
            <w:tcW w:w="2154" w:type="dxa"/>
            <w:gridSpan w:val="2"/>
            <w:tcMar>
              <w:top w:w="0" w:type="dxa"/>
              <w:left w:w="108" w:type="dxa"/>
              <w:bottom w:w="0" w:type="dxa"/>
              <w:right w:w="108" w:type="dxa"/>
            </w:tcMar>
            <w:vAlign w:val="center"/>
            <w:hideMark/>
          </w:tcPr>
          <w:p w:rsidR="005D76CD" w:rsidRPr="00FA739A" w:rsidRDefault="005D76CD" w:rsidP="00A94718">
            <w:pPr>
              <w:jc w:val="center"/>
              <w:rPr>
                <w:rFonts w:ascii="Arial Narrow" w:hAnsi="Arial Narrow" w:cstheme="minorHAnsi"/>
                <w:b/>
                <w:bCs/>
                <w:sz w:val="20"/>
                <w:szCs w:val="20"/>
              </w:rPr>
            </w:pPr>
            <w:r w:rsidRPr="00FA739A">
              <w:rPr>
                <w:rFonts w:ascii="Arial Narrow" w:hAnsi="Arial Narrow" w:cstheme="minorHAnsi"/>
                <w:b/>
                <w:bCs/>
                <w:sz w:val="20"/>
                <w:szCs w:val="20"/>
              </w:rPr>
              <w:t>EVE+EXE, n = 101</w:t>
            </w:r>
          </w:p>
        </w:tc>
        <w:tc>
          <w:tcPr>
            <w:tcW w:w="1532" w:type="dxa"/>
            <w:vMerge w:val="restart"/>
            <w:tcMar>
              <w:top w:w="0" w:type="dxa"/>
              <w:left w:w="108" w:type="dxa"/>
              <w:bottom w:w="0" w:type="dxa"/>
              <w:right w:w="108" w:type="dxa"/>
            </w:tcMar>
            <w:vAlign w:val="center"/>
            <w:hideMark/>
          </w:tcPr>
          <w:p w:rsidR="005D76CD" w:rsidRPr="00FA739A" w:rsidRDefault="005D76CD" w:rsidP="00A94718">
            <w:pPr>
              <w:jc w:val="left"/>
              <w:rPr>
                <w:rFonts w:ascii="Arial Narrow" w:hAnsi="Arial Narrow" w:cstheme="minorHAnsi"/>
                <w:b/>
                <w:bCs/>
                <w:sz w:val="20"/>
                <w:szCs w:val="20"/>
              </w:rPr>
            </w:pPr>
            <w:r w:rsidRPr="00FA739A">
              <w:rPr>
                <w:rFonts w:ascii="Arial Narrow" w:hAnsi="Arial Narrow" w:cstheme="minorHAnsi"/>
                <w:b/>
                <w:bCs/>
                <w:sz w:val="20"/>
                <w:szCs w:val="20"/>
              </w:rPr>
              <w:t>ICER/QALY (10- or 7- year horizon)</w:t>
            </w:r>
          </w:p>
          <w:p w:rsidR="005D76CD" w:rsidRPr="00FA739A" w:rsidRDefault="00892B8F" w:rsidP="00A94718">
            <w:pPr>
              <w:jc w:val="left"/>
              <w:rPr>
                <w:rFonts w:ascii="Arial Narrow" w:hAnsi="Arial Narrow" w:cstheme="minorHAnsi"/>
                <w:b/>
                <w:bCs/>
                <w:sz w:val="20"/>
                <w:szCs w:val="20"/>
              </w:rPr>
            </w:pPr>
            <w:r w:rsidRPr="00FA739A">
              <w:rPr>
                <w:rFonts w:ascii="Arial Narrow" w:hAnsi="Arial Narrow" w:cstheme="minorHAnsi"/>
                <w:b/>
                <w:bCs/>
                <w:sz w:val="20"/>
                <w:szCs w:val="20"/>
              </w:rPr>
              <w:t>AEMP: $</w:t>
            </w:r>
            <w:r w:rsidR="00AB6780">
              <w:rPr>
                <w:rFonts w:ascii="Arial Narrow" w:hAnsi="Arial Narrow" w:cstheme="minorHAnsi"/>
                <w:b/>
                <w:bCs/>
                <w:noProof/>
                <w:color w:val="000000"/>
                <w:sz w:val="20"/>
                <w:szCs w:val="20"/>
                <w:highlight w:val="black"/>
              </w:rPr>
              <w:t>'''''''''''''''</w:t>
            </w:r>
          </w:p>
        </w:tc>
        <w:tc>
          <w:tcPr>
            <w:tcW w:w="1530" w:type="dxa"/>
            <w:vMerge w:val="restart"/>
            <w:tcMar>
              <w:top w:w="0" w:type="dxa"/>
              <w:left w:w="108" w:type="dxa"/>
              <w:bottom w:w="0" w:type="dxa"/>
              <w:right w:w="108" w:type="dxa"/>
            </w:tcMar>
            <w:vAlign w:val="center"/>
            <w:hideMark/>
          </w:tcPr>
          <w:p w:rsidR="005D76CD" w:rsidRPr="00FA739A" w:rsidRDefault="005D76CD" w:rsidP="00B91B4E">
            <w:pPr>
              <w:jc w:val="left"/>
              <w:rPr>
                <w:rFonts w:ascii="Arial Narrow" w:hAnsi="Arial Narrow" w:cstheme="minorHAnsi"/>
                <w:b/>
                <w:bCs/>
                <w:sz w:val="20"/>
                <w:szCs w:val="20"/>
              </w:rPr>
            </w:pPr>
            <w:r w:rsidRPr="00FA739A">
              <w:rPr>
                <w:rFonts w:ascii="Arial Narrow" w:hAnsi="Arial Narrow" w:cstheme="minorHAnsi"/>
                <w:b/>
                <w:bCs/>
                <w:sz w:val="20"/>
                <w:szCs w:val="20"/>
              </w:rPr>
              <w:t xml:space="preserve">Calculated </w:t>
            </w:r>
            <w:r w:rsidR="00E36C71" w:rsidRPr="00FA739A">
              <w:rPr>
                <w:rFonts w:ascii="Arial Narrow" w:hAnsi="Arial Narrow" w:cstheme="minorHAnsi"/>
                <w:b/>
                <w:bCs/>
                <w:sz w:val="20"/>
                <w:szCs w:val="20"/>
              </w:rPr>
              <w:t xml:space="preserve">AEMP </w:t>
            </w:r>
            <w:r w:rsidRPr="00FA739A">
              <w:rPr>
                <w:rFonts w:ascii="Arial Narrow" w:hAnsi="Arial Narrow" w:cstheme="minorHAnsi"/>
                <w:b/>
                <w:bCs/>
                <w:sz w:val="20"/>
                <w:szCs w:val="20"/>
              </w:rPr>
              <w:t>for ICER &lt;$</w:t>
            </w:r>
            <w:r w:rsidR="00F46E64" w:rsidRPr="00F46E64">
              <w:rPr>
                <w:rFonts w:ascii="Arial Narrow" w:hAnsi="Arial Narrow" w:cstheme="minorHAnsi"/>
                <w:b/>
                <w:bCs/>
                <w:sz w:val="20"/>
                <w:szCs w:val="20"/>
              </w:rPr>
              <w:t>$55,000 to &lt; $75,000</w:t>
            </w:r>
            <w:r w:rsidR="00E36C71" w:rsidRPr="00FA739A">
              <w:rPr>
                <w:rFonts w:ascii="Arial Narrow" w:hAnsi="Arial Narrow" w:cstheme="minorHAnsi"/>
                <w:b/>
                <w:bCs/>
                <w:sz w:val="20"/>
                <w:szCs w:val="20"/>
              </w:rPr>
              <w:t xml:space="preserve">, </w:t>
            </w:r>
            <w:r w:rsidRPr="00FA739A">
              <w:rPr>
                <w:rFonts w:ascii="Arial Narrow" w:hAnsi="Arial Narrow" w:cstheme="minorHAnsi"/>
                <w:b/>
                <w:bCs/>
                <w:sz w:val="20"/>
                <w:szCs w:val="20"/>
              </w:rPr>
              <w:t>7-year horizon</w:t>
            </w:r>
            <w:r w:rsidR="00E36C71" w:rsidRPr="00FA739A">
              <w:rPr>
                <w:rFonts w:ascii="Arial Narrow" w:hAnsi="Arial Narrow" w:cstheme="minorHAnsi"/>
                <w:b/>
                <w:bCs/>
                <w:sz w:val="20"/>
                <w:szCs w:val="20"/>
              </w:rPr>
              <w:t>^</w:t>
            </w:r>
          </w:p>
        </w:tc>
      </w:tr>
      <w:tr w:rsidR="00B7247E" w:rsidRPr="00FA739A" w:rsidTr="00B7247E">
        <w:trPr>
          <w:tblHeader/>
        </w:trPr>
        <w:tc>
          <w:tcPr>
            <w:tcW w:w="1555" w:type="dxa"/>
            <w:tcMar>
              <w:top w:w="0" w:type="dxa"/>
              <w:left w:w="108" w:type="dxa"/>
              <w:bottom w:w="0" w:type="dxa"/>
              <w:right w:w="108" w:type="dxa"/>
            </w:tcMar>
            <w:vAlign w:val="center"/>
          </w:tcPr>
          <w:p w:rsidR="005D76CD" w:rsidRPr="00FA739A" w:rsidRDefault="005A0A1C" w:rsidP="00A94718">
            <w:pPr>
              <w:jc w:val="left"/>
              <w:rPr>
                <w:rFonts w:ascii="Arial Narrow" w:hAnsi="Arial Narrow" w:cstheme="minorHAnsi"/>
                <w:b/>
                <w:bCs/>
                <w:sz w:val="20"/>
                <w:szCs w:val="20"/>
              </w:rPr>
            </w:pPr>
            <w:r w:rsidRPr="00FA739A">
              <w:rPr>
                <w:rFonts w:ascii="Arial Narrow" w:hAnsi="Arial Narrow" w:cstheme="minorHAnsi"/>
                <w:b/>
                <w:bCs/>
                <w:sz w:val="20"/>
                <w:szCs w:val="20"/>
              </w:rPr>
              <w:t>Point to which K-M data used</w:t>
            </w:r>
          </w:p>
        </w:tc>
        <w:tc>
          <w:tcPr>
            <w:tcW w:w="1168" w:type="dxa"/>
            <w:tcMar>
              <w:top w:w="0" w:type="dxa"/>
              <w:left w:w="108" w:type="dxa"/>
              <w:bottom w:w="0" w:type="dxa"/>
              <w:right w:w="108" w:type="dxa"/>
            </w:tcMar>
            <w:vAlign w:val="center"/>
            <w:hideMark/>
          </w:tcPr>
          <w:p w:rsidR="005D76CD" w:rsidRPr="00FA739A" w:rsidRDefault="005D76CD" w:rsidP="00A94718">
            <w:pPr>
              <w:jc w:val="center"/>
              <w:rPr>
                <w:rFonts w:ascii="Arial Narrow" w:hAnsi="Arial Narrow" w:cstheme="minorHAnsi"/>
                <w:b/>
                <w:bCs/>
                <w:sz w:val="20"/>
                <w:szCs w:val="20"/>
              </w:rPr>
            </w:pPr>
            <w:r w:rsidRPr="00FA739A">
              <w:rPr>
                <w:rFonts w:ascii="Arial Narrow" w:hAnsi="Arial Narrow" w:cstheme="minorHAnsi"/>
                <w:b/>
                <w:bCs/>
                <w:sz w:val="20"/>
                <w:szCs w:val="20"/>
              </w:rPr>
              <w:t>PFS</w:t>
            </w:r>
          </w:p>
          <w:p w:rsidR="005D76CD" w:rsidRPr="00FA739A" w:rsidRDefault="005D76CD" w:rsidP="00A94718">
            <w:pPr>
              <w:jc w:val="center"/>
              <w:rPr>
                <w:rFonts w:ascii="Arial Narrow" w:hAnsi="Arial Narrow" w:cstheme="minorHAnsi"/>
                <w:b/>
                <w:bCs/>
                <w:sz w:val="20"/>
                <w:szCs w:val="20"/>
              </w:rPr>
            </w:pPr>
            <w:r w:rsidRPr="00FA739A">
              <w:rPr>
                <w:rFonts w:ascii="Arial Narrow" w:hAnsi="Arial Narrow" w:cstheme="minorHAnsi"/>
                <w:b/>
                <w:bCs/>
                <w:sz w:val="20"/>
                <w:szCs w:val="20"/>
              </w:rPr>
              <w:t>months</w:t>
            </w:r>
          </w:p>
        </w:tc>
        <w:tc>
          <w:tcPr>
            <w:tcW w:w="1077" w:type="dxa"/>
            <w:tcMar>
              <w:top w:w="0" w:type="dxa"/>
              <w:left w:w="108" w:type="dxa"/>
              <w:bottom w:w="0" w:type="dxa"/>
              <w:right w:w="108" w:type="dxa"/>
            </w:tcMar>
            <w:vAlign w:val="center"/>
            <w:hideMark/>
          </w:tcPr>
          <w:p w:rsidR="005D76CD" w:rsidRPr="00FA739A" w:rsidRDefault="005D76CD" w:rsidP="00A94718">
            <w:pPr>
              <w:jc w:val="center"/>
              <w:rPr>
                <w:rFonts w:ascii="Arial Narrow" w:hAnsi="Arial Narrow" w:cstheme="minorHAnsi"/>
                <w:b/>
                <w:bCs/>
                <w:sz w:val="20"/>
                <w:szCs w:val="20"/>
              </w:rPr>
            </w:pPr>
            <w:r w:rsidRPr="00FA739A">
              <w:rPr>
                <w:rFonts w:ascii="Arial Narrow" w:hAnsi="Arial Narrow" w:cstheme="minorHAnsi"/>
                <w:b/>
                <w:bCs/>
                <w:sz w:val="20"/>
                <w:szCs w:val="20"/>
              </w:rPr>
              <w:t>OS</w:t>
            </w:r>
          </w:p>
          <w:p w:rsidR="005D76CD" w:rsidRPr="00FA739A" w:rsidRDefault="005D76CD" w:rsidP="00A94718">
            <w:pPr>
              <w:jc w:val="center"/>
              <w:rPr>
                <w:rFonts w:ascii="Arial Narrow" w:hAnsi="Arial Narrow" w:cstheme="minorHAnsi"/>
                <w:b/>
                <w:bCs/>
                <w:sz w:val="20"/>
                <w:szCs w:val="20"/>
              </w:rPr>
            </w:pPr>
            <w:r w:rsidRPr="00FA739A">
              <w:rPr>
                <w:rFonts w:ascii="Arial Narrow" w:hAnsi="Arial Narrow" w:cstheme="minorHAnsi"/>
                <w:b/>
                <w:bCs/>
                <w:sz w:val="20"/>
                <w:szCs w:val="20"/>
              </w:rPr>
              <w:t>months</w:t>
            </w:r>
          </w:p>
        </w:tc>
        <w:tc>
          <w:tcPr>
            <w:tcW w:w="1157" w:type="dxa"/>
            <w:tcMar>
              <w:top w:w="0" w:type="dxa"/>
              <w:left w:w="108" w:type="dxa"/>
              <w:bottom w:w="0" w:type="dxa"/>
              <w:right w:w="108" w:type="dxa"/>
            </w:tcMar>
            <w:vAlign w:val="center"/>
            <w:hideMark/>
          </w:tcPr>
          <w:p w:rsidR="005D76CD" w:rsidRPr="00FA739A" w:rsidRDefault="005D76CD" w:rsidP="00A94718">
            <w:pPr>
              <w:jc w:val="center"/>
              <w:rPr>
                <w:rFonts w:ascii="Arial Narrow" w:hAnsi="Arial Narrow" w:cstheme="minorHAnsi"/>
                <w:b/>
                <w:bCs/>
                <w:sz w:val="20"/>
                <w:szCs w:val="20"/>
              </w:rPr>
            </w:pPr>
            <w:r w:rsidRPr="00FA739A">
              <w:rPr>
                <w:rFonts w:ascii="Arial Narrow" w:hAnsi="Arial Narrow" w:cstheme="minorHAnsi"/>
                <w:b/>
                <w:bCs/>
                <w:sz w:val="20"/>
                <w:szCs w:val="20"/>
              </w:rPr>
              <w:t>PFS</w:t>
            </w:r>
          </w:p>
          <w:p w:rsidR="005D76CD" w:rsidRPr="00FA739A" w:rsidRDefault="005D76CD" w:rsidP="00A94718">
            <w:pPr>
              <w:jc w:val="center"/>
              <w:rPr>
                <w:rFonts w:ascii="Arial Narrow" w:hAnsi="Arial Narrow" w:cstheme="minorHAnsi"/>
                <w:b/>
                <w:bCs/>
                <w:sz w:val="20"/>
                <w:szCs w:val="20"/>
              </w:rPr>
            </w:pPr>
            <w:r w:rsidRPr="00FA739A">
              <w:rPr>
                <w:rFonts w:ascii="Arial Narrow" w:hAnsi="Arial Narrow" w:cstheme="minorHAnsi"/>
                <w:b/>
                <w:bCs/>
                <w:sz w:val="20"/>
                <w:szCs w:val="20"/>
              </w:rPr>
              <w:t>months</w:t>
            </w:r>
          </w:p>
        </w:tc>
        <w:tc>
          <w:tcPr>
            <w:tcW w:w="997" w:type="dxa"/>
            <w:tcMar>
              <w:top w:w="0" w:type="dxa"/>
              <w:left w:w="108" w:type="dxa"/>
              <w:bottom w:w="0" w:type="dxa"/>
              <w:right w:w="108" w:type="dxa"/>
            </w:tcMar>
            <w:vAlign w:val="center"/>
            <w:hideMark/>
          </w:tcPr>
          <w:p w:rsidR="005D76CD" w:rsidRPr="00FA739A" w:rsidRDefault="005D76CD" w:rsidP="00A94718">
            <w:pPr>
              <w:jc w:val="center"/>
              <w:rPr>
                <w:rFonts w:ascii="Arial Narrow" w:hAnsi="Arial Narrow" w:cstheme="minorHAnsi"/>
                <w:b/>
                <w:bCs/>
                <w:sz w:val="20"/>
                <w:szCs w:val="20"/>
              </w:rPr>
            </w:pPr>
            <w:r w:rsidRPr="00FA739A">
              <w:rPr>
                <w:rFonts w:ascii="Arial Narrow" w:hAnsi="Arial Narrow" w:cstheme="minorHAnsi"/>
                <w:b/>
                <w:bCs/>
                <w:sz w:val="20"/>
                <w:szCs w:val="20"/>
              </w:rPr>
              <w:t>OS</w:t>
            </w:r>
          </w:p>
          <w:p w:rsidR="005D76CD" w:rsidRPr="00FA739A" w:rsidRDefault="005D76CD" w:rsidP="00A94718">
            <w:pPr>
              <w:jc w:val="center"/>
              <w:rPr>
                <w:rFonts w:ascii="Arial Narrow" w:hAnsi="Arial Narrow" w:cstheme="minorHAnsi"/>
                <w:b/>
                <w:bCs/>
                <w:sz w:val="20"/>
                <w:szCs w:val="20"/>
              </w:rPr>
            </w:pPr>
            <w:r w:rsidRPr="00FA739A">
              <w:rPr>
                <w:rFonts w:ascii="Arial Narrow" w:hAnsi="Arial Narrow" w:cstheme="minorHAnsi"/>
                <w:b/>
                <w:bCs/>
                <w:sz w:val="20"/>
                <w:szCs w:val="20"/>
              </w:rPr>
              <w:t>months</w:t>
            </w:r>
          </w:p>
        </w:tc>
        <w:tc>
          <w:tcPr>
            <w:tcW w:w="0" w:type="auto"/>
            <w:vMerge/>
            <w:vAlign w:val="center"/>
            <w:hideMark/>
          </w:tcPr>
          <w:p w:rsidR="005D76CD" w:rsidRPr="00FA739A" w:rsidRDefault="005D76CD" w:rsidP="00A94718">
            <w:pPr>
              <w:jc w:val="center"/>
              <w:rPr>
                <w:rFonts w:ascii="Arial Narrow" w:eastAsiaTheme="minorHAnsi" w:hAnsi="Arial Narrow" w:cstheme="minorHAnsi"/>
                <w:b/>
                <w:bCs/>
                <w:sz w:val="20"/>
                <w:szCs w:val="20"/>
              </w:rPr>
            </w:pPr>
          </w:p>
        </w:tc>
        <w:tc>
          <w:tcPr>
            <w:tcW w:w="0" w:type="auto"/>
            <w:vMerge/>
            <w:vAlign w:val="center"/>
            <w:hideMark/>
          </w:tcPr>
          <w:p w:rsidR="005D76CD" w:rsidRPr="00FA739A" w:rsidRDefault="005D76CD" w:rsidP="00A94718">
            <w:pPr>
              <w:jc w:val="center"/>
              <w:rPr>
                <w:rFonts w:ascii="Arial Narrow" w:eastAsiaTheme="minorHAnsi" w:hAnsi="Arial Narrow" w:cstheme="minorHAnsi"/>
                <w:b/>
                <w:bCs/>
                <w:sz w:val="20"/>
                <w:szCs w:val="20"/>
              </w:rPr>
            </w:pPr>
          </w:p>
        </w:tc>
      </w:tr>
      <w:tr w:rsidR="00B7247E" w:rsidRPr="00FA739A" w:rsidTr="00B7247E">
        <w:tc>
          <w:tcPr>
            <w:tcW w:w="1555" w:type="dxa"/>
            <w:tcMar>
              <w:top w:w="0" w:type="dxa"/>
              <w:left w:w="108" w:type="dxa"/>
              <w:bottom w:w="0" w:type="dxa"/>
              <w:right w:w="108" w:type="dxa"/>
            </w:tcMar>
            <w:vAlign w:val="center"/>
          </w:tcPr>
          <w:p w:rsidR="00B7247E" w:rsidRPr="00FA739A" w:rsidRDefault="00B7247E" w:rsidP="005A0A1C">
            <w:pPr>
              <w:jc w:val="left"/>
              <w:rPr>
                <w:rFonts w:ascii="Arial Narrow" w:hAnsi="Arial Narrow" w:cstheme="minorHAnsi"/>
                <w:sz w:val="20"/>
                <w:szCs w:val="20"/>
              </w:rPr>
            </w:pPr>
            <w:r w:rsidRPr="00FA739A">
              <w:rPr>
                <w:rFonts w:ascii="Arial Narrow" w:hAnsi="Arial Narrow" w:cstheme="minorHAnsi"/>
                <w:sz w:val="20"/>
                <w:szCs w:val="20"/>
              </w:rPr>
              <w:t>20% of patients at risk, n = 20</w:t>
            </w:r>
          </w:p>
        </w:tc>
        <w:tc>
          <w:tcPr>
            <w:tcW w:w="1168" w:type="dxa"/>
            <w:tcMar>
              <w:top w:w="0" w:type="dxa"/>
              <w:left w:w="108" w:type="dxa"/>
              <w:bottom w:w="0" w:type="dxa"/>
              <w:right w:w="108" w:type="dxa"/>
            </w:tcMar>
            <w:vAlign w:val="center"/>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33</w:t>
            </w:r>
          </w:p>
        </w:tc>
        <w:tc>
          <w:tcPr>
            <w:tcW w:w="1077" w:type="dxa"/>
            <w:tcMar>
              <w:top w:w="0" w:type="dxa"/>
              <w:left w:w="108" w:type="dxa"/>
              <w:bottom w:w="0" w:type="dxa"/>
              <w:right w:w="108" w:type="dxa"/>
            </w:tcMar>
            <w:vAlign w:val="center"/>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39</w:t>
            </w:r>
          </w:p>
        </w:tc>
        <w:tc>
          <w:tcPr>
            <w:tcW w:w="1157" w:type="dxa"/>
            <w:tcMar>
              <w:top w:w="0" w:type="dxa"/>
              <w:left w:w="108" w:type="dxa"/>
              <w:bottom w:w="0" w:type="dxa"/>
              <w:right w:w="108" w:type="dxa"/>
            </w:tcMar>
            <w:vAlign w:val="center"/>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12</w:t>
            </w:r>
          </w:p>
        </w:tc>
        <w:tc>
          <w:tcPr>
            <w:tcW w:w="997" w:type="dxa"/>
            <w:tcMar>
              <w:top w:w="0" w:type="dxa"/>
              <w:left w:w="108" w:type="dxa"/>
              <w:bottom w:w="0" w:type="dxa"/>
              <w:right w:w="108" w:type="dxa"/>
            </w:tcMar>
            <w:vAlign w:val="center"/>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36</w:t>
            </w:r>
          </w:p>
        </w:tc>
        <w:tc>
          <w:tcPr>
            <w:tcW w:w="1532" w:type="dxa"/>
            <w:tcMar>
              <w:top w:w="0" w:type="dxa"/>
              <w:left w:w="108" w:type="dxa"/>
              <w:bottom w:w="0" w:type="dxa"/>
              <w:right w:w="108" w:type="dxa"/>
            </w:tcMar>
            <w:vAlign w:val="center"/>
          </w:tcPr>
          <w:p w:rsidR="00B7247E" w:rsidRPr="00E47C72" w:rsidRDefault="00B7247E" w:rsidP="00B7247E">
            <w:pPr>
              <w:jc w:val="center"/>
              <w:rPr>
                <w:rFonts w:ascii="Arial Narrow" w:hAnsi="Arial Narrow" w:cstheme="minorHAnsi"/>
                <w:sz w:val="20"/>
                <w:szCs w:val="20"/>
                <w:vertAlign w:val="superscript"/>
              </w:rPr>
            </w:pPr>
            <w:r w:rsidRPr="00FA739A">
              <w:rPr>
                <w:rFonts w:ascii="Arial Narrow" w:hAnsi="Arial Narrow" w:cstheme="minorHAnsi"/>
                <w:sz w:val="20"/>
                <w:szCs w:val="20"/>
              </w:rPr>
              <w:t>10: $</w:t>
            </w:r>
            <w:r w:rsidR="00AB6780">
              <w:rPr>
                <w:rFonts w:ascii="Arial Narrow" w:hAnsi="Arial Narrow" w:cstheme="minorHAnsi"/>
                <w:noProof/>
                <w:color w:val="000000"/>
                <w:sz w:val="20"/>
                <w:szCs w:val="20"/>
                <w:highlight w:val="black"/>
              </w:rPr>
              <w:t>''''''''''''''''</w:t>
            </w:r>
            <w:r w:rsidR="008E1CF1" w:rsidRPr="00E47C72">
              <w:rPr>
                <w:rFonts w:ascii="Arial Narrow" w:hAnsi="Arial Narrow" w:cstheme="minorHAnsi"/>
                <w:sz w:val="20"/>
                <w:szCs w:val="20"/>
                <w:vertAlign w:val="superscript"/>
              </w:rPr>
              <w:t>1</w:t>
            </w:r>
          </w:p>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7: $</w:t>
            </w:r>
            <w:r w:rsidR="00AB6780">
              <w:rPr>
                <w:rFonts w:ascii="Arial Narrow" w:hAnsi="Arial Narrow" w:cstheme="minorHAnsi"/>
                <w:noProof/>
                <w:color w:val="000000"/>
                <w:sz w:val="20"/>
                <w:szCs w:val="20"/>
                <w:highlight w:val="black"/>
              </w:rPr>
              <w:t>'''''''''''''''</w:t>
            </w:r>
            <w:r w:rsidR="008E1CF1" w:rsidRPr="00AE5F1F">
              <w:rPr>
                <w:rFonts w:ascii="Arial Narrow" w:hAnsi="Arial Narrow" w:cstheme="minorHAnsi"/>
                <w:sz w:val="20"/>
                <w:szCs w:val="20"/>
                <w:vertAlign w:val="superscript"/>
              </w:rPr>
              <w:t>1</w:t>
            </w:r>
          </w:p>
        </w:tc>
        <w:tc>
          <w:tcPr>
            <w:tcW w:w="1530" w:type="dxa"/>
            <w:tcMar>
              <w:top w:w="0" w:type="dxa"/>
              <w:left w:w="108" w:type="dxa"/>
              <w:bottom w:w="0" w:type="dxa"/>
              <w:right w:w="108" w:type="dxa"/>
            </w:tcMar>
            <w:vAlign w:val="center"/>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b/>
                <w:sz w:val="20"/>
                <w:szCs w:val="20"/>
              </w:rPr>
              <w:t>$</w:t>
            </w:r>
            <w:r w:rsidR="00AB6780">
              <w:rPr>
                <w:rFonts w:ascii="Arial Narrow" w:hAnsi="Arial Narrow" w:cstheme="minorHAnsi"/>
                <w:b/>
                <w:noProof/>
                <w:color w:val="000000"/>
                <w:sz w:val="20"/>
                <w:szCs w:val="20"/>
                <w:highlight w:val="black"/>
              </w:rPr>
              <w:t>''''''''''''''''</w:t>
            </w:r>
            <w:r w:rsidRPr="00FA739A">
              <w:rPr>
                <w:rFonts w:ascii="Arial Narrow" w:hAnsi="Arial Narrow" w:cstheme="minorHAnsi"/>
                <w:b/>
                <w:sz w:val="20"/>
                <w:szCs w:val="20"/>
              </w:rPr>
              <w:t xml:space="preserve"> </w:t>
            </w:r>
            <w:r w:rsidRPr="00FA739A">
              <w:rPr>
                <w:rFonts w:ascii="Arial Narrow" w:hAnsi="Arial Narrow" w:cstheme="minorHAnsi"/>
                <w:b/>
                <w:sz w:val="20"/>
                <w:szCs w:val="20"/>
              </w:rPr>
              <w:br/>
              <w:t>(-10.0%)</w:t>
            </w:r>
          </w:p>
        </w:tc>
      </w:tr>
      <w:tr w:rsidR="00B7247E" w:rsidRPr="00FA739A" w:rsidTr="00B7247E">
        <w:tc>
          <w:tcPr>
            <w:tcW w:w="9016" w:type="dxa"/>
            <w:gridSpan w:val="7"/>
            <w:tcMar>
              <w:top w:w="0" w:type="dxa"/>
              <w:left w:w="108" w:type="dxa"/>
              <w:bottom w:w="0" w:type="dxa"/>
              <w:right w:w="108" w:type="dxa"/>
            </w:tcMar>
            <w:vAlign w:val="center"/>
          </w:tcPr>
          <w:p w:rsidR="00B7247E" w:rsidRPr="00FA739A" w:rsidRDefault="00B7247E" w:rsidP="00B7247E">
            <w:pPr>
              <w:jc w:val="left"/>
              <w:rPr>
                <w:rFonts w:ascii="Arial Narrow" w:hAnsi="Arial Narrow" w:cstheme="minorHAnsi"/>
                <w:b/>
                <w:sz w:val="20"/>
                <w:szCs w:val="20"/>
              </w:rPr>
            </w:pPr>
            <w:r w:rsidRPr="00FA739A">
              <w:rPr>
                <w:rFonts w:ascii="Arial Narrow" w:hAnsi="Arial Narrow" w:cstheme="minorHAnsi"/>
                <w:b/>
                <w:sz w:val="20"/>
                <w:szCs w:val="20"/>
              </w:rPr>
              <w:t>Alternative methods</w:t>
            </w:r>
          </w:p>
        </w:tc>
      </w:tr>
      <w:tr w:rsidR="00B7247E" w:rsidRPr="00FA739A" w:rsidTr="00B7247E">
        <w:tc>
          <w:tcPr>
            <w:tcW w:w="1555" w:type="dxa"/>
            <w:tcMar>
              <w:top w:w="0" w:type="dxa"/>
              <w:left w:w="108" w:type="dxa"/>
              <w:bottom w:w="0" w:type="dxa"/>
              <w:right w:w="108" w:type="dxa"/>
            </w:tcMar>
            <w:vAlign w:val="center"/>
            <w:hideMark/>
          </w:tcPr>
          <w:p w:rsidR="00B7247E" w:rsidRPr="00FA739A" w:rsidRDefault="00B7247E" w:rsidP="00B7247E">
            <w:pPr>
              <w:jc w:val="left"/>
              <w:rPr>
                <w:rFonts w:ascii="Arial Narrow" w:hAnsi="Arial Narrow" w:cstheme="minorHAnsi"/>
                <w:sz w:val="20"/>
                <w:szCs w:val="20"/>
              </w:rPr>
            </w:pPr>
            <w:r w:rsidRPr="00FA739A">
              <w:rPr>
                <w:rFonts w:ascii="Arial Narrow" w:hAnsi="Arial Narrow" w:cstheme="minorHAnsi"/>
                <w:sz w:val="20"/>
                <w:szCs w:val="20"/>
              </w:rPr>
              <w:t>Median survival</w:t>
            </w:r>
          </w:p>
          <w:p w:rsidR="00B7247E" w:rsidRPr="00FA739A" w:rsidRDefault="00B7247E" w:rsidP="00B7247E">
            <w:pPr>
              <w:jc w:val="left"/>
              <w:rPr>
                <w:rFonts w:ascii="Arial Narrow" w:hAnsi="Arial Narrow" w:cstheme="minorHAnsi"/>
                <w:sz w:val="20"/>
                <w:szCs w:val="20"/>
              </w:rPr>
            </w:pPr>
            <w:r w:rsidRPr="00FA739A">
              <w:rPr>
                <w:rFonts w:ascii="Arial Narrow" w:hAnsi="Arial Narrow" w:cstheme="minorHAnsi"/>
                <w:sz w:val="20"/>
                <w:szCs w:val="20"/>
              </w:rPr>
              <w:t>(n patients at risk)</w:t>
            </w:r>
          </w:p>
        </w:tc>
        <w:tc>
          <w:tcPr>
            <w:tcW w:w="1168" w:type="dxa"/>
            <w:tcMar>
              <w:top w:w="0" w:type="dxa"/>
              <w:left w:w="108" w:type="dxa"/>
              <w:bottom w:w="0" w:type="dxa"/>
              <w:right w:w="108" w:type="dxa"/>
            </w:tcMar>
            <w:vAlign w:val="center"/>
            <w:hideMark/>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19.3</w:t>
            </w:r>
          </w:p>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(~41 at risk)</w:t>
            </w:r>
          </w:p>
        </w:tc>
        <w:tc>
          <w:tcPr>
            <w:tcW w:w="1077" w:type="dxa"/>
            <w:tcMar>
              <w:top w:w="0" w:type="dxa"/>
              <w:left w:w="108" w:type="dxa"/>
              <w:bottom w:w="0" w:type="dxa"/>
              <w:right w:w="108" w:type="dxa"/>
            </w:tcMar>
            <w:vAlign w:val="center"/>
            <w:hideMark/>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45.3</w:t>
            </w:r>
          </w:p>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(&lt;5 at risk)</w:t>
            </w:r>
          </w:p>
        </w:tc>
        <w:tc>
          <w:tcPr>
            <w:tcW w:w="1157" w:type="dxa"/>
            <w:tcMar>
              <w:top w:w="0" w:type="dxa"/>
              <w:left w:w="108" w:type="dxa"/>
              <w:bottom w:w="0" w:type="dxa"/>
              <w:right w:w="108" w:type="dxa"/>
            </w:tcMar>
            <w:vAlign w:val="center"/>
            <w:hideMark/>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6.9</w:t>
            </w:r>
          </w:p>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(~37 at risk)</w:t>
            </w:r>
          </w:p>
        </w:tc>
        <w:tc>
          <w:tcPr>
            <w:tcW w:w="997" w:type="dxa"/>
            <w:tcMar>
              <w:top w:w="0" w:type="dxa"/>
              <w:left w:w="108" w:type="dxa"/>
              <w:bottom w:w="0" w:type="dxa"/>
              <w:right w:w="108" w:type="dxa"/>
            </w:tcMar>
            <w:vAlign w:val="center"/>
            <w:hideMark/>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29.4</w:t>
            </w:r>
          </w:p>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(42 at risk)</w:t>
            </w:r>
          </w:p>
        </w:tc>
        <w:tc>
          <w:tcPr>
            <w:tcW w:w="1532" w:type="dxa"/>
            <w:tcMar>
              <w:top w:w="0" w:type="dxa"/>
              <w:left w:w="108" w:type="dxa"/>
              <w:bottom w:w="0" w:type="dxa"/>
              <w:right w:w="108" w:type="dxa"/>
            </w:tcMar>
            <w:vAlign w:val="center"/>
            <w:hideMark/>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10: $</w:t>
            </w:r>
            <w:r w:rsidR="00AB6780">
              <w:rPr>
                <w:rFonts w:ascii="Arial Narrow" w:hAnsi="Arial Narrow" w:cstheme="minorHAnsi"/>
                <w:noProof/>
                <w:color w:val="000000"/>
                <w:sz w:val="20"/>
                <w:szCs w:val="20"/>
                <w:highlight w:val="black"/>
              </w:rPr>
              <w:t>''''''''''''''''</w:t>
            </w:r>
            <w:r w:rsidRPr="00FA739A">
              <w:rPr>
                <w:rFonts w:ascii="Arial Narrow" w:hAnsi="Arial Narrow" w:cstheme="minorHAnsi"/>
                <w:sz w:val="20"/>
                <w:szCs w:val="20"/>
              </w:rPr>
              <w:t>*</w:t>
            </w:r>
            <w:r w:rsidR="008E1CF1" w:rsidRPr="00AE5F1F">
              <w:rPr>
                <w:rFonts w:ascii="Arial Narrow" w:hAnsi="Arial Narrow" w:cstheme="minorHAnsi"/>
                <w:sz w:val="20"/>
                <w:szCs w:val="20"/>
                <w:vertAlign w:val="superscript"/>
              </w:rPr>
              <w:t>1</w:t>
            </w:r>
          </w:p>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7: $</w:t>
            </w:r>
            <w:r w:rsidR="00AB6780">
              <w:rPr>
                <w:rFonts w:ascii="Arial Narrow" w:hAnsi="Arial Narrow" w:cstheme="minorHAnsi"/>
                <w:noProof/>
                <w:color w:val="000000"/>
                <w:sz w:val="20"/>
                <w:szCs w:val="20"/>
                <w:highlight w:val="black"/>
              </w:rPr>
              <w:t>'''''''''''''''</w:t>
            </w:r>
            <w:r w:rsidRPr="00FA739A">
              <w:rPr>
                <w:rFonts w:ascii="Arial Narrow" w:hAnsi="Arial Narrow" w:cstheme="minorHAnsi"/>
                <w:sz w:val="20"/>
                <w:szCs w:val="20"/>
                <w:vertAlign w:val="superscript"/>
              </w:rPr>
              <w:t>#</w:t>
            </w:r>
            <w:r w:rsidR="008E1CF1" w:rsidRPr="00AE5F1F">
              <w:rPr>
                <w:rFonts w:ascii="Arial Narrow" w:hAnsi="Arial Narrow" w:cstheme="minorHAnsi"/>
                <w:sz w:val="20"/>
                <w:szCs w:val="20"/>
                <w:vertAlign w:val="superscript"/>
              </w:rPr>
              <w:t>1</w:t>
            </w:r>
          </w:p>
        </w:tc>
        <w:tc>
          <w:tcPr>
            <w:tcW w:w="1530" w:type="dxa"/>
            <w:tcMar>
              <w:top w:w="0" w:type="dxa"/>
              <w:left w:w="108" w:type="dxa"/>
              <w:bottom w:w="0" w:type="dxa"/>
              <w:right w:w="108" w:type="dxa"/>
            </w:tcMar>
            <w:vAlign w:val="center"/>
            <w:hideMark/>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w:t>
            </w:r>
            <w:r w:rsidR="00AB6780">
              <w:rPr>
                <w:rFonts w:ascii="Arial Narrow" w:hAnsi="Arial Narrow" w:cstheme="minorHAnsi"/>
                <w:noProof/>
                <w:color w:val="000000"/>
                <w:sz w:val="20"/>
                <w:szCs w:val="20"/>
                <w:highlight w:val="black"/>
              </w:rPr>
              <w:t>'''''''''''''''''''''''</w:t>
            </w:r>
          </w:p>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(-15.7%)</w:t>
            </w:r>
          </w:p>
        </w:tc>
      </w:tr>
      <w:tr w:rsidR="00B7247E" w:rsidRPr="00FA739A" w:rsidTr="00B7247E">
        <w:tc>
          <w:tcPr>
            <w:tcW w:w="1555" w:type="dxa"/>
            <w:tcMar>
              <w:top w:w="0" w:type="dxa"/>
              <w:left w:w="108" w:type="dxa"/>
              <w:bottom w:w="0" w:type="dxa"/>
              <w:right w:w="108" w:type="dxa"/>
            </w:tcMar>
            <w:vAlign w:val="center"/>
          </w:tcPr>
          <w:p w:rsidR="00B7247E" w:rsidRPr="00FA739A" w:rsidRDefault="00B7247E" w:rsidP="00B7247E">
            <w:pPr>
              <w:jc w:val="left"/>
              <w:rPr>
                <w:rFonts w:ascii="Arial Narrow" w:hAnsi="Arial Narrow" w:cstheme="minorHAnsi"/>
                <w:sz w:val="20"/>
                <w:szCs w:val="20"/>
              </w:rPr>
            </w:pPr>
            <w:r w:rsidRPr="00FA739A">
              <w:rPr>
                <w:rFonts w:ascii="Arial Narrow" w:hAnsi="Arial Narrow" w:cstheme="minorHAnsi"/>
                <w:sz w:val="20"/>
                <w:szCs w:val="20"/>
              </w:rPr>
              <w:t>Median follow-up</w:t>
            </w:r>
          </w:p>
        </w:tc>
        <w:tc>
          <w:tcPr>
            <w:tcW w:w="1168" w:type="dxa"/>
            <w:tcMar>
              <w:top w:w="0" w:type="dxa"/>
              <w:left w:w="108" w:type="dxa"/>
              <w:bottom w:w="0" w:type="dxa"/>
              <w:right w:w="108" w:type="dxa"/>
            </w:tcMar>
            <w:vAlign w:val="center"/>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39</w:t>
            </w:r>
          </w:p>
        </w:tc>
        <w:tc>
          <w:tcPr>
            <w:tcW w:w="1077" w:type="dxa"/>
            <w:tcMar>
              <w:top w:w="0" w:type="dxa"/>
              <w:left w:w="108" w:type="dxa"/>
              <w:bottom w:w="0" w:type="dxa"/>
              <w:right w:w="108" w:type="dxa"/>
            </w:tcMar>
            <w:vAlign w:val="center"/>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39</w:t>
            </w:r>
          </w:p>
        </w:tc>
        <w:tc>
          <w:tcPr>
            <w:tcW w:w="1157" w:type="dxa"/>
            <w:tcMar>
              <w:top w:w="0" w:type="dxa"/>
              <w:left w:w="108" w:type="dxa"/>
              <w:bottom w:w="0" w:type="dxa"/>
              <w:right w:w="108" w:type="dxa"/>
            </w:tcMar>
            <w:vAlign w:val="center"/>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18</w:t>
            </w:r>
          </w:p>
        </w:tc>
        <w:tc>
          <w:tcPr>
            <w:tcW w:w="997" w:type="dxa"/>
            <w:tcMar>
              <w:top w:w="0" w:type="dxa"/>
              <w:left w:w="108" w:type="dxa"/>
              <w:bottom w:w="0" w:type="dxa"/>
              <w:right w:w="108" w:type="dxa"/>
            </w:tcMar>
            <w:vAlign w:val="center"/>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18</w:t>
            </w:r>
          </w:p>
        </w:tc>
        <w:tc>
          <w:tcPr>
            <w:tcW w:w="1532" w:type="dxa"/>
            <w:tcMar>
              <w:top w:w="0" w:type="dxa"/>
              <w:left w:w="108" w:type="dxa"/>
              <w:bottom w:w="0" w:type="dxa"/>
              <w:right w:w="108" w:type="dxa"/>
            </w:tcMar>
            <w:vAlign w:val="center"/>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10: $</w:t>
            </w:r>
            <w:r w:rsidR="00AB6780">
              <w:rPr>
                <w:rFonts w:ascii="Arial Narrow" w:hAnsi="Arial Narrow" w:cstheme="minorHAnsi"/>
                <w:noProof/>
                <w:color w:val="000000"/>
                <w:sz w:val="20"/>
                <w:szCs w:val="20"/>
                <w:highlight w:val="black"/>
              </w:rPr>
              <w:t>''''''''''''''''</w:t>
            </w:r>
            <w:r w:rsidR="008E1CF1" w:rsidRPr="00AE5F1F">
              <w:rPr>
                <w:rFonts w:ascii="Arial Narrow" w:hAnsi="Arial Narrow" w:cstheme="minorHAnsi"/>
                <w:sz w:val="20"/>
                <w:szCs w:val="20"/>
                <w:vertAlign w:val="superscript"/>
              </w:rPr>
              <w:t>1</w:t>
            </w:r>
          </w:p>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7: $</w:t>
            </w:r>
            <w:r w:rsidR="00AB6780">
              <w:rPr>
                <w:rFonts w:ascii="Arial Narrow" w:hAnsi="Arial Narrow" w:cstheme="minorHAnsi"/>
                <w:noProof/>
                <w:color w:val="000000"/>
                <w:sz w:val="20"/>
                <w:szCs w:val="20"/>
                <w:highlight w:val="black"/>
              </w:rPr>
              <w:t>''''''''''''''''</w:t>
            </w:r>
            <w:r w:rsidR="008E1CF1" w:rsidRPr="00AE5F1F">
              <w:rPr>
                <w:rFonts w:ascii="Arial Narrow" w:hAnsi="Arial Narrow" w:cstheme="minorHAnsi"/>
                <w:sz w:val="20"/>
                <w:szCs w:val="20"/>
                <w:vertAlign w:val="superscript"/>
              </w:rPr>
              <w:t>1</w:t>
            </w:r>
          </w:p>
        </w:tc>
        <w:tc>
          <w:tcPr>
            <w:tcW w:w="1530" w:type="dxa"/>
            <w:tcMar>
              <w:top w:w="0" w:type="dxa"/>
              <w:left w:w="108" w:type="dxa"/>
              <w:bottom w:w="0" w:type="dxa"/>
              <w:right w:w="108" w:type="dxa"/>
            </w:tcMar>
            <w:vAlign w:val="center"/>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w:t>
            </w:r>
            <w:r w:rsidR="00AB6780">
              <w:rPr>
                <w:rFonts w:ascii="Arial Narrow" w:hAnsi="Arial Narrow" w:cstheme="minorHAnsi"/>
                <w:noProof/>
                <w:color w:val="000000"/>
                <w:sz w:val="20"/>
                <w:szCs w:val="20"/>
                <w:highlight w:val="black"/>
              </w:rPr>
              <w:t>''''''''''''''''''''</w:t>
            </w:r>
          </w:p>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(-17.3%)</w:t>
            </w:r>
          </w:p>
        </w:tc>
      </w:tr>
      <w:tr w:rsidR="00B7247E" w:rsidRPr="00FA739A" w:rsidTr="00B7247E">
        <w:tc>
          <w:tcPr>
            <w:tcW w:w="9016" w:type="dxa"/>
            <w:gridSpan w:val="7"/>
            <w:tcMar>
              <w:top w:w="0" w:type="dxa"/>
              <w:left w:w="108" w:type="dxa"/>
              <w:bottom w:w="0" w:type="dxa"/>
              <w:right w:w="108" w:type="dxa"/>
            </w:tcMar>
            <w:vAlign w:val="center"/>
          </w:tcPr>
          <w:p w:rsidR="00B7247E" w:rsidRPr="00FA739A" w:rsidRDefault="00B7247E" w:rsidP="00B7247E">
            <w:pPr>
              <w:jc w:val="left"/>
              <w:rPr>
                <w:rFonts w:ascii="Arial Narrow" w:hAnsi="Arial Narrow" w:cstheme="minorHAnsi"/>
                <w:sz w:val="20"/>
                <w:szCs w:val="20"/>
              </w:rPr>
            </w:pPr>
            <w:r w:rsidRPr="00FA739A">
              <w:rPr>
                <w:rFonts w:ascii="Arial Narrow" w:hAnsi="Arial Narrow" w:cstheme="minorHAnsi"/>
                <w:b/>
                <w:bCs/>
                <w:sz w:val="20"/>
                <w:szCs w:val="20"/>
              </w:rPr>
              <w:t>Sensitivity analyses +/- 5%</w:t>
            </w:r>
          </w:p>
        </w:tc>
      </w:tr>
      <w:tr w:rsidR="00B7247E" w:rsidRPr="00FA739A" w:rsidTr="00B7247E">
        <w:tc>
          <w:tcPr>
            <w:tcW w:w="1555" w:type="dxa"/>
            <w:tcMar>
              <w:top w:w="0" w:type="dxa"/>
              <w:left w:w="108" w:type="dxa"/>
              <w:bottom w:w="0" w:type="dxa"/>
              <w:right w:w="108" w:type="dxa"/>
            </w:tcMar>
            <w:vAlign w:val="center"/>
            <w:hideMark/>
          </w:tcPr>
          <w:p w:rsidR="00B7247E" w:rsidRPr="00FA739A" w:rsidRDefault="00B7247E" w:rsidP="00B7247E">
            <w:pPr>
              <w:jc w:val="left"/>
              <w:rPr>
                <w:rFonts w:ascii="Arial Narrow" w:hAnsi="Arial Narrow" w:cstheme="minorHAnsi"/>
                <w:sz w:val="20"/>
                <w:szCs w:val="20"/>
              </w:rPr>
            </w:pPr>
            <w:r w:rsidRPr="00FA739A">
              <w:rPr>
                <w:rFonts w:ascii="Arial Narrow" w:hAnsi="Arial Narrow" w:cstheme="minorHAnsi"/>
                <w:sz w:val="20"/>
                <w:szCs w:val="20"/>
              </w:rPr>
              <w:t>25% of patients at risk,  n = 25</w:t>
            </w:r>
          </w:p>
        </w:tc>
        <w:tc>
          <w:tcPr>
            <w:tcW w:w="1168" w:type="dxa"/>
            <w:tcMar>
              <w:top w:w="0" w:type="dxa"/>
              <w:left w:w="108" w:type="dxa"/>
              <w:bottom w:w="0" w:type="dxa"/>
              <w:right w:w="108" w:type="dxa"/>
            </w:tcMar>
            <w:vAlign w:val="center"/>
            <w:hideMark/>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31</w:t>
            </w:r>
          </w:p>
        </w:tc>
        <w:tc>
          <w:tcPr>
            <w:tcW w:w="1077" w:type="dxa"/>
            <w:tcMar>
              <w:top w:w="0" w:type="dxa"/>
              <w:left w:w="108" w:type="dxa"/>
              <w:bottom w:w="0" w:type="dxa"/>
              <w:right w:w="108" w:type="dxa"/>
            </w:tcMar>
            <w:vAlign w:val="center"/>
            <w:hideMark/>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38</w:t>
            </w:r>
          </w:p>
        </w:tc>
        <w:tc>
          <w:tcPr>
            <w:tcW w:w="1157" w:type="dxa"/>
            <w:tcMar>
              <w:top w:w="0" w:type="dxa"/>
              <w:left w:w="108" w:type="dxa"/>
              <w:bottom w:w="0" w:type="dxa"/>
              <w:right w:w="108" w:type="dxa"/>
            </w:tcMar>
            <w:vAlign w:val="center"/>
            <w:hideMark/>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10</w:t>
            </w:r>
          </w:p>
        </w:tc>
        <w:tc>
          <w:tcPr>
            <w:tcW w:w="997" w:type="dxa"/>
            <w:tcMar>
              <w:top w:w="0" w:type="dxa"/>
              <w:left w:w="108" w:type="dxa"/>
              <w:bottom w:w="0" w:type="dxa"/>
              <w:right w:w="108" w:type="dxa"/>
            </w:tcMar>
            <w:vAlign w:val="center"/>
            <w:hideMark/>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35</w:t>
            </w:r>
          </w:p>
        </w:tc>
        <w:tc>
          <w:tcPr>
            <w:tcW w:w="1532" w:type="dxa"/>
            <w:tcMar>
              <w:top w:w="0" w:type="dxa"/>
              <w:left w:w="108" w:type="dxa"/>
              <w:bottom w:w="0" w:type="dxa"/>
              <w:right w:w="108" w:type="dxa"/>
            </w:tcMar>
            <w:vAlign w:val="center"/>
            <w:hideMark/>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10: $</w:t>
            </w:r>
            <w:r w:rsidR="00AB6780">
              <w:rPr>
                <w:rFonts w:ascii="Arial Narrow" w:hAnsi="Arial Narrow" w:cstheme="minorHAnsi"/>
                <w:noProof/>
                <w:color w:val="000000"/>
                <w:sz w:val="20"/>
                <w:szCs w:val="20"/>
                <w:highlight w:val="black"/>
              </w:rPr>
              <w:t>'''''''''''''''''</w:t>
            </w:r>
            <w:r w:rsidR="008E1CF1" w:rsidRPr="00AE5F1F">
              <w:rPr>
                <w:rFonts w:ascii="Arial Narrow" w:hAnsi="Arial Narrow" w:cstheme="minorHAnsi"/>
                <w:sz w:val="20"/>
                <w:szCs w:val="20"/>
                <w:vertAlign w:val="superscript"/>
              </w:rPr>
              <w:t>1</w:t>
            </w:r>
          </w:p>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7: $</w:t>
            </w:r>
            <w:r w:rsidR="00AB6780">
              <w:rPr>
                <w:rFonts w:ascii="Arial Narrow" w:hAnsi="Arial Narrow" w:cstheme="minorHAnsi"/>
                <w:noProof/>
                <w:color w:val="000000"/>
                <w:sz w:val="20"/>
                <w:szCs w:val="20"/>
                <w:highlight w:val="black"/>
              </w:rPr>
              <w:t>'''''''''''''''''</w:t>
            </w:r>
            <w:r w:rsidR="008E1CF1" w:rsidRPr="00AE5F1F">
              <w:rPr>
                <w:rFonts w:ascii="Arial Narrow" w:hAnsi="Arial Narrow" w:cstheme="minorHAnsi"/>
                <w:sz w:val="20"/>
                <w:szCs w:val="20"/>
                <w:vertAlign w:val="superscript"/>
              </w:rPr>
              <w:t>1</w:t>
            </w:r>
          </w:p>
        </w:tc>
        <w:tc>
          <w:tcPr>
            <w:tcW w:w="1530" w:type="dxa"/>
            <w:tcMar>
              <w:top w:w="0" w:type="dxa"/>
              <w:left w:w="108" w:type="dxa"/>
              <w:bottom w:w="0" w:type="dxa"/>
              <w:right w:w="108" w:type="dxa"/>
            </w:tcMar>
            <w:vAlign w:val="center"/>
            <w:hideMark/>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w:t>
            </w:r>
            <w:r w:rsidR="00AB6780">
              <w:rPr>
                <w:rFonts w:ascii="Arial Narrow" w:hAnsi="Arial Narrow" w:cstheme="minorHAnsi"/>
                <w:noProof/>
                <w:color w:val="000000"/>
                <w:sz w:val="20"/>
                <w:szCs w:val="20"/>
                <w:highlight w:val="black"/>
              </w:rPr>
              <w:t>''''''''''''''''''''</w:t>
            </w:r>
          </w:p>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(-9.8%)</w:t>
            </w:r>
          </w:p>
        </w:tc>
      </w:tr>
      <w:tr w:rsidR="00B7247E" w:rsidRPr="00FA739A" w:rsidTr="00B7247E">
        <w:tc>
          <w:tcPr>
            <w:tcW w:w="1555" w:type="dxa"/>
            <w:tcMar>
              <w:top w:w="0" w:type="dxa"/>
              <w:left w:w="108" w:type="dxa"/>
              <w:bottom w:w="0" w:type="dxa"/>
              <w:right w:w="108" w:type="dxa"/>
            </w:tcMar>
            <w:vAlign w:val="center"/>
            <w:hideMark/>
          </w:tcPr>
          <w:p w:rsidR="00B7247E" w:rsidRPr="00FA739A" w:rsidRDefault="00B7247E" w:rsidP="00B7247E">
            <w:pPr>
              <w:jc w:val="left"/>
              <w:rPr>
                <w:rFonts w:ascii="Arial Narrow" w:hAnsi="Arial Narrow" w:cstheme="minorHAnsi"/>
                <w:sz w:val="20"/>
                <w:szCs w:val="20"/>
              </w:rPr>
            </w:pPr>
            <w:r w:rsidRPr="00FA739A">
              <w:rPr>
                <w:rFonts w:ascii="Arial Narrow" w:hAnsi="Arial Narrow" w:cstheme="minorHAnsi"/>
                <w:sz w:val="20"/>
                <w:szCs w:val="20"/>
              </w:rPr>
              <w:t>15% of patients at risk,  n =15</w:t>
            </w:r>
          </w:p>
        </w:tc>
        <w:tc>
          <w:tcPr>
            <w:tcW w:w="1168" w:type="dxa"/>
            <w:tcMar>
              <w:top w:w="0" w:type="dxa"/>
              <w:left w:w="108" w:type="dxa"/>
              <w:bottom w:w="0" w:type="dxa"/>
              <w:right w:w="108" w:type="dxa"/>
            </w:tcMar>
            <w:vAlign w:val="center"/>
            <w:hideMark/>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35</w:t>
            </w:r>
          </w:p>
        </w:tc>
        <w:tc>
          <w:tcPr>
            <w:tcW w:w="1077" w:type="dxa"/>
            <w:tcMar>
              <w:top w:w="0" w:type="dxa"/>
              <w:left w:w="108" w:type="dxa"/>
              <w:bottom w:w="0" w:type="dxa"/>
              <w:right w:w="108" w:type="dxa"/>
            </w:tcMar>
            <w:vAlign w:val="center"/>
            <w:hideMark/>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40</w:t>
            </w:r>
          </w:p>
        </w:tc>
        <w:tc>
          <w:tcPr>
            <w:tcW w:w="1157" w:type="dxa"/>
            <w:tcMar>
              <w:top w:w="0" w:type="dxa"/>
              <w:left w:w="108" w:type="dxa"/>
              <w:bottom w:w="0" w:type="dxa"/>
              <w:right w:w="108" w:type="dxa"/>
            </w:tcMar>
            <w:vAlign w:val="center"/>
            <w:hideMark/>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13</w:t>
            </w:r>
          </w:p>
        </w:tc>
        <w:tc>
          <w:tcPr>
            <w:tcW w:w="997" w:type="dxa"/>
            <w:tcMar>
              <w:top w:w="0" w:type="dxa"/>
              <w:left w:w="108" w:type="dxa"/>
              <w:bottom w:w="0" w:type="dxa"/>
              <w:right w:w="108" w:type="dxa"/>
            </w:tcMar>
            <w:vAlign w:val="center"/>
            <w:hideMark/>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37.5</w:t>
            </w:r>
          </w:p>
        </w:tc>
        <w:tc>
          <w:tcPr>
            <w:tcW w:w="1532" w:type="dxa"/>
            <w:tcMar>
              <w:top w:w="0" w:type="dxa"/>
              <w:left w:w="108" w:type="dxa"/>
              <w:bottom w:w="0" w:type="dxa"/>
              <w:right w:w="108" w:type="dxa"/>
            </w:tcMar>
            <w:vAlign w:val="center"/>
            <w:hideMark/>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10: $</w:t>
            </w:r>
            <w:r w:rsidR="00AB6780">
              <w:rPr>
                <w:rFonts w:ascii="Arial Narrow" w:hAnsi="Arial Narrow" w:cstheme="minorHAnsi"/>
                <w:noProof/>
                <w:color w:val="000000"/>
                <w:sz w:val="20"/>
                <w:szCs w:val="20"/>
                <w:highlight w:val="black"/>
              </w:rPr>
              <w:t>'''''''''''''''</w:t>
            </w:r>
            <w:r w:rsidR="008E1CF1" w:rsidRPr="00AE5F1F">
              <w:rPr>
                <w:rFonts w:ascii="Arial Narrow" w:hAnsi="Arial Narrow" w:cstheme="minorHAnsi"/>
                <w:sz w:val="20"/>
                <w:szCs w:val="20"/>
                <w:vertAlign w:val="superscript"/>
              </w:rPr>
              <w:t>1</w:t>
            </w:r>
          </w:p>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7: $</w:t>
            </w:r>
            <w:r w:rsidR="00AB6780">
              <w:rPr>
                <w:rFonts w:ascii="Arial Narrow" w:hAnsi="Arial Narrow" w:cstheme="minorHAnsi"/>
                <w:noProof/>
                <w:color w:val="000000"/>
                <w:sz w:val="20"/>
                <w:szCs w:val="20"/>
                <w:highlight w:val="black"/>
              </w:rPr>
              <w:t>'''''''''''''''''</w:t>
            </w:r>
            <w:r w:rsidR="008E1CF1" w:rsidRPr="00AE5F1F">
              <w:rPr>
                <w:rFonts w:ascii="Arial Narrow" w:hAnsi="Arial Narrow" w:cstheme="minorHAnsi"/>
                <w:sz w:val="20"/>
                <w:szCs w:val="20"/>
                <w:vertAlign w:val="superscript"/>
              </w:rPr>
              <w:t>1</w:t>
            </w:r>
          </w:p>
        </w:tc>
        <w:tc>
          <w:tcPr>
            <w:tcW w:w="1530" w:type="dxa"/>
            <w:tcMar>
              <w:top w:w="0" w:type="dxa"/>
              <w:left w:w="108" w:type="dxa"/>
              <w:bottom w:w="0" w:type="dxa"/>
              <w:right w:w="108" w:type="dxa"/>
            </w:tcMar>
            <w:vAlign w:val="center"/>
            <w:hideMark/>
          </w:tcPr>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w:t>
            </w:r>
            <w:r w:rsidR="00AB6780">
              <w:rPr>
                <w:rFonts w:ascii="Arial Narrow" w:hAnsi="Arial Narrow" w:cstheme="minorHAnsi"/>
                <w:noProof/>
                <w:color w:val="000000"/>
                <w:sz w:val="20"/>
                <w:szCs w:val="20"/>
                <w:highlight w:val="black"/>
              </w:rPr>
              <w:t>''''''''''''''''''''</w:t>
            </w:r>
          </w:p>
          <w:p w:rsidR="00B7247E" w:rsidRPr="00FA739A" w:rsidRDefault="00B7247E" w:rsidP="00B7247E">
            <w:pPr>
              <w:jc w:val="center"/>
              <w:rPr>
                <w:rFonts w:ascii="Arial Narrow" w:hAnsi="Arial Narrow" w:cstheme="minorHAnsi"/>
                <w:sz w:val="20"/>
                <w:szCs w:val="20"/>
              </w:rPr>
            </w:pPr>
            <w:r w:rsidRPr="00FA739A">
              <w:rPr>
                <w:rFonts w:ascii="Arial Narrow" w:hAnsi="Arial Narrow" w:cstheme="minorHAnsi"/>
                <w:sz w:val="20"/>
                <w:szCs w:val="20"/>
              </w:rPr>
              <w:t>(-9.9%)</w:t>
            </w:r>
          </w:p>
        </w:tc>
      </w:tr>
    </w:tbl>
    <w:p w:rsidR="005D76CD" w:rsidRPr="00FA739A" w:rsidRDefault="005D76CD" w:rsidP="005D76CD">
      <w:pPr>
        <w:pStyle w:val="TableFooter"/>
      </w:pPr>
      <w:r w:rsidRPr="00FA739A">
        <w:t xml:space="preserve">Source: Table 3, p. 8 of the resubmission; </w:t>
      </w:r>
      <w:r w:rsidRPr="00FA739A">
        <w:rPr>
          <w:b/>
        </w:rPr>
        <w:t>Bold</w:t>
      </w:r>
      <w:r w:rsidRPr="00FA739A">
        <w:t xml:space="preserve"> indicates price proposed by the sponsor </w:t>
      </w:r>
    </w:p>
    <w:p w:rsidR="005D76CD" w:rsidRDefault="005D76CD" w:rsidP="00E47C72">
      <w:pPr>
        <w:pStyle w:val="TableFooter"/>
      </w:pPr>
      <w:r w:rsidRPr="00FA739A">
        <w:t>* evaluation methodology updated with Aug 2020 prices, this becomes $</w:t>
      </w:r>
      <w:r w:rsidR="00AB6780">
        <w:rPr>
          <w:noProof/>
          <w:color w:val="000000"/>
          <w:highlight w:val="black"/>
        </w:rPr>
        <w:t>''''''''''''''''''</w:t>
      </w:r>
      <w:r w:rsidR="008E1CF1" w:rsidRPr="00AE5F1F">
        <w:rPr>
          <w:rFonts w:cstheme="minorHAnsi"/>
          <w:sz w:val="20"/>
          <w:szCs w:val="20"/>
          <w:vertAlign w:val="superscript"/>
        </w:rPr>
        <w:t>1</w:t>
      </w:r>
      <w:r w:rsidRPr="00FA739A">
        <w:t xml:space="preserve">, </w:t>
      </w:r>
      <w:r w:rsidRPr="00FA739A">
        <w:rPr>
          <w:vertAlign w:val="superscript"/>
        </w:rPr>
        <w:t>#</w:t>
      </w:r>
      <w:r w:rsidRPr="00FA739A">
        <w:t xml:space="preserve"> updated with Aug 2020 prices, this becomes $</w:t>
      </w:r>
      <w:r w:rsidR="00AB6780">
        <w:rPr>
          <w:noProof/>
          <w:color w:val="000000"/>
          <w:highlight w:val="black"/>
        </w:rPr>
        <w:t>''''''''''''''''''</w:t>
      </w:r>
      <w:r w:rsidR="008E1CF1" w:rsidRPr="00AE5F1F">
        <w:rPr>
          <w:rFonts w:cstheme="minorHAnsi"/>
          <w:sz w:val="20"/>
          <w:szCs w:val="20"/>
          <w:vertAlign w:val="superscript"/>
        </w:rPr>
        <w:t>1</w:t>
      </w:r>
      <w:r w:rsidR="00E36C71" w:rsidRPr="00FA739A">
        <w:t>, ^ Brackets indicate reduction in AEMP required, compared with the 2L price in the July 2020 submission (AEMP: $</w:t>
      </w:r>
      <w:r w:rsidR="00AB6780">
        <w:rPr>
          <w:noProof/>
          <w:color w:val="000000"/>
          <w:highlight w:val="black"/>
        </w:rPr>
        <w:t>'''''''''''''''''''''</w:t>
      </w:r>
      <w:r w:rsidR="00E36C71" w:rsidRPr="00FA739A">
        <w:t>).</w:t>
      </w:r>
    </w:p>
    <w:p w:rsidR="00CB6189" w:rsidRDefault="00CB6189" w:rsidP="00CB6189">
      <w:pPr>
        <w:pStyle w:val="TableFigureFooter"/>
        <w:spacing w:after="0"/>
        <w:contextualSpacing w:val="0"/>
        <w:rPr>
          <w:i/>
        </w:rPr>
      </w:pPr>
      <w:r w:rsidRPr="009868C4">
        <w:rPr>
          <w:i/>
        </w:rPr>
        <w:t>The redacted values correspond to the following ranges</w:t>
      </w:r>
      <w:r>
        <w:rPr>
          <w:i/>
        </w:rPr>
        <w:t xml:space="preserve">: </w:t>
      </w:r>
    </w:p>
    <w:p w:rsidR="00CB6189" w:rsidRPr="00E47C72" w:rsidRDefault="008E1CF1" w:rsidP="00CB6189">
      <w:pPr>
        <w:pStyle w:val="TableFigureFooter"/>
        <w:spacing w:after="0"/>
        <w:contextualSpacing w:val="0"/>
        <w:rPr>
          <w:i/>
        </w:rPr>
      </w:pPr>
      <w:r w:rsidRPr="00E47C72">
        <w:rPr>
          <w:i/>
          <w:vertAlign w:val="superscript"/>
        </w:rPr>
        <w:t>1</w:t>
      </w:r>
      <w:r w:rsidRPr="00E47C72">
        <w:rPr>
          <w:i/>
        </w:rPr>
        <w:t xml:space="preserve"> $55,000 to &lt; $75,000</w:t>
      </w:r>
    </w:p>
    <w:p w:rsidR="00CB6189" w:rsidRPr="00FA739A" w:rsidRDefault="00CB6189" w:rsidP="005D76CD">
      <w:pPr>
        <w:pStyle w:val="TableFooter"/>
        <w:spacing w:after="240"/>
      </w:pPr>
    </w:p>
    <w:p w:rsidR="005D76CD" w:rsidRPr="00FA739A" w:rsidRDefault="005D76CD" w:rsidP="005D76CD">
      <w:pPr>
        <w:pStyle w:val="3Bodytext"/>
        <w:jc w:val="both"/>
        <w:rPr>
          <w:rFonts w:cstheme="minorHAnsi"/>
          <w:szCs w:val="24"/>
        </w:rPr>
      </w:pPr>
      <w:r w:rsidRPr="00FA739A">
        <w:rPr>
          <w:rFonts w:cstheme="minorHAnsi"/>
          <w:szCs w:val="24"/>
        </w:rPr>
        <w:t xml:space="preserve">The resubmission </w:t>
      </w:r>
      <w:r w:rsidR="00A87F2E" w:rsidRPr="00FA739A">
        <w:rPr>
          <w:rFonts w:cstheme="minorHAnsi"/>
          <w:szCs w:val="24"/>
        </w:rPr>
        <w:t xml:space="preserve">proposed </w:t>
      </w:r>
      <w:r w:rsidRPr="00FA739A">
        <w:rPr>
          <w:rFonts w:cstheme="minorHAnsi"/>
          <w:szCs w:val="24"/>
        </w:rPr>
        <w:t>an AEMP of $</w:t>
      </w:r>
      <w:r w:rsidR="00AB6780">
        <w:rPr>
          <w:rFonts w:cstheme="minorHAnsi"/>
          <w:noProof/>
          <w:color w:val="000000"/>
          <w:szCs w:val="24"/>
          <w:highlight w:val="black"/>
        </w:rPr>
        <w:t>''''''''''''''''''</w:t>
      </w:r>
      <w:r w:rsidRPr="00FA739A">
        <w:rPr>
          <w:rFonts w:cstheme="minorHAnsi"/>
          <w:szCs w:val="24"/>
        </w:rPr>
        <w:t xml:space="preserve"> (in this setting) based on a revised base case comprising a 7 year time horizon, and observed K-M data up to the point at which 20% of patients remain at risk, with an ICER of $</w:t>
      </w:r>
      <w:r w:rsidR="00B7668F">
        <w:rPr>
          <w:rFonts w:cstheme="minorHAnsi"/>
          <w:szCs w:val="24"/>
        </w:rPr>
        <w:t>55,000 to &lt; $75,000</w:t>
      </w:r>
      <w:r w:rsidRPr="00FA739A">
        <w:rPr>
          <w:rFonts w:cstheme="minorHAnsi"/>
          <w:szCs w:val="24"/>
        </w:rPr>
        <w:t xml:space="preserve">/QALY. </w:t>
      </w:r>
    </w:p>
    <w:p w:rsidR="003C2FB5" w:rsidRPr="00FA739A" w:rsidRDefault="006340A7" w:rsidP="00917D69">
      <w:pPr>
        <w:pStyle w:val="4-SubsectionHeading"/>
        <w:rPr>
          <w:lang w:eastAsia="en-US"/>
        </w:rPr>
      </w:pPr>
      <w:r w:rsidRPr="00FA739A">
        <w:rPr>
          <w:lang w:eastAsia="en-US"/>
        </w:rPr>
        <w:lastRenderedPageBreak/>
        <w:t>Drug cost/patient/</w:t>
      </w:r>
      <w:r w:rsidR="00A55FEE" w:rsidRPr="00FA739A">
        <w:rPr>
          <w:lang w:eastAsia="en-US"/>
        </w:rPr>
        <w:t>course</w:t>
      </w:r>
    </w:p>
    <w:p w:rsidR="00A55FEE" w:rsidRPr="00FA739A" w:rsidRDefault="003064AF" w:rsidP="007D6B49">
      <w:pPr>
        <w:pStyle w:val="3Bodytext"/>
        <w:jc w:val="both"/>
      </w:pPr>
      <w:r w:rsidRPr="00FA739A">
        <w:t>The estimated drug cost</w:t>
      </w:r>
      <w:r w:rsidR="00BB6C06" w:rsidRPr="00FA739A">
        <w:t>/</w:t>
      </w:r>
      <w:r w:rsidR="0052792D" w:rsidRPr="00FA739A">
        <w:t>patient</w:t>
      </w:r>
      <w:r w:rsidR="00BB6C06" w:rsidRPr="00FA739A">
        <w:t>/</w:t>
      </w:r>
      <w:r w:rsidR="0052792D" w:rsidRPr="00FA739A">
        <w:t xml:space="preserve">course </w:t>
      </w:r>
      <w:r w:rsidR="00BB6C06" w:rsidRPr="00FA739A">
        <w:t xml:space="preserve">for RIBO+FULV in first line treatment </w:t>
      </w:r>
      <w:r w:rsidR="0052792D" w:rsidRPr="00FA739A">
        <w:t xml:space="preserve">would be </w:t>
      </w:r>
      <w:r w:rsidR="00D41577" w:rsidRPr="00FA739A">
        <w:t>$</w:t>
      </w:r>
      <w:r w:rsidR="00AB6780">
        <w:rPr>
          <w:noProof/>
          <w:color w:val="000000"/>
          <w:highlight w:val="black"/>
        </w:rPr>
        <w:t>''''''''''''''''''</w:t>
      </w:r>
      <w:r w:rsidR="00D41577" w:rsidRPr="00FA739A">
        <w:t xml:space="preserve"> ($</w:t>
      </w:r>
      <w:r w:rsidR="00AB6780">
        <w:rPr>
          <w:noProof/>
          <w:color w:val="000000"/>
          <w:highlight w:val="black"/>
        </w:rPr>
        <w:t>''''''''''''''''''''</w:t>
      </w:r>
      <w:r w:rsidR="00D41577" w:rsidRPr="00FA739A">
        <w:t xml:space="preserve"> for ribociclib, and $</w:t>
      </w:r>
      <w:r w:rsidR="00AB6780">
        <w:rPr>
          <w:noProof/>
          <w:color w:val="000000"/>
          <w:highlight w:val="black"/>
        </w:rPr>
        <w:t>'''''''''''''''''</w:t>
      </w:r>
      <w:r w:rsidR="00D41577" w:rsidRPr="00FA739A">
        <w:t xml:space="preserve"> for the fulvestrant component</w:t>
      </w:r>
      <w:r w:rsidRPr="00FA739A">
        <w:t>, based on a</w:t>
      </w:r>
      <w:r w:rsidR="00BB6C06" w:rsidRPr="00FA739A">
        <w:t xml:space="preserve"> </w:t>
      </w:r>
      <w:r w:rsidR="00001663" w:rsidRPr="00FA739A">
        <w:t>course duration</w:t>
      </w:r>
      <w:r w:rsidR="00D41577" w:rsidRPr="00FA739A">
        <w:t xml:space="preserve"> of 20.2 months (21.96 cycles</w:t>
      </w:r>
      <w:r w:rsidR="00CA0A47" w:rsidRPr="00FA739A">
        <w:t>, per the financial estimates</w:t>
      </w:r>
      <w:r w:rsidR="00D41577" w:rsidRPr="00FA739A">
        <w:t xml:space="preserve">) and </w:t>
      </w:r>
      <w:r w:rsidR="0035013A" w:rsidRPr="00FA739A">
        <w:t xml:space="preserve">weighted </w:t>
      </w:r>
      <w:r w:rsidR="00D41577" w:rsidRPr="00FA739A">
        <w:t>DPM</w:t>
      </w:r>
      <w:r w:rsidR="00910ADB" w:rsidRPr="00FA739A">
        <w:t>Q</w:t>
      </w:r>
      <w:r w:rsidR="00D41577" w:rsidRPr="00FA739A">
        <w:t xml:space="preserve"> of $</w:t>
      </w:r>
      <w:r w:rsidR="00AB6780">
        <w:rPr>
          <w:noProof/>
          <w:color w:val="000000"/>
          <w:highlight w:val="black"/>
        </w:rPr>
        <w:t>'''''''''''''''</w:t>
      </w:r>
      <w:r w:rsidR="00D41577" w:rsidRPr="00FA739A">
        <w:t xml:space="preserve"> for ribociclib and </w:t>
      </w:r>
      <w:r w:rsidR="0035013A" w:rsidRPr="00FA739A">
        <w:t xml:space="preserve">DPMA </w:t>
      </w:r>
      <w:r w:rsidR="00D41577" w:rsidRPr="00FA739A">
        <w:t>$</w:t>
      </w:r>
      <w:r w:rsidR="00AB6780">
        <w:rPr>
          <w:noProof/>
          <w:color w:val="000000"/>
          <w:highlight w:val="black"/>
        </w:rPr>
        <w:t>'''''''''''''</w:t>
      </w:r>
      <w:r w:rsidR="00D41577" w:rsidRPr="00FA739A">
        <w:t xml:space="preserve"> for fulvestrant</w:t>
      </w:r>
      <w:r w:rsidRPr="00FA739A">
        <w:t xml:space="preserve">. </w:t>
      </w:r>
    </w:p>
    <w:p w:rsidR="0035013A" w:rsidRPr="00FA739A" w:rsidRDefault="0035013A" w:rsidP="007D6B49">
      <w:pPr>
        <w:pStyle w:val="3Bodytext"/>
        <w:jc w:val="both"/>
      </w:pPr>
      <w:r w:rsidRPr="00FA739A">
        <w:t xml:space="preserve">The estimated drug cost/patient/course for RIBO+FULV in second line treatment would be </w:t>
      </w:r>
      <w:r w:rsidR="00E55E9D" w:rsidRPr="00FA739A">
        <w:t>$</w:t>
      </w:r>
      <w:r w:rsidR="00AB6780">
        <w:rPr>
          <w:noProof/>
          <w:color w:val="000000"/>
          <w:highlight w:val="black"/>
        </w:rPr>
        <w:t>''''''''''''''''''</w:t>
      </w:r>
      <w:r w:rsidR="00E55E9D" w:rsidRPr="00FA739A">
        <w:t xml:space="preserve"> </w:t>
      </w:r>
      <w:r w:rsidRPr="00FA739A">
        <w:t>(</w:t>
      </w:r>
      <w:r w:rsidR="00E55E9D" w:rsidRPr="00FA739A">
        <w:t>$</w:t>
      </w:r>
      <w:r w:rsidR="00AB6780">
        <w:rPr>
          <w:noProof/>
          <w:color w:val="000000"/>
          <w:highlight w:val="black"/>
        </w:rPr>
        <w:t>''''''''''''''''''</w:t>
      </w:r>
      <w:r w:rsidR="00E55E9D" w:rsidRPr="00FA739A">
        <w:t xml:space="preserve"> </w:t>
      </w:r>
      <w:r w:rsidRPr="00FA739A">
        <w:t>for ribociclib, and $</w:t>
      </w:r>
      <w:r w:rsidR="00AB6780">
        <w:rPr>
          <w:noProof/>
          <w:color w:val="000000"/>
          <w:highlight w:val="black"/>
        </w:rPr>
        <w:t>''''''''''''''''''</w:t>
      </w:r>
      <w:r w:rsidRPr="00FA739A">
        <w:t xml:space="preserve"> for the fulvestrant component, based on a course duration of 13.3 months (14.46 cycles</w:t>
      </w:r>
      <w:r w:rsidR="00453FF7" w:rsidRPr="00FA739A">
        <w:t>, per the financial estimates</w:t>
      </w:r>
      <w:r w:rsidRPr="00FA739A">
        <w:t xml:space="preserve">) and </w:t>
      </w:r>
      <w:r w:rsidR="00776321" w:rsidRPr="00FA739A">
        <w:t xml:space="preserve">the same </w:t>
      </w:r>
      <w:r w:rsidRPr="00FA739A">
        <w:t>weighted DPM</w:t>
      </w:r>
      <w:r w:rsidR="00910ADB" w:rsidRPr="00FA739A">
        <w:t>Q/DPMA</w:t>
      </w:r>
      <w:r w:rsidRPr="00FA739A">
        <w:t xml:space="preserve"> for ribociclib and fulvestrant</w:t>
      </w:r>
      <w:r w:rsidR="002158AB" w:rsidRPr="00FA739A">
        <w:t xml:space="preserve"> as above</w:t>
      </w:r>
      <w:r w:rsidRPr="00FA739A">
        <w:t xml:space="preserve">. </w:t>
      </w:r>
    </w:p>
    <w:p w:rsidR="005A3173" w:rsidRPr="00FA739A" w:rsidRDefault="005A3173" w:rsidP="00173119">
      <w:pPr>
        <w:pStyle w:val="4-SubsectionHeading"/>
        <w:rPr>
          <w:lang w:eastAsia="en-US"/>
        </w:rPr>
      </w:pPr>
      <w:r w:rsidRPr="00FA739A">
        <w:rPr>
          <w:lang w:eastAsia="en-US"/>
        </w:rPr>
        <w:t>Estimated PBS usage &amp; financial implications</w:t>
      </w:r>
    </w:p>
    <w:p w:rsidR="008E519A" w:rsidRPr="00FA739A" w:rsidRDefault="00FF2801" w:rsidP="007D6B49">
      <w:pPr>
        <w:pStyle w:val="3Bodytext"/>
        <w:jc w:val="both"/>
        <w:rPr>
          <w:b/>
          <w:color w:val="FF00FF"/>
        </w:rPr>
      </w:pPr>
      <w:r w:rsidRPr="00FA739A">
        <w:t xml:space="preserve">The minor </w:t>
      </w:r>
      <w:r w:rsidR="001301DB" w:rsidRPr="00FA739A">
        <w:t>re</w:t>
      </w:r>
      <w:r w:rsidRPr="00FA739A">
        <w:t xml:space="preserve">submission </w:t>
      </w:r>
      <w:r w:rsidR="008E519A" w:rsidRPr="00FA739A">
        <w:t xml:space="preserve">presented revised uptake rates as show in </w:t>
      </w:r>
      <w:r w:rsidR="008F28E9" w:rsidRPr="00FA739A">
        <w:t xml:space="preserve">Table </w:t>
      </w:r>
      <w:r w:rsidR="008F28E9" w:rsidRPr="009978AC">
        <w:t>5</w:t>
      </w:r>
      <w:r w:rsidR="00141138" w:rsidRPr="00FA739A">
        <w:t xml:space="preserve">. </w:t>
      </w:r>
      <w:r w:rsidR="008E519A" w:rsidRPr="00FA739A">
        <w:t>Justification for the amended uptake rates were as follows:</w:t>
      </w:r>
      <w:r w:rsidR="00EE16ED" w:rsidRPr="00FA739A">
        <w:t xml:space="preserve"> </w:t>
      </w:r>
    </w:p>
    <w:p w:rsidR="00886BA7" w:rsidRPr="00FA739A" w:rsidRDefault="00EE16ED" w:rsidP="00322A93">
      <w:pPr>
        <w:pStyle w:val="3Bodytext"/>
        <w:numPr>
          <w:ilvl w:val="2"/>
          <w:numId w:val="1"/>
        </w:numPr>
        <w:ind w:left="1077" w:hanging="357"/>
        <w:jc w:val="both"/>
      </w:pPr>
      <w:r w:rsidRPr="00FA739A">
        <w:t>Population 1</w:t>
      </w:r>
      <w:r w:rsidR="00994C75" w:rsidRPr="00FA739A">
        <w:t xml:space="preserve"> (first-line, patients substituting RIBO+FULV for CDKI+NSAI)</w:t>
      </w:r>
      <w:r w:rsidR="00886BA7" w:rsidRPr="00FA739A">
        <w:t>. T</w:t>
      </w:r>
      <w:r w:rsidR="00994C75" w:rsidRPr="00FA739A">
        <w:t xml:space="preserve">he PBAC </w:t>
      </w:r>
      <w:r w:rsidR="00011990" w:rsidRPr="00FA739A">
        <w:t xml:space="preserve">previously </w:t>
      </w:r>
      <w:r w:rsidR="00994C75" w:rsidRPr="00FA739A">
        <w:t xml:space="preserve">considered this population was </w:t>
      </w:r>
      <w:r w:rsidR="00BF68C8" w:rsidRPr="00FA739A">
        <w:t>overestimated,</w:t>
      </w:r>
      <w:r w:rsidR="00994C75" w:rsidRPr="00FA739A">
        <w:t xml:space="preserve"> as it was unlikely that patients would prefer a parenteral treatment (fulvestrant) over an oral NSAI. The resubmission argued that patients who failed an AI in the adjuvant setting are likely to prefer RIBO+FULV in the first line metastatic setting</w:t>
      </w:r>
      <w:r w:rsidR="00886BA7" w:rsidRPr="00FA739A">
        <w:t>, but lowered these uptake estimates slightly.</w:t>
      </w:r>
    </w:p>
    <w:p w:rsidR="00EE16ED" w:rsidRPr="00FA739A" w:rsidRDefault="00886BA7" w:rsidP="00322A93">
      <w:pPr>
        <w:pStyle w:val="3Bodytext"/>
        <w:numPr>
          <w:ilvl w:val="2"/>
          <w:numId w:val="1"/>
        </w:numPr>
        <w:ind w:left="1077" w:hanging="357"/>
        <w:jc w:val="both"/>
      </w:pPr>
      <w:r w:rsidRPr="00FA739A">
        <w:t xml:space="preserve">Population 2 (first-line, growth of CDKI market from patients substituting for chemotherapy). The PBAC previously considered that uptake in this population is likely to be very small as patients currently receiving chemotherapy would largely be intolerant to or unsuitable for treatment with a CDKI, and only a very small proportion of patients currently receiving AI monotherapy would be suitable for second-line treatment with a CDKI. </w:t>
      </w:r>
      <w:r w:rsidR="006F0A44" w:rsidRPr="00FA739A">
        <w:t>DUSC previously considered that '</w:t>
      </w:r>
      <w:r w:rsidR="006F0A44" w:rsidRPr="00FA739A">
        <w:rPr>
          <w:rFonts w:cstheme="minorHAnsi"/>
        </w:rPr>
        <w:t>there is no evidence to suggest that RIBO+FULV is more effective in treating visceral disease than RIBO+NSAI,</w:t>
      </w:r>
      <w:r w:rsidR="006F0A44" w:rsidRPr="00FA739A">
        <w:t xml:space="preserve"> and therefore neither protocol is likely to displace chemotherapy’. </w:t>
      </w:r>
      <w:r w:rsidRPr="00FA739A">
        <w:t xml:space="preserve">The resubmission argued that there would be a small population believed to be endocrine resistant who would be considered suitable for RIBO+FULV due to the different mode of action of fulvestrant and reduced the proportion of patients </w:t>
      </w:r>
      <w:r w:rsidR="00C36682" w:rsidRPr="00FA739A">
        <w:t xml:space="preserve">who switch from chemotherapy </w:t>
      </w:r>
      <w:r w:rsidRPr="00FA739A">
        <w:t>to 5%</w:t>
      </w:r>
      <w:r w:rsidR="00C36682" w:rsidRPr="00FA739A">
        <w:t xml:space="preserve"> annually</w:t>
      </w:r>
      <w:r w:rsidR="003C57EA" w:rsidRPr="00FA739A">
        <w:t xml:space="preserve">. Consistent with the previous submission, </w:t>
      </w:r>
      <w:r w:rsidR="0043317D" w:rsidRPr="00FA739A">
        <w:t>no substitution from AI monotherapy</w:t>
      </w:r>
      <w:r w:rsidR="003C57EA" w:rsidRPr="00FA739A">
        <w:t xml:space="preserve"> was assumed</w:t>
      </w:r>
      <w:r w:rsidRPr="00FA739A">
        <w:t>.</w:t>
      </w:r>
      <w:r w:rsidR="00AB0126" w:rsidRPr="00FA739A">
        <w:t xml:space="preserve"> The PBAC noted that the uptake from patients substituting from chemotherapy was reduced as requested and considered that 5% uptake appeared to be a reasonable estimate.</w:t>
      </w:r>
    </w:p>
    <w:p w:rsidR="00886BA7" w:rsidRPr="00FA739A" w:rsidRDefault="00886BA7" w:rsidP="00322A93">
      <w:pPr>
        <w:pStyle w:val="3Bodytext"/>
        <w:numPr>
          <w:ilvl w:val="2"/>
          <w:numId w:val="1"/>
        </w:numPr>
        <w:ind w:left="1077" w:hanging="357"/>
        <w:jc w:val="both"/>
      </w:pPr>
      <w:r w:rsidRPr="00FA739A">
        <w:t>Population 3 (second-line, patients displacing EVE+EXE). The PBAC</w:t>
      </w:r>
      <w:r w:rsidR="00910ADB" w:rsidRPr="00FA739A">
        <w:t xml:space="preserve"> previously</w:t>
      </w:r>
      <w:r w:rsidRPr="00FA739A">
        <w:t xml:space="preserve"> considered that this population appeared to be overestimated as </w:t>
      </w:r>
      <w:r w:rsidR="00C36682" w:rsidRPr="00FA739A">
        <w:t xml:space="preserve">the previous submission assumed that </w:t>
      </w:r>
      <w:r w:rsidRPr="00FA739A">
        <w:t xml:space="preserve">growth in everolimus </w:t>
      </w:r>
      <w:r w:rsidR="00C36682" w:rsidRPr="00FA739A">
        <w:t>would</w:t>
      </w:r>
      <w:r w:rsidRPr="00FA739A">
        <w:t xml:space="preserve"> be stable over the forward estimates, whereas DUSC noted that its use is declining. </w:t>
      </w:r>
      <w:r w:rsidRPr="00FA739A">
        <w:rPr>
          <w:rFonts w:cstheme="minorHAnsi"/>
        </w:rPr>
        <w:t xml:space="preserve">The resubmission </w:t>
      </w:r>
      <w:r w:rsidRPr="00FA739A">
        <w:rPr>
          <w:rFonts w:cstheme="minorHAnsi"/>
        </w:rPr>
        <w:lastRenderedPageBreak/>
        <w:t>decreased the flat growth forecast of 0% for EVE + EXE to negative growth</w:t>
      </w:r>
      <w:r w:rsidR="00003802" w:rsidRPr="00FA739A">
        <w:rPr>
          <w:rFonts w:cstheme="minorHAnsi"/>
        </w:rPr>
        <w:t xml:space="preserve"> (0% in Year 1 decreasing to -10% growth in Year 6)</w:t>
      </w:r>
      <w:r w:rsidRPr="00FA739A">
        <w:rPr>
          <w:rFonts w:cstheme="minorHAnsi"/>
        </w:rPr>
        <w:t>.</w:t>
      </w:r>
      <w:r w:rsidR="000A6E8E" w:rsidRPr="00FA739A">
        <w:rPr>
          <w:rFonts w:cstheme="minorHAnsi"/>
        </w:rPr>
        <w:t xml:space="preserve"> </w:t>
      </w:r>
      <w:r w:rsidR="003C7A23" w:rsidRPr="00FA739A">
        <w:rPr>
          <w:rFonts w:cstheme="minorHAnsi"/>
        </w:rPr>
        <w:t xml:space="preserve">The PBAC noted </w:t>
      </w:r>
      <w:r w:rsidR="00EE1E1C" w:rsidRPr="00FA739A">
        <w:rPr>
          <w:rFonts w:cstheme="minorHAnsi"/>
        </w:rPr>
        <w:t>more</w:t>
      </w:r>
      <w:r w:rsidR="003C7A23" w:rsidRPr="00FA739A">
        <w:rPr>
          <w:rFonts w:cstheme="minorHAnsi"/>
        </w:rPr>
        <w:t xml:space="preserve"> recent data for everolimus in breast cancer</w:t>
      </w:r>
      <w:r w:rsidR="00EE1E1C" w:rsidRPr="00FA739A">
        <w:rPr>
          <w:rFonts w:cstheme="minorHAnsi"/>
        </w:rPr>
        <w:t xml:space="preserve"> (provided by the DUSC secretariat)</w:t>
      </w:r>
      <w:r w:rsidR="003C7A23" w:rsidRPr="00FA739A">
        <w:rPr>
          <w:rFonts w:cstheme="minorHAnsi"/>
        </w:rPr>
        <w:t xml:space="preserve"> indicated that </w:t>
      </w:r>
      <w:r w:rsidR="00EE1E1C" w:rsidRPr="00FA739A">
        <w:rPr>
          <w:rFonts w:cstheme="minorHAnsi"/>
        </w:rPr>
        <w:t>the number of incident patients commencing everolim</w:t>
      </w:r>
      <w:r w:rsidR="00317DC4" w:rsidRPr="00FA739A">
        <w:rPr>
          <w:rFonts w:cstheme="minorHAnsi"/>
        </w:rPr>
        <w:t>u</w:t>
      </w:r>
      <w:r w:rsidR="00EE1E1C" w:rsidRPr="00FA739A">
        <w:rPr>
          <w:rFonts w:cstheme="minorHAnsi"/>
        </w:rPr>
        <w:t>s</w:t>
      </w:r>
      <w:r w:rsidR="003C7A23" w:rsidRPr="00FA739A">
        <w:rPr>
          <w:rFonts w:cstheme="minorHAnsi"/>
        </w:rPr>
        <w:t xml:space="preserve"> was declining at </w:t>
      </w:r>
      <w:r w:rsidR="00003802" w:rsidRPr="00FA739A">
        <w:rPr>
          <w:rFonts w:cstheme="minorHAnsi"/>
        </w:rPr>
        <w:t xml:space="preserve">an average of </w:t>
      </w:r>
      <w:r w:rsidR="003C7A23" w:rsidRPr="00FA739A">
        <w:rPr>
          <w:rFonts w:cstheme="minorHAnsi"/>
        </w:rPr>
        <w:t>13% per year over the 5 year period between 2015</w:t>
      </w:r>
      <w:r w:rsidR="006C1058" w:rsidRPr="00FA739A">
        <w:rPr>
          <w:rFonts w:cstheme="minorHAnsi"/>
        </w:rPr>
        <w:t>-</w:t>
      </w:r>
      <w:r w:rsidR="00944392" w:rsidRPr="00FA739A">
        <w:rPr>
          <w:rFonts w:cstheme="minorHAnsi"/>
        </w:rPr>
        <w:t>16</w:t>
      </w:r>
      <w:r w:rsidR="00910ADB" w:rsidRPr="00FA739A">
        <w:rPr>
          <w:rFonts w:cstheme="minorHAnsi"/>
        </w:rPr>
        <w:t xml:space="preserve"> and</w:t>
      </w:r>
      <w:r w:rsidR="006C1058" w:rsidRPr="00FA739A">
        <w:rPr>
          <w:rFonts w:cstheme="minorHAnsi"/>
        </w:rPr>
        <w:t xml:space="preserve"> 2019-</w:t>
      </w:r>
      <w:r w:rsidR="00944392" w:rsidRPr="00FA739A">
        <w:rPr>
          <w:rFonts w:cstheme="minorHAnsi"/>
        </w:rPr>
        <w:t>20</w:t>
      </w:r>
      <w:r w:rsidR="00787012" w:rsidRPr="00FA739A">
        <w:rPr>
          <w:rFonts w:cstheme="minorHAnsi"/>
        </w:rPr>
        <w:t>. Th</w:t>
      </w:r>
      <w:r w:rsidR="00452938" w:rsidRPr="00FA739A">
        <w:rPr>
          <w:rFonts w:cstheme="minorHAnsi"/>
        </w:rPr>
        <w:t>e</w:t>
      </w:r>
      <w:r w:rsidR="00787012" w:rsidRPr="00FA739A">
        <w:rPr>
          <w:rFonts w:cstheme="minorHAnsi"/>
        </w:rPr>
        <w:t>s</w:t>
      </w:r>
      <w:r w:rsidR="00452938" w:rsidRPr="00FA739A">
        <w:rPr>
          <w:rFonts w:cstheme="minorHAnsi"/>
        </w:rPr>
        <w:t>e</w:t>
      </w:r>
      <w:r w:rsidR="00787012" w:rsidRPr="00FA739A">
        <w:rPr>
          <w:rFonts w:cstheme="minorHAnsi"/>
        </w:rPr>
        <w:t xml:space="preserve"> data indicated that g</w:t>
      </w:r>
      <w:r w:rsidR="006C1058" w:rsidRPr="00FA739A">
        <w:rPr>
          <w:rFonts w:cstheme="minorHAnsi"/>
        </w:rPr>
        <w:t xml:space="preserve">rowth in </w:t>
      </w:r>
      <w:r w:rsidR="00EE1E1C" w:rsidRPr="00FA739A">
        <w:rPr>
          <w:rFonts w:cstheme="minorHAnsi"/>
        </w:rPr>
        <w:t xml:space="preserve">the number of incident patients commencing </w:t>
      </w:r>
      <w:r w:rsidR="006C1058" w:rsidRPr="00FA739A">
        <w:rPr>
          <w:rFonts w:cstheme="minorHAnsi"/>
        </w:rPr>
        <w:t xml:space="preserve">everolimus was </w:t>
      </w:r>
      <w:r w:rsidR="001B18BE" w:rsidRPr="00FA739A">
        <w:rPr>
          <w:rFonts w:cstheme="minorHAnsi"/>
        </w:rPr>
        <w:noBreakHyphen/>
      </w:r>
      <w:r w:rsidR="006C1058" w:rsidRPr="00FA739A">
        <w:rPr>
          <w:rFonts w:cstheme="minorHAnsi"/>
        </w:rPr>
        <w:t>15% in 2017</w:t>
      </w:r>
      <w:r w:rsidR="001B18BE" w:rsidRPr="00FA739A">
        <w:rPr>
          <w:rFonts w:cstheme="minorHAnsi"/>
        </w:rPr>
        <w:noBreakHyphen/>
      </w:r>
      <w:r w:rsidR="006C1058" w:rsidRPr="00FA739A">
        <w:rPr>
          <w:rFonts w:cstheme="minorHAnsi"/>
        </w:rPr>
        <w:t xml:space="preserve">18, </w:t>
      </w:r>
      <w:r w:rsidR="006C1058" w:rsidRPr="00FA739A">
        <w:rPr>
          <w:rFonts w:cstheme="minorHAnsi"/>
        </w:rPr>
        <w:noBreakHyphen/>
        <w:t>26% in 2018</w:t>
      </w:r>
      <w:r w:rsidR="001B18BE" w:rsidRPr="00FA739A">
        <w:rPr>
          <w:rFonts w:cstheme="minorHAnsi"/>
        </w:rPr>
        <w:noBreakHyphen/>
      </w:r>
      <w:r w:rsidR="006C1058" w:rsidRPr="00FA739A">
        <w:rPr>
          <w:rFonts w:cstheme="minorHAnsi"/>
        </w:rPr>
        <w:t xml:space="preserve">19 and </w:t>
      </w:r>
      <w:r w:rsidR="001B18BE" w:rsidRPr="00FA739A">
        <w:rPr>
          <w:rFonts w:cstheme="minorHAnsi"/>
        </w:rPr>
        <w:noBreakHyphen/>
      </w:r>
      <w:r w:rsidR="006C1058" w:rsidRPr="00FA739A">
        <w:rPr>
          <w:rFonts w:cstheme="minorHAnsi"/>
        </w:rPr>
        <w:t>12% in 2019</w:t>
      </w:r>
      <w:r w:rsidR="001B18BE" w:rsidRPr="00FA739A">
        <w:rPr>
          <w:rFonts w:cstheme="minorHAnsi"/>
        </w:rPr>
        <w:noBreakHyphen/>
      </w:r>
      <w:r w:rsidR="006C1058" w:rsidRPr="00FA739A">
        <w:rPr>
          <w:rFonts w:cstheme="minorHAnsi"/>
        </w:rPr>
        <w:t xml:space="preserve">20 for August to September in each period. </w:t>
      </w:r>
      <w:r w:rsidR="00944392" w:rsidRPr="00FA739A">
        <w:rPr>
          <w:rFonts w:cstheme="minorHAnsi"/>
        </w:rPr>
        <w:t xml:space="preserve">The PBAC considered that the negative growth rates should be revised as shown in </w:t>
      </w:r>
      <w:r w:rsidR="008F28E9" w:rsidRPr="00FA739A">
        <w:t xml:space="preserve">Table </w:t>
      </w:r>
      <w:r w:rsidR="008F28E9" w:rsidRPr="009978AC">
        <w:t>5</w:t>
      </w:r>
      <w:r w:rsidR="00944392" w:rsidRPr="00FA739A">
        <w:rPr>
          <w:rFonts w:cstheme="minorHAnsi"/>
        </w:rPr>
        <w:t xml:space="preserve"> based on th</w:t>
      </w:r>
      <w:r w:rsidR="00452938" w:rsidRPr="00FA739A">
        <w:rPr>
          <w:rFonts w:cstheme="minorHAnsi"/>
        </w:rPr>
        <w:t>e</w:t>
      </w:r>
      <w:r w:rsidR="00944392" w:rsidRPr="00FA739A">
        <w:rPr>
          <w:rFonts w:cstheme="minorHAnsi"/>
        </w:rPr>
        <w:t xml:space="preserve"> DUSC data</w:t>
      </w:r>
      <w:r w:rsidR="00B53493" w:rsidRPr="00FA739A">
        <w:rPr>
          <w:rFonts w:cstheme="minorHAnsi"/>
        </w:rPr>
        <w:t xml:space="preserve">, and assuming a decline in the </w:t>
      </w:r>
      <w:r w:rsidR="006C1058" w:rsidRPr="00FA739A">
        <w:rPr>
          <w:rFonts w:cstheme="minorHAnsi"/>
        </w:rPr>
        <w:t>annual negative growth</w:t>
      </w:r>
      <w:r w:rsidR="00B53493" w:rsidRPr="00FA739A">
        <w:rPr>
          <w:rFonts w:cstheme="minorHAnsi"/>
        </w:rPr>
        <w:t xml:space="preserve"> of everolimus use consistent with the last 3 years of data for everolimus.</w:t>
      </w:r>
      <w:r w:rsidR="00944392" w:rsidRPr="00FA739A">
        <w:rPr>
          <w:rFonts w:cstheme="minorHAnsi"/>
        </w:rPr>
        <w:t xml:space="preserve"> </w:t>
      </w:r>
      <w:r w:rsidR="00EE1E1C" w:rsidRPr="00FA739A">
        <w:rPr>
          <w:rFonts w:cstheme="minorHAnsi"/>
        </w:rPr>
        <w:t xml:space="preserve">The resubmission continued to assume that RIBO+FULV would substitute 80% (Year 1) to 95% (Year 4 onwards) of the use of everolimus (assuming 73.6% of all use of everolimus is in breast cancer). The pre-PBAC response argued that these uptake rates reflect the superior effectiveness and safety, and the lower treatment burden, of RIBO+FULV compared with EVE+EXE. </w:t>
      </w:r>
    </w:p>
    <w:p w:rsidR="00886BA7" w:rsidRPr="00FA739A" w:rsidRDefault="00886BA7" w:rsidP="00322A93">
      <w:pPr>
        <w:pStyle w:val="3Bodytext"/>
        <w:numPr>
          <w:ilvl w:val="2"/>
          <w:numId w:val="1"/>
        </w:numPr>
        <w:ind w:left="1077" w:hanging="357"/>
        <w:jc w:val="both"/>
      </w:pPr>
      <w:r w:rsidRPr="00FA739A">
        <w:t xml:space="preserve">Population 4 (second-line, patients displacing EXE only). The PBAC </w:t>
      </w:r>
      <w:r w:rsidR="00910ADB" w:rsidRPr="00FA739A">
        <w:t xml:space="preserve">previously </w:t>
      </w:r>
      <w:r w:rsidRPr="00FA739A">
        <w:t xml:space="preserve">considered that the </w:t>
      </w:r>
      <w:r w:rsidRPr="00FA739A">
        <w:rPr>
          <w:rFonts w:cstheme="minorHAnsi"/>
          <w:color w:val="000000" w:themeColor="text1"/>
        </w:rPr>
        <w:t xml:space="preserve">estimated 50% of patients not fit for CDKI in the first line setting who are subsequently eligible for these agents in the second line setting was substantially overestimated and this population was likely to be very small. In the </w:t>
      </w:r>
      <w:r w:rsidR="00BF68C8" w:rsidRPr="00FA739A">
        <w:rPr>
          <w:rFonts w:cstheme="minorHAnsi"/>
          <w:color w:val="000000" w:themeColor="text1"/>
        </w:rPr>
        <w:t>resubmission,</w:t>
      </w:r>
      <w:r w:rsidRPr="00FA739A">
        <w:rPr>
          <w:rFonts w:cstheme="minorHAnsi"/>
          <w:color w:val="000000" w:themeColor="text1"/>
        </w:rPr>
        <w:t xml:space="preserve"> t</w:t>
      </w:r>
      <w:r w:rsidRPr="00FA739A">
        <w:rPr>
          <w:rFonts w:cstheme="minorHAnsi"/>
        </w:rPr>
        <w:t>he uptake rates for patients on EXE monotherapy were reduced and tapered down year on year based on the reducing utilisation of the therapy in clinical practice.</w:t>
      </w:r>
      <w:r w:rsidR="00F15CE3" w:rsidRPr="00FA739A">
        <w:rPr>
          <w:rFonts w:cstheme="minorHAnsi"/>
        </w:rPr>
        <w:t xml:space="preserve"> </w:t>
      </w:r>
      <w:r w:rsidR="005426AA" w:rsidRPr="00FA739A">
        <w:rPr>
          <w:rFonts w:cstheme="minorHAnsi"/>
        </w:rPr>
        <w:t>The PBAC considered that these changes appeared reasonable.</w:t>
      </w:r>
    </w:p>
    <w:p w:rsidR="004C1012" w:rsidRPr="00FA739A" w:rsidRDefault="00011990" w:rsidP="007D6B49">
      <w:pPr>
        <w:pStyle w:val="3Bodytext"/>
        <w:jc w:val="both"/>
      </w:pPr>
      <w:r w:rsidRPr="00FA739A">
        <w:t>M</w:t>
      </w:r>
      <w:r w:rsidR="004C1012" w:rsidRPr="00FA739A">
        <w:t xml:space="preserve">any of the assumptions </w:t>
      </w:r>
      <w:r w:rsidRPr="00FA739A">
        <w:t xml:space="preserve">in estimating usage remained </w:t>
      </w:r>
      <w:r w:rsidR="004C1012" w:rsidRPr="00FA739A">
        <w:t xml:space="preserve">unjustified and uncertain. </w:t>
      </w:r>
    </w:p>
    <w:p w:rsidR="001B346A" w:rsidRPr="00FA739A" w:rsidRDefault="001B346A" w:rsidP="001B346A">
      <w:pPr>
        <w:pStyle w:val="3-BodyText"/>
        <w:numPr>
          <w:ilvl w:val="1"/>
          <w:numId w:val="1"/>
        </w:numPr>
      </w:pPr>
      <w:r w:rsidRPr="00FA739A">
        <w:t xml:space="preserve">DUSC previously noted that cost offsets from EVE+EXE were overestimated as these treatments are likely to be displaced to a later line of therapy rather than replaced by RIBO+FULV. This approach was unchanged in the resubmission. </w:t>
      </w:r>
    </w:p>
    <w:p w:rsidR="00994C75" w:rsidRPr="00FA739A" w:rsidRDefault="00DD5725" w:rsidP="00173119">
      <w:pPr>
        <w:pStyle w:val="3-BodyText"/>
        <w:numPr>
          <w:ilvl w:val="1"/>
          <w:numId w:val="1"/>
        </w:numPr>
      </w:pPr>
      <w:r w:rsidRPr="00FA739A">
        <w:t xml:space="preserve">For the July 2020 submission, </w:t>
      </w:r>
      <w:r w:rsidR="00994C75" w:rsidRPr="00FA739A">
        <w:t xml:space="preserve">DUSC considered </w:t>
      </w:r>
      <w:r w:rsidRPr="00FA739A">
        <w:t xml:space="preserve">that </w:t>
      </w:r>
      <w:r w:rsidR="00994C75" w:rsidRPr="00FA739A">
        <w:t xml:space="preserve">the estimated growth in the CDKI market was overestimated. </w:t>
      </w:r>
      <w:r w:rsidRPr="00FA739A">
        <w:t xml:space="preserve">DUSC noted that </w:t>
      </w:r>
      <w:r w:rsidRPr="00FA739A">
        <w:rPr>
          <w:rFonts w:ascii="Calibri" w:hAnsi="Calibri"/>
        </w:rPr>
        <w:t>this drug class had been PBS subsidised in Australia since July 2018 and up to 19% annual growth of the market is unlikely to be observed as the market was expected to have stabilised</w:t>
      </w:r>
      <w:r w:rsidRPr="00FA739A">
        <w:rPr>
          <w:rFonts w:ascii="Calibri" w:hAnsi="Calibri"/>
          <w:i/>
        </w:rPr>
        <w:t xml:space="preserve">. </w:t>
      </w:r>
      <w:r w:rsidR="00994C75" w:rsidRPr="00FA739A">
        <w:t xml:space="preserve">The resubmission’s estimated growth rates of 19% in 2021, 12% in 2022, and 6% in year from 2023 to 2026 were unchanged from the previous submission. </w:t>
      </w:r>
      <w:r w:rsidR="00F15CE3" w:rsidRPr="00FA739A">
        <w:t xml:space="preserve">This </w:t>
      </w:r>
      <w:r w:rsidR="003234D2" w:rsidRPr="00FA739A">
        <w:t>only had a minor</w:t>
      </w:r>
      <w:r w:rsidR="00F15CE3" w:rsidRPr="00FA739A">
        <w:t xml:space="preserve"> impact on the financial estimates. </w:t>
      </w:r>
    </w:p>
    <w:p w:rsidR="00EE16ED" w:rsidRPr="00FA739A" w:rsidRDefault="00EE16ED" w:rsidP="00173119">
      <w:pPr>
        <w:pStyle w:val="Caption"/>
        <w:keepNext/>
        <w:keepLines/>
        <w:spacing w:after="0"/>
      </w:pPr>
      <w:bookmarkStart w:id="4" w:name="_Ref53173846"/>
      <w:r w:rsidRPr="00FA739A">
        <w:lastRenderedPageBreak/>
        <w:t xml:space="preserve">Table </w:t>
      </w:r>
      <w:r w:rsidR="008F28E9" w:rsidRPr="009978AC">
        <w:t>5</w:t>
      </w:r>
      <w:bookmarkEnd w:id="4"/>
      <w:r w:rsidRPr="00FA739A">
        <w:t>: Changes to uptake rates in the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127"/>
        <w:gridCol w:w="708"/>
        <w:gridCol w:w="842"/>
        <w:gridCol w:w="842"/>
        <w:gridCol w:w="842"/>
        <w:gridCol w:w="842"/>
        <w:gridCol w:w="842"/>
        <w:gridCol w:w="842"/>
      </w:tblGrid>
      <w:tr w:rsidR="00EE16ED" w:rsidRPr="00FA739A" w:rsidTr="00EE16ED">
        <w:trPr>
          <w:trHeight w:val="288"/>
        </w:trPr>
        <w:tc>
          <w:tcPr>
            <w:tcW w:w="1129" w:type="dxa"/>
            <w:shd w:val="clear" w:color="auto" w:fill="auto"/>
            <w:noWrap/>
            <w:vAlign w:val="bottom"/>
            <w:hideMark/>
          </w:tcPr>
          <w:p w:rsidR="00EE16ED" w:rsidRPr="00FA739A" w:rsidRDefault="00EE16ED" w:rsidP="00A04BAE">
            <w:pPr>
              <w:keepNext/>
              <w:keepLines/>
              <w:rPr>
                <w:rFonts w:ascii="Arial Narrow" w:hAnsi="Arial Narrow" w:cs="Calibri"/>
                <w:color w:val="000000"/>
                <w:sz w:val="20"/>
                <w:szCs w:val="20"/>
              </w:rPr>
            </w:pPr>
            <w:r w:rsidRPr="00FA739A">
              <w:rPr>
                <w:rFonts w:ascii="Arial Narrow" w:hAnsi="Arial Narrow" w:cs="Calibri"/>
                <w:color w:val="000000"/>
                <w:sz w:val="20"/>
                <w:szCs w:val="20"/>
              </w:rPr>
              <w:t> </w:t>
            </w:r>
          </w:p>
        </w:tc>
        <w:tc>
          <w:tcPr>
            <w:tcW w:w="2127" w:type="dxa"/>
            <w:shd w:val="clear" w:color="auto" w:fill="auto"/>
            <w:noWrap/>
            <w:vAlign w:val="bottom"/>
            <w:hideMark/>
          </w:tcPr>
          <w:p w:rsidR="00EE16ED" w:rsidRPr="00FA739A" w:rsidRDefault="00EE16ED" w:rsidP="00A04BAE">
            <w:pPr>
              <w:keepNext/>
              <w:keepLines/>
              <w:rPr>
                <w:rFonts w:ascii="Arial Narrow" w:hAnsi="Arial Narrow" w:cs="Calibri"/>
                <w:color w:val="000000"/>
                <w:sz w:val="20"/>
                <w:szCs w:val="20"/>
              </w:rPr>
            </w:pPr>
            <w:r w:rsidRPr="00FA739A">
              <w:rPr>
                <w:rFonts w:ascii="Arial Narrow" w:hAnsi="Arial Narrow" w:cs="Calibri"/>
                <w:color w:val="000000"/>
                <w:sz w:val="20"/>
                <w:szCs w:val="20"/>
              </w:rPr>
              <w:t> </w:t>
            </w:r>
          </w:p>
        </w:tc>
        <w:tc>
          <w:tcPr>
            <w:tcW w:w="708" w:type="dxa"/>
            <w:shd w:val="clear" w:color="auto" w:fill="auto"/>
            <w:noWrap/>
            <w:vAlign w:val="bottom"/>
            <w:hideMark/>
          </w:tcPr>
          <w:p w:rsidR="00EE16ED" w:rsidRPr="00FA739A" w:rsidRDefault="00EE16ED" w:rsidP="00A04BAE">
            <w:pPr>
              <w:keepNext/>
              <w:keepLines/>
              <w:rPr>
                <w:rFonts w:ascii="Arial Narrow" w:hAnsi="Arial Narrow" w:cs="Calibri"/>
                <w:color w:val="000000"/>
                <w:sz w:val="20"/>
                <w:szCs w:val="20"/>
              </w:rPr>
            </w:pPr>
            <w:r w:rsidRPr="00FA739A">
              <w:rPr>
                <w:rFonts w:ascii="Arial Narrow" w:hAnsi="Arial Narrow" w:cs="Calibri"/>
                <w:color w:val="000000"/>
                <w:sz w:val="20"/>
                <w:szCs w:val="20"/>
              </w:rPr>
              <w:t> </w:t>
            </w:r>
          </w:p>
        </w:tc>
        <w:tc>
          <w:tcPr>
            <w:tcW w:w="842" w:type="dxa"/>
            <w:shd w:val="clear" w:color="auto" w:fill="auto"/>
            <w:noWrap/>
            <w:vAlign w:val="bottom"/>
            <w:hideMark/>
          </w:tcPr>
          <w:p w:rsidR="00EE16ED" w:rsidRPr="00FA739A" w:rsidRDefault="00EE16ED" w:rsidP="00A04BAE">
            <w:pPr>
              <w:keepNext/>
              <w:keepLines/>
              <w:jc w:val="center"/>
              <w:rPr>
                <w:rFonts w:ascii="Arial Narrow" w:hAnsi="Arial Narrow" w:cs="Calibri"/>
                <w:b/>
                <w:bCs/>
                <w:color w:val="000000"/>
                <w:sz w:val="20"/>
                <w:szCs w:val="20"/>
              </w:rPr>
            </w:pPr>
            <w:r w:rsidRPr="00FA739A">
              <w:rPr>
                <w:rFonts w:ascii="Arial Narrow" w:hAnsi="Arial Narrow" w:cs="Calibri"/>
                <w:b/>
                <w:bCs/>
                <w:color w:val="000000"/>
                <w:sz w:val="20"/>
                <w:szCs w:val="20"/>
              </w:rPr>
              <w:t>Year 1</w:t>
            </w:r>
          </w:p>
        </w:tc>
        <w:tc>
          <w:tcPr>
            <w:tcW w:w="842" w:type="dxa"/>
            <w:shd w:val="clear" w:color="auto" w:fill="auto"/>
            <w:noWrap/>
            <w:vAlign w:val="bottom"/>
            <w:hideMark/>
          </w:tcPr>
          <w:p w:rsidR="00EE16ED" w:rsidRPr="00FA739A" w:rsidRDefault="00EE16ED" w:rsidP="00A04BAE">
            <w:pPr>
              <w:keepNext/>
              <w:keepLines/>
              <w:jc w:val="center"/>
              <w:rPr>
                <w:rFonts w:ascii="Arial Narrow" w:hAnsi="Arial Narrow" w:cs="Calibri"/>
                <w:b/>
                <w:bCs/>
                <w:color w:val="000000"/>
                <w:sz w:val="20"/>
                <w:szCs w:val="20"/>
              </w:rPr>
            </w:pPr>
            <w:r w:rsidRPr="00FA739A">
              <w:rPr>
                <w:rFonts w:ascii="Arial Narrow" w:hAnsi="Arial Narrow" w:cs="Calibri"/>
                <w:b/>
                <w:bCs/>
                <w:color w:val="000000"/>
                <w:sz w:val="20"/>
                <w:szCs w:val="20"/>
              </w:rPr>
              <w:t>Year 2</w:t>
            </w:r>
          </w:p>
        </w:tc>
        <w:tc>
          <w:tcPr>
            <w:tcW w:w="842" w:type="dxa"/>
            <w:shd w:val="clear" w:color="auto" w:fill="auto"/>
            <w:noWrap/>
            <w:vAlign w:val="bottom"/>
            <w:hideMark/>
          </w:tcPr>
          <w:p w:rsidR="00EE16ED" w:rsidRPr="00FA739A" w:rsidRDefault="00EE16ED" w:rsidP="00A04BAE">
            <w:pPr>
              <w:keepNext/>
              <w:keepLines/>
              <w:jc w:val="center"/>
              <w:rPr>
                <w:rFonts w:ascii="Arial Narrow" w:hAnsi="Arial Narrow" w:cs="Calibri"/>
                <w:b/>
                <w:bCs/>
                <w:color w:val="000000"/>
                <w:sz w:val="20"/>
                <w:szCs w:val="20"/>
              </w:rPr>
            </w:pPr>
            <w:r w:rsidRPr="00FA739A">
              <w:rPr>
                <w:rFonts w:ascii="Arial Narrow" w:hAnsi="Arial Narrow" w:cs="Calibri"/>
                <w:b/>
                <w:bCs/>
                <w:color w:val="000000"/>
                <w:sz w:val="20"/>
                <w:szCs w:val="20"/>
              </w:rPr>
              <w:t>Year 3</w:t>
            </w:r>
          </w:p>
        </w:tc>
        <w:tc>
          <w:tcPr>
            <w:tcW w:w="842" w:type="dxa"/>
            <w:shd w:val="clear" w:color="auto" w:fill="auto"/>
            <w:noWrap/>
            <w:vAlign w:val="bottom"/>
            <w:hideMark/>
          </w:tcPr>
          <w:p w:rsidR="00EE16ED" w:rsidRPr="00FA739A" w:rsidRDefault="00EE16ED" w:rsidP="00A04BAE">
            <w:pPr>
              <w:keepNext/>
              <w:keepLines/>
              <w:jc w:val="center"/>
              <w:rPr>
                <w:rFonts w:ascii="Arial Narrow" w:hAnsi="Arial Narrow" w:cs="Calibri"/>
                <w:b/>
                <w:bCs/>
                <w:color w:val="000000"/>
                <w:sz w:val="20"/>
                <w:szCs w:val="20"/>
              </w:rPr>
            </w:pPr>
            <w:r w:rsidRPr="00FA739A">
              <w:rPr>
                <w:rFonts w:ascii="Arial Narrow" w:hAnsi="Arial Narrow" w:cs="Calibri"/>
                <w:b/>
                <w:bCs/>
                <w:color w:val="000000"/>
                <w:sz w:val="20"/>
                <w:szCs w:val="20"/>
              </w:rPr>
              <w:t>Year 4</w:t>
            </w:r>
          </w:p>
        </w:tc>
        <w:tc>
          <w:tcPr>
            <w:tcW w:w="842" w:type="dxa"/>
            <w:shd w:val="clear" w:color="auto" w:fill="auto"/>
            <w:noWrap/>
            <w:vAlign w:val="bottom"/>
            <w:hideMark/>
          </w:tcPr>
          <w:p w:rsidR="00EE16ED" w:rsidRPr="00FA739A" w:rsidRDefault="00EE16ED" w:rsidP="00A04BAE">
            <w:pPr>
              <w:keepNext/>
              <w:keepLines/>
              <w:jc w:val="center"/>
              <w:rPr>
                <w:rFonts w:ascii="Arial Narrow" w:hAnsi="Arial Narrow" w:cs="Calibri"/>
                <w:b/>
                <w:bCs/>
                <w:color w:val="000000"/>
                <w:sz w:val="20"/>
                <w:szCs w:val="20"/>
              </w:rPr>
            </w:pPr>
            <w:r w:rsidRPr="00FA739A">
              <w:rPr>
                <w:rFonts w:ascii="Arial Narrow" w:hAnsi="Arial Narrow" w:cs="Calibri"/>
                <w:b/>
                <w:bCs/>
                <w:color w:val="000000"/>
                <w:sz w:val="20"/>
                <w:szCs w:val="20"/>
              </w:rPr>
              <w:t>Year 5</w:t>
            </w:r>
          </w:p>
        </w:tc>
        <w:tc>
          <w:tcPr>
            <w:tcW w:w="842" w:type="dxa"/>
            <w:shd w:val="clear" w:color="auto" w:fill="auto"/>
            <w:noWrap/>
            <w:vAlign w:val="bottom"/>
            <w:hideMark/>
          </w:tcPr>
          <w:p w:rsidR="00EE16ED" w:rsidRPr="00FA739A" w:rsidRDefault="00EE16ED" w:rsidP="00A04BAE">
            <w:pPr>
              <w:keepNext/>
              <w:keepLines/>
              <w:jc w:val="center"/>
              <w:rPr>
                <w:rFonts w:ascii="Arial Narrow" w:hAnsi="Arial Narrow" w:cs="Calibri"/>
                <w:b/>
                <w:bCs/>
                <w:color w:val="000000"/>
                <w:sz w:val="20"/>
                <w:szCs w:val="20"/>
              </w:rPr>
            </w:pPr>
            <w:r w:rsidRPr="00FA739A">
              <w:rPr>
                <w:rFonts w:ascii="Arial Narrow" w:hAnsi="Arial Narrow" w:cs="Calibri"/>
                <w:b/>
                <w:bCs/>
                <w:color w:val="000000"/>
                <w:sz w:val="20"/>
                <w:szCs w:val="20"/>
              </w:rPr>
              <w:t>Year 6</w:t>
            </w:r>
          </w:p>
        </w:tc>
      </w:tr>
      <w:tr w:rsidR="00EE16ED" w:rsidRPr="00FA739A" w:rsidTr="00EE16ED">
        <w:trPr>
          <w:trHeight w:val="288"/>
        </w:trPr>
        <w:tc>
          <w:tcPr>
            <w:tcW w:w="1129" w:type="dxa"/>
            <w:shd w:val="clear" w:color="auto" w:fill="auto"/>
            <w:noWrap/>
            <w:vAlign w:val="bottom"/>
            <w:hideMark/>
          </w:tcPr>
          <w:p w:rsidR="00EE16ED" w:rsidRPr="00FA739A" w:rsidRDefault="00EE16ED" w:rsidP="00A04BAE">
            <w:pPr>
              <w:keepNext/>
              <w:keepLines/>
              <w:rPr>
                <w:rFonts w:ascii="Arial Narrow" w:hAnsi="Arial Narrow" w:cs="Calibri"/>
                <w:b/>
                <w:bCs/>
                <w:color w:val="000000"/>
                <w:sz w:val="20"/>
                <w:szCs w:val="20"/>
              </w:rPr>
            </w:pPr>
            <w:r w:rsidRPr="00FA739A">
              <w:rPr>
                <w:rFonts w:ascii="Arial Narrow" w:hAnsi="Arial Narrow" w:cs="Calibri"/>
                <w:b/>
                <w:bCs/>
                <w:color w:val="000000"/>
                <w:sz w:val="20"/>
                <w:szCs w:val="20"/>
              </w:rPr>
              <w:t>Population</w:t>
            </w:r>
          </w:p>
        </w:tc>
        <w:tc>
          <w:tcPr>
            <w:tcW w:w="2127" w:type="dxa"/>
            <w:shd w:val="clear" w:color="auto" w:fill="auto"/>
            <w:noWrap/>
            <w:vAlign w:val="bottom"/>
            <w:hideMark/>
          </w:tcPr>
          <w:p w:rsidR="00EE16ED" w:rsidRPr="00FA739A" w:rsidRDefault="00EE16ED" w:rsidP="00A04BAE">
            <w:pPr>
              <w:keepNext/>
              <w:keepLines/>
              <w:rPr>
                <w:rFonts w:ascii="Arial Narrow" w:hAnsi="Arial Narrow" w:cs="Calibri"/>
                <w:b/>
                <w:bCs/>
                <w:color w:val="000000"/>
                <w:sz w:val="20"/>
                <w:szCs w:val="20"/>
              </w:rPr>
            </w:pPr>
            <w:r w:rsidRPr="00FA739A">
              <w:rPr>
                <w:rFonts w:ascii="Arial Narrow" w:hAnsi="Arial Narrow" w:cs="Calibri"/>
                <w:b/>
                <w:bCs/>
                <w:color w:val="000000"/>
                <w:sz w:val="20"/>
                <w:szCs w:val="20"/>
              </w:rPr>
              <w:t xml:space="preserve">Changes </w:t>
            </w:r>
          </w:p>
        </w:tc>
        <w:tc>
          <w:tcPr>
            <w:tcW w:w="708" w:type="dxa"/>
            <w:shd w:val="clear" w:color="auto" w:fill="auto"/>
            <w:noWrap/>
            <w:vAlign w:val="bottom"/>
            <w:hideMark/>
          </w:tcPr>
          <w:p w:rsidR="00EE16ED" w:rsidRPr="00FA739A" w:rsidRDefault="00EE16ED" w:rsidP="00A04BAE">
            <w:pPr>
              <w:keepNext/>
              <w:keepLines/>
              <w:rPr>
                <w:rFonts w:ascii="Arial Narrow" w:hAnsi="Arial Narrow" w:cs="Calibri"/>
                <w:b/>
                <w:bCs/>
                <w:color w:val="000000"/>
                <w:sz w:val="20"/>
                <w:szCs w:val="20"/>
              </w:rPr>
            </w:pPr>
          </w:p>
        </w:tc>
        <w:tc>
          <w:tcPr>
            <w:tcW w:w="842" w:type="dxa"/>
            <w:shd w:val="clear" w:color="auto" w:fill="auto"/>
            <w:noWrap/>
            <w:vAlign w:val="bottom"/>
            <w:hideMark/>
          </w:tcPr>
          <w:p w:rsidR="00EE16ED" w:rsidRPr="00FA739A" w:rsidRDefault="00EE16ED" w:rsidP="00A04BAE">
            <w:pPr>
              <w:keepNext/>
              <w:keepLines/>
              <w:jc w:val="center"/>
              <w:rPr>
                <w:rFonts w:ascii="Arial Narrow" w:hAnsi="Arial Narrow" w:cs="Calibri"/>
                <w:b/>
                <w:bCs/>
                <w:color w:val="000000"/>
                <w:sz w:val="20"/>
                <w:szCs w:val="20"/>
              </w:rPr>
            </w:pPr>
            <w:r w:rsidRPr="00FA739A">
              <w:rPr>
                <w:rFonts w:ascii="Arial Narrow" w:hAnsi="Arial Narrow" w:cs="Calibri"/>
                <w:b/>
                <w:bCs/>
                <w:color w:val="000000"/>
                <w:sz w:val="20"/>
                <w:szCs w:val="20"/>
              </w:rPr>
              <w:t>2021</w:t>
            </w:r>
          </w:p>
        </w:tc>
        <w:tc>
          <w:tcPr>
            <w:tcW w:w="842" w:type="dxa"/>
            <w:shd w:val="clear" w:color="auto" w:fill="auto"/>
            <w:noWrap/>
            <w:vAlign w:val="bottom"/>
            <w:hideMark/>
          </w:tcPr>
          <w:p w:rsidR="00EE16ED" w:rsidRPr="00FA739A" w:rsidRDefault="00EE16ED" w:rsidP="00A04BAE">
            <w:pPr>
              <w:keepNext/>
              <w:keepLines/>
              <w:jc w:val="center"/>
              <w:rPr>
                <w:rFonts w:ascii="Arial Narrow" w:hAnsi="Arial Narrow" w:cs="Calibri"/>
                <w:b/>
                <w:bCs/>
                <w:color w:val="000000"/>
                <w:sz w:val="20"/>
                <w:szCs w:val="20"/>
              </w:rPr>
            </w:pPr>
            <w:r w:rsidRPr="00FA739A">
              <w:rPr>
                <w:rFonts w:ascii="Arial Narrow" w:hAnsi="Arial Narrow" w:cs="Calibri"/>
                <w:b/>
                <w:bCs/>
                <w:color w:val="000000"/>
                <w:sz w:val="20"/>
                <w:szCs w:val="20"/>
              </w:rPr>
              <w:t>2022</w:t>
            </w:r>
          </w:p>
        </w:tc>
        <w:tc>
          <w:tcPr>
            <w:tcW w:w="842" w:type="dxa"/>
            <w:shd w:val="clear" w:color="auto" w:fill="auto"/>
            <w:noWrap/>
            <w:vAlign w:val="bottom"/>
            <w:hideMark/>
          </w:tcPr>
          <w:p w:rsidR="00EE16ED" w:rsidRPr="00FA739A" w:rsidRDefault="00EE16ED" w:rsidP="00A04BAE">
            <w:pPr>
              <w:keepNext/>
              <w:keepLines/>
              <w:jc w:val="center"/>
              <w:rPr>
                <w:rFonts w:ascii="Arial Narrow" w:hAnsi="Arial Narrow" w:cs="Calibri"/>
                <w:b/>
                <w:bCs/>
                <w:color w:val="000000"/>
                <w:sz w:val="20"/>
                <w:szCs w:val="20"/>
              </w:rPr>
            </w:pPr>
            <w:r w:rsidRPr="00FA739A">
              <w:rPr>
                <w:rFonts w:ascii="Arial Narrow" w:hAnsi="Arial Narrow" w:cs="Calibri"/>
                <w:b/>
                <w:bCs/>
                <w:color w:val="000000"/>
                <w:sz w:val="20"/>
                <w:szCs w:val="20"/>
              </w:rPr>
              <w:t>2023</w:t>
            </w:r>
          </w:p>
        </w:tc>
        <w:tc>
          <w:tcPr>
            <w:tcW w:w="842" w:type="dxa"/>
            <w:shd w:val="clear" w:color="auto" w:fill="auto"/>
            <w:noWrap/>
            <w:vAlign w:val="bottom"/>
            <w:hideMark/>
          </w:tcPr>
          <w:p w:rsidR="00EE16ED" w:rsidRPr="00FA739A" w:rsidRDefault="00EE16ED" w:rsidP="00A04BAE">
            <w:pPr>
              <w:keepNext/>
              <w:keepLines/>
              <w:jc w:val="center"/>
              <w:rPr>
                <w:rFonts w:ascii="Arial Narrow" w:hAnsi="Arial Narrow" w:cs="Calibri"/>
                <w:b/>
                <w:bCs/>
                <w:color w:val="000000"/>
                <w:sz w:val="20"/>
                <w:szCs w:val="20"/>
              </w:rPr>
            </w:pPr>
            <w:r w:rsidRPr="00FA739A">
              <w:rPr>
                <w:rFonts w:ascii="Arial Narrow" w:hAnsi="Arial Narrow" w:cs="Calibri"/>
                <w:b/>
                <w:bCs/>
                <w:color w:val="000000"/>
                <w:sz w:val="20"/>
                <w:szCs w:val="20"/>
              </w:rPr>
              <w:t>2024</w:t>
            </w:r>
          </w:p>
        </w:tc>
        <w:tc>
          <w:tcPr>
            <w:tcW w:w="842" w:type="dxa"/>
            <w:shd w:val="clear" w:color="auto" w:fill="auto"/>
            <w:noWrap/>
            <w:vAlign w:val="bottom"/>
            <w:hideMark/>
          </w:tcPr>
          <w:p w:rsidR="00EE16ED" w:rsidRPr="00FA739A" w:rsidRDefault="00EE16ED" w:rsidP="00A04BAE">
            <w:pPr>
              <w:keepNext/>
              <w:keepLines/>
              <w:jc w:val="center"/>
              <w:rPr>
                <w:rFonts w:ascii="Arial Narrow" w:hAnsi="Arial Narrow" w:cs="Calibri"/>
                <w:b/>
                <w:bCs/>
                <w:color w:val="000000"/>
                <w:sz w:val="20"/>
                <w:szCs w:val="20"/>
              </w:rPr>
            </w:pPr>
            <w:r w:rsidRPr="00FA739A">
              <w:rPr>
                <w:rFonts w:ascii="Arial Narrow" w:hAnsi="Arial Narrow" w:cs="Calibri"/>
                <w:b/>
                <w:bCs/>
                <w:color w:val="000000"/>
                <w:sz w:val="20"/>
                <w:szCs w:val="20"/>
              </w:rPr>
              <w:t>2025</w:t>
            </w:r>
          </w:p>
        </w:tc>
        <w:tc>
          <w:tcPr>
            <w:tcW w:w="842" w:type="dxa"/>
            <w:shd w:val="clear" w:color="auto" w:fill="auto"/>
            <w:noWrap/>
            <w:vAlign w:val="bottom"/>
            <w:hideMark/>
          </w:tcPr>
          <w:p w:rsidR="00EE16ED" w:rsidRPr="00FA739A" w:rsidRDefault="00EE16ED" w:rsidP="00A04BAE">
            <w:pPr>
              <w:keepNext/>
              <w:keepLines/>
              <w:jc w:val="center"/>
              <w:rPr>
                <w:rFonts w:ascii="Arial Narrow" w:hAnsi="Arial Narrow" w:cs="Calibri"/>
                <w:b/>
                <w:bCs/>
                <w:color w:val="000000"/>
                <w:sz w:val="20"/>
                <w:szCs w:val="20"/>
              </w:rPr>
            </w:pPr>
            <w:r w:rsidRPr="00FA739A">
              <w:rPr>
                <w:rFonts w:ascii="Arial Narrow" w:hAnsi="Arial Narrow" w:cs="Calibri"/>
                <w:b/>
                <w:bCs/>
                <w:color w:val="000000"/>
                <w:sz w:val="20"/>
                <w:szCs w:val="20"/>
              </w:rPr>
              <w:t>2026</w:t>
            </w:r>
          </w:p>
        </w:tc>
      </w:tr>
      <w:tr w:rsidR="00EE16ED" w:rsidRPr="00FA739A" w:rsidTr="00EE16ED">
        <w:trPr>
          <w:trHeight w:val="288"/>
        </w:trPr>
        <w:tc>
          <w:tcPr>
            <w:tcW w:w="1129" w:type="dxa"/>
            <w:shd w:val="clear" w:color="auto" w:fill="auto"/>
            <w:noWrap/>
            <w:vAlign w:val="center"/>
            <w:hideMark/>
          </w:tcPr>
          <w:p w:rsidR="00EE16ED" w:rsidRPr="00FA739A" w:rsidRDefault="00EE16ED"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Population 1</w:t>
            </w:r>
          </w:p>
        </w:tc>
        <w:tc>
          <w:tcPr>
            <w:tcW w:w="2127" w:type="dxa"/>
            <w:shd w:val="clear" w:color="auto" w:fill="auto"/>
            <w:noWrap/>
            <w:vAlign w:val="center"/>
            <w:hideMark/>
          </w:tcPr>
          <w:p w:rsidR="00EE16ED" w:rsidRPr="00FA739A" w:rsidRDefault="00EE16ED"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 Substitution of current CDKI PATIENTS</w:t>
            </w:r>
          </w:p>
        </w:tc>
        <w:tc>
          <w:tcPr>
            <w:tcW w:w="708" w:type="dxa"/>
            <w:shd w:val="clear" w:color="auto" w:fill="auto"/>
            <w:noWrap/>
            <w:vAlign w:val="center"/>
            <w:hideMark/>
          </w:tcPr>
          <w:p w:rsidR="00EE16ED" w:rsidRPr="00FA739A" w:rsidRDefault="00EE16ED"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 xml:space="preserve">From </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20%</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25%</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30%</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30%</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30%</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30%</w:t>
            </w:r>
          </w:p>
        </w:tc>
      </w:tr>
      <w:tr w:rsidR="00EE16ED" w:rsidRPr="00FA739A" w:rsidTr="00EE16ED">
        <w:trPr>
          <w:trHeight w:val="288"/>
        </w:trPr>
        <w:tc>
          <w:tcPr>
            <w:tcW w:w="1129" w:type="dxa"/>
            <w:shd w:val="clear" w:color="auto" w:fill="auto"/>
            <w:noWrap/>
            <w:vAlign w:val="center"/>
            <w:hideMark/>
          </w:tcPr>
          <w:p w:rsidR="00EE16ED" w:rsidRPr="00FA739A" w:rsidRDefault="00EE16ED"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 </w:t>
            </w:r>
          </w:p>
        </w:tc>
        <w:tc>
          <w:tcPr>
            <w:tcW w:w="2127" w:type="dxa"/>
            <w:shd w:val="clear" w:color="auto" w:fill="auto"/>
            <w:noWrap/>
            <w:vAlign w:val="center"/>
            <w:hideMark/>
          </w:tcPr>
          <w:p w:rsidR="00EE16ED" w:rsidRPr="00FA739A" w:rsidRDefault="00EE16ED"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 </w:t>
            </w:r>
          </w:p>
        </w:tc>
        <w:tc>
          <w:tcPr>
            <w:tcW w:w="708" w:type="dxa"/>
            <w:shd w:val="clear" w:color="auto" w:fill="auto"/>
            <w:noWrap/>
            <w:vAlign w:val="center"/>
            <w:hideMark/>
          </w:tcPr>
          <w:p w:rsidR="00EE16ED" w:rsidRPr="00FA739A" w:rsidRDefault="00EE16ED"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 xml:space="preserve">To </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15%</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20%</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25%</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28%</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30%</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30%</w:t>
            </w:r>
          </w:p>
        </w:tc>
      </w:tr>
      <w:tr w:rsidR="00EE16ED" w:rsidRPr="00FA739A" w:rsidTr="00EE16ED">
        <w:trPr>
          <w:trHeight w:val="288"/>
        </w:trPr>
        <w:tc>
          <w:tcPr>
            <w:tcW w:w="1129" w:type="dxa"/>
            <w:shd w:val="clear" w:color="auto" w:fill="auto"/>
            <w:noWrap/>
            <w:vAlign w:val="center"/>
            <w:hideMark/>
          </w:tcPr>
          <w:p w:rsidR="00EE16ED" w:rsidRPr="00FA739A" w:rsidRDefault="00EE16ED"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Population 2</w:t>
            </w:r>
          </w:p>
        </w:tc>
        <w:tc>
          <w:tcPr>
            <w:tcW w:w="2127" w:type="dxa"/>
            <w:shd w:val="clear" w:color="auto" w:fill="auto"/>
            <w:noWrap/>
            <w:vAlign w:val="center"/>
            <w:hideMark/>
          </w:tcPr>
          <w:p w:rsidR="00EE16ED" w:rsidRPr="00FA739A" w:rsidRDefault="00EE16ED"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Chemo switch %</w:t>
            </w:r>
          </w:p>
        </w:tc>
        <w:tc>
          <w:tcPr>
            <w:tcW w:w="708" w:type="dxa"/>
            <w:shd w:val="clear" w:color="auto" w:fill="auto"/>
            <w:noWrap/>
            <w:vAlign w:val="center"/>
            <w:hideMark/>
          </w:tcPr>
          <w:p w:rsidR="00EE16ED" w:rsidRPr="00FA739A" w:rsidRDefault="00EE16ED"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 xml:space="preserve">From </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10%</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12%</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14%</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16%</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18%</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20%</w:t>
            </w:r>
          </w:p>
        </w:tc>
      </w:tr>
      <w:tr w:rsidR="00EE16ED" w:rsidRPr="00FA739A" w:rsidTr="00EE16ED">
        <w:trPr>
          <w:trHeight w:val="288"/>
        </w:trPr>
        <w:tc>
          <w:tcPr>
            <w:tcW w:w="1129" w:type="dxa"/>
            <w:shd w:val="clear" w:color="auto" w:fill="auto"/>
            <w:noWrap/>
            <w:vAlign w:val="center"/>
            <w:hideMark/>
          </w:tcPr>
          <w:p w:rsidR="00EE16ED" w:rsidRPr="00FA739A" w:rsidRDefault="00EE16ED"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 </w:t>
            </w:r>
          </w:p>
        </w:tc>
        <w:tc>
          <w:tcPr>
            <w:tcW w:w="2127" w:type="dxa"/>
            <w:shd w:val="clear" w:color="auto" w:fill="auto"/>
            <w:noWrap/>
            <w:vAlign w:val="center"/>
            <w:hideMark/>
          </w:tcPr>
          <w:p w:rsidR="00EE16ED" w:rsidRPr="00FA739A" w:rsidRDefault="00EE16ED"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 </w:t>
            </w:r>
          </w:p>
        </w:tc>
        <w:tc>
          <w:tcPr>
            <w:tcW w:w="708" w:type="dxa"/>
            <w:shd w:val="clear" w:color="auto" w:fill="auto"/>
            <w:noWrap/>
            <w:vAlign w:val="center"/>
            <w:hideMark/>
          </w:tcPr>
          <w:p w:rsidR="00EE16ED" w:rsidRPr="00FA739A" w:rsidRDefault="00EE16ED"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 xml:space="preserve">To </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5%</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5%</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5%</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5%</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5%</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5%</w:t>
            </w:r>
          </w:p>
        </w:tc>
      </w:tr>
      <w:tr w:rsidR="00EE16ED" w:rsidRPr="00FA739A" w:rsidTr="00EE16ED">
        <w:trPr>
          <w:trHeight w:val="288"/>
        </w:trPr>
        <w:tc>
          <w:tcPr>
            <w:tcW w:w="1129" w:type="dxa"/>
            <w:shd w:val="clear" w:color="auto" w:fill="auto"/>
            <w:noWrap/>
            <w:vAlign w:val="center"/>
            <w:hideMark/>
          </w:tcPr>
          <w:p w:rsidR="00EE16ED" w:rsidRPr="00FA739A" w:rsidRDefault="00EE16ED"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Population 3</w:t>
            </w:r>
          </w:p>
        </w:tc>
        <w:tc>
          <w:tcPr>
            <w:tcW w:w="2127" w:type="dxa"/>
            <w:shd w:val="clear" w:color="auto" w:fill="auto"/>
            <w:noWrap/>
            <w:vAlign w:val="center"/>
            <w:hideMark/>
          </w:tcPr>
          <w:p w:rsidR="00EE16ED" w:rsidRPr="00FA739A" w:rsidRDefault="00EE16ED"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Growth % forecast</w:t>
            </w:r>
          </w:p>
        </w:tc>
        <w:tc>
          <w:tcPr>
            <w:tcW w:w="708" w:type="dxa"/>
            <w:shd w:val="clear" w:color="auto" w:fill="auto"/>
            <w:noWrap/>
            <w:vAlign w:val="center"/>
            <w:hideMark/>
          </w:tcPr>
          <w:p w:rsidR="00EE16ED" w:rsidRPr="00FA739A" w:rsidRDefault="00EE16ED"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 xml:space="preserve">From </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0%</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0%</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0%</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0%</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0%</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0%</w:t>
            </w:r>
          </w:p>
        </w:tc>
      </w:tr>
      <w:tr w:rsidR="00EE16ED" w:rsidRPr="00FA739A" w:rsidTr="00EE16ED">
        <w:trPr>
          <w:trHeight w:val="288"/>
        </w:trPr>
        <w:tc>
          <w:tcPr>
            <w:tcW w:w="1129" w:type="dxa"/>
            <w:shd w:val="clear" w:color="auto" w:fill="auto"/>
            <w:noWrap/>
            <w:vAlign w:val="center"/>
            <w:hideMark/>
          </w:tcPr>
          <w:p w:rsidR="00EE16ED" w:rsidRPr="00FA739A" w:rsidRDefault="00EE16ED"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 </w:t>
            </w:r>
          </w:p>
        </w:tc>
        <w:tc>
          <w:tcPr>
            <w:tcW w:w="2127" w:type="dxa"/>
            <w:shd w:val="clear" w:color="auto" w:fill="auto"/>
            <w:noWrap/>
            <w:vAlign w:val="center"/>
            <w:hideMark/>
          </w:tcPr>
          <w:p w:rsidR="00EE16ED" w:rsidRPr="00FA739A" w:rsidRDefault="00EE16ED"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 </w:t>
            </w:r>
          </w:p>
        </w:tc>
        <w:tc>
          <w:tcPr>
            <w:tcW w:w="708" w:type="dxa"/>
            <w:shd w:val="clear" w:color="auto" w:fill="auto"/>
            <w:noWrap/>
            <w:vAlign w:val="center"/>
            <w:hideMark/>
          </w:tcPr>
          <w:p w:rsidR="00EE16ED" w:rsidRPr="00FA739A" w:rsidRDefault="00EE16ED"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 xml:space="preserve">To </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0%</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sz w:val="20"/>
                <w:szCs w:val="20"/>
              </w:rPr>
            </w:pPr>
            <w:r w:rsidRPr="00FA739A">
              <w:rPr>
                <w:rFonts w:ascii="Arial Narrow" w:hAnsi="Arial Narrow" w:cs="Calibri"/>
                <w:sz w:val="20"/>
                <w:szCs w:val="20"/>
              </w:rPr>
              <w:t>-1%</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sz w:val="20"/>
                <w:szCs w:val="20"/>
              </w:rPr>
            </w:pPr>
            <w:r w:rsidRPr="00FA739A">
              <w:rPr>
                <w:rFonts w:ascii="Arial Narrow" w:hAnsi="Arial Narrow" w:cs="Calibri"/>
                <w:sz w:val="20"/>
                <w:szCs w:val="20"/>
              </w:rPr>
              <w:t>-2%</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sz w:val="20"/>
                <w:szCs w:val="20"/>
              </w:rPr>
            </w:pPr>
            <w:r w:rsidRPr="00FA739A">
              <w:rPr>
                <w:rFonts w:ascii="Arial Narrow" w:hAnsi="Arial Narrow" w:cs="Calibri"/>
                <w:sz w:val="20"/>
                <w:szCs w:val="20"/>
              </w:rPr>
              <w:t>-3%</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sz w:val="20"/>
                <w:szCs w:val="20"/>
              </w:rPr>
            </w:pPr>
            <w:r w:rsidRPr="00FA739A">
              <w:rPr>
                <w:rFonts w:ascii="Arial Narrow" w:hAnsi="Arial Narrow" w:cs="Calibri"/>
                <w:sz w:val="20"/>
                <w:szCs w:val="20"/>
              </w:rPr>
              <w:t>-5%</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sz w:val="20"/>
                <w:szCs w:val="20"/>
              </w:rPr>
            </w:pPr>
            <w:r w:rsidRPr="00FA739A">
              <w:rPr>
                <w:rFonts w:ascii="Arial Narrow" w:hAnsi="Arial Narrow" w:cs="Calibri"/>
                <w:sz w:val="20"/>
                <w:szCs w:val="20"/>
              </w:rPr>
              <w:t>-10%</w:t>
            </w:r>
          </w:p>
        </w:tc>
      </w:tr>
      <w:tr w:rsidR="00944392" w:rsidRPr="00FA739A" w:rsidTr="00EE16ED">
        <w:trPr>
          <w:trHeight w:val="288"/>
        </w:trPr>
        <w:tc>
          <w:tcPr>
            <w:tcW w:w="1129" w:type="dxa"/>
            <w:shd w:val="clear" w:color="auto" w:fill="auto"/>
            <w:noWrap/>
            <w:vAlign w:val="center"/>
          </w:tcPr>
          <w:p w:rsidR="00944392" w:rsidRPr="00FA739A" w:rsidRDefault="00944392" w:rsidP="00A04BAE">
            <w:pPr>
              <w:keepNext/>
              <w:keepLines/>
              <w:jc w:val="left"/>
              <w:rPr>
                <w:rFonts w:ascii="Arial Narrow" w:hAnsi="Arial Narrow" w:cs="Calibri"/>
                <w:color w:val="000000"/>
                <w:sz w:val="20"/>
                <w:szCs w:val="20"/>
              </w:rPr>
            </w:pPr>
          </w:p>
        </w:tc>
        <w:tc>
          <w:tcPr>
            <w:tcW w:w="2127" w:type="dxa"/>
            <w:shd w:val="clear" w:color="auto" w:fill="auto"/>
            <w:noWrap/>
            <w:vAlign w:val="center"/>
          </w:tcPr>
          <w:p w:rsidR="00944392" w:rsidRPr="00FA739A" w:rsidRDefault="00944392"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PBAC revised</w:t>
            </w:r>
            <w:r w:rsidR="00011990" w:rsidRPr="00FA739A">
              <w:rPr>
                <w:rFonts w:ascii="Arial Narrow" w:hAnsi="Arial Narrow" w:cs="Calibri"/>
                <w:color w:val="000000"/>
                <w:sz w:val="20"/>
                <w:szCs w:val="20"/>
              </w:rPr>
              <w:t xml:space="preserve"> forecast</w:t>
            </w:r>
          </w:p>
        </w:tc>
        <w:tc>
          <w:tcPr>
            <w:tcW w:w="708" w:type="dxa"/>
            <w:shd w:val="clear" w:color="auto" w:fill="auto"/>
            <w:noWrap/>
            <w:vAlign w:val="center"/>
          </w:tcPr>
          <w:p w:rsidR="00944392" w:rsidRPr="00FA739A" w:rsidRDefault="00944392" w:rsidP="00A04BAE">
            <w:pPr>
              <w:keepNext/>
              <w:keepLines/>
              <w:jc w:val="left"/>
              <w:rPr>
                <w:rFonts w:ascii="Arial Narrow" w:hAnsi="Arial Narrow" w:cs="Calibri"/>
                <w:color w:val="000000"/>
                <w:sz w:val="20"/>
                <w:szCs w:val="20"/>
              </w:rPr>
            </w:pPr>
          </w:p>
        </w:tc>
        <w:tc>
          <w:tcPr>
            <w:tcW w:w="842" w:type="dxa"/>
            <w:shd w:val="clear" w:color="auto" w:fill="auto"/>
            <w:noWrap/>
            <w:vAlign w:val="center"/>
          </w:tcPr>
          <w:p w:rsidR="00944392" w:rsidRPr="00FA739A" w:rsidRDefault="00944392"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-14%</w:t>
            </w:r>
          </w:p>
        </w:tc>
        <w:tc>
          <w:tcPr>
            <w:tcW w:w="842" w:type="dxa"/>
            <w:shd w:val="clear" w:color="auto" w:fill="auto"/>
            <w:noWrap/>
            <w:vAlign w:val="center"/>
          </w:tcPr>
          <w:p w:rsidR="00944392" w:rsidRPr="00FA739A" w:rsidRDefault="00944392" w:rsidP="00A04BAE">
            <w:pPr>
              <w:keepNext/>
              <w:keepLines/>
              <w:jc w:val="center"/>
              <w:rPr>
                <w:rFonts w:ascii="Arial Narrow" w:hAnsi="Arial Narrow" w:cs="Calibri"/>
                <w:sz w:val="20"/>
                <w:szCs w:val="20"/>
              </w:rPr>
            </w:pPr>
            <w:r w:rsidRPr="00FA739A">
              <w:rPr>
                <w:rFonts w:ascii="Arial Narrow" w:hAnsi="Arial Narrow" w:cs="Calibri"/>
                <w:sz w:val="20"/>
                <w:szCs w:val="20"/>
              </w:rPr>
              <w:t>-13%</w:t>
            </w:r>
          </w:p>
        </w:tc>
        <w:tc>
          <w:tcPr>
            <w:tcW w:w="842" w:type="dxa"/>
            <w:shd w:val="clear" w:color="auto" w:fill="auto"/>
            <w:noWrap/>
            <w:vAlign w:val="center"/>
          </w:tcPr>
          <w:p w:rsidR="00944392" w:rsidRPr="00FA739A" w:rsidRDefault="00944392" w:rsidP="00A04BAE">
            <w:pPr>
              <w:keepNext/>
              <w:keepLines/>
              <w:jc w:val="center"/>
              <w:rPr>
                <w:rFonts w:ascii="Arial Narrow" w:hAnsi="Arial Narrow" w:cs="Calibri"/>
                <w:sz w:val="20"/>
                <w:szCs w:val="20"/>
              </w:rPr>
            </w:pPr>
            <w:r w:rsidRPr="00FA739A">
              <w:rPr>
                <w:rFonts w:ascii="Arial Narrow" w:hAnsi="Arial Narrow" w:cs="Calibri"/>
                <w:sz w:val="20"/>
                <w:szCs w:val="20"/>
              </w:rPr>
              <w:t>-11%</w:t>
            </w:r>
          </w:p>
        </w:tc>
        <w:tc>
          <w:tcPr>
            <w:tcW w:w="842" w:type="dxa"/>
            <w:shd w:val="clear" w:color="auto" w:fill="auto"/>
            <w:noWrap/>
            <w:vAlign w:val="center"/>
          </w:tcPr>
          <w:p w:rsidR="00944392" w:rsidRPr="00FA739A" w:rsidRDefault="00944392" w:rsidP="00A04BAE">
            <w:pPr>
              <w:keepNext/>
              <w:keepLines/>
              <w:jc w:val="center"/>
              <w:rPr>
                <w:rFonts w:ascii="Arial Narrow" w:hAnsi="Arial Narrow" w:cs="Calibri"/>
                <w:sz w:val="20"/>
                <w:szCs w:val="20"/>
              </w:rPr>
            </w:pPr>
            <w:r w:rsidRPr="00FA739A">
              <w:rPr>
                <w:rFonts w:ascii="Arial Narrow" w:hAnsi="Arial Narrow" w:cs="Calibri"/>
                <w:sz w:val="20"/>
                <w:szCs w:val="20"/>
              </w:rPr>
              <w:t>-9%</w:t>
            </w:r>
          </w:p>
        </w:tc>
        <w:tc>
          <w:tcPr>
            <w:tcW w:w="842" w:type="dxa"/>
            <w:shd w:val="clear" w:color="auto" w:fill="auto"/>
            <w:noWrap/>
            <w:vAlign w:val="center"/>
          </w:tcPr>
          <w:p w:rsidR="00944392" w:rsidRPr="00FA739A" w:rsidRDefault="00944392" w:rsidP="00A04BAE">
            <w:pPr>
              <w:keepNext/>
              <w:keepLines/>
              <w:jc w:val="center"/>
              <w:rPr>
                <w:rFonts w:ascii="Arial Narrow" w:hAnsi="Arial Narrow" w:cs="Calibri"/>
                <w:sz w:val="20"/>
                <w:szCs w:val="20"/>
              </w:rPr>
            </w:pPr>
            <w:r w:rsidRPr="00FA739A">
              <w:rPr>
                <w:rFonts w:ascii="Arial Narrow" w:hAnsi="Arial Narrow" w:cs="Calibri"/>
                <w:sz w:val="20"/>
                <w:szCs w:val="20"/>
              </w:rPr>
              <w:t>-7%</w:t>
            </w:r>
          </w:p>
        </w:tc>
        <w:tc>
          <w:tcPr>
            <w:tcW w:w="842" w:type="dxa"/>
            <w:shd w:val="clear" w:color="auto" w:fill="auto"/>
            <w:noWrap/>
            <w:vAlign w:val="center"/>
          </w:tcPr>
          <w:p w:rsidR="00944392" w:rsidRPr="00FA739A" w:rsidRDefault="00944392" w:rsidP="00A04BAE">
            <w:pPr>
              <w:keepNext/>
              <w:keepLines/>
              <w:jc w:val="center"/>
              <w:rPr>
                <w:rFonts w:ascii="Arial Narrow" w:hAnsi="Arial Narrow" w:cs="Calibri"/>
                <w:sz w:val="20"/>
                <w:szCs w:val="20"/>
              </w:rPr>
            </w:pPr>
            <w:r w:rsidRPr="00FA739A">
              <w:rPr>
                <w:rFonts w:ascii="Arial Narrow" w:hAnsi="Arial Narrow" w:cs="Calibri"/>
                <w:sz w:val="20"/>
                <w:szCs w:val="20"/>
              </w:rPr>
              <w:t>-6%</w:t>
            </w:r>
          </w:p>
        </w:tc>
      </w:tr>
      <w:tr w:rsidR="00EE16ED" w:rsidRPr="00FA739A" w:rsidTr="00EE16ED">
        <w:trPr>
          <w:trHeight w:val="288"/>
        </w:trPr>
        <w:tc>
          <w:tcPr>
            <w:tcW w:w="1129" w:type="dxa"/>
            <w:shd w:val="clear" w:color="auto" w:fill="auto"/>
            <w:noWrap/>
            <w:vAlign w:val="center"/>
            <w:hideMark/>
          </w:tcPr>
          <w:p w:rsidR="00EE16ED" w:rsidRPr="00FA739A" w:rsidRDefault="00EE16ED"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 xml:space="preserve">Population 4 </w:t>
            </w:r>
          </w:p>
        </w:tc>
        <w:tc>
          <w:tcPr>
            <w:tcW w:w="2127" w:type="dxa"/>
            <w:shd w:val="clear" w:color="auto" w:fill="auto"/>
            <w:noWrap/>
            <w:vAlign w:val="center"/>
            <w:hideMark/>
          </w:tcPr>
          <w:p w:rsidR="00EE16ED" w:rsidRPr="00FA739A" w:rsidRDefault="00EE16ED"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Uptake - pts on EXE through PBS</w:t>
            </w:r>
          </w:p>
        </w:tc>
        <w:tc>
          <w:tcPr>
            <w:tcW w:w="708" w:type="dxa"/>
            <w:shd w:val="clear" w:color="auto" w:fill="auto"/>
            <w:noWrap/>
            <w:vAlign w:val="center"/>
            <w:hideMark/>
          </w:tcPr>
          <w:p w:rsidR="00EE16ED" w:rsidRPr="00FA739A" w:rsidRDefault="00EE16ED"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 xml:space="preserve">From </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50%</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50%</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50%</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50%</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50%</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50%</w:t>
            </w:r>
          </w:p>
        </w:tc>
      </w:tr>
      <w:tr w:rsidR="00EE16ED" w:rsidRPr="00FA739A" w:rsidTr="00EE16ED">
        <w:trPr>
          <w:trHeight w:val="300"/>
        </w:trPr>
        <w:tc>
          <w:tcPr>
            <w:tcW w:w="1129" w:type="dxa"/>
            <w:shd w:val="clear" w:color="auto" w:fill="auto"/>
            <w:noWrap/>
            <w:vAlign w:val="bottom"/>
            <w:hideMark/>
          </w:tcPr>
          <w:p w:rsidR="00EE16ED" w:rsidRPr="00FA739A" w:rsidRDefault="00EE16ED" w:rsidP="00A04BAE">
            <w:pPr>
              <w:keepNext/>
              <w:keepLines/>
              <w:rPr>
                <w:rFonts w:ascii="Arial Narrow" w:hAnsi="Arial Narrow" w:cs="Calibri"/>
                <w:color w:val="000000"/>
                <w:sz w:val="20"/>
                <w:szCs w:val="20"/>
              </w:rPr>
            </w:pPr>
            <w:r w:rsidRPr="00FA739A">
              <w:rPr>
                <w:rFonts w:ascii="Arial Narrow" w:hAnsi="Arial Narrow" w:cs="Calibri"/>
                <w:color w:val="000000"/>
                <w:sz w:val="20"/>
                <w:szCs w:val="20"/>
              </w:rPr>
              <w:t> </w:t>
            </w:r>
          </w:p>
        </w:tc>
        <w:tc>
          <w:tcPr>
            <w:tcW w:w="2127" w:type="dxa"/>
            <w:shd w:val="clear" w:color="auto" w:fill="auto"/>
            <w:noWrap/>
            <w:vAlign w:val="bottom"/>
            <w:hideMark/>
          </w:tcPr>
          <w:p w:rsidR="00EE16ED" w:rsidRPr="00FA739A" w:rsidRDefault="00EE16ED" w:rsidP="00A04BAE">
            <w:pPr>
              <w:keepNext/>
              <w:keepLines/>
              <w:rPr>
                <w:rFonts w:ascii="Arial Narrow" w:hAnsi="Arial Narrow" w:cs="Calibri"/>
                <w:color w:val="000000"/>
                <w:sz w:val="20"/>
                <w:szCs w:val="20"/>
              </w:rPr>
            </w:pPr>
            <w:r w:rsidRPr="00FA739A">
              <w:rPr>
                <w:rFonts w:ascii="Arial Narrow" w:hAnsi="Arial Narrow" w:cs="Calibri"/>
                <w:color w:val="000000"/>
                <w:sz w:val="20"/>
                <w:szCs w:val="20"/>
              </w:rPr>
              <w:t> </w:t>
            </w:r>
          </w:p>
        </w:tc>
        <w:tc>
          <w:tcPr>
            <w:tcW w:w="708" w:type="dxa"/>
            <w:shd w:val="clear" w:color="auto" w:fill="auto"/>
            <w:noWrap/>
            <w:vAlign w:val="center"/>
            <w:hideMark/>
          </w:tcPr>
          <w:p w:rsidR="00EE16ED" w:rsidRPr="00FA739A" w:rsidRDefault="00EE16ED" w:rsidP="00A04BAE">
            <w:pPr>
              <w:keepNext/>
              <w:keepLines/>
              <w:jc w:val="left"/>
              <w:rPr>
                <w:rFonts w:ascii="Arial Narrow" w:hAnsi="Arial Narrow" w:cs="Calibri"/>
                <w:color w:val="000000"/>
                <w:sz w:val="20"/>
                <w:szCs w:val="20"/>
              </w:rPr>
            </w:pPr>
            <w:r w:rsidRPr="00FA739A">
              <w:rPr>
                <w:rFonts w:ascii="Arial Narrow" w:hAnsi="Arial Narrow" w:cs="Calibri"/>
                <w:color w:val="000000"/>
                <w:sz w:val="20"/>
                <w:szCs w:val="20"/>
              </w:rPr>
              <w:t xml:space="preserve">To </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40%</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40%</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35%</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20%</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20%</w:t>
            </w:r>
          </w:p>
        </w:tc>
        <w:tc>
          <w:tcPr>
            <w:tcW w:w="842" w:type="dxa"/>
            <w:shd w:val="clear" w:color="auto" w:fill="auto"/>
            <w:noWrap/>
            <w:vAlign w:val="center"/>
            <w:hideMark/>
          </w:tcPr>
          <w:p w:rsidR="00EE16ED" w:rsidRPr="00FA739A" w:rsidRDefault="00EE16ED" w:rsidP="00A04BAE">
            <w:pPr>
              <w:keepNext/>
              <w:keepLines/>
              <w:jc w:val="center"/>
              <w:rPr>
                <w:rFonts w:ascii="Arial Narrow" w:hAnsi="Arial Narrow" w:cs="Calibri"/>
                <w:color w:val="000000"/>
                <w:sz w:val="20"/>
                <w:szCs w:val="20"/>
              </w:rPr>
            </w:pPr>
            <w:r w:rsidRPr="00FA739A">
              <w:rPr>
                <w:rFonts w:ascii="Arial Narrow" w:hAnsi="Arial Narrow" w:cs="Calibri"/>
                <w:color w:val="000000"/>
                <w:sz w:val="20"/>
                <w:szCs w:val="20"/>
              </w:rPr>
              <w:t>10%</w:t>
            </w:r>
          </w:p>
        </w:tc>
      </w:tr>
    </w:tbl>
    <w:p w:rsidR="00314F80" w:rsidRPr="00FA739A" w:rsidRDefault="00C36682" w:rsidP="00C36682">
      <w:pPr>
        <w:pStyle w:val="3Bodytext"/>
        <w:numPr>
          <w:ilvl w:val="0"/>
          <w:numId w:val="0"/>
        </w:numPr>
        <w:ind w:left="720" w:hanging="720"/>
        <w:rPr>
          <w:rFonts w:ascii="Arial Narrow" w:hAnsi="Arial Narrow"/>
          <w:sz w:val="18"/>
          <w:szCs w:val="18"/>
        </w:rPr>
      </w:pPr>
      <w:r w:rsidRPr="00FA739A">
        <w:rPr>
          <w:rFonts w:ascii="Arial Narrow" w:hAnsi="Arial Narrow"/>
          <w:sz w:val="18"/>
          <w:szCs w:val="18"/>
        </w:rPr>
        <w:t xml:space="preserve">Source: Table 4, p 9 of the resubmission </w:t>
      </w:r>
    </w:p>
    <w:p w:rsidR="00DC2935" w:rsidRPr="00FA739A" w:rsidRDefault="00DC2935" w:rsidP="00550CE2">
      <w:pPr>
        <w:keepNext/>
        <w:keepLines/>
      </w:pPr>
    </w:p>
    <w:p w:rsidR="008E519A" w:rsidRPr="00FA739A" w:rsidRDefault="008E519A" w:rsidP="00144A65">
      <w:pPr>
        <w:pStyle w:val="3Bodytext"/>
        <w:rPr>
          <w:b/>
          <w:color w:val="FF00FF"/>
        </w:rPr>
      </w:pPr>
      <w:r w:rsidRPr="00FA739A">
        <w:t xml:space="preserve">The minor </w:t>
      </w:r>
      <w:r w:rsidR="001301DB" w:rsidRPr="00FA739A">
        <w:t>re</w:t>
      </w:r>
      <w:r w:rsidRPr="00FA739A">
        <w:t xml:space="preserve">submission presented an analysis of uptake data from patients on a part-paid access program for access to </w:t>
      </w:r>
      <w:r w:rsidR="000F171A" w:rsidRPr="00FA739A">
        <w:t>RIBO+FULV</w:t>
      </w:r>
      <w:r w:rsidRPr="00FA739A">
        <w:t xml:space="preserve">. Patients </w:t>
      </w:r>
      <w:r w:rsidR="00011990" w:rsidRPr="00FA739A">
        <w:t xml:space="preserve">in this program </w:t>
      </w:r>
      <w:r w:rsidRPr="00FA739A">
        <w:t>receive ribociclib free of cha</w:t>
      </w:r>
      <w:r w:rsidR="009F1547">
        <w:t>r</w:t>
      </w:r>
      <w:r w:rsidRPr="00FA739A">
        <w:t xml:space="preserve">ge but are required to self-fund fulvestrant for the duration of treatment. </w:t>
      </w:r>
      <w:r w:rsidR="00B972DD" w:rsidRPr="00FA739A">
        <w:t xml:space="preserve">The resubmission stated that 90% of patients in the program are initiating treatment in the second-line treatment setting, and stated that this patient population is indicative of the eligible PBS second-line patient population. </w:t>
      </w:r>
      <w:r w:rsidRPr="00FA739A">
        <w:t>To estimate the patient numbers for the second line listing</w:t>
      </w:r>
      <w:r w:rsidR="000F171A" w:rsidRPr="00FA739A">
        <w:t>, the</w:t>
      </w:r>
      <w:r w:rsidRPr="00FA739A">
        <w:t xml:space="preserve"> minor resubmission assumed a 50% increase in year 1 to account for additional patients for whom the financial burden of self-funding fulvestrant is prohibitive. The minor resubmission </w:t>
      </w:r>
      <w:r w:rsidR="00787D98" w:rsidRPr="00DB2F78">
        <w:t>considered</w:t>
      </w:r>
      <w:r w:rsidRPr="00144A65">
        <w:t xml:space="preserve"> that this increase in patients is likely to be conservative as </w:t>
      </w:r>
      <w:r w:rsidR="00787D98" w:rsidRPr="00144A65">
        <w:t>patient numbers are based</w:t>
      </w:r>
      <w:r w:rsidR="00787D98" w:rsidRPr="00DB2F78">
        <w:t xml:space="preserve"> </w:t>
      </w:r>
      <w:r w:rsidR="00787D98" w:rsidRPr="00144A65">
        <w:t xml:space="preserve">on </w:t>
      </w:r>
      <w:r w:rsidR="00AB6780">
        <w:rPr>
          <w:noProof/>
          <w:color w:val="000000"/>
          <w:highlight w:val="black"/>
        </w:rPr>
        <w:t>'''''</w:t>
      </w:r>
      <w:r w:rsidR="00787D98" w:rsidRPr="00FA739A">
        <w:t xml:space="preserve"> oncologists registered with the program, of a total 622 Medical Oncologists in the Australian breast cancer setting. </w:t>
      </w:r>
      <w:r w:rsidR="00314F80" w:rsidRPr="00FA739A">
        <w:t>T</w:t>
      </w:r>
      <w:r w:rsidR="00787D98" w:rsidRPr="00FA739A">
        <w:t xml:space="preserve">he number of second line patients in year 1 was estimated to be </w:t>
      </w:r>
      <w:r w:rsidR="00144A65" w:rsidRPr="00144A65">
        <w:t>&lt; 500</w:t>
      </w:r>
      <w:r w:rsidR="00787D98" w:rsidRPr="00FA739A">
        <w:t xml:space="preserve">. </w:t>
      </w:r>
      <w:r w:rsidR="00314F80" w:rsidRPr="00FA739A">
        <w:t>This was consistent with the number of second line patients calculated in the combined market share approach for this population (</w:t>
      </w:r>
      <w:r w:rsidR="00144A65" w:rsidRPr="00144A65">
        <w:t>&lt; 500</w:t>
      </w:r>
      <w:r w:rsidR="00314F80" w:rsidRPr="00FA739A">
        <w:t>).</w:t>
      </w:r>
      <w:r w:rsidR="00192BC4" w:rsidRPr="00FA739A">
        <w:t xml:space="preserve"> </w:t>
      </w:r>
      <w:r w:rsidR="00F77193" w:rsidRPr="00FA739A">
        <w:t>The pre</w:t>
      </w:r>
      <w:r w:rsidR="00B91B4E" w:rsidRPr="00FA739A">
        <w:noBreakHyphen/>
      </w:r>
      <w:r w:rsidR="00F77193" w:rsidRPr="00FA739A">
        <w:t>PBAC response provided updated data from the access program, which it stated further supported the uptake rates that were estimated for populations 3 and 4.</w:t>
      </w:r>
    </w:p>
    <w:p w:rsidR="00CA0010" w:rsidRPr="00FA739A" w:rsidRDefault="00CA0010" w:rsidP="00CA0010">
      <w:pPr>
        <w:pStyle w:val="3-BodyText"/>
        <w:numPr>
          <w:ilvl w:val="1"/>
          <w:numId w:val="1"/>
        </w:numPr>
        <w:rPr>
          <w:lang w:eastAsia="en-US"/>
        </w:rPr>
      </w:pPr>
      <w:r w:rsidRPr="00FA739A">
        <w:rPr>
          <w:lang w:eastAsia="en-US"/>
        </w:rPr>
        <w:t xml:space="preserve">Using the proportions of prescriptions in first- and later-lines from the financial estimates (based on the </w:t>
      </w:r>
      <w:r w:rsidRPr="00FA739A">
        <w:t>relative proportions of prescriptions over the first 6 years of listing)</w:t>
      </w:r>
      <w:r w:rsidRPr="00FA739A">
        <w:rPr>
          <w:lang w:eastAsia="en-US"/>
        </w:rPr>
        <w:t>, the weighted price would be:</w:t>
      </w:r>
    </w:p>
    <w:p w:rsidR="00CA0010" w:rsidRPr="00FA739A" w:rsidRDefault="00CA0010" w:rsidP="00322A93">
      <w:pPr>
        <w:pStyle w:val="3Bodytext"/>
        <w:numPr>
          <w:ilvl w:val="0"/>
          <w:numId w:val="27"/>
        </w:numPr>
        <w:ind w:left="1077" w:hanging="357"/>
      </w:pPr>
      <w:r w:rsidRPr="00FA739A">
        <w:t>76% of total use of ribociclib (when used in combination with fulvestrant) would be in the first-line setting with an AEMP of $</w:t>
      </w:r>
      <w:r w:rsidR="00AB6780">
        <w:rPr>
          <w:noProof/>
          <w:color w:val="000000"/>
          <w:highlight w:val="black"/>
        </w:rPr>
        <w:t>''''''''''</w:t>
      </w:r>
      <w:r w:rsidRPr="00FA739A">
        <w:t>;</w:t>
      </w:r>
    </w:p>
    <w:p w:rsidR="00CA0010" w:rsidRPr="00FA739A" w:rsidRDefault="00CA0010" w:rsidP="00322A93">
      <w:pPr>
        <w:pStyle w:val="3Bodytext"/>
        <w:numPr>
          <w:ilvl w:val="0"/>
          <w:numId w:val="27"/>
        </w:numPr>
        <w:ind w:left="1077" w:hanging="357"/>
      </w:pPr>
      <w:r w:rsidRPr="00FA739A">
        <w:t>24% of total use of ribociclib (when used in combination with fulvestrant) would be in the second-line setting with an AEMP of $</w:t>
      </w:r>
      <w:r w:rsidR="00AB6780">
        <w:rPr>
          <w:noProof/>
          <w:color w:val="000000"/>
          <w:highlight w:val="black"/>
        </w:rPr>
        <w:t>'''''''''''</w:t>
      </w:r>
      <w:r w:rsidRPr="00FA739A">
        <w:t>.</w:t>
      </w:r>
    </w:p>
    <w:p w:rsidR="00CA0010" w:rsidRPr="00FA739A" w:rsidRDefault="00CA0010" w:rsidP="00CA0010">
      <w:pPr>
        <w:pStyle w:val="3-BodyText"/>
        <w:numPr>
          <w:ilvl w:val="0"/>
          <w:numId w:val="0"/>
        </w:numPr>
        <w:ind w:left="720"/>
        <w:rPr>
          <w:lang w:eastAsia="en-US"/>
        </w:rPr>
      </w:pPr>
      <w:r w:rsidRPr="00FA739A">
        <w:rPr>
          <w:lang w:eastAsia="en-US"/>
        </w:rPr>
        <w:t>This would result in a weighted AEMP of $</w:t>
      </w:r>
      <w:r w:rsidR="00AB6780">
        <w:rPr>
          <w:noProof/>
          <w:color w:val="000000"/>
          <w:highlight w:val="black"/>
          <w:lang w:eastAsia="en-US"/>
        </w:rPr>
        <w:t>''''''''''</w:t>
      </w:r>
      <w:r w:rsidRPr="00FA739A">
        <w:rPr>
          <w:lang w:eastAsia="en-US"/>
        </w:rPr>
        <w:t>. However, the resubmission offered a weighted AEMP of $</w:t>
      </w:r>
      <w:r w:rsidR="00AB6780">
        <w:rPr>
          <w:noProof/>
          <w:color w:val="000000"/>
          <w:highlight w:val="black"/>
          <w:lang w:eastAsia="en-US"/>
        </w:rPr>
        <w:t>'''''''''''</w:t>
      </w:r>
      <w:r w:rsidRPr="00FA739A">
        <w:rPr>
          <w:lang w:eastAsia="en-US"/>
        </w:rPr>
        <w:t xml:space="preserve">, consistent with the current price for the existing listing. </w:t>
      </w:r>
      <w:r w:rsidRPr="00FA739A">
        <w:rPr>
          <w:lang w:eastAsia="en-US"/>
        </w:rPr>
        <w:lastRenderedPageBreak/>
        <w:t>This would equate to a relative weighting of 80%:20% in the first- and later-line settings, respectively. This lower AEMP was used in the financial estimates.</w:t>
      </w:r>
    </w:p>
    <w:p w:rsidR="00B84BAB" w:rsidRPr="00FA739A" w:rsidRDefault="00B84BAB" w:rsidP="007D6B49">
      <w:pPr>
        <w:pStyle w:val="3Bodytext"/>
        <w:jc w:val="both"/>
      </w:pPr>
      <w:r w:rsidRPr="00FA739A">
        <w:rPr>
          <w:snapToGrid w:val="0"/>
        </w:rPr>
        <w:t xml:space="preserve">In the second-line setting, the PBAC previously considered that the key use of ribociclib would be prevalent patients who began treatment with AI monotherapy prior to listing of RIBO+NSAI, and that this would be a relatively small population. </w:t>
      </w:r>
      <w:r w:rsidR="00AD7C4F" w:rsidRPr="00FA739A">
        <w:rPr>
          <w:snapToGrid w:val="0"/>
        </w:rPr>
        <w:t xml:space="preserve">The PBAC considered that the </w:t>
      </w:r>
      <w:r w:rsidR="00AD7C4F" w:rsidRPr="00FA739A">
        <w:rPr>
          <w:lang w:eastAsia="en-US"/>
        </w:rPr>
        <w:t xml:space="preserve">relative weighting of 80%:20% applied in calculation of the proposed AEMP </w:t>
      </w:r>
      <w:r w:rsidR="00AD7C4F" w:rsidRPr="00DB2F78">
        <w:rPr>
          <w:lang w:eastAsia="en-US"/>
        </w:rPr>
        <w:t>of $</w:t>
      </w:r>
      <w:r w:rsidR="00AB6780">
        <w:rPr>
          <w:noProof/>
          <w:color w:val="000000"/>
          <w:highlight w:val="black"/>
          <w:lang w:eastAsia="en-US"/>
        </w:rPr>
        <w:t xml:space="preserve">''''''''''' </w:t>
      </w:r>
      <w:r w:rsidR="00AD7C4F" w:rsidRPr="00DB2F78">
        <w:rPr>
          <w:lang w:eastAsia="en-US"/>
        </w:rPr>
        <w:t>was reasonable.</w:t>
      </w:r>
    </w:p>
    <w:p w:rsidR="00E078D9" w:rsidRPr="00FA739A" w:rsidRDefault="00FF2801" w:rsidP="00A104FD">
      <w:pPr>
        <w:pStyle w:val="3Bodytext"/>
      </w:pPr>
      <w:r w:rsidRPr="00FA739A">
        <w:t xml:space="preserve">The minor </w:t>
      </w:r>
      <w:r w:rsidR="001301DB" w:rsidRPr="00FA739A">
        <w:t>re</w:t>
      </w:r>
      <w:r w:rsidRPr="00FA739A">
        <w:t>submission estimated</w:t>
      </w:r>
      <w:r w:rsidR="00C00DA7" w:rsidRPr="00FA739A">
        <w:t xml:space="preserve"> a net cost to the PBS</w:t>
      </w:r>
      <w:r w:rsidR="00BE0587" w:rsidRPr="00FA739A">
        <w:t>/RPBS</w:t>
      </w:r>
      <w:r w:rsidR="00C00DA7" w:rsidRPr="00FA739A">
        <w:t xml:space="preserve"> of </w:t>
      </w:r>
      <w:r w:rsidR="00A104FD" w:rsidRPr="00A104FD">
        <w:t>$10 million to &lt; $20 million</w:t>
      </w:r>
      <w:r w:rsidR="00C00DA7" w:rsidRPr="00FA739A">
        <w:t xml:space="preserve"> in Year </w:t>
      </w:r>
      <w:r w:rsidR="00977BF3" w:rsidRPr="00FA739A">
        <w:t>6</w:t>
      </w:r>
      <w:r w:rsidR="00C00DA7" w:rsidRPr="00FA739A">
        <w:t xml:space="preserve"> of listing, with a total net cost to the PBS</w:t>
      </w:r>
      <w:r w:rsidR="00BE0587" w:rsidRPr="00FA739A">
        <w:t>/RPBS</w:t>
      </w:r>
      <w:r w:rsidR="00C00DA7" w:rsidRPr="00FA739A">
        <w:t xml:space="preserve"> of </w:t>
      </w:r>
      <w:r w:rsidR="00A104FD">
        <w:t>$80 million to &lt; $9</w:t>
      </w:r>
      <w:r w:rsidR="00A104FD" w:rsidRPr="00A104FD">
        <w:t>0 million</w:t>
      </w:r>
      <w:r w:rsidR="00C7409E" w:rsidRPr="00FA739A">
        <w:t xml:space="preserve"> </w:t>
      </w:r>
      <w:r w:rsidR="00C00DA7" w:rsidRPr="00FA739A">
        <w:t>ove</w:t>
      </w:r>
      <w:r w:rsidR="00C7409E" w:rsidRPr="00FA739A">
        <w:t xml:space="preserve">r the first </w:t>
      </w:r>
      <w:r w:rsidR="00977BF3" w:rsidRPr="00FA739A">
        <w:t>6</w:t>
      </w:r>
      <w:r w:rsidR="00C7409E" w:rsidRPr="00FA739A">
        <w:t xml:space="preserve"> years of listing. </w:t>
      </w:r>
      <w:r w:rsidR="00C00DA7" w:rsidRPr="00FA739A">
        <w:t xml:space="preserve">This is summarised in the table below </w:t>
      </w:r>
      <w:r w:rsidR="00977BF3" w:rsidRPr="00FA739A">
        <w:t xml:space="preserve">as well as the </w:t>
      </w:r>
      <w:r w:rsidR="00F77193" w:rsidRPr="00FA739A">
        <w:t xml:space="preserve">estimated </w:t>
      </w:r>
      <w:r w:rsidR="00977BF3" w:rsidRPr="00FA739A">
        <w:t xml:space="preserve">patient and </w:t>
      </w:r>
      <w:r w:rsidR="00C00DA7" w:rsidRPr="00FA739A">
        <w:t xml:space="preserve">prescription numbers. </w:t>
      </w:r>
      <w:r w:rsidR="00154734" w:rsidRPr="00FA739A">
        <w:t xml:space="preserve">The financial estimates have been revised to show the estimated extent of use and financial impact including the PBAC’s revised estimates for population 3 as outlined in </w:t>
      </w:r>
      <w:r w:rsidR="00322A93">
        <w:t>Table 5</w:t>
      </w:r>
      <w:r w:rsidR="00154734" w:rsidRPr="00FA739A">
        <w:t>.</w:t>
      </w:r>
    </w:p>
    <w:p w:rsidR="006C6B8B" w:rsidRPr="00FA739A" w:rsidRDefault="00CA0010" w:rsidP="007D6B49">
      <w:pPr>
        <w:pStyle w:val="3Bodytext"/>
        <w:jc w:val="both"/>
      </w:pPr>
      <w:r w:rsidRPr="00FA739A">
        <w:t>The resubmission used previous mark-ups when calculating the DPMQ</w:t>
      </w:r>
      <w:r w:rsidR="001B346A" w:rsidRPr="00FA739A">
        <w:t xml:space="preserve"> (i.e. </w:t>
      </w:r>
      <w:r w:rsidRPr="00FA739A">
        <w:t>the financial estimates were based on a DPMQ of $</w:t>
      </w:r>
      <w:r w:rsidR="00AB6780">
        <w:rPr>
          <w:noProof/>
          <w:color w:val="000000"/>
          <w:highlight w:val="black"/>
        </w:rPr>
        <w:t>'''''''''''''''''</w:t>
      </w:r>
      <w:r w:rsidRPr="00FA739A">
        <w:t xml:space="preserve"> for ribociclib (600 mg)</w:t>
      </w:r>
      <w:r w:rsidR="001B346A" w:rsidRPr="00FA739A">
        <w:t>, rather than $</w:t>
      </w:r>
      <w:r w:rsidR="00AB6780">
        <w:rPr>
          <w:noProof/>
          <w:color w:val="000000"/>
          <w:highlight w:val="black"/>
        </w:rPr>
        <w:t>''''''''''''''''</w:t>
      </w:r>
      <w:r w:rsidR="001B346A" w:rsidRPr="00FA739A">
        <w:t xml:space="preserve"> using the July 2020 mark-ups)</w:t>
      </w:r>
      <w:r w:rsidRPr="00FA739A">
        <w:t>.</w:t>
      </w:r>
      <w:r w:rsidR="006C6B8B" w:rsidRPr="00FA739A">
        <w:t xml:space="preserve"> Using the current DPMQ results in a small increase to the overall financial estimates.</w:t>
      </w:r>
      <w:r w:rsidR="00A669FE" w:rsidRPr="00FA739A">
        <w:t xml:space="preserve"> </w:t>
      </w:r>
    </w:p>
    <w:p w:rsidR="00C7409E" w:rsidRPr="00FA739A" w:rsidRDefault="00C7409E" w:rsidP="00B315BD">
      <w:pPr>
        <w:pStyle w:val="Caption"/>
        <w:keepNext/>
        <w:keepLines/>
        <w:spacing w:after="0"/>
        <w:rPr>
          <w:rStyle w:val="CommentReference"/>
          <w:sz w:val="20"/>
          <w:szCs w:val="22"/>
        </w:rPr>
      </w:pPr>
      <w:r w:rsidRPr="00FA739A">
        <w:rPr>
          <w:rStyle w:val="CommentReference"/>
          <w:sz w:val="20"/>
          <w:szCs w:val="22"/>
        </w:rPr>
        <w:lastRenderedPageBreak/>
        <w:t>Table</w:t>
      </w:r>
      <w:r w:rsidR="00BE0587" w:rsidRPr="00FA739A">
        <w:rPr>
          <w:rFonts w:eastAsiaTheme="majorEastAsia"/>
        </w:rPr>
        <w:t xml:space="preserve"> </w:t>
      </w:r>
      <w:r w:rsidR="008F28E9" w:rsidRPr="009978AC">
        <w:rPr>
          <w:rFonts w:eastAsiaTheme="majorEastAsia"/>
        </w:rPr>
        <w:t>6</w:t>
      </w:r>
      <w:r w:rsidR="00EE31A2" w:rsidRPr="00FA739A">
        <w:rPr>
          <w:rFonts w:eastAsiaTheme="majorEastAsia"/>
        </w:rPr>
        <w:t xml:space="preserve">: </w:t>
      </w:r>
      <w:r w:rsidRPr="00FA739A">
        <w:rPr>
          <w:rStyle w:val="CommentReference"/>
          <w:sz w:val="20"/>
          <w:szCs w:val="22"/>
        </w:rPr>
        <w:t>Estimated use and financial implications</w:t>
      </w: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8"/>
        <w:gridCol w:w="1317"/>
        <w:gridCol w:w="1355"/>
        <w:gridCol w:w="1348"/>
        <w:gridCol w:w="1352"/>
        <w:gridCol w:w="1317"/>
        <w:gridCol w:w="1348"/>
      </w:tblGrid>
      <w:tr w:rsidR="00BE0587" w:rsidRPr="00FA739A" w:rsidTr="00980405">
        <w:trPr>
          <w:trHeight w:val="256"/>
          <w:tblHeader/>
        </w:trPr>
        <w:tc>
          <w:tcPr>
            <w:tcW w:w="685" w:type="pct"/>
            <w:tcMar>
              <w:top w:w="0" w:type="dxa"/>
              <w:left w:w="28" w:type="dxa"/>
              <w:bottom w:w="0" w:type="dxa"/>
              <w:right w:w="28" w:type="dxa"/>
            </w:tcMar>
            <w:vAlign w:val="center"/>
          </w:tcPr>
          <w:p w:rsidR="00BE0587" w:rsidRPr="009978AC" w:rsidRDefault="00BE0587" w:rsidP="00B315BD">
            <w:pPr>
              <w:keepNext/>
              <w:keepLines/>
              <w:rPr>
                <w:rFonts w:ascii="Arial Narrow" w:hAnsi="Arial Narrow" w:cstheme="minorHAnsi"/>
                <w:b/>
                <w:bCs/>
                <w:sz w:val="20"/>
                <w:szCs w:val="20"/>
              </w:rPr>
            </w:pPr>
          </w:p>
        </w:tc>
        <w:tc>
          <w:tcPr>
            <w:tcW w:w="707" w:type="pct"/>
            <w:tcMar>
              <w:top w:w="0" w:type="dxa"/>
              <w:left w:w="28" w:type="dxa"/>
              <w:bottom w:w="0" w:type="dxa"/>
              <w:right w:w="28" w:type="dxa"/>
            </w:tcMar>
            <w:vAlign w:val="center"/>
            <w:hideMark/>
          </w:tcPr>
          <w:p w:rsidR="00BE0587" w:rsidRPr="009978AC" w:rsidRDefault="00BE0587" w:rsidP="00B315BD">
            <w:pPr>
              <w:keepNext/>
              <w:keepLines/>
              <w:ind w:left="113" w:right="113"/>
              <w:jc w:val="center"/>
              <w:rPr>
                <w:rFonts w:ascii="Arial Narrow" w:hAnsi="Arial Narrow" w:cstheme="minorHAnsi"/>
                <w:b/>
                <w:bCs/>
                <w:sz w:val="20"/>
                <w:szCs w:val="20"/>
              </w:rPr>
            </w:pPr>
            <w:r w:rsidRPr="009978AC">
              <w:rPr>
                <w:rFonts w:ascii="Arial Narrow" w:hAnsi="Arial Narrow" w:cstheme="minorHAnsi"/>
                <w:b/>
                <w:bCs/>
                <w:sz w:val="20"/>
                <w:szCs w:val="20"/>
              </w:rPr>
              <w:t>Year 1</w:t>
            </w:r>
          </w:p>
        </w:tc>
        <w:tc>
          <w:tcPr>
            <w:tcW w:w="727" w:type="pct"/>
            <w:tcMar>
              <w:top w:w="0" w:type="dxa"/>
              <w:left w:w="28" w:type="dxa"/>
              <w:bottom w:w="0" w:type="dxa"/>
              <w:right w:w="28" w:type="dxa"/>
            </w:tcMar>
            <w:vAlign w:val="center"/>
            <w:hideMark/>
          </w:tcPr>
          <w:p w:rsidR="00BE0587" w:rsidRPr="009978AC" w:rsidRDefault="00BE0587" w:rsidP="00B315BD">
            <w:pPr>
              <w:keepNext/>
              <w:keepLines/>
              <w:ind w:left="113" w:right="113"/>
              <w:jc w:val="center"/>
              <w:rPr>
                <w:rFonts w:ascii="Arial Narrow" w:hAnsi="Arial Narrow" w:cstheme="minorHAnsi"/>
                <w:b/>
                <w:bCs/>
                <w:sz w:val="20"/>
                <w:szCs w:val="20"/>
              </w:rPr>
            </w:pPr>
            <w:r w:rsidRPr="009978AC">
              <w:rPr>
                <w:rFonts w:ascii="Arial Narrow" w:hAnsi="Arial Narrow" w:cstheme="minorHAnsi"/>
                <w:b/>
                <w:bCs/>
                <w:sz w:val="20"/>
                <w:szCs w:val="20"/>
              </w:rPr>
              <w:t>Year 2</w:t>
            </w:r>
          </w:p>
        </w:tc>
        <w:tc>
          <w:tcPr>
            <w:tcW w:w="724" w:type="pct"/>
            <w:tcMar>
              <w:top w:w="0" w:type="dxa"/>
              <w:left w:w="28" w:type="dxa"/>
              <w:bottom w:w="0" w:type="dxa"/>
              <w:right w:w="28" w:type="dxa"/>
            </w:tcMar>
            <w:vAlign w:val="center"/>
            <w:hideMark/>
          </w:tcPr>
          <w:p w:rsidR="00BE0587" w:rsidRPr="009978AC" w:rsidRDefault="00BE0587" w:rsidP="00B315BD">
            <w:pPr>
              <w:keepNext/>
              <w:keepLines/>
              <w:ind w:left="113" w:right="113"/>
              <w:jc w:val="center"/>
              <w:rPr>
                <w:rFonts w:ascii="Arial Narrow" w:hAnsi="Arial Narrow" w:cstheme="minorHAnsi"/>
                <w:b/>
                <w:bCs/>
                <w:sz w:val="20"/>
                <w:szCs w:val="20"/>
              </w:rPr>
            </w:pPr>
            <w:r w:rsidRPr="009978AC">
              <w:rPr>
                <w:rFonts w:ascii="Arial Narrow" w:hAnsi="Arial Narrow" w:cstheme="minorHAnsi"/>
                <w:b/>
                <w:bCs/>
                <w:sz w:val="20"/>
                <w:szCs w:val="20"/>
              </w:rPr>
              <w:t>Year 3</w:t>
            </w:r>
          </w:p>
        </w:tc>
        <w:tc>
          <w:tcPr>
            <w:tcW w:w="726" w:type="pct"/>
            <w:tcMar>
              <w:top w:w="0" w:type="dxa"/>
              <w:left w:w="28" w:type="dxa"/>
              <w:bottom w:w="0" w:type="dxa"/>
              <w:right w:w="28" w:type="dxa"/>
            </w:tcMar>
            <w:vAlign w:val="center"/>
            <w:hideMark/>
          </w:tcPr>
          <w:p w:rsidR="00BE0587" w:rsidRPr="009978AC" w:rsidRDefault="00BE0587" w:rsidP="00B315BD">
            <w:pPr>
              <w:keepNext/>
              <w:keepLines/>
              <w:ind w:left="113" w:right="113"/>
              <w:jc w:val="center"/>
              <w:rPr>
                <w:rFonts w:ascii="Arial Narrow" w:hAnsi="Arial Narrow" w:cstheme="minorHAnsi"/>
                <w:b/>
                <w:bCs/>
                <w:sz w:val="20"/>
                <w:szCs w:val="20"/>
              </w:rPr>
            </w:pPr>
            <w:r w:rsidRPr="009978AC">
              <w:rPr>
                <w:rFonts w:ascii="Arial Narrow" w:hAnsi="Arial Narrow" w:cstheme="minorHAnsi"/>
                <w:b/>
                <w:bCs/>
                <w:sz w:val="20"/>
                <w:szCs w:val="20"/>
              </w:rPr>
              <w:t>Year 4</w:t>
            </w:r>
          </w:p>
        </w:tc>
        <w:tc>
          <w:tcPr>
            <w:tcW w:w="707" w:type="pct"/>
            <w:tcMar>
              <w:top w:w="0" w:type="dxa"/>
              <w:left w:w="28" w:type="dxa"/>
              <w:bottom w:w="0" w:type="dxa"/>
              <w:right w:w="28" w:type="dxa"/>
            </w:tcMar>
            <w:vAlign w:val="center"/>
            <w:hideMark/>
          </w:tcPr>
          <w:p w:rsidR="00BE0587" w:rsidRPr="009978AC" w:rsidRDefault="00BE0587" w:rsidP="00B315BD">
            <w:pPr>
              <w:keepNext/>
              <w:keepLines/>
              <w:ind w:left="113" w:right="113"/>
              <w:jc w:val="center"/>
              <w:rPr>
                <w:rFonts w:ascii="Arial Narrow" w:hAnsi="Arial Narrow" w:cstheme="minorHAnsi"/>
                <w:b/>
                <w:bCs/>
                <w:sz w:val="20"/>
                <w:szCs w:val="20"/>
              </w:rPr>
            </w:pPr>
            <w:r w:rsidRPr="009978AC">
              <w:rPr>
                <w:rFonts w:ascii="Arial Narrow" w:hAnsi="Arial Narrow" w:cstheme="minorHAnsi"/>
                <w:b/>
                <w:bCs/>
                <w:sz w:val="20"/>
                <w:szCs w:val="20"/>
              </w:rPr>
              <w:t>Year 5</w:t>
            </w:r>
          </w:p>
        </w:tc>
        <w:tc>
          <w:tcPr>
            <w:tcW w:w="724" w:type="pct"/>
            <w:tcMar>
              <w:top w:w="0" w:type="dxa"/>
              <w:left w:w="28" w:type="dxa"/>
              <w:bottom w:w="0" w:type="dxa"/>
              <w:right w:w="28" w:type="dxa"/>
            </w:tcMar>
            <w:vAlign w:val="center"/>
            <w:hideMark/>
          </w:tcPr>
          <w:p w:rsidR="00BE0587" w:rsidRPr="009978AC" w:rsidRDefault="00BE0587" w:rsidP="00B315BD">
            <w:pPr>
              <w:keepNext/>
              <w:keepLines/>
              <w:ind w:left="113" w:right="113"/>
              <w:jc w:val="center"/>
              <w:rPr>
                <w:rFonts w:ascii="Arial Narrow" w:hAnsi="Arial Narrow" w:cstheme="minorHAnsi"/>
                <w:b/>
                <w:bCs/>
                <w:sz w:val="20"/>
                <w:szCs w:val="20"/>
              </w:rPr>
            </w:pPr>
            <w:r w:rsidRPr="009978AC">
              <w:rPr>
                <w:rFonts w:ascii="Arial Narrow" w:hAnsi="Arial Narrow" w:cstheme="minorHAnsi"/>
                <w:b/>
                <w:bCs/>
                <w:sz w:val="20"/>
                <w:szCs w:val="20"/>
              </w:rPr>
              <w:t>Year 6</w:t>
            </w:r>
          </w:p>
        </w:tc>
      </w:tr>
      <w:tr w:rsidR="00BE0587" w:rsidRPr="00FA739A" w:rsidTr="00980405">
        <w:trPr>
          <w:trHeight w:val="269"/>
        </w:trPr>
        <w:tc>
          <w:tcPr>
            <w:tcW w:w="5000" w:type="pct"/>
            <w:gridSpan w:val="7"/>
            <w:tcMar>
              <w:top w:w="0" w:type="dxa"/>
              <w:left w:w="28" w:type="dxa"/>
              <w:bottom w:w="0" w:type="dxa"/>
              <w:right w:w="28" w:type="dxa"/>
            </w:tcMar>
            <w:vAlign w:val="center"/>
            <w:hideMark/>
          </w:tcPr>
          <w:p w:rsidR="00BE0587" w:rsidRPr="009978AC" w:rsidRDefault="00BE0587" w:rsidP="00B315BD">
            <w:pPr>
              <w:keepNext/>
              <w:keepLines/>
              <w:ind w:left="113" w:right="113"/>
              <w:jc w:val="left"/>
              <w:rPr>
                <w:rFonts w:ascii="Arial Narrow" w:hAnsi="Arial Narrow" w:cstheme="minorHAnsi"/>
                <w:b/>
                <w:bCs/>
                <w:sz w:val="20"/>
                <w:szCs w:val="20"/>
              </w:rPr>
            </w:pPr>
            <w:r w:rsidRPr="009978AC">
              <w:rPr>
                <w:rFonts w:ascii="Arial Narrow" w:hAnsi="Arial Narrow" w:cstheme="minorHAnsi"/>
                <w:b/>
                <w:bCs/>
                <w:sz w:val="20"/>
                <w:szCs w:val="20"/>
              </w:rPr>
              <w:t>Estimated extent of use</w:t>
            </w:r>
          </w:p>
        </w:tc>
      </w:tr>
      <w:tr w:rsidR="00BE0587" w:rsidRPr="00FA739A" w:rsidTr="00980405">
        <w:trPr>
          <w:trHeight w:val="256"/>
        </w:trPr>
        <w:tc>
          <w:tcPr>
            <w:tcW w:w="5000" w:type="pct"/>
            <w:gridSpan w:val="7"/>
            <w:tcMar>
              <w:top w:w="0" w:type="dxa"/>
              <w:left w:w="28" w:type="dxa"/>
              <w:bottom w:w="0" w:type="dxa"/>
              <w:right w:w="28" w:type="dxa"/>
            </w:tcMar>
            <w:vAlign w:val="center"/>
            <w:hideMark/>
          </w:tcPr>
          <w:p w:rsidR="00BE0587" w:rsidRPr="009978AC" w:rsidRDefault="00BE0587" w:rsidP="00B315BD">
            <w:pPr>
              <w:keepNext/>
              <w:keepLines/>
              <w:ind w:left="113" w:right="113"/>
              <w:jc w:val="left"/>
              <w:rPr>
                <w:rFonts w:ascii="Arial Narrow" w:hAnsi="Arial Narrow" w:cstheme="minorHAnsi"/>
                <w:b/>
                <w:bCs/>
                <w:sz w:val="20"/>
                <w:szCs w:val="20"/>
              </w:rPr>
            </w:pPr>
            <w:r w:rsidRPr="009978AC">
              <w:rPr>
                <w:rFonts w:ascii="Arial Narrow" w:hAnsi="Arial Narrow" w:cstheme="minorHAnsi"/>
                <w:b/>
                <w:bCs/>
                <w:sz w:val="20"/>
                <w:szCs w:val="20"/>
              </w:rPr>
              <w:t>First line treatment</w:t>
            </w:r>
          </w:p>
        </w:tc>
      </w:tr>
      <w:tr w:rsidR="00BE0587" w:rsidRPr="00FA739A" w:rsidTr="00980405">
        <w:trPr>
          <w:trHeight w:val="269"/>
        </w:trPr>
        <w:tc>
          <w:tcPr>
            <w:tcW w:w="685" w:type="pct"/>
            <w:tcMar>
              <w:top w:w="0" w:type="dxa"/>
              <w:left w:w="28" w:type="dxa"/>
              <w:bottom w:w="0" w:type="dxa"/>
              <w:right w:w="28" w:type="dxa"/>
            </w:tcMar>
            <w:vAlign w:val="center"/>
            <w:hideMark/>
          </w:tcPr>
          <w:p w:rsidR="00BE0587" w:rsidRPr="009978AC" w:rsidRDefault="00BE0587" w:rsidP="00B315BD">
            <w:pPr>
              <w:keepNext/>
              <w:keepLines/>
              <w:jc w:val="left"/>
              <w:rPr>
                <w:rFonts w:ascii="Arial Narrow" w:hAnsi="Arial Narrow" w:cstheme="minorHAnsi"/>
                <w:sz w:val="20"/>
                <w:szCs w:val="20"/>
              </w:rPr>
            </w:pPr>
            <w:r w:rsidRPr="009978AC">
              <w:rPr>
                <w:rFonts w:ascii="Arial Narrow" w:hAnsi="Arial Narrow" w:cstheme="minorHAnsi"/>
                <w:sz w:val="20"/>
                <w:szCs w:val="20"/>
              </w:rPr>
              <w:t>Number of patients treated</w:t>
            </w:r>
          </w:p>
        </w:tc>
        <w:tc>
          <w:tcPr>
            <w:tcW w:w="707" w:type="pct"/>
            <w:tcMar>
              <w:top w:w="0" w:type="dxa"/>
              <w:left w:w="28" w:type="dxa"/>
              <w:bottom w:w="0" w:type="dxa"/>
              <w:right w:w="28" w:type="dxa"/>
            </w:tcMar>
            <w:vAlign w:val="center"/>
            <w:hideMark/>
          </w:tcPr>
          <w:p w:rsidR="00BE0587" w:rsidRPr="00AB6780" w:rsidRDefault="00AB6780" w:rsidP="00B315BD">
            <w:pPr>
              <w:keepNext/>
              <w:keepLines/>
              <w:ind w:left="113" w:right="113"/>
              <w:jc w:val="center"/>
              <w:rPr>
                <w:rFonts w:ascii="Arial Narrow" w:hAnsi="Arial Narrow" w:cstheme="minorHAnsi"/>
                <w:sz w:val="20"/>
                <w:szCs w:val="20"/>
              </w:rPr>
            </w:pPr>
            <w:r>
              <w:rPr>
                <w:rFonts w:ascii="Arial Narrow" w:hAnsi="Arial Narrow" w:cstheme="minorHAnsi"/>
                <w:noProof/>
                <w:color w:val="000000"/>
                <w:sz w:val="20"/>
                <w:szCs w:val="20"/>
                <w:highlight w:val="black"/>
              </w:rPr>
              <w:t>''''''''''</w:t>
            </w:r>
            <w:r w:rsidR="00653DFF" w:rsidRPr="00AE5F1F">
              <w:rPr>
                <w:vertAlign w:val="superscript"/>
              </w:rPr>
              <w:t>1</w:t>
            </w:r>
          </w:p>
        </w:tc>
        <w:tc>
          <w:tcPr>
            <w:tcW w:w="727" w:type="pct"/>
            <w:tcMar>
              <w:top w:w="0" w:type="dxa"/>
              <w:left w:w="28" w:type="dxa"/>
              <w:bottom w:w="0" w:type="dxa"/>
              <w:right w:w="28" w:type="dxa"/>
            </w:tcMar>
            <w:vAlign w:val="center"/>
            <w:hideMark/>
          </w:tcPr>
          <w:p w:rsidR="00BE0587" w:rsidRPr="00AB6780" w:rsidRDefault="00AB6780" w:rsidP="00B315BD">
            <w:pPr>
              <w:keepNext/>
              <w:keepLines/>
              <w:ind w:left="113" w:right="113"/>
              <w:jc w:val="center"/>
              <w:rPr>
                <w:rFonts w:ascii="Arial Narrow" w:hAnsi="Arial Narrow" w:cstheme="minorHAnsi"/>
                <w:sz w:val="20"/>
                <w:szCs w:val="20"/>
              </w:rPr>
            </w:pPr>
            <w:r>
              <w:rPr>
                <w:rFonts w:ascii="Arial Narrow" w:hAnsi="Arial Narrow" w:cstheme="minorHAnsi"/>
                <w:noProof/>
                <w:color w:val="000000"/>
                <w:sz w:val="20"/>
                <w:szCs w:val="20"/>
                <w:highlight w:val="black"/>
              </w:rPr>
              <w:t>''''''''''</w:t>
            </w:r>
            <w:r w:rsidR="00653DFF">
              <w:rPr>
                <w:vertAlign w:val="superscript"/>
              </w:rPr>
              <w:t>2</w:t>
            </w:r>
          </w:p>
        </w:tc>
        <w:tc>
          <w:tcPr>
            <w:tcW w:w="724" w:type="pct"/>
            <w:tcMar>
              <w:top w:w="0" w:type="dxa"/>
              <w:left w:w="28" w:type="dxa"/>
              <w:bottom w:w="0" w:type="dxa"/>
              <w:right w:w="28" w:type="dxa"/>
            </w:tcMar>
            <w:vAlign w:val="center"/>
            <w:hideMark/>
          </w:tcPr>
          <w:p w:rsidR="00BE0587" w:rsidRPr="00AB6780" w:rsidRDefault="00AB6780" w:rsidP="00B315BD">
            <w:pPr>
              <w:keepNext/>
              <w:keepLines/>
              <w:ind w:left="113" w:right="113"/>
              <w:jc w:val="center"/>
              <w:rPr>
                <w:rFonts w:ascii="Arial Narrow" w:hAnsi="Arial Narrow" w:cstheme="minorHAnsi"/>
                <w:sz w:val="20"/>
                <w:szCs w:val="20"/>
              </w:rPr>
            </w:pPr>
            <w:r>
              <w:rPr>
                <w:rFonts w:ascii="Arial Narrow" w:hAnsi="Arial Narrow" w:cstheme="minorHAnsi"/>
                <w:noProof/>
                <w:color w:val="000000"/>
                <w:sz w:val="20"/>
                <w:szCs w:val="20"/>
                <w:highlight w:val="black"/>
              </w:rPr>
              <w:t>''''''''''</w:t>
            </w:r>
            <w:r w:rsidR="00653DFF">
              <w:rPr>
                <w:vertAlign w:val="superscript"/>
              </w:rPr>
              <w:t>2</w:t>
            </w:r>
          </w:p>
        </w:tc>
        <w:tc>
          <w:tcPr>
            <w:tcW w:w="726" w:type="pct"/>
            <w:tcMar>
              <w:top w:w="0" w:type="dxa"/>
              <w:left w:w="28" w:type="dxa"/>
              <w:bottom w:w="0" w:type="dxa"/>
              <w:right w:w="28" w:type="dxa"/>
            </w:tcMar>
            <w:vAlign w:val="center"/>
            <w:hideMark/>
          </w:tcPr>
          <w:p w:rsidR="00BE0587" w:rsidRPr="00AB6780" w:rsidRDefault="00AB6780" w:rsidP="00B315BD">
            <w:pPr>
              <w:keepNext/>
              <w:keepLines/>
              <w:ind w:left="113" w:right="113"/>
              <w:jc w:val="center"/>
              <w:rPr>
                <w:rFonts w:ascii="Arial Narrow" w:hAnsi="Arial Narrow" w:cstheme="minorHAnsi"/>
                <w:sz w:val="20"/>
                <w:szCs w:val="20"/>
              </w:rPr>
            </w:pPr>
            <w:r>
              <w:rPr>
                <w:rFonts w:ascii="Arial Narrow" w:hAnsi="Arial Narrow" w:cstheme="minorHAnsi"/>
                <w:noProof/>
                <w:color w:val="000000"/>
                <w:sz w:val="20"/>
                <w:szCs w:val="20"/>
                <w:highlight w:val="black"/>
              </w:rPr>
              <w:t>'''''''''</w:t>
            </w:r>
            <w:r w:rsidR="00653DFF">
              <w:rPr>
                <w:vertAlign w:val="superscript"/>
              </w:rPr>
              <w:t>2</w:t>
            </w:r>
          </w:p>
        </w:tc>
        <w:tc>
          <w:tcPr>
            <w:tcW w:w="707" w:type="pct"/>
            <w:tcMar>
              <w:top w:w="0" w:type="dxa"/>
              <w:left w:w="28" w:type="dxa"/>
              <w:bottom w:w="0" w:type="dxa"/>
              <w:right w:w="28" w:type="dxa"/>
            </w:tcMar>
            <w:vAlign w:val="center"/>
            <w:hideMark/>
          </w:tcPr>
          <w:p w:rsidR="00BE0587" w:rsidRPr="00AB6780" w:rsidRDefault="00AB6780" w:rsidP="00B315BD">
            <w:pPr>
              <w:keepNext/>
              <w:keepLines/>
              <w:ind w:left="113" w:right="113"/>
              <w:jc w:val="center"/>
              <w:rPr>
                <w:rFonts w:ascii="Arial Narrow" w:hAnsi="Arial Narrow" w:cstheme="minorHAnsi"/>
                <w:sz w:val="20"/>
                <w:szCs w:val="20"/>
              </w:rPr>
            </w:pPr>
            <w:r>
              <w:rPr>
                <w:rFonts w:ascii="Arial Narrow" w:hAnsi="Arial Narrow" w:cstheme="minorHAnsi"/>
                <w:noProof/>
                <w:color w:val="000000"/>
                <w:sz w:val="20"/>
                <w:szCs w:val="20"/>
                <w:highlight w:val="black"/>
              </w:rPr>
              <w:t>'''''''''''''</w:t>
            </w:r>
            <w:r w:rsidR="00653DFF">
              <w:rPr>
                <w:vertAlign w:val="superscript"/>
              </w:rPr>
              <w:t>2</w:t>
            </w:r>
          </w:p>
        </w:tc>
        <w:tc>
          <w:tcPr>
            <w:tcW w:w="724" w:type="pct"/>
            <w:tcMar>
              <w:top w:w="0" w:type="dxa"/>
              <w:left w:w="28" w:type="dxa"/>
              <w:bottom w:w="0" w:type="dxa"/>
              <w:right w:w="28" w:type="dxa"/>
            </w:tcMar>
            <w:vAlign w:val="center"/>
            <w:hideMark/>
          </w:tcPr>
          <w:p w:rsidR="00BE0587" w:rsidRPr="00AB6780" w:rsidRDefault="00AB6780" w:rsidP="00B315BD">
            <w:pPr>
              <w:keepNext/>
              <w:keepLines/>
              <w:ind w:left="113" w:right="113"/>
              <w:jc w:val="center"/>
              <w:rPr>
                <w:rFonts w:ascii="Arial Narrow" w:hAnsi="Arial Narrow" w:cstheme="minorHAnsi"/>
                <w:sz w:val="20"/>
                <w:szCs w:val="20"/>
              </w:rPr>
            </w:pPr>
            <w:r>
              <w:rPr>
                <w:rFonts w:ascii="Arial Narrow" w:hAnsi="Arial Narrow" w:cstheme="minorHAnsi"/>
                <w:noProof/>
                <w:color w:val="000000"/>
                <w:sz w:val="20"/>
                <w:szCs w:val="20"/>
                <w:highlight w:val="black"/>
              </w:rPr>
              <w:t>''''''''''''</w:t>
            </w:r>
            <w:r w:rsidR="00653DFF">
              <w:rPr>
                <w:vertAlign w:val="superscript"/>
              </w:rPr>
              <w:t>2</w:t>
            </w:r>
          </w:p>
        </w:tc>
      </w:tr>
      <w:tr w:rsidR="00BE0587" w:rsidRPr="00FA739A" w:rsidTr="00980405">
        <w:trPr>
          <w:trHeight w:val="256"/>
        </w:trPr>
        <w:tc>
          <w:tcPr>
            <w:tcW w:w="685" w:type="pct"/>
            <w:tcMar>
              <w:top w:w="0" w:type="dxa"/>
              <w:left w:w="28" w:type="dxa"/>
              <w:bottom w:w="0" w:type="dxa"/>
              <w:right w:w="28" w:type="dxa"/>
            </w:tcMar>
            <w:vAlign w:val="center"/>
            <w:hideMark/>
          </w:tcPr>
          <w:p w:rsidR="00BE0587" w:rsidRPr="009978AC" w:rsidRDefault="00BE0587" w:rsidP="00B315BD">
            <w:pPr>
              <w:keepNext/>
              <w:keepLines/>
              <w:jc w:val="left"/>
              <w:rPr>
                <w:rFonts w:ascii="Arial Narrow" w:hAnsi="Arial Narrow" w:cstheme="minorHAnsi"/>
                <w:sz w:val="20"/>
                <w:szCs w:val="20"/>
              </w:rPr>
            </w:pPr>
            <w:r w:rsidRPr="009978AC">
              <w:rPr>
                <w:rFonts w:ascii="Arial Narrow" w:hAnsi="Arial Narrow" w:cstheme="minorHAnsi"/>
                <w:sz w:val="20"/>
                <w:szCs w:val="20"/>
              </w:rPr>
              <w:t>Number of ribociclib scripts dispensed</w:t>
            </w:r>
          </w:p>
        </w:tc>
        <w:tc>
          <w:tcPr>
            <w:tcW w:w="707" w:type="pct"/>
            <w:tcMar>
              <w:top w:w="0" w:type="dxa"/>
              <w:left w:w="28" w:type="dxa"/>
              <w:bottom w:w="0" w:type="dxa"/>
              <w:right w:w="28" w:type="dxa"/>
            </w:tcMar>
            <w:vAlign w:val="center"/>
            <w:hideMark/>
          </w:tcPr>
          <w:p w:rsidR="00BE0587" w:rsidRPr="00AB6780" w:rsidRDefault="00AB6780" w:rsidP="00C101D3">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vertAlign w:val="superscript"/>
              </w:rPr>
              <w:t>3</w:t>
            </w:r>
          </w:p>
        </w:tc>
        <w:tc>
          <w:tcPr>
            <w:tcW w:w="727" w:type="pct"/>
            <w:tcMar>
              <w:top w:w="0" w:type="dxa"/>
              <w:left w:w="28" w:type="dxa"/>
              <w:bottom w:w="0" w:type="dxa"/>
              <w:right w:w="28" w:type="dxa"/>
            </w:tcMar>
            <w:vAlign w:val="center"/>
            <w:hideMark/>
          </w:tcPr>
          <w:p w:rsidR="00BE0587" w:rsidRPr="00AB6780" w:rsidRDefault="00AB6780" w:rsidP="00B315BD">
            <w:pPr>
              <w:keepNext/>
              <w:keepLines/>
              <w:ind w:left="113" w:right="113"/>
              <w:jc w:val="center"/>
              <w:rPr>
                <w:rFonts w:ascii="Arial Narrow" w:hAnsi="Arial Narrow" w:cstheme="minorHAnsi"/>
                <w:color w:val="000000"/>
                <w:sz w:val="20"/>
                <w:szCs w:val="20"/>
                <w:vertAlign w:val="superscript"/>
              </w:rPr>
            </w:pPr>
            <w:r>
              <w:rPr>
                <w:rFonts w:ascii="Arial Narrow" w:hAnsi="Arial Narrow" w:cstheme="minorHAnsi"/>
                <w:noProof/>
                <w:color w:val="000000"/>
                <w:sz w:val="20"/>
                <w:szCs w:val="20"/>
                <w:highlight w:val="black"/>
              </w:rPr>
              <w:t>''''''''''''''''''</w:t>
            </w:r>
            <w:r w:rsidR="00653DFF" w:rsidRPr="00E47C72">
              <w:rPr>
                <w:rFonts w:ascii="Arial Narrow" w:hAnsi="Arial Narrow" w:cstheme="minorHAnsi"/>
                <w:color w:val="000000"/>
                <w:sz w:val="20"/>
                <w:szCs w:val="20"/>
                <w:vertAlign w:val="superscript"/>
              </w:rPr>
              <w:t>4</w:t>
            </w:r>
          </w:p>
        </w:tc>
        <w:tc>
          <w:tcPr>
            <w:tcW w:w="724" w:type="pct"/>
            <w:tcMar>
              <w:top w:w="0" w:type="dxa"/>
              <w:left w:w="28" w:type="dxa"/>
              <w:bottom w:w="0" w:type="dxa"/>
              <w:right w:w="28" w:type="dxa"/>
            </w:tcMar>
            <w:vAlign w:val="center"/>
            <w:hideMark/>
          </w:tcPr>
          <w:p w:rsidR="00BE0587" w:rsidRPr="00AB6780" w:rsidRDefault="00AB6780" w:rsidP="00B315BD">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sidRPr="00AE5F1F">
              <w:rPr>
                <w:rFonts w:ascii="Arial Narrow" w:hAnsi="Arial Narrow" w:cstheme="minorHAnsi"/>
                <w:color w:val="000000"/>
                <w:sz w:val="20"/>
                <w:szCs w:val="20"/>
                <w:vertAlign w:val="superscript"/>
              </w:rPr>
              <w:t>4</w:t>
            </w:r>
          </w:p>
        </w:tc>
        <w:tc>
          <w:tcPr>
            <w:tcW w:w="726" w:type="pct"/>
            <w:tcMar>
              <w:top w:w="0" w:type="dxa"/>
              <w:left w:w="28" w:type="dxa"/>
              <w:bottom w:w="0" w:type="dxa"/>
              <w:right w:w="28" w:type="dxa"/>
            </w:tcMar>
            <w:vAlign w:val="center"/>
            <w:hideMark/>
          </w:tcPr>
          <w:p w:rsidR="00BE0587" w:rsidRPr="00AB6780" w:rsidRDefault="00AB6780" w:rsidP="00B315BD">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sidRPr="00AE5F1F">
              <w:rPr>
                <w:rFonts w:ascii="Arial Narrow" w:hAnsi="Arial Narrow" w:cstheme="minorHAnsi"/>
                <w:color w:val="000000"/>
                <w:sz w:val="20"/>
                <w:szCs w:val="20"/>
                <w:vertAlign w:val="superscript"/>
              </w:rPr>
              <w:t>4</w:t>
            </w:r>
          </w:p>
        </w:tc>
        <w:tc>
          <w:tcPr>
            <w:tcW w:w="707" w:type="pct"/>
            <w:tcMar>
              <w:top w:w="0" w:type="dxa"/>
              <w:left w:w="28" w:type="dxa"/>
              <w:bottom w:w="0" w:type="dxa"/>
              <w:right w:w="28" w:type="dxa"/>
            </w:tcMar>
            <w:vAlign w:val="center"/>
            <w:hideMark/>
          </w:tcPr>
          <w:p w:rsidR="00BE0587" w:rsidRPr="00AB6780" w:rsidRDefault="00AB6780" w:rsidP="00B315BD">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5</w:t>
            </w:r>
          </w:p>
        </w:tc>
        <w:tc>
          <w:tcPr>
            <w:tcW w:w="724" w:type="pct"/>
            <w:tcMar>
              <w:top w:w="0" w:type="dxa"/>
              <w:left w:w="28" w:type="dxa"/>
              <w:bottom w:w="0" w:type="dxa"/>
              <w:right w:w="28" w:type="dxa"/>
            </w:tcMar>
            <w:vAlign w:val="center"/>
            <w:hideMark/>
          </w:tcPr>
          <w:p w:rsidR="00BE0587" w:rsidRPr="00AB6780" w:rsidRDefault="00AB6780" w:rsidP="00B315BD">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5</w:t>
            </w:r>
          </w:p>
        </w:tc>
      </w:tr>
      <w:tr w:rsidR="00BE0587" w:rsidRPr="00FA739A" w:rsidTr="00980405">
        <w:trPr>
          <w:trHeight w:val="269"/>
        </w:trPr>
        <w:tc>
          <w:tcPr>
            <w:tcW w:w="5000" w:type="pct"/>
            <w:gridSpan w:val="7"/>
            <w:tcMar>
              <w:top w:w="0" w:type="dxa"/>
              <w:left w:w="28" w:type="dxa"/>
              <w:bottom w:w="0" w:type="dxa"/>
              <w:right w:w="28" w:type="dxa"/>
            </w:tcMar>
            <w:vAlign w:val="center"/>
            <w:hideMark/>
          </w:tcPr>
          <w:p w:rsidR="00BE0587" w:rsidRPr="009978AC" w:rsidRDefault="00BE0587" w:rsidP="00B315BD">
            <w:pPr>
              <w:keepNext/>
              <w:keepLines/>
              <w:ind w:left="113" w:right="113"/>
              <w:jc w:val="left"/>
              <w:rPr>
                <w:rFonts w:ascii="Arial Narrow" w:hAnsi="Arial Narrow" w:cstheme="minorHAnsi"/>
                <w:b/>
                <w:sz w:val="20"/>
                <w:szCs w:val="20"/>
              </w:rPr>
            </w:pPr>
            <w:r w:rsidRPr="009978AC">
              <w:rPr>
                <w:rFonts w:ascii="Arial Narrow" w:hAnsi="Arial Narrow" w:cstheme="minorHAnsi"/>
                <w:b/>
                <w:sz w:val="20"/>
                <w:szCs w:val="20"/>
              </w:rPr>
              <w:t xml:space="preserve">Second </w:t>
            </w:r>
            <w:r w:rsidR="003234D2" w:rsidRPr="009978AC">
              <w:rPr>
                <w:rFonts w:ascii="Arial Narrow" w:hAnsi="Arial Narrow" w:cstheme="minorHAnsi"/>
                <w:b/>
                <w:sz w:val="20"/>
                <w:szCs w:val="20"/>
              </w:rPr>
              <w:t xml:space="preserve">(and subsequent) </w:t>
            </w:r>
            <w:r w:rsidRPr="009978AC">
              <w:rPr>
                <w:rFonts w:ascii="Arial Narrow" w:hAnsi="Arial Narrow" w:cstheme="minorHAnsi"/>
                <w:b/>
                <w:sz w:val="20"/>
                <w:szCs w:val="20"/>
              </w:rPr>
              <w:t>line treatment</w:t>
            </w:r>
          </w:p>
        </w:tc>
      </w:tr>
      <w:tr w:rsidR="00BE0587" w:rsidRPr="00FA739A" w:rsidTr="00980405">
        <w:trPr>
          <w:trHeight w:val="256"/>
        </w:trPr>
        <w:tc>
          <w:tcPr>
            <w:tcW w:w="685" w:type="pct"/>
            <w:tcMar>
              <w:top w:w="0" w:type="dxa"/>
              <w:left w:w="28" w:type="dxa"/>
              <w:bottom w:w="0" w:type="dxa"/>
              <w:right w:w="28" w:type="dxa"/>
            </w:tcMar>
            <w:vAlign w:val="center"/>
            <w:hideMark/>
          </w:tcPr>
          <w:p w:rsidR="00BE0587" w:rsidRPr="009978AC" w:rsidRDefault="00BE0587" w:rsidP="00B315BD">
            <w:pPr>
              <w:keepNext/>
              <w:keepLines/>
              <w:jc w:val="left"/>
              <w:rPr>
                <w:rFonts w:ascii="Arial Narrow" w:hAnsi="Arial Narrow" w:cstheme="minorHAnsi"/>
                <w:sz w:val="20"/>
                <w:szCs w:val="20"/>
              </w:rPr>
            </w:pPr>
            <w:r w:rsidRPr="009978AC">
              <w:rPr>
                <w:rFonts w:ascii="Arial Narrow" w:hAnsi="Arial Narrow" w:cstheme="minorHAnsi"/>
                <w:sz w:val="20"/>
                <w:szCs w:val="20"/>
              </w:rPr>
              <w:t>Number of patients treated</w:t>
            </w:r>
          </w:p>
        </w:tc>
        <w:tc>
          <w:tcPr>
            <w:tcW w:w="707" w:type="pct"/>
            <w:tcMar>
              <w:top w:w="0" w:type="dxa"/>
              <w:left w:w="28" w:type="dxa"/>
              <w:bottom w:w="0" w:type="dxa"/>
              <w:right w:w="28" w:type="dxa"/>
            </w:tcMar>
            <w:vAlign w:val="center"/>
            <w:hideMark/>
          </w:tcPr>
          <w:p w:rsidR="00BE0587" w:rsidRPr="00AB6780" w:rsidRDefault="00AB6780" w:rsidP="00B315BD">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1</w:t>
            </w:r>
          </w:p>
        </w:tc>
        <w:tc>
          <w:tcPr>
            <w:tcW w:w="727" w:type="pct"/>
            <w:tcMar>
              <w:top w:w="0" w:type="dxa"/>
              <w:left w:w="28" w:type="dxa"/>
              <w:bottom w:w="0" w:type="dxa"/>
              <w:right w:w="28" w:type="dxa"/>
            </w:tcMar>
            <w:vAlign w:val="center"/>
            <w:hideMark/>
          </w:tcPr>
          <w:p w:rsidR="00BE0587" w:rsidRPr="00AB6780" w:rsidRDefault="00AB6780" w:rsidP="00B315BD">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1</w:t>
            </w:r>
          </w:p>
        </w:tc>
        <w:tc>
          <w:tcPr>
            <w:tcW w:w="724" w:type="pct"/>
            <w:tcMar>
              <w:top w:w="0" w:type="dxa"/>
              <w:left w:w="28" w:type="dxa"/>
              <w:bottom w:w="0" w:type="dxa"/>
              <w:right w:w="28" w:type="dxa"/>
            </w:tcMar>
            <w:vAlign w:val="center"/>
            <w:hideMark/>
          </w:tcPr>
          <w:p w:rsidR="00BE0587" w:rsidRPr="00AB6780" w:rsidRDefault="00AB6780" w:rsidP="00B315BD">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1</w:t>
            </w:r>
          </w:p>
        </w:tc>
        <w:tc>
          <w:tcPr>
            <w:tcW w:w="726" w:type="pct"/>
            <w:tcMar>
              <w:top w:w="0" w:type="dxa"/>
              <w:left w:w="28" w:type="dxa"/>
              <w:bottom w:w="0" w:type="dxa"/>
              <w:right w:w="28" w:type="dxa"/>
            </w:tcMar>
            <w:vAlign w:val="center"/>
            <w:hideMark/>
          </w:tcPr>
          <w:p w:rsidR="00BE0587" w:rsidRPr="00AB6780" w:rsidRDefault="00AB6780" w:rsidP="00B315BD">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1</w:t>
            </w:r>
          </w:p>
        </w:tc>
        <w:tc>
          <w:tcPr>
            <w:tcW w:w="707" w:type="pct"/>
            <w:tcMar>
              <w:top w:w="0" w:type="dxa"/>
              <w:left w:w="28" w:type="dxa"/>
              <w:bottom w:w="0" w:type="dxa"/>
              <w:right w:w="28" w:type="dxa"/>
            </w:tcMar>
            <w:vAlign w:val="center"/>
            <w:hideMark/>
          </w:tcPr>
          <w:p w:rsidR="00BE0587" w:rsidRPr="00AB6780" w:rsidRDefault="00AB6780" w:rsidP="00B315BD">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1</w:t>
            </w:r>
          </w:p>
        </w:tc>
        <w:tc>
          <w:tcPr>
            <w:tcW w:w="724" w:type="pct"/>
            <w:tcMar>
              <w:top w:w="0" w:type="dxa"/>
              <w:left w:w="28" w:type="dxa"/>
              <w:bottom w:w="0" w:type="dxa"/>
              <w:right w:w="28" w:type="dxa"/>
            </w:tcMar>
            <w:vAlign w:val="center"/>
            <w:hideMark/>
          </w:tcPr>
          <w:p w:rsidR="00BE0587" w:rsidRPr="00AB6780" w:rsidRDefault="00AB6780" w:rsidP="00B315BD">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1</w:t>
            </w:r>
          </w:p>
        </w:tc>
      </w:tr>
      <w:tr w:rsidR="00425CE9" w:rsidRPr="00FA739A" w:rsidTr="00980405">
        <w:trPr>
          <w:trHeight w:val="256"/>
        </w:trPr>
        <w:tc>
          <w:tcPr>
            <w:tcW w:w="685" w:type="pct"/>
            <w:shd w:val="clear" w:color="auto" w:fill="BFBFBF" w:themeFill="background1" w:themeFillShade="BF"/>
            <w:tcMar>
              <w:top w:w="0" w:type="dxa"/>
              <w:left w:w="28" w:type="dxa"/>
              <w:bottom w:w="0" w:type="dxa"/>
              <w:right w:w="28" w:type="dxa"/>
            </w:tcMar>
            <w:vAlign w:val="center"/>
          </w:tcPr>
          <w:p w:rsidR="00425CE9" w:rsidRPr="009978AC" w:rsidRDefault="00425CE9" w:rsidP="00425CE9">
            <w:pPr>
              <w:keepNext/>
              <w:keepLines/>
              <w:jc w:val="left"/>
              <w:rPr>
                <w:rFonts w:ascii="Arial Narrow" w:hAnsi="Arial Narrow" w:cstheme="minorHAnsi"/>
                <w:sz w:val="20"/>
                <w:szCs w:val="20"/>
              </w:rPr>
            </w:pPr>
            <w:r w:rsidRPr="009978AC">
              <w:rPr>
                <w:rFonts w:ascii="Arial Narrow" w:hAnsi="Arial Narrow" w:cstheme="minorHAnsi"/>
                <w:sz w:val="20"/>
                <w:szCs w:val="20"/>
              </w:rPr>
              <w:t>PBAC revised patients</w:t>
            </w:r>
          </w:p>
        </w:tc>
        <w:tc>
          <w:tcPr>
            <w:tcW w:w="707" w:type="pct"/>
            <w:shd w:val="clear" w:color="auto" w:fill="BFBFBF" w:themeFill="background1" w:themeFillShade="BF"/>
            <w:tcMar>
              <w:top w:w="0" w:type="dxa"/>
              <w:left w:w="28" w:type="dxa"/>
              <w:bottom w:w="0" w:type="dxa"/>
              <w:right w:w="28" w:type="dxa"/>
            </w:tcMar>
            <w:vAlign w:val="center"/>
          </w:tcPr>
          <w:p w:rsidR="00425CE9" w:rsidRPr="00AB6780" w:rsidRDefault="00AB6780">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1</w:t>
            </w:r>
          </w:p>
        </w:tc>
        <w:tc>
          <w:tcPr>
            <w:tcW w:w="727" w:type="pct"/>
            <w:shd w:val="clear" w:color="auto" w:fill="BFBFBF" w:themeFill="background1" w:themeFillShade="BF"/>
            <w:tcMar>
              <w:top w:w="0" w:type="dxa"/>
              <w:left w:w="28" w:type="dxa"/>
              <w:bottom w:w="0" w:type="dxa"/>
              <w:right w:w="28" w:type="dxa"/>
            </w:tcMar>
            <w:vAlign w:val="center"/>
          </w:tcPr>
          <w:p w:rsidR="00425CE9" w:rsidRPr="00AB6780" w:rsidRDefault="00AB6780">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1</w:t>
            </w:r>
          </w:p>
        </w:tc>
        <w:tc>
          <w:tcPr>
            <w:tcW w:w="724" w:type="pct"/>
            <w:shd w:val="clear" w:color="auto" w:fill="BFBFBF" w:themeFill="background1" w:themeFillShade="BF"/>
            <w:tcMar>
              <w:top w:w="0" w:type="dxa"/>
              <w:left w:w="28" w:type="dxa"/>
              <w:bottom w:w="0" w:type="dxa"/>
              <w:right w:w="28" w:type="dxa"/>
            </w:tcMar>
            <w:vAlign w:val="center"/>
          </w:tcPr>
          <w:p w:rsidR="00425CE9" w:rsidRPr="00AB6780" w:rsidRDefault="00AB6780">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1</w:t>
            </w:r>
          </w:p>
        </w:tc>
        <w:tc>
          <w:tcPr>
            <w:tcW w:w="726" w:type="pct"/>
            <w:shd w:val="clear" w:color="auto" w:fill="BFBFBF" w:themeFill="background1" w:themeFillShade="BF"/>
            <w:tcMar>
              <w:top w:w="0" w:type="dxa"/>
              <w:left w:w="28" w:type="dxa"/>
              <w:bottom w:w="0" w:type="dxa"/>
              <w:right w:w="28" w:type="dxa"/>
            </w:tcMar>
            <w:vAlign w:val="center"/>
          </w:tcPr>
          <w:p w:rsidR="00425CE9" w:rsidRPr="00AB6780" w:rsidRDefault="00AB6780">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1</w:t>
            </w:r>
          </w:p>
        </w:tc>
        <w:tc>
          <w:tcPr>
            <w:tcW w:w="707" w:type="pct"/>
            <w:shd w:val="clear" w:color="auto" w:fill="BFBFBF" w:themeFill="background1" w:themeFillShade="BF"/>
            <w:tcMar>
              <w:top w:w="0" w:type="dxa"/>
              <w:left w:w="28" w:type="dxa"/>
              <w:bottom w:w="0" w:type="dxa"/>
              <w:right w:w="28" w:type="dxa"/>
            </w:tcMar>
            <w:vAlign w:val="center"/>
          </w:tcPr>
          <w:p w:rsidR="00425CE9" w:rsidRPr="00AB6780" w:rsidRDefault="00AB6780">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1</w:t>
            </w:r>
          </w:p>
        </w:tc>
        <w:tc>
          <w:tcPr>
            <w:tcW w:w="724" w:type="pct"/>
            <w:shd w:val="clear" w:color="auto" w:fill="BFBFBF" w:themeFill="background1" w:themeFillShade="BF"/>
            <w:tcMar>
              <w:top w:w="0" w:type="dxa"/>
              <w:left w:w="28" w:type="dxa"/>
              <w:bottom w:w="0" w:type="dxa"/>
              <w:right w:w="28" w:type="dxa"/>
            </w:tcMar>
            <w:vAlign w:val="center"/>
          </w:tcPr>
          <w:p w:rsidR="00425CE9" w:rsidRPr="00AB6780" w:rsidRDefault="00AB6780">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1</w:t>
            </w:r>
          </w:p>
        </w:tc>
      </w:tr>
      <w:tr w:rsidR="00BE0587" w:rsidRPr="00FA739A" w:rsidTr="00980405">
        <w:trPr>
          <w:trHeight w:val="256"/>
        </w:trPr>
        <w:tc>
          <w:tcPr>
            <w:tcW w:w="685" w:type="pct"/>
            <w:tcMar>
              <w:top w:w="0" w:type="dxa"/>
              <w:left w:w="28" w:type="dxa"/>
              <w:bottom w:w="0" w:type="dxa"/>
              <w:right w:w="28" w:type="dxa"/>
            </w:tcMar>
            <w:vAlign w:val="center"/>
            <w:hideMark/>
          </w:tcPr>
          <w:p w:rsidR="00BE0587" w:rsidRPr="009978AC" w:rsidRDefault="00BE0587" w:rsidP="00B315BD">
            <w:pPr>
              <w:keepNext/>
              <w:keepLines/>
              <w:jc w:val="left"/>
              <w:rPr>
                <w:rFonts w:ascii="Arial Narrow" w:hAnsi="Arial Narrow" w:cstheme="minorHAnsi"/>
                <w:sz w:val="20"/>
                <w:szCs w:val="20"/>
              </w:rPr>
            </w:pPr>
            <w:r w:rsidRPr="009978AC">
              <w:rPr>
                <w:rFonts w:ascii="Arial Narrow" w:hAnsi="Arial Narrow" w:cstheme="minorHAnsi"/>
                <w:sz w:val="20"/>
                <w:szCs w:val="20"/>
              </w:rPr>
              <w:t>Number of ribociclib scripts dispensed</w:t>
            </w:r>
          </w:p>
        </w:tc>
        <w:tc>
          <w:tcPr>
            <w:tcW w:w="707" w:type="pct"/>
            <w:tcMar>
              <w:top w:w="0" w:type="dxa"/>
              <w:left w:w="28" w:type="dxa"/>
              <w:bottom w:w="0" w:type="dxa"/>
              <w:right w:w="28" w:type="dxa"/>
            </w:tcMar>
            <w:vAlign w:val="center"/>
            <w:hideMark/>
          </w:tcPr>
          <w:p w:rsidR="00BE0587" w:rsidRPr="00AB6780" w:rsidRDefault="00AB6780">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3</w:t>
            </w:r>
          </w:p>
        </w:tc>
        <w:tc>
          <w:tcPr>
            <w:tcW w:w="727" w:type="pct"/>
            <w:tcMar>
              <w:top w:w="0" w:type="dxa"/>
              <w:left w:w="28" w:type="dxa"/>
              <w:bottom w:w="0" w:type="dxa"/>
              <w:right w:w="28" w:type="dxa"/>
            </w:tcMar>
            <w:vAlign w:val="center"/>
            <w:hideMark/>
          </w:tcPr>
          <w:p w:rsidR="00BE0587" w:rsidRPr="00AB6780" w:rsidRDefault="00AB6780">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3</w:t>
            </w:r>
          </w:p>
        </w:tc>
        <w:tc>
          <w:tcPr>
            <w:tcW w:w="724" w:type="pct"/>
            <w:tcMar>
              <w:top w:w="0" w:type="dxa"/>
              <w:left w:w="28" w:type="dxa"/>
              <w:bottom w:w="0" w:type="dxa"/>
              <w:right w:w="28" w:type="dxa"/>
            </w:tcMar>
            <w:vAlign w:val="center"/>
            <w:hideMark/>
          </w:tcPr>
          <w:p w:rsidR="00BE0587" w:rsidRPr="00AB6780" w:rsidRDefault="00AB6780">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3</w:t>
            </w:r>
          </w:p>
        </w:tc>
        <w:tc>
          <w:tcPr>
            <w:tcW w:w="726" w:type="pct"/>
            <w:tcMar>
              <w:top w:w="0" w:type="dxa"/>
              <w:left w:w="28" w:type="dxa"/>
              <w:bottom w:w="0" w:type="dxa"/>
              <w:right w:w="28" w:type="dxa"/>
            </w:tcMar>
            <w:vAlign w:val="center"/>
            <w:hideMark/>
          </w:tcPr>
          <w:p w:rsidR="00BE0587" w:rsidRPr="00AB6780" w:rsidRDefault="00AB6780">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2</w:t>
            </w:r>
          </w:p>
        </w:tc>
        <w:tc>
          <w:tcPr>
            <w:tcW w:w="707" w:type="pct"/>
            <w:tcMar>
              <w:top w:w="0" w:type="dxa"/>
              <w:left w:w="28" w:type="dxa"/>
              <w:bottom w:w="0" w:type="dxa"/>
              <w:right w:w="28" w:type="dxa"/>
            </w:tcMar>
            <w:vAlign w:val="center"/>
            <w:hideMark/>
          </w:tcPr>
          <w:p w:rsidR="00BE0587" w:rsidRPr="00AB6780" w:rsidRDefault="00AB6780">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2</w:t>
            </w:r>
          </w:p>
        </w:tc>
        <w:tc>
          <w:tcPr>
            <w:tcW w:w="724" w:type="pct"/>
            <w:tcMar>
              <w:top w:w="0" w:type="dxa"/>
              <w:left w:w="28" w:type="dxa"/>
              <w:bottom w:w="0" w:type="dxa"/>
              <w:right w:w="28" w:type="dxa"/>
            </w:tcMar>
            <w:vAlign w:val="center"/>
            <w:hideMark/>
          </w:tcPr>
          <w:p w:rsidR="00BE0587" w:rsidRPr="00AB6780" w:rsidRDefault="00AB6780">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2</w:t>
            </w:r>
          </w:p>
        </w:tc>
      </w:tr>
      <w:tr w:rsidR="00425CE9" w:rsidRPr="00FA739A" w:rsidTr="00980405">
        <w:trPr>
          <w:trHeight w:val="256"/>
        </w:trPr>
        <w:tc>
          <w:tcPr>
            <w:tcW w:w="685" w:type="pct"/>
            <w:shd w:val="clear" w:color="auto" w:fill="BFBFBF" w:themeFill="background1" w:themeFillShade="BF"/>
            <w:tcMar>
              <w:top w:w="0" w:type="dxa"/>
              <w:left w:w="28" w:type="dxa"/>
              <w:bottom w:w="0" w:type="dxa"/>
              <w:right w:w="28" w:type="dxa"/>
            </w:tcMar>
            <w:vAlign w:val="center"/>
          </w:tcPr>
          <w:p w:rsidR="00425CE9" w:rsidRPr="009978AC" w:rsidRDefault="00425CE9" w:rsidP="00425CE9">
            <w:pPr>
              <w:keepNext/>
              <w:keepLines/>
              <w:jc w:val="left"/>
              <w:rPr>
                <w:rFonts w:ascii="Arial Narrow" w:hAnsi="Arial Narrow" w:cstheme="minorHAnsi"/>
                <w:sz w:val="20"/>
                <w:szCs w:val="20"/>
              </w:rPr>
            </w:pPr>
            <w:r w:rsidRPr="009978AC">
              <w:rPr>
                <w:rFonts w:ascii="Arial Narrow" w:hAnsi="Arial Narrow" w:cstheme="minorHAnsi"/>
                <w:sz w:val="20"/>
                <w:szCs w:val="20"/>
              </w:rPr>
              <w:t>PBAC revised ribociclib scripts</w:t>
            </w:r>
          </w:p>
        </w:tc>
        <w:tc>
          <w:tcPr>
            <w:tcW w:w="707" w:type="pct"/>
            <w:shd w:val="clear" w:color="auto" w:fill="BFBFBF" w:themeFill="background1" w:themeFillShade="BF"/>
            <w:tcMar>
              <w:top w:w="0" w:type="dxa"/>
              <w:left w:w="28" w:type="dxa"/>
              <w:bottom w:w="0" w:type="dxa"/>
              <w:right w:w="28" w:type="dxa"/>
            </w:tcMar>
            <w:vAlign w:val="center"/>
          </w:tcPr>
          <w:p w:rsidR="00425CE9" w:rsidRPr="00AB6780" w:rsidRDefault="00AB6780">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3</w:t>
            </w:r>
          </w:p>
        </w:tc>
        <w:tc>
          <w:tcPr>
            <w:tcW w:w="727" w:type="pct"/>
            <w:shd w:val="clear" w:color="auto" w:fill="BFBFBF" w:themeFill="background1" w:themeFillShade="BF"/>
            <w:tcMar>
              <w:top w:w="0" w:type="dxa"/>
              <w:left w:w="28" w:type="dxa"/>
              <w:bottom w:w="0" w:type="dxa"/>
              <w:right w:w="28" w:type="dxa"/>
            </w:tcMar>
            <w:vAlign w:val="center"/>
          </w:tcPr>
          <w:p w:rsidR="00425CE9" w:rsidRPr="00AB6780" w:rsidRDefault="00AB6780">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3</w:t>
            </w:r>
          </w:p>
        </w:tc>
        <w:tc>
          <w:tcPr>
            <w:tcW w:w="724" w:type="pct"/>
            <w:shd w:val="clear" w:color="auto" w:fill="BFBFBF" w:themeFill="background1" w:themeFillShade="BF"/>
            <w:tcMar>
              <w:top w:w="0" w:type="dxa"/>
              <w:left w:w="28" w:type="dxa"/>
              <w:bottom w:w="0" w:type="dxa"/>
              <w:right w:w="28" w:type="dxa"/>
            </w:tcMar>
            <w:vAlign w:val="center"/>
          </w:tcPr>
          <w:p w:rsidR="00425CE9" w:rsidRPr="00AB6780" w:rsidRDefault="00AB6780">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3</w:t>
            </w:r>
          </w:p>
        </w:tc>
        <w:tc>
          <w:tcPr>
            <w:tcW w:w="726" w:type="pct"/>
            <w:shd w:val="clear" w:color="auto" w:fill="BFBFBF" w:themeFill="background1" w:themeFillShade="BF"/>
            <w:tcMar>
              <w:top w:w="0" w:type="dxa"/>
              <w:left w:w="28" w:type="dxa"/>
              <w:bottom w:w="0" w:type="dxa"/>
              <w:right w:w="28" w:type="dxa"/>
            </w:tcMar>
            <w:vAlign w:val="center"/>
          </w:tcPr>
          <w:p w:rsidR="00425CE9" w:rsidRPr="00AB6780" w:rsidRDefault="00AB6780">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2</w:t>
            </w:r>
          </w:p>
        </w:tc>
        <w:tc>
          <w:tcPr>
            <w:tcW w:w="707" w:type="pct"/>
            <w:shd w:val="clear" w:color="auto" w:fill="BFBFBF" w:themeFill="background1" w:themeFillShade="BF"/>
            <w:tcMar>
              <w:top w:w="0" w:type="dxa"/>
              <w:left w:w="28" w:type="dxa"/>
              <w:bottom w:w="0" w:type="dxa"/>
              <w:right w:w="28" w:type="dxa"/>
            </w:tcMar>
            <w:vAlign w:val="center"/>
          </w:tcPr>
          <w:p w:rsidR="00425CE9" w:rsidRPr="00AB6780" w:rsidRDefault="00AB6780">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2</w:t>
            </w:r>
          </w:p>
        </w:tc>
        <w:tc>
          <w:tcPr>
            <w:tcW w:w="724" w:type="pct"/>
            <w:shd w:val="clear" w:color="auto" w:fill="BFBFBF" w:themeFill="background1" w:themeFillShade="BF"/>
            <w:tcMar>
              <w:top w:w="0" w:type="dxa"/>
              <w:left w:w="28" w:type="dxa"/>
              <w:bottom w:w="0" w:type="dxa"/>
              <w:right w:w="28" w:type="dxa"/>
            </w:tcMar>
            <w:vAlign w:val="center"/>
          </w:tcPr>
          <w:p w:rsidR="00425CE9" w:rsidRPr="00AB6780" w:rsidRDefault="00AB6780">
            <w:pPr>
              <w:keepNext/>
              <w:keepLines/>
              <w:ind w:left="113" w:right="113"/>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653DFF">
              <w:rPr>
                <w:rFonts w:ascii="Arial Narrow" w:hAnsi="Arial Narrow" w:cstheme="minorHAnsi"/>
                <w:color w:val="000000"/>
                <w:sz w:val="20"/>
                <w:szCs w:val="20"/>
                <w:vertAlign w:val="superscript"/>
              </w:rPr>
              <w:t>2</w:t>
            </w:r>
          </w:p>
        </w:tc>
      </w:tr>
      <w:tr w:rsidR="00BE0587" w:rsidRPr="00FA739A" w:rsidTr="00980405">
        <w:trPr>
          <w:trHeight w:val="256"/>
        </w:trPr>
        <w:tc>
          <w:tcPr>
            <w:tcW w:w="5000" w:type="pct"/>
            <w:gridSpan w:val="7"/>
            <w:tcMar>
              <w:top w:w="0" w:type="dxa"/>
              <w:left w:w="28" w:type="dxa"/>
              <w:bottom w:w="0" w:type="dxa"/>
              <w:right w:w="28" w:type="dxa"/>
            </w:tcMar>
            <w:vAlign w:val="center"/>
          </w:tcPr>
          <w:p w:rsidR="00BE0587" w:rsidRPr="009978AC" w:rsidRDefault="00BE0587" w:rsidP="00B315BD">
            <w:pPr>
              <w:keepNext/>
              <w:keepLines/>
              <w:ind w:left="113" w:right="113"/>
              <w:jc w:val="left"/>
              <w:rPr>
                <w:rFonts w:ascii="Arial Narrow" w:hAnsi="Arial Narrow" w:cstheme="minorHAnsi"/>
                <w:b/>
                <w:sz w:val="20"/>
                <w:szCs w:val="20"/>
              </w:rPr>
            </w:pPr>
            <w:r w:rsidRPr="009978AC">
              <w:rPr>
                <w:rFonts w:ascii="Arial Narrow" w:hAnsi="Arial Narrow" w:cstheme="minorHAnsi"/>
                <w:b/>
                <w:sz w:val="20"/>
                <w:szCs w:val="20"/>
              </w:rPr>
              <w:t>Annual proportion weighting</w:t>
            </w:r>
            <w:r w:rsidR="0067456D" w:rsidRPr="009978AC">
              <w:rPr>
                <w:rFonts w:ascii="Arial Narrow" w:hAnsi="Arial Narrow" w:cstheme="minorHAnsi"/>
                <w:b/>
                <w:sz w:val="20"/>
                <w:szCs w:val="20"/>
              </w:rPr>
              <w:t xml:space="preserve"> (based on script numbers)</w:t>
            </w:r>
          </w:p>
        </w:tc>
      </w:tr>
      <w:tr w:rsidR="00BE0587" w:rsidRPr="00FA739A" w:rsidTr="00980405">
        <w:trPr>
          <w:trHeight w:val="256"/>
        </w:trPr>
        <w:tc>
          <w:tcPr>
            <w:tcW w:w="685" w:type="pct"/>
            <w:tcMar>
              <w:top w:w="0" w:type="dxa"/>
              <w:left w:w="28" w:type="dxa"/>
              <w:bottom w:w="0" w:type="dxa"/>
              <w:right w:w="28" w:type="dxa"/>
            </w:tcMar>
            <w:vAlign w:val="center"/>
          </w:tcPr>
          <w:p w:rsidR="00BE0587" w:rsidRPr="009978AC" w:rsidRDefault="00E50A44" w:rsidP="00B315BD">
            <w:pPr>
              <w:keepNext/>
              <w:keepLines/>
              <w:jc w:val="left"/>
              <w:rPr>
                <w:rFonts w:ascii="Arial Narrow" w:hAnsi="Arial Narrow" w:cstheme="minorHAnsi"/>
                <w:sz w:val="20"/>
                <w:szCs w:val="20"/>
              </w:rPr>
            </w:pPr>
            <w:r w:rsidRPr="009978AC">
              <w:rPr>
                <w:rFonts w:ascii="Arial Narrow" w:hAnsi="Arial Narrow" w:cstheme="minorHAnsi"/>
                <w:sz w:val="20"/>
                <w:szCs w:val="20"/>
              </w:rPr>
              <w:t>First</w:t>
            </w:r>
            <w:r w:rsidR="00BE0587" w:rsidRPr="009978AC">
              <w:rPr>
                <w:rFonts w:ascii="Arial Narrow" w:hAnsi="Arial Narrow" w:cstheme="minorHAnsi"/>
                <w:sz w:val="20"/>
                <w:szCs w:val="20"/>
              </w:rPr>
              <w:t xml:space="preserve"> line </w:t>
            </w:r>
          </w:p>
        </w:tc>
        <w:tc>
          <w:tcPr>
            <w:tcW w:w="707" w:type="pct"/>
            <w:tcMar>
              <w:top w:w="0" w:type="dxa"/>
              <w:left w:w="28" w:type="dxa"/>
              <w:bottom w:w="0" w:type="dxa"/>
              <w:right w:w="28" w:type="dxa"/>
            </w:tcMar>
            <w:vAlign w:val="center"/>
          </w:tcPr>
          <w:p w:rsidR="00BE0587" w:rsidRPr="00FA739A" w:rsidRDefault="00BE0587" w:rsidP="00B315BD">
            <w:pPr>
              <w:keepNext/>
              <w:keepLines/>
              <w:ind w:left="113" w:right="113"/>
              <w:jc w:val="center"/>
              <w:rPr>
                <w:rFonts w:ascii="Arial Narrow" w:hAnsi="Arial Narrow" w:cstheme="minorHAnsi"/>
                <w:color w:val="000000"/>
                <w:sz w:val="20"/>
                <w:szCs w:val="20"/>
              </w:rPr>
            </w:pPr>
            <w:r w:rsidRPr="00FA739A">
              <w:rPr>
                <w:rFonts w:ascii="Arial Narrow" w:hAnsi="Arial Narrow" w:cstheme="minorHAnsi"/>
                <w:color w:val="000000"/>
                <w:sz w:val="20"/>
                <w:szCs w:val="20"/>
              </w:rPr>
              <w:t>49%</w:t>
            </w:r>
          </w:p>
        </w:tc>
        <w:tc>
          <w:tcPr>
            <w:tcW w:w="727" w:type="pct"/>
            <w:tcMar>
              <w:top w:w="0" w:type="dxa"/>
              <w:left w:w="28" w:type="dxa"/>
              <w:bottom w:w="0" w:type="dxa"/>
              <w:right w:w="28" w:type="dxa"/>
            </w:tcMar>
            <w:vAlign w:val="center"/>
          </w:tcPr>
          <w:p w:rsidR="00BE0587" w:rsidRPr="00FA739A" w:rsidRDefault="00BE0587" w:rsidP="00B315BD">
            <w:pPr>
              <w:keepNext/>
              <w:keepLines/>
              <w:ind w:left="113" w:right="113"/>
              <w:jc w:val="center"/>
              <w:rPr>
                <w:rFonts w:ascii="Arial Narrow" w:hAnsi="Arial Narrow" w:cstheme="minorHAnsi"/>
                <w:color w:val="000000"/>
                <w:sz w:val="20"/>
                <w:szCs w:val="20"/>
              </w:rPr>
            </w:pPr>
            <w:r w:rsidRPr="00FA739A">
              <w:rPr>
                <w:rFonts w:ascii="Arial Narrow" w:hAnsi="Arial Narrow" w:cstheme="minorHAnsi"/>
                <w:color w:val="000000"/>
                <w:sz w:val="20"/>
                <w:szCs w:val="20"/>
              </w:rPr>
              <w:t>65%</w:t>
            </w:r>
          </w:p>
        </w:tc>
        <w:tc>
          <w:tcPr>
            <w:tcW w:w="724" w:type="pct"/>
            <w:tcMar>
              <w:top w:w="0" w:type="dxa"/>
              <w:left w:w="28" w:type="dxa"/>
              <w:bottom w:w="0" w:type="dxa"/>
              <w:right w:w="28" w:type="dxa"/>
            </w:tcMar>
            <w:vAlign w:val="center"/>
          </w:tcPr>
          <w:p w:rsidR="00BE0587" w:rsidRPr="00FA739A" w:rsidRDefault="00BE0587" w:rsidP="00B315BD">
            <w:pPr>
              <w:keepNext/>
              <w:keepLines/>
              <w:ind w:left="113" w:right="113"/>
              <w:jc w:val="center"/>
              <w:rPr>
                <w:rFonts w:ascii="Arial Narrow" w:hAnsi="Arial Narrow" w:cstheme="minorHAnsi"/>
                <w:color w:val="000000"/>
                <w:sz w:val="20"/>
                <w:szCs w:val="20"/>
              </w:rPr>
            </w:pPr>
            <w:r w:rsidRPr="00FA739A">
              <w:rPr>
                <w:rFonts w:ascii="Arial Narrow" w:hAnsi="Arial Narrow" w:cstheme="minorHAnsi"/>
                <w:color w:val="000000"/>
                <w:sz w:val="20"/>
                <w:szCs w:val="20"/>
              </w:rPr>
              <w:t>72%</w:t>
            </w:r>
          </w:p>
        </w:tc>
        <w:tc>
          <w:tcPr>
            <w:tcW w:w="726" w:type="pct"/>
            <w:tcMar>
              <w:top w:w="0" w:type="dxa"/>
              <w:left w:w="28" w:type="dxa"/>
              <w:bottom w:w="0" w:type="dxa"/>
              <w:right w:w="28" w:type="dxa"/>
            </w:tcMar>
            <w:vAlign w:val="center"/>
          </w:tcPr>
          <w:p w:rsidR="00BE0587" w:rsidRPr="00FA739A" w:rsidRDefault="00BE0587" w:rsidP="00B315BD">
            <w:pPr>
              <w:keepNext/>
              <w:keepLines/>
              <w:ind w:left="113" w:right="113"/>
              <w:jc w:val="center"/>
              <w:rPr>
                <w:rFonts w:ascii="Arial Narrow" w:hAnsi="Arial Narrow" w:cstheme="minorHAnsi"/>
                <w:color w:val="000000"/>
                <w:sz w:val="20"/>
                <w:szCs w:val="20"/>
              </w:rPr>
            </w:pPr>
            <w:r w:rsidRPr="00FA739A">
              <w:rPr>
                <w:rFonts w:ascii="Arial Narrow" w:hAnsi="Arial Narrow" w:cstheme="minorHAnsi"/>
                <w:color w:val="000000"/>
                <w:sz w:val="20"/>
                <w:szCs w:val="20"/>
              </w:rPr>
              <w:t>79%</w:t>
            </w:r>
          </w:p>
        </w:tc>
        <w:tc>
          <w:tcPr>
            <w:tcW w:w="707" w:type="pct"/>
            <w:tcMar>
              <w:top w:w="0" w:type="dxa"/>
              <w:left w:w="28" w:type="dxa"/>
              <w:bottom w:w="0" w:type="dxa"/>
              <w:right w:w="28" w:type="dxa"/>
            </w:tcMar>
            <w:vAlign w:val="center"/>
          </w:tcPr>
          <w:p w:rsidR="00BE0587" w:rsidRPr="00FA739A" w:rsidRDefault="00BE0587" w:rsidP="00B315BD">
            <w:pPr>
              <w:keepNext/>
              <w:keepLines/>
              <w:ind w:left="113" w:right="113"/>
              <w:jc w:val="center"/>
              <w:rPr>
                <w:rFonts w:ascii="Arial Narrow" w:hAnsi="Arial Narrow" w:cstheme="minorHAnsi"/>
                <w:color w:val="000000"/>
                <w:sz w:val="20"/>
                <w:szCs w:val="20"/>
              </w:rPr>
            </w:pPr>
            <w:r w:rsidRPr="00FA739A">
              <w:rPr>
                <w:rFonts w:ascii="Arial Narrow" w:hAnsi="Arial Narrow" w:cstheme="minorHAnsi"/>
                <w:color w:val="000000"/>
                <w:sz w:val="20"/>
                <w:szCs w:val="20"/>
              </w:rPr>
              <w:t>82%</w:t>
            </w:r>
          </w:p>
        </w:tc>
        <w:tc>
          <w:tcPr>
            <w:tcW w:w="724" w:type="pct"/>
            <w:tcMar>
              <w:top w:w="0" w:type="dxa"/>
              <w:left w:w="28" w:type="dxa"/>
              <w:bottom w:w="0" w:type="dxa"/>
              <w:right w:w="28" w:type="dxa"/>
            </w:tcMar>
            <w:vAlign w:val="center"/>
          </w:tcPr>
          <w:p w:rsidR="00BE0587" w:rsidRPr="00FA739A" w:rsidRDefault="00BE0587" w:rsidP="00B315BD">
            <w:pPr>
              <w:keepNext/>
              <w:keepLines/>
              <w:ind w:left="113" w:right="113"/>
              <w:jc w:val="center"/>
              <w:rPr>
                <w:rFonts w:ascii="Arial Narrow" w:hAnsi="Arial Narrow" w:cstheme="minorHAnsi"/>
                <w:color w:val="000000"/>
                <w:sz w:val="20"/>
                <w:szCs w:val="20"/>
              </w:rPr>
            </w:pPr>
            <w:r w:rsidRPr="00FA739A">
              <w:rPr>
                <w:rFonts w:ascii="Arial Narrow" w:hAnsi="Arial Narrow" w:cstheme="minorHAnsi"/>
                <w:color w:val="000000"/>
                <w:sz w:val="20"/>
                <w:szCs w:val="20"/>
              </w:rPr>
              <w:t>87%</w:t>
            </w:r>
          </w:p>
        </w:tc>
      </w:tr>
      <w:tr w:rsidR="00BE0587" w:rsidRPr="00FA739A" w:rsidTr="00980405">
        <w:trPr>
          <w:trHeight w:val="256"/>
        </w:trPr>
        <w:tc>
          <w:tcPr>
            <w:tcW w:w="685" w:type="pct"/>
            <w:tcMar>
              <w:top w:w="0" w:type="dxa"/>
              <w:left w:w="28" w:type="dxa"/>
              <w:bottom w:w="0" w:type="dxa"/>
              <w:right w:w="28" w:type="dxa"/>
            </w:tcMar>
            <w:vAlign w:val="center"/>
          </w:tcPr>
          <w:p w:rsidR="00BE0587" w:rsidRPr="009978AC" w:rsidRDefault="00E50A44" w:rsidP="00B315BD">
            <w:pPr>
              <w:keepNext/>
              <w:keepLines/>
              <w:jc w:val="left"/>
              <w:rPr>
                <w:rFonts w:ascii="Arial Narrow" w:hAnsi="Arial Narrow" w:cstheme="minorHAnsi"/>
                <w:sz w:val="20"/>
                <w:szCs w:val="20"/>
              </w:rPr>
            </w:pPr>
            <w:r w:rsidRPr="009978AC">
              <w:rPr>
                <w:rFonts w:ascii="Arial Narrow" w:hAnsi="Arial Narrow" w:cstheme="minorHAnsi"/>
                <w:sz w:val="20"/>
                <w:szCs w:val="20"/>
              </w:rPr>
              <w:t>Second</w:t>
            </w:r>
            <w:r w:rsidR="00BE0587" w:rsidRPr="009978AC">
              <w:rPr>
                <w:rFonts w:ascii="Arial Narrow" w:hAnsi="Arial Narrow" w:cstheme="minorHAnsi"/>
                <w:sz w:val="20"/>
                <w:szCs w:val="20"/>
              </w:rPr>
              <w:t xml:space="preserve"> line </w:t>
            </w:r>
          </w:p>
        </w:tc>
        <w:tc>
          <w:tcPr>
            <w:tcW w:w="707" w:type="pct"/>
            <w:tcMar>
              <w:top w:w="0" w:type="dxa"/>
              <w:left w:w="28" w:type="dxa"/>
              <w:bottom w:w="0" w:type="dxa"/>
              <w:right w:w="28" w:type="dxa"/>
            </w:tcMar>
            <w:vAlign w:val="center"/>
          </w:tcPr>
          <w:p w:rsidR="00BE0587" w:rsidRPr="00FA739A" w:rsidRDefault="00BE0587" w:rsidP="00B315BD">
            <w:pPr>
              <w:keepNext/>
              <w:keepLines/>
              <w:ind w:left="113" w:right="113"/>
              <w:jc w:val="center"/>
              <w:rPr>
                <w:rFonts w:ascii="Arial Narrow" w:hAnsi="Arial Narrow" w:cstheme="minorHAnsi"/>
                <w:color w:val="000000"/>
                <w:sz w:val="20"/>
                <w:szCs w:val="20"/>
              </w:rPr>
            </w:pPr>
            <w:r w:rsidRPr="00FA739A">
              <w:rPr>
                <w:rFonts w:ascii="Arial Narrow" w:hAnsi="Arial Narrow" w:cstheme="minorHAnsi"/>
                <w:color w:val="000000"/>
                <w:sz w:val="20"/>
                <w:szCs w:val="20"/>
              </w:rPr>
              <w:t>51%</w:t>
            </w:r>
          </w:p>
        </w:tc>
        <w:tc>
          <w:tcPr>
            <w:tcW w:w="727" w:type="pct"/>
            <w:tcMar>
              <w:top w:w="0" w:type="dxa"/>
              <w:left w:w="28" w:type="dxa"/>
              <w:bottom w:w="0" w:type="dxa"/>
              <w:right w:w="28" w:type="dxa"/>
            </w:tcMar>
            <w:vAlign w:val="center"/>
          </w:tcPr>
          <w:p w:rsidR="00BE0587" w:rsidRPr="00FA739A" w:rsidRDefault="00BE0587" w:rsidP="00B315BD">
            <w:pPr>
              <w:keepNext/>
              <w:keepLines/>
              <w:ind w:left="113" w:right="113"/>
              <w:jc w:val="center"/>
              <w:rPr>
                <w:rFonts w:ascii="Arial Narrow" w:hAnsi="Arial Narrow" w:cstheme="minorHAnsi"/>
                <w:color w:val="000000"/>
                <w:sz w:val="20"/>
                <w:szCs w:val="20"/>
              </w:rPr>
            </w:pPr>
            <w:r w:rsidRPr="00FA739A">
              <w:rPr>
                <w:rFonts w:ascii="Arial Narrow" w:hAnsi="Arial Narrow" w:cstheme="minorHAnsi"/>
                <w:color w:val="000000"/>
                <w:sz w:val="20"/>
                <w:szCs w:val="20"/>
              </w:rPr>
              <w:t>35%</w:t>
            </w:r>
          </w:p>
        </w:tc>
        <w:tc>
          <w:tcPr>
            <w:tcW w:w="724" w:type="pct"/>
            <w:tcMar>
              <w:top w:w="0" w:type="dxa"/>
              <w:left w:w="28" w:type="dxa"/>
              <w:bottom w:w="0" w:type="dxa"/>
              <w:right w:w="28" w:type="dxa"/>
            </w:tcMar>
            <w:vAlign w:val="center"/>
          </w:tcPr>
          <w:p w:rsidR="00BE0587" w:rsidRPr="00FA739A" w:rsidRDefault="00BE0587" w:rsidP="00B315BD">
            <w:pPr>
              <w:keepNext/>
              <w:keepLines/>
              <w:ind w:left="113" w:right="113"/>
              <w:jc w:val="center"/>
              <w:rPr>
                <w:rFonts w:ascii="Arial Narrow" w:hAnsi="Arial Narrow" w:cstheme="minorHAnsi"/>
                <w:color w:val="000000"/>
                <w:sz w:val="20"/>
                <w:szCs w:val="20"/>
              </w:rPr>
            </w:pPr>
            <w:r w:rsidRPr="00FA739A">
              <w:rPr>
                <w:rFonts w:ascii="Arial Narrow" w:hAnsi="Arial Narrow" w:cstheme="minorHAnsi"/>
                <w:color w:val="000000"/>
                <w:sz w:val="20"/>
                <w:szCs w:val="20"/>
              </w:rPr>
              <w:t>28%</w:t>
            </w:r>
          </w:p>
        </w:tc>
        <w:tc>
          <w:tcPr>
            <w:tcW w:w="726" w:type="pct"/>
            <w:tcMar>
              <w:top w:w="0" w:type="dxa"/>
              <w:left w:w="28" w:type="dxa"/>
              <w:bottom w:w="0" w:type="dxa"/>
              <w:right w:w="28" w:type="dxa"/>
            </w:tcMar>
            <w:vAlign w:val="center"/>
          </w:tcPr>
          <w:p w:rsidR="00BE0587" w:rsidRPr="00FA739A" w:rsidRDefault="00BE0587" w:rsidP="00B315BD">
            <w:pPr>
              <w:keepNext/>
              <w:keepLines/>
              <w:ind w:left="113" w:right="113"/>
              <w:jc w:val="center"/>
              <w:rPr>
                <w:rFonts w:ascii="Arial Narrow" w:hAnsi="Arial Narrow" w:cstheme="minorHAnsi"/>
                <w:color w:val="000000"/>
                <w:sz w:val="20"/>
                <w:szCs w:val="20"/>
              </w:rPr>
            </w:pPr>
            <w:r w:rsidRPr="00FA739A">
              <w:rPr>
                <w:rFonts w:ascii="Arial Narrow" w:hAnsi="Arial Narrow" w:cstheme="minorHAnsi"/>
                <w:color w:val="000000"/>
                <w:sz w:val="20"/>
                <w:szCs w:val="20"/>
              </w:rPr>
              <w:t>21%</w:t>
            </w:r>
          </w:p>
        </w:tc>
        <w:tc>
          <w:tcPr>
            <w:tcW w:w="707" w:type="pct"/>
            <w:tcMar>
              <w:top w:w="0" w:type="dxa"/>
              <w:left w:w="28" w:type="dxa"/>
              <w:bottom w:w="0" w:type="dxa"/>
              <w:right w:w="28" w:type="dxa"/>
            </w:tcMar>
            <w:vAlign w:val="center"/>
          </w:tcPr>
          <w:p w:rsidR="00BE0587" w:rsidRPr="00FA739A" w:rsidRDefault="00BE0587" w:rsidP="00B315BD">
            <w:pPr>
              <w:keepNext/>
              <w:keepLines/>
              <w:ind w:left="113" w:right="113"/>
              <w:jc w:val="center"/>
              <w:rPr>
                <w:rFonts w:ascii="Arial Narrow" w:hAnsi="Arial Narrow" w:cstheme="minorHAnsi"/>
                <w:color w:val="000000"/>
                <w:sz w:val="20"/>
                <w:szCs w:val="20"/>
              </w:rPr>
            </w:pPr>
            <w:r w:rsidRPr="00FA739A">
              <w:rPr>
                <w:rFonts w:ascii="Arial Narrow" w:hAnsi="Arial Narrow" w:cstheme="minorHAnsi"/>
                <w:color w:val="000000"/>
                <w:sz w:val="20"/>
                <w:szCs w:val="20"/>
              </w:rPr>
              <w:t>18%</w:t>
            </w:r>
          </w:p>
        </w:tc>
        <w:tc>
          <w:tcPr>
            <w:tcW w:w="724" w:type="pct"/>
            <w:tcMar>
              <w:top w:w="0" w:type="dxa"/>
              <w:left w:w="28" w:type="dxa"/>
              <w:bottom w:w="0" w:type="dxa"/>
              <w:right w:w="28" w:type="dxa"/>
            </w:tcMar>
            <w:vAlign w:val="center"/>
          </w:tcPr>
          <w:p w:rsidR="00BE0587" w:rsidRPr="00FA739A" w:rsidRDefault="00BE0587" w:rsidP="00B315BD">
            <w:pPr>
              <w:keepNext/>
              <w:keepLines/>
              <w:ind w:left="113" w:right="113"/>
              <w:jc w:val="center"/>
              <w:rPr>
                <w:rFonts w:ascii="Arial Narrow" w:hAnsi="Arial Narrow" w:cstheme="minorHAnsi"/>
                <w:color w:val="000000"/>
                <w:sz w:val="20"/>
                <w:szCs w:val="20"/>
              </w:rPr>
            </w:pPr>
            <w:r w:rsidRPr="00FA739A">
              <w:rPr>
                <w:rFonts w:ascii="Arial Narrow" w:hAnsi="Arial Narrow" w:cstheme="minorHAnsi"/>
                <w:color w:val="000000"/>
                <w:sz w:val="20"/>
                <w:szCs w:val="20"/>
              </w:rPr>
              <w:t>13%</w:t>
            </w:r>
          </w:p>
        </w:tc>
      </w:tr>
      <w:tr w:rsidR="00425CE9" w:rsidRPr="00FA739A" w:rsidTr="00980405">
        <w:trPr>
          <w:trHeight w:val="256"/>
        </w:trPr>
        <w:tc>
          <w:tcPr>
            <w:tcW w:w="685" w:type="pct"/>
            <w:shd w:val="clear" w:color="auto" w:fill="BFBFBF" w:themeFill="background1" w:themeFillShade="BF"/>
            <w:tcMar>
              <w:top w:w="0" w:type="dxa"/>
              <w:left w:w="28" w:type="dxa"/>
              <w:bottom w:w="0" w:type="dxa"/>
              <w:right w:w="28" w:type="dxa"/>
            </w:tcMar>
            <w:vAlign w:val="center"/>
          </w:tcPr>
          <w:p w:rsidR="00425CE9" w:rsidRPr="009978AC" w:rsidRDefault="00425CE9" w:rsidP="00425CE9">
            <w:pPr>
              <w:keepNext/>
              <w:keepLines/>
              <w:jc w:val="left"/>
              <w:rPr>
                <w:rFonts w:ascii="Arial Narrow" w:hAnsi="Arial Narrow" w:cstheme="minorHAnsi"/>
                <w:sz w:val="20"/>
                <w:szCs w:val="20"/>
              </w:rPr>
            </w:pPr>
            <w:r w:rsidRPr="009978AC">
              <w:rPr>
                <w:rFonts w:ascii="Arial Narrow" w:hAnsi="Arial Narrow" w:cstheme="minorHAnsi"/>
                <w:sz w:val="20"/>
                <w:szCs w:val="20"/>
              </w:rPr>
              <w:t xml:space="preserve">PBAC revised second line </w:t>
            </w:r>
          </w:p>
        </w:tc>
        <w:tc>
          <w:tcPr>
            <w:tcW w:w="707" w:type="pct"/>
            <w:shd w:val="clear" w:color="auto" w:fill="BFBFBF" w:themeFill="background1" w:themeFillShade="BF"/>
            <w:tcMar>
              <w:top w:w="0" w:type="dxa"/>
              <w:left w:w="28" w:type="dxa"/>
              <w:bottom w:w="0" w:type="dxa"/>
              <w:right w:w="28" w:type="dxa"/>
            </w:tcMar>
            <w:vAlign w:val="center"/>
          </w:tcPr>
          <w:p w:rsidR="00425CE9" w:rsidRPr="00FA739A" w:rsidRDefault="00425CE9">
            <w:pPr>
              <w:keepNext/>
              <w:keepLines/>
              <w:ind w:left="113" w:right="113"/>
              <w:jc w:val="center"/>
              <w:rPr>
                <w:rFonts w:ascii="Arial Narrow" w:hAnsi="Arial Narrow" w:cstheme="minorHAnsi"/>
                <w:color w:val="000000"/>
                <w:sz w:val="20"/>
                <w:szCs w:val="20"/>
              </w:rPr>
            </w:pPr>
            <w:r w:rsidRPr="00FA739A">
              <w:rPr>
                <w:rFonts w:ascii="Arial Narrow" w:hAnsi="Arial Narrow" w:cs="Calibri"/>
                <w:color w:val="000000"/>
                <w:sz w:val="20"/>
                <w:szCs w:val="20"/>
              </w:rPr>
              <w:t>50%</w:t>
            </w:r>
          </w:p>
        </w:tc>
        <w:tc>
          <w:tcPr>
            <w:tcW w:w="727" w:type="pct"/>
            <w:shd w:val="clear" w:color="auto" w:fill="BFBFBF" w:themeFill="background1" w:themeFillShade="BF"/>
            <w:tcMar>
              <w:top w:w="0" w:type="dxa"/>
              <w:left w:w="28" w:type="dxa"/>
              <w:bottom w:w="0" w:type="dxa"/>
              <w:right w:w="28" w:type="dxa"/>
            </w:tcMar>
            <w:vAlign w:val="center"/>
          </w:tcPr>
          <w:p w:rsidR="00425CE9" w:rsidRPr="00FA739A" w:rsidRDefault="00425CE9">
            <w:pPr>
              <w:keepNext/>
              <w:keepLines/>
              <w:ind w:left="113" w:right="113"/>
              <w:jc w:val="center"/>
              <w:rPr>
                <w:rFonts w:ascii="Arial Narrow" w:hAnsi="Arial Narrow" w:cstheme="minorHAnsi"/>
                <w:color w:val="000000"/>
                <w:sz w:val="20"/>
                <w:szCs w:val="20"/>
              </w:rPr>
            </w:pPr>
            <w:r w:rsidRPr="00FA739A">
              <w:rPr>
                <w:rFonts w:ascii="Arial Narrow" w:hAnsi="Arial Narrow" w:cs="Calibri"/>
                <w:color w:val="000000"/>
                <w:sz w:val="20"/>
                <w:szCs w:val="20"/>
              </w:rPr>
              <w:t>34%</w:t>
            </w:r>
          </w:p>
        </w:tc>
        <w:tc>
          <w:tcPr>
            <w:tcW w:w="724" w:type="pct"/>
            <w:shd w:val="clear" w:color="auto" w:fill="BFBFBF" w:themeFill="background1" w:themeFillShade="BF"/>
            <w:tcMar>
              <w:top w:w="0" w:type="dxa"/>
              <w:left w:w="28" w:type="dxa"/>
              <w:bottom w:w="0" w:type="dxa"/>
              <w:right w:w="28" w:type="dxa"/>
            </w:tcMar>
            <w:vAlign w:val="center"/>
          </w:tcPr>
          <w:p w:rsidR="00425CE9" w:rsidRPr="00FA739A" w:rsidRDefault="00425CE9">
            <w:pPr>
              <w:keepNext/>
              <w:keepLines/>
              <w:ind w:left="113" w:right="113"/>
              <w:jc w:val="center"/>
              <w:rPr>
                <w:rFonts w:ascii="Arial Narrow" w:hAnsi="Arial Narrow" w:cstheme="minorHAnsi"/>
                <w:color w:val="000000"/>
                <w:sz w:val="20"/>
                <w:szCs w:val="20"/>
              </w:rPr>
            </w:pPr>
            <w:r w:rsidRPr="00FA739A">
              <w:rPr>
                <w:rFonts w:ascii="Arial Narrow" w:hAnsi="Arial Narrow" w:cs="Calibri"/>
                <w:color w:val="000000"/>
                <w:sz w:val="20"/>
                <w:szCs w:val="20"/>
              </w:rPr>
              <w:t>27%</w:t>
            </w:r>
          </w:p>
        </w:tc>
        <w:tc>
          <w:tcPr>
            <w:tcW w:w="726" w:type="pct"/>
            <w:shd w:val="clear" w:color="auto" w:fill="BFBFBF" w:themeFill="background1" w:themeFillShade="BF"/>
            <w:tcMar>
              <w:top w:w="0" w:type="dxa"/>
              <w:left w:w="28" w:type="dxa"/>
              <w:bottom w:w="0" w:type="dxa"/>
              <w:right w:w="28" w:type="dxa"/>
            </w:tcMar>
            <w:vAlign w:val="center"/>
          </w:tcPr>
          <w:p w:rsidR="00425CE9" w:rsidRPr="00FA739A" w:rsidRDefault="00425CE9">
            <w:pPr>
              <w:keepNext/>
              <w:keepLines/>
              <w:ind w:left="113" w:right="113"/>
              <w:jc w:val="center"/>
              <w:rPr>
                <w:rFonts w:ascii="Arial Narrow" w:hAnsi="Arial Narrow" w:cstheme="minorHAnsi"/>
                <w:color w:val="000000"/>
                <w:sz w:val="20"/>
                <w:szCs w:val="20"/>
              </w:rPr>
            </w:pPr>
            <w:r w:rsidRPr="00FA739A">
              <w:rPr>
                <w:rFonts w:ascii="Arial Narrow" w:hAnsi="Arial Narrow" w:cs="Calibri"/>
                <w:color w:val="000000"/>
                <w:sz w:val="20"/>
                <w:szCs w:val="20"/>
              </w:rPr>
              <w:t>18%</w:t>
            </w:r>
          </w:p>
        </w:tc>
        <w:tc>
          <w:tcPr>
            <w:tcW w:w="707" w:type="pct"/>
            <w:shd w:val="clear" w:color="auto" w:fill="BFBFBF" w:themeFill="background1" w:themeFillShade="BF"/>
            <w:tcMar>
              <w:top w:w="0" w:type="dxa"/>
              <w:left w:w="28" w:type="dxa"/>
              <w:bottom w:w="0" w:type="dxa"/>
              <w:right w:w="28" w:type="dxa"/>
            </w:tcMar>
            <w:vAlign w:val="center"/>
          </w:tcPr>
          <w:p w:rsidR="00425CE9" w:rsidRPr="00FA739A" w:rsidRDefault="00425CE9">
            <w:pPr>
              <w:keepNext/>
              <w:keepLines/>
              <w:ind w:left="113" w:right="113"/>
              <w:jc w:val="center"/>
              <w:rPr>
                <w:rFonts w:ascii="Arial Narrow" w:hAnsi="Arial Narrow" w:cstheme="minorHAnsi"/>
                <w:color w:val="000000"/>
                <w:sz w:val="20"/>
                <w:szCs w:val="20"/>
              </w:rPr>
            </w:pPr>
            <w:r w:rsidRPr="00FA739A">
              <w:rPr>
                <w:rFonts w:ascii="Arial Narrow" w:hAnsi="Arial Narrow" w:cs="Calibri"/>
                <w:color w:val="000000"/>
                <w:sz w:val="20"/>
                <w:szCs w:val="20"/>
              </w:rPr>
              <w:t>16%</w:t>
            </w:r>
          </w:p>
        </w:tc>
        <w:tc>
          <w:tcPr>
            <w:tcW w:w="724" w:type="pct"/>
            <w:shd w:val="clear" w:color="auto" w:fill="BFBFBF" w:themeFill="background1" w:themeFillShade="BF"/>
            <w:tcMar>
              <w:top w:w="0" w:type="dxa"/>
              <w:left w:w="28" w:type="dxa"/>
              <w:bottom w:w="0" w:type="dxa"/>
              <w:right w:w="28" w:type="dxa"/>
            </w:tcMar>
            <w:vAlign w:val="center"/>
          </w:tcPr>
          <w:p w:rsidR="00425CE9" w:rsidRPr="00FA739A" w:rsidRDefault="00425CE9">
            <w:pPr>
              <w:keepNext/>
              <w:keepLines/>
              <w:ind w:left="113" w:right="113"/>
              <w:jc w:val="center"/>
              <w:rPr>
                <w:rFonts w:ascii="Arial Narrow" w:hAnsi="Arial Narrow" w:cstheme="minorHAnsi"/>
                <w:color w:val="000000"/>
                <w:sz w:val="20"/>
                <w:szCs w:val="20"/>
              </w:rPr>
            </w:pPr>
            <w:r w:rsidRPr="00FA739A">
              <w:rPr>
                <w:rFonts w:ascii="Arial Narrow" w:hAnsi="Arial Narrow" w:cs="Calibri"/>
                <w:color w:val="000000"/>
                <w:sz w:val="20"/>
                <w:szCs w:val="20"/>
              </w:rPr>
              <w:t>11%</w:t>
            </w:r>
          </w:p>
        </w:tc>
      </w:tr>
      <w:tr w:rsidR="00BE0587" w:rsidRPr="00FA739A" w:rsidTr="00980405">
        <w:trPr>
          <w:trHeight w:val="269"/>
        </w:trPr>
        <w:tc>
          <w:tcPr>
            <w:tcW w:w="5000" w:type="pct"/>
            <w:gridSpan w:val="7"/>
            <w:tcMar>
              <w:top w:w="0" w:type="dxa"/>
              <w:left w:w="28" w:type="dxa"/>
              <w:bottom w:w="0" w:type="dxa"/>
              <w:right w:w="28" w:type="dxa"/>
            </w:tcMar>
            <w:vAlign w:val="center"/>
            <w:hideMark/>
          </w:tcPr>
          <w:p w:rsidR="00BE0587" w:rsidRPr="009978AC" w:rsidRDefault="00BE0587" w:rsidP="00B315BD">
            <w:pPr>
              <w:keepNext/>
              <w:keepLines/>
              <w:ind w:left="113" w:right="113"/>
              <w:jc w:val="left"/>
              <w:rPr>
                <w:rFonts w:ascii="Arial Narrow" w:hAnsi="Arial Narrow" w:cstheme="minorHAnsi"/>
                <w:b/>
                <w:sz w:val="20"/>
                <w:szCs w:val="20"/>
              </w:rPr>
            </w:pPr>
            <w:r w:rsidRPr="009978AC">
              <w:rPr>
                <w:rFonts w:ascii="Arial Narrow" w:hAnsi="Arial Narrow" w:cstheme="minorHAnsi"/>
                <w:b/>
                <w:sz w:val="20"/>
                <w:szCs w:val="20"/>
              </w:rPr>
              <w:t>Estimated financial implications of RIBO+FULV</w:t>
            </w:r>
          </w:p>
        </w:tc>
      </w:tr>
      <w:tr w:rsidR="00E50A44" w:rsidRPr="00FA739A" w:rsidTr="00980405">
        <w:trPr>
          <w:trHeight w:val="256"/>
        </w:trPr>
        <w:tc>
          <w:tcPr>
            <w:tcW w:w="685" w:type="pct"/>
            <w:tcMar>
              <w:top w:w="0" w:type="dxa"/>
              <w:left w:w="28" w:type="dxa"/>
              <w:bottom w:w="0" w:type="dxa"/>
              <w:right w:w="28" w:type="dxa"/>
            </w:tcMar>
            <w:vAlign w:val="center"/>
          </w:tcPr>
          <w:p w:rsidR="00E50A44" w:rsidRPr="009978AC" w:rsidRDefault="00E50A44" w:rsidP="00B315BD">
            <w:pPr>
              <w:keepNext/>
              <w:keepLines/>
              <w:jc w:val="left"/>
              <w:rPr>
                <w:rFonts w:ascii="Arial Narrow" w:hAnsi="Arial Narrow" w:cstheme="minorHAnsi"/>
                <w:bCs/>
                <w:sz w:val="20"/>
                <w:szCs w:val="20"/>
              </w:rPr>
            </w:pPr>
            <w:r w:rsidRPr="009978AC">
              <w:rPr>
                <w:rFonts w:ascii="Arial Narrow" w:hAnsi="Arial Narrow" w:cstheme="minorHAnsi"/>
                <w:bCs/>
                <w:sz w:val="20"/>
                <w:szCs w:val="20"/>
              </w:rPr>
              <w:t>Total cost to PBS/RPBS for ribociclib</w:t>
            </w:r>
          </w:p>
        </w:tc>
        <w:tc>
          <w:tcPr>
            <w:tcW w:w="707" w:type="pct"/>
            <w:tcMar>
              <w:top w:w="0" w:type="dxa"/>
              <w:left w:w="28" w:type="dxa"/>
              <w:bottom w:w="0" w:type="dxa"/>
              <w:right w:w="28" w:type="dxa"/>
            </w:tcMar>
            <w:vAlign w:val="bottom"/>
          </w:tcPr>
          <w:p w:rsidR="00E50A44" w:rsidRPr="00AB6780" w:rsidRDefault="00AB6780" w:rsidP="00B315BD">
            <w:pPr>
              <w:keepNext/>
              <w:keepLines/>
              <w:ind w:left="113" w:right="113"/>
              <w:jc w:val="center"/>
              <w:rPr>
                <w:rFonts w:ascii="Arial Narrow" w:hAnsi="Arial Narrow" w:cstheme="minorHAnsi"/>
                <w:bCs/>
                <w:sz w:val="20"/>
                <w:szCs w:val="20"/>
              </w:rPr>
            </w:pPr>
            <w:r>
              <w:rPr>
                <w:rFonts w:ascii="Arial Narrow" w:hAnsi="Arial Narrow"/>
                <w:bCs/>
                <w:noProof/>
                <w:color w:val="000000"/>
                <w:sz w:val="20"/>
                <w:szCs w:val="20"/>
                <w:highlight w:val="black"/>
              </w:rPr>
              <w:t>''''''''''''''''''''''''''''''</w:t>
            </w:r>
            <w:r w:rsidR="00653DFF">
              <w:rPr>
                <w:rFonts w:ascii="Arial Narrow" w:hAnsi="Arial Narrow" w:cstheme="minorHAnsi"/>
                <w:color w:val="000000"/>
                <w:sz w:val="20"/>
                <w:szCs w:val="20"/>
                <w:vertAlign w:val="superscript"/>
              </w:rPr>
              <w:t>6</w:t>
            </w:r>
          </w:p>
        </w:tc>
        <w:tc>
          <w:tcPr>
            <w:tcW w:w="727" w:type="pct"/>
            <w:tcMar>
              <w:top w:w="0" w:type="dxa"/>
              <w:left w:w="28" w:type="dxa"/>
              <w:bottom w:w="0" w:type="dxa"/>
              <w:right w:w="28" w:type="dxa"/>
            </w:tcMar>
            <w:vAlign w:val="bottom"/>
          </w:tcPr>
          <w:p w:rsidR="00E50A44" w:rsidRPr="00AB6780" w:rsidRDefault="00AB6780" w:rsidP="00B315BD">
            <w:pPr>
              <w:keepNext/>
              <w:keepLines/>
              <w:ind w:left="113" w:right="113"/>
              <w:jc w:val="center"/>
              <w:rPr>
                <w:rFonts w:ascii="Arial Narrow" w:hAnsi="Arial Narrow" w:cstheme="minorHAnsi"/>
                <w:bCs/>
                <w:sz w:val="20"/>
                <w:szCs w:val="20"/>
              </w:rPr>
            </w:pPr>
            <w:r>
              <w:rPr>
                <w:rFonts w:ascii="Arial Narrow" w:hAnsi="Arial Narrow"/>
                <w:bCs/>
                <w:noProof/>
                <w:color w:val="000000"/>
                <w:sz w:val="20"/>
                <w:szCs w:val="20"/>
                <w:highlight w:val="black"/>
              </w:rPr>
              <w:t>''''''''''''''''''''''''''''''''</w:t>
            </w:r>
            <w:r w:rsidR="00653DFF">
              <w:rPr>
                <w:rFonts w:ascii="Arial Narrow" w:hAnsi="Arial Narrow" w:cstheme="minorHAnsi"/>
                <w:color w:val="000000"/>
                <w:sz w:val="20"/>
                <w:szCs w:val="20"/>
                <w:vertAlign w:val="superscript"/>
              </w:rPr>
              <w:t>7</w:t>
            </w:r>
          </w:p>
        </w:tc>
        <w:tc>
          <w:tcPr>
            <w:tcW w:w="724" w:type="pct"/>
            <w:tcMar>
              <w:top w:w="0" w:type="dxa"/>
              <w:left w:w="28" w:type="dxa"/>
              <w:bottom w:w="0" w:type="dxa"/>
              <w:right w:w="28" w:type="dxa"/>
            </w:tcMar>
            <w:vAlign w:val="bottom"/>
          </w:tcPr>
          <w:p w:rsidR="00E50A44" w:rsidRPr="00AB6780" w:rsidRDefault="00AB6780" w:rsidP="00B315BD">
            <w:pPr>
              <w:keepNext/>
              <w:keepLines/>
              <w:ind w:left="113" w:right="113"/>
              <w:jc w:val="center"/>
              <w:rPr>
                <w:rFonts w:ascii="Arial Narrow" w:hAnsi="Arial Narrow" w:cstheme="minorHAnsi"/>
                <w:bCs/>
                <w:sz w:val="20"/>
                <w:szCs w:val="20"/>
              </w:rPr>
            </w:pPr>
            <w:r>
              <w:rPr>
                <w:rFonts w:ascii="Arial Narrow" w:hAnsi="Arial Narrow"/>
                <w:bCs/>
                <w:noProof/>
                <w:color w:val="000000"/>
                <w:sz w:val="20"/>
                <w:szCs w:val="20"/>
                <w:highlight w:val="black"/>
              </w:rPr>
              <w:t>'''''''''''''''''''''''''''''''</w:t>
            </w:r>
            <w:r w:rsidR="00653DFF">
              <w:rPr>
                <w:rFonts w:ascii="Arial Narrow" w:hAnsi="Arial Narrow" w:cstheme="minorHAnsi"/>
                <w:color w:val="000000"/>
                <w:sz w:val="20"/>
                <w:szCs w:val="20"/>
                <w:vertAlign w:val="superscript"/>
              </w:rPr>
              <w:t>8</w:t>
            </w:r>
          </w:p>
        </w:tc>
        <w:tc>
          <w:tcPr>
            <w:tcW w:w="726" w:type="pct"/>
            <w:tcMar>
              <w:top w:w="0" w:type="dxa"/>
              <w:left w:w="28" w:type="dxa"/>
              <w:bottom w:w="0" w:type="dxa"/>
              <w:right w:w="28" w:type="dxa"/>
            </w:tcMar>
            <w:vAlign w:val="bottom"/>
          </w:tcPr>
          <w:p w:rsidR="00E50A44" w:rsidRPr="00AB6780" w:rsidRDefault="00AB6780" w:rsidP="00B315BD">
            <w:pPr>
              <w:keepNext/>
              <w:keepLines/>
              <w:ind w:left="113" w:right="113"/>
              <w:jc w:val="center"/>
              <w:rPr>
                <w:rFonts w:ascii="Arial Narrow" w:hAnsi="Arial Narrow" w:cstheme="minorHAnsi"/>
                <w:bCs/>
                <w:sz w:val="20"/>
                <w:szCs w:val="20"/>
              </w:rPr>
            </w:pPr>
            <w:r>
              <w:rPr>
                <w:rFonts w:ascii="Arial Narrow" w:hAnsi="Arial Narrow"/>
                <w:bCs/>
                <w:noProof/>
                <w:color w:val="000000"/>
                <w:sz w:val="20"/>
                <w:szCs w:val="20"/>
                <w:highlight w:val="black"/>
              </w:rPr>
              <w:t>'''''''''''''''''''''''''''''''</w:t>
            </w:r>
            <w:r w:rsidR="00653DFF">
              <w:rPr>
                <w:rFonts w:ascii="Arial Narrow" w:hAnsi="Arial Narrow" w:cstheme="minorHAnsi"/>
                <w:color w:val="000000"/>
                <w:sz w:val="20"/>
                <w:szCs w:val="20"/>
                <w:vertAlign w:val="superscript"/>
              </w:rPr>
              <w:t>8</w:t>
            </w:r>
          </w:p>
        </w:tc>
        <w:tc>
          <w:tcPr>
            <w:tcW w:w="707" w:type="pct"/>
            <w:tcMar>
              <w:top w:w="0" w:type="dxa"/>
              <w:left w:w="28" w:type="dxa"/>
              <w:bottom w:w="0" w:type="dxa"/>
              <w:right w:w="28" w:type="dxa"/>
            </w:tcMar>
            <w:vAlign w:val="bottom"/>
          </w:tcPr>
          <w:p w:rsidR="00E50A44" w:rsidRPr="00AB6780" w:rsidRDefault="00AB6780" w:rsidP="00B315BD">
            <w:pPr>
              <w:keepNext/>
              <w:keepLines/>
              <w:ind w:left="113" w:right="113"/>
              <w:jc w:val="center"/>
              <w:rPr>
                <w:rFonts w:ascii="Arial Narrow" w:hAnsi="Arial Narrow" w:cstheme="minorHAnsi"/>
                <w:bCs/>
                <w:sz w:val="20"/>
                <w:szCs w:val="20"/>
              </w:rPr>
            </w:pPr>
            <w:r>
              <w:rPr>
                <w:rFonts w:ascii="Arial Narrow" w:hAnsi="Arial Narrow"/>
                <w:bCs/>
                <w:noProof/>
                <w:color w:val="000000"/>
                <w:sz w:val="20"/>
                <w:szCs w:val="20"/>
                <w:highlight w:val="black"/>
              </w:rPr>
              <w:t>'''''''''''''''''''''''''''''</w:t>
            </w:r>
            <w:r w:rsidR="00653DFF">
              <w:rPr>
                <w:rFonts w:ascii="Arial Narrow" w:hAnsi="Arial Narrow" w:cstheme="minorHAnsi"/>
                <w:color w:val="000000"/>
                <w:sz w:val="20"/>
                <w:szCs w:val="20"/>
                <w:vertAlign w:val="superscript"/>
              </w:rPr>
              <w:t>8</w:t>
            </w:r>
          </w:p>
        </w:tc>
        <w:tc>
          <w:tcPr>
            <w:tcW w:w="724" w:type="pct"/>
            <w:tcMar>
              <w:top w:w="0" w:type="dxa"/>
              <w:left w:w="28" w:type="dxa"/>
              <w:bottom w:w="0" w:type="dxa"/>
              <w:right w:w="28" w:type="dxa"/>
            </w:tcMar>
            <w:vAlign w:val="bottom"/>
          </w:tcPr>
          <w:p w:rsidR="00E50A44" w:rsidRPr="00AB6780" w:rsidRDefault="00AB6780" w:rsidP="00B315BD">
            <w:pPr>
              <w:keepNext/>
              <w:keepLines/>
              <w:ind w:left="113" w:right="113"/>
              <w:jc w:val="center"/>
              <w:rPr>
                <w:rFonts w:ascii="Arial Narrow" w:hAnsi="Arial Narrow" w:cstheme="minorHAnsi"/>
                <w:bCs/>
                <w:sz w:val="20"/>
                <w:szCs w:val="20"/>
              </w:rPr>
            </w:pPr>
            <w:r>
              <w:rPr>
                <w:rFonts w:ascii="Arial Narrow" w:hAnsi="Arial Narrow"/>
                <w:bCs/>
                <w:noProof/>
                <w:color w:val="000000"/>
                <w:sz w:val="20"/>
                <w:szCs w:val="20"/>
                <w:highlight w:val="black"/>
              </w:rPr>
              <w:t>''''''''''''''''''''''''''''</w:t>
            </w:r>
            <w:r w:rsidR="00653DFF">
              <w:rPr>
                <w:rFonts w:ascii="Arial Narrow" w:hAnsi="Arial Narrow" w:cstheme="minorHAnsi"/>
                <w:color w:val="000000"/>
                <w:sz w:val="20"/>
                <w:szCs w:val="20"/>
                <w:vertAlign w:val="superscript"/>
              </w:rPr>
              <w:t>8</w:t>
            </w:r>
          </w:p>
        </w:tc>
      </w:tr>
      <w:tr w:rsidR="00E50A44" w:rsidRPr="00FA739A" w:rsidTr="00980405">
        <w:trPr>
          <w:trHeight w:val="256"/>
        </w:trPr>
        <w:tc>
          <w:tcPr>
            <w:tcW w:w="685" w:type="pct"/>
            <w:tcMar>
              <w:top w:w="0" w:type="dxa"/>
              <w:left w:w="28" w:type="dxa"/>
              <w:bottom w:w="0" w:type="dxa"/>
              <w:right w:w="28" w:type="dxa"/>
            </w:tcMar>
            <w:vAlign w:val="center"/>
          </w:tcPr>
          <w:p w:rsidR="00E50A44" w:rsidRPr="009978AC" w:rsidRDefault="00E50A44" w:rsidP="00B315BD">
            <w:pPr>
              <w:keepNext/>
              <w:keepLines/>
              <w:jc w:val="left"/>
              <w:rPr>
                <w:rFonts w:ascii="Arial Narrow" w:hAnsi="Arial Narrow" w:cstheme="minorHAnsi"/>
                <w:bCs/>
                <w:sz w:val="20"/>
                <w:szCs w:val="20"/>
              </w:rPr>
            </w:pPr>
            <w:r w:rsidRPr="009978AC">
              <w:rPr>
                <w:rFonts w:ascii="Arial Narrow" w:hAnsi="Arial Narrow" w:cstheme="minorHAnsi"/>
                <w:bCs/>
                <w:sz w:val="20"/>
                <w:szCs w:val="20"/>
              </w:rPr>
              <w:t>Total cost to PBS/RPBS for fulvestrant</w:t>
            </w:r>
          </w:p>
        </w:tc>
        <w:tc>
          <w:tcPr>
            <w:tcW w:w="707" w:type="pct"/>
            <w:tcMar>
              <w:top w:w="0" w:type="dxa"/>
              <w:left w:w="28" w:type="dxa"/>
              <w:bottom w:w="0" w:type="dxa"/>
              <w:right w:w="28" w:type="dxa"/>
            </w:tcMar>
            <w:vAlign w:val="bottom"/>
          </w:tcPr>
          <w:p w:rsidR="00E50A44" w:rsidRPr="00AB6780" w:rsidRDefault="00AB6780" w:rsidP="00B315BD">
            <w:pPr>
              <w:keepNext/>
              <w:keepLines/>
              <w:ind w:left="113" w:right="113"/>
              <w:jc w:val="center"/>
              <w:rPr>
                <w:rFonts w:ascii="Arial Narrow" w:hAnsi="Arial Narrow" w:cstheme="minorHAnsi"/>
                <w:bCs/>
                <w:color w:val="000000"/>
                <w:sz w:val="20"/>
                <w:szCs w:val="20"/>
              </w:rPr>
            </w:pPr>
            <w:r>
              <w:rPr>
                <w:rFonts w:ascii="Arial Narrow" w:hAnsi="Arial Narrow"/>
                <w:bCs/>
                <w:noProof/>
                <w:color w:val="000000"/>
                <w:sz w:val="20"/>
                <w:szCs w:val="20"/>
                <w:highlight w:val="black"/>
              </w:rPr>
              <w:t>''''''''''''''''''''''''</w:t>
            </w:r>
            <w:r w:rsidR="00653DFF">
              <w:rPr>
                <w:rFonts w:ascii="Arial Narrow" w:hAnsi="Arial Narrow" w:cstheme="minorHAnsi"/>
                <w:color w:val="000000"/>
                <w:sz w:val="20"/>
                <w:szCs w:val="20"/>
                <w:vertAlign w:val="superscript"/>
              </w:rPr>
              <w:t>9</w:t>
            </w:r>
          </w:p>
        </w:tc>
        <w:tc>
          <w:tcPr>
            <w:tcW w:w="727" w:type="pct"/>
            <w:tcMar>
              <w:top w:w="0" w:type="dxa"/>
              <w:left w:w="28" w:type="dxa"/>
              <w:bottom w:w="0" w:type="dxa"/>
              <w:right w:w="28" w:type="dxa"/>
            </w:tcMar>
            <w:vAlign w:val="bottom"/>
          </w:tcPr>
          <w:p w:rsidR="00E50A44" w:rsidRPr="00AB6780" w:rsidRDefault="00AB6780" w:rsidP="00B315BD">
            <w:pPr>
              <w:keepNext/>
              <w:keepLines/>
              <w:ind w:left="113" w:right="113"/>
              <w:jc w:val="center"/>
              <w:rPr>
                <w:rFonts w:ascii="Arial Narrow" w:hAnsi="Arial Narrow" w:cstheme="minorHAnsi"/>
                <w:bCs/>
                <w:color w:val="000000"/>
                <w:sz w:val="20"/>
                <w:szCs w:val="20"/>
              </w:rPr>
            </w:pPr>
            <w:r>
              <w:rPr>
                <w:rFonts w:ascii="Arial Narrow" w:hAnsi="Arial Narrow"/>
                <w:bCs/>
                <w:noProof/>
                <w:color w:val="000000"/>
                <w:sz w:val="20"/>
                <w:szCs w:val="20"/>
                <w:highlight w:val="black"/>
              </w:rPr>
              <w:t>'''''''''''''''''''''''''</w:t>
            </w:r>
            <w:r w:rsidR="00653DFF">
              <w:rPr>
                <w:rFonts w:ascii="Arial Narrow" w:hAnsi="Arial Narrow" w:cstheme="minorHAnsi"/>
                <w:color w:val="000000"/>
                <w:sz w:val="20"/>
                <w:szCs w:val="20"/>
                <w:vertAlign w:val="superscript"/>
              </w:rPr>
              <w:t>9</w:t>
            </w:r>
          </w:p>
        </w:tc>
        <w:tc>
          <w:tcPr>
            <w:tcW w:w="724" w:type="pct"/>
            <w:tcMar>
              <w:top w:w="0" w:type="dxa"/>
              <w:left w:w="28" w:type="dxa"/>
              <w:bottom w:w="0" w:type="dxa"/>
              <w:right w:w="28" w:type="dxa"/>
            </w:tcMar>
            <w:vAlign w:val="bottom"/>
          </w:tcPr>
          <w:p w:rsidR="00E50A44" w:rsidRPr="00AB6780" w:rsidRDefault="00AB6780" w:rsidP="00B315BD">
            <w:pPr>
              <w:keepNext/>
              <w:keepLines/>
              <w:ind w:left="113" w:right="113"/>
              <w:jc w:val="center"/>
              <w:rPr>
                <w:rFonts w:ascii="Arial Narrow" w:hAnsi="Arial Narrow" w:cstheme="minorHAnsi"/>
                <w:bCs/>
                <w:color w:val="000000"/>
                <w:sz w:val="20"/>
                <w:szCs w:val="20"/>
              </w:rPr>
            </w:pPr>
            <w:r>
              <w:rPr>
                <w:rFonts w:ascii="Arial Narrow" w:hAnsi="Arial Narrow"/>
                <w:bCs/>
                <w:noProof/>
                <w:color w:val="000000"/>
                <w:sz w:val="20"/>
                <w:szCs w:val="20"/>
                <w:highlight w:val="black"/>
              </w:rPr>
              <w:t>'''''''''''''''''''''''''</w:t>
            </w:r>
            <w:r w:rsidR="00653DFF">
              <w:rPr>
                <w:rFonts w:ascii="Arial Narrow" w:hAnsi="Arial Narrow" w:cstheme="minorHAnsi"/>
                <w:color w:val="000000"/>
                <w:sz w:val="20"/>
                <w:szCs w:val="20"/>
                <w:vertAlign w:val="superscript"/>
              </w:rPr>
              <w:t>9</w:t>
            </w:r>
          </w:p>
        </w:tc>
        <w:tc>
          <w:tcPr>
            <w:tcW w:w="726" w:type="pct"/>
            <w:tcMar>
              <w:top w:w="0" w:type="dxa"/>
              <w:left w:w="28" w:type="dxa"/>
              <w:bottom w:w="0" w:type="dxa"/>
              <w:right w:w="28" w:type="dxa"/>
            </w:tcMar>
            <w:vAlign w:val="bottom"/>
          </w:tcPr>
          <w:p w:rsidR="00E50A44" w:rsidRPr="00AB6780" w:rsidRDefault="00AB6780" w:rsidP="00B315BD">
            <w:pPr>
              <w:keepNext/>
              <w:keepLines/>
              <w:ind w:left="113" w:right="113"/>
              <w:jc w:val="center"/>
              <w:rPr>
                <w:rFonts w:ascii="Arial Narrow" w:hAnsi="Arial Narrow" w:cstheme="minorHAnsi"/>
                <w:bCs/>
                <w:color w:val="000000"/>
                <w:sz w:val="20"/>
                <w:szCs w:val="20"/>
              </w:rPr>
            </w:pPr>
            <w:r>
              <w:rPr>
                <w:rFonts w:ascii="Arial Narrow" w:hAnsi="Arial Narrow"/>
                <w:bCs/>
                <w:noProof/>
                <w:color w:val="000000"/>
                <w:sz w:val="20"/>
                <w:szCs w:val="20"/>
                <w:highlight w:val="black"/>
              </w:rPr>
              <w:t>''''''''''''''''''''''''''''</w:t>
            </w:r>
            <w:r w:rsidR="00653DFF">
              <w:rPr>
                <w:rFonts w:ascii="Arial Narrow" w:hAnsi="Arial Narrow" w:cstheme="minorHAnsi"/>
                <w:color w:val="000000"/>
                <w:sz w:val="20"/>
                <w:szCs w:val="20"/>
                <w:vertAlign w:val="superscript"/>
              </w:rPr>
              <w:t>9</w:t>
            </w:r>
          </w:p>
        </w:tc>
        <w:tc>
          <w:tcPr>
            <w:tcW w:w="707" w:type="pct"/>
            <w:tcMar>
              <w:top w:w="0" w:type="dxa"/>
              <w:left w:w="28" w:type="dxa"/>
              <w:bottom w:w="0" w:type="dxa"/>
              <w:right w:w="28" w:type="dxa"/>
            </w:tcMar>
            <w:vAlign w:val="bottom"/>
          </w:tcPr>
          <w:p w:rsidR="00E50A44" w:rsidRPr="00AB6780" w:rsidRDefault="00AB6780" w:rsidP="00B315BD">
            <w:pPr>
              <w:keepNext/>
              <w:keepLines/>
              <w:ind w:left="113" w:right="113"/>
              <w:jc w:val="center"/>
              <w:rPr>
                <w:rFonts w:ascii="Arial Narrow" w:hAnsi="Arial Narrow" w:cstheme="minorHAnsi"/>
                <w:bCs/>
                <w:color w:val="000000"/>
                <w:sz w:val="20"/>
                <w:szCs w:val="20"/>
              </w:rPr>
            </w:pPr>
            <w:r>
              <w:rPr>
                <w:rFonts w:ascii="Arial Narrow" w:hAnsi="Arial Narrow"/>
                <w:bCs/>
                <w:noProof/>
                <w:color w:val="000000"/>
                <w:sz w:val="20"/>
                <w:szCs w:val="20"/>
                <w:highlight w:val="black"/>
              </w:rPr>
              <w:t>'''''''''''''''''''''''''''''</w:t>
            </w:r>
            <w:r w:rsidR="00653DFF">
              <w:rPr>
                <w:rFonts w:ascii="Arial Narrow" w:hAnsi="Arial Narrow" w:cstheme="minorHAnsi"/>
                <w:color w:val="000000"/>
                <w:sz w:val="20"/>
                <w:szCs w:val="20"/>
                <w:vertAlign w:val="superscript"/>
              </w:rPr>
              <w:t>9</w:t>
            </w:r>
          </w:p>
        </w:tc>
        <w:tc>
          <w:tcPr>
            <w:tcW w:w="724" w:type="pct"/>
            <w:tcMar>
              <w:top w:w="0" w:type="dxa"/>
              <w:left w:w="28" w:type="dxa"/>
              <w:bottom w:w="0" w:type="dxa"/>
              <w:right w:w="28" w:type="dxa"/>
            </w:tcMar>
            <w:vAlign w:val="bottom"/>
          </w:tcPr>
          <w:p w:rsidR="00E50A44" w:rsidRPr="00AB6780" w:rsidRDefault="00AB6780" w:rsidP="00B315BD">
            <w:pPr>
              <w:keepNext/>
              <w:keepLines/>
              <w:ind w:left="113" w:right="113"/>
              <w:jc w:val="center"/>
              <w:rPr>
                <w:rFonts w:ascii="Arial Narrow" w:hAnsi="Arial Narrow" w:cstheme="minorHAnsi"/>
                <w:bCs/>
                <w:color w:val="000000"/>
                <w:sz w:val="20"/>
                <w:szCs w:val="20"/>
              </w:rPr>
            </w:pPr>
            <w:r>
              <w:rPr>
                <w:rFonts w:ascii="Arial Narrow" w:hAnsi="Arial Narrow"/>
                <w:bCs/>
                <w:noProof/>
                <w:color w:val="000000"/>
                <w:sz w:val="20"/>
                <w:szCs w:val="20"/>
                <w:highlight w:val="black"/>
              </w:rPr>
              <w:t>''''''''''''''''''''''''</w:t>
            </w:r>
            <w:r w:rsidR="00653DFF">
              <w:rPr>
                <w:rFonts w:ascii="Arial Narrow" w:hAnsi="Arial Narrow" w:cstheme="minorHAnsi"/>
                <w:color w:val="000000"/>
                <w:sz w:val="20"/>
                <w:szCs w:val="20"/>
                <w:vertAlign w:val="superscript"/>
              </w:rPr>
              <w:t>9</w:t>
            </w:r>
          </w:p>
        </w:tc>
        <w:bookmarkStart w:id="5" w:name="_GoBack"/>
        <w:bookmarkEnd w:id="5"/>
      </w:tr>
      <w:tr w:rsidR="00E50A44" w:rsidRPr="00FA739A" w:rsidTr="00980405">
        <w:trPr>
          <w:trHeight w:val="256"/>
        </w:trPr>
        <w:tc>
          <w:tcPr>
            <w:tcW w:w="685" w:type="pct"/>
            <w:tcMar>
              <w:top w:w="0" w:type="dxa"/>
              <w:left w:w="28" w:type="dxa"/>
              <w:bottom w:w="0" w:type="dxa"/>
              <w:right w:w="28" w:type="dxa"/>
            </w:tcMar>
            <w:vAlign w:val="center"/>
          </w:tcPr>
          <w:p w:rsidR="00E50A44" w:rsidRPr="009978AC" w:rsidRDefault="00E50A44" w:rsidP="00B315BD">
            <w:pPr>
              <w:keepNext/>
              <w:keepLines/>
              <w:jc w:val="left"/>
              <w:rPr>
                <w:rFonts w:ascii="Arial Narrow" w:hAnsi="Arial Narrow" w:cstheme="minorHAnsi"/>
                <w:bCs/>
                <w:sz w:val="20"/>
                <w:szCs w:val="20"/>
              </w:rPr>
            </w:pPr>
            <w:r w:rsidRPr="009978AC">
              <w:rPr>
                <w:rFonts w:ascii="Arial Narrow" w:hAnsi="Arial Narrow" w:cstheme="minorHAnsi"/>
                <w:bCs/>
                <w:sz w:val="20"/>
                <w:szCs w:val="20"/>
              </w:rPr>
              <w:t>Overall cost offsets</w:t>
            </w:r>
          </w:p>
        </w:tc>
        <w:tc>
          <w:tcPr>
            <w:tcW w:w="707" w:type="pct"/>
            <w:tcMar>
              <w:top w:w="0" w:type="dxa"/>
              <w:left w:w="28" w:type="dxa"/>
              <w:bottom w:w="0" w:type="dxa"/>
              <w:right w:w="28" w:type="dxa"/>
            </w:tcMar>
            <w:vAlign w:val="bottom"/>
          </w:tcPr>
          <w:p w:rsidR="00E50A44" w:rsidRPr="00AB6780" w:rsidRDefault="00AB6780" w:rsidP="00B315BD">
            <w:pPr>
              <w:keepNext/>
              <w:keepLines/>
              <w:ind w:left="113" w:right="113"/>
              <w:jc w:val="center"/>
              <w:rPr>
                <w:rFonts w:ascii="Arial Narrow" w:hAnsi="Arial Narrow"/>
                <w:bCs/>
                <w:color w:val="000000"/>
                <w:sz w:val="20"/>
                <w:szCs w:val="20"/>
              </w:rPr>
            </w:pPr>
            <w:r>
              <w:rPr>
                <w:rFonts w:ascii="Arial Narrow" w:hAnsi="Arial Narrow"/>
                <w:bCs/>
                <w:noProof/>
                <w:color w:val="000000"/>
                <w:sz w:val="20"/>
                <w:szCs w:val="20"/>
                <w:highlight w:val="black"/>
              </w:rPr>
              <w:t>'''''''''''''''''''''''</w:t>
            </w:r>
            <w:r w:rsidR="00653DFF">
              <w:rPr>
                <w:rFonts w:ascii="Arial Narrow" w:hAnsi="Arial Narrow" w:cstheme="minorHAnsi"/>
                <w:color w:val="000000"/>
                <w:sz w:val="20"/>
                <w:szCs w:val="20"/>
                <w:vertAlign w:val="superscript"/>
              </w:rPr>
              <w:t>9</w:t>
            </w:r>
          </w:p>
        </w:tc>
        <w:tc>
          <w:tcPr>
            <w:tcW w:w="727" w:type="pct"/>
            <w:tcMar>
              <w:top w:w="0" w:type="dxa"/>
              <w:left w:w="28" w:type="dxa"/>
              <w:bottom w:w="0" w:type="dxa"/>
              <w:right w:w="28" w:type="dxa"/>
            </w:tcMar>
            <w:vAlign w:val="bottom"/>
          </w:tcPr>
          <w:p w:rsidR="00E50A44" w:rsidRPr="00AB6780" w:rsidRDefault="00AB6780" w:rsidP="00B315BD">
            <w:pPr>
              <w:keepNext/>
              <w:keepLines/>
              <w:ind w:left="113" w:right="113"/>
              <w:jc w:val="center"/>
              <w:rPr>
                <w:rFonts w:ascii="Arial Narrow" w:hAnsi="Arial Narrow"/>
                <w:bCs/>
                <w:color w:val="000000"/>
                <w:sz w:val="20"/>
                <w:szCs w:val="20"/>
              </w:rPr>
            </w:pPr>
            <w:r>
              <w:rPr>
                <w:rFonts w:ascii="Arial Narrow" w:hAnsi="Arial Narrow"/>
                <w:bCs/>
                <w:noProof/>
                <w:color w:val="000000"/>
                <w:sz w:val="20"/>
                <w:szCs w:val="20"/>
                <w:highlight w:val="black"/>
              </w:rPr>
              <w:t>''''''''''''''''''''''''''''</w:t>
            </w:r>
            <w:r w:rsidR="0028241D">
              <w:rPr>
                <w:rFonts w:ascii="Arial Narrow" w:hAnsi="Arial Narrow" w:cstheme="minorHAnsi"/>
                <w:color w:val="000000"/>
                <w:sz w:val="20"/>
                <w:szCs w:val="20"/>
                <w:vertAlign w:val="superscript"/>
              </w:rPr>
              <w:t>6</w:t>
            </w:r>
          </w:p>
        </w:tc>
        <w:tc>
          <w:tcPr>
            <w:tcW w:w="724" w:type="pct"/>
            <w:tcMar>
              <w:top w:w="0" w:type="dxa"/>
              <w:left w:w="28" w:type="dxa"/>
              <w:bottom w:w="0" w:type="dxa"/>
              <w:right w:w="28" w:type="dxa"/>
            </w:tcMar>
            <w:vAlign w:val="bottom"/>
          </w:tcPr>
          <w:p w:rsidR="00E50A44" w:rsidRPr="00AB6780" w:rsidRDefault="00AB6780" w:rsidP="00B315BD">
            <w:pPr>
              <w:keepNext/>
              <w:keepLines/>
              <w:ind w:left="113" w:right="113"/>
              <w:jc w:val="center"/>
              <w:rPr>
                <w:rFonts w:ascii="Arial Narrow" w:hAnsi="Arial Narrow"/>
                <w:bCs/>
                <w:color w:val="000000"/>
                <w:sz w:val="20"/>
                <w:szCs w:val="20"/>
              </w:rPr>
            </w:pPr>
            <w:r>
              <w:rPr>
                <w:rFonts w:ascii="Arial Narrow" w:hAnsi="Arial Narrow"/>
                <w:bCs/>
                <w:noProof/>
                <w:color w:val="000000"/>
                <w:sz w:val="20"/>
                <w:szCs w:val="20"/>
                <w:highlight w:val="black"/>
              </w:rPr>
              <w:t>'''''''''''''''''''''''''''''</w:t>
            </w:r>
            <w:r w:rsidR="0028241D">
              <w:rPr>
                <w:rFonts w:ascii="Arial Narrow" w:hAnsi="Arial Narrow" w:cstheme="minorHAnsi"/>
                <w:color w:val="000000"/>
                <w:sz w:val="20"/>
                <w:szCs w:val="20"/>
                <w:vertAlign w:val="superscript"/>
              </w:rPr>
              <w:t>7</w:t>
            </w:r>
          </w:p>
        </w:tc>
        <w:tc>
          <w:tcPr>
            <w:tcW w:w="726" w:type="pct"/>
            <w:tcMar>
              <w:top w:w="0" w:type="dxa"/>
              <w:left w:w="28" w:type="dxa"/>
              <w:bottom w:w="0" w:type="dxa"/>
              <w:right w:w="28" w:type="dxa"/>
            </w:tcMar>
            <w:vAlign w:val="bottom"/>
          </w:tcPr>
          <w:p w:rsidR="00E50A44" w:rsidRPr="00AB6780" w:rsidRDefault="00AB6780" w:rsidP="00B315BD">
            <w:pPr>
              <w:keepNext/>
              <w:keepLines/>
              <w:ind w:left="113" w:right="113"/>
              <w:jc w:val="center"/>
              <w:rPr>
                <w:rFonts w:ascii="Arial Narrow" w:hAnsi="Arial Narrow"/>
                <w:bCs/>
                <w:color w:val="000000"/>
                <w:sz w:val="20"/>
                <w:szCs w:val="20"/>
              </w:rPr>
            </w:pPr>
            <w:r>
              <w:rPr>
                <w:rFonts w:ascii="Arial Narrow" w:hAnsi="Arial Narrow"/>
                <w:bCs/>
                <w:noProof/>
                <w:color w:val="000000"/>
                <w:sz w:val="20"/>
                <w:szCs w:val="20"/>
                <w:highlight w:val="black"/>
              </w:rPr>
              <w:t>'''''''''''''''''''''''''''''</w:t>
            </w:r>
            <w:r w:rsidR="0028241D">
              <w:rPr>
                <w:rFonts w:ascii="Arial Narrow" w:hAnsi="Arial Narrow" w:cstheme="minorHAnsi"/>
                <w:color w:val="000000"/>
                <w:sz w:val="20"/>
                <w:szCs w:val="20"/>
                <w:vertAlign w:val="superscript"/>
              </w:rPr>
              <w:t>7</w:t>
            </w:r>
          </w:p>
        </w:tc>
        <w:tc>
          <w:tcPr>
            <w:tcW w:w="707" w:type="pct"/>
            <w:tcMar>
              <w:top w:w="0" w:type="dxa"/>
              <w:left w:w="28" w:type="dxa"/>
              <w:bottom w:w="0" w:type="dxa"/>
              <w:right w:w="28" w:type="dxa"/>
            </w:tcMar>
            <w:vAlign w:val="bottom"/>
          </w:tcPr>
          <w:p w:rsidR="00E50A44" w:rsidRPr="00AB6780" w:rsidRDefault="00AB6780" w:rsidP="00B315BD">
            <w:pPr>
              <w:keepNext/>
              <w:keepLines/>
              <w:ind w:left="113" w:right="113"/>
              <w:jc w:val="center"/>
              <w:rPr>
                <w:rFonts w:ascii="Arial Narrow" w:hAnsi="Arial Narrow"/>
                <w:bCs/>
                <w:color w:val="000000"/>
                <w:sz w:val="20"/>
                <w:szCs w:val="20"/>
              </w:rPr>
            </w:pPr>
            <w:r>
              <w:rPr>
                <w:rFonts w:ascii="Arial Narrow" w:hAnsi="Arial Narrow"/>
                <w:bCs/>
                <w:noProof/>
                <w:color w:val="000000"/>
                <w:sz w:val="20"/>
                <w:szCs w:val="20"/>
                <w:highlight w:val="black"/>
              </w:rPr>
              <w:t>''''''''''''''''''''''''''''''</w:t>
            </w:r>
            <w:r w:rsidR="0028241D">
              <w:rPr>
                <w:rFonts w:ascii="Arial Narrow" w:hAnsi="Arial Narrow" w:cstheme="minorHAnsi"/>
                <w:color w:val="000000"/>
                <w:sz w:val="20"/>
                <w:szCs w:val="20"/>
                <w:vertAlign w:val="superscript"/>
              </w:rPr>
              <w:t>8</w:t>
            </w:r>
          </w:p>
        </w:tc>
        <w:tc>
          <w:tcPr>
            <w:tcW w:w="724" w:type="pct"/>
            <w:tcMar>
              <w:top w:w="0" w:type="dxa"/>
              <w:left w:w="28" w:type="dxa"/>
              <w:bottom w:w="0" w:type="dxa"/>
              <w:right w:w="28" w:type="dxa"/>
            </w:tcMar>
            <w:vAlign w:val="bottom"/>
          </w:tcPr>
          <w:p w:rsidR="00E50A44" w:rsidRPr="00AB6780" w:rsidRDefault="00AB6780" w:rsidP="00B315BD">
            <w:pPr>
              <w:keepNext/>
              <w:keepLines/>
              <w:ind w:left="113" w:right="113"/>
              <w:jc w:val="center"/>
              <w:rPr>
                <w:rFonts w:ascii="Arial Narrow" w:hAnsi="Arial Narrow"/>
                <w:bCs/>
                <w:color w:val="000000"/>
                <w:sz w:val="20"/>
                <w:szCs w:val="20"/>
              </w:rPr>
            </w:pPr>
            <w:r>
              <w:rPr>
                <w:rFonts w:ascii="Arial Narrow" w:hAnsi="Arial Narrow"/>
                <w:bCs/>
                <w:noProof/>
                <w:color w:val="000000"/>
                <w:sz w:val="20"/>
                <w:szCs w:val="20"/>
                <w:highlight w:val="black"/>
              </w:rPr>
              <w:t>''''''''''''''''''''''''''''''''</w:t>
            </w:r>
            <w:r w:rsidR="0028241D">
              <w:rPr>
                <w:rFonts w:ascii="Arial Narrow" w:hAnsi="Arial Narrow" w:cstheme="minorHAnsi"/>
                <w:color w:val="000000"/>
                <w:sz w:val="20"/>
                <w:szCs w:val="20"/>
                <w:vertAlign w:val="superscript"/>
              </w:rPr>
              <w:t>8</w:t>
            </w:r>
          </w:p>
        </w:tc>
      </w:tr>
      <w:tr w:rsidR="00E50A44" w:rsidRPr="00FA739A" w:rsidTr="00980405">
        <w:trPr>
          <w:trHeight w:val="256"/>
        </w:trPr>
        <w:tc>
          <w:tcPr>
            <w:tcW w:w="685" w:type="pct"/>
            <w:tcBorders>
              <w:bottom w:val="single" w:sz="4" w:space="0" w:color="auto"/>
            </w:tcBorders>
            <w:tcMar>
              <w:top w:w="0" w:type="dxa"/>
              <w:left w:w="28" w:type="dxa"/>
              <w:bottom w:w="0" w:type="dxa"/>
              <w:right w:w="28" w:type="dxa"/>
            </w:tcMar>
            <w:vAlign w:val="center"/>
          </w:tcPr>
          <w:p w:rsidR="00E50A44" w:rsidRPr="009978AC" w:rsidRDefault="00045F61" w:rsidP="00B315BD">
            <w:pPr>
              <w:keepNext/>
              <w:keepLines/>
              <w:jc w:val="left"/>
              <w:rPr>
                <w:rFonts w:ascii="Arial Narrow" w:hAnsi="Arial Narrow" w:cstheme="minorHAnsi"/>
                <w:b/>
                <w:bCs/>
                <w:sz w:val="20"/>
                <w:szCs w:val="20"/>
              </w:rPr>
            </w:pPr>
            <w:r w:rsidRPr="009978AC">
              <w:rPr>
                <w:rFonts w:ascii="Arial Narrow" w:hAnsi="Arial Narrow" w:cstheme="minorHAnsi"/>
                <w:b/>
                <w:bCs/>
                <w:sz w:val="20"/>
                <w:szCs w:val="20"/>
              </w:rPr>
              <w:t>Total net cost to PBS/RPBS</w:t>
            </w:r>
          </w:p>
        </w:tc>
        <w:tc>
          <w:tcPr>
            <w:tcW w:w="707" w:type="pct"/>
            <w:tcBorders>
              <w:bottom w:val="single" w:sz="4" w:space="0" w:color="auto"/>
            </w:tcBorders>
            <w:tcMar>
              <w:top w:w="0" w:type="dxa"/>
              <w:left w:w="28" w:type="dxa"/>
              <w:bottom w:w="0" w:type="dxa"/>
              <w:right w:w="28" w:type="dxa"/>
            </w:tcMar>
            <w:vAlign w:val="center"/>
          </w:tcPr>
          <w:p w:rsidR="00E50A44" w:rsidRPr="00AB6780" w:rsidRDefault="00AB6780" w:rsidP="00B315BD">
            <w:pPr>
              <w:keepNext/>
              <w:keepLines/>
              <w:ind w:left="113" w:right="113"/>
              <w:jc w:val="center"/>
              <w:rPr>
                <w:rFonts w:ascii="Arial Narrow" w:hAnsi="Arial Narrow" w:cstheme="minorHAnsi"/>
                <w:b/>
                <w:bCs/>
                <w:color w:val="000000"/>
                <w:sz w:val="20"/>
                <w:szCs w:val="20"/>
              </w:rPr>
            </w:pPr>
            <w:r>
              <w:rPr>
                <w:rFonts w:ascii="Arial Narrow" w:hAnsi="Arial Narrow" w:cstheme="minorHAnsi"/>
                <w:b/>
                <w:bCs/>
                <w:noProof/>
                <w:color w:val="000000"/>
                <w:sz w:val="20"/>
                <w:szCs w:val="20"/>
                <w:highlight w:val="black"/>
              </w:rPr>
              <w:t>'''''''''''''''''''''''''</w:t>
            </w:r>
            <w:r w:rsidR="0028241D">
              <w:rPr>
                <w:rFonts w:ascii="Arial Narrow" w:hAnsi="Arial Narrow" w:cstheme="minorHAnsi"/>
                <w:color w:val="000000"/>
                <w:sz w:val="20"/>
                <w:szCs w:val="20"/>
                <w:vertAlign w:val="superscript"/>
              </w:rPr>
              <w:t>6</w:t>
            </w:r>
          </w:p>
        </w:tc>
        <w:tc>
          <w:tcPr>
            <w:tcW w:w="727" w:type="pct"/>
            <w:tcBorders>
              <w:bottom w:val="single" w:sz="4" w:space="0" w:color="auto"/>
            </w:tcBorders>
            <w:tcMar>
              <w:top w:w="0" w:type="dxa"/>
              <w:left w:w="28" w:type="dxa"/>
              <w:bottom w:w="0" w:type="dxa"/>
              <w:right w:w="28" w:type="dxa"/>
            </w:tcMar>
            <w:vAlign w:val="center"/>
          </w:tcPr>
          <w:p w:rsidR="00E50A44" w:rsidRPr="00AB6780" w:rsidRDefault="00AB6780" w:rsidP="00B315BD">
            <w:pPr>
              <w:keepNext/>
              <w:keepLines/>
              <w:ind w:left="113" w:right="113"/>
              <w:jc w:val="center"/>
              <w:rPr>
                <w:rFonts w:ascii="Arial Narrow" w:hAnsi="Arial Narrow" w:cstheme="minorHAnsi"/>
                <w:b/>
                <w:bCs/>
                <w:color w:val="000000"/>
                <w:sz w:val="20"/>
                <w:szCs w:val="20"/>
              </w:rPr>
            </w:pPr>
            <w:r>
              <w:rPr>
                <w:rFonts w:ascii="Arial Narrow" w:hAnsi="Arial Narrow" w:cstheme="minorHAnsi"/>
                <w:b/>
                <w:bCs/>
                <w:noProof/>
                <w:color w:val="000000"/>
                <w:sz w:val="20"/>
                <w:szCs w:val="20"/>
                <w:highlight w:val="black"/>
              </w:rPr>
              <w:t>''''''''''''''''''''''''''</w:t>
            </w:r>
            <w:r w:rsidR="0028241D">
              <w:rPr>
                <w:rFonts w:ascii="Arial Narrow" w:hAnsi="Arial Narrow" w:cstheme="minorHAnsi"/>
                <w:color w:val="000000"/>
                <w:sz w:val="20"/>
                <w:szCs w:val="20"/>
                <w:vertAlign w:val="superscript"/>
              </w:rPr>
              <w:t>6</w:t>
            </w:r>
          </w:p>
        </w:tc>
        <w:tc>
          <w:tcPr>
            <w:tcW w:w="724" w:type="pct"/>
            <w:tcBorders>
              <w:bottom w:val="single" w:sz="4" w:space="0" w:color="auto"/>
            </w:tcBorders>
            <w:tcMar>
              <w:top w:w="0" w:type="dxa"/>
              <w:left w:w="28" w:type="dxa"/>
              <w:bottom w:w="0" w:type="dxa"/>
              <w:right w:w="28" w:type="dxa"/>
            </w:tcMar>
            <w:vAlign w:val="center"/>
          </w:tcPr>
          <w:p w:rsidR="00E50A44" w:rsidRPr="00AB6780" w:rsidRDefault="00AB6780" w:rsidP="00B315BD">
            <w:pPr>
              <w:keepNext/>
              <w:keepLines/>
              <w:ind w:left="113" w:right="113"/>
              <w:jc w:val="center"/>
              <w:rPr>
                <w:rFonts w:ascii="Arial Narrow" w:hAnsi="Arial Narrow" w:cstheme="minorHAnsi"/>
                <w:b/>
                <w:bCs/>
                <w:color w:val="000000"/>
                <w:sz w:val="20"/>
                <w:szCs w:val="20"/>
              </w:rPr>
            </w:pPr>
            <w:r>
              <w:rPr>
                <w:rFonts w:ascii="Arial Narrow" w:hAnsi="Arial Narrow" w:cstheme="minorHAnsi"/>
                <w:b/>
                <w:bCs/>
                <w:noProof/>
                <w:color w:val="000000"/>
                <w:sz w:val="20"/>
                <w:szCs w:val="20"/>
                <w:highlight w:val="black"/>
              </w:rPr>
              <w:t>''''''''''''''''''''''</w:t>
            </w:r>
            <w:r w:rsidR="0028241D">
              <w:rPr>
                <w:rFonts w:ascii="Arial Narrow" w:hAnsi="Arial Narrow" w:cstheme="minorHAnsi"/>
                <w:color w:val="000000"/>
                <w:sz w:val="20"/>
                <w:szCs w:val="20"/>
                <w:vertAlign w:val="superscript"/>
              </w:rPr>
              <w:t>6</w:t>
            </w:r>
          </w:p>
        </w:tc>
        <w:tc>
          <w:tcPr>
            <w:tcW w:w="726" w:type="pct"/>
            <w:tcBorders>
              <w:bottom w:val="single" w:sz="4" w:space="0" w:color="auto"/>
            </w:tcBorders>
            <w:tcMar>
              <w:top w:w="0" w:type="dxa"/>
              <w:left w:w="28" w:type="dxa"/>
              <w:bottom w:w="0" w:type="dxa"/>
              <w:right w:w="28" w:type="dxa"/>
            </w:tcMar>
            <w:vAlign w:val="center"/>
          </w:tcPr>
          <w:p w:rsidR="00E50A44" w:rsidRPr="00AB6780" w:rsidRDefault="00AB6780" w:rsidP="00B315BD">
            <w:pPr>
              <w:keepNext/>
              <w:keepLines/>
              <w:ind w:left="113" w:right="113"/>
              <w:jc w:val="center"/>
              <w:rPr>
                <w:rFonts w:ascii="Arial Narrow" w:hAnsi="Arial Narrow" w:cstheme="minorHAnsi"/>
                <w:b/>
                <w:bCs/>
                <w:color w:val="000000"/>
                <w:sz w:val="20"/>
                <w:szCs w:val="20"/>
              </w:rPr>
            </w:pPr>
            <w:r>
              <w:rPr>
                <w:rFonts w:ascii="Arial Narrow" w:hAnsi="Arial Narrow" w:cstheme="minorHAnsi"/>
                <w:b/>
                <w:bCs/>
                <w:noProof/>
                <w:color w:val="000000"/>
                <w:sz w:val="20"/>
                <w:szCs w:val="20"/>
                <w:highlight w:val="black"/>
              </w:rPr>
              <w:t>'''''''''''''''''''''''''</w:t>
            </w:r>
            <w:r w:rsidR="0028241D">
              <w:rPr>
                <w:rFonts w:ascii="Arial Narrow" w:hAnsi="Arial Narrow" w:cstheme="minorHAnsi"/>
                <w:color w:val="000000"/>
                <w:sz w:val="20"/>
                <w:szCs w:val="20"/>
                <w:vertAlign w:val="superscript"/>
              </w:rPr>
              <w:t>6</w:t>
            </w:r>
          </w:p>
        </w:tc>
        <w:tc>
          <w:tcPr>
            <w:tcW w:w="707" w:type="pct"/>
            <w:tcBorders>
              <w:bottom w:val="single" w:sz="4" w:space="0" w:color="auto"/>
            </w:tcBorders>
            <w:tcMar>
              <w:top w:w="0" w:type="dxa"/>
              <w:left w:w="28" w:type="dxa"/>
              <w:bottom w:w="0" w:type="dxa"/>
              <w:right w:w="28" w:type="dxa"/>
            </w:tcMar>
            <w:vAlign w:val="center"/>
          </w:tcPr>
          <w:p w:rsidR="00E50A44" w:rsidRPr="00AB6780" w:rsidRDefault="00AB6780" w:rsidP="00B315BD">
            <w:pPr>
              <w:keepNext/>
              <w:keepLines/>
              <w:ind w:left="113" w:right="113"/>
              <w:jc w:val="center"/>
              <w:rPr>
                <w:rFonts w:ascii="Arial Narrow" w:hAnsi="Arial Narrow" w:cstheme="minorHAnsi"/>
                <w:b/>
                <w:bCs/>
                <w:color w:val="000000"/>
                <w:sz w:val="20"/>
                <w:szCs w:val="20"/>
              </w:rPr>
            </w:pPr>
            <w:r>
              <w:rPr>
                <w:rFonts w:ascii="Arial Narrow" w:hAnsi="Arial Narrow" w:cstheme="minorHAnsi"/>
                <w:b/>
                <w:bCs/>
                <w:noProof/>
                <w:color w:val="000000"/>
                <w:sz w:val="20"/>
                <w:szCs w:val="20"/>
                <w:highlight w:val="black"/>
              </w:rPr>
              <w:t>'''''''''''''''''''''''''</w:t>
            </w:r>
            <w:r w:rsidR="0028241D">
              <w:rPr>
                <w:rFonts w:ascii="Arial Narrow" w:hAnsi="Arial Narrow" w:cstheme="minorHAnsi"/>
                <w:color w:val="000000"/>
                <w:sz w:val="20"/>
                <w:szCs w:val="20"/>
                <w:vertAlign w:val="superscript"/>
              </w:rPr>
              <w:t>6</w:t>
            </w:r>
          </w:p>
        </w:tc>
        <w:tc>
          <w:tcPr>
            <w:tcW w:w="724" w:type="pct"/>
            <w:tcBorders>
              <w:bottom w:val="single" w:sz="4" w:space="0" w:color="auto"/>
            </w:tcBorders>
            <w:tcMar>
              <w:top w:w="0" w:type="dxa"/>
              <w:left w:w="28" w:type="dxa"/>
              <w:bottom w:w="0" w:type="dxa"/>
              <w:right w:w="28" w:type="dxa"/>
            </w:tcMar>
            <w:vAlign w:val="center"/>
          </w:tcPr>
          <w:p w:rsidR="00E50A44" w:rsidRPr="00AB6780" w:rsidRDefault="00AB6780" w:rsidP="00B315BD">
            <w:pPr>
              <w:keepNext/>
              <w:keepLines/>
              <w:ind w:left="113" w:right="113"/>
              <w:jc w:val="center"/>
              <w:rPr>
                <w:rFonts w:ascii="Arial Narrow" w:hAnsi="Arial Narrow" w:cstheme="minorHAnsi"/>
                <w:b/>
                <w:bCs/>
                <w:color w:val="000000"/>
                <w:sz w:val="20"/>
                <w:szCs w:val="20"/>
              </w:rPr>
            </w:pPr>
            <w:r>
              <w:rPr>
                <w:rFonts w:ascii="Arial Narrow" w:hAnsi="Arial Narrow" w:cstheme="minorHAnsi"/>
                <w:b/>
                <w:bCs/>
                <w:noProof/>
                <w:color w:val="000000"/>
                <w:sz w:val="20"/>
                <w:szCs w:val="20"/>
                <w:highlight w:val="black"/>
              </w:rPr>
              <w:t>'''''''''''''''''''''''</w:t>
            </w:r>
            <w:r w:rsidR="0028241D">
              <w:rPr>
                <w:rFonts w:ascii="Arial Narrow" w:hAnsi="Arial Narrow" w:cstheme="minorHAnsi"/>
                <w:color w:val="000000"/>
                <w:sz w:val="20"/>
                <w:szCs w:val="20"/>
                <w:vertAlign w:val="superscript"/>
              </w:rPr>
              <w:t>6</w:t>
            </w:r>
          </w:p>
        </w:tc>
      </w:tr>
      <w:tr w:rsidR="00425CE9" w:rsidRPr="00FA739A" w:rsidTr="00980405">
        <w:trPr>
          <w:trHeight w:val="256"/>
        </w:trPr>
        <w:tc>
          <w:tcPr>
            <w:tcW w:w="685" w:type="pct"/>
            <w:tcBorders>
              <w:bottom w:val="single" w:sz="4" w:space="0" w:color="auto"/>
            </w:tcBorders>
            <w:shd w:val="clear" w:color="auto" w:fill="BFBFBF" w:themeFill="background1" w:themeFillShade="BF"/>
            <w:tcMar>
              <w:top w:w="0" w:type="dxa"/>
              <w:left w:w="28" w:type="dxa"/>
              <w:bottom w:w="0" w:type="dxa"/>
              <w:right w:w="28" w:type="dxa"/>
            </w:tcMar>
            <w:vAlign w:val="center"/>
          </w:tcPr>
          <w:p w:rsidR="00425CE9" w:rsidRPr="009978AC" w:rsidRDefault="00425CE9" w:rsidP="00425CE9">
            <w:pPr>
              <w:keepNext/>
              <w:keepLines/>
              <w:jc w:val="left"/>
              <w:rPr>
                <w:rFonts w:ascii="Arial Narrow" w:hAnsi="Arial Narrow" w:cstheme="minorHAnsi"/>
                <w:b/>
                <w:bCs/>
                <w:sz w:val="20"/>
                <w:szCs w:val="20"/>
              </w:rPr>
            </w:pPr>
            <w:r w:rsidRPr="009978AC">
              <w:rPr>
                <w:rFonts w:ascii="Arial Narrow" w:hAnsi="Arial Narrow" w:cstheme="minorHAnsi"/>
                <w:b/>
                <w:bCs/>
                <w:sz w:val="20"/>
                <w:szCs w:val="20"/>
              </w:rPr>
              <w:t>PBAC revised total net cost to PBS/RPBS</w:t>
            </w:r>
          </w:p>
        </w:tc>
        <w:tc>
          <w:tcPr>
            <w:tcW w:w="707" w:type="pct"/>
            <w:tcBorders>
              <w:bottom w:val="single" w:sz="4" w:space="0" w:color="auto"/>
            </w:tcBorders>
            <w:shd w:val="clear" w:color="auto" w:fill="BFBFBF" w:themeFill="background1" w:themeFillShade="BF"/>
            <w:tcMar>
              <w:top w:w="0" w:type="dxa"/>
              <w:left w:w="28" w:type="dxa"/>
              <w:bottom w:w="0" w:type="dxa"/>
              <w:right w:w="28" w:type="dxa"/>
            </w:tcMar>
            <w:vAlign w:val="center"/>
          </w:tcPr>
          <w:p w:rsidR="00425CE9" w:rsidRPr="00FA739A" w:rsidRDefault="00425CE9">
            <w:pPr>
              <w:keepNext/>
              <w:keepLines/>
              <w:ind w:left="113" w:right="113"/>
              <w:jc w:val="center"/>
              <w:rPr>
                <w:rFonts w:ascii="Arial Narrow" w:hAnsi="Arial Narrow" w:cstheme="minorHAnsi"/>
                <w:b/>
                <w:bCs/>
                <w:color w:val="000000"/>
                <w:sz w:val="20"/>
                <w:szCs w:val="20"/>
              </w:rPr>
            </w:pPr>
            <w:r w:rsidRPr="00FA739A">
              <w:rPr>
                <w:rFonts w:ascii="Arial Narrow" w:hAnsi="Arial Narrow" w:cs="Calibri"/>
                <w:b/>
                <w:bCs/>
                <w:color w:val="000000"/>
                <w:sz w:val="20"/>
                <w:szCs w:val="20"/>
              </w:rPr>
              <w:t>$</w:t>
            </w:r>
            <w:r w:rsidR="00AB6780">
              <w:rPr>
                <w:rFonts w:ascii="Arial Narrow" w:hAnsi="Arial Narrow" w:cs="Calibri"/>
                <w:b/>
                <w:bCs/>
                <w:noProof/>
                <w:color w:val="000000"/>
                <w:sz w:val="20"/>
                <w:szCs w:val="20"/>
                <w:highlight w:val="black"/>
              </w:rPr>
              <w:t>'''''''''''''''''''''</w:t>
            </w:r>
            <w:r w:rsidR="00AB6780">
              <w:rPr>
                <w:rFonts w:ascii="Arial Narrow" w:hAnsi="Arial Narrow" w:cstheme="minorHAnsi"/>
                <w:noProof/>
                <w:color w:val="000000"/>
                <w:sz w:val="20"/>
                <w:szCs w:val="20"/>
                <w:highlight w:val="black"/>
                <w:vertAlign w:val="superscript"/>
              </w:rPr>
              <w:t>''''</w:t>
            </w:r>
          </w:p>
        </w:tc>
        <w:tc>
          <w:tcPr>
            <w:tcW w:w="727" w:type="pct"/>
            <w:tcBorders>
              <w:bottom w:val="single" w:sz="4" w:space="0" w:color="auto"/>
            </w:tcBorders>
            <w:shd w:val="clear" w:color="auto" w:fill="BFBFBF" w:themeFill="background1" w:themeFillShade="BF"/>
            <w:tcMar>
              <w:top w:w="0" w:type="dxa"/>
              <w:left w:w="28" w:type="dxa"/>
              <w:bottom w:w="0" w:type="dxa"/>
              <w:right w:w="28" w:type="dxa"/>
            </w:tcMar>
            <w:vAlign w:val="center"/>
          </w:tcPr>
          <w:p w:rsidR="00425CE9" w:rsidRPr="00FA739A" w:rsidRDefault="00425CE9">
            <w:pPr>
              <w:keepNext/>
              <w:keepLines/>
              <w:ind w:left="113" w:right="113"/>
              <w:jc w:val="center"/>
              <w:rPr>
                <w:rFonts w:ascii="Arial Narrow" w:hAnsi="Arial Narrow" w:cstheme="minorHAnsi"/>
                <w:b/>
                <w:bCs/>
                <w:color w:val="000000"/>
                <w:sz w:val="20"/>
                <w:szCs w:val="20"/>
              </w:rPr>
            </w:pPr>
            <w:r w:rsidRPr="00FA739A">
              <w:rPr>
                <w:rFonts w:ascii="Arial Narrow" w:hAnsi="Arial Narrow" w:cs="Calibri"/>
                <w:b/>
                <w:bCs/>
                <w:color w:val="000000"/>
                <w:sz w:val="20"/>
                <w:szCs w:val="20"/>
              </w:rPr>
              <w:t>$</w:t>
            </w:r>
            <w:r w:rsidR="00AB6780">
              <w:rPr>
                <w:rFonts w:ascii="Arial Narrow" w:hAnsi="Arial Narrow" w:cs="Calibri"/>
                <w:b/>
                <w:bCs/>
                <w:noProof/>
                <w:color w:val="000000"/>
                <w:sz w:val="20"/>
                <w:szCs w:val="20"/>
                <w:highlight w:val="black"/>
              </w:rPr>
              <w:t>'''''''''''''''''''''''</w:t>
            </w:r>
            <w:r w:rsidR="0028241D">
              <w:rPr>
                <w:rFonts w:ascii="Arial Narrow" w:hAnsi="Arial Narrow" w:cstheme="minorHAnsi"/>
                <w:color w:val="000000"/>
                <w:sz w:val="20"/>
                <w:szCs w:val="20"/>
                <w:vertAlign w:val="superscript"/>
              </w:rPr>
              <w:t>6</w:t>
            </w:r>
          </w:p>
        </w:tc>
        <w:tc>
          <w:tcPr>
            <w:tcW w:w="724" w:type="pct"/>
            <w:tcBorders>
              <w:bottom w:val="single" w:sz="4" w:space="0" w:color="auto"/>
            </w:tcBorders>
            <w:shd w:val="clear" w:color="auto" w:fill="BFBFBF" w:themeFill="background1" w:themeFillShade="BF"/>
            <w:tcMar>
              <w:top w:w="0" w:type="dxa"/>
              <w:left w:w="28" w:type="dxa"/>
              <w:bottom w:w="0" w:type="dxa"/>
              <w:right w:w="28" w:type="dxa"/>
            </w:tcMar>
            <w:vAlign w:val="center"/>
          </w:tcPr>
          <w:p w:rsidR="00425CE9" w:rsidRPr="00FA739A" w:rsidRDefault="00425CE9">
            <w:pPr>
              <w:keepNext/>
              <w:keepLines/>
              <w:ind w:left="113" w:right="113"/>
              <w:jc w:val="center"/>
              <w:rPr>
                <w:rFonts w:ascii="Arial Narrow" w:hAnsi="Arial Narrow" w:cstheme="minorHAnsi"/>
                <w:b/>
                <w:bCs/>
                <w:color w:val="000000"/>
                <w:sz w:val="20"/>
                <w:szCs w:val="20"/>
              </w:rPr>
            </w:pPr>
            <w:r w:rsidRPr="00FA739A">
              <w:rPr>
                <w:rFonts w:ascii="Arial Narrow" w:hAnsi="Arial Narrow" w:cs="Calibri"/>
                <w:b/>
                <w:bCs/>
                <w:color w:val="000000"/>
                <w:sz w:val="20"/>
                <w:szCs w:val="20"/>
              </w:rPr>
              <w:t>$</w:t>
            </w:r>
            <w:r w:rsidR="00AB6780">
              <w:rPr>
                <w:rFonts w:ascii="Arial Narrow" w:hAnsi="Arial Narrow" w:cs="Calibri"/>
                <w:b/>
                <w:bCs/>
                <w:noProof/>
                <w:color w:val="000000"/>
                <w:sz w:val="20"/>
                <w:szCs w:val="20"/>
                <w:highlight w:val="black"/>
              </w:rPr>
              <w:t>'''''''''''''''''''''</w:t>
            </w:r>
            <w:r w:rsidR="0028241D">
              <w:rPr>
                <w:rFonts w:ascii="Arial Narrow" w:hAnsi="Arial Narrow" w:cstheme="minorHAnsi"/>
                <w:color w:val="000000"/>
                <w:sz w:val="20"/>
                <w:szCs w:val="20"/>
                <w:vertAlign w:val="superscript"/>
              </w:rPr>
              <w:t>6</w:t>
            </w:r>
          </w:p>
        </w:tc>
        <w:tc>
          <w:tcPr>
            <w:tcW w:w="726" w:type="pct"/>
            <w:tcBorders>
              <w:bottom w:val="single" w:sz="4" w:space="0" w:color="auto"/>
            </w:tcBorders>
            <w:shd w:val="clear" w:color="auto" w:fill="BFBFBF" w:themeFill="background1" w:themeFillShade="BF"/>
            <w:tcMar>
              <w:top w:w="0" w:type="dxa"/>
              <w:left w:w="28" w:type="dxa"/>
              <w:bottom w:w="0" w:type="dxa"/>
              <w:right w:w="28" w:type="dxa"/>
            </w:tcMar>
            <w:vAlign w:val="center"/>
          </w:tcPr>
          <w:p w:rsidR="00425CE9" w:rsidRPr="00FA739A" w:rsidRDefault="00425CE9">
            <w:pPr>
              <w:keepNext/>
              <w:keepLines/>
              <w:ind w:left="113" w:right="113"/>
              <w:jc w:val="center"/>
              <w:rPr>
                <w:rFonts w:ascii="Arial Narrow" w:hAnsi="Arial Narrow" w:cstheme="minorHAnsi"/>
                <w:b/>
                <w:bCs/>
                <w:color w:val="000000"/>
                <w:sz w:val="20"/>
                <w:szCs w:val="20"/>
              </w:rPr>
            </w:pPr>
            <w:r w:rsidRPr="00FA739A">
              <w:rPr>
                <w:rFonts w:ascii="Arial Narrow" w:hAnsi="Arial Narrow" w:cs="Calibri"/>
                <w:b/>
                <w:bCs/>
                <w:color w:val="000000"/>
                <w:sz w:val="20"/>
                <w:szCs w:val="20"/>
              </w:rPr>
              <w:t>$</w:t>
            </w:r>
            <w:r w:rsidR="00AB6780">
              <w:rPr>
                <w:rFonts w:ascii="Arial Narrow" w:hAnsi="Arial Narrow" w:cs="Calibri"/>
                <w:b/>
                <w:bCs/>
                <w:noProof/>
                <w:color w:val="000000"/>
                <w:sz w:val="20"/>
                <w:szCs w:val="20"/>
                <w:highlight w:val="black"/>
              </w:rPr>
              <w:t>'''''''''''''''''''''''</w:t>
            </w:r>
            <w:r w:rsidR="00AB6780">
              <w:rPr>
                <w:rFonts w:ascii="Arial Narrow" w:hAnsi="Arial Narrow" w:cstheme="minorHAnsi"/>
                <w:noProof/>
                <w:color w:val="000000"/>
                <w:sz w:val="20"/>
                <w:szCs w:val="20"/>
                <w:highlight w:val="black"/>
                <w:vertAlign w:val="superscript"/>
              </w:rPr>
              <w:t>''''</w:t>
            </w:r>
          </w:p>
        </w:tc>
        <w:tc>
          <w:tcPr>
            <w:tcW w:w="707" w:type="pct"/>
            <w:tcBorders>
              <w:bottom w:val="single" w:sz="4" w:space="0" w:color="auto"/>
            </w:tcBorders>
            <w:shd w:val="clear" w:color="auto" w:fill="BFBFBF" w:themeFill="background1" w:themeFillShade="BF"/>
            <w:tcMar>
              <w:top w:w="0" w:type="dxa"/>
              <w:left w:w="28" w:type="dxa"/>
              <w:bottom w:w="0" w:type="dxa"/>
              <w:right w:w="28" w:type="dxa"/>
            </w:tcMar>
            <w:vAlign w:val="center"/>
          </w:tcPr>
          <w:p w:rsidR="00425CE9" w:rsidRPr="00FA739A" w:rsidRDefault="00425CE9">
            <w:pPr>
              <w:keepNext/>
              <w:keepLines/>
              <w:ind w:left="113" w:right="113"/>
              <w:jc w:val="center"/>
              <w:rPr>
                <w:rFonts w:ascii="Arial Narrow" w:hAnsi="Arial Narrow" w:cstheme="minorHAnsi"/>
                <w:b/>
                <w:bCs/>
                <w:color w:val="000000"/>
                <w:sz w:val="20"/>
                <w:szCs w:val="20"/>
              </w:rPr>
            </w:pPr>
            <w:r w:rsidRPr="00FA739A">
              <w:rPr>
                <w:rFonts w:ascii="Arial Narrow" w:hAnsi="Arial Narrow" w:cs="Calibri"/>
                <w:b/>
                <w:bCs/>
                <w:color w:val="000000"/>
                <w:sz w:val="20"/>
                <w:szCs w:val="20"/>
              </w:rPr>
              <w:t>$</w:t>
            </w:r>
            <w:r w:rsidR="00AB6780">
              <w:rPr>
                <w:rFonts w:ascii="Arial Narrow" w:hAnsi="Arial Narrow" w:cs="Calibri"/>
                <w:b/>
                <w:bCs/>
                <w:noProof/>
                <w:color w:val="000000"/>
                <w:sz w:val="20"/>
                <w:szCs w:val="20"/>
                <w:highlight w:val="black"/>
              </w:rPr>
              <w:t>''''''''''''''''''''''</w:t>
            </w:r>
            <w:r w:rsidR="0028241D">
              <w:rPr>
                <w:rFonts w:ascii="Arial Narrow" w:hAnsi="Arial Narrow" w:cstheme="minorHAnsi"/>
                <w:color w:val="000000"/>
                <w:sz w:val="20"/>
                <w:szCs w:val="20"/>
                <w:vertAlign w:val="superscript"/>
              </w:rPr>
              <w:t>6</w:t>
            </w:r>
          </w:p>
        </w:tc>
        <w:tc>
          <w:tcPr>
            <w:tcW w:w="724" w:type="pct"/>
            <w:tcBorders>
              <w:bottom w:val="single" w:sz="4" w:space="0" w:color="auto"/>
            </w:tcBorders>
            <w:shd w:val="clear" w:color="auto" w:fill="BFBFBF" w:themeFill="background1" w:themeFillShade="BF"/>
            <w:tcMar>
              <w:top w:w="0" w:type="dxa"/>
              <w:left w:w="28" w:type="dxa"/>
              <w:bottom w:w="0" w:type="dxa"/>
              <w:right w:w="28" w:type="dxa"/>
            </w:tcMar>
            <w:vAlign w:val="center"/>
          </w:tcPr>
          <w:p w:rsidR="00425CE9" w:rsidRPr="00FA739A" w:rsidRDefault="00425CE9">
            <w:pPr>
              <w:keepNext/>
              <w:keepLines/>
              <w:ind w:left="113" w:right="113"/>
              <w:jc w:val="center"/>
              <w:rPr>
                <w:rFonts w:ascii="Arial Narrow" w:hAnsi="Arial Narrow" w:cstheme="minorHAnsi"/>
                <w:b/>
                <w:bCs/>
                <w:color w:val="000000"/>
                <w:sz w:val="20"/>
                <w:szCs w:val="20"/>
              </w:rPr>
            </w:pPr>
            <w:r w:rsidRPr="00FA739A">
              <w:rPr>
                <w:rFonts w:ascii="Arial Narrow" w:hAnsi="Arial Narrow" w:cs="Calibri"/>
                <w:b/>
                <w:bCs/>
                <w:color w:val="000000"/>
                <w:sz w:val="20"/>
                <w:szCs w:val="20"/>
              </w:rPr>
              <w:t>$</w:t>
            </w:r>
            <w:r w:rsidR="00AB6780">
              <w:rPr>
                <w:rFonts w:ascii="Arial Narrow" w:hAnsi="Arial Narrow" w:cs="Calibri"/>
                <w:b/>
                <w:bCs/>
                <w:noProof/>
                <w:color w:val="000000"/>
                <w:sz w:val="20"/>
                <w:szCs w:val="20"/>
                <w:highlight w:val="black"/>
              </w:rPr>
              <w:t>''''''''''''''''''''''</w:t>
            </w:r>
            <w:r w:rsidR="0028241D">
              <w:rPr>
                <w:rFonts w:ascii="Arial Narrow" w:hAnsi="Arial Narrow" w:cstheme="minorHAnsi"/>
                <w:color w:val="000000"/>
                <w:sz w:val="20"/>
                <w:szCs w:val="20"/>
                <w:vertAlign w:val="superscript"/>
              </w:rPr>
              <w:t>6</w:t>
            </w:r>
          </w:p>
        </w:tc>
      </w:tr>
      <w:tr w:rsidR="0067456D" w:rsidRPr="00FA739A" w:rsidTr="00980405">
        <w:trPr>
          <w:trHeight w:val="256"/>
        </w:trPr>
        <w:tc>
          <w:tcPr>
            <w:tcW w:w="685"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67456D" w:rsidRPr="009978AC" w:rsidRDefault="0067456D" w:rsidP="0067456D">
            <w:pPr>
              <w:keepNext/>
              <w:keepLines/>
              <w:jc w:val="left"/>
              <w:rPr>
                <w:rFonts w:ascii="Arial Narrow" w:hAnsi="Arial Narrow" w:cstheme="minorHAnsi"/>
                <w:bCs/>
                <w:sz w:val="20"/>
                <w:szCs w:val="20"/>
              </w:rPr>
            </w:pPr>
            <w:r w:rsidRPr="009978AC">
              <w:rPr>
                <w:rFonts w:ascii="Arial Narrow" w:hAnsi="Arial Narrow" w:cstheme="minorHAnsi"/>
                <w:bCs/>
                <w:sz w:val="20"/>
                <w:szCs w:val="20"/>
              </w:rPr>
              <w:t>Cost to MBS</w:t>
            </w:r>
          </w:p>
        </w:tc>
        <w:tc>
          <w:tcPr>
            <w:tcW w:w="70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bottom"/>
          </w:tcPr>
          <w:p w:rsidR="0067456D" w:rsidRPr="00FA739A" w:rsidRDefault="0067456D" w:rsidP="00C101D3">
            <w:pPr>
              <w:keepNext/>
              <w:keepLines/>
              <w:ind w:left="113" w:right="113"/>
              <w:jc w:val="center"/>
              <w:rPr>
                <w:rFonts w:ascii="Arial Narrow" w:hAnsi="Arial Narrow" w:cstheme="minorHAnsi"/>
                <w:bCs/>
                <w:color w:val="000000"/>
                <w:sz w:val="20"/>
                <w:szCs w:val="20"/>
              </w:rPr>
            </w:pPr>
            <w:r w:rsidRPr="00FA739A">
              <w:rPr>
                <w:rFonts w:ascii="Arial Narrow" w:hAnsi="Arial Narrow" w:cs="Calibri"/>
                <w:bCs/>
                <w:color w:val="000000"/>
                <w:sz w:val="20"/>
                <w:szCs w:val="20"/>
              </w:rPr>
              <w:t>-$</w:t>
            </w:r>
            <w:r w:rsidR="00AB6780">
              <w:rPr>
                <w:rFonts w:ascii="Arial Narrow" w:hAnsi="Arial Narrow" w:cs="Calibri"/>
                <w:bCs/>
                <w:noProof/>
                <w:color w:val="000000"/>
                <w:sz w:val="20"/>
                <w:szCs w:val="20"/>
                <w:highlight w:val="black"/>
              </w:rPr>
              <w:t>''''''''''''''''</w:t>
            </w:r>
            <w:r w:rsidR="0028241D">
              <w:rPr>
                <w:rFonts w:ascii="Arial Narrow" w:hAnsi="Arial Narrow" w:cstheme="minorHAnsi"/>
                <w:color w:val="000000"/>
                <w:sz w:val="20"/>
                <w:szCs w:val="20"/>
                <w:vertAlign w:val="superscript"/>
              </w:rPr>
              <w:t>9</w:t>
            </w:r>
          </w:p>
        </w:tc>
        <w:tc>
          <w:tcPr>
            <w:tcW w:w="72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bottom"/>
          </w:tcPr>
          <w:p w:rsidR="0067456D" w:rsidRPr="00FA739A" w:rsidRDefault="0067456D" w:rsidP="0067456D">
            <w:pPr>
              <w:keepNext/>
              <w:keepLines/>
              <w:ind w:left="113" w:right="113"/>
              <w:jc w:val="center"/>
              <w:rPr>
                <w:rFonts w:ascii="Arial Narrow" w:hAnsi="Arial Narrow" w:cstheme="minorHAnsi"/>
                <w:bCs/>
                <w:color w:val="000000"/>
                <w:sz w:val="20"/>
                <w:szCs w:val="20"/>
              </w:rPr>
            </w:pPr>
            <w:r w:rsidRPr="00FA739A">
              <w:rPr>
                <w:rFonts w:ascii="Arial Narrow" w:hAnsi="Arial Narrow" w:cs="Calibri"/>
                <w:bCs/>
                <w:color w:val="000000"/>
                <w:sz w:val="20"/>
                <w:szCs w:val="20"/>
              </w:rPr>
              <w:t>-$</w:t>
            </w:r>
            <w:r w:rsidR="00AB6780">
              <w:rPr>
                <w:rFonts w:ascii="Arial Narrow" w:hAnsi="Arial Narrow" w:cs="Calibri"/>
                <w:bCs/>
                <w:noProof/>
                <w:color w:val="000000"/>
                <w:sz w:val="20"/>
                <w:szCs w:val="20"/>
                <w:highlight w:val="black"/>
              </w:rPr>
              <w:t>''''''''''''''''''</w:t>
            </w:r>
            <w:r w:rsidR="0028241D">
              <w:rPr>
                <w:rFonts w:ascii="Arial Narrow" w:hAnsi="Arial Narrow" w:cstheme="minorHAnsi"/>
                <w:color w:val="000000"/>
                <w:sz w:val="20"/>
                <w:szCs w:val="20"/>
                <w:vertAlign w:val="superscript"/>
              </w:rPr>
              <w:t>9</w:t>
            </w:r>
          </w:p>
        </w:tc>
        <w:tc>
          <w:tcPr>
            <w:tcW w:w="724"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bottom"/>
          </w:tcPr>
          <w:p w:rsidR="0067456D" w:rsidRPr="00FA739A" w:rsidRDefault="0067456D" w:rsidP="0067456D">
            <w:pPr>
              <w:keepNext/>
              <w:keepLines/>
              <w:ind w:left="113" w:right="113"/>
              <w:jc w:val="center"/>
              <w:rPr>
                <w:rFonts w:ascii="Arial Narrow" w:hAnsi="Arial Narrow" w:cstheme="minorHAnsi"/>
                <w:bCs/>
                <w:color w:val="000000"/>
                <w:sz w:val="20"/>
                <w:szCs w:val="20"/>
              </w:rPr>
            </w:pPr>
            <w:r w:rsidRPr="00FA739A">
              <w:rPr>
                <w:rFonts w:ascii="Arial Narrow" w:hAnsi="Arial Narrow" w:cs="Calibri"/>
                <w:bCs/>
                <w:color w:val="000000"/>
                <w:sz w:val="20"/>
                <w:szCs w:val="20"/>
              </w:rPr>
              <w:t>-$</w:t>
            </w:r>
            <w:r w:rsidR="00AB6780">
              <w:rPr>
                <w:rFonts w:ascii="Arial Narrow" w:hAnsi="Arial Narrow" w:cs="Calibri"/>
                <w:bCs/>
                <w:noProof/>
                <w:color w:val="000000"/>
                <w:sz w:val="20"/>
                <w:szCs w:val="20"/>
                <w:highlight w:val="black"/>
              </w:rPr>
              <w:t>'''''''''''''''''''''</w:t>
            </w:r>
            <w:r w:rsidR="0028241D">
              <w:rPr>
                <w:rFonts w:ascii="Arial Narrow" w:hAnsi="Arial Narrow" w:cstheme="minorHAnsi"/>
                <w:color w:val="000000"/>
                <w:sz w:val="20"/>
                <w:szCs w:val="20"/>
                <w:vertAlign w:val="superscript"/>
              </w:rPr>
              <w:t>9</w:t>
            </w:r>
          </w:p>
        </w:tc>
        <w:tc>
          <w:tcPr>
            <w:tcW w:w="726"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bottom"/>
          </w:tcPr>
          <w:p w:rsidR="0067456D" w:rsidRPr="00FA739A" w:rsidRDefault="0067456D" w:rsidP="0067456D">
            <w:pPr>
              <w:keepNext/>
              <w:keepLines/>
              <w:ind w:left="113" w:right="113"/>
              <w:jc w:val="center"/>
              <w:rPr>
                <w:rFonts w:ascii="Arial Narrow" w:hAnsi="Arial Narrow" w:cstheme="minorHAnsi"/>
                <w:bCs/>
                <w:color w:val="000000"/>
                <w:sz w:val="20"/>
                <w:szCs w:val="20"/>
              </w:rPr>
            </w:pPr>
            <w:r w:rsidRPr="00FA739A">
              <w:rPr>
                <w:rFonts w:ascii="Arial Narrow" w:hAnsi="Arial Narrow" w:cs="Calibri"/>
                <w:bCs/>
                <w:color w:val="000000"/>
                <w:sz w:val="20"/>
                <w:szCs w:val="20"/>
              </w:rPr>
              <w:t>-$</w:t>
            </w:r>
            <w:r w:rsidR="00AB6780">
              <w:rPr>
                <w:rFonts w:ascii="Arial Narrow" w:hAnsi="Arial Narrow" w:cs="Calibri"/>
                <w:bCs/>
                <w:noProof/>
                <w:color w:val="000000"/>
                <w:sz w:val="20"/>
                <w:szCs w:val="20"/>
                <w:highlight w:val="black"/>
              </w:rPr>
              <w:t>'''''''''''''''''''</w:t>
            </w:r>
            <w:r w:rsidR="0028241D">
              <w:rPr>
                <w:rFonts w:ascii="Arial Narrow" w:hAnsi="Arial Narrow" w:cstheme="minorHAnsi"/>
                <w:color w:val="000000"/>
                <w:sz w:val="20"/>
                <w:szCs w:val="20"/>
                <w:vertAlign w:val="superscript"/>
              </w:rPr>
              <w:t>9</w:t>
            </w:r>
          </w:p>
        </w:tc>
        <w:tc>
          <w:tcPr>
            <w:tcW w:w="70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bottom"/>
          </w:tcPr>
          <w:p w:rsidR="0067456D" w:rsidRPr="00FA739A" w:rsidRDefault="0067456D" w:rsidP="0067456D">
            <w:pPr>
              <w:keepNext/>
              <w:keepLines/>
              <w:ind w:left="113" w:right="113"/>
              <w:jc w:val="center"/>
              <w:rPr>
                <w:rFonts w:ascii="Arial Narrow" w:hAnsi="Arial Narrow" w:cstheme="minorHAnsi"/>
                <w:bCs/>
                <w:color w:val="000000"/>
                <w:sz w:val="20"/>
                <w:szCs w:val="20"/>
              </w:rPr>
            </w:pPr>
            <w:r w:rsidRPr="00FA739A">
              <w:rPr>
                <w:rFonts w:ascii="Arial Narrow" w:hAnsi="Arial Narrow" w:cs="Calibri"/>
                <w:bCs/>
                <w:color w:val="000000"/>
                <w:sz w:val="20"/>
                <w:szCs w:val="20"/>
              </w:rPr>
              <w:t>-$</w:t>
            </w:r>
            <w:r w:rsidR="00AB6780">
              <w:rPr>
                <w:rFonts w:ascii="Arial Narrow" w:hAnsi="Arial Narrow" w:cs="Calibri"/>
                <w:bCs/>
                <w:noProof/>
                <w:color w:val="000000"/>
                <w:sz w:val="20"/>
                <w:szCs w:val="20"/>
                <w:highlight w:val="black"/>
              </w:rPr>
              <w:t>''''''''''''''''''</w:t>
            </w:r>
            <w:r w:rsidR="0028241D">
              <w:rPr>
                <w:rFonts w:ascii="Arial Narrow" w:hAnsi="Arial Narrow" w:cstheme="minorHAnsi"/>
                <w:color w:val="000000"/>
                <w:sz w:val="20"/>
                <w:szCs w:val="20"/>
                <w:vertAlign w:val="superscript"/>
              </w:rPr>
              <w:t>9</w:t>
            </w:r>
          </w:p>
        </w:tc>
        <w:tc>
          <w:tcPr>
            <w:tcW w:w="724"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bottom"/>
          </w:tcPr>
          <w:p w:rsidR="0067456D" w:rsidRPr="00FA739A" w:rsidRDefault="0067456D" w:rsidP="0067456D">
            <w:pPr>
              <w:keepNext/>
              <w:keepLines/>
              <w:ind w:left="113" w:right="113"/>
              <w:jc w:val="center"/>
              <w:rPr>
                <w:rFonts w:ascii="Arial Narrow" w:hAnsi="Arial Narrow" w:cstheme="minorHAnsi"/>
                <w:bCs/>
                <w:color w:val="000000"/>
                <w:sz w:val="20"/>
                <w:szCs w:val="20"/>
              </w:rPr>
            </w:pPr>
            <w:r w:rsidRPr="00FA739A">
              <w:rPr>
                <w:rFonts w:ascii="Arial Narrow" w:hAnsi="Arial Narrow" w:cs="Calibri"/>
                <w:bCs/>
                <w:color w:val="000000"/>
                <w:sz w:val="20"/>
                <w:szCs w:val="20"/>
              </w:rPr>
              <w:t>-$</w:t>
            </w:r>
            <w:r w:rsidR="00AB6780">
              <w:rPr>
                <w:rFonts w:ascii="Arial Narrow" w:hAnsi="Arial Narrow" w:cs="Calibri"/>
                <w:bCs/>
                <w:noProof/>
                <w:color w:val="000000"/>
                <w:sz w:val="20"/>
                <w:szCs w:val="20"/>
                <w:highlight w:val="black"/>
              </w:rPr>
              <w:t>'''''''''''''''''''''</w:t>
            </w:r>
            <w:r w:rsidR="0028241D">
              <w:rPr>
                <w:rFonts w:ascii="Arial Narrow" w:hAnsi="Arial Narrow" w:cstheme="minorHAnsi"/>
                <w:color w:val="000000"/>
                <w:sz w:val="20"/>
                <w:szCs w:val="20"/>
                <w:vertAlign w:val="superscript"/>
              </w:rPr>
              <w:t>9</w:t>
            </w:r>
          </w:p>
        </w:tc>
      </w:tr>
      <w:tr w:rsidR="0067456D" w:rsidRPr="00FA739A" w:rsidTr="00980405">
        <w:trPr>
          <w:trHeight w:val="256"/>
        </w:trPr>
        <w:tc>
          <w:tcPr>
            <w:tcW w:w="685"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67456D" w:rsidRPr="009978AC" w:rsidRDefault="0067456D" w:rsidP="0067456D">
            <w:pPr>
              <w:keepNext/>
              <w:keepLines/>
              <w:jc w:val="left"/>
              <w:rPr>
                <w:rFonts w:ascii="Arial Narrow" w:hAnsi="Arial Narrow" w:cstheme="minorHAnsi"/>
                <w:bCs/>
                <w:sz w:val="20"/>
                <w:szCs w:val="20"/>
              </w:rPr>
            </w:pPr>
            <w:r w:rsidRPr="009978AC">
              <w:rPr>
                <w:rFonts w:ascii="Arial Narrow" w:hAnsi="Arial Narrow" w:cstheme="minorHAnsi"/>
                <w:bCs/>
                <w:sz w:val="20"/>
                <w:szCs w:val="20"/>
              </w:rPr>
              <w:t>Total net cost to PBS/RPBS/MBS</w:t>
            </w:r>
          </w:p>
        </w:tc>
        <w:tc>
          <w:tcPr>
            <w:tcW w:w="70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bottom"/>
          </w:tcPr>
          <w:p w:rsidR="0067456D" w:rsidRPr="00AB6780" w:rsidRDefault="00AB6780" w:rsidP="0067456D">
            <w:pPr>
              <w:keepNext/>
              <w:keepLines/>
              <w:ind w:left="113" w:right="113"/>
              <w:jc w:val="center"/>
              <w:rPr>
                <w:rFonts w:ascii="Arial Narrow" w:hAnsi="Arial Narrow" w:cstheme="minorHAnsi"/>
                <w:bCs/>
                <w:color w:val="000000"/>
                <w:sz w:val="20"/>
                <w:szCs w:val="20"/>
              </w:rPr>
            </w:pPr>
            <w:r>
              <w:rPr>
                <w:rFonts w:ascii="Arial Narrow" w:hAnsi="Arial Narrow" w:cs="Calibri"/>
                <w:bCs/>
                <w:noProof/>
                <w:color w:val="000000"/>
                <w:sz w:val="20"/>
                <w:szCs w:val="20"/>
                <w:highlight w:val="black"/>
              </w:rPr>
              <w:t>''''''''''''''''''''''''''''</w:t>
            </w:r>
            <w:r w:rsidR="0028241D">
              <w:rPr>
                <w:rFonts w:ascii="Arial Narrow" w:hAnsi="Arial Narrow" w:cstheme="minorHAnsi"/>
                <w:color w:val="000000"/>
                <w:sz w:val="20"/>
                <w:szCs w:val="20"/>
                <w:vertAlign w:val="superscript"/>
              </w:rPr>
              <w:t>6</w:t>
            </w:r>
          </w:p>
        </w:tc>
        <w:tc>
          <w:tcPr>
            <w:tcW w:w="72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bottom"/>
          </w:tcPr>
          <w:p w:rsidR="0067456D" w:rsidRPr="00AB6780" w:rsidRDefault="00AB6780" w:rsidP="0067456D">
            <w:pPr>
              <w:keepNext/>
              <w:keepLines/>
              <w:ind w:left="113" w:right="113"/>
              <w:jc w:val="center"/>
              <w:rPr>
                <w:rFonts w:ascii="Arial Narrow" w:hAnsi="Arial Narrow" w:cstheme="minorHAnsi"/>
                <w:bCs/>
                <w:color w:val="000000"/>
                <w:sz w:val="20"/>
                <w:szCs w:val="20"/>
              </w:rPr>
            </w:pPr>
            <w:r>
              <w:rPr>
                <w:rFonts w:ascii="Arial Narrow" w:hAnsi="Arial Narrow" w:cs="Calibri"/>
                <w:bCs/>
                <w:noProof/>
                <w:color w:val="000000"/>
                <w:sz w:val="20"/>
                <w:szCs w:val="20"/>
                <w:highlight w:val="black"/>
              </w:rPr>
              <w:t>'''''''''''''''''''''''''''</w:t>
            </w:r>
            <w:r w:rsidR="0028241D">
              <w:rPr>
                <w:rFonts w:ascii="Arial Narrow" w:hAnsi="Arial Narrow" w:cstheme="minorHAnsi"/>
                <w:color w:val="000000"/>
                <w:sz w:val="20"/>
                <w:szCs w:val="20"/>
                <w:vertAlign w:val="superscript"/>
              </w:rPr>
              <w:t>6</w:t>
            </w:r>
          </w:p>
        </w:tc>
        <w:tc>
          <w:tcPr>
            <w:tcW w:w="724"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bottom"/>
          </w:tcPr>
          <w:p w:rsidR="0067456D" w:rsidRPr="00AB6780" w:rsidRDefault="00AB6780" w:rsidP="0067456D">
            <w:pPr>
              <w:keepNext/>
              <w:keepLines/>
              <w:ind w:left="113" w:right="113"/>
              <w:jc w:val="center"/>
              <w:rPr>
                <w:rFonts w:ascii="Arial Narrow" w:hAnsi="Arial Narrow" w:cstheme="minorHAnsi"/>
                <w:bCs/>
                <w:color w:val="000000"/>
                <w:sz w:val="20"/>
                <w:szCs w:val="20"/>
              </w:rPr>
            </w:pPr>
            <w:r>
              <w:rPr>
                <w:rFonts w:ascii="Arial Narrow" w:hAnsi="Arial Narrow" w:cs="Calibri"/>
                <w:bCs/>
                <w:noProof/>
                <w:color w:val="000000"/>
                <w:sz w:val="20"/>
                <w:szCs w:val="20"/>
                <w:highlight w:val="black"/>
              </w:rPr>
              <w:t>''''''''''''''''''''''''''''''''</w:t>
            </w:r>
            <w:r w:rsidR="0028241D">
              <w:rPr>
                <w:rFonts w:ascii="Arial Narrow" w:hAnsi="Arial Narrow" w:cstheme="minorHAnsi"/>
                <w:color w:val="000000"/>
                <w:sz w:val="20"/>
                <w:szCs w:val="20"/>
                <w:vertAlign w:val="superscript"/>
              </w:rPr>
              <w:t>6</w:t>
            </w:r>
          </w:p>
        </w:tc>
        <w:tc>
          <w:tcPr>
            <w:tcW w:w="726"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bottom"/>
          </w:tcPr>
          <w:p w:rsidR="0067456D" w:rsidRPr="00AB6780" w:rsidRDefault="00AB6780" w:rsidP="0067456D">
            <w:pPr>
              <w:keepNext/>
              <w:keepLines/>
              <w:ind w:left="113" w:right="113"/>
              <w:jc w:val="center"/>
              <w:rPr>
                <w:rFonts w:ascii="Arial Narrow" w:hAnsi="Arial Narrow" w:cstheme="minorHAnsi"/>
                <w:bCs/>
                <w:color w:val="000000"/>
                <w:sz w:val="20"/>
                <w:szCs w:val="20"/>
              </w:rPr>
            </w:pPr>
            <w:r>
              <w:rPr>
                <w:rFonts w:ascii="Arial Narrow" w:hAnsi="Arial Narrow" w:cs="Calibri"/>
                <w:bCs/>
                <w:noProof/>
                <w:color w:val="000000"/>
                <w:sz w:val="20"/>
                <w:szCs w:val="20"/>
                <w:highlight w:val="black"/>
              </w:rPr>
              <w:t>''''''''''''''''''''''''''''</w:t>
            </w:r>
            <w:r w:rsidR="0028241D">
              <w:rPr>
                <w:rFonts w:ascii="Arial Narrow" w:hAnsi="Arial Narrow" w:cstheme="minorHAnsi"/>
                <w:color w:val="000000"/>
                <w:sz w:val="20"/>
                <w:szCs w:val="20"/>
                <w:vertAlign w:val="superscript"/>
              </w:rPr>
              <w:t>6</w:t>
            </w:r>
          </w:p>
        </w:tc>
        <w:tc>
          <w:tcPr>
            <w:tcW w:w="70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bottom"/>
          </w:tcPr>
          <w:p w:rsidR="0067456D" w:rsidRPr="00AB6780" w:rsidRDefault="00AB6780" w:rsidP="0067456D">
            <w:pPr>
              <w:keepNext/>
              <w:keepLines/>
              <w:ind w:left="113" w:right="113"/>
              <w:jc w:val="center"/>
              <w:rPr>
                <w:rFonts w:ascii="Arial Narrow" w:hAnsi="Arial Narrow" w:cstheme="minorHAnsi"/>
                <w:bCs/>
                <w:color w:val="000000"/>
                <w:sz w:val="20"/>
                <w:szCs w:val="20"/>
              </w:rPr>
            </w:pPr>
            <w:r>
              <w:rPr>
                <w:rFonts w:ascii="Arial Narrow" w:hAnsi="Arial Narrow" w:cs="Calibri"/>
                <w:bCs/>
                <w:noProof/>
                <w:color w:val="000000"/>
                <w:sz w:val="20"/>
                <w:szCs w:val="20"/>
                <w:highlight w:val="black"/>
              </w:rPr>
              <w:t>'''''''''''''''''''''''''''''''</w:t>
            </w:r>
            <w:r w:rsidR="0028241D">
              <w:rPr>
                <w:rFonts w:ascii="Arial Narrow" w:hAnsi="Arial Narrow" w:cstheme="minorHAnsi"/>
                <w:color w:val="000000"/>
                <w:sz w:val="20"/>
                <w:szCs w:val="20"/>
                <w:vertAlign w:val="superscript"/>
              </w:rPr>
              <w:t>6</w:t>
            </w:r>
          </w:p>
        </w:tc>
        <w:tc>
          <w:tcPr>
            <w:tcW w:w="724"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bottom"/>
          </w:tcPr>
          <w:p w:rsidR="0067456D" w:rsidRPr="00AB6780" w:rsidRDefault="00AB6780" w:rsidP="0067456D">
            <w:pPr>
              <w:keepNext/>
              <w:keepLines/>
              <w:ind w:left="113" w:right="113"/>
              <w:jc w:val="center"/>
              <w:rPr>
                <w:rFonts w:ascii="Arial Narrow" w:hAnsi="Arial Narrow" w:cstheme="minorHAnsi"/>
                <w:bCs/>
                <w:color w:val="000000"/>
                <w:sz w:val="20"/>
                <w:szCs w:val="20"/>
              </w:rPr>
            </w:pPr>
            <w:r>
              <w:rPr>
                <w:rFonts w:ascii="Arial Narrow" w:hAnsi="Arial Narrow" w:cs="Calibri"/>
                <w:bCs/>
                <w:noProof/>
                <w:color w:val="000000"/>
                <w:sz w:val="20"/>
                <w:szCs w:val="20"/>
                <w:highlight w:val="black"/>
              </w:rPr>
              <w:t>'''''''''''''''''''''''''''''</w:t>
            </w:r>
            <w:r w:rsidR="0028241D">
              <w:rPr>
                <w:rFonts w:ascii="Arial Narrow" w:hAnsi="Arial Narrow" w:cstheme="minorHAnsi"/>
                <w:color w:val="000000"/>
                <w:sz w:val="20"/>
                <w:szCs w:val="20"/>
                <w:vertAlign w:val="superscript"/>
              </w:rPr>
              <w:t>6</w:t>
            </w:r>
          </w:p>
        </w:tc>
      </w:tr>
      <w:tr w:rsidR="00425CE9" w:rsidRPr="00FA739A" w:rsidTr="00980405">
        <w:trPr>
          <w:trHeight w:val="256"/>
        </w:trPr>
        <w:tc>
          <w:tcPr>
            <w:tcW w:w="685" w:type="pct"/>
            <w:tcBorders>
              <w:top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tcPr>
          <w:p w:rsidR="00425CE9" w:rsidRPr="009978AC" w:rsidRDefault="00425CE9" w:rsidP="00425CE9">
            <w:pPr>
              <w:keepNext/>
              <w:keepLines/>
              <w:jc w:val="left"/>
              <w:rPr>
                <w:rFonts w:ascii="Arial Narrow" w:hAnsi="Arial Narrow" w:cstheme="minorHAnsi"/>
                <w:bCs/>
                <w:sz w:val="20"/>
                <w:szCs w:val="20"/>
              </w:rPr>
            </w:pPr>
            <w:r w:rsidRPr="009978AC">
              <w:rPr>
                <w:rFonts w:ascii="Arial Narrow" w:hAnsi="Arial Narrow" w:cstheme="minorHAnsi"/>
                <w:bCs/>
                <w:sz w:val="20"/>
                <w:szCs w:val="20"/>
              </w:rPr>
              <w:t>PBAC revised total cost to PBS/RPBS/MBS</w:t>
            </w:r>
          </w:p>
        </w:tc>
        <w:tc>
          <w:tcPr>
            <w:tcW w:w="70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tcPr>
          <w:p w:rsidR="00425CE9" w:rsidRPr="00AB6780" w:rsidRDefault="00AB6780">
            <w:pPr>
              <w:keepNext/>
              <w:keepLines/>
              <w:ind w:left="113" w:right="113"/>
              <w:jc w:val="center"/>
              <w:rPr>
                <w:rFonts w:ascii="Arial Narrow" w:hAnsi="Arial Narrow" w:cs="Calibri"/>
                <w:bCs/>
                <w:i/>
                <w:color w:val="000000"/>
                <w:sz w:val="20"/>
                <w:szCs w:val="20"/>
              </w:rPr>
            </w:pPr>
            <w:r>
              <w:rPr>
                <w:rFonts w:ascii="Arial Narrow" w:hAnsi="Arial Narrow" w:cs="Calibri"/>
                <w:bCs/>
                <w:noProof/>
                <w:color w:val="000000"/>
                <w:sz w:val="20"/>
                <w:szCs w:val="20"/>
                <w:highlight w:val="black"/>
              </w:rPr>
              <w:t>'''''''''''''''''''''''''''''''</w:t>
            </w:r>
            <w:r w:rsidR="0028241D">
              <w:rPr>
                <w:rFonts w:ascii="Arial Narrow" w:hAnsi="Arial Narrow" w:cstheme="minorHAnsi"/>
                <w:color w:val="000000"/>
                <w:sz w:val="20"/>
                <w:szCs w:val="20"/>
                <w:vertAlign w:val="superscript"/>
              </w:rPr>
              <w:t>6</w:t>
            </w:r>
          </w:p>
        </w:tc>
        <w:tc>
          <w:tcPr>
            <w:tcW w:w="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tcPr>
          <w:p w:rsidR="00425CE9" w:rsidRPr="00AB6780" w:rsidRDefault="00AB6780">
            <w:pPr>
              <w:keepNext/>
              <w:keepLines/>
              <w:ind w:left="113" w:right="113"/>
              <w:jc w:val="center"/>
              <w:rPr>
                <w:rFonts w:ascii="Arial Narrow" w:hAnsi="Arial Narrow" w:cs="Calibri"/>
                <w:bCs/>
                <w:i/>
                <w:color w:val="000000"/>
                <w:sz w:val="20"/>
                <w:szCs w:val="20"/>
              </w:rPr>
            </w:pPr>
            <w:r>
              <w:rPr>
                <w:rFonts w:ascii="Arial Narrow" w:hAnsi="Arial Narrow" w:cs="Calibri"/>
                <w:bCs/>
                <w:noProof/>
                <w:color w:val="000000"/>
                <w:sz w:val="20"/>
                <w:szCs w:val="20"/>
                <w:highlight w:val="black"/>
              </w:rPr>
              <w:t>'''''''''''''''''''''''''''''</w:t>
            </w:r>
            <w:r w:rsidR="0028241D">
              <w:rPr>
                <w:rFonts w:ascii="Arial Narrow" w:hAnsi="Arial Narrow" w:cstheme="minorHAnsi"/>
                <w:color w:val="000000"/>
                <w:sz w:val="20"/>
                <w:szCs w:val="20"/>
                <w:vertAlign w:val="superscript"/>
              </w:rPr>
              <w:t>6</w:t>
            </w:r>
          </w:p>
        </w:tc>
        <w:tc>
          <w:tcPr>
            <w:tcW w:w="72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tcPr>
          <w:p w:rsidR="00425CE9" w:rsidRPr="00AB6780" w:rsidRDefault="00AB6780">
            <w:pPr>
              <w:keepNext/>
              <w:keepLines/>
              <w:ind w:left="113" w:right="113"/>
              <w:jc w:val="center"/>
              <w:rPr>
                <w:rFonts w:ascii="Arial Narrow" w:hAnsi="Arial Narrow" w:cs="Calibri"/>
                <w:bCs/>
                <w:i/>
                <w:color w:val="000000"/>
                <w:sz w:val="20"/>
                <w:szCs w:val="20"/>
              </w:rPr>
            </w:pPr>
            <w:r>
              <w:rPr>
                <w:rFonts w:ascii="Arial Narrow" w:hAnsi="Arial Narrow" w:cs="Calibri"/>
                <w:bCs/>
                <w:noProof/>
                <w:color w:val="000000"/>
                <w:sz w:val="20"/>
                <w:szCs w:val="20"/>
                <w:highlight w:val="black"/>
              </w:rPr>
              <w:t>''''''''''''''''''''''''''''''''</w:t>
            </w:r>
            <w:r w:rsidR="0028241D">
              <w:rPr>
                <w:rFonts w:ascii="Arial Narrow" w:hAnsi="Arial Narrow" w:cstheme="minorHAnsi"/>
                <w:color w:val="000000"/>
                <w:sz w:val="20"/>
                <w:szCs w:val="20"/>
                <w:vertAlign w:val="superscript"/>
              </w:rPr>
              <w:t>6</w:t>
            </w:r>
          </w:p>
        </w:tc>
        <w:tc>
          <w:tcPr>
            <w:tcW w:w="72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tcPr>
          <w:p w:rsidR="00425CE9" w:rsidRPr="00AB6780" w:rsidRDefault="00AB6780">
            <w:pPr>
              <w:keepNext/>
              <w:keepLines/>
              <w:ind w:left="113" w:right="113"/>
              <w:jc w:val="center"/>
              <w:rPr>
                <w:rFonts w:ascii="Arial Narrow" w:hAnsi="Arial Narrow" w:cs="Calibri"/>
                <w:bCs/>
                <w:i/>
                <w:color w:val="000000"/>
                <w:sz w:val="20"/>
                <w:szCs w:val="20"/>
              </w:rPr>
            </w:pPr>
            <w:r>
              <w:rPr>
                <w:rFonts w:ascii="Arial Narrow" w:hAnsi="Arial Narrow" w:cs="Calibri"/>
                <w:bCs/>
                <w:noProof/>
                <w:color w:val="000000"/>
                <w:sz w:val="20"/>
                <w:szCs w:val="20"/>
                <w:highlight w:val="black"/>
              </w:rPr>
              <w:t>'''''''''''''''''''''''''''''</w:t>
            </w:r>
            <w:r w:rsidR="0028241D">
              <w:rPr>
                <w:rFonts w:ascii="Arial Narrow" w:hAnsi="Arial Narrow" w:cstheme="minorHAnsi"/>
                <w:color w:val="000000"/>
                <w:sz w:val="20"/>
                <w:szCs w:val="20"/>
                <w:vertAlign w:val="superscript"/>
              </w:rPr>
              <w:t>6</w:t>
            </w:r>
          </w:p>
        </w:tc>
        <w:tc>
          <w:tcPr>
            <w:tcW w:w="70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tcPr>
          <w:p w:rsidR="00425CE9" w:rsidRPr="00AB6780" w:rsidRDefault="00AB6780">
            <w:pPr>
              <w:keepNext/>
              <w:keepLines/>
              <w:ind w:left="113" w:right="113"/>
              <w:jc w:val="center"/>
              <w:rPr>
                <w:rFonts w:ascii="Arial Narrow" w:hAnsi="Arial Narrow" w:cs="Calibri"/>
                <w:bCs/>
                <w:i/>
                <w:color w:val="000000"/>
                <w:sz w:val="20"/>
                <w:szCs w:val="20"/>
              </w:rPr>
            </w:pPr>
            <w:r>
              <w:rPr>
                <w:rFonts w:ascii="Arial Narrow" w:hAnsi="Arial Narrow" w:cs="Calibri"/>
                <w:bCs/>
                <w:noProof/>
                <w:color w:val="000000"/>
                <w:sz w:val="20"/>
                <w:szCs w:val="20"/>
                <w:highlight w:val="black"/>
              </w:rPr>
              <w:t>'''''''''''''''''''''''''''</w:t>
            </w:r>
            <w:r w:rsidR="0028241D">
              <w:rPr>
                <w:rFonts w:ascii="Arial Narrow" w:hAnsi="Arial Narrow" w:cstheme="minorHAnsi"/>
                <w:color w:val="000000"/>
                <w:sz w:val="20"/>
                <w:szCs w:val="20"/>
                <w:vertAlign w:val="superscript"/>
              </w:rPr>
              <w:t>6</w:t>
            </w:r>
          </w:p>
        </w:tc>
        <w:tc>
          <w:tcPr>
            <w:tcW w:w="72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tcPr>
          <w:p w:rsidR="00425CE9" w:rsidRPr="00AB6780" w:rsidRDefault="00AB6780">
            <w:pPr>
              <w:keepNext/>
              <w:keepLines/>
              <w:ind w:left="113" w:right="113"/>
              <w:jc w:val="center"/>
              <w:rPr>
                <w:rFonts w:ascii="Arial Narrow" w:hAnsi="Arial Narrow" w:cs="Calibri"/>
                <w:bCs/>
                <w:i/>
                <w:color w:val="000000"/>
                <w:sz w:val="20"/>
                <w:szCs w:val="20"/>
              </w:rPr>
            </w:pPr>
            <w:r>
              <w:rPr>
                <w:rFonts w:ascii="Arial Narrow" w:hAnsi="Arial Narrow" w:cs="Calibri"/>
                <w:bCs/>
                <w:noProof/>
                <w:color w:val="000000"/>
                <w:sz w:val="20"/>
                <w:szCs w:val="20"/>
                <w:highlight w:val="black"/>
              </w:rPr>
              <w:t>''''''''''''''''''''''''''''</w:t>
            </w:r>
            <w:r w:rsidR="0028241D">
              <w:rPr>
                <w:rFonts w:ascii="Arial Narrow" w:hAnsi="Arial Narrow" w:cstheme="minorHAnsi"/>
                <w:color w:val="000000"/>
                <w:sz w:val="20"/>
                <w:szCs w:val="20"/>
                <w:vertAlign w:val="superscript"/>
              </w:rPr>
              <w:t>6</w:t>
            </w:r>
          </w:p>
        </w:tc>
      </w:tr>
    </w:tbl>
    <w:p w:rsidR="00BB7EC3" w:rsidRDefault="00C7409E" w:rsidP="00B315BD">
      <w:pPr>
        <w:pStyle w:val="TableFigureFooter"/>
        <w:keepNext/>
        <w:keepLines/>
      </w:pPr>
      <w:r w:rsidRPr="00FA739A">
        <w:t xml:space="preserve">Source: </w:t>
      </w:r>
      <w:r w:rsidR="00BE0587" w:rsidRPr="00FA739A">
        <w:t>Table 6 of the resubmission</w:t>
      </w:r>
      <w:r w:rsidR="00E50A44" w:rsidRPr="00FA739A">
        <w:t>, Section 4 financial estimates “Cost Summary” and “Offset Summary” worksheets</w:t>
      </w:r>
    </w:p>
    <w:p w:rsidR="00653DFF" w:rsidRPr="00E47C72" w:rsidRDefault="00653DFF" w:rsidP="00653DFF">
      <w:pPr>
        <w:pStyle w:val="TableFigureFooter"/>
        <w:keepNext/>
        <w:keepLines/>
        <w:rPr>
          <w:i/>
        </w:rPr>
      </w:pPr>
      <w:r w:rsidRPr="00E47C72">
        <w:rPr>
          <w:i/>
        </w:rPr>
        <w:t xml:space="preserve">The redacted values correspond to the following ranges: </w:t>
      </w:r>
    </w:p>
    <w:p w:rsidR="00653DFF" w:rsidRPr="00E47C72" w:rsidRDefault="00653DFF" w:rsidP="00653DFF">
      <w:pPr>
        <w:pStyle w:val="TableFigureFooter"/>
        <w:keepNext/>
        <w:keepLines/>
        <w:rPr>
          <w:i/>
        </w:rPr>
      </w:pPr>
      <w:r w:rsidRPr="00E47C72">
        <w:rPr>
          <w:i/>
          <w:vertAlign w:val="superscript"/>
        </w:rPr>
        <w:t>1</w:t>
      </w:r>
      <w:r w:rsidRPr="00E47C72">
        <w:rPr>
          <w:i/>
        </w:rPr>
        <w:t xml:space="preserve"> &lt; 500</w:t>
      </w:r>
    </w:p>
    <w:p w:rsidR="00653DFF" w:rsidRPr="00E47C72" w:rsidRDefault="00653DFF" w:rsidP="00653DFF">
      <w:pPr>
        <w:pStyle w:val="TableFigureFooter"/>
        <w:keepNext/>
        <w:keepLines/>
        <w:rPr>
          <w:i/>
        </w:rPr>
      </w:pPr>
      <w:r w:rsidRPr="00E47C72">
        <w:rPr>
          <w:i/>
          <w:vertAlign w:val="superscript"/>
        </w:rPr>
        <w:t>2</w:t>
      </w:r>
      <w:r w:rsidRPr="00E47C72">
        <w:rPr>
          <w:i/>
        </w:rPr>
        <w:t xml:space="preserve"> 500 to &lt; 5,000</w:t>
      </w:r>
    </w:p>
    <w:p w:rsidR="00653DFF" w:rsidRPr="00E47C72" w:rsidRDefault="00653DFF" w:rsidP="00653DFF">
      <w:pPr>
        <w:pStyle w:val="TableFigureFooter"/>
        <w:keepNext/>
        <w:keepLines/>
        <w:rPr>
          <w:i/>
        </w:rPr>
      </w:pPr>
      <w:r w:rsidRPr="00E47C72">
        <w:rPr>
          <w:i/>
          <w:vertAlign w:val="superscript"/>
        </w:rPr>
        <w:t>3</w:t>
      </w:r>
      <w:r w:rsidRPr="00E47C72">
        <w:rPr>
          <w:i/>
        </w:rPr>
        <w:t xml:space="preserve"> 5,000 to &lt; 10,000</w:t>
      </w:r>
    </w:p>
    <w:p w:rsidR="00653DFF" w:rsidRPr="00E47C72" w:rsidRDefault="00653DFF" w:rsidP="00653DFF">
      <w:pPr>
        <w:pStyle w:val="TableFigureFooter"/>
        <w:keepNext/>
        <w:keepLines/>
        <w:rPr>
          <w:i/>
        </w:rPr>
      </w:pPr>
      <w:r w:rsidRPr="00E47C72">
        <w:rPr>
          <w:i/>
          <w:vertAlign w:val="superscript"/>
        </w:rPr>
        <w:t xml:space="preserve">4 </w:t>
      </w:r>
      <w:r w:rsidRPr="00E47C72">
        <w:rPr>
          <w:i/>
        </w:rPr>
        <w:t>10,000 to &lt; 20,000</w:t>
      </w:r>
    </w:p>
    <w:p w:rsidR="00653DFF" w:rsidRPr="00E47C72" w:rsidRDefault="00653DFF" w:rsidP="00653DFF">
      <w:pPr>
        <w:pStyle w:val="TableFigureFooter"/>
        <w:keepNext/>
        <w:keepLines/>
        <w:rPr>
          <w:i/>
        </w:rPr>
      </w:pPr>
      <w:r w:rsidRPr="00E47C72">
        <w:rPr>
          <w:i/>
          <w:vertAlign w:val="superscript"/>
        </w:rPr>
        <w:t xml:space="preserve">5 </w:t>
      </w:r>
      <w:r w:rsidRPr="00E47C72">
        <w:rPr>
          <w:i/>
        </w:rPr>
        <w:t>20,000 to &lt; 30,000</w:t>
      </w:r>
    </w:p>
    <w:p w:rsidR="00653DFF" w:rsidRPr="00E47C72" w:rsidRDefault="00653DFF" w:rsidP="00653DFF">
      <w:pPr>
        <w:pStyle w:val="TableFigureFooter"/>
        <w:keepNext/>
        <w:keepLines/>
        <w:rPr>
          <w:i/>
        </w:rPr>
      </w:pPr>
      <w:r w:rsidRPr="00E47C72">
        <w:rPr>
          <w:i/>
          <w:vertAlign w:val="superscript"/>
        </w:rPr>
        <w:t>6</w:t>
      </w:r>
      <w:r w:rsidRPr="00E47C72">
        <w:rPr>
          <w:i/>
        </w:rPr>
        <w:t xml:space="preserve"> $10 million to &lt; $20 million</w:t>
      </w:r>
    </w:p>
    <w:p w:rsidR="00653DFF" w:rsidRPr="00E47C72" w:rsidRDefault="00653DFF" w:rsidP="00653DFF">
      <w:pPr>
        <w:pStyle w:val="TableFigureFooter"/>
        <w:keepNext/>
        <w:keepLines/>
        <w:rPr>
          <w:i/>
        </w:rPr>
      </w:pPr>
      <w:r w:rsidRPr="00E47C72">
        <w:rPr>
          <w:i/>
          <w:vertAlign w:val="superscript"/>
        </w:rPr>
        <w:t xml:space="preserve">7 </w:t>
      </w:r>
      <w:r w:rsidRPr="00E47C72">
        <w:rPr>
          <w:i/>
        </w:rPr>
        <w:t>$20 million to &lt; $30 million</w:t>
      </w:r>
    </w:p>
    <w:p w:rsidR="00653DFF" w:rsidRPr="00E47C72" w:rsidRDefault="00653DFF" w:rsidP="00653DFF">
      <w:pPr>
        <w:pStyle w:val="TableFigureFooter"/>
        <w:keepNext/>
        <w:keepLines/>
        <w:rPr>
          <w:i/>
        </w:rPr>
      </w:pPr>
      <w:r w:rsidRPr="00E47C72">
        <w:rPr>
          <w:i/>
          <w:vertAlign w:val="superscript"/>
        </w:rPr>
        <w:t xml:space="preserve">8 </w:t>
      </w:r>
      <w:r w:rsidRPr="00E47C72">
        <w:rPr>
          <w:i/>
        </w:rPr>
        <w:t>$30 million to &lt; $40 million</w:t>
      </w:r>
    </w:p>
    <w:p w:rsidR="00653DFF" w:rsidRPr="00E47C72" w:rsidRDefault="00653DFF" w:rsidP="00653DFF">
      <w:pPr>
        <w:pStyle w:val="TableFigureFooter"/>
        <w:keepNext/>
        <w:keepLines/>
        <w:rPr>
          <w:i/>
        </w:rPr>
      </w:pPr>
      <w:r w:rsidRPr="00E47C72">
        <w:rPr>
          <w:i/>
          <w:vertAlign w:val="superscript"/>
        </w:rPr>
        <w:lastRenderedPageBreak/>
        <w:t xml:space="preserve">9 </w:t>
      </w:r>
      <w:r w:rsidRPr="00E47C72">
        <w:rPr>
          <w:i/>
        </w:rPr>
        <w:t>$0 to &lt; $10 million</w:t>
      </w:r>
    </w:p>
    <w:p w:rsidR="00653DFF" w:rsidRDefault="00653DFF" w:rsidP="00653DFF">
      <w:pPr>
        <w:pStyle w:val="TableFigureFooter"/>
        <w:keepNext/>
        <w:keepLines/>
      </w:pPr>
    </w:p>
    <w:p w:rsidR="00653DFF" w:rsidRPr="00FA739A" w:rsidRDefault="00653DFF" w:rsidP="00653DFF">
      <w:pPr>
        <w:pStyle w:val="TableFigureFooter"/>
        <w:keepNext/>
        <w:keepLines/>
      </w:pPr>
    </w:p>
    <w:p w:rsidR="000853BB" w:rsidRPr="00FA739A" w:rsidRDefault="000853BB" w:rsidP="00DC572C">
      <w:pPr>
        <w:pStyle w:val="3Bodytext"/>
      </w:pPr>
      <w:r w:rsidRPr="00FA739A">
        <w:t xml:space="preserve">The resubmission estimated that the total net cost to the PBS/RPBS over 6 years would be </w:t>
      </w:r>
      <w:r w:rsidR="0028241D" w:rsidRPr="0028241D">
        <w:t>$30 million to &lt; $40 million</w:t>
      </w:r>
      <w:r w:rsidRPr="00FA739A">
        <w:t xml:space="preserve"> in the first-line setting and </w:t>
      </w:r>
      <w:r w:rsidR="00DC572C">
        <w:t>$40 million to &lt; $5</w:t>
      </w:r>
      <w:r w:rsidR="00DC572C" w:rsidRPr="00DC572C">
        <w:t>0 million</w:t>
      </w:r>
      <w:r w:rsidRPr="00FA739A">
        <w:t xml:space="preserve"> in the second-line setting (noting that offsets were higher in the first-line setting , with population 1 assumed to substitute for CDKIs in combination with NSAIs).</w:t>
      </w:r>
      <w:r w:rsidR="00425CE9" w:rsidRPr="00FA739A">
        <w:t xml:space="preserve"> Applying the revised estimates for population 3</w:t>
      </w:r>
      <w:r w:rsidR="00B82041" w:rsidRPr="00FA739A">
        <w:t>, as considered appropriate by the PBAC,</w:t>
      </w:r>
      <w:r w:rsidR="00425CE9" w:rsidRPr="00FA739A">
        <w:t xml:space="preserve"> reduced the total net cost to the PBS/RPBS over 6 years in the second line setting to </w:t>
      </w:r>
      <w:r w:rsidR="00DC572C" w:rsidRPr="00DC572C">
        <w:t>$40 million to &lt; $50 million</w:t>
      </w:r>
      <w:r w:rsidR="00425CE9" w:rsidRPr="00FA739A">
        <w:t xml:space="preserve">. </w:t>
      </w:r>
    </w:p>
    <w:p w:rsidR="00031472" w:rsidRPr="00FA739A" w:rsidRDefault="00031472" w:rsidP="00031472">
      <w:pPr>
        <w:pStyle w:val="4-SubsectionHeading"/>
      </w:pPr>
      <w:bookmarkStart w:id="6" w:name="_Toc22897649"/>
      <w:bookmarkStart w:id="7" w:name="_Toc38290351"/>
      <w:bookmarkStart w:id="8" w:name="_Toc40716955"/>
      <w:r w:rsidRPr="00FA739A">
        <w:t>Financial Management – Risk Sharing Arrangements</w:t>
      </w:r>
      <w:bookmarkEnd w:id="6"/>
      <w:bookmarkEnd w:id="7"/>
      <w:bookmarkEnd w:id="8"/>
    </w:p>
    <w:p w:rsidR="00BE0587" w:rsidRPr="00FA739A" w:rsidRDefault="00031472" w:rsidP="00DC572C">
      <w:pPr>
        <w:pStyle w:val="3Bodytext"/>
      </w:pPr>
      <w:r w:rsidRPr="00FA739A">
        <w:t xml:space="preserve">The increases to the financial caps proposed in the July 2020 submission pre-PBAC response </w:t>
      </w:r>
      <w:r w:rsidR="00BE0587" w:rsidRPr="00FA739A">
        <w:t>estimated</w:t>
      </w:r>
      <w:r w:rsidRPr="00FA739A">
        <w:t xml:space="preserve"> a net cost to PBS/RPBS of </w:t>
      </w:r>
      <w:r w:rsidR="00DC572C" w:rsidRPr="00DC572C">
        <w:t>$</w:t>
      </w:r>
      <w:r w:rsidR="00DC572C">
        <w:t>10</w:t>
      </w:r>
      <w:r w:rsidR="00DC572C" w:rsidRPr="00DC572C">
        <w:t>0 million to &lt; $</w:t>
      </w:r>
      <w:r w:rsidR="00DC572C">
        <w:t>20</w:t>
      </w:r>
      <w:r w:rsidR="00DC572C" w:rsidRPr="00DC572C">
        <w:t>0 million</w:t>
      </w:r>
      <w:r w:rsidR="00DC572C" w:rsidRPr="00DC572C" w:rsidDel="00DC572C">
        <w:t xml:space="preserve"> </w:t>
      </w:r>
      <w:r w:rsidRPr="00FA739A">
        <w:t xml:space="preserve">over the first 6 years of listing. </w:t>
      </w:r>
    </w:p>
    <w:p w:rsidR="00542598" w:rsidRPr="00FA739A" w:rsidRDefault="00542598" w:rsidP="00542598">
      <w:pPr>
        <w:pStyle w:val="3-BodyText"/>
        <w:numPr>
          <w:ilvl w:val="1"/>
          <w:numId w:val="1"/>
        </w:numPr>
        <w:rPr>
          <w:i/>
        </w:rPr>
      </w:pPr>
      <w:r w:rsidRPr="00FA739A">
        <w:t xml:space="preserve">The PBAC previously considered it was unclear why there was a proposed increase to the CDKI caps for </w:t>
      </w:r>
      <w:r w:rsidR="00A709A6" w:rsidRPr="00FA739A">
        <w:t>p</w:t>
      </w:r>
      <w:r w:rsidRPr="00FA739A">
        <w:t xml:space="preserve">opulation 1 given this population was intended to represent first-line patients substituting CDKI+NSAI. </w:t>
      </w:r>
      <w:r w:rsidR="00A709A6" w:rsidRPr="00FA739A">
        <w:t>To address this, p</w:t>
      </w:r>
      <w:r w:rsidRPr="00FA739A">
        <w:t>opulation 1 was not included in the resubmission</w:t>
      </w:r>
      <w:r w:rsidR="00A709A6" w:rsidRPr="00FA739A">
        <w:t>’s</w:t>
      </w:r>
      <w:r w:rsidRPr="00FA739A">
        <w:t xml:space="preserve"> revised caps. The resubmission stated that populations 2, 3 and 4 are distinct from the existing patient population and should be added to the caps. </w:t>
      </w:r>
    </w:p>
    <w:p w:rsidR="007427D1" w:rsidRPr="00FA739A" w:rsidRDefault="00542598" w:rsidP="005A2F6E">
      <w:pPr>
        <w:pStyle w:val="3Bodytext"/>
      </w:pPr>
      <w:r w:rsidRPr="00FA739A">
        <w:t>The proposed increase in the RSA caps for CDKIs is shown in</w:t>
      </w:r>
      <w:r w:rsidR="008F28E9" w:rsidRPr="00FA739A">
        <w:t xml:space="preserve"> Table </w:t>
      </w:r>
      <w:r w:rsidR="008F28E9" w:rsidRPr="009978AC">
        <w:t>7</w:t>
      </w:r>
      <w:r w:rsidRPr="00FA739A">
        <w:t xml:space="preserve">. The proposed increases to the caps result in an increase of </w:t>
      </w:r>
      <w:r w:rsidR="00DC572C" w:rsidRPr="00DC572C">
        <w:t>$40 million to &lt; $50 million</w:t>
      </w:r>
      <w:r w:rsidR="00DC572C" w:rsidRPr="00DC572C" w:rsidDel="00DC572C">
        <w:t xml:space="preserve"> </w:t>
      </w:r>
      <w:r w:rsidRPr="00FA739A">
        <w:t>over 5 years</w:t>
      </w:r>
      <w:r w:rsidR="007427D1" w:rsidRPr="00FA739A">
        <w:rPr>
          <w:rFonts w:cstheme="minorHAnsi"/>
        </w:rPr>
        <w:t xml:space="preserve">, </w:t>
      </w:r>
      <w:r w:rsidR="006726D2" w:rsidRPr="00FA739A">
        <w:rPr>
          <w:rFonts w:cstheme="minorHAnsi"/>
        </w:rPr>
        <w:t xml:space="preserve">with </w:t>
      </w:r>
      <w:r w:rsidR="007427D1" w:rsidRPr="00FA739A">
        <w:rPr>
          <w:rFonts w:cstheme="minorHAnsi"/>
        </w:rPr>
        <w:t xml:space="preserve">the majority being from </w:t>
      </w:r>
      <w:r w:rsidR="00DE1CD8" w:rsidRPr="00FA739A">
        <w:rPr>
          <w:rFonts w:cstheme="minorHAnsi"/>
        </w:rPr>
        <w:t xml:space="preserve">the cost for </w:t>
      </w:r>
      <w:r w:rsidR="007427D1" w:rsidRPr="00FA739A">
        <w:rPr>
          <w:rFonts w:cstheme="minorHAnsi"/>
        </w:rPr>
        <w:t>additional second line patients</w:t>
      </w:r>
      <w:r w:rsidR="000125C6" w:rsidRPr="00FA739A">
        <w:rPr>
          <w:rFonts w:cstheme="minorHAnsi"/>
        </w:rPr>
        <w:t>.</w:t>
      </w:r>
      <w:r w:rsidR="000125C6" w:rsidRPr="00FA739A">
        <w:rPr>
          <w:rFonts w:cstheme="minorHAnsi"/>
          <w:i/>
        </w:rPr>
        <w:t xml:space="preserve"> </w:t>
      </w:r>
      <w:r w:rsidR="00185894" w:rsidRPr="00FA739A">
        <w:t xml:space="preserve">Revised rates of everolimus growth as proposed by the PBAC reduced the increase in caps to </w:t>
      </w:r>
      <w:r w:rsidR="00DC572C" w:rsidRPr="00DC572C">
        <w:t>$40 million to &lt; $50 million</w:t>
      </w:r>
      <w:r w:rsidR="00185894" w:rsidRPr="00FA739A">
        <w:t xml:space="preserve"> over 5 years.</w:t>
      </w:r>
      <w:r w:rsidR="000125C6" w:rsidRPr="00FA739A">
        <w:rPr>
          <w:rFonts w:cstheme="minorHAnsi"/>
          <w:i/>
        </w:rPr>
        <w:t xml:space="preserve"> </w:t>
      </w:r>
      <w:r w:rsidR="006726D2" w:rsidRPr="00FA739A">
        <w:rPr>
          <w:rFonts w:cstheme="minorHAnsi"/>
        </w:rPr>
        <w:t xml:space="preserve">For context, the existing first-line cap was set at </w:t>
      </w:r>
      <w:r w:rsidR="005A2F6E">
        <w:rPr>
          <w:rFonts w:cstheme="minorHAnsi"/>
        </w:rPr>
        <w:t>$200 million to &lt; $30</w:t>
      </w:r>
      <w:r w:rsidR="005A2F6E" w:rsidRPr="005A2F6E">
        <w:rPr>
          <w:rFonts w:cstheme="minorHAnsi"/>
        </w:rPr>
        <w:t>0 million</w:t>
      </w:r>
      <w:r w:rsidR="005A2F6E" w:rsidRPr="005A2F6E" w:rsidDel="005A2F6E">
        <w:rPr>
          <w:rFonts w:cstheme="minorHAnsi"/>
        </w:rPr>
        <w:t xml:space="preserve"> </w:t>
      </w:r>
      <w:r w:rsidR="006726D2" w:rsidRPr="00FA739A">
        <w:rPr>
          <w:rFonts w:cstheme="minorHAnsi"/>
        </w:rPr>
        <w:t>over 5 years.</w:t>
      </w:r>
    </w:p>
    <w:p w:rsidR="00542598" w:rsidRPr="00FA739A" w:rsidRDefault="008F28E9" w:rsidP="008F28E9">
      <w:pPr>
        <w:pStyle w:val="Caption"/>
        <w:spacing w:after="0"/>
      </w:pPr>
      <w:bookmarkStart w:id="9" w:name="_Ref56502778"/>
      <w:r w:rsidRPr="00FA739A">
        <w:t xml:space="preserve">Table </w:t>
      </w:r>
      <w:r w:rsidRPr="009978AC">
        <w:t>7</w:t>
      </w:r>
      <w:bookmarkEnd w:id="9"/>
      <w:r w:rsidR="00542598" w:rsidRPr="00FA739A">
        <w:t>: Proposed increase in the RSA caps for the CDKIs</w:t>
      </w:r>
    </w:p>
    <w:tbl>
      <w:tblPr>
        <w:tblStyle w:val="TableGrid"/>
        <w:tblW w:w="9209" w:type="dxa"/>
        <w:tblLook w:val="04A0" w:firstRow="1" w:lastRow="0" w:firstColumn="1" w:lastColumn="0" w:noHBand="0" w:noVBand="1"/>
        <w:tblCaption w:val="Table 7: Proposed increase in the RSA caps for the CDKIs"/>
      </w:tblPr>
      <w:tblGrid>
        <w:gridCol w:w="1980"/>
        <w:gridCol w:w="1417"/>
        <w:gridCol w:w="1276"/>
        <w:gridCol w:w="1559"/>
        <w:gridCol w:w="1560"/>
        <w:gridCol w:w="1417"/>
      </w:tblGrid>
      <w:tr w:rsidR="00542598" w:rsidRPr="00FA739A" w:rsidTr="00542598">
        <w:trPr>
          <w:trHeight w:val="300"/>
        </w:trPr>
        <w:tc>
          <w:tcPr>
            <w:tcW w:w="1980" w:type="dxa"/>
            <w:noWrap/>
            <w:hideMark/>
          </w:tcPr>
          <w:p w:rsidR="00542598" w:rsidRPr="00FA739A" w:rsidRDefault="00542598" w:rsidP="00542598">
            <w:pPr>
              <w:rPr>
                <w:rFonts w:ascii="Arial Narrow" w:hAnsi="Arial Narrow" w:cstheme="minorHAnsi"/>
                <w:b/>
                <w:bCs/>
                <w:sz w:val="20"/>
                <w:szCs w:val="20"/>
              </w:rPr>
            </w:pPr>
            <w:r w:rsidRPr="00FA739A">
              <w:rPr>
                <w:rFonts w:ascii="Arial Narrow" w:hAnsi="Arial Narrow" w:cstheme="minorHAnsi"/>
                <w:b/>
                <w:bCs/>
                <w:sz w:val="20"/>
                <w:szCs w:val="20"/>
              </w:rPr>
              <w:t> </w:t>
            </w:r>
          </w:p>
        </w:tc>
        <w:tc>
          <w:tcPr>
            <w:tcW w:w="1417" w:type="dxa"/>
            <w:noWrap/>
            <w:hideMark/>
          </w:tcPr>
          <w:p w:rsidR="00542598" w:rsidRPr="00FA739A" w:rsidRDefault="00542598" w:rsidP="00542598">
            <w:pPr>
              <w:jc w:val="center"/>
              <w:rPr>
                <w:rFonts w:ascii="Arial Narrow" w:hAnsi="Arial Narrow" w:cstheme="minorHAnsi"/>
                <w:b/>
                <w:bCs/>
                <w:sz w:val="20"/>
                <w:szCs w:val="20"/>
              </w:rPr>
            </w:pPr>
            <w:r w:rsidRPr="00FA739A">
              <w:rPr>
                <w:rFonts w:ascii="Arial Narrow" w:hAnsi="Arial Narrow" w:cstheme="minorHAnsi"/>
                <w:b/>
                <w:bCs/>
                <w:sz w:val="20"/>
                <w:szCs w:val="20"/>
              </w:rPr>
              <w:t>Year 1</w:t>
            </w:r>
          </w:p>
        </w:tc>
        <w:tc>
          <w:tcPr>
            <w:tcW w:w="1276" w:type="dxa"/>
            <w:noWrap/>
            <w:hideMark/>
          </w:tcPr>
          <w:p w:rsidR="00542598" w:rsidRPr="00FA739A" w:rsidRDefault="00542598" w:rsidP="00542598">
            <w:pPr>
              <w:jc w:val="center"/>
              <w:rPr>
                <w:rFonts w:ascii="Arial Narrow" w:hAnsi="Arial Narrow" w:cstheme="minorHAnsi"/>
                <w:b/>
                <w:bCs/>
                <w:sz w:val="20"/>
                <w:szCs w:val="20"/>
              </w:rPr>
            </w:pPr>
            <w:r w:rsidRPr="00FA739A">
              <w:rPr>
                <w:rFonts w:ascii="Arial Narrow" w:hAnsi="Arial Narrow" w:cstheme="minorHAnsi"/>
                <w:b/>
                <w:bCs/>
                <w:sz w:val="20"/>
                <w:szCs w:val="20"/>
              </w:rPr>
              <w:t>Year 2</w:t>
            </w:r>
          </w:p>
        </w:tc>
        <w:tc>
          <w:tcPr>
            <w:tcW w:w="1559" w:type="dxa"/>
            <w:noWrap/>
            <w:hideMark/>
          </w:tcPr>
          <w:p w:rsidR="00542598" w:rsidRPr="00FA739A" w:rsidRDefault="00542598" w:rsidP="00542598">
            <w:pPr>
              <w:jc w:val="center"/>
              <w:rPr>
                <w:rFonts w:ascii="Arial Narrow" w:hAnsi="Arial Narrow" w:cstheme="minorHAnsi"/>
                <w:b/>
                <w:bCs/>
                <w:sz w:val="20"/>
                <w:szCs w:val="20"/>
              </w:rPr>
            </w:pPr>
            <w:r w:rsidRPr="00FA739A">
              <w:rPr>
                <w:rFonts w:ascii="Arial Narrow" w:hAnsi="Arial Narrow" w:cstheme="minorHAnsi"/>
                <w:b/>
                <w:bCs/>
                <w:sz w:val="20"/>
                <w:szCs w:val="20"/>
              </w:rPr>
              <w:t>Year 3</w:t>
            </w:r>
          </w:p>
        </w:tc>
        <w:tc>
          <w:tcPr>
            <w:tcW w:w="1560" w:type="dxa"/>
            <w:noWrap/>
            <w:hideMark/>
          </w:tcPr>
          <w:p w:rsidR="00542598" w:rsidRPr="00FA739A" w:rsidRDefault="00542598" w:rsidP="00542598">
            <w:pPr>
              <w:jc w:val="center"/>
              <w:rPr>
                <w:rFonts w:ascii="Arial Narrow" w:hAnsi="Arial Narrow" w:cstheme="minorHAnsi"/>
                <w:b/>
                <w:bCs/>
                <w:sz w:val="20"/>
                <w:szCs w:val="20"/>
              </w:rPr>
            </w:pPr>
            <w:r w:rsidRPr="00FA739A">
              <w:rPr>
                <w:rFonts w:ascii="Arial Narrow" w:hAnsi="Arial Narrow" w:cstheme="minorHAnsi"/>
                <w:b/>
                <w:bCs/>
                <w:sz w:val="20"/>
                <w:szCs w:val="20"/>
              </w:rPr>
              <w:t>Year 4</w:t>
            </w:r>
          </w:p>
        </w:tc>
        <w:tc>
          <w:tcPr>
            <w:tcW w:w="1417" w:type="dxa"/>
            <w:noWrap/>
            <w:hideMark/>
          </w:tcPr>
          <w:p w:rsidR="00542598" w:rsidRPr="00FA739A" w:rsidRDefault="00542598" w:rsidP="00542598">
            <w:pPr>
              <w:jc w:val="center"/>
              <w:rPr>
                <w:rFonts w:ascii="Arial Narrow" w:hAnsi="Arial Narrow" w:cstheme="minorHAnsi"/>
                <w:b/>
                <w:bCs/>
                <w:sz w:val="20"/>
                <w:szCs w:val="20"/>
              </w:rPr>
            </w:pPr>
            <w:r w:rsidRPr="00FA739A">
              <w:rPr>
                <w:rFonts w:ascii="Arial Narrow" w:hAnsi="Arial Narrow" w:cstheme="minorHAnsi"/>
                <w:b/>
                <w:bCs/>
                <w:sz w:val="20"/>
                <w:szCs w:val="20"/>
              </w:rPr>
              <w:t>Year 5</w:t>
            </w:r>
          </w:p>
        </w:tc>
      </w:tr>
      <w:tr w:rsidR="00542598" w:rsidRPr="00FA739A" w:rsidTr="00542598">
        <w:trPr>
          <w:trHeight w:val="300"/>
        </w:trPr>
        <w:tc>
          <w:tcPr>
            <w:tcW w:w="1980" w:type="dxa"/>
            <w:noWrap/>
            <w:hideMark/>
          </w:tcPr>
          <w:p w:rsidR="00542598" w:rsidRPr="00FA739A" w:rsidRDefault="00542598" w:rsidP="00542598">
            <w:pPr>
              <w:rPr>
                <w:rFonts w:ascii="Arial Narrow" w:hAnsi="Arial Narrow" w:cstheme="minorHAnsi"/>
                <w:b/>
                <w:bCs/>
                <w:sz w:val="20"/>
                <w:szCs w:val="20"/>
              </w:rPr>
            </w:pPr>
            <w:r w:rsidRPr="00FA739A">
              <w:rPr>
                <w:rFonts w:ascii="Arial Narrow" w:hAnsi="Arial Narrow" w:cstheme="minorHAnsi"/>
                <w:b/>
                <w:bCs/>
                <w:sz w:val="20"/>
                <w:szCs w:val="20"/>
              </w:rPr>
              <w:t xml:space="preserve">Population </w:t>
            </w:r>
          </w:p>
        </w:tc>
        <w:tc>
          <w:tcPr>
            <w:tcW w:w="1417" w:type="dxa"/>
            <w:noWrap/>
            <w:vAlign w:val="center"/>
            <w:hideMark/>
          </w:tcPr>
          <w:p w:rsidR="00542598" w:rsidRPr="00FA739A" w:rsidRDefault="00542598" w:rsidP="00542598">
            <w:pPr>
              <w:jc w:val="center"/>
              <w:rPr>
                <w:rFonts w:ascii="Arial Narrow" w:hAnsi="Arial Narrow" w:cstheme="minorHAnsi"/>
                <w:b/>
                <w:bCs/>
                <w:sz w:val="20"/>
                <w:szCs w:val="20"/>
              </w:rPr>
            </w:pPr>
            <w:r w:rsidRPr="00FA739A">
              <w:rPr>
                <w:rFonts w:ascii="Arial Narrow" w:hAnsi="Arial Narrow" w:cstheme="minorHAnsi"/>
                <w:b/>
                <w:bCs/>
                <w:sz w:val="20"/>
                <w:szCs w:val="20"/>
              </w:rPr>
              <w:t>2021</w:t>
            </w:r>
          </w:p>
        </w:tc>
        <w:tc>
          <w:tcPr>
            <w:tcW w:w="1276" w:type="dxa"/>
            <w:noWrap/>
            <w:vAlign w:val="center"/>
            <w:hideMark/>
          </w:tcPr>
          <w:p w:rsidR="00542598" w:rsidRPr="00FA739A" w:rsidRDefault="00542598" w:rsidP="00542598">
            <w:pPr>
              <w:jc w:val="center"/>
              <w:rPr>
                <w:rFonts w:ascii="Arial Narrow" w:hAnsi="Arial Narrow" w:cstheme="minorHAnsi"/>
                <w:b/>
                <w:bCs/>
                <w:sz w:val="20"/>
                <w:szCs w:val="20"/>
              </w:rPr>
            </w:pPr>
            <w:r w:rsidRPr="00FA739A">
              <w:rPr>
                <w:rFonts w:ascii="Arial Narrow" w:hAnsi="Arial Narrow" w:cstheme="minorHAnsi"/>
                <w:b/>
                <w:bCs/>
                <w:sz w:val="20"/>
                <w:szCs w:val="20"/>
              </w:rPr>
              <w:t>2022</w:t>
            </w:r>
          </w:p>
        </w:tc>
        <w:tc>
          <w:tcPr>
            <w:tcW w:w="1559" w:type="dxa"/>
            <w:noWrap/>
            <w:vAlign w:val="center"/>
            <w:hideMark/>
          </w:tcPr>
          <w:p w:rsidR="00542598" w:rsidRPr="00FA739A" w:rsidRDefault="00542598" w:rsidP="00542598">
            <w:pPr>
              <w:jc w:val="center"/>
              <w:rPr>
                <w:rFonts w:ascii="Arial Narrow" w:hAnsi="Arial Narrow" w:cstheme="minorHAnsi"/>
                <w:b/>
                <w:bCs/>
                <w:sz w:val="20"/>
                <w:szCs w:val="20"/>
              </w:rPr>
            </w:pPr>
            <w:r w:rsidRPr="00FA739A">
              <w:rPr>
                <w:rFonts w:ascii="Arial Narrow" w:hAnsi="Arial Narrow" w:cstheme="minorHAnsi"/>
                <w:b/>
                <w:bCs/>
                <w:sz w:val="20"/>
                <w:szCs w:val="20"/>
              </w:rPr>
              <w:t>2023</w:t>
            </w:r>
          </w:p>
        </w:tc>
        <w:tc>
          <w:tcPr>
            <w:tcW w:w="1560" w:type="dxa"/>
            <w:noWrap/>
            <w:vAlign w:val="center"/>
            <w:hideMark/>
          </w:tcPr>
          <w:p w:rsidR="00542598" w:rsidRPr="00FA739A" w:rsidRDefault="00542598" w:rsidP="00542598">
            <w:pPr>
              <w:jc w:val="center"/>
              <w:rPr>
                <w:rFonts w:ascii="Arial Narrow" w:hAnsi="Arial Narrow" w:cstheme="minorHAnsi"/>
                <w:b/>
                <w:bCs/>
                <w:sz w:val="20"/>
                <w:szCs w:val="20"/>
              </w:rPr>
            </w:pPr>
            <w:r w:rsidRPr="00FA739A">
              <w:rPr>
                <w:rFonts w:ascii="Arial Narrow" w:hAnsi="Arial Narrow" w:cstheme="minorHAnsi"/>
                <w:b/>
                <w:bCs/>
                <w:sz w:val="20"/>
                <w:szCs w:val="20"/>
              </w:rPr>
              <w:t>2024</w:t>
            </w:r>
          </w:p>
        </w:tc>
        <w:tc>
          <w:tcPr>
            <w:tcW w:w="1417" w:type="dxa"/>
            <w:noWrap/>
            <w:vAlign w:val="center"/>
            <w:hideMark/>
          </w:tcPr>
          <w:p w:rsidR="00542598" w:rsidRPr="00FA739A" w:rsidRDefault="00542598" w:rsidP="00542598">
            <w:pPr>
              <w:jc w:val="center"/>
              <w:rPr>
                <w:rFonts w:ascii="Arial Narrow" w:hAnsi="Arial Narrow" w:cstheme="minorHAnsi"/>
                <w:b/>
                <w:bCs/>
                <w:sz w:val="20"/>
                <w:szCs w:val="20"/>
              </w:rPr>
            </w:pPr>
            <w:r w:rsidRPr="00FA739A">
              <w:rPr>
                <w:rFonts w:ascii="Arial Narrow" w:hAnsi="Arial Narrow" w:cstheme="minorHAnsi"/>
                <w:b/>
                <w:bCs/>
                <w:sz w:val="20"/>
                <w:szCs w:val="20"/>
              </w:rPr>
              <w:t>2025</w:t>
            </w:r>
          </w:p>
        </w:tc>
      </w:tr>
      <w:tr w:rsidR="00542598" w:rsidRPr="00FA739A" w:rsidTr="00542598">
        <w:trPr>
          <w:trHeight w:val="300"/>
        </w:trPr>
        <w:tc>
          <w:tcPr>
            <w:tcW w:w="1980" w:type="dxa"/>
            <w:noWrap/>
            <w:hideMark/>
          </w:tcPr>
          <w:p w:rsidR="00542598" w:rsidRPr="00FA739A" w:rsidRDefault="00542598" w:rsidP="00542598">
            <w:pPr>
              <w:rPr>
                <w:rFonts w:ascii="Arial Narrow" w:hAnsi="Arial Narrow" w:cstheme="minorHAnsi"/>
                <w:sz w:val="20"/>
                <w:szCs w:val="20"/>
              </w:rPr>
            </w:pPr>
            <w:r w:rsidRPr="00FA739A">
              <w:rPr>
                <w:rFonts w:ascii="Arial Narrow" w:hAnsi="Arial Narrow" w:cstheme="minorHAnsi"/>
                <w:sz w:val="20"/>
                <w:szCs w:val="20"/>
              </w:rPr>
              <w:t>Ribociclib net impact – Population 1</w:t>
            </w:r>
          </w:p>
        </w:tc>
        <w:tc>
          <w:tcPr>
            <w:tcW w:w="1417" w:type="dxa"/>
            <w:noWrap/>
            <w:vAlign w:val="center"/>
            <w:hideMark/>
          </w:tcPr>
          <w:p w:rsidR="00542598" w:rsidRPr="00AB6780" w:rsidRDefault="00AB6780" w:rsidP="00542598">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276" w:type="dxa"/>
            <w:noWrap/>
            <w:vAlign w:val="center"/>
            <w:hideMark/>
          </w:tcPr>
          <w:p w:rsidR="00542598" w:rsidRPr="00AB6780" w:rsidRDefault="00AB6780" w:rsidP="00542598">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559" w:type="dxa"/>
            <w:noWrap/>
            <w:vAlign w:val="center"/>
            <w:hideMark/>
          </w:tcPr>
          <w:p w:rsidR="00542598" w:rsidRPr="00AB6780" w:rsidRDefault="00AB6780" w:rsidP="00542598">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560" w:type="dxa"/>
            <w:noWrap/>
            <w:vAlign w:val="center"/>
            <w:hideMark/>
          </w:tcPr>
          <w:p w:rsidR="00542598" w:rsidRPr="00AB6780" w:rsidRDefault="00AB6780" w:rsidP="00542598">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417" w:type="dxa"/>
            <w:noWrap/>
            <w:vAlign w:val="center"/>
            <w:hideMark/>
          </w:tcPr>
          <w:p w:rsidR="00542598" w:rsidRPr="00AB6780" w:rsidRDefault="00AB6780" w:rsidP="00542598">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r>
      <w:tr w:rsidR="00542598" w:rsidRPr="00FA739A" w:rsidTr="00542598">
        <w:trPr>
          <w:trHeight w:val="300"/>
        </w:trPr>
        <w:tc>
          <w:tcPr>
            <w:tcW w:w="1980" w:type="dxa"/>
            <w:noWrap/>
            <w:hideMark/>
          </w:tcPr>
          <w:p w:rsidR="00542598" w:rsidRPr="00FA739A" w:rsidRDefault="00542598" w:rsidP="00542598">
            <w:pPr>
              <w:rPr>
                <w:rFonts w:ascii="Arial Narrow" w:hAnsi="Arial Narrow" w:cstheme="minorHAnsi"/>
                <w:sz w:val="20"/>
                <w:szCs w:val="20"/>
              </w:rPr>
            </w:pPr>
            <w:r w:rsidRPr="00FA739A">
              <w:rPr>
                <w:rFonts w:ascii="Arial Narrow" w:hAnsi="Arial Narrow" w:cstheme="minorHAnsi"/>
                <w:sz w:val="20"/>
                <w:szCs w:val="20"/>
              </w:rPr>
              <w:t>Ribociclib cost to govt.- Population 2</w:t>
            </w:r>
          </w:p>
        </w:tc>
        <w:tc>
          <w:tcPr>
            <w:tcW w:w="1417" w:type="dxa"/>
            <w:noWrap/>
            <w:vAlign w:val="center"/>
            <w:hideMark/>
          </w:tcPr>
          <w:p w:rsidR="00542598" w:rsidRPr="00AB6780" w:rsidRDefault="00AB6780" w:rsidP="00542598">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276" w:type="dxa"/>
            <w:noWrap/>
            <w:vAlign w:val="center"/>
            <w:hideMark/>
          </w:tcPr>
          <w:p w:rsidR="00542598" w:rsidRPr="00AB6780" w:rsidRDefault="00AB6780" w:rsidP="00542598">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559" w:type="dxa"/>
            <w:noWrap/>
            <w:vAlign w:val="center"/>
            <w:hideMark/>
          </w:tcPr>
          <w:p w:rsidR="00542598" w:rsidRPr="00AB6780" w:rsidRDefault="00AB6780" w:rsidP="00542598">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560" w:type="dxa"/>
            <w:noWrap/>
            <w:vAlign w:val="center"/>
            <w:hideMark/>
          </w:tcPr>
          <w:p w:rsidR="00542598" w:rsidRPr="00AB6780" w:rsidRDefault="00AB6780" w:rsidP="00542598">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417" w:type="dxa"/>
            <w:noWrap/>
            <w:vAlign w:val="center"/>
            <w:hideMark/>
          </w:tcPr>
          <w:p w:rsidR="00542598" w:rsidRPr="00AB6780" w:rsidRDefault="00AB6780" w:rsidP="00542598">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r>
      <w:tr w:rsidR="00542598" w:rsidRPr="00FA739A" w:rsidTr="00542598">
        <w:trPr>
          <w:trHeight w:val="300"/>
        </w:trPr>
        <w:tc>
          <w:tcPr>
            <w:tcW w:w="1980" w:type="dxa"/>
            <w:noWrap/>
            <w:hideMark/>
          </w:tcPr>
          <w:p w:rsidR="00542598" w:rsidRPr="00FA739A" w:rsidRDefault="00542598" w:rsidP="00542598">
            <w:pPr>
              <w:rPr>
                <w:rFonts w:ascii="Arial Narrow" w:hAnsi="Arial Narrow" w:cstheme="minorHAnsi"/>
                <w:sz w:val="20"/>
                <w:szCs w:val="20"/>
              </w:rPr>
            </w:pPr>
            <w:r w:rsidRPr="00FA739A">
              <w:rPr>
                <w:rFonts w:ascii="Arial Narrow" w:hAnsi="Arial Narrow" w:cstheme="minorHAnsi"/>
                <w:sz w:val="20"/>
                <w:szCs w:val="20"/>
              </w:rPr>
              <w:t>Ribociclib cost to govt. - Population 3</w:t>
            </w:r>
          </w:p>
        </w:tc>
        <w:tc>
          <w:tcPr>
            <w:tcW w:w="1417" w:type="dxa"/>
            <w:noWrap/>
            <w:vAlign w:val="center"/>
            <w:hideMark/>
          </w:tcPr>
          <w:p w:rsidR="00542598" w:rsidRPr="00AB6780" w:rsidRDefault="00AB6780" w:rsidP="00542598">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276" w:type="dxa"/>
            <w:noWrap/>
            <w:vAlign w:val="center"/>
            <w:hideMark/>
          </w:tcPr>
          <w:p w:rsidR="00542598" w:rsidRPr="00AB6780" w:rsidRDefault="00AB6780" w:rsidP="00542598">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559" w:type="dxa"/>
            <w:noWrap/>
            <w:vAlign w:val="center"/>
            <w:hideMark/>
          </w:tcPr>
          <w:p w:rsidR="00542598" w:rsidRPr="00AB6780" w:rsidRDefault="00AB6780" w:rsidP="00542598">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560" w:type="dxa"/>
            <w:noWrap/>
            <w:vAlign w:val="center"/>
            <w:hideMark/>
          </w:tcPr>
          <w:p w:rsidR="00542598" w:rsidRPr="00AB6780" w:rsidRDefault="00AB6780" w:rsidP="00542598">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417" w:type="dxa"/>
            <w:noWrap/>
            <w:vAlign w:val="center"/>
            <w:hideMark/>
          </w:tcPr>
          <w:p w:rsidR="00542598" w:rsidRPr="00AB6780" w:rsidRDefault="00AB6780" w:rsidP="00542598">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r>
      <w:tr w:rsidR="000B32FE" w:rsidRPr="00FA739A" w:rsidTr="00550CE2">
        <w:trPr>
          <w:trHeight w:val="300"/>
        </w:trPr>
        <w:tc>
          <w:tcPr>
            <w:tcW w:w="1980" w:type="dxa"/>
            <w:shd w:val="clear" w:color="auto" w:fill="BFBFBF" w:themeFill="background1" w:themeFillShade="BF"/>
            <w:noWrap/>
          </w:tcPr>
          <w:p w:rsidR="000B32FE" w:rsidRPr="00FA739A" w:rsidRDefault="000B32FE" w:rsidP="000B32FE">
            <w:pPr>
              <w:rPr>
                <w:rFonts w:ascii="Arial Narrow" w:hAnsi="Arial Narrow" w:cstheme="minorHAnsi"/>
                <w:sz w:val="20"/>
                <w:szCs w:val="20"/>
              </w:rPr>
            </w:pPr>
            <w:r w:rsidRPr="00FA739A">
              <w:rPr>
                <w:rFonts w:ascii="Arial Narrow" w:hAnsi="Arial Narrow" w:cstheme="minorHAnsi"/>
                <w:sz w:val="20"/>
                <w:szCs w:val="20"/>
              </w:rPr>
              <w:t>Revised ribociclib cost to govt – Population 3</w:t>
            </w:r>
          </w:p>
        </w:tc>
        <w:tc>
          <w:tcPr>
            <w:tcW w:w="1417" w:type="dxa"/>
            <w:shd w:val="clear" w:color="auto" w:fill="BFBFBF" w:themeFill="background1" w:themeFillShade="BF"/>
            <w:noWrap/>
            <w:vAlign w:val="center"/>
          </w:tcPr>
          <w:p w:rsidR="000B32FE" w:rsidRPr="00AB6780" w:rsidRDefault="00AB6780">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276" w:type="dxa"/>
            <w:shd w:val="clear" w:color="auto" w:fill="BFBFBF" w:themeFill="background1" w:themeFillShade="BF"/>
            <w:noWrap/>
            <w:vAlign w:val="center"/>
          </w:tcPr>
          <w:p w:rsidR="000B32FE" w:rsidRPr="00AB6780" w:rsidRDefault="00AB6780">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559" w:type="dxa"/>
            <w:shd w:val="clear" w:color="auto" w:fill="BFBFBF" w:themeFill="background1" w:themeFillShade="BF"/>
            <w:noWrap/>
            <w:vAlign w:val="center"/>
          </w:tcPr>
          <w:p w:rsidR="000B32FE" w:rsidRPr="00AB6780" w:rsidRDefault="00AB6780">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560" w:type="dxa"/>
            <w:shd w:val="clear" w:color="auto" w:fill="BFBFBF" w:themeFill="background1" w:themeFillShade="BF"/>
            <w:noWrap/>
            <w:vAlign w:val="center"/>
          </w:tcPr>
          <w:p w:rsidR="000B32FE" w:rsidRPr="00AB6780" w:rsidRDefault="00AB6780">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417" w:type="dxa"/>
            <w:shd w:val="clear" w:color="auto" w:fill="BFBFBF" w:themeFill="background1" w:themeFillShade="BF"/>
            <w:noWrap/>
            <w:vAlign w:val="center"/>
          </w:tcPr>
          <w:p w:rsidR="000B32FE" w:rsidRPr="00AB6780" w:rsidRDefault="00AB6780">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r>
      <w:tr w:rsidR="00542598" w:rsidRPr="00FA739A" w:rsidTr="00542598">
        <w:trPr>
          <w:trHeight w:val="300"/>
        </w:trPr>
        <w:tc>
          <w:tcPr>
            <w:tcW w:w="1980" w:type="dxa"/>
            <w:noWrap/>
            <w:hideMark/>
          </w:tcPr>
          <w:p w:rsidR="00542598" w:rsidRPr="00FA739A" w:rsidRDefault="00542598" w:rsidP="00542598">
            <w:pPr>
              <w:rPr>
                <w:rFonts w:ascii="Arial Narrow" w:hAnsi="Arial Narrow" w:cstheme="minorHAnsi"/>
                <w:sz w:val="20"/>
                <w:szCs w:val="20"/>
              </w:rPr>
            </w:pPr>
            <w:r w:rsidRPr="00FA739A">
              <w:rPr>
                <w:rFonts w:ascii="Arial Narrow" w:hAnsi="Arial Narrow" w:cstheme="minorHAnsi"/>
                <w:sz w:val="20"/>
                <w:szCs w:val="20"/>
              </w:rPr>
              <w:t>Ribociclib cost to govt. - Population 4</w:t>
            </w:r>
          </w:p>
        </w:tc>
        <w:tc>
          <w:tcPr>
            <w:tcW w:w="1417" w:type="dxa"/>
            <w:noWrap/>
            <w:vAlign w:val="center"/>
            <w:hideMark/>
          </w:tcPr>
          <w:p w:rsidR="00542598" w:rsidRPr="00AB6780" w:rsidRDefault="00AB6780" w:rsidP="00542598">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276" w:type="dxa"/>
            <w:noWrap/>
            <w:vAlign w:val="center"/>
            <w:hideMark/>
          </w:tcPr>
          <w:p w:rsidR="00542598" w:rsidRPr="00AB6780" w:rsidRDefault="00AB6780" w:rsidP="00542598">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559" w:type="dxa"/>
            <w:noWrap/>
            <w:vAlign w:val="center"/>
            <w:hideMark/>
          </w:tcPr>
          <w:p w:rsidR="00542598" w:rsidRPr="00AB6780" w:rsidRDefault="00AB6780" w:rsidP="00542598">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560" w:type="dxa"/>
            <w:noWrap/>
            <w:vAlign w:val="center"/>
            <w:hideMark/>
          </w:tcPr>
          <w:p w:rsidR="00542598" w:rsidRPr="00AB6780" w:rsidRDefault="00AB6780" w:rsidP="00542598">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417" w:type="dxa"/>
            <w:noWrap/>
            <w:vAlign w:val="center"/>
            <w:hideMark/>
          </w:tcPr>
          <w:p w:rsidR="00542598" w:rsidRPr="00AB6780" w:rsidRDefault="00AB6780" w:rsidP="00542598">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r>
      <w:tr w:rsidR="00542598" w:rsidRPr="00FA739A" w:rsidTr="00542598">
        <w:trPr>
          <w:trHeight w:val="315"/>
        </w:trPr>
        <w:tc>
          <w:tcPr>
            <w:tcW w:w="1980" w:type="dxa"/>
            <w:noWrap/>
            <w:hideMark/>
          </w:tcPr>
          <w:p w:rsidR="00542598" w:rsidRPr="00FA739A" w:rsidRDefault="00542598" w:rsidP="00542598">
            <w:pPr>
              <w:rPr>
                <w:rFonts w:ascii="Arial Narrow" w:hAnsi="Arial Narrow" w:cstheme="minorHAnsi"/>
                <w:b/>
                <w:sz w:val="20"/>
                <w:szCs w:val="20"/>
              </w:rPr>
            </w:pPr>
            <w:r w:rsidRPr="00FA739A">
              <w:rPr>
                <w:rFonts w:ascii="Arial Narrow" w:hAnsi="Arial Narrow" w:cstheme="minorHAnsi"/>
                <w:b/>
                <w:sz w:val="20"/>
                <w:szCs w:val="20"/>
              </w:rPr>
              <w:t xml:space="preserve">Total </w:t>
            </w:r>
          </w:p>
        </w:tc>
        <w:tc>
          <w:tcPr>
            <w:tcW w:w="1417" w:type="dxa"/>
            <w:noWrap/>
            <w:vAlign w:val="center"/>
            <w:hideMark/>
          </w:tcPr>
          <w:p w:rsidR="00542598" w:rsidRPr="00AB6780" w:rsidRDefault="00AB6780" w:rsidP="00542598">
            <w:pPr>
              <w:jc w:val="center"/>
              <w:rPr>
                <w:rFonts w:ascii="Arial Narrow" w:hAnsi="Arial Narrow" w:cstheme="minorHAnsi"/>
                <w:b/>
                <w:sz w:val="20"/>
                <w:szCs w:val="20"/>
                <w:highlight w:val="black"/>
              </w:rPr>
            </w:pPr>
            <w:r>
              <w:rPr>
                <w:rFonts w:ascii="Arial Narrow" w:hAnsi="Arial Narrow" w:cstheme="minorHAnsi"/>
                <w:b/>
                <w:noProof/>
                <w:color w:val="000000"/>
                <w:sz w:val="20"/>
                <w:szCs w:val="20"/>
                <w:highlight w:val="black"/>
              </w:rPr>
              <w:t>''''''''''''''''''''</w:t>
            </w:r>
          </w:p>
        </w:tc>
        <w:tc>
          <w:tcPr>
            <w:tcW w:w="1276" w:type="dxa"/>
            <w:noWrap/>
            <w:vAlign w:val="center"/>
            <w:hideMark/>
          </w:tcPr>
          <w:p w:rsidR="00542598" w:rsidRPr="00AB6780" w:rsidRDefault="00AB6780" w:rsidP="00542598">
            <w:pPr>
              <w:jc w:val="center"/>
              <w:rPr>
                <w:rFonts w:ascii="Arial Narrow" w:hAnsi="Arial Narrow" w:cstheme="minorHAnsi"/>
                <w:b/>
                <w:sz w:val="20"/>
                <w:szCs w:val="20"/>
                <w:highlight w:val="black"/>
              </w:rPr>
            </w:pPr>
            <w:r>
              <w:rPr>
                <w:rFonts w:ascii="Arial Narrow" w:hAnsi="Arial Narrow" w:cstheme="minorHAnsi"/>
                <w:b/>
                <w:noProof/>
                <w:color w:val="000000"/>
                <w:sz w:val="20"/>
                <w:szCs w:val="20"/>
                <w:highlight w:val="black"/>
              </w:rPr>
              <w:t>''''''''''''''''''''</w:t>
            </w:r>
          </w:p>
        </w:tc>
        <w:tc>
          <w:tcPr>
            <w:tcW w:w="1559" w:type="dxa"/>
            <w:noWrap/>
            <w:vAlign w:val="center"/>
            <w:hideMark/>
          </w:tcPr>
          <w:p w:rsidR="00542598" w:rsidRPr="00AB6780" w:rsidRDefault="00AB6780" w:rsidP="00542598">
            <w:pPr>
              <w:jc w:val="center"/>
              <w:rPr>
                <w:rFonts w:ascii="Arial Narrow" w:hAnsi="Arial Narrow" w:cstheme="minorHAnsi"/>
                <w:b/>
                <w:sz w:val="20"/>
                <w:szCs w:val="20"/>
                <w:highlight w:val="black"/>
              </w:rPr>
            </w:pPr>
            <w:r>
              <w:rPr>
                <w:rFonts w:ascii="Arial Narrow" w:hAnsi="Arial Narrow" w:cstheme="minorHAnsi"/>
                <w:b/>
                <w:noProof/>
                <w:color w:val="000000"/>
                <w:sz w:val="20"/>
                <w:szCs w:val="20"/>
                <w:highlight w:val="black"/>
              </w:rPr>
              <w:t>''''''''''''''''''''</w:t>
            </w:r>
          </w:p>
        </w:tc>
        <w:tc>
          <w:tcPr>
            <w:tcW w:w="1560" w:type="dxa"/>
            <w:noWrap/>
            <w:vAlign w:val="center"/>
            <w:hideMark/>
          </w:tcPr>
          <w:p w:rsidR="00542598" w:rsidRPr="00AB6780" w:rsidRDefault="00AB6780" w:rsidP="00542598">
            <w:pPr>
              <w:jc w:val="center"/>
              <w:rPr>
                <w:rFonts w:ascii="Arial Narrow" w:hAnsi="Arial Narrow" w:cstheme="minorHAnsi"/>
                <w:b/>
                <w:sz w:val="20"/>
                <w:szCs w:val="20"/>
                <w:highlight w:val="black"/>
              </w:rPr>
            </w:pPr>
            <w:r>
              <w:rPr>
                <w:rFonts w:ascii="Arial Narrow" w:hAnsi="Arial Narrow" w:cstheme="minorHAnsi"/>
                <w:b/>
                <w:noProof/>
                <w:color w:val="000000"/>
                <w:sz w:val="20"/>
                <w:szCs w:val="20"/>
                <w:highlight w:val="black"/>
              </w:rPr>
              <w:t>''''''''''''''''''''</w:t>
            </w:r>
          </w:p>
        </w:tc>
        <w:tc>
          <w:tcPr>
            <w:tcW w:w="1417" w:type="dxa"/>
            <w:noWrap/>
            <w:vAlign w:val="center"/>
            <w:hideMark/>
          </w:tcPr>
          <w:p w:rsidR="00542598" w:rsidRPr="00AB6780" w:rsidRDefault="00AB6780" w:rsidP="00542598">
            <w:pPr>
              <w:jc w:val="center"/>
              <w:rPr>
                <w:rFonts w:ascii="Arial Narrow" w:hAnsi="Arial Narrow" w:cstheme="minorHAnsi"/>
                <w:b/>
                <w:sz w:val="20"/>
                <w:szCs w:val="20"/>
                <w:highlight w:val="black"/>
              </w:rPr>
            </w:pPr>
            <w:r>
              <w:rPr>
                <w:rFonts w:ascii="Arial Narrow" w:hAnsi="Arial Narrow" w:cstheme="minorHAnsi"/>
                <w:b/>
                <w:noProof/>
                <w:color w:val="000000"/>
                <w:sz w:val="20"/>
                <w:szCs w:val="20"/>
                <w:highlight w:val="black"/>
              </w:rPr>
              <w:t>''''''''''''''''''''</w:t>
            </w:r>
          </w:p>
        </w:tc>
      </w:tr>
      <w:tr w:rsidR="000B32FE" w:rsidRPr="00FA739A" w:rsidTr="00550CE2">
        <w:trPr>
          <w:trHeight w:val="315"/>
        </w:trPr>
        <w:tc>
          <w:tcPr>
            <w:tcW w:w="1980" w:type="dxa"/>
            <w:shd w:val="clear" w:color="auto" w:fill="BFBFBF" w:themeFill="background1" w:themeFillShade="BF"/>
            <w:noWrap/>
          </w:tcPr>
          <w:p w:rsidR="000B32FE" w:rsidRPr="00FA739A" w:rsidRDefault="000B32FE" w:rsidP="000B32FE">
            <w:pPr>
              <w:rPr>
                <w:rFonts w:ascii="Arial Narrow" w:hAnsi="Arial Narrow" w:cstheme="minorHAnsi"/>
                <w:b/>
                <w:sz w:val="20"/>
                <w:szCs w:val="20"/>
              </w:rPr>
            </w:pPr>
            <w:r w:rsidRPr="00FA739A">
              <w:rPr>
                <w:rFonts w:ascii="Arial Narrow" w:hAnsi="Arial Narrow" w:cstheme="minorHAnsi"/>
                <w:b/>
                <w:sz w:val="20"/>
                <w:szCs w:val="20"/>
              </w:rPr>
              <w:t>PBAC revised total</w:t>
            </w:r>
          </w:p>
        </w:tc>
        <w:tc>
          <w:tcPr>
            <w:tcW w:w="1417" w:type="dxa"/>
            <w:shd w:val="clear" w:color="auto" w:fill="BFBFBF" w:themeFill="background1" w:themeFillShade="BF"/>
            <w:noWrap/>
            <w:vAlign w:val="center"/>
          </w:tcPr>
          <w:p w:rsidR="000B32FE" w:rsidRPr="00AB6780" w:rsidRDefault="00AB6780">
            <w:pPr>
              <w:jc w:val="center"/>
              <w:rPr>
                <w:rFonts w:ascii="Arial Narrow" w:hAnsi="Arial Narrow" w:cstheme="minorHAnsi"/>
                <w:b/>
                <w:sz w:val="20"/>
                <w:szCs w:val="20"/>
                <w:highlight w:val="black"/>
              </w:rPr>
            </w:pPr>
            <w:r>
              <w:rPr>
                <w:rFonts w:ascii="Arial Narrow" w:hAnsi="Arial Narrow" w:cstheme="minorHAnsi"/>
                <w:b/>
                <w:noProof/>
                <w:color w:val="000000"/>
                <w:sz w:val="20"/>
                <w:szCs w:val="20"/>
                <w:highlight w:val="black"/>
              </w:rPr>
              <w:t>''''''''''''''''''''</w:t>
            </w:r>
          </w:p>
        </w:tc>
        <w:tc>
          <w:tcPr>
            <w:tcW w:w="1276" w:type="dxa"/>
            <w:shd w:val="clear" w:color="auto" w:fill="BFBFBF" w:themeFill="background1" w:themeFillShade="BF"/>
            <w:noWrap/>
            <w:vAlign w:val="center"/>
          </w:tcPr>
          <w:p w:rsidR="000B32FE" w:rsidRPr="00AB6780" w:rsidRDefault="00AB6780">
            <w:pPr>
              <w:jc w:val="center"/>
              <w:rPr>
                <w:rFonts w:ascii="Arial Narrow" w:hAnsi="Arial Narrow" w:cstheme="minorHAnsi"/>
                <w:b/>
                <w:sz w:val="20"/>
                <w:szCs w:val="20"/>
                <w:highlight w:val="black"/>
              </w:rPr>
            </w:pPr>
            <w:r>
              <w:rPr>
                <w:rFonts w:ascii="Arial Narrow" w:hAnsi="Arial Narrow" w:cstheme="minorHAnsi"/>
                <w:b/>
                <w:noProof/>
                <w:color w:val="000000"/>
                <w:sz w:val="20"/>
                <w:szCs w:val="20"/>
                <w:highlight w:val="black"/>
              </w:rPr>
              <w:t>''''''''''''''''''''</w:t>
            </w:r>
          </w:p>
        </w:tc>
        <w:tc>
          <w:tcPr>
            <w:tcW w:w="1559" w:type="dxa"/>
            <w:shd w:val="clear" w:color="auto" w:fill="BFBFBF" w:themeFill="background1" w:themeFillShade="BF"/>
            <w:noWrap/>
            <w:vAlign w:val="center"/>
          </w:tcPr>
          <w:p w:rsidR="000B32FE" w:rsidRPr="00AB6780" w:rsidRDefault="00AB6780">
            <w:pPr>
              <w:jc w:val="center"/>
              <w:rPr>
                <w:rFonts w:ascii="Arial Narrow" w:hAnsi="Arial Narrow" w:cstheme="minorHAnsi"/>
                <w:b/>
                <w:sz w:val="20"/>
                <w:szCs w:val="20"/>
                <w:highlight w:val="black"/>
              </w:rPr>
            </w:pPr>
            <w:r>
              <w:rPr>
                <w:rFonts w:ascii="Arial Narrow" w:hAnsi="Arial Narrow" w:cstheme="minorHAnsi"/>
                <w:b/>
                <w:noProof/>
                <w:color w:val="000000"/>
                <w:sz w:val="20"/>
                <w:szCs w:val="20"/>
                <w:highlight w:val="black"/>
              </w:rPr>
              <w:t>''''''''''''''''''''''''</w:t>
            </w:r>
          </w:p>
        </w:tc>
        <w:tc>
          <w:tcPr>
            <w:tcW w:w="1560" w:type="dxa"/>
            <w:shd w:val="clear" w:color="auto" w:fill="BFBFBF" w:themeFill="background1" w:themeFillShade="BF"/>
            <w:noWrap/>
            <w:vAlign w:val="center"/>
          </w:tcPr>
          <w:p w:rsidR="000B32FE" w:rsidRPr="00AB6780" w:rsidRDefault="00AB6780">
            <w:pPr>
              <w:jc w:val="center"/>
              <w:rPr>
                <w:rFonts w:ascii="Arial Narrow" w:hAnsi="Arial Narrow" w:cstheme="minorHAnsi"/>
                <w:b/>
                <w:sz w:val="20"/>
                <w:szCs w:val="20"/>
                <w:highlight w:val="black"/>
              </w:rPr>
            </w:pPr>
            <w:r>
              <w:rPr>
                <w:rFonts w:ascii="Arial Narrow" w:hAnsi="Arial Narrow" w:cstheme="minorHAnsi"/>
                <w:b/>
                <w:noProof/>
                <w:color w:val="000000"/>
                <w:sz w:val="20"/>
                <w:szCs w:val="20"/>
                <w:highlight w:val="black"/>
              </w:rPr>
              <w:t>'''''''''''''''''''''''</w:t>
            </w:r>
          </w:p>
        </w:tc>
        <w:tc>
          <w:tcPr>
            <w:tcW w:w="1417" w:type="dxa"/>
            <w:shd w:val="clear" w:color="auto" w:fill="BFBFBF" w:themeFill="background1" w:themeFillShade="BF"/>
            <w:noWrap/>
            <w:vAlign w:val="center"/>
          </w:tcPr>
          <w:p w:rsidR="000B32FE" w:rsidRPr="00AB6780" w:rsidRDefault="00AB6780">
            <w:pPr>
              <w:jc w:val="center"/>
              <w:rPr>
                <w:rFonts w:ascii="Arial Narrow" w:hAnsi="Arial Narrow" w:cstheme="minorHAnsi"/>
                <w:b/>
                <w:sz w:val="20"/>
                <w:szCs w:val="20"/>
                <w:highlight w:val="black"/>
              </w:rPr>
            </w:pPr>
            <w:r>
              <w:rPr>
                <w:rFonts w:ascii="Arial Narrow" w:hAnsi="Arial Narrow" w:cstheme="minorHAnsi"/>
                <w:b/>
                <w:noProof/>
                <w:color w:val="000000"/>
                <w:sz w:val="20"/>
                <w:szCs w:val="20"/>
                <w:highlight w:val="black"/>
              </w:rPr>
              <w:t>'''''''''''''''''''''</w:t>
            </w:r>
          </w:p>
        </w:tc>
      </w:tr>
    </w:tbl>
    <w:p w:rsidR="006350CC" w:rsidRDefault="00542598" w:rsidP="00322A93">
      <w:pPr>
        <w:pStyle w:val="TableFooter"/>
      </w:pPr>
      <w:r w:rsidRPr="00FA739A">
        <w:t>Source: Table 7 of the resubmission</w:t>
      </w:r>
      <w:r w:rsidR="000B32FE" w:rsidRPr="00FA739A">
        <w:t>. Shaded cells are values revised by PBAC</w:t>
      </w:r>
    </w:p>
    <w:p w:rsidR="00322A93" w:rsidRPr="00FA739A" w:rsidRDefault="00322A93" w:rsidP="00322A93"/>
    <w:p w:rsidR="006350CC" w:rsidRPr="00FA739A" w:rsidRDefault="006350CC" w:rsidP="00322A93">
      <w:pPr>
        <w:pStyle w:val="Bodytextitalics"/>
      </w:pPr>
      <w:r w:rsidRPr="00FA739A">
        <w:t xml:space="preserve">For more detail on PBAC’s view, see section </w:t>
      </w:r>
      <w:r w:rsidR="008C1F01" w:rsidRPr="00FA739A">
        <w:t>5</w:t>
      </w:r>
      <w:r w:rsidRPr="00FA739A">
        <w:t xml:space="preserve"> PBAC outcome.</w:t>
      </w:r>
    </w:p>
    <w:p w:rsidR="006350CC" w:rsidRPr="00FA739A" w:rsidRDefault="006350CC" w:rsidP="006350CC">
      <w:pPr>
        <w:pStyle w:val="Heading1"/>
        <w:keepLines/>
        <w:numPr>
          <w:ilvl w:val="0"/>
          <w:numId w:val="3"/>
        </w:numPr>
        <w:spacing w:before="240"/>
        <w:ind w:left="709" w:hanging="709"/>
        <w:rPr>
          <w:sz w:val="32"/>
          <w:szCs w:val="32"/>
        </w:rPr>
      </w:pPr>
      <w:r w:rsidRPr="00FA739A">
        <w:rPr>
          <w:sz w:val="32"/>
          <w:szCs w:val="32"/>
        </w:rPr>
        <w:lastRenderedPageBreak/>
        <w:t>PBAC Outcome</w:t>
      </w:r>
    </w:p>
    <w:p w:rsidR="004819B5" w:rsidRPr="009978AC" w:rsidRDefault="004819B5" w:rsidP="00550CE2">
      <w:pPr>
        <w:widowControl w:val="0"/>
        <w:numPr>
          <w:ilvl w:val="1"/>
          <w:numId w:val="1"/>
        </w:numPr>
        <w:spacing w:after="120"/>
        <w:rPr>
          <w:rFonts w:asciiTheme="minorHAnsi" w:hAnsiTheme="minorHAnsi"/>
          <w:bCs/>
        </w:rPr>
      </w:pPr>
      <w:r w:rsidRPr="009978AC">
        <w:rPr>
          <w:rFonts w:asciiTheme="minorHAnsi" w:hAnsiTheme="minorHAnsi" w:cs="Arial"/>
          <w:bCs/>
          <w:snapToGrid w:val="0"/>
        </w:rPr>
        <w:t xml:space="preserve">The PBAC recommended the listing of ribociclib in combination with fulvestrant, for the treatment of patients with HR+, HER2- unresectable advanced or metastatic breast cancer. The PBAC previously recognised the clinical need for ribociclib in combination with fulvestrant but deferred making a recommendation in order to resolve the appropriate weighted price, financial impact and changes to risk sharing arrangements for ribociclib. The PBAC considered that these issues were appropriately addressed in the minor resubmission. </w:t>
      </w:r>
    </w:p>
    <w:p w:rsidR="007D2D27" w:rsidRPr="009978AC" w:rsidRDefault="007D2D27" w:rsidP="007D2D27">
      <w:pPr>
        <w:widowControl w:val="0"/>
        <w:numPr>
          <w:ilvl w:val="1"/>
          <w:numId w:val="1"/>
        </w:numPr>
        <w:spacing w:after="120"/>
        <w:rPr>
          <w:rFonts w:asciiTheme="minorHAnsi" w:hAnsiTheme="minorHAnsi"/>
          <w:bCs/>
          <w:snapToGrid w:val="0"/>
        </w:rPr>
      </w:pPr>
      <w:r w:rsidRPr="009978AC">
        <w:rPr>
          <w:rFonts w:asciiTheme="minorHAnsi" w:hAnsiTheme="minorHAnsi"/>
          <w:bCs/>
          <w:snapToGrid w:val="0"/>
        </w:rPr>
        <w:t>The PBAC noted it had previously indicated it was satisfied that RIBO+FULV is non-inferior to RIBO+NSAI in terms of PFS and that RIBO+FULV provides, for some patients, a significant improvement in PFS and a reduction in toxicity over EVE+EXE.</w:t>
      </w:r>
    </w:p>
    <w:p w:rsidR="007D2D27" w:rsidRPr="009978AC" w:rsidRDefault="003C1A0D" w:rsidP="007D2D27">
      <w:pPr>
        <w:widowControl w:val="0"/>
        <w:numPr>
          <w:ilvl w:val="1"/>
          <w:numId w:val="1"/>
        </w:numPr>
        <w:spacing w:after="120"/>
        <w:rPr>
          <w:rFonts w:asciiTheme="minorHAnsi" w:hAnsiTheme="minorHAnsi"/>
          <w:bCs/>
          <w:snapToGrid w:val="0"/>
        </w:rPr>
      </w:pPr>
      <w:r w:rsidRPr="009978AC">
        <w:rPr>
          <w:rFonts w:asciiTheme="minorHAnsi" w:hAnsiTheme="minorHAnsi"/>
          <w:bCs/>
          <w:snapToGrid w:val="0"/>
        </w:rPr>
        <w:t>The PBAC recalled that, along with BCNA and MOGA, it had requested the sponsor submit an application for ribociclib in combination with fulvestrant</w:t>
      </w:r>
      <w:r w:rsidR="0039000D" w:rsidRPr="009978AC">
        <w:rPr>
          <w:rFonts w:asciiTheme="minorHAnsi" w:hAnsiTheme="minorHAnsi"/>
          <w:bCs/>
          <w:snapToGrid w:val="0"/>
        </w:rPr>
        <w:t xml:space="preserve"> in this indication</w:t>
      </w:r>
      <w:r w:rsidRPr="009978AC">
        <w:rPr>
          <w:rFonts w:asciiTheme="minorHAnsi" w:hAnsiTheme="minorHAnsi"/>
          <w:bCs/>
          <w:snapToGrid w:val="0"/>
        </w:rPr>
        <w:t xml:space="preserve">. </w:t>
      </w:r>
      <w:r w:rsidR="007D2D27" w:rsidRPr="009978AC">
        <w:rPr>
          <w:rFonts w:asciiTheme="minorHAnsi" w:hAnsiTheme="minorHAnsi"/>
          <w:bCs/>
          <w:snapToGrid w:val="0"/>
        </w:rPr>
        <w:t>The PBAC previously recognised the high clinical need in the subsequent line listing, though use in this population is likely to be declining</w:t>
      </w:r>
      <w:r w:rsidR="0039000D" w:rsidRPr="009978AC">
        <w:rPr>
          <w:rFonts w:asciiTheme="minorHAnsi" w:hAnsiTheme="minorHAnsi"/>
          <w:bCs/>
          <w:snapToGrid w:val="0"/>
        </w:rPr>
        <w:t>,</w:t>
      </w:r>
      <w:r w:rsidR="007D2D27" w:rsidRPr="009978AC">
        <w:rPr>
          <w:rFonts w:asciiTheme="minorHAnsi" w:hAnsiTheme="minorHAnsi"/>
          <w:bCs/>
          <w:snapToGrid w:val="0"/>
        </w:rPr>
        <w:t xml:space="preserve"> and noted that there is also a need in the first line setting for patients who relapse on or within 12 months of prior (neo)adjuvant treatment with AI for early breast cancer and in the small group of patients in whom single-agent NSAIs may be used first line, but who are considered suitable for CDKI combination therapy in second line.</w:t>
      </w:r>
    </w:p>
    <w:p w:rsidR="00DE1CD8" w:rsidRPr="00FA739A" w:rsidRDefault="00B2717C" w:rsidP="00DE1CD8">
      <w:pPr>
        <w:pStyle w:val="3-BodyText"/>
        <w:numPr>
          <w:ilvl w:val="1"/>
          <w:numId w:val="1"/>
        </w:numPr>
      </w:pPr>
      <w:r w:rsidRPr="00FA739A">
        <w:t xml:space="preserve">The PBAC </w:t>
      </w:r>
      <w:r w:rsidR="004A4E96" w:rsidRPr="00FA739A">
        <w:t>recalled its July</w:t>
      </w:r>
      <w:r w:rsidR="00731468">
        <w:t> </w:t>
      </w:r>
      <w:r w:rsidR="004A4E96" w:rsidRPr="00FA739A">
        <w:t xml:space="preserve">2020 consideration of fulvestrant monotherapy and </w:t>
      </w:r>
      <w:r w:rsidRPr="00FA739A">
        <w:t xml:space="preserve">noted that </w:t>
      </w:r>
      <w:r w:rsidR="004A4E96" w:rsidRPr="00FA739A">
        <w:t>fulvestrant</w:t>
      </w:r>
      <w:r w:rsidR="00EF322C" w:rsidRPr="00FA739A">
        <w:t xml:space="preserve"> would be</w:t>
      </w:r>
      <w:r w:rsidR="004A4E96" w:rsidRPr="00FA739A">
        <w:t xml:space="preserve"> </w:t>
      </w:r>
      <w:r w:rsidRPr="00FA739A">
        <w:t>acceptabl</w:t>
      </w:r>
      <w:r w:rsidR="00EF322C" w:rsidRPr="00FA739A">
        <w:t>y</w:t>
      </w:r>
      <w:r w:rsidRPr="00FA739A">
        <w:t xml:space="preserve"> cost-effective for use as monotherapy </w:t>
      </w:r>
      <w:r w:rsidR="00EF322C" w:rsidRPr="00FA739A">
        <w:t xml:space="preserve">at the price proposed in this submission. </w:t>
      </w:r>
    </w:p>
    <w:p w:rsidR="0039000D" w:rsidRPr="00FA739A" w:rsidRDefault="003C1A0D" w:rsidP="0039000D">
      <w:pPr>
        <w:pStyle w:val="3-BodyText"/>
        <w:numPr>
          <w:ilvl w:val="1"/>
          <w:numId w:val="1"/>
        </w:numPr>
      </w:pPr>
      <w:r w:rsidRPr="00FA739A">
        <w:t xml:space="preserve">The PBAC considered </w:t>
      </w:r>
      <w:r w:rsidR="001166C9" w:rsidRPr="00FA739A">
        <w:t>there should be a single initial listing</w:t>
      </w:r>
      <w:r w:rsidRPr="00FA739A">
        <w:t xml:space="preserve"> </w:t>
      </w:r>
      <w:r w:rsidR="0039000D" w:rsidRPr="00FA739A">
        <w:t>for ribociclib</w:t>
      </w:r>
      <w:r w:rsidR="008446C9" w:rsidRPr="00FA739A">
        <w:t>,</w:t>
      </w:r>
      <w:r w:rsidR="0039000D" w:rsidRPr="00FA739A">
        <w:t xml:space="preserve"> </w:t>
      </w:r>
      <w:r w:rsidR="008446C9" w:rsidRPr="00FA739A">
        <w:t xml:space="preserve">combining first and subsequent line treatment, </w:t>
      </w:r>
      <w:r w:rsidR="008C1F01" w:rsidRPr="00FA739A">
        <w:t>given ambiguity</w:t>
      </w:r>
      <w:r w:rsidRPr="00FA739A">
        <w:t xml:space="preserve"> as to what constitutes the various ‘lines’ of therapy. The PBAC noted that </w:t>
      </w:r>
      <w:r w:rsidR="008446C9" w:rsidRPr="00FA739A">
        <w:t>this</w:t>
      </w:r>
      <w:r w:rsidRPr="00FA739A">
        <w:t xml:space="preserve"> would result in ribociclib having a </w:t>
      </w:r>
      <w:r w:rsidR="00BF52BE" w:rsidRPr="00FA739A">
        <w:t xml:space="preserve">substantially </w:t>
      </w:r>
      <w:r w:rsidRPr="00FA739A">
        <w:t xml:space="preserve">different restriction to the other CDKIs, but considered this approach remained preferable. The PBAC considered grandfather and continuing restrictions </w:t>
      </w:r>
      <w:r w:rsidR="008446C9" w:rsidRPr="00FA739A">
        <w:t xml:space="preserve">combining first and subsequent line treatment </w:t>
      </w:r>
      <w:r w:rsidRPr="00FA739A">
        <w:t>would also be appropriate.</w:t>
      </w:r>
      <w:r w:rsidR="0039000D" w:rsidRPr="00FA739A">
        <w:t xml:space="preserve"> The PBAC considered that the listing for fulvestrant should be a line-agnostic listing combining initial and continuing treatment</w:t>
      </w:r>
      <w:r w:rsidR="000F4B12" w:rsidRPr="00FA739A">
        <w:t>,</w:t>
      </w:r>
      <w:r w:rsidR="0039000D" w:rsidRPr="00FA739A">
        <w:t xml:space="preserve"> as recommended in its July 2020 consideration of fulvestrant. </w:t>
      </w:r>
    </w:p>
    <w:p w:rsidR="001166C9" w:rsidRPr="009978AC" w:rsidRDefault="001166C9" w:rsidP="001933D9">
      <w:pPr>
        <w:pStyle w:val="3Bodytext"/>
        <w:jc w:val="both"/>
        <w:rPr>
          <w:snapToGrid w:val="0"/>
        </w:rPr>
      </w:pPr>
      <w:r w:rsidRPr="009978AC">
        <w:rPr>
          <w:snapToGrid w:val="0"/>
        </w:rPr>
        <w:t xml:space="preserve">The PBAC noted that the approach to the cost minimisation analysis </w:t>
      </w:r>
      <w:r w:rsidR="006A1213" w:rsidRPr="009978AC">
        <w:rPr>
          <w:snapToGrid w:val="0"/>
        </w:rPr>
        <w:t>and the price derived for</w:t>
      </w:r>
      <w:r w:rsidRPr="009978AC">
        <w:rPr>
          <w:snapToGrid w:val="0"/>
        </w:rPr>
        <w:t xml:space="preserve"> RIBO+FULV compared with RIBO+NSAI as first line treatment was unchanged from </w:t>
      </w:r>
      <w:r w:rsidR="00A55677" w:rsidRPr="009978AC">
        <w:rPr>
          <w:snapToGrid w:val="0"/>
        </w:rPr>
        <w:t xml:space="preserve">the </w:t>
      </w:r>
      <w:r w:rsidRPr="009978AC">
        <w:rPr>
          <w:snapToGrid w:val="0"/>
        </w:rPr>
        <w:t xml:space="preserve">July 2020 submission. The PBAC previously considered that the proposed equi-effective doses were reasonable. </w:t>
      </w:r>
      <w:r w:rsidR="001933D9" w:rsidRPr="00FA739A">
        <w:t xml:space="preserve">The PBAC noted that the </w:t>
      </w:r>
      <w:r w:rsidR="001933D9" w:rsidRPr="00FA739A">
        <w:rPr>
          <w:rFonts w:ascii="Calibri" w:eastAsia="Times New Roman" w:hAnsi="Calibri" w:cs="Times New Roman"/>
          <w:szCs w:val="24"/>
        </w:rPr>
        <w:t xml:space="preserve">comparator price applied in the cost-minimisation analysis did not take into account the </w:t>
      </w:r>
      <w:r w:rsidR="001933D9" w:rsidRPr="00FA739A">
        <w:t>cost-effective net cost of RIBO+NSAI</w:t>
      </w:r>
      <w:r w:rsidR="001933D9" w:rsidRPr="00FA739A">
        <w:rPr>
          <w:rFonts w:ascii="Calibri" w:eastAsia="Times New Roman" w:hAnsi="Calibri" w:cs="Times New Roman"/>
          <w:szCs w:val="24"/>
        </w:rPr>
        <w:t xml:space="preserve"> </w:t>
      </w:r>
      <w:r w:rsidR="001933D9" w:rsidRPr="00FA739A">
        <w:t>as it did not include</w:t>
      </w:r>
      <w:r w:rsidR="001933D9" w:rsidRPr="00FA739A">
        <w:rPr>
          <w:rFonts w:ascii="Calibri" w:eastAsia="Times New Roman" w:hAnsi="Calibri" w:cs="Times New Roman"/>
          <w:szCs w:val="24"/>
        </w:rPr>
        <w:t xml:space="preserve"> the rebates that were intended to be achieved through the financial caps, noting</w:t>
      </w:r>
      <w:r w:rsidR="000F4B12" w:rsidRPr="00FA739A">
        <w:t xml:space="preserve"> the existing CDKI caps were intended to be exceeded by </w:t>
      </w:r>
      <w:r w:rsidR="001933D9" w:rsidRPr="00FA739A">
        <w:t>22</w:t>
      </w:r>
      <w:r w:rsidR="00EF322C" w:rsidRPr="00FA739A">
        <w:t>%</w:t>
      </w:r>
      <w:r w:rsidR="000F4B12" w:rsidRPr="00FA739A">
        <w:t xml:space="preserve"> in order to achieve a cost-effective net cost</w:t>
      </w:r>
      <w:r w:rsidR="006571A5" w:rsidRPr="00FA739A">
        <w:t xml:space="preserve"> for </w:t>
      </w:r>
      <w:r w:rsidR="000F4B12" w:rsidRPr="00FA739A">
        <w:t xml:space="preserve">RIBO+NSAI. </w:t>
      </w:r>
      <w:r w:rsidR="008C1F01" w:rsidRPr="00FA739A">
        <w:t>However, t</w:t>
      </w:r>
      <w:r w:rsidRPr="009978AC">
        <w:rPr>
          <w:snapToGrid w:val="0"/>
        </w:rPr>
        <w:t xml:space="preserve">he PBAC noted that the requested price of ribociclib </w:t>
      </w:r>
      <w:r w:rsidR="001933D9" w:rsidRPr="009978AC">
        <w:rPr>
          <w:snapToGrid w:val="0"/>
        </w:rPr>
        <w:t xml:space="preserve">(for use in combination </w:t>
      </w:r>
      <w:r w:rsidR="001933D9" w:rsidRPr="009978AC">
        <w:rPr>
          <w:snapToGrid w:val="0"/>
        </w:rPr>
        <w:lastRenderedPageBreak/>
        <w:t xml:space="preserve">with fulvestrant) </w:t>
      </w:r>
      <w:r w:rsidRPr="009978AC">
        <w:rPr>
          <w:snapToGrid w:val="0"/>
        </w:rPr>
        <w:t>is 22% lower than in the existing listing. Thus, based on</w:t>
      </w:r>
      <w:r w:rsidR="00CD480B" w:rsidRPr="009978AC">
        <w:rPr>
          <w:snapToGrid w:val="0"/>
        </w:rPr>
        <w:t xml:space="preserve"> the ribociclib component alone</w:t>
      </w:r>
      <w:r w:rsidRPr="009978AC">
        <w:rPr>
          <w:snapToGrid w:val="0"/>
        </w:rPr>
        <w:t xml:space="preserve"> the proposed AEMP in the first-line setting was consistent with the intended cost-effective price for the existing listing of ribociclib, though not </w:t>
      </w:r>
      <w:r w:rsidR="001933D9" w:rsidRPr="009978AC">
        <w:rPr>
          <w:snapToGrid w:val="0"/>
        </w:rPr>
        <w:t>when</w:t>
      </w:r>
      <w:r w:rsidRPr="009978AC">
        <w:rPr>
          <w:snapToGrid w:val="0"/>
        </w:rPr>
        <w:t xml:space="preserve"> the cost of concomitant therapies are taken into account. </w:t>
      </w:r>
      <w:r w:rsidR="006571A5" w:rsidRPr="009978AC">
        <w:rPr>
          <w:snapToGrid w:val="0"/>
        </w:rPr>
        <w:t>The PBAC considered that the proposed price for ribociclib in the first line setting was acceptable i</w:t>
      </w:r>
      <w:r w:rsidRPr="009978AC">
        <w:rPr>
          <w:snapToGrid w:val="0"/>
        </w:rPr>
        <w:t>n the context of</w:t>
      </w:r>
      <w:r w:rsidR="006571A5" w:rsidRPr="009978AC">
        <w:rPr>
          <w:snapToGrid w:val="0"/>
        </w:rPr>
        <w:t xml:space="preserve"> a range of factors including</w:t>
      </w:r>
      <w:r w:rsidRPr="009978AC">
        <w:rPr>
          <w:snapToGrid w:val="0"/>
        </w:rPr>
        <w:t xml:space="preserve"> the</w:t>
      </w:r>
      <w:r w:rsidR="00CD480B" w:rsidRPr="009978AC">
        <w:rPr>
          <w:snapToGrid w:val="0"/>
        </w:rPr>
        <w:t xml:space="preserve"> overall</w:t>
      </w:r>
      <w:r w:rsidRPr="009978AC">
        <w:rPr>
          <w:snapToGrid w:val="0"/>
        </w:rPr>
        <w:t xml:space="preserve"> weighted price proposed, </w:t>
      </w:r>
      <w:r w:rsidR="000F4B12" w:rsidRPr="009978AC">
        <w:rPr>
          <w:snapToGrid w:val="0"/>
        </w:rPr>
        <w:t xml:space="preserve">the proposed price in this submission for fulvestrant, </w:t>
      </w:r>
      <w:r w:rsidRPr="009978AC">
        <w:rPr>
          <w:snapToGrid w:val="0"/>
        </w:rPr>
        <w:t xml:space="preserve">and given that the </w:t>
      </w:r>
      <w:r w:rsidR="00CD480B" w:rsidRPr="009978AC">
        <w:rPr>
          <w:snapToGrid w:val="0"/>
        </w:rPr>
        <w:t xml:space="preserve">current CDKI caps are expected to be exceeded in years 3-5. </w:t>
      </w:r>
    </w:p>
    <w:p w:rsidR="001166C9" w:rsidRPr="009978AC" w:rsidRDefault="001166C9" w:rsidP="00550CE2">
      <w:pPr>
        <w:widowControl w:val="0"/>
        <w:numPr>
          <w:ilvl w:val="1"/>
          <w:numId w:val="1"/>
        </w:numPr>
        <w:spacing w:after="120"/>
        <w:rPr>
          <w:bCs/>
          <w:snapToGrid w:val="0"/>
        </w:rPr>
      </w:pPr>
      <w:r w:rsidRPr="009978AC">
        <w:rPr>
          <w:rFonts w:asciiTheme="minorHAnsi" w:hAnsiTheme="minorHAnsi"/>
          <w:bCs/>
          <w:snapToGrid w:val="0"/>
        </w:rPr>
        <w:t xml:space="preserve">The July 2020 submission also presented a cost-effectiveness analysis for RIBO+FULV versus EVE+EXE in second/subsequent line treatment. The PBAC requested two changes to this model: a 7-year time horizon; and use </w:t>
      </w:r>
      <w:r w:rsidR="007F74BB" w:rsidRPr="00FA739A">
        <w:t xml:space="preserve">of observed K-M data up to the time point at which the observed data becomes unreliable </w:t>
      </w:r>
      <w:r w:rsidR="004A0E13">
        <w:rPr>
          <w:rFonts w:asciiTheme="minorHAnsi" w:hAnsiTheme="minorHAnsi"/>
          <w:bCs/>
          <w:snapToGrid w:val="0"/>
        </w:rPr>
        <w:t>and</w:t>
      </w:r>
      <w:r w:rsidR="004A0E13">
        <w:t xml:space="preserve"> adjusting the</w:t>
      </w:r>
      <w:r w:rsidRPr="009978AC">
        <w:rPr>
          <w:rFonts w:asciiTheme="minorHAnsi" w:hAnsiTheme="minorHAnsi"/>
          <w:bCs/>
          <w:snapToGrid w:val="0"/>
        </w:rPr>
        <w:t xml:space="preserve"> extrapolation of survival data. The PBAC also advised that the price should be reduced in order to achieve an ICER of &lt;$</w:t>
      </w:r>
      <w:r w:rsidR="005A2F6E">
        <w:rPr>
          <w:rFonts w:asciiTheme="minorHAnsi" w:hAnsiTheme="minorHAnsi"/>
          <w:bCs/>
          <w:snapToGrid w:val="0"/>
        </w:rPr>
        <w:t>55</w:t>
      </w:r>
      <w:r w:rsidRPr="009978AC">
        <w:rPr>
          <w:rFonts w:asciiTheme="minorHAnsi" w:hAnsiTheme="minorHAnsi"/>
          <w:bCs/>
          <w:snapToGrid w:val="0"/>
        </w:rPr>
        <w:t>,000</w:t>
      </w:r>
      <w:r w:rsidR="005A2F6E">
        <w:rPr>
          <w:rFonts w:asciiTheme="minorHAnsi" w:hAnsiTheme="minorHAnsi"/>
          <w:bCs/>
          <w:snapToGrid w:val="0"/>
        </w:rPr>
        <w:t xml:space="preserve"> to &lt; $75,000</w:t>
      </w:r>
      <w:r w:rsidRPr="009978AC">
        <w:rPr>
          <w:rFonts w:asciiTheme="minorHAnsi" w:hAnsiTheme="minorHAnsi"/>
          <w:bCs/>
          <w:snapToGrid w:val="0"/>
        </w:rPr>
        <w:t xml:space="preserve"> per QALY in this setting. </w:t>
      </w:r>
      <w:r w:rsidR="00C50376" w:rsidRPr="009978AC">
        <w:rPr>
          <w:rFonts w:asciiTheme="minorHAnsi" w:hAnsiTheme="minorHAnsi"/>
          <w:bCs/>
          <w:snapToGrid w:val="0"/>
        </w:rPr>
        <w:t xml:space="preserve">The PBAC recalled </w:t>
      </w:r>
      <w:r w:rsidR="0039000D" w:rsidRPr="009978AC">
        <w:rPr>
          <w:rFonts w:asciiTheme="minorHAnsi" w:hAnsiTheme="minorHAnsi"/>
          <w:bCs/>
          <w:snapToGrid w:val="0"/>
        </w:rPr>
        <w:t>it considered this ICER would be acceptable in the context of a small and decreasing second line population (paragraph 7.18</w:t>
      </w:r>
      <w:r w:rsidR="00D81DEE" w:rsidRPr="009978AC">
        <w:rPr>
          <w:rFonts w:asciiTheme="minorHAnsi" w:hAnsiTheme="minorHAnsi"/>
          <w:bCs/>
          <w:snapToGrid w:val="0"/>
        </w:rPr>
        <w:t>,</w:t>
      </w:r>
      <w:r w:rsidR="0039000D" w:rsidRPr="009978AC">
        <w:rPr>
          <w:rFonts w:asciiTheme="minorHAnsi" w:hAnsiTheme="minorHAnsi"/>
          <w:bCs/>
          <w:snapToGrid w:val="0"/>
        </w:rPr>
        <w:t xml:space="preserve"> ribociclib </w:t>
      </w:r>
      <w:r w:rsidR="00D81DEE" w:rsidRPr="009978AC">
        <w:rPr>
          <w:rFonts w:asciiTheme="minorHAnsi" w:hAnsiTheme="minorHAnsi"/>
          <w:bCs/>
          <w:snapToGrid w:val="0"/>
        </w:rPr>
        <w:t>PSD,</w:t>
      </w:r>
      <w:r w:rsidR="0039000D" w:rsidRPr="009978AC">
        <w:rPr>
          <w:rFonts w:asciiTheme="minorHAnsi" w:hAnsiTheme="minorHAnsi"/>
          <w:bCs/>
          <w:snapToGrid w:val="0"/>
        </w:rPr>
        <w:t xml:space="preserve"> July 2020 PBAC meeting)</w:t>
      </w:r>
      <w:r w:rsidR="00C50376" w:rsidRPr="009978AC">
        <w:rPr>
          <w:rFonts w:asciiTheme="minorHAnsi" w:hAnsiTheme="minorHAnsi"/>
          <w:bCs/>
          <w:snapToGrid w:val="0"/>
        </w:rPr>
        <w:t xml:space="preserve">. </w:t>
      </w:r>
      <w:r w:rsidR="00CD480B" w:rsidRPr="009978AC">
        <w:rPr>
          <w:rFonts w:asciiTheme="minorHAnsi" w:hAnsiTheme="minorHAnsi"/>
          <w:bCs/>
          <w:snapToGrid w:val="0"/>
        </w:rPr>
        <w:t xml:space="preserve">The PBAC </w:t>
      </w:r>
      <w:r w:rsidR="00C50376" w:rsidRPr="009978AC">
        <w:rPr>
          <w:rFonts w:asciiTheme="minorHAnsi" w:hAnsiTheme="minorHAnsi"/>
          <w:bCs/>
          <w:snapToGrid w:val="0"/>
        </w:rPr>
        <w:t>also recalled that the</w:t>
      </w:r>
      <w:r w:rsidR="00CD480B" w:rsidRPr="009978AC">
        <w:rPr>
          <w:rFonts w:asciiTheme="minorHAnsi" w:hAnsiTheme="minorHAnsi"/>
          <w:bCs/>
          <w:snapToGrid w:val="0"/>
        </w:rPr>
        <w:t xml:space="preserve"> economic model relied on hazard ratios from the unanchored MAIC, which it considered had a high level of inherent uncertainty resulting in an uncertain magnitude of benefit for RIBO+FULV compared with EVE+EXE</w:t>
      </w:r>
      <w:r w:rsidR="00C50376" w:rsidRPr="009978AC">
        <w:rPr>
          <w:rFonts w:asciiTheme="minorHAnsi" w:hAnsiTheme="minorHAnsi"/>
          <w:bCs/>
          <w:snapToGrid w:val="0"/>
        </w:rPr>
        <w:t xml:space="preserve"> (paragraph 7.15, ribociclib </w:t>
      </w:r>
      <w:r w:rsidR="00D81DEE" w:rsidRPr="009978AC">
        <w:rPr>
          <w:rFonts w:asciiTheme="minorHAnsi" w:hAnsiTheme="minorHAnsi"/>
          <w:bCs/>
          <w:snapToGrid w:val="0"/>
        </w:rPr>
        <w:t>PSD</w:t>
      </w:r>
      <w:r w:rsidR="00C50376" w:rsidRPr="009978AC">
        <w:rPr>
          <w:rFonts w:asciiTheme="minorHAnsi" w:hAnsiTheme="minorHAnsi"/>
          <w:bCs/>
          <w:snapToGrid w:val="0"/>
        </w:rPr>
        <w:t>, July 2020 PBAC meeting)</w:t>
      </w:r>
      <w:r w:rsidR="00CD480B" w:rsidRPr="009978AC">
        <w:rPr>
          <w:rFonts w:asciiTheme="minorHAnsi" w:hAnsiTheme="minorHAnsi"/>
          <w:bCs/>
          <w:snapToGrid w:val="0"/>
        </w:rPr>
        <w:t xml:space="preserve">. </w:t>
      </w:r>
    </w:p>
    <w:p w:rsidR="00113C05" w:rsidRPr="009978AC" w:rsidRDefault="00C50376" w:rsidP="006571A5">
      <w:pPr>
        <w:widowControl w:val="0"/>
        <w:numPr>
          <w:ilvl w:val="1"/>
          <w:numId w:val="1"/>
        </w:numPr>
        <w:spacing w:after="120"/>
        <w:rPr>
          <w:rFonts w:cs="Arial"/>
          <w:bCs/>
          <w:snapToGrid w:val="0"/>
        </w:rPr>
      </w:pPr>
      <w:r w:rsidRPr="009978AC">
        <w:rPr>
          <w:rFonts w:asciiTheme="minorHAnsi" w:hAnsiTheme="minorHAnsi"/>
          <w:bCs/>
          <w:snapToGrid w:val="0"/>
        </w:rPr>
        <w:t>The PBAC noted that the resubmission accepted the 7-year time horizon in the context of the uncertain comparative data.</w:t>
      </w:r>
      <w:r w:rsidR="00716942" w:rsidRPr="009978AC">
        <w:rPr>
          <w:rFonts w:asciiTheme="minorHAnsi" w:hAnsiTheme="minorHAnsi"/>
          <w:bCs/>
          <w:snapToGrid w:val="0"/>
        </w:rPr>
        <w:t xml:space="preserve"> However, the resubmission proposed an alternative method of </w:t>
      </w:r>
      <w:r w:rsidR="00113C05" w:rsidRPr="009978AC">
        <w:rPr>
          <w:rFonts w:asciiTheme="minorHAnsi" w:hAnsiTheme="minorHAnsi"/>
          <w:bCs/>
          <w:snapToGrid w:val="0"/>
        </w:rPr>
        <w:t>extrapolating the K-M data. T</w:t>
      </w:r>
      <w:r w:rsidR="00113C05" w:rsidRPr="009978AC">
        <w:rPr>
          <w:rFonts w:asciiTheme="minorHAnsi" w:hAnsiTheme="minorHAnsi" w:cs="Arial"/>
          <w:bCs/>
          <w:snapToGrid w:val="0"/>
        </w:rPr>
        <w:t xml:space="preserve">he July 2020 evaluator’s methodology used K-M data up to the point of median PFS/OS, while the resubmission argued that it would be more appropriate to use K-M data up to the point </w:t>
      </w:r>
      <w:r w:rsidR="006571A5" w:rsidRPr="009978AC">
        <w:rPr>
          <w:rFonts w:asciiTheme="minorHAnsi" w:hAnsiTheme="minorHAnsi" w:cs="Arial"/>
          <w:bCs/>
          <w:snapToGrid w:val="0"/>
        </w:rPr>
        <w:t>at which</w:t>
      </w:r>
      <w:r w:rsidR="00113C05" w:rsidRPr="009978AC">
        <w:rPr>
          <w:rFonts w:asciiTheme="minorHAnsi" w:hAnsiTheme="minorHAnsi" w:cs="Arial"/>
          <w:bCs/>
          <w:snapToGrid w:val="0"/>
        </w:rPr>
        <w:t xml:space="preserve"> 20% of patients are at risk of an event. Overall, the PBAC considered that the resubmission’s approach </w:t>
      </w:r>
      <w:r w:rsidR="00113C05" w:rsidRPr="00FA739A">
        <w:t>resulted in survival curves that had good visual fit to the observed data</w:t>
      </w:r>
      <w:r w:rsidR="00113C05" w:rsidRPr="009978AC">
        <w:rPr>
          <w:rFonts w:asciiTheme="minorHAnsi" w:hAnsiTheme="minorHAnsi" w:cs="Arial"/>
          <w:bCs/>
          <w:snapToGrid w:val="0"/>
        </w:rPr>
        <w:t xml:space="preserve"> and appeared reasonable. </w:t>
      </w:r>
    </w:p>
    <w:p w:rsidR="00264F21" w:rsidRPr="009978AC" w:rsidRDefault="00264F21" w:rsidP="00550CE2">
      <w:pPr>
        <w:widowControl w:val="0"/>
        <w:numPr>
          <w:ilvl w:val="1"/>
          <w:numId w:val="1"/>
        </w:numPr>
        <w:spacing w:after="120"/>
        <w:rPr>
          <w:rFonts w:cs="Arial"/>
          <w:bCs/>
          <w:snapToGrid w:val="0"/>
        </w:rPr>
      </w:pPr>
      <w:r w:rsidRPr="009978AC">
        <w:rPr>
          <w:rFonts w:asciiTheme="minorHAnsi" w:hAnsiTheme="minorHAnsi" w:cs="Arial"/>
          <w:bCs/>
          <w:snapToGrid w:val="0"/>
        </w:rPr>
        <w:t xml:space="preserve">Overall, </w:t>
      </w:r>
      <w:r w:rsidR="00F45537" w:rsidRPr="009978AC">
        <w:rPr>
          <w:rFonts w:asciiTheme="minorHAnsi" w:hAnsiTheme="minorHAnsi" w:cs="Arial"/>
          <w:bCs/>
          <w:snapToGrid w:val="0"/>
        </w:rPr>
        <w:t xml:space="preserve">the </w:t>
      </w:r>
      <w:r w:rsidRPr="009978AC">
        <w:rPr>
          <w:rFonts w:asciiTheme="minorHAnsi" w:hAnsiTheme="minorHAnsi" w:cs="Arial"/>
          <w:bCs/>
          <w:snapToGrid w:val="0"/>
        </w:rPr>
        <w:t xml:space="preserve">PBAC considered the prices proposed in each of the settings were reasonable, and the </w:t>
      </w:r>
      <w:r w:rsidR="003D120B" w:rsidRPr="009978AC">
        <w:rPr>
          <w:rFonts w:asciiTheme="minorHAnsi" w:hAnsiTheme="minorHAnsi" w:cs="Arial"/>
          <w:bCs/>
          <w:snapToGrid w:val="0"/>
        </w:rPr>
        <w:t>re</w:t>
      </w:r>
      <w:r w:rsidRPr="009978AC">
        <w:rPr>
          <w:rFonts w:asciiTheme="minorHAnsi" w:hAnsiTheme="minorHAnsi" w:cs="Arial"/>
          <w:bCs/>
          <w:snapToGrid w:val="0"/>
        </w:rPr>
        <w:t>submiss</w:t>
      </w:r>
      <w:r w:rsidR="003D120B" w:rsidRPr="009978AC">
        <w:rPr>
          <w:rFonts w:asciiTheme="minorHAnsi" w:hAnsiTheme="minorHAnsi" w:cs="Arial"/>
          <w:bCs/>
          <w:snapToGrid w:val="0"/>
        </w:rPr>
        <w:t>i</w:t>
      </w:r>
      <w:r w:rsidRPr="009978AC">
        <w:rPr>
          <w:rFonts w:asciiTheme="minorHAnsi" w:hAnsiTheme="minorHAnsi" w:cs="Arial"/>
          <w:bCs/>
          <w:snapToGrid w:val="0"/>
        </w:rPr>
        <w:t>on’s overall proposal of a price that is the same as the current price for use in combination with NSAIs was appropri</w:t>
      </w:r>
      <w:r w:rsidR="003D120B" w:rsidRPr="009978AC">
        <w:rPr>
          <w:rFonts w:asciiTheme="minorHAnsi" w:hAnsiTheme="minorHAnsi" w:cs="Arial"/>
          <w:bCs/>
          <w:snapToGrid w:val="0"/>
        </w:rPr>
        <w:t>a</w:t>
      </w:r>
      <w:r w:rsidRPr="009978AC">
        <w:rPr>
          <w:rFonts w:asciiTheme="minorHAnsi" w:hAnsiTheme="minorHAnsi" w:cs="Arial"/>
          <w:bCs/>
          <w:snapToGrid w:val="0"/>
        </w:rPr>
        <w:t xml:space="preserve">te. </w:t>
      </w:r>
    </w:p>
    <w:p w:rsidR="002E4F4E" w:rsidRPr="009978AC" w:rsidRDefault="00A94718" w:rsidP="00550CE2">
      <w:pPr>
        <w:widowControl w:val="0"/>
        <w:numPr>
          <w:ilvl w:val="1"/>
          <w:numId w:val="1"/>
        </w:numPr>
        <w:spacing w:after="120"/>
        <w:rPr>
          <w:rFonts w:cs="Arial"/>
          <w:bCs/>
          <w:snapToGrid w:val="0"/>
        </w:rPr>
      </w:pPr>
      <w:r w:rsidRPr="009978AC">
        <w:rPr>
          <w:rFonts w:asciiTheme="minorHAnsi" w:hAnsiTheme="minorHAnsi" w:cs="Arial"/>
          <w:bCs/>
          <w:snapToGrid w:val="0"/>
        </w:rPr>
        <w:t xml:space="preserve">The PBAC </w:t>
      </w:r>
      <w:r w:rsidR="00787012" w:rsidRPr="009978AC">
        <w:rPr>
          <w:rFonts w:asciiTheme="minorHAnsi" w:hAnsiTheme="minorHAnsi" w:cs="Arial"/>
          <w:bCs/>
          <w:snapToGrid w:val="0"/>
        </w:rPr>
        <w:t xml:space="preserve">recalled that it previously considered that many of the assumptions used in the financial estimates were uncertain and likely to have substantially overestimated the number of treated patients (paragraph 7.19 ribociclib </w:t>
      </w:r>
      <w:r w:rsidR="00D81DEE" w:rsidRPr="009978AC">
        <w:rPr>
          <w:rFonts w:asciiTheme="minorHAnsi" w:hAnsiTheme="minorHAnsi" w:cs="Arial"/>
          <w:bCs/>
          <w:snapToGrid w:val="0"/>
        </w:rPr>
        <w:t xml:space="preserve">PSD, </w:t>
      </w:r>
      <w:r w:rsidR="00787012" w:rsidRPr="009978AC">
        <w:rPr>
          <w:rFonts w:asciiTheme="minorHAnsi" w:hAnsiTheme="minorHAnsi" w:cs="Arial"/>
          <w:bCs/>
          <w:snapToGrid w:val="0"/>
        </w:rPr>
        <w:t xml:space="preserve">July 2020 PBAC meeting). The PBAC </w:t>
      </w:r>
      <w:r w:rsidRPr="009978AC">
        <w:rPr>
          <w:rFonts w:asciiTheme="minorHAnsi" w:hAnsiTheme="minorHAnsi" w:cs="Arial"/>
          <w:bCs/>
          <w:snapToGrid w:val="0"/>
        </w:rPr>
        <w:t>noted that the resubmission presented revised uptake rates</w:t>
      </w:r>
      <w:r w:rsidR="006571A5" w:rsidRPr="009978AC">
        <w:rPr>
          <w:rFonts w:asciiTheme="minorHAnsi" w:hAnsiTheme="minorHAnsi" w:cs="Arial"/>
          <w:bCs/>
          <w:snapToGrid w:val="0"/>
        </w:rPr>
        <w:t xml:space="preserve"> </w:t>
      </w:r>
      <w:r w:rsidR="003D120B" w:rsidRPr="009978AC">
        <w:rPr>
          <w:rFonts w:asciiTheme="minorHAnsi" w:hAnsiTheme="minorHAnsi" w:cs="Arial"/>
          <w:bCs/>
          <w:snapToGrid w:val="0"/>
        </w:rPr>
        <w:t>and</w:t>
      </w:r>
      <w:r w:rsidR="00787012" w:rsidRPr="009978AC">
        <w:rPr>
          <w:rFonts w:asciiTheme="minorHAnsi" w:hAnsiTheme="minorHAnsi" w:cs="Arial"/>
          <w:bCs/>
          <w:snapToGrid w:val="0"/>
        </w:rPr>
        <w:t xml:space="preserve"> considered that the changes in utilisation appeared reasonable, with the exception of the rates of EVE+EXE </w:t>
      </w:r>
      <w:r w:rsidR="006571A5" w:rsidRPr="009978AC">
        <w:rPr>
          <w:rFonts w:asciiTheme="minorHAnsi" w:hAnsiTheme="minorHAnsi" w:cs="Arial"/>
          <w:bCs/>
          <w:snapToGrid w:val="0"/>
        </w:rPr>
        <w:t xml:space="preserve">growth </w:t>
      </w:r>
      <w:r w:rsidR="00787012" w:rsidRPr="009978AC">
        <w:rPr>
          <w:rFonts w:asciiTheme="minorHAnsi" w:hAnsiTheme="minorHAnsi" w:cs="Arial"/>
          <w:bCs/>
          <w:snapToGrid w:val="0"/>
        </w:rPr>
        <w:t xml:space="preserve">as applied </w:t>
      </w:r>
      <w:r w:rsidR="003D120B" w:rsidRPr="009978AC">
        <w:rPr>
          <w:rFonts w:asciiTheme="minorHAnsi" w:hAnsiTheme="minorHAnsi" w:cs="Arial"/>
          <w:bCs/>
          <w:snapToGrid w:val="0"/>
        </w:rPr>
        <w:t>to estimate</w:t>
      </w:r>
      <w:r w:rsidR="00787012" w:rsidRPr="009978AC">
        <w:rPr>
          <w:rFonts w:asciiTheme="minorHAnsi" w:hAnsiTheme="minorHAnsi" w:cs="Arial"/>
          <w:bCs/>
          <w:snapToGrid w:val="0"/>
        </w:rPr>
        <w:t xml:space="preserve"> population 3. The PBAC considered that DUSC data for everolimus use in breast cancer indicated that use was continuing to decline more rapidly than assumed in the resubmission. </w:t>
      </w:r>
      <w:r w:rsidR="002E4F4E" w:rsidRPr="009978AC">
        <w:rPr>
          <w:rFonts w:asciiTheme="minorHAnsi" w:hAnsiTheme="minorHAnsi" w:cs="Arial"/>
          <w:bCs/>
          <w:snapToGrid w:val="0"/>
        </w:rPr>
        <w:t>The PBAC considered that the negative growth rates should be revised based on th</w:t>
      </w:r>
      <w:r w:rsidR="00317DC4" w:rsidRPr="009978AC">
        <w:rPr>
          <w:rFonts w:asciiTheme="minorHAnsi" w:hAnsiTheme="minorHAnsi" w:cs="Arial"/>
          <w:bCs/>
          <w:snapToGrid w:val="0"/>
        </w:rPr>
        <w:t>ese</w:t>
      </w:r>
      <w:r w:rsidR="002E4F4E" w:rsidRPr="009978AC">
        <w:rPr>
          <w:rFonts w:asciiTheme="minorHAnsi" w:hAnsiTheme="minorHAnsi" w:cs="Arial"/>
          <w:bCs/>
          <w:snapToGrid w:val="0"/>
        </w:rPr>
        <w:t xml:space="preserve"> DUSC data, and assuming a decline in the annual negative growth of everolimus use consistent with the last 3 years of data for everolimus.</w:t>
      </w:r>
    </w:p>
    <w:p w:rsidR="002E4F4E" w:rsidRPr="009978AC" w:rsidRDefault="003D120B" w:rsidP="005A2F6E">
      <w:pPr>
        <w:pStyle w:val="3Bodytext"/>
        <w:rPr>
          <w:rFonts w:cs="Arial"/>
          <w:bCs/>
          <w:snapToGrid w:val="0"/>
        </w:rPr>
      </w:pPr>
      <w:r w:rsidRPr="00FA739A">
        <w:lastRenderedPageBreak/>
        <w:t>T</w:t>
      </w:r>
      <w:r w:rsidR="002E4F4E" w:rsidRPr="00FA739A">
        <w:t xml:space="preserve">he resubmission estimated that the total net cost to the PBS/RPBS over 6 years would be </w:t>
      </w:r>
      <w:r w:rsidR="005A2F6E">
        <w:t>$3</w:t>
      </w:r>
      <w:r w:rsidR="005A2F6E" w:rsidRPr="005A2F6E">
        <w:t>0 million to &lt; $</w:t>
      </w:r>
      <w:r w:rsidR="005A2F6E">
        <w:t>4</w:t>
      </w:r>
      <w:r w:rsidR="005A2F6E" w:rsidRPr="005A2F6E">
        <w:t>0 million</w:t>
      </w:r>
      <w:r w:rsidR="005A2F6E" w:rsidRPr="005A2F6E" w:rsidDel="005A2F6E">
        <w:t xml:space="preserve"> </w:t>
      </w:r>
      <w:r w:rsidR="002E4F4E" w:rsidRPr="00FA739A">
        <w:t xml:space="preserve">in the first-line setting and </w:t>
      </w:r>
      <w:r w:rsidR="005A2F6E" w:rsidRPr="005A2F6E">
        <w:rPr>
          <w:rFonts w:ascii="Calibri" w:eastAsia="Times New Roman" w:hAnsi="Calibri" w:cs="Times New Roman"/>
          <w:szCs w:val="24"/>
        </w:rPr>
        <w:t>$40 million to &lt; $50 million</w:t>
      </w:r>
      <w:r w:rsidR="005A2F6E" w:rsidRPr="005A2F6E" w:rsidDel="005A2F6E">
        <w:rPr>
          <w:rFonts w:ascii="Calibri" w:eastAsia="Times New Roman" w:hAnsi="Calibri" w:cs="Times New Roman"/>
          <w:szCs w:val="24"/>
        </w:rPr>
        <w:t xml:space="preserve"> </w:t>
      </w:r>
      <w:r w:rsidR="002E4F4E" w:rsidRPr="00FA739A">
        <w:t xml:space="preserve">in the second-line setting (noting that offsets were higher in the first-line setting, with population 1 assumed to substitute for CDKIs in combination with NSAIs). Applying the revised estimates for population 3, as considered appropriate by the PBAC, reduced the total net cost to the PBS/RPBS over 6 years in </w:t>
      </w:r>
      <w:r w:rsidR="002E4F4E" w:rsidRPr="009978AC">
        <w:rPr>
          <w:rFonts w:cs="Arial"/>
          <w:bCs/>
          <w:snapToGrid w:val="0"/>
        </w:rPr>
        <w:t xml:space="preserve">the second line setting to </w:t>
      </w:r>
      <w:r w:rsidR="005A2F6E" w:rsidRPr="005A2F6E">
        <w:rPr>
          <w:rFonts w:cs="Arial"/>
          <w:bCs/>
          <w:snapToGrid w:val="0"/>
        </w:rPr>
        <w:t>$40 million to &lt; $50 million</w:t>
      </w:r>
      <w:r w:rsidR="002E4F4E" w:rsidRPr="009978AC">
        <w:rPr>
          <w:rFonts w:cs="Arial"/>
          <w:bCs/>
          <w:snapToGrid w:val="0"/>
        </w:rPr>
        <w:t xml:space="preserve">. </w:t>
      </w:r>
      <w:r w:rsidR="00BC300E" w:rsidRPr="009978AC">
        <w:rPr>
          <w:rFonts w:cs="Arial"/>
          <w:bCs/>
          <w:snapToGrid w:val="0"/>
        </w:rPr>
        <w:t>With these revised estimate</w:t>
      </w:r>
      <w:r w:rsidR="007B6E1C" w:rsidRPr="009978AC">
        <w:rPr>
          <w:rFonts w:cs="Arial"/>
          <w:bCs/>
          <w:snapToGrid w:val="0"/>
        </w:rPr>
        <w:t>s</w:t>
      </w:r>
      <w:r w:rsidR="00BC300E" w:rsidRPr="009978AC">
        <w:rPr>
          <w:rFonts w:cs="Arial"/>
          <w:bCs/>
          <w:snapToGrid w:val="0"/>
        </w:rPr>
        <w:t xml:space="preserve"> the total net cost to PBS/RPBS was reduced from</w:t>
      </w:r>
      <w:r w:rsidR="00BC300E" w:rsidRPr="00FA739A">
        <w:t xml:space="preserve"> </w:t>
      </w:r>
      <w:r w:rsidR="005A2F6E">
        <w:t>$80 million to &lt; $9</w:t>
      </w:r>
      <w:r w:rsidR="005A2F6E" w:rsidRPr="00DC572C">
        <w:t>0 million</w:t>
      </w:r>
      <w:r w:rsidR="00BC300E" w:rsidRPr="00FA739A">
        <w:t xml:space="preserve"> to </w:t>
      </w:r>
      <w:r w:rsidR="005A2F6E">
        <w:t>$8</w:t>
      </w:r>
      <w:r w:rsidR="005A2F6E" w:rsidRPr="005A2F6E">
        <w:t>0 million to &lt; $</w:t>
      </w:r>
      <w:r w:rsidR="005A2F6E">
        <w:t>9</w:t>
      </w:r>
      <w:r w:rsidR="005A2F6E" w:rsidRPr="005A2F6E">
        <w:t>0 million</w:t>
      </w:r>
      <w:r w:rsidR="00BC300E" w:rsidRPr="00FA739A">
        <w:t xml:space="preserve"> over the first 6 years of listing</w:t>
      </w:r>
      <w:r w:rsidR="00BA7B8F" w:rsidRPr="00FA739A">
        <w:t>.</w:t>
      </w:r>
    </w:p>
    <w:p w:rsidR="008F7A2A" w:rsidRPr="009978AC" w:rsidRDefault="008F7A2A" w:rsidP="00550CE2">
      <w:pPr>
        <w:widowControl w:val="0"/>
        <w:numPr>
          <w:ilvl w:val="1"/>
          <w:numId w:val="1"/>
        </w:numPr>
        <w:spacing w:after="120"/>
        <w:rPr>
          <w:rFonts w:cs="Arial"/>
          <w:bCs/>
          <w:snapToGrid w:val="0"/>
        </w:rPr>
      </w:pPr>
      <w:r w:rsidRPr="009978AC">
        <w:rPr>
          <w:rFonts w:asciiTheme="minorHAnsi" w:hAnsiTheme="minorHAnsi" w:cs="Arial"/>
          <w:bCs/>
          <w:snapToGrid w:val="0"/>
        </w:rPr>
        <w:t xml:space="preserve">In the second-line setting, the PBAC previously considered that the key use of ribociclib would be in prevalent patients who began treatment with AI monotherapy prior to listing of RIBO+NSAI, and that this would be a relatively small population. The PBAC noted that the weighting of first and second line </w:t>
      </w:r>
      <w:r w:rsidR="0026411E" w:rsidRPr="009978AC">
        <w:rPr>
          <w:rFonts w:asciiTheme="minorHAnsi" w:hAnsiTheme="minorHAnsi" w:cs="Arial"/>
          <w:bCs/>
          <w:snapToGrid w:val="0"/>
        </w:rPr>
        <w:t xml:space="preserve">use </w:t>
      </w:r>
      <w:r w:rsidRPr="009978AC">
        <w:rPr>
          <w:rFonts w:asciiTheme="minorHAnsi" w:hAnsiTheme="minorHAnsi" w:cs="Arial"/>
          <w:bCs/>
          <w:snapToGrid w:val="0"/>
        </w:rPr>
        <w:t>was revised as requested</w:t>
      </w:r>
      <w:r w:rsidR="002D404F" w:rsidRPr="009978AC">
        <w:rPr>
          <w:rFonts w:asciiTheme="minorHAnsi" w:hAnsiTheme="minorHAnsi" w:cs="Arial"/>
          <w:bCs/>
          <w:snapToGrid w:val="0"/>
        </w:rPr>
        <w:t>.</w:t>
      </w:r>
      <w:r w:rsidRPr="009978AC">
        <w:rPr>
          <w:rFonts w:asciiTheme="minorHAnsi" w:hAnsiTheme="minorHAnsi" w:cs="Arial"/>
          <w:bCs/>
          <w:snapToGrid w:val="0"/>
        </w:rPr>
        <w:t xml:space="preserve"> </w:t>
      </w:r>
      <w:r w:rsidR="00E03528" w:rsidRPr="009978AC">
        <w:rPr>
          <w:rFonts w:asciiTheme="minorHAnsi" w:hAnsiTheme="minorHAnsi" w:cs="Arial"/>
          <w:bCs/>
          <w:snapToGrid w:val="0"/>
        </w:rPr>
        <w:t xml:space="preserve">The PBAC </w:t>
      </w:r>
      <w:r w:rsidRPr="009978AC">
        <w:rPr>
          <w:rFonts w:asciiTheme="minorHAnsi" w:hAnsiTheme="minorHAnsi" w:cs="Arial"/>
          <w:bCs/>
          <w:snapToGrid w:val="0"/>
        </w:rPr>
        <w:t xml:space="preserve">considered that the </w:t>
      </w:r>
      <w:r w:rsidR="00BC300E" w:rsidRPr="009978AC">
        <w:rPr>
          <w:rFonts w:asciiTheme="minorHAnsi" w:hAnsiTheme="minorHAnsi" w:cs="Arial"/>
          <w:bCs/>
          <w:snapToGrid w:val="0"/>
        </w:rPr>
        <w:t xml:space="preserve">overall </w:t>
      </w:r>
      <w:r w:rsidRPr="009978AC">
        <w:rPr>
          <w:rFonts w:asciiTheme="minorHAnsi" w:hAnsiTheme="minorHAnsi" w:cs="Arial"/>
          <w:bCs/>
          <w:snapToGrid w:val="0"/>
        </w:rPr>
        <w:t>relative weighting of 80%</w:t>
      </w:r>
      <w:r w:rsidR="00E03528" w:rsidRPr="009978AC">
        <w:rPr>
          <w:rFonts w:asciiTheme="minorHAnsi" w:hAnsiTheme="minorHAnsi" w:cs="Arial"/>
          <w:bCs/>
          <w:snapToGrid w:val="0"/>
        </w:rPr>
        <w:t xml:space="preserve"> first line scripts to </w:t>
      </w:r>
      <w:r w:rsidRPr="009978AC">
        <w:rPr>
          <w:rFonts w:asciiTheme="minorHAnsi" w:hAnsiTheme="minorHAnsi" w:cs="Arial"/>
          <w:bCs/>
          <w:snapToGrid w:val="0"/>
        </w:rPr>
        <w:t>20%</w:t>
      </w:r>
      <w:r w:rsidR="00E03528" w:rsidRPr="009978AC">
        <w:rPr>
          <w:rFonts w:asciiTheme="minorHAnsi" w:hAnsiTheme="minorHAnsi" w:cs="Arial"/>
          <w:bCs/>
          <w:snapToGrid w:val="0"/>
        </w:rPr>
        <w:t xml:space="preserve"> second line scripts,</w:t>
      </w:r>
      <w:r w:rsidRPr="009978AC">
        <w:rPr>
          <w:rFonts w:asciiTheme="minorHAnsi" w:hAnsiTheme="minorHAnsi" w:cs="Arial"/>
          <w:bCs/>
          <w:snapToGrid w:val="0"/>
        </w:rPr>
        <w:t xml:space="preserve"> applied in </w:t>
      </w:r>
      <w:r w:rsidR="00317DC4" w:rsidRPr="009978AC">
        <w:rPr>
          <w:rFonts w:asciiTheme="minorHAnsi" w:hAnsiTheme="minorHAnsi" w:cs="Arial"/>
          <w:bCs/>
          <w:snapToGrid w:val="0"/>
        </w:rPr>
        <w:t>calculating</w:t>
      </w:r>
      <w:r w:rsidRPr="009978AC">
        <w:rPr>
          <w:rFonts w:asciiTheme="minorHAnsi" w:hAnsiTheme="minorHAnsi" w:cs="Arial"/>
          <w:bCs/>
          <w:snapToGrid w:val="0"/>
        </w:rPr>
        <w:t xml:space="preserve"> the proposed </w:t>
      </w:r>
      <w:r w:rsidR="002A2F5E" w:rsidRPr="009978AC">
        <w:rPr>
          <w:rFonts w:asciiTheme="minorHAnsi" w:hAnsiTheme="minorHAnsi" w:cs="Arial"/>
          <w:bCs/>
          <w:snapToGrid w:val="0"/>
        </w:rPr>
        <w:t xml:space="preserve">weighted </w:t>
      </w:r>
      <w:r w:rsidRPr="009978AC">
        <w:rPr>
          <w:rFonts w:asciiTheme="minorHAnsi" w:hAnsiTheme="minorHAnsi" w:cs="Arial"/>
          <w:bCs/>
          <w:snapToGrid w:val="0"/>
        </w:rPr>
        <w:t xml:space="preserve">AEMP </w:t>
      </w:r>
      <w:r w:rsidR="00B25517" w:rsidRPr="009978AC">
        <w:rPr>
          <w:rFonts w:asciiTheme="minorHAnsi" w:hAnsiTheme="minorHAnsi" w:cs="Arial"/>
          <w:bCs/>
          <w:snapToGrid w:val="0"/>
        </w:rPr>
        <w:t xml:space="preserve">for ribociclib </w:t>
      </w:r>
      <w:r w:rsidRPr="009978AC">
        <w:rPr>
          <w:rFonts w:asciiTheme="minorHAnsi" w:hAnsiTheme="minorHAnsi" w:cs="Arial"/>
          <w:bCs/>
          <w:snapToGrid w:val="0"/>
        </w:rPr>
        <w:t>of $</w:t>
      </w:r>
      <w:r w:rsidR="00AB6780">
        <w:rPr>
          <w:rFonts w:asciiTheme="minorHAnsi" w:hAnsiTheme="minorHAnsi" w:cs="Arial"/>
          <w:bCs/>
          <w:noProof/>
          <w:snapToGrid w:val="0"/>
          <w:color w:val="000000"/>
          <w:highlight w:val="black"/>
        </w:rPr>
        <w:t>'''''''''''</w:t>
      </w:r>
      <w:r w:rsidR="00E03528" w:rsidRPr="009978AC">
        <w:rPr>
          <w:rFonts w:asciiTheme="minorHAnsi" w:hAnsiTheme="minorHAnsi" w:cs="Arial"/>
          <w:bCs/>
          <w:snapToGrid w:val="0"/>
        </w:rPr>
        <w:t>,</w:t>
      </w:r>
      <w:r w:rsidRPr="009978AC">
        <w:rPr>
          <w:rFonts w:asciiTheme="minorHAnsi" w:hAnsiTheme="minorHAnsi" w:cs="Arial"/>
          <w:bCs/>
          <w:snapToGrid w:val="0"/>
        </w:rPr>
        <w:t xml:space="preserve"> was reasonable.</w:t>
      </w:r>
      <w:r w:rsidR="00E97A95" w:rsidRPr="009978AC">
        <w:rPr>
          <w:rFonts w:asciiTheme="minorHAnsi" w:hAnsiTheme="minorHAnsi" w:cs="Arial"/>
          <w:bCs/>
          <w:snapToGrid w:val="0"/>
        </w:rPr>
        <w:t xml:space="preserve"> </w:t>
      </w:r>
    </w:p>
    <w:p w:rsidR="008F7A2A" w:rsidRPr="00FA739A" w:rsidRDefault="008F7A2A" w:rsidP="008F7A2A">
      <w:pPr>
        <w:pStyle w:val="3Bodytext"/>
        <w:jc w:val="both"/>
      </w:pPr>
      <w:r w:rsidRPr="00FA739A">
        <w:t>The PBAC recalled that it previously considered that the total increase in the CDKI market as a result of listing RIBO+FULV would be very small and overall only a small increase in financial caps would be justifiable</w:t>
      </w:r>
      <w:r w:rsidR="00D81DEE" w:rsidRPr="00FA739A">
        <w:t xml:space="preserve"> (p</w:t>
      </w:r>
      <w:r w:rsidRPr="00FA739A">
        <w:t xml:space="preserve">aragraph 7.23, </w:t>
      </w:r>
      <w:r w:rsidR="00D81DEE" w:rsidRPr="00FA739A">
        <w:t>r</w:t>
      </w:r>
      <w:r w:rsidRPr="00FA739A">
        <w:t xml:space="preserve">ibociclib </w:t>
      </w:r>
      <w:r w:rsidR="00D81DEE" w:rsidRPr="00FA739A">
        <w:t xml:space="preserve">PSD, </w:t>
      </w:r>
      <w:r w:rsidRPr="00FA739A">
        <w:t xml:space="preserve">July 2020 Meeting). The PBAC noted </w:t>
      </w:r>
      <w:r w:rsidR="002A2F5E" w:rsidRPr="00FA739A">
        <w:t xml:space="preserve">that the July 2020 submission requested a </w:t>
      </w:r>
      <w:r w:rsidR="005A2F6E">
        <w:t>$90 million to &lt; $10</w:t>
      </w:r>
      <w:r w:rsidR="005A2F6E" w:rsidRPr="00DC572C">
        <w:t>0 million</w:t>
      </w:r>
      <w:r w:rsidR="005A2F6E" w:rsidRPr="00FA739A" w:rsidDel="005A2F6E">
        <w:t xml:space="preserve"> </w:t>
      </w:r>
      <w:r w:rsidR="00CB4548" w:rsidRPr="00FA739A">
        <w:t>increase to the current CDK</w:t>
      </w:r>
      <w:r w:rsidR="00D81DEE" w:rsidRPr="00FA739A">
        <w:t>I caps over the first 5 years (t</w:t>
      </w:r>
      <w:r w:rsidR="00CB4548" w:rsidRPr="00FA739A">
        <w:t>able 23</w:t>
      </w:r>
      <w:r w:rsidR="00D81DEE" w:rsidRPr="00FA739A">
        <w:t>,</w:t>
      </w:r>
      <w:r w:rsidR="00CB4548" w:rsidRPr="00FA739A">
        <w:t xml:space="preserve"> ribociclib </w:t>
      </w:r>
      <w:r w:rsidR="00D81DEE" w:rsidRPr="00FA739A">
        <w:t>PSD</w:t>
      </w:r>
      <w:r w:rsidR="00CB4548" w:rsidRPr="00FA739A">
        <w:t>, July</w:t>
      </w:r>
      <w:r w:rsidR="00731468">
        <w:t> </w:t>
      </w:r>
      <w:r w:rsidR="00CB4548" w:rsidRPr="00FA739A">
        <w:t>2020 PBAC Meeting)</w:t>
      </w:r>
      <w:r w:rsidR="002A2F5E" w:rsidRPr="00FA739A">
        <w:t>.</w:t>
      </w:r>
      <w:r w:rsidR="00CB4548" w:rsidRPr="00FA739A">
        <w:t xml:space="preserve"> T</w:t>
      </w:r>
      <w:r w:rsidRPr="00FA739A">
        <w:t xml:space="preserve">he </w:t>
      </w:r>
      <w:r w:rsidR="00CB4548" w:rsidRPr="00FA739A">
        <w:t>re</w:t>
      </w:r>
      <w:r w:rsidR="002A2F5E" w:rsidRPr="00FA739A">
        <w:t xml:space="preserve">submission estimated </w:t>
      </w:r>
      <w:r w:rsidR="00317DC4" w:rsidRPr="00FA739A">
        <w:t xml:space="preserve">a </w:t>
      </w:r>
      <w:r w:rsidRPr="00FA739A">
        <w:t xml:space="preserve">net </w:t>
      </w:r>
      <w:r w:rsidR="002A2F5E" w:rsidRPr="00FA739A">
        <w:t xml:space="preserve">increase to the existing caps of </w:t>
      </w:r>
      <w:r w:rsidR="005A2F6E">
        <w:t>$40 million to &lt; $5</w:t>
      </w:r>
      <w:r w:rsidR="005A2F6E" w:rsidRPr="00DC572C">
        <w:t>0 million</w:t>
      </w:r>
      <w:r w:rsidR="002A2F5E" w:rsidRPr="00FA739A">
        <w:t xml:space="preserve"> which w</w:t>
      </w:r>
      <w:r w:rsidR="00317DC4" w:rsidRPr="00FA739A">
        <w:t>as</w:t>
      </w:r>
      <w:r w:rsidR="002A2F5E" w:rsidRPr="00FA739A">
        <w:t xml:space="preserve"> reduced to </w:t>
      </w:r>
      <w:r w:rsidR="005A2F6E">
        <w:t>$40 million to &lt; $5</w:t>
      </w:r>
      <w:r w:rsidR="005A2F6E" w:rsidRPr="00DC572C">
        <w:t>0 million</w:t>
      </w:r>
      <w:r w:rsidR="005A2F6E" w:rsidRPr="00FA739A" w:rsidDel="005A2F6E">
        <w:t xml:space="preserve"> </w:t>
      </w:r>
      <w:r w:rsidR="002A2F5E" w:rsidRPr="00FA739A">
        <w:t xml:space="preserve">when the </w:t>
      </w:r>
      <w:r w:rsidR="0026411E" w:rsidRPr="00FA739A">
        <w:t xml:space="preserve">PBAC’s </w:t>
      </w:r>
      <w:r w:rsidR="002A2F5E" w:rsidRPr="00FA739A">
        <w:t xml:space="preserve">revised population 3 estimates were applied. </w:t>
      </w:r>
      <w:r w:rsidR="00CB4548" w:rsidRPr="00FA739A">
        <w:t xml:space="preserve">The PBAC noted that the majority of this increase was due to additional costs for patients </w:t>
      </w:r>
      <w:r w:rsidR="00317DC4" w:rsidRPr="00FA739A">
        <w:t xml:space="preserve">receiving </w:t>
      </w:r>
      <w:r w:rsidR="00CB4548" w:rsidRPr="00FA739A">
        <w:t>second line treatment</w:t>
      </w:r>
      <w:r w:rsidR="004A0E13">
        <w:t>, which is likely to decline as a proportion of overall use</w:t>
      </w:r>
      <w:r w:rsidR="00CB4548" w:rsidRPr="00FA739A">
        <w:t xml:space="preserve">. </w:t>
      </w:r>
    </w:p>
    <w:p w:rsidR="00912F15" w:rsidRPr="00FA739A" w:rsidRDefault="00912F15" w:rsidP="008F7A2A">
      <w:pPr>
        <w:pStyle w:val="3Bodytext"/>
        <w:jc w:val="both"/>
      </w:pPr>
      <w:r w:rsidRPr="00FA739A">
        <w:t xml:space="preserve">The PBAC considered that no changes to the listings for other CDKIs were </w:t>
      </w:r>
      <w:r w:rsidR="00114320" w:rsidRPr="00FA739A">
        <w:t xml:space="preserve">required and changes to allow combination use with fulvestrant as a </w:t>
      </w:r>
      <w:r w:rsidR="008446C9" w:rsidRPr="00FA739A">
        <w:t xml:space="preserve">combined first and subsequent line </w:t>
      </w:r>
      <w:r w:rsidR="00114320" w:rsidRPr="00FA739A">
        <w:t>listing should only apply to ribociclib.</w:t>
      </w:r>
    </w:p>
    <w:p w:rsidR="00114320" w:rsidRPr="00FA739A" w:rsidRDefault="00114320" w:rsidP="00114320">
      <w:pPr>
        <w:pStyle w:val="3-BodyText"/>
        <w:numPr>
          <w:ilvl w:val="1"/>
          <w:numId w:val="1"/>
        </w:numPr>
        <w:rPr>
          <w:bCs/>
        </w:rPr>
      </w:pPr>
      <w:r w:rsidRPr="00FA739A">
        <w:rPr>
          <w:bCs/>
        </w:rPr>
        <w:t xml:space="preserve">The PBAC found that the criteria prescribed by the </w:t>
      </w:r>
      <w:r w:rsidRPr="005A2F6E">
        <w:rPr>
          <w:bCs/>
          <w:i/>
        </w:rPr>
        <w:t>National Health (Pharmaceutical and Vaccines – Cost Recovery) Regulations 2009</w:t>
      </w:r>
      <w:r w:rsidRPr="00FA739A">
        <w:rPr>
          <w:bCs/>
        </w:rPr>
        <w:t xml:space="preserve"> for Pricing Pathway A were not met. Specifically, the PBAC found that in the circumstances of its recommendation for fulvestrant:</w:t>
      </w:r>
    </w:p>
    <w:p w:rsidR="00114320" w:rsidRPr="00FA739A" w:rsidRDefault="00114320" w:rsidP="00114320">
      <w:pPr>
        <w:pStyle w:val="3-BodyText"/>
        <w:numPr>
          <w:ilvl w:val="1"/>
          <w:numId w:val="72"/>
        </w:numPr>
        <w:ind w:left="1134" w:hanging="283"/>
      </w:pPr>
      <w:r w:rsidRPr="00FA739A">
        <w:t>The treatment is not expected to provide a substantial and clinically relevant improvement in efficacy over combination use with NSAIs or current subsequent line treatments. The PBAC considered this criteria was not met as the available data did not allow a reliable assessment of the magnitude of the incremental benefit;</w:t>
      </w:r>
    </w:p>
    <w:p w:rsidR="00114320" w:rsidRPr="00FA739A" w:rsidRDefault="00114320" w:rsidP="00114320">
      <w:pPr>
        <w:pStyle w:val="3-BodyText"/>
        <w:numPr>
          <w:ilvl w:val="1"/>
          <w:numId w:val="72"/>
        </w:numPr>
        <w:ind w:left="1134" w:hanging="283"/>
      </w:pPr>
      <w:r w:rsidRPr="00FA739A">
        <w:t xml:space="preserve">The treatment is not expected to address a high and urgent unmet clinical need; and </w:t>
      </w:r>
    </w:p>
    <w:p w:rsidR="00114320" w:rsidRPr="00FA739A" w:rsidRDefault="00114320" w:rsidP="00114320">
      <w:pPr>
        <w:pStyle w:val="3-BodyText"/>
        <w:numPr>
          <w:ilvl w:val="1"/>
          <w:numId w:val="72"/>
        </w:numPr>
        <w:ind w:left="1134" w:hanging="283"/>
      </w:pPr>
      <w:r w:rsidRPr="00FA739A">
        <w:lastRenderedPageBreak/>
        <w:t>It was not necessary to make a finding in relation to whether it would be in the public interest for the subsequent pricing application to be progressed under Pricing Pathway A because one or more of the preceding tests had failed.</w:t>
      </w:r>
    </w:p>
    <w:p w:rsidR="00114320" w:rsidRPr="00FA739A" w:rsidRDefault="00114320" w:rsidP="00114320">
      <w:pPr>
        <w:widowControl w:val="0"/>
        <w:numPr>
          <w:ilvl w:val="1"/>
          <w:numId w:val="1"/>
        </w:numPr>
        <w:spacing w:after="120"/>
        <w:rPr>
          <w:rFonts w:asciiTheme="minorHAnsi" w:hAnsiTheme="minorHAnsi"/>
          <w:bCs/>
          <w:snapToGrid w:val="0"/>
        </w:rPr>
      </w:pPr>
      <w:r w:rsidRPr="00FA739A">
        <w:rPr>
          <w:rFonts w:asciiTheme="minorHAnsi" w:hAnsiTheme="minorHAnsi"/>
          <w:bCs/>
          <w:snapToGrid w:val="0"/>
        </w:rPr>
        <w:t>The PBAC noted that this submission is not eligible for an Independent Review as it is a positive recommendation.</w:t>
      </w:r>
    </w:p>
    <w:p w:rsidR="006350CC" w:rsidRPr="009978AC" w:rsidRDefault="006350CC" w:rsidP="00322A93">
      <w:pPr>
        <w:keepNext/>
        <w:spacing w:before="240"/>
        <w:rPr>
          <w:rFonts w:asciiTheme="minorHAnsi" w:hAnsiTheme="minorHAnsi" w:cs="Arial"/>
          <w:b/>
          <w:bCs/>
          <w:snapToGrid w:val="0"/>
        </w:rPr>
      </w:pPr>
      <w:r w:rsidRPr="009978AC">
        <w:rPr>
          <w:rFonts w:asciiTheme="minorHAnsi" w:hAnsiTheme="minorHAnsi" w:cs="Arial"/>
          <w:b/>
          <w:bCs/>
          <w:snapToGrid w:val="0"/>
        </w:rPr>
        <w:t>Outcome:</w:t>
      </w:r>
    </w:p>
    <w:p w:rsidR="006350CC" w:rsidRPr="00322A93" w:rsidRDefault="006350CC" w:rsidP="00322A93">
      <w:pPr>
        <w:keepNext/>
        <w:rPr>
          <w:rFonts w:asciiTheme="minorHAnsi" w:hAnsiTheme="minorHAnsi" w:cs="Arial"/>
          <w:bCs/>
          <w:snapToGrid w:val="0"/>
        </w:rPr>
      </w:pPr>
      <w:r w:rsidRPr="009978AC">
        <w:rPr>
          <w:rFonts w:asciiTheme="minorHAnsi" w:hAnsiTheme="minorHAnsi" w:cs="Arial"/>
          <w:bCs/>
          <w:snapToGrid w:val="0"/>
        </w:rPr>
        <w:t>Recommended</w:t>
      </w:r>
    </w:p>
    <w:p w:rsidR="006350CC" w:rsidRPr="00FA739A" w:rsidRDefault="006350CC" w:rsidP="006350CC">
      <w:pPr>
        <w:pStyle w:val="Heading1"/>
        <w:keepLines/>
        <w:numPr>
          <w:ilvl w:val="0"/>
          <w:numId w:val="3"/>
        </w:numPr>
        <w:spacing w:before="240"/>
        <w:ind w:left="709" w:hanging="709"/>
        <w:rPr>
          <w:sz w:val="32"/>
          <w:szCs w:val="32"/>
        </w:rPr>
      </w:pPr>
      <w:r w:rsidRPr="00FA739A">
        <w:rPr>
          <w:sz w:val="32"/>
          <w:szCs w:val="32"/>
        </w:rPr>
        <w:t>Recommended listing</w:t>
      </w:r>
    </w:p>
    <w:p w:rsidR="00921D3E" w:rsidRPr="00FA739A" w:rsidRDefault="006350CC" w:rsidP="00550CE2">
      <w:pPr>
        <w:widowControl w:val="0"/>
        <w:numPr>
          <w:ilvl w:val="1"/>
          <w:numId w:val="1"/>
        </w:numPr>
        <w:spacing w:after="120"/>
        <w:rPr>
          <w:rFonts w:cs="Arial"/>
          <w:bCs/>
          <w:snapToGrid w:val="0"/>
        </w:rPr>
      </w:pPr>
      <w:r w:rsidRPr="00FA739A">
        <w:rPr>
          <w:rFonts w:asciiTheme="minorHAnsi" w:hAnsiTheme="minorHAnsi" w:cs="Arial"/>
          <w:bCs/>
          <w:snapToGrid w:val="0"/>
        </w:rPr>
        <w:t>Amend existing listing as follows</w:t>
      </w:r>
      <w:r w:rsidR="004F4289" w:rsidRPr="00FA739A">
        <w:rPr>
          <w:rFonts w:asciiTheme="minorHAnsi" w:hAnsiTheme="minorHAnsi" w:cs="Arial"/>
          <w:bCs/>
          <w:snapToGrid w:val="0"/>
        </w:rPr>
        <w:t xml:space="preserve"> </w:t>
      </w:r>
      <w:r w:rsidR="004F4289" w:rsidRPr="00FA739A">
        <w:rPr>
          <w:rFonts w:cstheme="minorHAnsi"/>
        </w:rPr>
        <w:t>(changes to existing first-line listing are shown in strike-though and italics)</w:t>
      </w:r>
      <w:r w:rsidRPr="00FA739A">
        <w:rPr>
          <w:rFonts w:asciiTheme="minorHAnsi" w:hAnsiTheme="minorHAnsi" w:cs="Arial"/>
          <w:bCs/>
          <w:snapToGrid w:val="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2688"/>
        <w:gridCol w:w="1416"/>
        <w:gridCol w:w="1132"/>
        <w:gridCol w:w="849"/>
        <w:gridCol w:w="707"/>
        <w:gridCol w:w="864"/>
      </w:tblGrid>
      <w:tr w:rsidR="00897107" w:rsidRPr="00FA739A" w:rsidTr="00F80991">
        <w:trPr>
          <w:cantSplit/>
          <w:trHeight w:val="471"/>
        </w:trPr>
        <w:tc>
          <w:tcPr>
            <w:tcW w:w="4099" w:type="dxa"/>
            <w:gridSpan w:val="2"/>
          </w:tcPr>
          <w:p w:rsidR="00897107" w:rsidRPr="00FA739A" w:rsidRDefault="00897107" w:rsidP="00F61699">
            <w:pPr>
              <w:keepNext/>
              <w:ind w:left="57"/>
              <w:rPr>
                <w:rFonts w:ascii="Arial Narrow" w:hAnsi="Arial Narrow" w:cs="Arial"/>
                <w:b/>
                <w:sz w:val="18"/>
                <w:szCs w:val="18"/>
              </w:rPr>
            </w:pPr>
            <w:r w:rsidRPr="00FA739A">
              <w:rPr>
                <w:rFonts w:ascii="Arial Narrow" w:hAnsi="Arial Narrow" w:cs="Arial"/>
                <w:b/>
                <w:sz w:val="18"/>
                <w:szCs w:val="18"/>
              </w:rPr>
              <w:t>MEDICINAL PRODUCT</w:t>
            </w:r>
          </w:p>
          <w:p w:rsidR="00897107" w:rsidRPr="00FA739A" w:rsidRDefault="00897107" w:rsidP="00F61699">
            <w:pPr>
              <w:keepNext/>
              <w:ind w:left="57"/>
              <w:rPr>
                <w:rFonts w:ascii="Arial Narrow" w:hAnsi="Arial Narrow" w:cs="Arial"/>
                <w:b/>
                <w:sz w:val="18"/>
                <w:szCs w:val="18"/>
              </w:rPr>
            </w:pPr>
            <w:r w:rsidRPr="00FA739A">
              <w:rPr>
                <w:rFonts w:ascii="Arial Narrow" w:hAnsi="Arial Narrow" w:cs="Arial"/>
                <w:b/>
                <w:sz w:val="18"/>
                <w:szCs w:val="18"/>
              </w:rPr>
              <w:t>medicinal product pack</w:t>
            </w:r>
          </w:p>
        </w:tc>
        <w:tc>
          <w:tcPr>
            <w:tcW w:w="1416" w:type="dxa"/>
          </w:tcPr>
          <w:p w:rsidR="00897107" w:rsidRPr="00FA739A" w:rsidRDefault="00897107" w:rsidP="00F61699">
            <w:pPr>
              <w:keepNext/>
              <w:ind w:left="-108"/>
              <w:jc w:val="center"/>
              <w:rPr>
                <w:rFonts w:ascii="Arial Narrow" w:hAnsi="Arial Narrow" w:cs="Arial"/>
                <w:b/>
                <w:sz w:val="18"/>
                <w:szCs w:val="18"/>
              </w:rPr>
            </w:pPr>
            <w:r w:rsidRPr="00FA739A">
              <w:rPr>
                <w:rFonts w:ascii="Arial Narrow" w:hAnsi="Arial Narrow" w:cs="Arial"/>
                <w:b/>
                <w:sz w:val="18"/>
                <w:szCs w:val="18"/>
              </w:rPr>
              <w:t>PBS item code</w:t>
            </w:r>
          </w:p>
        </w:tc>
        <w:tc>
          <w:tcPr>
            <w:tcW w:w="1132" w:type="dxa"/>
          </w:tcPr>
          <w:p w:rsidR="00897107" w:rsidRPr="00FA739A" w:rsidRDefault="00897107" w:rsidP="00F61699">
            <w:pPr>
              <w:keepNext/>
              <w:ind w:left="-108"/>
              <w:jc w:val="center"/>
              <w:rPr>
                <w:rFonts w:ascii="Arial Narrow" w:hAnsi="Arial Narrow" w:cs="Arial"/>
                <w:b/>
                <w:sz w:val="18"/>
                <w:szCs w:val="18"/>
              </w:rPr>
            </w:pPr>
            <w:r w:rsidRPr="00FA739A">
              <w:rPr>
                <w:rFonts w:ascii="Arial Narrow" w:hAnsi="Arial Narrow" w:cs="Arial"/>
                <w:b/>
                <w:sz w:val="18"/>
                <w:szCs w:val="18"/>
              </w:rPr>
              <w:t>Max. qty packs</w:t>
            </w:r>
          </w:p>
        </w:tc>
        <w:tc>
          <w:tcPr>
            <w:tcW w:w="849" w:type="dxa"/>
          </w:tcPr>
          <w:p w:rsidR="00897107" w:rsidRPr="00FA739A" w:rsidRDefault="00897107" w:rsidP="00F61699">
            <w:pPr>
              <w:keepNext/>
              <w:ind w:left="-108"/>
              <w:jc w:val="center"/>
              <w:rPr>
                <w:rFonts w:ascii="Arial Narrow" w:hAnsi="Arial Narrow" w:cs="Arial"/>
                <w:b/>
                <w:sz w:val="18"/>
                <w:szCs w:val="18"/>
              </w:rPr>
            </w:pPr>
            <w:r w:rsidRPr="00FA739A">
              <w:rPr>
                <w:rFonts w:ascii="Arial Narrow" w:hAnsi="Arial Narrow" w:cs="Arial"/>
                <w:b/>
                <w:sz w:val="18"/>
                <w:szCs w:val="18"/>
              </w:rPr>
              <w:t>Max. qty units</w:t>
            </w:r>
          </w:p>
        </w:tc>
        <w:tc>
          <w:tcPr>
            <w:tcW w:w="707" w:type="dxa"/>
          </w:tcPr>
          <w:p w:rsidR="00897107" w:rsidRPr="00FA739A" w:rsidRDefault="00897107" w:rsidP="00F61699">
            <w:pPr>
              <w:keepNext/>
              <w:ind w:left="-108"/>
              <w:jc w:val="center"/>
              <w:rPr>
                <w:rFonts w:ascii="Arial Narrow" w:hAnsi="Arial Narrow" w:cs="Arial"/>
                <w:b/>
                <w:sz w:val="18"/>
                <w:szCs w:val="18"/>
              </w:rPr>
            </w:pPr>
            <w:r w:rsidRPr="00FA739A">
              <w:rPr>
                <w:rFonts w:ascii="Arial Narrow" w:hAnsi="Arial Narrow" w:cs="Arial"/>
                <w:b/>
                <w:sz w:val="18"/>
                <w:szCs w:val="18"/>
              </w:rPr>
              <w:t>№.of</w:t>
            </w:r>
          </w:p>
          <w:p w:rsidR="00897107" w:rsidRPr="00FA739A" w:rsidRDefault="00897107" w:rsidP="00F61699">
            <w:pPr>
              <w:keepNext/>
              <w:ind w:left="-108"/>
              <w:jc w:val="center"/>
              <w:rPr>
                <w:rFonts w:ascii="Arial Narrow" w:hAnsi="Arial Narrow" w:cs="Arial"/>
                <w:b/>
                <w:sz w:val="18"/>
                <w:szCs w:val="18"/>
              </w:rPr>
            </w:pPr>
            <w:r w:rsidRPr="00FA739A">
              <w:rPr>
                <w:rFonts w:ascii="Arial Narrow" w:hAnsi="Arial Narrow" w:cs="Arial"/>
                <w:b/>
                <w:sz w:val="18"/>
                <w:szCs w:val="18"/>
              </w:rPr>
              <w:t>Rpts</w:t>
            </w:r>
          </w:p>
        </w:tc>
        <w:tc>
          <w:tcPr>
            <w:tcW w:w="864" w:type="dxa"/>
          </w:tcPr>
          <w:p w:rsidR="00897107" w:rsidRPr="009978AC" w:rsidRDefault="00897107" w:rsidP="00F61699">
            <w:pPr>
              <w:keepNext/>
              <w:rPr>
                <w:rFonts w:ascii="Arial Narrow" w:hAnsi="Arial Narrow" w:cs="Arial"/>
                <w:b/>
                <w:sz w:val="18"/>
                <w:szCs w:val="18"/>
              </w:rPr>
            </w:pPr>
            <w:r w:rsidRPr="00FA739A">
              <w:rPr>
                <w:rFonts w:ascii="Arial Narrow" w:hAnsi="Arial Narrow" w:cs="Arial"/>
                <w:b/>
                <w:sz w:val="18"/>
                <w:szCs w:val="18"/>
              </w:rPr>
              <w:t>Available brands</w:t>
            </w:r>
          </w:p>
        </w:tc>
      </w:tr>
      <w:tr w:rsidR="00897107" w:rsidRPr="00FA739A" w:rsidTr="00F80991">
        <w:trPr>
          <w:cantSplit/>
          <w:trHeight w:val="322"/>
        </w:trPr>
        <w:tc>
          <w:tcPr>
            <w:tcW w:w="9067" w:type="dxa"/>
            <w:gridSpan w:val="7"/>
          </w:tcPr>
          <w:p w:rsidR="00897107" w:rsidRPr="00FA739A" w:rsidRDefault="00897107" w:rsidP="00F61699">
            <w:pPr>
              <w:keepNext/>
              <w:ind w:left="57"/>
              <w:rPr>
                <w:rFonts w:ascii="Arial Narrow" w:hAnsi="Arial Narrow" w:cs="Arial"/>
                <w:sz w:val="18"/>
                <w:szCs w:val="18"/>
              </w:rPr>
            </w:pPr>
            <w:r w:rsidRPr="00FA739A">
              <w:rPr>
                <w:rFonts w:ascii="Arial Narrow" w:hAnsi="Arial Narrow" w:cs="Arial"/>
                <w:sz w:val="18"/>
                <w:szCs w:val="18"/>
              </w:rPr>
              <w:t>RIBOCICLIB</w:t>
            </w:r>
          </w:p>
        </w:tc>
      </w:tr>
      <w:tr w:rsidR="00897107" w:rsidRPr="00FA739A" w:rsidTr="00F80991">
        <w:trPr>
          <w:cantSplit/>
          <w:trHeight w:val="333"/>
        </w:trPr>
        <w:tc>
          <w:tcPr>
            <w:tcW w:w="4099" w:type="dxa"/>
            <w:gridSpan w:val="2"/>
            <w:shd w:val="clear" w:color="auto" w:fill="E5DFEC" w:themeFill="accent4" w:themeFillTint="33"/>
          </w:tcPr>
          <w:p w:rsidR="00897107" w:rsidRPr="00FA739A" w:rsidRDefault="00897107" w:rsidP="00F61699">
            <w:pPr>
              <w:keepNext/>
              <w:ind w:left="57"/>
              <w:rPr>
                <w:rFonts w:ascii="Arial Narrow" w:hAnsi="Arial Narrow" w:cs="Arial"/>
                <w:sz w:val="18"/>
                <w:szCs w:val="18"/>
              </w:rPr>
            </w:pPr>
            <w:r w:rsidRPr="00FA739A">
              <w:rPr>
                <w:rFonts w:ascii="Arial Narrow" w:hAnsi="Arial Narrow" w:cs="Arial"/>
                <w:sz w:val="18"/>
                <w:szCs w:val="18"/>
              </w:rPr>
              <w:t>ribociclib 200 mg tablet, 21</w:t>
            </w:r>
          </w:p>
        </w:tc>
        <w:tc>
          <w:tcPr>
            <w:tcW w:w="1416" w:type="dxa"/>
            <w:shd w:val="clear" w:color="auto" w:fill="E5DFEC" w:themeFill="accent4" w:themeFillTint="33"/>
          </w:tcPr>
          <w:p w:rsidR="00897107" w:rsidRPr="00FA739A" w:rsidRDefault="00897107" w:rsidP="00F61699">
            <w:pPr>
              <w:keepNext/>
              <w:ind w:left="-108"/>
              <w:jc w:val="center"/>
              <w:rPr>
                <w:rFonts w:ascii="Arial Narrow" w:hAnsi="Arial Narrow" w:cs="Arial"/>
                <w:sz w:val="18"/>
                <w:szCs w:val="18"/>
              </w:rPr>
            </w:pPr>
            <w:r w:rsidRPr="00FA739A">
              <w:rPr>
                <w:rFonts w:ascii="Arial Narrow" w:hAnsi="Arial Narrow" w:cs="Arial"/>
                <w:sz w:val="18"/>
                <w:szCs w:val="18"/>
              </w:rPr>
              <w:t>11385F</w:t>
            </w:r>
          </w:p>
        </w:tc>
        <w:tc>
          <w:tcPr>
            <w:tcW w:w="1132" w:type="dxa"/>
            <w:shd w:val="clear" w:color="auto" w:fill="E5DFEC" w:themeFill="accent4" w:themeFillTint="33"/>
          </w:tcPr>
          <w:p w:rsidR="00897107" w:rsidRPr="00FA739A" w:rsidRDefault="00897107" w:rsidP="00F61699">
            <w:pPr>
              <w:keepNext/>
              <w:jc w:val="center"/>
              <w:rPr>
                <w:rFonts w:ascii="Arial Narrow" w:hAnsi="Arial Narrow" w:cs="Arial"/>
                <w:sz w:val="18"/>
                <w:szCs w:val="18"/>
              </w:rPr>
            </w:pPr>
            <w:r w:rsidRPr="00FA739A">
              <w:rPr>
                <w:rFonts w:ascii="Arial Narrow" w:hAnsi="Arial Narrow" w:cs="Arial"/>
                <w:sz w:val="18"/>
                <w:szCs w:val="18"/>
              </w:rPr>
              <w:t>1</w:t>
            </w:r>
          </w:p>
        </w:tc>
        <w:tc>
          <w:tcPr>
            <w:tcW w:w="849" w:type="dxa"/>
            <w:shd w:val="clear" w:color="auto" w:fill="E5DFEC" w:themeFill="accent4" w:themeFillTint="33"/>
          </w:tcPr>
          <w:p w:rsidR="00897107" w:rsidRPr="00FA739A" w:rsidRDefault="00897107" w:rsidP="00F61699">
            <w:pPr>
              <w:keepNext/>
              <w:ind w:left="-108"/>
              <w:jc w:val="center"/>
              <w:rPr>
                <w:rFonts w:ascii="Arial Narrow" w:hAnsi="Arial Narrow" w:cs="Arial"/>
                <w:sz w:val="18"/>
                <w:szCs w:val="18"/>
              </w:rPr>
            </w:pPr>
            <w:r w:rsidRPr="00FA739A">
              <w:rPr>
                <w:rFonts w:ascii="Arial Narrow" w:hAnsi="Arial Narrow" w:cs="Arial"/>
                <w:sz w:val="18"/>
                <w:szCs w:val="18"/>
              </w:rPr>
              <w:t>21</w:t>
            </w:r>
          </w:p>
        </w:tc>
        <w:tc>
          <w:tcPr>
            <w:tcW w:w="707" w:type="dxa"/>
            <w:shd w:val="clear" w:color="auto" w:fill="E5DFEC" w:themeFill="accent4" w:themeFillTint="33"/>
          </w:tcPr>
          <w:p w:rsidR="00897107" w:rsidRPr="00FA739A" w:rsidRDefault="00897107" w:rsidP="00F61699">
            <w:pPr>
              <w:keepNext/>
              <w:ind w:left="-108"/>
              <w:jc w:val="center"/>
              <w:rPr>
                <w:rFonts w:ascii="Arial Narrow" w:hAnsi="Arial Narrow" w:cs="Arial"/>
                <w:sz w:val="18"/>
                <w:szCs w:val="18"/>
              </w:rPr>
            </w:pPr>
            <w:r w:rsidRPr="00FA739A">
              <w:rPr>
                <w:rFonts w:ascii="Arial Narrow" w:hAnsi="Arial Narrow" w:cs="Arial"/>
                <w:sz w:val="18"/>
                <w:szCs w:val="18"/>
              </w:rPr>
              <w:t>5</w:t>
            </w:r>
          </w:p>
        </w:tc>
        <w:tc>
          <w:tcPr>
            <w:tcW w:w="864" w:type="dxa"/>
            <w:shd w:val="clear" w:color="auto" w:fill="E5DFEC" w:themeFill="accent4" w:themeFillTint="33"/>
          </w:tcPr>
          <w:p w:rsidR="00897107" w:rsidRPr="00FA739A" w:rsidRDefault="00897107" w:rsidP="00F61699">
            <w:pPr>
              <w:keepNext/>
              <w:rPr>
                <w:rFonts w:ascii="Arial Narrow" w:hAnsi="Arial Narrow" w:cs="Arial"/>
                <w:sz w:val="18"/>
                <w:szCs w:val="18"/>
              </w:rPr>
            </w:pPr>
            <w:r w:rsidRPr="00FA739A">
              <w:rPr>
                <w:rFonts w:ascii="Arial Narrow" w:hAnsi="Arial Narrow" w:cs="Arial"/>
                <w:sz w:val="18"/>
                <w:szCs w:val="18"/>
              </w:rPr>
              <w:t>Kisqali</w:t>
            </w:r>
          </w:p>
        </w:tc>
      </w:tr>
      <w:tr w:rsidR="00897107" w:rsidRPr="00FA739A" w:rsidTr="00F80991">
        <w:trPr>
          <w:cantSplit/>
          <w:trHeight w:val="347"/>
        </w:trPr>
        <w:tc>
          <w:tcPr>
            <w:tcW w:w="4099" w:type="dxa"/>
            <w:gridSpan w:val="2"/>
          </w:tcPr>
          <w:p w:rsidR="00897107" w:rsidRPr="00FA739A" w:rsidRDefault="00897107" w:rsidP="00F61699">
            <w:pPr>
              <w:keepNext/>
              <w:ind w:left="57"/>
              <w:rPr>
                <w:rFonts w:ascii="Arial Narrow" w:hAnsi="Arial Narrow" w:cs="Arial"/>
                <w:sz w:val="18"/>
                <w:szCs w:val="18"/>
              </w:rPr>
            </w:pPr>
            <w:r w:rsidRPr="00FA739A">
              <w:rPr>
                <w:rFonts w:ascii="Arial Narrow" w:hAnsi="Arial Narrow" w:cs="Arial"/>
                <w:sz w:val="18"/>
                <w:szCs w:val="18"/>
              </w:rPr>
              <w:t>ribociclib 200 mg tablet, 63</w:t>
            </w:r>
          </w:p>
        </w:tc>
        <w:tc>
          <w:tcPr>
            <w:tcW w:w="1416" w:type="dxa"/>
            <w:shd w:val="clear" w:color="auto" w:fill="auto"/>
          </w:tcPr>
          <w:p w:rsidR="00897107" w:rsidRPr="00FA739A" w:rsidRDefault="00897107" w:rsidP="00F61699">
            <w:pPr>
              <w:keepNext/>
              <w:ind w:left="-108"/>
              <w:jc w:val="center"/>
              <w:rPr>
                <w:rFonts w:ascii="Arial Narrow" w:hAnsi="Arial Narrow" w:cs="Arial"/>
                <w:sz w:val="18"/>
                <w:szCs w:val="18"/>
              </w:rPr>
            </w:pPr>
            <w:r w:rsidRPr="00FA739A">
              <w:rPr>
                <w:rFonts w:ascii="Arial Narrow" w:hAnsi="Arial Narrow" w:cs="Arial"/>
                <w:sz w:val="18"/>
                <w:szCs w:val="18"/>
              </w:rPr>
              <w:t>11386G</w:t>
            </w:r>
          </w:p>
        </w:tc>
        <w:tc>
          <w:tcPr>
            <w:tcW w:w="1132" w:type="dxa"/>
            <w:shd w:val="clear" w:color="auto" w:fill="auto"/>
          </w:tcPr>
          <w:p w:rsidR="00897107" w:rsidRPr="00FA739A" w:rsidRDefault="00897107" w:rsidP="00F61699">
            <w:pPr>
              <w:keepNext/>
              <w:jc w:val="center"/>
              <w:rPr>
                <w:rFonts w:ascii="Arial Narrow" w:hAnsi="Arial Narrow" w:cs="Arial"/>
                <w:sz w:val="18"/>
                <w:szCs w:val="18"/>
              </w:rPr>
            </w:pPr>
            <w:r w:rsidRPr="00FA739A">
              <w:rPr>
                <w:rFonts w:ascii="Arial Narrow" w:hAnsi="Arial Narrow" w:cs="Arial"/>
                <w:sz w:val="18"/>
                <w:szCs w:val="18"/>
              </w:rPr>
              <w:t>1</w:t>
            </w:r>
          </w:p>
        </w:tc>
        <w:tc>
          <w:tcPr>
            <w:tcW w:w="849" w:type="dxa"/>
            <w:shd w:val="clear" w:color="auto" w:fill="auto"/>
          </w:tcPr>
          <w:p w:rsidR="00897107" w:rsidRPr="00FA739A" w:rsidRDefault="00897107" w:rsidP="00F61699">
            <w:pPr>
              <w:keepNext/>
              <w:ind w:left="-108"/>
              <w:jc w:val="center"/>
              <w:rPr>
                <w:rFonts w:ascii="Arial Narrow" w:hAnsi="Arial Narrow" w:cs="Arial"/>
                <w:sz w:val="18"/>
                <w:szCs w:val="18"/>
              </w:rPr>
            </w:pPr>
            <w:r w:rsidRPr="00FA739A">
              <w:rPr>
                <w:rFonts w:ascii="Arial Narrow" w:hAnsi="Arial Narrow" w:cs="Arial"/>
                <w:sz w:val="18"/>
                <w:szCs w:val="18"/>
              </w:rPr>
              <w:t>63</w:t>
            </w:r>
          </w:p>
        </w:tc>
        <w:tc>
          <w:tcPr>
            <w:tcW w:w="707" w:type="dxa"/>
            <w:shd w:val="clear" w:color="auto" w:fill="auto"/>
          </w:tcPr>
          <w:p w:rsidR="00897107" w:rsidRPr="00FA739A" w:rsidRDefault="00897107" w:rsidP="00F61699">
            <w:pPr>
              <w:keepNext/>
              <w:ind w:left="-108"/>
              <w:jc w:val="center"/>
              <w:rPr>
                <w:rFonts w:ascii="Arial Narrow" w:hAnsi="Arial Narrow" w:cs="Arial"/>
                <w:sz w:val="18"/>
                <w:szCs w:val="18"/>
              </w:rPr>
            </w:pPr>
            <w:r w:rsidRPr="00FA739A">
              <w:rPr>
                <w:rFonts w:ascii="Arial Narrow" w:hAnsi="Arial Narrow" w:cs="Arial"/>
                <w:sz w:val="18"/>
                <w:szCs w:val="18"/>
              </w:rPr>
              <w:t>5</w:t>
            </w:r>
          </w:p>
        </w:tc>
        <w:tc>
          <w:tcPr>
            <w:tcW w:w="864" w:type="dxa"/>
            <w:shd w:val="clear" w:color="auto" w:fill="auto"/>
          </w:tcPr>
          <w:p w:rsidR="00897107" w:rsidRPr="00FA739A" w:rsidRDefault="00897107" w:rsidP="00F61699">
            <w:pPr>
              <w:keepNext/>
              <w:rPr>
                <w:rFonts w:ascii="Arial Narrow" w:hAnsi="Arial Narrow" w:cs="Arial"/>
                <w:sz w:val="18"/>
                <w:szCs w:val="18"/>
              </w:rPr>
            </w:pPr>
            <w:r w:rsidRPr="00FA739A">
              <w:rPr>
                <w:rFonts w:ascii="Arial Narrow" w:hAnsi="Arial Narrow" w:cs="Arial"/>
                <w:sz w:val="18"/>
                <w:szCs w:val="18"/>
              </w:rPr>
              <w:t>Kisqali</w:t>
            </w:r>
          </w:p>
        </w:tc>
      </w:tr>
      <w:tr w:rsidR="00897107" w:rsidRPr="00FA739A" w:rsidTr="00F80991">
        <w:trPr>
          <w:cantSplit/>
          <w:trHeight w:val="347"/>
        </w:trPr>
        <w:tc>
          <w:tcPr>
            <w:tcW w:w="4099" w:type="dxa"/>
            <w:gridSpan w:val="2"/>
            <w:shd w:val="clear" w:color="auto" w:fill="DBE5F1" w:themeFill="accent1" w:themeFillTint="33"/>
          </w:tcPr>
          <w:p w:rsidR="00897107" w:rsidRPr="00FA739A" w:rsidRDefault="00897107" w:rsidP="00F61699">
            <w:pPr>
              <w:keepNext/>
              <w:ind w:left="57"/>
              <w:rPr>
                <w:rFonts w:ascii="Arial Narrow" w:hAnsi="Arial Narrow" w:cs="Arial"/>
                <w:sz w:val="18"/>
                <w:szCs w:val="18"/>
              </w:rPr>
            </w:pPr>
            <w:r w:rsidRPr="00FA739A">
              <w:rPr>
                <w:rFonts w:ascii="Arial Narrow" w:hAnsi="Arial Narrow" w:cs="Arial"/>
                <w:sz w:val="18"/>
                <w:szCs w:val="18"/>
              </w:rPr>
              <w:t>ribociclib 200 mg tablet, 42</w:t>
            </w:r>
          </w:p>
        </w:tc>
        <w:tc>
          <w:tcPr>
            <w:tcW w:w="1416" w:type="dxa"/>
            <w:shd w:val="clear" w:color="auto" w:fill="DBE5F1" w:themeFill="accent1" w:themeFillTint="33"/>
          </w:tcPr>
          <w:p w:rsidR="00897107" w:rsidRPr="00FA739A" w:rsidRDefault="00897107" w:rsidP="00F61699">
            <w:pPr>
              <w:keepNext/>
              <w:ind w:left="-108"/>
              <w:jc w:val="center"/>
              <w:rPr>
                <w:rFonts w:ascii="Arial Narrow" w:hAnsi="Arial Narrow" w:cs="Arial"/>
                <w:sz w:val="18"/>
                <w:szCs w:val="18"/>
              </w:rPr>
            </w:pPr>
            <w:r w:rsidRPr="00FA739A">
              <w:rPr>
                <w:rFonts w:ascii="Arial Narrow" w:hAnsi="Arial Narrow" w:cs="Arial"/>
                <w:sz w:val="18"/>
                <w:szCs w:val="18"/>
              </w:rPr>
              <w:t>11397W</w:t>
            </w:r>
          </w:p>
        </w:tc>
        <w:tc>
          <w:tcPr>
            <w:tcW w:w="1132" w:type="dxa"/>
            <w:shd w:val="clear" w:color="auto" w:fill="DBE5F1" w:themeFill="accent1" w:themeFillTint="33"/>
          </w:tcPr>
          <w:p w:rsidR="00897107" w:rsidRPr="00FA739A" w:rsidRDefault="00897107" w:rsidP="00F61699">
            <w:pPr>
              <w:keepNext/>
              <w:jc w:val="center"/>
              <w:rPr>
                <w:rFonts w:ascii="Arial Narrow" w:hAnsi="Arial Narrow" w:cs="Arial"/>
                <w:sz w:val="18"/>
                <w:szCs w:val="18"/>
              </w:rPr>
            </w:pPr>
            <w:r w:rsidRPr="00FA739A">
              <w:rPr>
                <w:rFonts w:ascii="Arial Narrow" w:hAnsi="Arial Narrow" w:cs="Arial"/>
                <w:sz w:val="18"/>
                <w:szCs w:val="18"/>
              </w:rPr>
              <w:t>1</w:t>
            </w:r>
          </w:p>
        </w:tc>
        <w:tc>
          <w:tcPr>
            <w:tcW w:w="849" w:type="dxa"/>
            <w:shd w:val="clear" w:color="auto" w:fill="DBE5F1" w:themeFill="accent1" w:themeFillTint="33"/>
          </w:tcPr>
          <w:p w:rsidR="00897107" w:rsidRPr="00FA739A" w:rsidRDefault="00897107" w:rsidP="00F61699">
            <w:pPr>
              <w:keepNext/>
              <w:ind w:left="-108"/>
              <w:jc w:val="center"/>
              <w:rPr>
                <w:rFonts w:ascii="Arial Narrow" w:hAnsi="Arial Narrow" w:cs="Arial"/>
                <w:sz w:val="18"/>
                <w:szCs w:val="18"/>
              </w:rPr>
            </w:pPr>
            <w:r w:rsidRPr="00FA739A">
              <w:rPr>
                <w:rFonts w:ascii="Arial Narrow" w:hAnsi="Arial Narrow" w:cs="Arial"/>
                <w:sz w:val="18"/>
                <w:szCs w:val="18"/>
              </w:rPr>
              <w:t>42</w:t>
            </w:r>
          </w:p>
        </w:tc>
        <w:tc>
          <w:tcPr>
            <w:tcW w:w="707" w:type="dxa"/>
            <w:shd w:val="clear" w:color="auto" w:fill="DBE5F1" w:themeFill="accent1" w:themeFillTint="33"/>
          </w:tcPr>
          <w:p w:rsidR="00897107" w:rsidRPr="00FA739A" w:rsidRDefault="00897107" w:rsidP="00F61699">
            <w:pPr>
              <w:keepNext/>
              <w:ind w:left="-108"/>
              <w:jc w:val="center"/>
              <w:rPr>
                <w:rFonts w:ascii="Arial Narrow" w:hAnsi="Arial Narrow" w:cs="Arial"/>
                <w:sz w:val="18"/>
                <w:szCs w:val="18"/>
              </w:rPr>
            </w:pPr>
            <w:r w:rsidRPr="00FA739A">
              <w:rPr>
                <w:rFonts w:ascii="Arial Narrow" w:hAnsi="Arial Narrow" w:cs="Arial"/>
                <w:sz w:val="18"/>
                <w:szCs w:val="18"/>
              </w:rPr>
              <w:t>5</w:t>
            </w:r>
          </w:p>
        </w:tc>
        <w:tc>
          <w:tcPr>
            <w:tcW w:w="864" w:type="dxa"/>
            <w:shd w:val="clear" w:color="auto" w:fill="DBE5F1" w:themeFill="accent1" w:themeFillTint="33"/>
          </w:tcPr>
          <w:p w:rsidR="00897107" w:rsidRPr="00FA739A" w:rsidRDefault="00897107" w:rsidP="00F61699">
            <w:pPr>
              <w:keepNext/>
              <w:rPr>
                <w:rFonts w:ascii="Arial Narrow" w:hAnsi="Arial Narrow" w:cs="Arial"/>
                <w:sz w:val="18"/>
                <w:szCs w:val="18"/>
              </w:rPr>
            </w:pPr>
            <w:r w:rsidRPr="00FA739A">
              <w:rPr>
                <w:rFonts w:ascii="Arial Narrow" w:hAnsi="Arial Narrow" w:cs="Arial"/>
                <w:sz w:val="18"/>
                <w:szCs w:val="18"/>
              </w:rPr>
              <w:t>Kisqali</w:t>
            </w:r>
          </w:p>
        </w:tc>
      </w:tr>
      <w:tr w:rsidR="00897107" w:rsidRPr="00FA739A" w:rsidTr="00F80991">
        <w:trPr>
          <w:cantSplit/>
          <w:trHeight w:val="347"/>
        </w:trPr>
        <w:tc>
          <w:tcPr>
            <w:tcW w:w="9067" w:type="dxa"/>
            <w:gridSpan w:val="7"/>
          </w:tcPr>
          <w:p w:rsidR="00897107" w:rsidRPr="00FA739A" w:rsidRDefault="00897107" w:rsidP="00F61699">
            <w:pPr>
              <w:keepNext/>
              <w:rPr>
                <w:rFonts w:ascii="Arial Narrow" w:hAnsi="Arial Narrow" w:cs="Arial"/>
                <w:sz w:val="18"/>
                <w:szCs w:val="18"/>
              </w:rPr>
            </w:pPr>
          </w:p>
        </w:tc>
      </w:tr>
      <w:tr w:rsidR="00897107" w:rsidRPr="00FA739A" w:rsidTr="00F80991">
        <w:trPr>
          <w:cantSplit/>
          <w:trHeight w:val="275"/>
        </w:trPr>
        <w:tc>
          <w:tcPr>
            <w:tcW w:w="9067" w:type="dxa"/>
            <w:gridSpan w:val="7"/>
          </w:tcPr>
          <w:p w:rsidR="00897107" w:rsidRPr="009978AC" w:rsidRDefault="00AA4D6C" w:rsidP="00F61699">
            <w:pPr>
              <w:keepNext/>
              <w:rPr>
                <w:rFonts w:ascii="Arial Narrow" w:hAnsi="Arial Narrow" w:cs="Arial"/>
                <w:i/>
                <w:sz w:val="18"/>
                <w:szCs w:val="18"/>
              </w:rPr>
            </w:pPr>
            <w:r>
              <w:rPr>
                <w:rFonts w:ascii="Arial Narrow" w:hAnsi="Arial Narrow" w:cs="Arial"/>
                <w:i/>
                <w:sz w:val="18"/>
                <w:szCs w:val="18"/>
              </w:rPr>
              <w:t>Unshaded</w:t>
            </w:r>
            <w:r w:rsidRPr="009978AC">
              <w:rPr>
                <w:rFonts w:ascii="Arial Narrow" w:hAnsi="Arial Narrow" w:cs="Arial"/>
                <w:i/>
                <w:sz w:val="18"/>
                <w:szCs w:val="18"/>
              </w:rPr>
              <w:t xml:space="preserve"> </w:t>
            </w:r>
            <w:r w:rsidR="00897107" w:rsidRPr="009978AC">
              <w:rPr>
                <w:rFonts w:ascii="Arial Narrow" w:hAnsi="Arial Narrow" w:cs="Arial"/>
                <w:i/>
                <w:sz w:val="18"/>
                <w:szCs w:val="18"/>
              </w:rPr>
              <w:t>rows indicate common concepts across all 3 pack sizes</w:t>
            </w:r>
          </w:p>
        </w:tc>
      </w:tr>
      <w:tr w:rsidR="00897107" w:rsidRPr="00FA739A" w:rsidTr="00F80991">
        <w:trPr>
          <w:cantSplit/>
          <w:trHeight w:val="275"/>
        </w:trPr>
        <w:tc>
          <w:tcPr>
            <w:tcW w:w="9067" w:type="dxa"/>
            <w:gridSpan w:val="7"/>
            <w:shd w:val="clear" w:color="auto" w:fill="E5DFEC" w:themeFill="accent4" w:themeFillTint="33"/>
          </w:tcPr>
          <w:p w:rsidR="00897107" w:rsidRPr="009978AC" w:rsidRDefault="00897107" w:rsidP="00F61699">
            <w:pPr>
              <w:keepNext/>
              <w:rPr>
                <w:rFonts w:ascii="Arial Narrow" w:hAnsi="Arial Narrow" w:cs="Arial"/>
                <w:b/>
                <w:sz w:val="18"/>
                <w:szCs w:val="18"/>
              </w:rPr>
            </w:pPr>
            <w:r w:rsidRPr="009978AC">
              <w:rPr>
                <w:rFonts w:ascii="Arial Narrow" w:hAnsi="Arial Narrow" w:cs="Arial"/>
                <w:b/>
                <w:sz w:val="18"/>
                <w:szCs w:val="18"/>
              </w:rPr>
              <w:t>Restriction Summary 10055 / ToC: 10037: Authority Required – 21 tablet pack</w:t>
            </w:r>
          </w:p>
        </w:tc>
      </w:tr>
      <w:tr w:rsidR="00897107" w:rsidRPr="00FA739A" w:rsidTr="00F80991">
        <w:trPr>
          <w:cantSplit/>
          <w:trHeight w:val="275"/>
        </w:trPr>
        <w:tc>
          <w:tcPr>
            <w:tcW w:w="9067" w:type="dxa"/>
            <w:gridSpan w:val="7"/>
          </w:tcPr>
          <w:p w:rsidR="00897107" w:rsidRPr="00FA739A" w:rsidRDefault="00897107" w:rsidP="00F61699">
            <w:pPr>
              <w:keepNext/>
              <w:rPr>
                <w:rFonts w:ascii="Arial Narrow" w:hAnsi="Arial Narrow" w:cs="Arial"/>
                <w:b/>
                <w:sz w:val="18"/>
                <w:szCs w:val="18"/>
              </w:rPr>
            </w:pPr>
            <w:r w:rsidRPr="009978AC">
              <w:rPr>
                <w:rFonts w:ascii="Arial Narrow" w:hAnsi="Arial Narrow" w:cs="Arial"/>
                <w:b/>
                <w:sz w:val="18"/>
                <w:szCs w:val="18"/>
              </w:rPr>
              <w:t>Restriction Summary 10060 / ToC: 10018:  Authority Required – 63 tablet pack</w:t>
            </w:r>
          </w:p>
        </w:tc>
      </w:tr>
      <w:tr w:rsidR="00897107" w:rsidRPr="00FA739A" w:rsidTr="00F80991">
        <w:trPr>
          <w:cantSplit/>
          <w:trHeight w:val="275"/>
        </w:trPr>
        <w:tc>
          <w:tcPr>
            <w:tcW w:w="9067" w:type="dxa"/>
            <w:gridSpan w:val="7"/>
            <w:shd w:val="clear" w:color="auto" w:fill="DBE5F1" w:themeFill="accent1" w:themeFillTint="33"/>
          </w:tcPr>
          <w:p w:rsidR="00897107" w:rsidRPr="009978AC" w:rsidRDefault="00897107" w:rsidP="00F61699">
            <w:pPr>
              <w:keepNext/>
              <w:rPr>
                <w:rFonts w:ascii="Arial Narrow" w:hAnsi="Arial Narrow" w:cs="Arial"/>
                <w:b/>
                <w:sz w:val="18"/>
                <w:szCs w:val="18"/>
              </w:rPr>
            </w:pPr>
            <w:r w:rsidRPr="009978AC">
              <w:rPr>
                <w:rFonts w:ascii="Arial Narrow" w:hAnsi="Arial Narrow" w:cs="Arial"/>
                <w:b/>
                <w:sz w:val="18"/>
                <w:szCs w:val="18"/>
              </w:rPr>
              <w:t>Restriction Summary 10056 / ToC: 10044: Authority Required – 42 tablet pack</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Merge w:val="restart"/>
            <w:vAlign w:val="center"/>
          </w:tcPr>
          <w:p w:rsidR="00897107" w:rsidRPr="00FA739A" w:rsidRDefault="00897107" w:rsidP="00897107">
            <w:pPr>
              <w:jc w:val="center"/>
              <w:rPr>
                <w:rFonts w:ascii="Arial Narrow" w:hAnsi="Arial Narrow" w:cs="Arial"/>
                <w:b/>
                <w:sz w:val="18"/>
                <w:szCs w:val="18"/>
              </w:rPr>
            </w:pPr>
          </w:p>
        </w:tc>
        <w:tc>
          <w:tcPr>
            <w:tcW w:w="7656" w:type="dxa"/>
            <w:gridSpan w:val="6"/>
            <w:tcBorders>
              <w:top w:val="single" w:sz="4" w:space="0" w:color="auto"/>
              <w:left w:val="single" w:sz="4" w:space="0" w:color="auto"/>
              <w:bottom w:val="single" w:sz="4" w:space="0" w:color="auto"/>
              <w:right w:val="single" w:sz="4" w:space="0" w:color="auto"/>
            </w:tcBorders>
          </w:tcPr>
          <w:p w:rsidR="00897107" w:rsidRPr="00FA739A" w:rsidRDefault="00897107" w:rsidP="00897107">
            <w:pPr>
              <w:rPr>
                <w:rFonts w:ascii="Arial Narrow" w:hAnsi="Arial Narrow" w:cs="Arial"/>
                <w:sz w:val="18"/>
                <w:szCs w:val="18"/>
              </w:rPr>
            </w:pPr>
            <w:r w:rsidRPr="00FA739A">
              <w:rPr>
                <w:rFonts w:ascii="Arial Narrow" w:hAnsi="Arial Narrow" w:cs="Arial"/>
                <w:b/>
                <w:sz w:val="18"/>
                <w:szCs w:val="18"/>
              </w:rPr>
              <w:t xml:space="preserve">Category / Program:   </w:t>
            </w:r>
            <w:r w:rsidRPr="00FA739A">
              <w:rPr>
                <w:rFonts w:ascii="Arial Narrow" w:hAnsi="Arial Narrow" w:cs="Arial"/>
                <w:sz w:val="18"/>
                <w:szCs w:val="18"/>
              </w:rPr>
              <w:t xml:space="preserve">GENERAL – General Schedule (Code GE) </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Merge/>
            <w:vAlign w:val="center"/>
          </w:tcPr>
          <w:p w:rsidR="00897107" w:rsidRPr="00FA739A" w:rsidRDefault="00897107" w:rsidP="00897107">
            <w:pPr>
              <w:widowControl w:val="0"/>
              <w:rPr>
                <w:rFonts w:ascii="Arial Narrow" w:hAnsi="Arial Narrow" w:cs="Arial"/>
                <w:b/>
                <w:sz w:val="18"/>
                <w:szCs w:val="18"/>
              </w:rPr>
            </w:pPr>
          </w:p>
        </w:tc>
        <w:tc>
          <w:tcPr>
            <w:tcW w:w="7656" w:type="dxa"/>
            <w:gridSpan w:val="6"/>
            <w:tcBorders>
              <w:top w:val="single" w:sz="4" w:space="0" w:color="auto"/>
              <w:left w:val="single" w:sz="4" w:space="0" w:color="auto"/>
              <w:bottom w:val="single" w:sz="4" w:space="0" w:color="auto"/>
              <w:right w:val="single" w:sz="4" w:space="0" w:color="auto"/>
            </w:tcBorders>
          </w:tcPr>
          <w:p w:rsidR="00897107" w:rsidRPr="00FA739A" w:rsidRDefault="00897107" w:rsidP="00897107">
            <w:pPr>
              <w:widowControl w:val="0"/>
              <w:rPr>
                <w:rFonts w:ascii="Arial Narrow" w:hAnsi="Arial Narrow" w:cs="Arial"/>
                <w:b/>
                <w:bCs/>
                <w:snapToGrid w:val="0"/>
                <w:sz w:val="18"/>
                <w:szCs w:val="18"/>
              </w:rPr>
            </w:pPr>
            <w:r w:rsidRPr="00FA739A">
              <w:rPr>
                <w:rFonts w:ascii="Arial Narrow" w:hAnsi="Arial Narrow" w:cs="Arial"/>
                <w:b/>
                <w:sz w:val="18"/>
                <w:szCs w:val="18"/>
              </w:rPr>
              <w:t xml:space="preserve">Prescriber type:   </w:t>
            </w:r>
            <w:r w:rsidRPr="009978AC">
              <w:rPr>
                <w:rFonts w:ascii="Arial Narrow" w:hAnsi="Arial Narrow" w:cs="Arial"/>
                <w:sz w:val="18"/>
                <w:szCs w:val="18"/>
              </w:rPr>
              <w:fldChar w:fldCharType="begin">
                <w:ffData>
                  <w:name w:val=""/>
                  <w:enabled/>
                  <w:calcOnExit w:val="0"/>
                  <w:checkBox>
                    <w:sizeAuto/>
                    <w:default w:val="1"/>
                  </w:checkBox>
                </w:ffData>
              </w:fldChar>
            </w:r>
            <w:r w:rsidRPr="00FA739A">
              <w:rPr>
                <w:rFonts w:ascii="Arial Narrow" w:hAnsi="Arial Narrow" w:cs="Arial"/>
                <w:sz w:val="18"/>
                <w:szCs w:val="18"/>
              </w:rPr>
              <w:instrText xml:space="preserve"> FORMCHECKBOX </w:instrText>
            </w:r>
            <w:r w:rsidR="00980405">
              <w:rPr>
                <w:rFonts w:ascii="Arial Narrow" w:hAnsi="Arial Narrow" w:cs="Arial"/>
                <w:sz w:val="18"/>
                <w:szCs w:val="18"/>
              </w:rPr>
            </w:r>
            <w:r w:rsidR="00980405">
              <w:rPr>
                <w:rFonts w:ascii="Arial Narrow" w:hAnsi="Arial Narrow" w:cs="Arial"/>
                <w:sz w:val="18"/>
                <w:szCs w:val="18"/>
              </w:rPr>
              <w:fldChar w:fldCharType="separate"/>
            </w:r>
            <w:r w:rsidRPr="009978AC">
              <w:rPr>
                <w:rFonts w:ascii="Arial Narrow" w:hAnsi="Arial Narrow" w:cs="Arial"/>
                <w:sz w:val="18"/>
                <w:szCs w:val="18"/>
              </w:rPr>
              <w:fldChar w:fldCharType="end"/>
            </w:r>
            <w:r w:rsidR="004C37D1">
              <w:rPr>
                <w:rFonts w:ascii="Arial Narrow" w:hAnsi="Arial Narrow" w:cs="Arial"/>
                <w:sz w:val="18"/>
                <w:szCs w:val="18"/>
              </w:rPr>
              <w:t xml:space="preserve"> Medical Practitioners</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Merge/>
            <w:vAlign w:val="center"/>
          </w:tcPr>
          <w:p w:rsidR="00897107" w:rsidRPr="00FA739A" w:rsidRDefault="00897107" w:rsidP="00897107">
            <w:pPr>
              <w:rPr>
                <w:rFonts w:ascii="Arial Narrow" w:hAnsi="Arial Narrow" w:cs="Arial"/>
                <w:b/>
                <w:sz w:val="18"/>
                <w:szCs w:val="18"/>
              </w:rPr>
            </w:pPr>
          </w:p>
        </w:tc>
        <w:tc>
          <w:tcPr>
            <w:tcW w:w="7656" w:type="dxa"/>
            <w:gridSpan w:val="6"/>
            <w:tcBorders>
              <w:top w:val="single" w:sz="4" w:space="0" w:color="auto"/>
              <w:left w:val="single" w:sz="4" w:space="0" w:color="auto"/>
              <w:bottom w:val="single" w:sz="4" w:space="0" w:color="auto"/>
              <w:right w:val="single" w:sz="4" w:space="0" w:color="auto"/>
            </w:tcBorders>
          </w:tcPr>
          <w:p w:rsidR="00897107" w:rsidRPr="00FA739A" w:rsidRDefault="00897107" w:rsidP="00897107">
            <w:pPr>
              <w:rPr>
                <w:rFonts w:ascii="Arial Narrow" w:hAnsi="Arial Narrow" w:cs="Arial"/>
                <w:b/>
                <w:sz w:val="18"/>
                <w:szCs w:val="18"/>
              </w:rPr>
            </w:pPr>
            <w:r w:rsidRPr="00FA739A">
              <w:rPr>
                <w:rFonts w:ascii="Arial Narrow" w:hAnsi="Arial Narrow" w:cs="Arial"/>
                <w:b/>
                <w:sz w:val="18"/>
                <w:szCs w:val="18"/>
              </w:rPr>
              <w:t xml:space="preserve">Restriction Type: </w:t>
            </w:r>
            <w:r w:rsidRPr="009978AC">
              <w:rPr>
                <w:rFonts w:ascii="Arial Narrow" w:eastAsia="Calibri" w:hAnsi="Arial Narrow" w:cs="Arial"/>
                <w:sz w:val="18"/>
                <w:szCs w:val="18"/>
              </w:rPr>
              <w:fldChar w:fldCharType="begin">
                <w:ffData>
                  <w:name w:val="Check3"/>
                  <w:enabled/>
                  <w:calcOnExit w:val="0"/>
                  <w:checkBox>
                    <w:sizeAuto/>
                    <w:default w:val="1"/>
                  </w:checkBox>
                </w:ffData>
              </w:fldChar>
            </w:r>
            <w:bookmarkStart w:id="10" w:name="Check3"/>
            <w:r w:rsidRPr="00FA739A">
              <w:rPr>
                <w:rFonts w:ascii="Arial Narrow" w:eastAsia="Calibri" w:hAnsi="Arial Narrow" w:cs="Arial"/>
                <w:sz w:val="18"/>
                <w:szCs w:val="18"/>
              </w:rPr>
              <w:instrText xml:space="preserve"> FORMCHECKBOX </w:instrText>
            </w:r>
            <w:r w:rsidR="00980405">
              <w:rPr>
                <w:rFonts w:ascii="Arial Narrow" w:eastAsia="Calibri" w:hAnsi="Arial Narrow" w:cs="Arial"/>
                <w:sz w:val="18"/>
                <w:szCs w:val="18"/>
              </w:rPr>
            </w:r>
            <w:r w:rsidR="00980405">
              <w:rPr>
                <w:rFonts w:ascii="Arial Narrow" w:eastAsia="Calibri" w:hAnsi="Arial Narrow" w:cs="Arial"/>
                <w:sz w:val="18"/>
                <w:szCs w:val="18"/>
              </w:rPr>
              <w:fldChar w:fldCharType="separate"/>
            </w:r>
            <w:r w:rsidRPr="009978AC">
              <w:rPr>
                <w:rFonts w:ascii="Arial Narrow" w:eastAsia="Calibri" w:hAnsi="Arial Narrow" w:cs="Arial"/>
                <w:sz w:val="18"/>
                <w:szCs w:val="18"/>
              </w:rPr>
              <w:fldChar w:fldCharType="end"/>
            </w:r>
            <w:bookmarkEnd w:id="10"/>
            <w:r w:rsidRPr="00FA739A">
              <w:rPr>
                <w:rFonts w:ascii="Arial Narrow" w:eastAsia="Calibri" w:hAnsi="Arial Narrow" w:cs="Arial"/>
                <w:sz w:val="18"/>
                <w:szCs w:val="18"/>
              </w:rPr>
              <w:t xml:space="preserve"> Authority Required – immediate/real time assessment by Services Australia (telephone/online)</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iCs/>
                <w:snapToGrid w:val="0"/>
                <w:sz w:val="18"/>
                <w:szCs w:val="18"/>
              </w:rPr>
            </w:pPr>
          </w:p>
        </w:tc>
        <w:tc>
          <w:tcPr>
            <w:tcW w:w="7656" w:type="dxa"/>
            <w:gridSpan w:val="6"/>
            <w:vAlign w:val="center"/>
          </w:tcPr>
          <w:p w:rsidR="00897107" w:rsidRPr="00FA739A" w:rsidRDefault="00897107" w:rsidP="00897107">
            <w:pPr>
              <w:widowControl w:val="0"/>
              <w:rPr>
                <w:rFonts w:ascii="Arial Narrow" w:hAnsi="Arial Narrow" w:cs="Arial"/>
                <w:b/>
                <w:bCs/>
                <w:iCs/>
                <w:snapToGrid w:val="0"/>
                <w:sz w:val="18"/>
                <w:szCs w:val="18"/>
              </w:rPr>
            </w:pPr>
            <w:r w:rsidRPr="00FA739A">
              <w:rPr>
                <w:rFonts w:ascii="Arial Narrow" w:hAnsi="Arial Narrow" w:cs="Arial"/>
                <w:b/>
                <w:bCs/>
                <w:iCs/>
                <w:snapToGrid w:val="0"/>
                <w:sz w:val="18"/>
                <w:szCs w:val="18"/>
              </w:rPr>
              <w:t>Administrative Advice:</w:t>
            </w:r>
          </w:p>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Cs/>
                <w:snapToGrid w:val="0"/>
                <w:sz w:val="18"/>
                <w:szCs w:val="18"/>
              </w:rPr>
              <w:t>Applications for authorisation under this restriction may be made in real time using the Online PBS Authorities system (see www.servicesaustralia.gov.au/HPOS) or by telephone by contacting Services Australia on 1800 888 333.</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Administrative Advice:</w:t>
            </w:r>
            <w:r w:rsidRPr="00FA739A">
              <w:rPr>
                <w:rFonts w:ascii="Arial Narrow" w:hAnsi="Arial Narrow" w:cs="Arial"/>
                <w:bCs/>
                <w:snapToGrid w:val="0"/>
                <w:sz w:val="18"/>
                <w:szCs w:val="18"/>
              </w:rPr>
              <w:t xml:space="preserve"> No increase in the maximum quantity or number of units may be authorised.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Administrative Advice:</w:t>
            </w:r>
            <w:r w:rsidRPr="00FA739A">
              <w:rPr>
                <w:rFonts w:ascii="Arial Narrow" w:hAnsi="Arial Narrow" w:cs="Arial"/>
                <w:bCs/>
                <w:snapToGrid w:val="0"/>
                <w:sz w:val="18"/>
                <w:szCs w:val="18"/>
              </w:rPr>
              <w:t xml:space="preserve"> No increase in the maximum number of repeats may be authorised.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Administrative Advice:</w:t>
            </w:r>
            <w:r w:rsidRPr="00FA739A">
              <w:rPr>
                <w:rFonts w:ascii="Arial Narrow" w:hAnsi="Arial Narrow" w:cs="Arial"/>
                <w:bCs/>
                <w:snapToGrid w:val="0"/>
                <w:sz w:val="18"/>
                <w:szCs w:val="18"/>
              </w:rPr>
              <w:t xml:space="preserve"> Special Pricing Arrangements apply.</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Indication:</w:t>
            </w:r>
            <w:r w:rsidRPr="00FA739A">
              <w:rPr>
                <w:rFonts w:ascii="Arial Narrow" w:hAnsi="Arial Narrow" w:cs="Arial"/>
                <w:bCs/>
                <w:snapToGrid w:val="0"/>
                <w:sz w:val="18"/>
                <w:szCs w:val="18"/>
              </w:rPr>
              <w:t xml:space="preserve"> Locally advanced or metastatic breast cancer</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Treatment Phase:</w:t>
            </w:r>
            <w:r w:rsidRPr="00FA739A">
              <w:rPr>
                <w:rFonts w:ascii="Arial Narrow" w:hAnsi="Arial Narrow" w:cs="Arial"/>
                <w:bCs/>
                <w:snapToGrid w:val="0"/>
                <w:sz w:val="18"/>
                <w:szCs w:val="18"/>
              </w:rPr>
              <w:t xml:space="preserve"> Initial treatment</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trike/>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trike/>
                <w:snapToGrid w:val="0"/>
                <w:sz w:val="18"/>
                <w:szCs w:val="18"/>
              </w:rPr>
            </w:pPr>
            <w:r w:rsidRPr="00FA739A">
              <w:rPr>
                <w:rFonts w:ascii="Arial Narrow" w:hAnsi="Arial Narrow" w:cs="Arial"/>
                <w:b/>
                <w:bCs/>
                <w:strike/>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Cs/>
                <w:strike/>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trike/>
                <w:snapToGrid w:val="0"/>
                <w:sz w:val="18"/>
                <w:szCs w:val="18"/>
              </w:rPr>
            </w:pPr>
            <w:r w:rsidRPr="00FA739A">
              <w:rPr>
                <w:rFonts w:ascii="Arial Narrow" w:hAnsi="Arial Narrow" w:cs="Arial"/>
                <w:bCs/>
                <w:strike/>
                <w:snapToGrid w:val="0"/>
                <w:sz w:val="18"/>
                <w:szCs w:val="18"/>
              </w:rPr>
              <w:t>Patient must not have previously been treated with an aromatase inhibitor for advanced or metastatic breast cancer</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trike/>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trike/>
                <w:snapToGrid w:val="0"/>
                <w:sz w:val="18"/>
                <w:szCs w:val="18"/>
              </w:rPr>
            </w:pPr>
            <w:r w:rsidRPr="00FA739A">
              <w:rPr>
                <w:rFonts w:ascii="Arial Narrow" w:hAnsi="Arial Narrow" w:cs="Arial"/>
                <w:b/>
                <w:bCs/>
                <w:strike/>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Cs/>
                <w:strike/>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trike/>
                <w:snapToGrid w:val="0"/>
                <w:sz w:val="18"/>
                <w:szCs w:val="18"/>
              </w:rPr>
            </w:pPr>
            <w:r w:rsidRPr="00FA739A">
              <w:rPr>
                <w:rFonts w:ascii="Arial Narrow" w:hAnsi="Arial Narrow" w:cs="Arial"/>
                <w:bCs/>
                <w:strike/>
                <w:snapToGrid w:val="0"/>
                <w:sz w:val="18"/>
                <w:szCs w:val="18"/>
              </w:rPr>
              <w:t>Patient must not have previously been treated with abemaciclib or palbociclib; or</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Cs/>
                <w:i/>
                <w:snapToGrid w:val="0"/>
                <w:sz w:val="18"/>
                <w:szCs w:val="18"/>
              </w:rPr>
            </w:pPr>
          </w:p>
        </w:tc>
        <w:tc>
          <w:tcPr>
            <w:tcW w:w="7656" w:type="dxa"/>
            <w:gridSpan w:val="6"/>
            <w:vAlign w:val="center"/>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Cs/>
                <w:i/>
                <w:snapToGrid w:val="0"/>
                <w:sz w:val="18"/>
                <w:szCs w:val="18"/>
              </w:rPr>
              <w:t>Patient must be untreated with each of: (i) abemaciclib, (ii) palbociclib, (iii) ribociclib; or</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Cs/>
                <w:snapToGrid w:val="0"/>
                <w:sz w:val="18"/>
                <w:szCs w:val="18"/>
              </w:rPr>
              <w:t>Patient must have developed an intolerance to abemaciclib or palbociclib of a severity necessitating permanent treatment withdrawal</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Cs/>
                <w:snapToGrid w:val="0"/>
                <w:sz w:val="18"/>
                <w:szCs w:val="18"/>
              </w:rPr>
              <w:t>The condition must be hormone receptor positive</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Cs/>
                <w:snapToGrid w:val="0"/>
                <w:sz w:val="18"/>
                <w:szCs w:val="18"/>
              </w:rPr>
              <w:t>The condition must be human epidermal growth factor receptor 2 (HER2) negative</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Cs/>
                <w:snapToGrid w:val="0"/>
                <w:sz w:val="18"/>
                <w:szCs w:val="18"/>
              </w:rPr>
              <w:t>The condition must be inoperable</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Cs/>
                <w:snapToGrid w:val="0"/>
                <w:sz w:val="18"/>
                <w:szCs w:val="18"/>
              </w:rPr>
              <w:t>Patient must have a World Health Organisation (WHO) Eastern Cooperative Oncology Group (ECOG) performance status score of 2 or less</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Cs/>
                <w:strike/>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trike/>
                <w:snapToGrid w:val="0"/>
                <w:sz w:val="18"/>
                <w:szCs w:val="18"/>
              </w:rPr>
            </w:pPr>
            <w:r w:rsidRPr="00FA739A">
              <w:rPr>
                <w:rFonts w:ascii="Arial Narrow" w:hAnsi="Arial Narrow" w:cs="Arial"/>
                <w:bCs/>
                <w:strike/>
                <w:snapToGrid w:val="0"/>
                <w:sz w:val="18"/>
                <w:szCs w:val="18"/>
              </w:rPr>
              <w:t>The treatment must be in combination with anastrozole or letrozole</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Cs/>
                <w:i/>
                <w:snapToGrid w:val="0"/>
                <w:sz w:val="18"/>
                <w:szCs w:val="18"/>
              </w:rPr>
            </w:pPr>
          </w:p>
        </w:tc>
        <w:tc>
          <w:tcPr>
            <w:tcW w:w="7656" w:type="dxa"/>
            <w:gridSpan w:val="6"/>
            <w:vAlign w:val="center"/>
          </w:tcPr>
          <w:p w:rsidR="00897107" w:rsidRPr="00FA739A" w:rsidRDefault="00C07A92" w:rsidP="00C07A92">
            <w:pPr>
              <w:widowControl w:val="0"/>
              <w:rPr>
                <w:rFonts w:ascii="Arial Narrow" w:hAnsi="Arial Narrow" w:cs="Arial"/>
                <w:bCs/>
                <w:i/>
                <w:snapToGrid w:val="0"/>
                <w:sz w:val="18"/>
                <w:szCs w:val="18"/>
              </w:rPr>
            </w:pPr>
            <w:r>
              <w:rPr>
                <w:rFonts w:ascii="Arial Narrow" w:hAnsi="Arial Narrow" w:cs="Arial"/>
                <w:bCs/>
                <w:i/>
                <w:snapToGrid w:val="0"/>
                <w:sz w:val="18"/>
                <w:szCs w:val="18"/>
              </w:rPr>
              <w:t>W</w:t>
            </w:r>
            <w:r w:rsidRPr="00FA739A">
              <w:rPr>
                <w:rFonts w:ascii="Arial Narrow" w:hAnsi="Arial Narrow" w:cs="Arial"/>
                <w:bCs/>
                <w:i/>
                <w:snapToGrid w:val="0"/>
                <w:sz w:val="18"/>
                <w:szCs w:val="18"/>
              </w:rPr>
              <w:t>here the patient has never been treated with endocrine therapy for advanced/metastatic disease</w:t>
            </w:r>
            <w:r>
              <w:rPr>
                <w:rFonts w:ascii="Arial Narrow" w:hAnsi="Arial Narrow" w:cs="Arial"/>
                <w:bCs/>
                <w:i/>
                <w:snapToGrid w:val="0"/>
                <w:sz w:val="18"/>
                <w:szCs w:val="18"/>
              </w:rPr>
              <w:t>,</w:t>
            </w:r>
            <w:r w:rsidRPr="00FA739A">
              <w:rPr>
                <w:rFonts w:ascii="Arial Narrow" w:hAnsi="Arial Narrow" w:cs="Arial"/>
                <w:bCs/>
                <w:i/>
                <w:snapToGrid w:val="0"/>
                <w:sz w:val="18"/>
                <w:szCs w:val="18"/>
              </w:rPr>
              <w:t xml:space="preserve"> </w:t>
            </w:r>
            <w:r>
              <w:rPr>
                <w:rFonts w:ascii="Arial Narrow" w:hAnsi="Arial Narrow" w:cs="Arial"/>
                <w:bCs/>
                <w:i/>
                <w:snapToGrid w:val="0"/>
                <w:sz w:val="18"/>
                <w:szCs w:val="18"/>
              </w:rPr>
              <w:t>t</w:t>
            </w:r>
            <w:r w:rsidR="00897107" w:rsidRPr="00FA739A">
              <w:rPr>
                <w:rFonts w:ascii="Arial Narrow" w:hAnsi="Arial Narrow" w:cs="Arial"/>
                <w:bCs/>
                <w:i/>
                <w:snapToGrid w:val="0"/>
                <w:sz w:val="18"/>
                <w:szCs w:val="18"/>
              </w:rPr>
              <w:t>he treatment must be in combination with one of: (i) anastrozole, (ii) letrozole, (iii) fulvestrant; or</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Cs/>
                <w:i/>
                <w:snapToGrid w:val="0"/>
                <w:sz w:val="18"/>
                <w:szCs w:val="18"/>
              </w:rPr>
            </w:pPr>
          </w:p>
        </w:tc>
        <w:tc>
          <w:tcPr>
            <w:tcW w:w="7656" w:type="dxa"/>
            <w:gridSpan w:val="6"/>
            <w:vAlign w:val="center"/>
          </w:tcPr>
          <w:p w:rsidR="00897107" w:rsidRPr="00FA739A" w:rsidRDefault="00C07A92" w:rsidP="00C07A92">
            <w:pPr>
              <w:widowControl w:val="0"/>
              <w:rPr>
                <w:rFonts w:ascii="Arial Narrow" w:hAnsi="Arial Narrow" w:cs="Arial"/>
                <w:bCs/>
                <w:i/>
                <w:snapToGrid w:val="0"/>
                <w:sz w:val="18"/>
                <w:szCs w:val="18"/>
              </w:rPr>
            </w:pPr>
            <w:r>
              <w:rPr>
                <w:rFonts w:ascii="Arial Narrow" w:hAnsi="Arial Narrow" w:cs="Arial"/>
                <w:bCs/>
                <w:i/>
                <w:snapToGrid w:val="0"/>
                <w:sz w:val="18"/>
                <w:szCs w:val="18"/>
              </w:rPr>
              <w:t>W</w:t>
            </w:r>
            <w:r w:rsidRPr="00FA739A">
              <w:rPr>
                <w:rFonts w:ascii="Arial Narrow" w:hAnsi="Arial Narrow" w:cs="Arial"/>
                <w:bCs/>
                <w:i/>
                <w:snapToGrid w:val="0"/>
                <w:sz w:val="18"/>
                <w:szCs w:val="18"/>
              </w:rPr>
              <w:t>here the patient has recurrence/progressive disease despite being treated with endocrine therapy for advanced/metastatic disease</w:t>
            </w:r>
            <w:r>
              <w:rPr>
                <w:rFonts w:ascii="Arial Narrow" w:hAnsi="Arial Narrow" w:cs="Arial"/>
                <w:bCs/>
                <w:i/>
                <w:snapToGrid w:val="0"/>
                <w:sz w:val="18"/>
                <w:szCs w:val="18"/>
              </w:rPr>
              <w:t>, t</w:t>
            </w:r>
            <w:r w:rsidR="00897107" w:rsidRPr="00FA739A">
              <w:rPr>
                <w:rFonts w:ascii="Arial Narrow" w:hAnsi="Arial Narrow" w:cs="Arial"/>
                <w:bCs/>
                <w:i/>
                <w:snapToGrid w:val="0"/>
                <w:sz w:val="18"/>
                <w:szCs w:val="18"/>
              </w:rPr>
              <w:t>he treatment must be in combination with fulvestrant only</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Cs/>
                <w:snapToGrid w:val="0"/>
                <w:sz w:val="18"/>
                <w:szCs w:val="18"/>
              </w:rPr>
              <w:t>The treatment must not be in combination with abemaciclib or palbociclib</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shd w:val="clear" w:color="auto" w:fill="E5DFEC" w:themeFill="accent4" w:themeFillTint="33"/>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shd w:val="clear" w:color="auto" w:fill="E5DFEC" w:themeFill="accent4" w:themeFillTint="33"/>
            <w:vAlign w:val="center"/>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shd w:val="clear" w:color="auto" w:fill="E5DFEC" w:themeFill="accent4" w:themeFillTint="33"/>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shd w:val="clear" w:color="auto" w:fill="E5DFEC" w:themeFill="accent4" w:themeFillTint="33"/>
            <w:vAlign w:val="center"/>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shd w:val="clear" w:color="auto" w:fill="E5DFEC" w:themeFill="accent4" w:themeFillTint="33"/>
            <w:vAlign w:val="center"/>
          </w:tcPr>
          <w:p w:rsidR="00897107" w:rsidRPr="00FA739A" w:rsidRDefault="00897107" w:rsidP="00897107">
            <w:pPr>
              <w:widowControl w:val="0"/>
              <w:jc w:val="center"/>
              <w:rPr>
                <w:rFonts w:ascii="Arial Narrow" w:hAnsi="Arial Narrow" w:cs="Arial"/>
                <w:bCs/>
                <w:snapToGrid w:val="0"/>
                <w:sz w:val="18"/>
                <w:szCs w:val="18"/>
              </w:rPr>
            </w:pPr>
          </w:p>
        </w:tc>
        <w:tc>
          <w:tcPr>
            <w:tcW w:w="7656" w:type="dxa"/>
            <w:gridSpan w:val="6"/>
            <w:shd w:val="clear" w:color="auto" w:fill="E5DFEC" w:themeFill="accent4" w:themeFillTint="33"/>
            <w:vAlign w:val="center"/>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Cs/>
                <w:snapToGrid w:val="0"/>
                <w:sz w:val="18"/>
                <w:szCs w:val="18"/>
              </w:rPr>
              <w:t>Patient must require dosage reduction requiring a pack of 21 tablets</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shd w:val="clear" w:color="auto" w:fill="DBE5F1" w:themeFill="accent1" w:themeFillTint="33"/>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shd w:val="clear" w:color="auto" w:fill="DBE5F1" w:themeFill="accent1" w:themeFillTint="33"/>
            <w:vAlign w:val="center"/>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shd w:val="clear" w:color="auto" w:fill="DBE5F1" w:themeFill="accent1" w:themeFillTint="33"/>
            <w:vAlign w:val="center"/>
          </w:tcPr>
          <w:p w:rsidR="00897107" w:rsidRPr="00FA739A" w:rsidRDefault="00897107" w:rsidP="00897107">
            <w:pPr>
              <w:widowControl w:val="0"/>
              <w:jc w:val="center"/>
              <w:rPr>
                <w:rFonts w:ascii="Arial Narrow" w:hAnsi="Arial Narrow" w:cs="Arial"/>
                <w:bCs/>
                <w:snapToGrid w:val="0"/>
                <w:sz w:val="18"/>
                <w:szCs w:val="18"/>
              </w:rPr>
            </w:pPr>
          </w:p>
        </w:tc>
        <w:tc>
          <w:tcPr>
            <w:tcW w:w="7656" w:type="dxa"/>
            <w:gridSpan w:val="6"/>
            <w:shd w:val="clear" w:color="auto" w:fill="DBE5F1" w:themeFill="accent1" w:themeFillTint="33"/>
            <w:vAlign w:val="center"/>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Cs/>
                <w:snapToGrid w:val="0"/>
                <w:sz w:val="18"/>
                <w:szCs w:val="18"/>
              </w:rPr>
              <w:t>Patient must require dosage reduction requiring a pack of 42 tablets</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Population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Cs/>
                <w:snapToGrid w:val="0"/>
                <w:sz w:val="18"/>
                <w:szCs w:val="18"/>
              </w:rPr>
              <w:t>Patient must not be premenopausal</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rPr>
          <w:trHeight w:val="259"/>
        </w:trPr>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Caution:</w:t>
            </w:r>
            <w:r w:rsidRPr="00FA739A">
              <w:rPr>
                <w:rFonts w:ascii="Arial Narrow" w:hAnsi="Arial Narrow" w:cs="Arial"/>
                <w:bCs/>
                <w:snapToGrid w:val="0"/>
                <w:sz w:val="18"/>
                <w:szCs w:val="18"/>
              </w:rPr>
              <w:t xml:space="preserve"> QT interval monitoring is required for patients treated with this drug.</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tcPr>
          <w:p w:rsidR="00897107" w:rsidRPr="00FA739A" w:rsidRDefault="00897107" w:rsidP="00897107">
            <w:pPr>
              <w:widowControl w:val="0"/>
              <w:rPr>
                <w:rFonts w:ascii="Arial Narrow" w:hAnsi="Arial Narrow" w:cs="Arial"/>
                <w:b/>
                <w:bCs/>
                <w:snapToGrid w:val="0"/>
                <w:sz w:val="18"/>
                <w:szCs w:val="18"/>
              </w:rPr>
            </w:pPr>
          </w:p>
        </w:tc>
        <w:tc>
          <w:tcPr>
            <w:tcW w:w="7656" w:type="dxa"/>
            <w:gridSpan w:val="6"/>
            <w:vAlign w:val="center"/>
          </w:tcPr>
          <w:p w:rsidR="00897107" w:rsidRPr="00FA739A" w:rsidRDefault="00897107" w:rsidP="00897107">
            <w:pPr>
              <w:widowControl w:val="0"/>
              <w:rPr>
                <w:rFonts w:ascii="Arial Narrow" w:hAnsi="Arial Narrow" w:cs="Arial"/>
                <w:b/>
                <w:bCs/>
                <w:snapToGrid w:val="0"/>
                <w:sz w:val="18"/>
                <w:szCs w:val="18"/>
              </w:rPr>
            </w:pP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9067" w:type="dxa"/>
            <w:gridSpan w:val="7"/>
            <w:shd w:val="clear" w:color="auto" w:fill="E5DFEC" w:themeFill="accent4" w:themeFillTint="33"/>
          </w:tcPr>
          <w:p w:rsidR="00897107" w:rsidRPr="00FA739A" w:rsidRDefault="00897107" w:rsidP="00897107">
            <w:pPr>
              <w:widowControl w:val="0"/>
              <w:rPr>
                <w:rFonts w:ascii="Arial Narrow" w:hAnsi="Arial Narrow" w:cs="Arial"/>
                <w:b/>
                <w:bCs/>
                <w:snapToGrid w:val="0"/>
                <w:sz w:val="18"/>
                <w:szCs w:val="18"/>
              </w:rPr>
            </w:pPr>
            <w:r w:rsidRPr="00FA739A">
              <w:rPr>
                <w:rFonts w:ascii="Arial Narrow" w:hAnsi="Arial Narrow" w:cs="Arial"/>
                <w:b/>
                <w:bCs/>
                <w:snapToGrid w:val="0"/>
                <w:sz w:val="18"/>
                <w:szCs w:val="18"/>
              </w:rPr>
              <w:t>Restriction Summary 10016 / ToC: 10038: Authority Required – 21 tablet pack</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9067" w:type="dxa"/>
            <w:gridSpan w:val="7"/>
          </w:tcPr>
          <w:p w:rsidR="00897107" w:rsidRPr="00FA739A" w:rsidRDefault="00897107" w:rsidP="00897107">
            <w:pPr>
              <w:widowControl w:val="0"/>
              <w:rPr>
                <w:rFonts w:ascii="Arial Narrow" w:hAnsi="Arial Narrow" w:cs="Arial"/>
                <w:b/>
                <w:bCs/>
                <w:snapToGrid w:val="0"/>
                <w:sz w:val="18"/>
                <w:szCs w:val="18"/>
              </w:rPr>
            </w:pPr>
            <w:r w:rsidRPr="00FA739A">
              <w:rPr>
                <w:rFonts w:ascii="Arial Narrow" w:hAnsi="Arial Narrow" w:cs="Arial"/>
                <w:b/>
                <w:bCs/>
                <w:snapToGrid w:val="0"/>
                <w:sz w:val="18"/>
                <w:szCs w:val="18"/>
              </w:rPr>
              <w:t>Restriction Summary 10017 / ToC: 10057: Authority Required – 63 tablet pack</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9067" w:type="dxa"/>
            <w:gridSpan w:val="7"/>
            <w:shd w:val="clear" w:color="auto" w:fill="DBE5F1" w:themeFill="accent1" w:themeFillTint="33"/>
          </w:tcPr>
          <w:p w:rsidR="00897107" w:rsidRPr="00FA739A" w:rsidRDefault="00897107" w:rsidP="00897107">
            <w:pPr>
              <w:widowControl w:val="0"/>
              <w:rPr>
                <w:rFonts w:ascii="Arial Narrow" w:hAnsi="Arial Narrow" w:cs="Arial"/>
                <w:b/>
                <w:bCs/>
                <w:snapToGrid w:val="0"/>
                <w:sz w:val="18"/>
                <w:szCs w:val="18"/>
              </w:rPr>
            </w:pPr>
            <w:r w:rsidRPr="00FA739A">
              <w:rPr>
                <w:rFonts w:ascii="Arial Narrow" w:hAnsi="Arial Narrow" w:cs="Arial"/>
                <w:b/>
                <w:bCs/>
                <w:snapToGrid w:val="0"/>
                <w:sz w:val="18"/>
                <w:szCs w:val="18"/>
              </w:rPr>
              <w:t>Restriction Summary 10031 / ToC: 10054: Authority Required – 42 tablet pack</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iCs/>
                <w:snapToGrid w:val="0"/>
                <w:sz w:val="18"/>
                <w:szCs w:val="18"/>
              </w:rPr>
            </w:pPr>
          </w:p>
        </w:tc>
        <w:tc>
          <w:tcPr>
            <w:tcW w:w="7656" w:type="dxa"/>
            <w:gridSpan w:val="6"/>
            <w:vAlign w:val="center"/>
          </w:tcPr>
          <w:p w:rsidR="00897107" w:rsidRPr="00FA739A" w:rsidRDefault="00897107" w:rsidP="00897107">
            <w:pPr>
              <w:widowControl w:val="0"/>
              <w:rPr>
                <w:rFonts w:ascii="Arial Narrow" w:hAnsi="Arial Narrow" w:cs="Arial"/>
                <w:b/>
                <w:bCs/>
                <w:iCs/>
                <w:snapToGrid w:val="0"/>
                <w:sz w:val="18"/>
                <w:szCs w:val="18"/>
              </w:rPr>
            </w:pPr>
            <w:r w:rsidRPr="00FA739A">
              <w:rPr>
                <w:rFonts w:ascii="Arial Narrow" w:hAnsi="Arial Narrow" w:cs="Arial"/>
                <w:b/>
                <w:bCs/>
                <w:iCs/>
                <w:snapToGrid w:val="0"/>
                <w:sz w:val="18"/>
                <w:szCs w:val="18"/>
              </w:rPr>
              <w:t>Administrative Advice:</w:t>
            </w:r>
          </w:p>
          <w:p w:rsidR="00897107" w:rsidRPr="00FA739A" w:rsidRDefault="00897107" w:rsidP="00897107">
            <w:pPr>
              <w:widowControl w:val="0"/>
              <w:rPr>
                <w:rFonts w:ascii="Arial Narrow" w:hAnsi="Arial Narrow" w:cs="Arial"/>
                <w:b/>
                <w:bCs/>
                <w:snapToGrid w:val="0"/>
                <w:sz w:val="18"/>
                <w:szCs w:val="18"/>
              </w:rPr>
            </w:pPr>
            <w:r w:rsidRPr="00FA739A">
              <w:rPr>
                <w:rFonts w:ascii="Arial Narrow" w:hAnsi="Arial Narrow" w:cs="Arial"/>
                <w:bCs/>
                <w:snapToGrid w:val="0"/>
                <w:sz w:val="18"/>
                <w:szCs w:val="18"/>
              </w:rPr>
              <w:t>Applications for authorisation under this restriction may be made in real time using the Online PBS Authorities system (see www.servicesaustralia.gov.au/HPOS) or by telephone by contacting Services Australia on 1800 888 333.</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Administrative Advice:</w:t>
            </w:r>
            <w:r w:rsidRPr="00FA739A">
              <w:rPr>
                <w:rFonts w:ascii="Arial Narrow" w:hAnsi="Arial Narrow" w:cs="Arial"/>
                <w:bCs/>
                <w:snapToGrid w:val="0"/>
                <w:sz w:val="18"/>
                <w:szCs w:val="18"/>
              </w:rPr>
              <w:t xml:space="preserve"> No increase in the maximum quantity or number of units may be authorised.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Administrative Advice:</w:t>
            </w:r>
            <w:r w:rsidRPr="00FA739A">
              <w:rPr>
                <w:rFonts w:ascii="Arial Narrow" w:hAnsi="Arial Narrow" w:cs="Arial"/>
                <w:bCs/>
                <w:snapToGrid w:val="0"/>
                <w:sz w:val="18"/>
                <w:szCs w:val="18"/>
              </w:rPr>
              <w:t xml:space="preserve"> No increase in the maximum number of repeats may be authorised.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Administrative Advice:</w:t>
            </w:r>
            <w:r w:rsidRPr="00FA739A">
              <w:rPr>
                <w:rFonts w:ascii="Arial Narrow" w:hAnsi="Arial Narrow" w:cs="Arial"/>
                <w:bCs/>
                <w:snapToGrid w:val="0"/>
                <w:sz w:val="18"/>
                <w:szCs w:val="18"/>
              </w:rPr>
              <w:t xml:space="preserve"> Special Pricing Arrangements apply.</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Indication:</w:t>
            </w:r>
            <w:r w:rsidRPr="00FA739A">
              <w:rPr>
                <w:rFonts w:ascii="Arial Narrow" w:hAnsi="Arial Narrow" w:cs="Arial"/>
                <w:bCs/>
                <w:snapToGrid w:val="0"/>
                <w:sz w:val="18"/>
                <w:szCs w:val="18"/>
              </w:rPr>
              <w:t xml:space="preserve"> Locally advanced or metastatic breast cancer</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Treatment Phase:</w:t>
            </w:r>
            <w:r w:rsidRPr="00FA739A">
              <w:rPr>
                <w:rFonts w:ascii="Arial Narrow" w:hAnsi="Arial Narrow" w:cs="Arial"/>
                <w:bCs/>
                <w:snapToGrid w:val="0"/>
                <w:sz w:val="18"/>
                <w:szCs w:val="18"/>
              </w:rPr>
              <w:t xml:space="preserve"> Continuing treatment</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Cs/>
                <w:snapToGrid w:val="0"/>
                <w:sz w:val="18"/>
                <w:szCs w:val="18"/>
              </w:rPr>
              <w:t>Patient must have previously received PBS-subsidised treatment with this drug for this condition</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Cs/>
                <w:strike/>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trike/>
                <w:snapToGrid w:val="0"/>
                <w:sz w:val="18"/>
                <w:szCs w:val="18"/>
              </w:rPr>
            </w:pPr>
            <w:r w:rsidRPr="00FA739A">
              <w:rPr>
                <w:rFonts w:ascii="Arial Narrow" w:hAnsi="Arial Narrow" w:cs="Arial"/>
                <w:bCs/>
                <w:strike/>
                <w:snapToGrid w:val="0"/>
                <w:sz w:val="18"/>
                <w:szCs w:val="18"/>
              </w:rPr>
              <w:t>Patient must not develop disease progression while receiving treatment with this drug for this condition</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Cs/>
                <w:snapToGrid w:val="0"/>
                <w:sz w:val="18"/>
                <w:szCs w:val="18"/>
              </w:rPr>
            </w:pPr>
          </w:p>
        </w:tc>
        <w:tc>
          <w:tcPr>
            <w:tcW w:w="7656" w:type="dxa"/>
            <w:gridSpan w:val="6"/>
            <w:vAlign w:val="center"/>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Cs/>
                <w:snapToGrid w:val="0"/>
                <w:sz w:val="18"/>
                <w:szCs w:val="18"/>
              </w:rPr>
              <w:t>Patient must not have developed disease progression while being treated with this drug for this condition</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trike/>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trike/>
                <w:snapToGrid w:val="0"/>
                <w:sz w:val="18"/>
                <w:szCs w:val="18"/>
              </w:rPr>
            </w:pPr>
            <w:r w:rsidRPr="00FA739A">
              <w:rPr>
                <w:rFonts w:ascii="Arial Narrow" w:hAnsi="Arial Narrow" w:cs="Arial"/>
                <w:b/>
                <w:bCs/>
                <w:strike/>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trike/>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trike/>
                <w:snapToGrid w:val="0"/>
                <w:sz w:val="18"/>
                <w:szCs w:val="18"/>
              </w:rPr>
            </w:pPr>
            <w:r w:rsidRPr="00FA739A">
              <w:rPr>
                <w:rFonts w:ascii="Arial Narrow" w:hAnsi="Arial Narrow" w:cs="Arial"/>
                <w:b/>
                <w:bCs/>
                <w:strike/>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Cs/>
                <w:strike/>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trike/>
                <w:snapToGrid w:val="0"/>
                <w:sz w:val="18"/>
                <w:szCs w:val="18"/>
              </w:rPr>
            </w:pPr>
            <w:r w:rsidRPr="00FA739A">
              <w:rPr>
                <w:rFonts w:ascii="Arial Narrow" w:hAnsi="Arial Narrow" w:cs="Arial"/>
                <w:bCs/>
                <w:strike/>
                <w:snapToGrid w:val="0"/>
                <w:sz w:val="18"/>
                <w:szCs w:val="18"/>
              </w:rPr>
              <w:t>Patient must have stable or responding disease</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Cs/>
                <w:strike/>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trike/>
                <w:snapToGrid w:val="0"/>
                <w:sz w:val="18"/>
                <w:szCs w:val="18"/>
              </w:rPr>
            </w:pPr>
            <w:r w:rsidRPr="00FA739A">
              <w:rPr>
                <w:rFonts w:ascii="Arial Narrow" w:hAnsi="Arial Narrow" w:cs="Arial"/>
                <w:bCs/>
                <w:strike/>
                <w:snapToGrid w:val="0"/>
                <w:sz w:val="18"/>
                <w:szCs w:val="18"/>
              </w:rPr>
              <w:t>The treatment must be in combination with anastrozole or letrozole</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Cs/>
                <w:i/>
                <w:snapToGrid w:val="0"/>
                <w:sz w:val="18"/>
                <w:szCs w:val="18"/>
              </w:rPr>
            </w:pPr>
          </w:p>
        </w:tc>
        <w:tc>
          <w:tcPr>
            <w:tcW w:w="7656" w:type="dxa"/>
            <w:gridSpan w:val="6"/>
            <w:vAlign w:val="center"/>
          </w:tcPr>
          <w:p w:rsidR="00897107" w:rsidRPr="00FA739A" w:rsidRDefault="00897107" w:rsidP="00897107">
            <w:pPr>
              <w:widowControl w:val="0"/>
              <w:rPr>
                <w:rFonts w:ascii="Arial Narrow" w:hAnsi="Arial Narrow" w:cs="Arial"/>
                <w:bCs/>
                <w:strike/>
                <w:snapToGrid w:val="0"/>
                <w:sz w:val="18"/>
                <w:szCs w:val="18"/>
              </w:rPr>
            </w:pPr>
            <w:r w:rsidRPr="00FA739A">
              <w:rPr>
                <w:rFonts w:ascii="Arial Narrow" w:hAnsi="Arial Narrow" w:cs="Arial"/>
                <w:bCs/>
                <w:i/>
                <w:snapToGrid w:val="0"/>
                <w:sz w:val="18"/>
                <w:szCs w:val="18"/>
              </w:rPr>
              <w:t>The treatment must be in combination with one of: (i) anastrozole, (ii) letrozole, (iii) fulvestrant</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Cs/>
                <w:snapToGrid w:val="0"/>
                <w:sz w:val="18"/>
                <w:szCs w:val="18"/>
              </w:rPr>
              <w:t>The treatment must not be in combination with abemaciclib or palbociclib</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shd w:val="clear" w:color="auto" w:fill="E5DFEC" w:themeFill="accent4" w:themeFillTint="33"/>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shd w:val="clear" w:color="auto" w:fill="E5DFEC" w:themeFill="accent4" w:themeFillTint="33"/>
            <w:vAlign w:val="center"/>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shd w:val="clear" w:color="auto" w:fill="E5DFEC" w:themeFill="accent4" w:themeFillTint="33"/>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shd w:val="clear" w:color="auto" w:fill="E5DFEC" w:themeFill="accent4" w:themeFillTint="33"/>
            <w:vAlign w:val="center"/>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shd w:val="clear" w:color="auto" w:fill="E5DFEC" w:themeFill="accent4" w:themeFillTint="33"/>
            <w:vAlign w:val="center"/>
          </w:tcPr>
          <w:p w:rsidR="00897107" w:rsidRPr="00FA739A" w:rsidRDefault="00897107" w:rsidP="00897107">
            <w:pPr>
              <w:widowControl w:val="0"/>
              <w:jc w:val="center"/>
              <w:rPr>
                <w:rFonts w:ascii="Arial Narrow" w:hAnsi="Arial Narrow" w:cs="Arial"/>
                <w:bCs/>
                <w:snapToGrid w:val="0"/>
                <w:sz w:val="18"/>
                <w:szCs w:val="18"/>
              </w:rPr>
            </w:pPr>
          </w:p>
        </w:tc>
        <w:tc>
          <w:tcPr>
            <w:tcW w:w="7656" w:type="dxa"/>
            <w:gridSpan w:val="6"/>
            <w:shd w:val="clear" w:color="auto" w:fill="E5DFEC" w:themeFill="accent4" w:themeFillTint="33"/>
            <w:vAlign w:val="center"/>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Cs/>
                <w:snapToGrid w:val="0"/>
                <w:sz w:val="18"/>
                <w:szCs w:val="18"/>
              </w:rPr>
              <w:t>Patient must require dosage reduction requiring a pack of 21 tablets</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shd w:val="clear" w:color="auto" w:fill="DBE5F1" w:themeFill="accent1" w:themeFillTint="33"/>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shd w:val="clear" w:color="auto" w:fill="DBE5F1" w:themeFill="accent1" w:themeFillTint="33"/>
            <w:vAlign w:val="center"/>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shd w:val="clear" w:color="auto" w:fill="DBE5F1" w:themeFill="accent1" w:themeFillTint="33"/>
            <w:vAlign w:val="center"/>
          </w:tcPr>
          <w:p w:rsidR="00897107" w:rsidRPr="00FA739A" w:rsidRDefault="00897107" w:rsidP="00897107">
            <w:pPr>
              <w:widowControl w:val="0"/>
              <w:jc w:val="center"/>
              <w:rPr>
                <w:rFonts w:ascii="Arial Narrow" w:hAnsi="Arial Narrow" w:cs="Arial"/>
                <w:bCs/>
                <w:snapToGrid w:val="0"/>
                <w:sz w:val="18"/>
                <w:szCs w:val="18"/>
              </w:rPr>
            </w:pPr>
          </w:p>
        </w:tc>
        <w:tc>
          <w:tcPr>
            <w:tcW w:w="7656" w:type="dxa"/>
            <w:gridSpan w:val="6"/>
            <w:shd w:val="clear" w:color="auto" w:fill="DBE5F1" w:themeFill="accent1" w:themeFillTint="33"/>
            <w:vAlign w:val="center"/>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Cs/>
                <w:snapToGrid w:val="0"/>
                <w:sz w:val="18"/>
                <w:szCs w:val="18"/>
              </w:rPr>
              <w:t>Patient must require dosage reduction requiring a pack of 42 tablets</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Population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Cs/>
                <w:snapToGrid w:val="0"/>
                <w:sz w:val="18"/>
                <w:szCs w:val="18"/>
              </w:rPr>
              <w:t>Patient must not be premenopausal</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
                <w:bCs/>
                <w:snapToGrid w:val="0"/>
                <w:sz w:val="18"/>
                <w:szCs w:val="18"/>
              </w:rPr>
              <w:t>Caution:</w:t>
            </w:r>
            <w:r w:rsidRPr="00FA739A">
              <w:rPr>
                <w:rFonts w:ascii="Arial Narrow" w:hAnsi="Arial Narrow" w:cs="Arial"/>
                <w:bCs/>
                <w:snapToGrid w:val="0"/>
                <w:sz w:val="18"/>
                <w:szCs w:val="18"/>
              </w:rPr>
              <w:t xml:space="preserve"> QT interval monitoring is required for patients treated with this drug.</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rPr>
                <w:rFonts w:ascii="Arial Narrow" w:hAnsi="Arial Narrow" w:cs="Arial"/>
                <w:b/>
                <w:bCs/>
                <w:strike/>
                <w:snapToGrid w:val="0"/>
                <w:sz w:val="18"/>
                <w:szCs w:val="18"/>
              </w:rPr>
            </w:pPr>
          </w:p>
        </w:tc>
        <w:tc>
          <w:tcPr>
            <w:tcW w:w="7656" w:type="dxa"/>
            <w:gridSpan w:val="6"/>
            <w:vAlign w:val="center"/>
            <w:hideMark/>
          </w:tcPr>
          <w:p w:rsidR="00897107" w:rsidRPr="00FA739A" w:rsidRDefault="00897107" w:rsidP="00897107">
            <w:pPr>
              <w:widowControl w:val="0"/>
              <w:rPr>
                <w:rFonts w:ascii="Arial Narrow" w:hAnsi="Arial Narrow" w:cs="Arial"/>
                <w:bCs/>
                <w:strike/>
                <w:snapToGrid w:val="0"/>
                <w:sz w:val="18"/>
                <w:szCs w:val="18"/>
              </w:rPr>
            </w:pPr>
            <w:r w:rsidRPr="00FA739A">
              <w:rPr>
                <w:rFonts w:ascii="Arial Narrow" w:hAnsi="Arial Narrow" w:cs="Arial"/>
                <w:b/>
                <w:bCs/>
                <w:strike/>
                <w:snapToGrid w:val="0"/>
                <w:sz w:val="18"/>
                <w:szCs w:val="18"/>
              </w:rPr>
              <w:t>Prescribing Instructions:</w:t>
            </w:r>
          </w:p>
          <w:p w:rsidR="00897107" w:rsidRPr="00FA739A" w:rsidRDefault="00897107" w:rsidP="00897107">
            <w:pPr>
              <w:widowControl w:val="0"/>
              <w:rPr>
                <w:rFonts w:ascii="Arial Narrow" w:hAnsi="Arial Narrow" w:cs="Arial"/>
                <w:bCs/>
                <w:snapToGrid w:val="0"/>
                <w:sz w:val="18"/>
                <w:szCs w:val="18"/>
              </w:rPr>
            </w:pPr>
            <w:r w:rsidRPr="00FA739A">
              <w:rPr>
                <w:rFonts w:ascii="Arial Narrow" w:hAnsi="Arial Narrow" w:cs="Arial"/>
                <w:bCs/>
                <w:strike/>
                <w:snapToGrid w:val="0"/>
                <w:sz w:val="18"/>
                <w:szCs w:val="18"/>
              </w:rPr>
              <w:t>A patient who has progressive disease when treated with this drug is no longer eligible for PBS-subsidised treatment with this drug.</w:t>
            </w:r>
            <w:r w:rsidRPr="00FA739A">
              <w:rPr>
                <w:rFonts w:ascii="Arial Narrow" w:hAnsi="Arial Narrow" w:cs="Arial"/>
                <w:bCs/>
                <w:snapToGrid w:val="0"/>
                <w:sz w:val="18"/>
                <w:szCs w:val="18"/>
              </w:rPr>
              <w:t xml:space="preserve"> </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9067" w:type="dxa"/>
            <w:gridSpan w:val="7"/>
            <w:shd w:val="clear" w:color="auto" w:fill="E5DFEC" w:themeFill="accent4" w:themeFillTint="33"/>
          </w:tcPr>
          <w:p w:rsidR="00897107" w:rsidRPr="00FA739A" w:rsidRDefault="00897107" w:rsidP="00F61699">
            <w:pPr>
              <w:widowControl w:val="0"/>
              <w:ind w:left="57" w:right="57"/>
              <w:rPr>
                <w:rFonts w:ascii="Arial Narrow" w:hAnsi="Arial Narrow" w:cs="Arial"/>
                <w:b/>
                <w:bCs/>
                <w:strike/>
                <w:snapToGrid w:val="0"/>
                <w:sz w:val="18"/>
                <w:szCs w:val="18"/>
              </w:rPr>
            </w:pPr>
            <w:r w:rsidRPr="009978AC">
              <w:rPr>
                <w:rFonts w:ascii="Arial Narrow" w:hAnsi="Arial Narrow" w:cs="Arial"/>
                <w:b/>
                <w:sz w:val="18"/>
                <w:szCs w:val="18"/>
              </w:rPr>
              <w:t>Add new Restriction Summary / ToC: Authority Required – 21 tablet pack</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9067" w:type="dxa"/>
            <w:gridSpan w:val="7"/>
          </w:tcPr>
          <w:p w:rsidR="00897107" w:rsidRPr="00FA739A" w:rsidRDefault="00897107" w:rsidP="00F61699">
            <w:pPr>
              <w:widowControl w:val="0"/>
              <w:ind w:left="57" w:right="57"/>
              <w:rPr>
                <w:rFonts w:ascii="Arial Narrow" w:hAnsi="Arial Narrow" w:cs="Arial"/>
                <w:b/>
                <w:bCs/>
                <w:strike/>
                <w:snapToGrid w:val="0"/>
                <w:sz w:val="18"/>
                <w:szCs w:val="18"/>
              </w:rPr>
            </w:pPr>
            <w:r w:rsidRPr="009978AC">
              <w:rPr>
                <w:rFonts w:ascii="Arial Narrow" w:hAnsi="Arial Narrow" w:cs="Arial"/>
                <w:b/>
                <w:sz w:val="18"/>
                <w:szCs w:val="18"/>
              </w:rPr>
              <w:t>Add new Restriction Summary / ToC:  Authority Required – 63 tablet pack</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9067" w:type="dxa"/>
            <w:gridSpan w:val="7"/>
            <w:shd w:val="clear" w:color="auto" w:fill="DBE5F1" w:themeFill="accent1" w:themeFillTint="33"/>
          </w:tcPr>
          <w:p w:rsidR="00897107" w:rsidRPr="00FA739A" w:rsidRDefault="00897107" w:rsidP="00F61699">
            <w:pPr>
              <w:widowControl w:val="0"/>
              <w:ind w:left="57" w:right="57"/>
              <w:rPr>
                <w:rFonts w:ascii="Arial Narrow" w:hAnsi="Arial Narrow" w:cs="Arial"/>
                <w:b/>
                <w:bCs/>
                <w:strike/>
                <w:snapToGrid w:val="0"/>
                <w:sz w:val="18"/>
                <w:szCs w:val="18"/>
              </w:rPr>
            </w:pPr>
            <w:r w:rsidRPr="009978AC">
              <w:rPr>
                <w:rFonts w:ascii="Arial Narrow" w:hAnsi="Arial Narrow" w:cs="Arial"/>
                <w:b/>
                <w:sz w:val="18"/>
                <w:szCs w:val="18"/>
              </w:rPr>
              <w:t>Add new Restriction Summary / ToC: Authority Required – 42 tablet pack</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Merge w:val="restart"/>
            <w:vAlign w:val="center"/>
          </w:tcPr>
          <w:p w:rsidR="00897107" w:rsidRPr="00FA739A" w:rsidRDefault="00897107" w:rsidP="00897107">
            <w:pPr>
              <w:ind w:left="57"/>
              <w:jc w:val="center"/>
              <w:rPr>
                <w:rFonts w:ascii="Arial Narrow" w:hAnsi="Arial Narrow" w:cs="Arial"/>
                <w:b/>
                <w:sz w:val="18"/>
                <w:szCs w:val="18"/>
              </w:rPr>
            </w:pPr>
          </w:p>
        </w:tc>
        <w:tc>
          <w:tcPr>
            <w:tcW w:w="7656" w:type="dxa"/>
            <w:gridSpan w:val="6"/>
            <w:tcBorders>
              <w:top w:val="single" w:sz="4" w:space="0" w:color="auto"/>
              <w:left w:val="single" w:sz="4" w:space="0" w:color="auto"/>
              <w:bottom w:val="single" w:sz="4" w:space="0" w:color="auto"/>
              <w:right w:val="single" w:sz="4" w:space="0" w:color="auto"/>
            </w:tcBorders>
          </w:tcPr>
          <w:p w:rsidR="00897107" w:rsidRPr="00FA739A" w:rsidRDefault="00897107" w:rsidP="00897107">
            <w:pPr>
              <w:ind w:left="57"/>
              <w:rPr>
                <w:rFonts w:ascii="Arial Narrow" w:hAnsi="Arial Narrow" w:cs="Arial"/>
                <w:sz w:val="18"/>
                <w:szCs w:val="18"/>
              </w:rPr>
            </w:pPr>
            <w:r w:rsidRPr="00FA739A">
              <w:rPr>
                <w:rFonts w:ascii="Arial Narrow" w:hAnsi="Arial Narrow" w:cs="Arial"/>
                <w:b/>
                <w:sz w:val="18"/>
                <w:szCs w:val="18"/>
              </w:rPr>
              <w:t xml:space="preserve">Category / Program:   </w:t>
            </w:r>
            <w:r w:rsidRPr="00FA739A">
              <w:rPr>
                <w:rFonts w:ascii="Arial Narrow" w:hAnsi="Arial Narrow" w:cs="Arial"/>
                <w:sz w:val="18"/>
                <w:szCs w:val="18"/>
              </w:rPr>
              <w:t xml:space="preserve">GENERAL – General Schedule (Code GE) </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Merge/>
            <w:vAlign w:val="center"/>
          </w:tcPr>
          <w:p w:rsidR="00897107" w:rsidRPr="00FA739A" w:rsidRDefault="00897107" w:rsidP="00897107">
            <w:pPr>
              <w:widowControl w:val="0"/>
              <w:ind w:left="57"/>
              <w:rPr>
                <w:rFonts w:ascii="Arial Narrow" w:hAnsi="Arial Narrow" w:cs="Arial"/>
                <w:b/>
                <w:sz w:val="18"/>
                <w:szCs w:val="18"/>
              </w:rPr>
            </w:pPr>
          </w:p>
        </w:tc>
        <w:tc>
          <w:tcPr>
            <w:tcW w:w="7656" w:type="dxa"/>
            <w:gridSpan w:val="6"/>
            <w:tcBorders>
              <w:top w:val="single" w:sz="4" w:space="0" w:color="auto"/>
              <w:left w:val="single" w:sz="4" w:space="0" w:color="auto"/>
              <w:bottom w:val="single" w:sz="4" w:space="0" w:color="auto"/>
              <w:right w:val="single" w:sz="4" w:space="0" w:color="auto"/>
            </w:tcBorders>
          </w:tcPr>
          <w:p w:rsidR="00897107" w:rsidRPr="00FA739A" w:rsidRDefault="00897107" w:rsidP="00897107">
            <w:pPr>
              <w:widowControl w:val="0"/>
              <w:ind w:left="57"/>
              <w:rPr>
                <w:rFonts w:ascii="Arial Narrow" w:hAnsi="Arial Narrow" w:cs="Arial"/>
                <w:b/>
                <w:bCs/>
                <w:snapToGrid w:val="0"/>
                <w:sz w:val="18"/>
                <w:szCs w:val="18"/>
              </w:rPr>
            </w:pPr>
            <w:r w:rsidRPr="00FA739A">
              <w:rPr>
                <w:rFonts w:ascii="Arial Narrow" w:hAnsi="Arial Narrow" w:cs="Arial"/>
                <w:b/>
                <w:sz w:val="18"/>
                <w:szCs w:val="18"/>
              </w:rPr>
              <w:t xml:space="preserve">Prescriber type:   </w:t>
            </w:r>
            <w:r w:rsidRPr="009978AC">
              <w:rPr>
                <w:rFonts w:ascii="Arial Narrow" w:hAnsi="Arial Narrow" w:cs="Arial"/>
                <w:sz w:val="18"/>
                <w:szCs w:val="18"/>
              </w:rPr>
              <w:fldChar w:fldCharType="begin">
                <w:ffData>
                  <w:name w:val=""/>
                  <w:enabled/>
                  <w:calcOnExit w:val="0"/>
                  <w:checkBox>
                    <w:sizeAuto/>
                    <w:default w:val="1"/>
                  </w:checkBox>
                </w:ffData>
              </w:fldChar>
            </w:r>
            <w:r w:rsidRPr="00FA739A">
              <w:rPr>
                <w:rFonts w:ascii="Arial Narrow" w:hAnsi="Arial Narrow" w:cs="Arial"/>
                <w:sz w:val="18"/>
                <w:szCs w:val="18"/>
              </w:rPr>
              <w:instrText xml:space="preserve"> FORMCHECKBOX </w:instrText>
            </w:r>
            <w:r w:rsidR="00980405">
              <w:rPr>
                <w:rFonts w:ascii="Arial Narrow" w:hAnsi="Arial Narrow" w:cs="Arial"/>
                <w:sz w:val="18"/>
                <w:szCs w:val="18"/>
              </w:rPr>
            </w:r>
            <w:r w:rsidR="00980405">
              <w:rPr>
                <w:rFonts w:ascii="Arial Narrow" w:hAnsi="Arial Narrow" w:cs="Arial"/>
                <w:sz w:val="18"/>
                <w:szCs w:val="18"/>
              </w:rPr>
              <w:fldChar w:fldCharType="separate"/>
            </w:r>
            <w:r w:rsidRPr="009978AC">
              <w:rPr>
                <w:rFonts w:ascii="Arial Narrow" w:hAnsi="Arial Narrow" w:cs="Arial"/>
                <w:sz w:val="18"/>
                <w:szCs w:val="18"/>
              </w:rPr>
              <w:fldChar w:fldCharType="end"/>
            </w:r>
            <w:r w:rsidRPr="00FA739A">
              <w:rPr>
                <w:rFonts w:ascii="Arial Narrow" w:hAnsi="Arial Narrow" w:cs="Arial"/>
                <w:sz w:val="18"/>
                <w:szCs w:val="18"/>
              </w:rPr>
              <w:t xml:space="preserve"> Medical Practitioners </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rPr>
          <w:trHeight w:val="194"/>
        </w:trPr>
        <w:tc>
          <w:tcPr>
            <w:tcW w:w="1411" w:type="dxa"/>
            <w:vMerge/>
            <w:vAlign w:val="center"/>
          </w:tcPr>
          <w:p w:rsidR="00897107" w:rsidRPr="00FA739A" w:rsidRDefault="00897107" w:rsidP="00897107">
            <w:pPr>
              <w:ind w:left="57"/>
              <w:rPr>
                <w:rFonts w:ascii="Arial Narrow" w:hAnsi="Arial Narrow" w:cs="Arial"/>
                <w:b/>
                <w:sz w:val="18"/>
                <w:szCs w:val="18"/>
              </w:rPr>
            </w:pPr>
          </w:p>
        </w:tc>
        <w:tc>
          <w:tcPr>
            <w:tcW w:w="7656" w:type="dxa"/>
            <w:gridSpan w:val="6"/>
            <w:tcBorders>
              <w:top w:val="single" w:sz="4" w:space="0" w:color="auto"/>
              <w:left w:val="single" w:sz="4" w:space="0" w:color="auto"/>
              <w:bottom w:val="single" w:sz="4" w:space="0" w:color="auto"/>
              <w:right w:val="single" w:sz="4" w:space="0" w:color="auto"/>
            </w:tcBorders>
          </w:tcPr>
          <w:p w:rsidR="00897107" w:rsidRPr="00FA739A" w:rsidRDefault="00897107" w:rsidP="00897107">
            <w:pPr>
              <w:ind w:left="57"/>
              <w:rPr>
                <w:rFonts w:ascii="Arial Narrow" w:hAnsi="Arial Narrow" w:cs="Arial"/>
                <w:b/>
                <w:sz w:val="18"/>
                <w:szCs w:val="18"/>
              </w:rPr>
            </w:pPr>
            <w:r w:rsidRPr="00FA739A">
              <w:rPr>
                <w:rFonts w:ascii="Arial Narrow" w:hAnsi="Arial Narrow" w:cs="Arial"/>
                <w:b/>
                <w:sz w:val="18"/>
                <w:szCs w:val="18"/>
              </w:rPr>
              <w:t xml:space="preserve">Restriction Type: </w:t>
            </w:r>
            <w:r w:rsidRPr="009978AC">
              <w:rPr>
                <w:rFonts w:ascii="Arial Narrow" w:eastAsia="Calibri" w:hAnsi="Arial Narrow" w:cs="Arial"/>
                <w:sz w:val="18"/>
                <w:szCs w:val="18"/>
              </w:rPr>
              <w:fldChar w:fldCharType="begin">
                <w:ffData>
                  <w:name w:val="Check3"/>
                  <w:enabled/>
                  <w:calcOnExit w:val="0"/>
                  <w:checkBox>
                    <w:sizeAuto/>
                    <w:default w:val="1"/>
                  </w:checkBox>
                </w:ffData>
              </w:fldChar>
            </w:r>
            <w:r w:rsidRPr="00FA739A">
              <w:rPr>
                <w:rFonts w:ascii="Arial Narrow" w:eastAsia="Calibri" w:hAnsi="Arial Narrow" w:cs="Arial"/>
                <w:sz w:val="18"/>
                <w:szCs w:val="18"/>
              </w:rPr>
              <w:instrText xml:space="preserve"> FORMCHECKBOX </w:instrText>
            </w:r>
            <w:r w:rsidR="00980405">
              <w:rPr>
                <w:rFonts w:ascii="Arial Narrow" w:eastAsia="Calibri" w:hAnsi="Arial Narrow" w:cs="Arial"/>
                <w:sz w:val="18"/>
                <w:szCs w:val="18"/>
              </w:rPr>
            </w:r>
            <w:r w:rsidR="00980405">
              <w:rPr>
                <w:rFonts w:ascii="Arial Narrow" w:eastAsia="Calibri" w:hAnsi="Arial Narrow" w:cs="Arial"/>
                <w:sz w:val="18"/>
                <w:szCs w:val="18"/>
              </w:rPr>
              <w:fldChar w:fldCharType="separate"/>
            </w:r>
            <w:r w:rsidRPr="009978AC">
              <w:rPr>
                <w:rFonts w:ascii="Arial Narrow" w:eastAsia="Calibri" w:hAnsi="Arial Narrow" w:cs="Arial"/>
                <w:sz w:val="18"/>
                <w:szCs w:val="18"/>
              </w:rPr>
              <w:fldChar w:fldCharType="end"/>
            </w:r>
            <w:r w:rsidRPr="00FA739A">
              <w:rPr>
                <w:rFonts w:ascii="Arial Narrow" w:eastAsia="Calibri" w:hAnsi="Arial Narrow" w:cs="Arial"/>
                <w:sz w:val="18"/>
                <w:szCs w:val="18"/>
              </w:rPr>
              <w:t xml:space="preserve"> Authority Required – immediate/real time assessment by Services Australia (telephone/online)</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iCs/>
                <w:snapToGrid w:val="0"/>
                <w:sz w:val="18"/>
                <w:szCs w:val="18"/>
              </w:rPr>
            </w:pPr>
          </w:p>
        </w:tc>
        <w:tc>
          <w:tcPr>
            <w:tcW w:w="7656" w:type="dxa"/>
            <w:gridSpan w:val="6"/>
            <w:vAlign w:val="center"/>
          </w:tcPr>
          <w:p w:rsidR="00897107" w:rsidRPr="00FA739A" w:rsidRDefault="00897107" w:rsidP="00897107">
            <w:pPr>
              <w:widowControl w:val="0"/>
              <w:ind w:left="57"/>
              <w:rPr>
                <w:rFonts w:ascii="Arial Narrow" w:hAnsi="Arial Narrow" w:cs="Arial"/>
                <w:b/>
                <w:bCs/>
                <w:iCs/>
                <w:snapToGrid w:val="0"/>
                <w:sz w:val="18"/>
                <w:szCs w:val="18"/>
              </w:rPr>
            </w:pPr>
            <w:r w:rsidRPr="00FA739A">
              <w:rPr>
                <w:rFonts w:ascii="Arial Narrow" w:hAnsi="Arial Narrow" w:cs="Arial"/>
                <w:b/>
                <w:bCs/>
                <w:iCs/>
                <w:snapToGrid w:val="0"/>
                <w:sz w:val="18"/>
                <w:szCs w:val="18"/>
              </w:rPr>
              <w:t>Administrative Advice:</w:t>
            </w:r>
          </w:p>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Cs/>
                <w:snapToGrid w:val="0"/>
                <w:sz w:val="18"/>
                <w:szCs w:val="18"/>
              </w:rPr>
              <w:t>Applications for authorisation under this restriction may be made in real time using the Online PBS Authorities system (see www.servicesaustralia.gov.au/HPOS) or by telephone by contacting Services Australia on 1800 888 333.</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Administrative Advice:</w:t>
            </w:r>
            <w:r w:rsidRPr="00FA739A">
              <w:rPr>
                <w:rFonts w:ascii="Arial Narrow" w:hAnsi="Arial Narrow" w:cs="Arial"/>
                <w:bCs/>
                <w:snapToGrid w:val="0"/>
                <w:sz w:val="18"/>
                <w:szCs w:val="18"/>
              </w:rPr>
              <w:t xml:space="preserve"> No increase in the maximum quantity or number of units may be authorised.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Administrative Advice:</w:t>
            </w:r>
            <w:r w:rsidRPr="00FA739A">
              <w:rPr>
                <w:rFonts w:ascii="Arial Narrow" w:hAnsi="Arial Narrow" w:cs="Arial"/>
                <w:bCs/>
                <w:snapToGrid w:val="0"/>
                <w:sz w:val="18"/>
                <w:szCs w:val="18"/>
              </w:rPr>
              <w:t xml:space="preserve"> No increase in the maximum number of repeats may be authorised.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Administrative Advice:</w:t>
            </w:r>
            <w:r w:rsidRPr="00FA739A">
              <w:rPr>
                <w:rFonts w:ascii="Arial Narrow" w:hAnsi="Arial Narrow" w:cs="Arial"/>
                <w:bCs/>
                <w:snapToGrid w:val="0"/>
                <w:sz w:val="18"/>
                <w:szCs w:val="18"/>
              </w:rPr>
              <w:t xml:space="preserve"> Special Pricing Arrangements apply.</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Administrative Advice:</w:t>
            </w:r>
            <w:r w:rsidRPr="00FA739A">
              <w:rPr>
                <w:rFonts w:ascii="Arial Narrow" w:hAnsi="Arial Narrow" w:cs="Arial"/>
                <w:bCs/>
                <w:snapToGrid w:val="0"/>
                <w:sz w:val="18"/>
                <w:szCs w:val="18"/>
              </w:rPr>
              <w:t xml:space="preserve"> This grandfather restriction will cease to operate from 12 months after the date specified in the 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Administrative Advice:</w:t>
            </w:r>
            <w:r w:rsidRPr="00FA739A">
              <w:rPr>
                <w:rFonts w:ascii="Arial Narrow" w:hAnsi="Arial Narrow" w:cs="Arial"/>
                <w:bCs/>
                <w:snapToGrid w:val="0"/>
                <w:sz w:val="18"/>
                <w:szCs w:val="18"/>
              </w:rPr>
              <w:t xml:space="preserve"> Patients may qualify for PBS-subsidised treatment under this restriction once only. For continuing PBS-subsidised treatment, a 'Grandfathered' patient must qualify under the 'Continuing treatment'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Indication:</w:t>
            </w:r>
            <w:r w:rsidRPr="00FA739A">
              <w:rPr>
                <w:rFonts w:ascii="Arial Narrow" w:hAnsi="Arial Narrow" w:cs="Arial"/>
                <w:bCs/>
                <w:snapToGrid w:val="0"/>
                <w:sz w:val="18"/>
                <w:szCs w:val="18"/>
              </w:rPr>
              <w:t xml:space="preserve"> Locally advanced or metastatic breast cancer</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Treatment Phase:</w:t>
            </w:r>
            <w:r w:rsidRPr="00FA739A">
              <w:rPr>
                <w:rFonts w:ascii="Arial Narrow" w:hAnsi="Arial Narrow" w:cs="Arial"/>
                <w:bCs/>
                <w:snapToGrid w:val="0"/>
                <w:sz w:val="18"/>
                <w:szCs w:val="18"/>
              </w:rPr>
              <w:t xml:space="preserve"> Transitioning from non-PBS to PBS-subsidised supply  - ‘Grandfather’ treatment</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tcPr>
          <w:p w:rsidR="00897107" w:rsidRPr="00FA739A" w:rsidRDefault="00897107" w:rsidP="00897107">
            <w:pPr>
              <w:widowControl w:val="0"/>
              <w:ind w:left="57"/>
              <w:rPr>
                <w:rFonts w:ascii="Arial Narrow" w:hAnsi="Arial Narrow" w:cs="Arial"/>
                <w:b/>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Cs/>
                <w:snapToGrid w:val="0"/>
                <w:sz w:val="18"/>
                <w:szCs w:val="18"/>
              </w:rPr>
            </w:pPr>
          </w:p>
        </w:tc>
        <w:tc>
          <w:tcPr>
            <w:tcW w:w="7656" w:type="dxa"/>
            <w:gridSpan w:val="6"/>
            <w:vAlign w:val="center"/>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Cs/>
                <w:snapToGrid w:val="0"/>
                <w:sz w:val="18"/>
                <w:szCs w:val="18"/>
              </w:rPr>
              <w:t>Patient must have received non-PBS-subsidised treatment with this drug for this PBS-indication prior to [insert date of PBS listing]</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tcPr>
          <w:p w:rsidR="00897107" w:rsidRPr="00FA739A" w:rsidRDefault="00897107" w:rsidP="00897107">
            <w:pPr>
              <w:widowControl w:val="0"/>
              <w:ind w:left="57"/>
              <w:rPr>
                <w:rFonts w:ascii="Arial Narrow" w:hAnsi="Arial Narrow" w:cs="Arial"/>
                <w:b/>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tcPr>
          <w:p w:rsidR="00897107" w:rsidRPr="00FA739A" w:rsidRDefault="00897107" w:rsidP="00897107">
            <w:pPr>
              <w:widowControl w:val="0"/>
              <w:ind w:left="57"/>
              <w:rPr>
                <w:rFonts w:ascii="Arial Narrow" w:hAnsi="Arial Narrow" w:cs="Arial"/>
                <w:b/>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Cs/>
                <w:snapToGrid w:val="0"/>
                <w:sz w:val="18"/>
                <w:szCs w:val="18"/>
              </w:rPr>
            </w:pPr>
          </w:p>
        </w:tc>
        <w:tc>
          <w:tcPr>
            <w:tcW w:w="7656" w:type="dxa"/>
            <w:gridSpan w:val="6"/>
            <w:vAlign w:val="center"/>
          </w:tcPr>
          <w:p w:rsidR="00897107" w:rsidRPr="00FA739A" w:rsidRDefault="00897107" w:rsidP="00897107">
            <w:pPr>
              <w:widowControl w:val="0"/>
              <w:ind w:left="57"/>
              <w:rPr>
                <w:rFonts w:ascii="Arial Narrow" w:hAnsi="Arial Narrow" w:cs="Arial"/>
                <w:b/>
                <w:bCs/>
                <w:snapToGrid w:val="0"/>
                <w:sz w:val="18"/>
                <w:szCs w:val="18"/>
              </w:rPr>
            </w:pPr>
            <w:r w:rsidRPr="00FA739A">
              <w:rPr>
                <w:rFonts w:ascii="Arial Narrow" w:hAnsi="Arial Narrow" w:cs="Arial"/>
                <w:bCs/>
                <w:snapToGrid w:val="0"/>
                <w:sz w:val="18"/>
                <w:szCs w:val="18"/>
              </w:rPr>
              <w:t>Patient must not have developed disease progression while being treated with this drug for this condition</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tcPr>
          <w:p w:rsidR="00897107" w:rsidRPr="00FA739A" w:rsidRDefault="00897107" w:rsidP="00897107">
            <w:pPr>
              <w:widowControl w:val="0"/>
              <w:ind w:left="57"/>
              <w:rPr>
                <w:rFonts w:ascii="Arial Narrow" w:hAnsi="Arial Narrow" w:cs="Arial"/>
                <w:b/>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Cs/>
                <w:snapToGrid w:val="0"/>
                <w:sz w:val="18"/>
                <w:szCs w:val="18"/>
              </w:rPr>
            </w:pPr>
          </w:p>
        </w:tc>
        <w:tc>
          <w:tcPr>
            <w:tcW w:w="7656" w:type="dxa"/>
            <w:gridSpan w:val="6"/>
            <w:vAlign w:val="center"/>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Cs/>
                <w:snapToGrid w:val="0"/>
                <w:sz w:val="18"/>
                <w:szCs w:val="18"/>
              </w:rPr>
              <w:t>Patient must have been untreated with each of: (i) abemaciclib, (ii) palbociclib, (iii) ribociclib, at the time non-PBS supply was initiated; or</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Cs/>
                <w:snapToGrid w:val="0"/>
                <w:sz w:val="18"/>
                <w:szCs w:val="18"/>
              </w:rPr>
              <w:t>Patient must have developed an intolerance to abemaciclib or palbociclib of a severity necessitating permanent treatment withdrawal</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Cs/>
                <w:snapToGrid w:val="0"/>
                <w:sz w:val="18"/>
                <w:szCs w:val="18"/>
              </w:rPr>
              <w:t>The condition must be hormone receptor positive</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Cs/>
                <w:snapToGrid w:val="0"/>
                <w:sz w:val="18"/>
                <w:szCs w:val="18"/>
              </w:rPr>
              <w:t>The condition must be human epidermal growth factor receptor 2 (HER2) negative</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Cs/>
                <w:snapToGrid w:val="0"/>
                <w:sz w:val="18"/>
                <w:szCs w:val="18"/>
              </w:rPr>
              <w:t>The condition must be inoperable</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rPr>
          <w:trHeight w:val="529"/>
        </w:trPr>
        <w:tc>
          <w:tcPr>
            <w:tcW w:w="1411" w:type="dxa"/>
            <w:vAlign w:val="center"/>
          </w:tcPr>
          <w:p w:rsidR="00897107" w:rsidRPr="00FA739A" w:rsidRDefault="00897107" w:rsidP="00897107">
            <w:pPr>
              <w:widowControl w:val="0"/>
              <w:ind w:left="57"/>
              <w:jc w:val="center"/>
              <w:rPr>
                <w:rFonts w:ascii="Arial Narrow" w:hAnsi="Arial Narrow" w:cs="Arial"/>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Cs/>
                <w:snapToGrid w:val="0"/>
                <w:sz w:val="18"/>
                <w:szCs w:val="18"/>
              </w:rPr>
              <w:t xml:space="preserve">Patient must have had a World Health Organisation (WHO) Eastern Cooperative Oncology Group (ECOG) performance status score no higher than 2 at the time of non-PBS supply was initiated </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Cs/>
                <w:snapToGrid w:val="0"/>
                <w:sz w:val="18"/>
                <w:szCs w:val="18"/>
              </w:rPr>
            </w:pPr>
          </w:p>
        </w:tc>
        <w:tc>
          <w:tcPr>
            <w:tcW w:w="7656" w:type="dxa"/>
            <w:gridSpan w:val="6"/>
            <w:vAlign w:val="center"/>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Cs/>
                <w:snapToGrid w:val="0"/>
                <w:sz w:val="18"/>
                <w:szCs w:val="18"/>
              </w:rPr>
              <w:t>The treatment must be in combination with one of: (i) anastrozole, (ii) letrozole, (iii) fulvestrant, where the patient had never been treated with endocrine therapy for advanced/metastatic disease at the time non-PBS supply was initiated; or</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Cs/>
                <w:snapToGrid w:val="0"/>
                <w:sz w:val="18"/>
                <w:szCs w:val="18"/>
              </w:rPr>
            </w:pPr>
          </w:p>
        </w:tc>
        <w:tc>
          <w:tcPr>
            <w:tcW w:w="7656" w:type="dxa"/>
            <w:gridSpan w:val="6"/>
            <w:vAlign w:val="center"/>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Cs/>
                <w:snapToGrid w:val="0"/>
                <w:sz w:val="18"/>
                <w:szCs w:val="18"/>
              </w:rPr>
              <w:t>The treatment must be in combination with fulvestrant only, where at the time non-PBS supply was initiated, the patient had recurrent/progressive disease despite being treated with endocrine therapy for advanced/metastatic disease</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Cs/>
                <w:snapToGrid w:val="0"/>
                <w:sz w:val="18"/>
                <w:szCs w:val="18"/>
              </w:rPr>
              <w:t>The treatment must not be in combination with abemaciclib or palbociclib</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shd w:val="clear" w:color="auto" w:fill="E5DFEC" w:themeFill="accent4" w:themeFillTint="33"/>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shd w:val="clear" w:color="auto" w:fill="E5DFEC" w:themeFill="accent4" w:themeFillTint="33"/>
            <w:vAlign w:val="center"/>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shd w:val="clear" w:color="auto" w:fill="E5DFEC" w:themeFill="accent4" w:themeFillTint="33"/>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shd w:val="clear" w:color="auto" w:fill="E5DFEC" w:themeFill="accent4" w:themeFillTint="33"/>
            <w:vAlign w:val="center"/>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shd w:val="clear" w:color="auto" w:fill="E5DFEC" w:themeFill="accent4" w:themeFillTint="33"/>
            <w:vAlign w:val="center"/>
          </w:tcPr>
          <w:p w:rsidR="00897107" w:rsidRPr="00FA739A" w:rsidRDefault="00897107" w:rsidP="00897107">
            <w:pPr>
              <w:widowControl w:val="0"/>
              <w:ind w:left="57"/>
              <w:jc w:val="center"/>
              <w:rPr>
                <w:rFonts w:ascii="Arial Narrow" w:hAnsi="Arial Narrow" w:cs="Arial"/>
                <w:bCs/>
                <w:snapToGrid w:val="0"/>
                <w:sz w:val="18"/>
                <w:szCs w:val="18"/>
              </w:rPr>
            </w:pPr>
          </w:p>
        </w:tc>
        <w:tc>
          <w:tcPr>
            <w:tcW w:w="7656" w:type="dxa"/>
            <w:gridSpan w:val="6"/>
            <w:shd w:val="clear" w:color="auto" w:fill="E5DFEC" w:themeFill="accent4" w:themeFillTint="33"/>
            <w:vAlign w:val="center"/>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Cs/>
                <w:snapToGrid w:val="0"/>
                <w:sz w:val="18"/>
                <w:szCs w:val="18"/>
              </w:rPr>
              <w:t>Patient must require dosage reduction requiring a pack of 21 tablets</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shd w:val="clear" w:color="auto" w:fill="DBE5F1" w:themeFill="accent1" w:themeFillTint="33"/>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shd w:val="clear" w:color="auto" w:fill="DBE5F1" w:themeFill="accent1" w:themeFillTint="33"/>
            <w:vAlign w:val="center"/>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Clinical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shd w:val="clear" w:color="auto" w:fill="DBE5F1" w:themeFill="accent1" w:themeFillTint="33"/>
            <w:vAlign w:val="center"/>
          </w:tcPr>
          <w:p w:rsidR="00897107" w:rsidRPr="00FA739A" w:rsidRDefault="00897107" w:rsidP="00897107">
            <w:pPr>
              <w:widowControl w:val="0"/>
              <w:ind w:left="57"/>
              <w:jc w:val="center"/>
              <w:rPr>
                <w:rFonts w:ascii="Arial Narrow" w:hAnsi="Arial Narrow" w:cs="Arial"/>
                <w:bCs/>
                <w:snapToGrid w:val="0"/>
                <w:sz w:val="18"/>
                <w:szCs w:val="18"/>
              </w:rPr>
            </w:pPr>
          </w:p>
        </w:tc>
        <w:tc>
          <w:tcPr>
            <w:tcW w:w="7656" w:type="dxa"/>
            <w:gridSpan w:val="6"/>
            <w:shd w:val="clear" w:color="auto" w:fill="DBE5F1" w:themeFill="accent1" w:themeFillTint="33"/>
            <w:vAlign w:val="center"/>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Cs/>
                <w:snapToGrid w:val="0"/>
                <w:sz w:val="18"/>
                <w:szCs w:val="18"/>
              </w:rPr>
              <w:t>Patient must require dosage reduction requiring a pack of 42 tablets</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AND</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Population criteria:</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c>
          <w:tcPr>
            <w:tcW w:w="1411" w:type="dxa"/>
            <w:vAlign w:val="center"/>
          </w:tcPr>
          <w:p w:rsidR="00897107" w:rsidRPr="00FA739A" w:rsidRDefault="00897107" w:rsidP="00897107">
            <w:pPr>
              <w:widowControl w:val="0"/>
              <w:ind w:left="57"/>
              <w:jc w:val="center"/>
              <w:rPr>
                <w:rFonts w:ascii="Arial Narrow" w:hAnsi="Arial Narrow" w:cs="Arial"/>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Cs/>
                <w:snapToGrid w:val="0"/>
                <w:sz w:val="18"/>
                <w:szCs w:val="18"/>
              </w:rPr>
              <w:t>Patient must not be premenopausal</w:t>
            </w:r>
          </w:p>
        </w:tc>
      </w:tr>
      <w:tr w:rsidR="00897107" w:rsidRPr="00FA739A" w:rsidTr="00F80991">
        <w:tblPrEx>
          <w:tblCellMar>
            <w:top w:w="15" w:type="dxa"/>
            <w:left w:w="15" w:type="dxa"/>
            <w:bottom w:w="15" w:type="dxa"/>
            <w:right w:w="15" w:type="dxa"/>
          </w:tblCellMar>
          <w:tblLook w:val="04A0" w:firstRow="1" w:lastRow="0" w:firstColumn="1" w:lastColumn="0" w:noHBand="0" w:noVBand="1"/>
        </w:tblPrEx>
        <w:trPr>
          <w:trHeight w:val="259"/>
        </w:trPr>
        <w:tc>
          <w:tcPr>
            <w:tcW w:w="1411" w:type="dxa"/>
            <w:vAlign w:val="center"/>
          </w:tcPr>
          <w:p w:rsidR="00897107" w:rsidRPr="00FA739A" w:rsidRDefault="00897107" w:rsidP="00897107">
            <w:pPr>
              <w:widowControl w:val="0"/>
              <w:ind w:left="57"/>
              <w:jc w:val="center"/>
              <w:rPr>
                <w:rFonts w:ascii="Arial Narrow" w:hAnsi="Arial Narrow" w:cs="Arial"/>
                <w:b/>
                <w:bCs/>
                <w:snapToGrid w:val="0"/>
                <w:sz w:val="18"/>
                <w:szCs w:val="18"/>
              </w:rPr>
            </w:pPr>
          </w:p>
        </w:tc>
        <w:tc>
          <w:tcPr>
            <w:tcW w:w="7656" w:type="dxa"/>
            <w:gridSpan w:val="6"/>
            <w:vAlign w:val="center"/>
            <w:hideMark/>
          </w:tcPr>
          <w:p w:rsidR="00897107" w:rsidRPr="00FA739A" w:rsidRDefault="00897107" w:rsidP="00897107">
            <w:pPr>
              <w:widowControl w:val="0"/>
              <w:ind w:left="57"/>
              <w:rPr>
                <w:rFonts w:ascii="Arial Narrow" w:hAnsi="Arial Narrow" w:cs="Arial"/>
                <w:bCs/>
                <w:snapToGrid w:val="0"/>
                <w:sz w:val="18"/>
                <w:szCs w:val="18"/>
              </w:rPr>
            </w:pPr>
            <w:r w:rsidRPr="00FA739A">
              <w:rPr>
                <w:rFonts w:ascii="Arial Narrow" w:hAnsi="Arial Narrow" w:cs="Arial"/>
                <w:b/>
                <w:bCs/>
                <w:snapToGrid w:val="0"/>
                <w:sz w:val="18"/>
                <w:szCs w:val="18"/>
              </w:rPr>
              <w:t>Caution:</w:t>
            </w:r>
            <w:r w:rsidRPr="00FA739A">
              <w:rPr>
                <w:rFonts w:ascii="Arial Narrow" w:hAnsi="Arial Narrow" w:cs="Arial"/>
                <w:bCs/>
                <w:snapToGrid w:val="0"/>
                <w:sz w:val="18"/>
                <w:szCs w:val="18"/>
              </w:rPr>
              <w:t xml:space="preserve"> QT interval monitoring is required for patients treated with this drug.</w:t>
            </w:r>
          </w:p>
        </w:tc>
      </w:tr>
    </w:tbl>
    <w:p w:rsidR="00921D3E" w:rsidRPr="00FA739A" w:rsidRDefault="00921D3E" w:rsidP="00550CE2">
      <w:pPr>
        <w:widowControl w:val="0"/>
        <w:spacing w:after="120"/>
        <w:rPr>
          <w:rFonts w:asciiTheme="minorHAnsi" w:hAnsiTheme="minorHAnsi" w:cs="Arial"/>
          <w:bCs/>
          <w:snapToGrid w:val="0"/>
        </w:rPr>
      </w:pPr>
    </w:p>
    <w:p w:rsidR="00065A1B" w:rsidRPr="00FA739A" w:rsidRDefault="00D8106F" w:rsidP="00065A1B">
      <w:pPr>
        <w:widowControl w:val="0"/>
        <w:numPr>
          <w:ilvl w:val="1"/>
          <w:numId w:val="1"/>
        </w:numPr>
        <w:spacing w:after="120"/>
        <w:rPr>
          <w:rFonts w:asciiTheme="minorHAnsi" w:hAnsiTheme="minorHAnsi" w:cs="Arial"/>
          <w:bCs/>
          <w:snapToGrid w:val="0"/>
        </w:rPr>
      </w:pPr>
      <w:r w:rsidRPr="00FA739A">
        <w:rPr>
          <w:rFonts w:cs="Arial"/>
          <w:bCs/>
          <w:snapToGrid w:val="0"/>
        </w:rPr>
        <w:t xml:space="preserve">Extend the July 2020 PBAC recommendation to list AstraZeneca Pty Ltd’s ‘Faslodex’ branded product of fulvestrant to also include Sandoz Pty Ltd’s ‘Fulvestrant Sandoz’ branded product of fulvestrant, with the same PBS listing as outlined in the July 2020 </w:t>
      </w:r>
      <w:r w:rsidR="00C101D3">
        <w:rPr>
          <w:rFonts w:cs="Arial"/>
          <w:bCs/>
          <w:snapToGrid w:val="0"/>
        </w:rPr>
        <w:t>PSD</w:t>
      </w:r>
      <w:r w:rsidRPr="00FA739A">
        <w:rPr>
          <w:rFonts w:cs="Arial"/>
          <w:bCs/>
          <w:snapToGrid w:val="0"/>
        </w:rPr>
        <w:t xml:space="preserve"> as follows</w:t>
      </w:r>
      <w:r w:rsidR="00065A1B" w:rsidRPr="00FA739A">
        <w:rPr>
          <w:rFonts w:asciiTheme="minorHAnsi" w:hAnsiTheme="minorHAnsi" w:cs="Arial"/>
          <w:bCs/>
          <w:snapToGrid w:val="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126"/>
        <w:gridCol w:w="993"/>
        <w:gridCol w:w="850"/>
        <w:gridCol w:w="992"/>
        <w:gridCol w:w="851"/>
        <w:gridCol w:w="1984"/>
      </w:tblGrid>
      <w:tr w:rsidR="00AF5D1E" w:rsidRPr="00FA739A" w:rsidTr="00F80991">
        <w:trPr>
          <w:cantSplit/>
          <w:trHeight w:val="471"/>
        </w:trPr>
        <w:tc>
          <w:tcPr>
            <w:tcW w:w="3397" w:type="dxa"/>
            <w:gridSpan w:val="2"/>
          </w:tcPr>
          <w:p w:rsidR="00AF5D1E" w:rsidRPr="00FA739A" w:rsidRDefault="00AF5D1E" w:rsidP="00AF5D1E">
            <w:pPr>
              <w:keepNext/>
              <w:ind w:right="57"/>
              <w:rPr>
                <w:rFonts w:ascii="Arial Narrow" w:eastAsia="Calibri" w:hAnsi="Arial Narrow"/>
                <w:b/>
                <w:sz w:val="18"/>
                <w:szCs w:val="18"/>
                <w:lang w:eastAsia="en-US"/>
              </w:rPr>
            </w:pPr>
            <w:r w:rsidRPr="00FA739A">
              <w:rPr>
                <w:rFonts w:ascii="Arial Narrow" w:eastAsia="Calibri" w:hAnsi="Arial Narrow"/>
                <w:b/>
                <w:sz w:val="18"/>
                <w:szCs w:val="18"/>
                <w:lang w:eastAsia="en-US"/>
              </w:rPr>
              <w:t>MEDICINAL PRODUCT</w:t>
            </w:r>
          </w:p>
          <w:p w:rsidR="00AF5D1E" w:rsidRPr="00FA739A" w:rsidRDefault="00AF5D1E" w:rsidP="00AF5D1E">
            <w:pPr>
              <w:keepNext/>
              <w:ind w:right="57"/>
              <w:rPr>
                <w:rFonts w:ascii="Arial Narrow" w:eastAsia="Calibri" w:hAnsi="Arial Narrow"/>
                <w:b/>
                <w:sz w:val="18"/>
                <w:szCs w:val="18"/>
                <w:lang w:eastAsia="en-US"/>
              </w:rPr>
            </w:pPr>
            <w:r w:rsidRPr="00FA739A">
              <w:rPr>
                <w:rFonts w:ascii="Arial Narrow" w:eastAsia="Calibri" w:hAnsi="Arial Narrow"/>
                <w:b/>
                <w:sz w:val="18"/>
                <w:szCs w:val="18"/>
                <w:lang w:eastAsia="en-US"/>
              </w:rPr>
              <w:t>medicinal product pack</w:t>
            </w:r>
          </w:p>
        </w:tc>
        <w:tc>
          <w:tcPr>
            <w:tcW w:w="993" w:type="dxa"/>
          </w:tcPr>
          <w:p w:rsidR="00AF5D1E" w:rsidRPr="00FA739A" w:rsidRDefault="00AF5D1E" w:rsidP="00AF5D1E">
            <w:pPr>
              <w:keepNext/>
              <w:ind w:left="-108"/>
              <w:jc w:val="center"/>
              <w:rPr>
                <w:rFonts w:ascii="Arial Narrow" w:eastAsia="Calibri" w:hAnsi="Arial Narrow"/>
                <w:b/>
                <w:sz w:val="18"/>
                <w:szCs w:val="18"/>
                <w:lang w:eastAsia="en-US"/>
              </w:rPr>
            </w:pPr>
            <w:r w:rsidRPr="00FA739A">
              <w:rPr>
                <w:rFonts w:ascii="Arial Narrow" w:eastAsia="Calibri" w:hAnsi="Arial Narrow"/>
                <w:b/>
                <w:sz w:val="18"/>
                <w:szCs w:val="18"/>
                <w:lang w:eastAsia="en-US"/>
              </w:rPr>
              <w:t>PBS item code</w:t>
            </w:r>
          </w:p>
        </w:tc>
        <w:tc>
          <w:tcPr>
            <w:tcW w:w="850" w:type="dxa"/>
          </w:tcPr>
          <w:p w:rsidR="00AF5D1E" w:rsidRPr="00FA739A" w:rsidRDefault="00AF5D1E" w:rsidP="00AF5D1E">
            <w:pPr>
              <w:keepNext/>
              <w:ind w:left="-108"/>
              <w:jc w:val="center"/>
              <w:rPr>
                <w:rFonts w:ascii="Arial Narrow" w:eastAsia="Calibri" w:hAnsi="Arial Narrow"/>
                <w:b/>
                <w:sz w:val="18"/>
                <w:szCs w:val="18"/>
                <w:lang w:eastAsia="en-US"/>
              </w:rPr>
            </w:pPr>
            <w:r w:rsidRPr="00FA739A">
              <w:rPr>
                <w:rFonts w:ascii="Arial Narrow" w:eastAsia="Calibri" w:hAnsi="Arial Narrow"/>
                <w:b/>
                <w:sz w:val="18"/>
                <w:szCs w:val="18"/>
                <w:lang w:eastAsia="en-US"/>
              </w:rPr>
              <w:t>Max. qty packs</w:t>
            </w:r>
          </w:p>
        </w:tc>
        <w:tc>
          <w:tcPr>
            <w:tcW w:w="992" w:type="dxa"/>
          </w:tcPr>
          <w:p w:rsidR="00AF5D1E" w:rsidRPr="00FA739A" w:rsidRDefault="00AF5D1E" w:rsidP="00AF5D1E">
            <w:pPr>
              <w:keepNext/>
              <w:ind w:left="-108"/>
              <w:jc w:val="center"/>
              <w:rPr>
                <w:rFonts w:ascii="Arial Narrow" w:eastAsia="Calibri" w:hAnsi="Arial Narrow"/>
                <w:b/>
                <w:sz w:val="18"/>
                <w:szCs w:val="18"/>
                <w:lang w:eastAsia="en-US"/>
              </w:rPr>
            </w:pPr>
            <w:r w:rsidRPr="00FA739A">
              <w:rPr>
                <w:rFonts w:ascii="Arial Narrow" w:eastAsia="Calibri" w:hAnsi="Arial Narrow"/>
                <w:b/>
                <w:sz w:val="18"/>
                <w:szCs w:val="18"/>
                <w:lang w:eastAsia="en-US"/>
              </w:rPr>
              <w:t>Max. qty units</w:t>
            </w:r>
          </w:p>
        </w:tc>
        <w:tc>
          <w:tcPr>
            <w:tcW w:w="851" w:type="dxa"/>
          </w:tcPr>
          <w:p w:rsidR="00AF5D1E" w:rsidRPr="00FA739A" w:rsidRDefault="00AF5D1E" w:rsidP="00AF5D1E">
            <w:pPr>
              <w:keepNext/>
              <w:ind w:left="-108"/>
              <w:jc w:val="center"/>
              <w:rPr>
                <w:rFonts w:ascii="Arial Narrow" w:eastAsia="Calibri" w:hAnsi="Arial Narrow"/>
                <w:b/>
                <w:sz w:val="18"/>
                <w:szCs w:val="18"/>
                <w:lang w:eastAsia="en-US"/>
              </w:rPr>
            </w:pPr>
            <w:r w:rsidRPr="00FA739A">
              <w:rPr>
                <w:rFonts w:ascii="Arial Narrow" w:eastAsia="Calibri" w:hAnsi="Arial Narrow"/>
                <w:b/>
                <w:sz w:val="18"/>
                <w:szCs w:val="18"/>
                <w:lang w:eastAsia="en-US"/>
              </w:rPr>
              <w:t>№.of</w:t>
            </w:r>
          </w:p>
          <w:p w:rsidR="00AF5D1E" w:rsidRPr="00FA739A" w:rsidRDefault="00AF5D1E" w:rsidP="00AF5D1E">
            <w:pPr>
              <w:keepNext/>
              <w:ind w:left="-108"/>
              <w:jc w:val="center"/>
              <w:rPr>
                <w:rFonts w:ascii="Arial Narrow" w:eastAsia="Calibri" w:hAnsi="Arial Narrow"/>
                <w:b/>
                <w:sz w:val="18"/>
                <w:szCs w:val="18"/>
                <w:lang w:eastAsia="en-US"/>
              </w:rPr>
            </w:pPr>
            <w:r w:rsidRPr="00FA739A">
              <w:rPr>
                <w:rFonts w:ascii="Arial Narrow" w:eastAsia="Calibri" w:hAnsi="Arial Narrow"/>
                <w:b/>
                <w:sz w:val="18"/>
                <w:szCs w:val="18"/>
                <w:lang w:eastAsia="en-US"/>
              </w:rPr>
              <w:t>Rpts</w:t>
            </w:r>
          </w:p>
        </w:tc>
        <w:tc>
          <w:tcPr>
            <w:tcW w:w="1984" w:type="dxa"/>
          </w:tcPr>
          <w:p w:rsidR="00AF5D1E" w:rsidRPr="009978AC" w:rsidRDefault="00AF5D1E" w:rsidP="00AF5D1E">
            <w:pPr>
              <w:keepNext/>
              <w:jc w:val="left"/>
              <w:rPr>
                <w:rFonts w:ascii="Arial Narrow" w:eastAsia="Calibri" w:hAnsi="Arial Narrow"/>
                <w:b/>
                <w:sz w:val="18"/>
                <w:szCs w:val="18"/>
                <w:lang w:eastAsia="en-US"/>
              </w:rPr>
            </w:pPr>
            <w:r w:rsidRPr="00FA739A">
              <w:rPr>
                <w:rFonts w:ascii="Arial Narrow" w:eastAsia="Calibri" w:hAnsi="Arial Narrow"/>
                <w:b/>
                <w:sz w:val="18"/>
                <w:szCs w:val="18"/>
                <w:lang w:eastAsia="en-US"/>
              </w:rPr>
              <w:t>Available brands</w:t>
            </w:r>
          </w:p>
        </w:tc>
      </w:tr>
      <w:tr w:rsidR="00AF5D1E" w:rsidRPr="00FA739A" w:rsidTr="00F80991">
        <w:trPr>
          <w:cantSplit/>
          <w:trHeight w:val="761"/>
        </w:trPr>
        <w:tc>
          <w:tcPr>
            <w:tcW w:w="3397" w:type="dxa"/>
            <w:gridSpan w:val="2"/>
          </w:tcPr>
          <w:p w:rsidR="00AF5D1E" w:rsidRPr="00FA739A" w:rsidRDefault="00AF5D1E" w:rsidP="00AF5D1E">
            <w:pPr>
              <w:keepNext/>
              <w:ind w:right="57"/>
              <w:jc w:val="left"/>
              <w:rPr>
                <w:rFonts w:ascii="Arial Narrow" w:eastAsia="Calibri" w:hAnsi="Arial Narrow"/>
                <w:sz w:val="18"/>
                <w:szCs w:val="18"/>
                <w:lang w:eastAsia="en-US"/>
              </w:rPr>
            </w:pPr>
            <w:r w:rsidRPr="00FA739A">
              <w:rPr>
                <w:rFonts w:ascii="Arial Narrow" w:eastAsia="Calibri" w:hAnsi="Arial Narrow"/>
                <w:sz w:val="18"/>
                <w:szCs w:val="18"/>
                <w:lang w:eastAsia="en-US"/>
              </w:rPr>
              <w:t>FULVESTRANT</w:t>
            </w:r>
          </w:p>
          <w:p w:rsidR="00AF5D1E" w:rsidRPr="00FA739A" w:rsidRDefault="00AF5D1E" w:rsidP="00AF5D1E">
            <w:pPr>
              <w:keepNext/>
              <w:ind w:right="57"/>
              <w:rPr>
                <w:rFonts w:ascii="Arial Narrow" w:eastAsia="Calibri" w:hAnsi="Arial Narrow"/>
                <w:sz w:val="18"/>
                <w:szCs w:val="18"/>
                <w:lang w:eastAsia="en-US"/>
              </w:rPr>
            </w:pPr>
          </w:p>
          <w:p w:rsidR="00AF5D1E" w:rsidRPr="00FA739A" w:rsidRDefault="00AF5D1E" w:rsidP="00AF5D1E">
            <w:pPr>
              <w:keepNext/>
              <w:ind w:right="57"/>
              <w:jc w:val="left"/>
              <w:rPr>
                <w:rFonts w:ascii="Arial Narrow" w:eastAsia="Calibri" w:hAnsi="Arial Narrow"/>
                <w:sz w:val="18"/>
                <w:szCs w:val="18"/>
                <w:vertAlign w:val="superscript"/>
                <w:lang w:eastAsia="en-US"/>
              </w:rPr>
            </w:pPr>
            <w:r w:rsidRPr="00FA739A">
              <w:rPr>
                <w:rFonts w:ascii="Arial Narrow" w:eastAsia="Calibri" w:hAnsi="Arial Narrow"/>
                <w:sz w:val="18"/>
                <w:szCs w:val="18"/>
                <w:lang w:eastAsia="en-US"/>
              </w:rPr>
              <w:t xml:space="preserve">fulvestrant 250 mg/5 mL pre-filled syringe, 2 </w:t>
            </w:r>
          </w:p>
        </w:tc>
        <w:tc>
          <w:tcPr>
            <w:tcW w:w="993" w:type="dxa"/>
          </w:tcPr>
          <w:p w:rsidR="00AF5D1E" w:rsidRPr="00FA739A" w:rsidRDefault="00AF5D1E" w:rsidP="00AF5D1E">
            <w:pPr>
              <w:keepNext/>
              <w:ind w:left="-108"/>
              <w:jc w:val="center"/>
              <w:rPr>
                <w:rFonts w:ascii="Arial Narrow" w:eastAsia="Calibri" w:hAnsi="Arial Narrow"/>
                <w:sz w:val="18"/>
                <w:szCs w:val="18"/>
                <w:lang w:eastAsia="en-US"/>
              </w:rPr>
            </w:pPr>
          </w:p>
          <w:p w:rsidR="00AF5D1E" w:rsidRPr="00FA739A" w:rsidRDefault="00AF5D1E" w:rsidP="00AF5D1E">
            <w:pPr>
              <w:keepNext/>
              <w:ind w:left="-108"/>
              <w:jc w:val="center"/>
              <w:rPr>
                <w:rFonts w:ascii="Arial Narrow" w:eastAsia="Calibri" w:hAnsi="Arial Narrow"/>
                <w:sz w:val="18"/>
                <w:szCs w:val="18"/>
                <w:lang w:eastAsia="en-US"/>
              </w:rPr>
            </w:pPr>
          </w:p>
          <w:p w:rsidR="00AF5D1E" w:rsidRPr="00FA739A" w:rsidRDefault="00AF5D1E" w:rsidP="00AF5D1E">
            <w:pPr>
              <w:keepNext/>
              <w:ind w:left="-108"/>
              <w:jc w:val="center"/>
              <w:rPr>
                <w:rFonts w:ascii="Arial Narrow" w:eastAsia="Calibri" w:hAnsi="Arial Narrow"/>
                <w:sz w:val="18"/>
                <w:szCs w:val="18"/>
                <w:lang w:eastAsia="en-US"/>
              </w:rPr>
            </w:pPr>
            <w:r w:rsidRPr="00FA739A">
              <w:rPr>
                <w:rFonts w:ascii="Arial Narrow" w:eastAsia="Calibri" w:hAnsi="Arial Narrow"/>
                <w:sz w:val="18"/>
                <w:szCs w:val="18"/>
                <w:lang w:eastAsia="en-US"/>
              </w:rPr>
              <w:t>NEW</w:t>
            </w:r>
          </w:p>
        </w:tc>
        <w:tc>
          <w:tcPr>
            <w:tcW w:w="850" w:type="dxa"/>
          </w:tcPr>
          <w:p w:rsidR="00AF5D1E" w:rsidRPr="00FA739A" w:rsidRDefault="00AF5D1E" w:rsidP="00AF5D1E">
            <w:pPr>
              <w:keepNext/>
              <w:jc w:val="center"/>
              <w:rPr>
                <w:rFonts w:ascii="Arial Narrow" w:eastAsia="Calibri" w:hAnsi="Arial Narrow"/>
                <w:sz w:val="18"/>
                <w:szCs w:val="18"/>
                <w:lang w:eastAsia="en-US"/>
              </w:rPr>
            </w:pPr>
          </w:p>
          <w:p w:rsidR="00AF5D1E" w:rsidRPr="00FA739A" w:rsidRDefault="00AF5D1E" w:rsidP="00AF5D1E">
            <w:pPr>
              <w:keepNext/>
              <w:ind w:left="-108"/>
              <w:jc w:val="center"/>
              <w:rPr>
                <w:rFonts w:ascii="Arial Narrow" w:eastAsia="Calibri" w:hAnsi="Arial Narrow"/>
                <w:sz w:val="18"/>
                <w:szCs w:val="18"/>
                <w:lang w:eastAsia="en-US"/>
              </w:rPr>
            </w:pPr>
          </w:p>
          <w:p w:rsidR="00AF5D1E" w:rsidRPr="00FA739A" w:rsidRDefault="00AF5D1E" w:rsidP="00AF5D1E">
            <w:pPr>
              <w:keepNext/>
              <w:jc w:val="center"/>
              <w:rPr>
                <w:rFonts w:ascii="Arial Narrow" w:eastAsia="Calibri" w:hAnsi="Arial Narrow"/>
                <w:sz w:val="18"/>
                <w:szCs w:val="18"/>
                <w:lang w:eastAsia="en-US"/>
              </w:rPr>
            </w:pPr>
            <w:r w:rsidRPr="00FA739A">
              <w:rPr>
                <w:rFonts w:ascii="Arial Narrow" w:eastAsia="Calibri" w:hAnsi="Arial Narrow"/>
                <w:sz w:val="18"/>
                <w:szCs w:val="18"/>
                <w:lang w:eastAsia="en-US"/>
              </w:rPr>
              <w:t>1</w:t>
            </w:r>
          </w:p>
        </w:tc>
        <w:tc>
          <w:tcPr>
            <w:tcW w:w="992" w:type="dxa"/>
          </w:tcPr>
          <w:p w:rsidR="00AF5D1E" w:rsidRPr="00FA739A" w:rsidRDefault="00AF5D1E" w:rsidP="00AF5D1E">
            <w:pPr>
              <w:keepNext/>
              <w:ind w:left="-108"/>
              <w:jc w:val="center"/>
              <w:rPr>
                <w:rFonts w:ascii="Arial Narrow" w:eastAsia="Calibri" w:hAnsi="Arial Narrow"/>
                <w:sz w:val="18"/>
                <w:szCs w:val="18"/>
                <w:lang w:eastAsia="en-US"/>
              </w:rPr>
            </w:pPr>
          </w:p>
          <w:p w:rsidR="00AF5D1E" w:rsidRPr="00FA739A" w:rsidRDefault="00AF5D1E" w:rsidP="00AF5D1E">
            <w:pPr>
              <w:keepNext/>
              <w:ind w:left="-108"/>
              <w:jc w:val="center"/>
              <w:rPr>
                <w:rFonts w:ascii="Arial Narrow" w:eastAsia="Calibri" w:hAnsi="Arial Narrow"/>
                <w:sz w:val="18"/>
                <w:szCs w:val="18"/>
                <w:lang w:eastAsia="en-US"/>
              </w:rPr>
            </w:pPr>
          </w:p>
          <w:p w:rsidR="00AF5D1E" w:rsidRPr="00FA739A" w:rsidRDefault="00AF5D1E" w:rsidP="00AF5D1E">
            <w:pPr>
              <w:keepNext/>
              <w:ind w:left="-108"/>
              <w:jc w:val="center"/>
              <w:rPr>
                <w:rFonts w:ascii="Arial Narrow" w:eastAsia="Calibri" w:hAnsi="Arial Narrow"/>
                <w:sz w:val="18"/>
                <w:szCs w:val="18"/>
                <w:lang w:eastAsia="en-US"/>
              </w:rPr>
            </w:pPr>
            <w:r w:rsidRPr="00FA739A">
              <w:rPr>
                <w:rFonts w:ascii="Arial Narrow" w:eastAsia="Calibri" w:hAnsi="Arial Narrow"/>
                <w:sz w:val="18"/>
                <w:szCs w:val="18"/>
                <w:lang w:eastAsia="en-US"/>
              </w:rPr>
              <w:t>1</w:t>
            </w:r>
          </w:p>
        </w:tc>
        <w:tc>
          <w:tcPr>
            <w:tcW w:w="851" w:type="dxa"/>
          </w:tcPr>
          <w:p w:rsidR="00AF5D1E" w:rsidRPr="00FA739A" w:rsidRDefault="00AF5D1E" w:rsidP="00AF5D1E">
            <w:pPr>
              <w:keepNext/>
              <w:ind w:left="-108"/>
              <w:jc w:val="center"/>
              <w:rPr>
                <w:rFonts w:ascii="Arial Narrow" w:eastAsia="Calibri" w:hAnsi="Arial Narrow"/>
                <w:sz w:val="18"/>
                <w:szCs w:val="18"/>
                <w:lang w:eastAsia="en-US"/>
              </w:rPr>
            </w:pPr>
          </w:p>
          <w:p w:rsidR="00AF5D1E" w:rsidRPr="00FA739A" w:rsidRDefault="00AF5D1E" w:rsidP="00AF5D1E">
            <w:pPr>
              <w:keepNext/>
              <w:ind w:left="-108"/>
              <w:jc w:val="center"/>
              <w:rPr>
                <w:rFonts w:ascii="Arial Narrow" w:eastAsia="Calibri" w:hAnsi="Arial Narrow"/>
                <w:sz w:val="18"/>
                <w:szCs w:val="18"/>
                <w:lang w:eastAsia="en-US"/>
              </w:rPr>
            </w:pPr>
          </w:p>
          <w:p w:rsidR="00AF5D1E" w:rsidRPr="00FA739A" w:rsidRDefault="00AF5D1E" w:rsidP="00AF5D1E">
            <w:pPr>
              <w:keepNext/>
              <w:ind w:left="-108"/>
              <w:jc w:val="center"/>
              <w:rPr>
                <w:rFonts w:ascii="Arial Narrow" w:eastAsia="Calibri" w:hAnsi="Arial Narrow"/>
                <w:strike/>
                <w:sz w:val="18"/>
                <w:szCs w:val="18"/>
                <w:lang w:eastAsia="en-US"/>
              </w:rPr>
            </w:pPr>
            <w:r w:rsidRPr="00FA739A">
              <w:rPr>
                <w:rFonts w:ascii="Arial Narrow" w:eastAsia="Calibri" w:hAnsi="Arial Narrow"/>
                <w:sz w:val="18"/>
                <w:szCs w:val="18"/>
                <w:lang w:eastAsia="en-US"/>
              </w:rPr>
              <w:t>5</w:t>
            </w:r>
          </w:p>
          <w:p w:rsidR="00AF5D1E" w:rsidRPr="00FA739A" w:rsidRDefault="00AF5D1E" w:rsidP="00AF5D1E">
            <w:pPr>
              <w:keepNext/>
              <w:jc w:val="left"/>
              <w:rPr>
                <w:rFonts w:ascii="Arial Narrow" w:eastAsia="Calibri" w:hAnsi="Arial Narrow"/>
                <w:sz w:val="18"/>
                <w:szCs w:val="18"/>
                <w:lang w:eastAsia="en-US"/>
              </w:rPr>
            </w:pPr>
          </w:p>
        </w:tc>
        <w:tc>
          <w:tcPr>
            <w:tcW w:w="1984" w:type="dxa"/>
          </w:tcPr>
          <w:p w:rsidR="00AF5D1E" w:rsidRPr="00FA739A" w:rsidRDefault="00AF5D1E" w:rsidP="00AF5D1E">
            <w:pPr>
              <w:keepNext/>
              <w:rPr>
                <w:rFonts w:ascii="Arial Narrow" w:eastAsia="Calibri" w:hAnsi="Arial Narrow"/>
                <w:sz w:val="18"/>
                <w:szCs w:val="18"/>
                <w:lang w:eastAsia="en-US"/>
              </w:rPr>
            </w:pPr>
          </w:p>
          <w:p w:rsidR="00AF5D1E" w:rsidRPr="00FA739A" w:rsidRDefault="00AF5D1E" w:rsidP="00AF5D1E">
            <w:pPr>
              <w:keepNext/>
              <w:rPr>
                <w:rFonts w:ascii="Arial Narrow" w:eastAsia="Calibri" w:hAnsi="Arial Narrow"/>
                <w:sz w:val="18"/>
                <w:szCs w:val="18"/>
                <w:lang w:eastAsia="en-US"/>
              </w:rPr>
            </w:pPr>
          </w:p>
          <w:p w:rsidR="00AF5D1E" w:rsidRPr="00FA739A" w:rsidRDefault="00AF5D1E" w:rsidP="00AF5D1E">
            <w:pPr>
              <w:keepNext/>
              <w:jc w:val="left"/>
              <w:rPr>
                <w:rFonts w:ascii="Arial Narrow" w:eastAsia="Calibri" w:hAnsi="Arial Narrow"/>
                <w:sz w:val="18"/>
                <w:szCs w:val="18"/>
                <w:lang w:eastAsia="en-US"/>
              </w:rPr>
            </w:pPr>
            <w:r w:rsidRPr="00FA739A">
              <w:rPr>
                <w:rFonts w:ascii="Arial Narrow" w:eastAsia="Calibri" w:hAnsi="Arial Narrow"/>
                <w:sz w:val="18"/>
                <w:szCs w:val="18"/>
                <w:lang w:eastAsia="en-US"/>
              </w:rPr>
              <w:t>Faslodex [recommended in July 2020, but not available on the PBS as of 1 November 2020]</w:t>
            </w:r>
          </w:p>
          <w:p w:rsidR="00AF5D1E" w:rsidRPr="00FA739A" w:rsidRDefault="00AF5D1E" w:rsidP="00AF5D1E">
            <w:pPr>
              <w:keepNext/>
              <w:jc w:val="left"/>
              <w:rPr>
                <w:rFonts w:ascii="Arial Narrow" w:eastAsia="Calibri" w:hAnsi="Arial Narrow"/>
                <w:sz w:val="18"/>
                <w:szCs w:val="18"/>
                <w:lang w:eastAsia="en-US"/>
              </w:rPr>
            </w:pPr>
            <w:r w:rsidRPr="00FA739A">
              <w:rPr>
                <w:rFonts w:ascii="Arial Narrow" w:eastAsia="Calibri" w:hAnsi="Arial Narrow"/>
                <w:sz w:val="18"/>
                <w:szCs w:val="18"/>
                <w:lang w:eastAsia="en-US"/>
              </w:rPr>
              <w:t xml:space="preserve">Fulvestrant Sandoz </w:t>
            </w:r>
          </w:p>
        </w:tc>
      </w:tr>
      <w:tr w:rsidR="00AF5D1E" w:rsidRPr="00FA739A" w:rsidTr="00F80991">
        <w:trPr>
          <w:cantSplit/>
          <w:trHeight w:val="291"/>
        </w:trPr>
        <w:tc>
          <w:tcPr>
            <w:tcW w:w="9067" w:type="dxa"/>
            <w:gridSpan w:val="7"/>
          </w:tcPr>
          <w:p w:rsidR="00AF5D1E" w:rsidRPr="00FA739A" w:rsidRDefault="00AF5D1E" w:rsidP="00AF5D1E">
            <w:pPr>
              <w:keepNext/>
              <w:rPr>
                <w:rFonts w:ascii="Arial Narrow" w:eastAsia="Calibri" w:hAnsi="Arial Narrow"/>
                <w:sz w:val="18"/>
                <w:szCs w:val="18"/>
                <w:lang w:eastAsia="en-US"/>
              </w:rPr>
            </w:pPr>
          </w:p>
        </w:tc>
      </w:tr>
      <w:tr w:rsidR="00AF5D1E" w:rsidRPr="00FA739A" w:rsidTr="00F80991">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rsidR="00AF5D1E" w:rsidRPr="00FA739A" w:rsidRDefault="00AF5D1E" w:rsidP="00AF5D1E">
            <w:pPr>
              <w:rPr>
                <w:rFonts w:ascii="Arial Narrow" w:eastAsia="Calibri" w:hAnsi="Arial Narrow"/>
                <w:b/>
                <w:sz w:val="18"/>
                <w:szCs w:val="18"/>
                <w:lang w:eastAsia="en-US"/>
              </w:rPr>
            </w:pPr>
            <w:r w:rsidRPr="00FA739A">
              <w:rPr>
                <w:rFonts w:ascii="Arial Narrow" w:eastAsia="Calibri" w:hAnsi="Arial Narrow"/>
                <w:b/>
                <w:sz w:val="18"/>
                <w:szCs w:val="18"/>
                <w:lang w:eastAsia="en-US"/>
              </w:rPr>
              <w:t>Restriction Summary  NEW / ToC: NEW</w:t>
            </w:r>
          </w:p>
        </w:tc>
      </w:tr>
      <w:tr w:rsidR="00AF5D1E" w:rsidRPr="00FA739A" w:rsidTr="00F80991">
        <w:tblPrEx>
          <w:tblCellMar>
            <w:top w:w="15" w:type="dxa"/>
            <w:left w:w="15" w:type="dxa"/>
            <w:bottom w:w="15" w:type="dxa"/>
            <w:right w:w="15" w:type="dxa"/>
          </w:tblCellMar>
          <w:tblLook w:val="04A0" w:firstRow="1" w:lastRow="0" w:firstColumn="1" w:lastColumn="0" w:noHBand="0" w:noVBand="1"/>
        </w:tblPrEx>
        <w:tc>
          <w:tcPr>
            <w:tcW w:w="1271" w:type="dxa"/>
            <w:vMerge w:val="restart"/>
            <w:tcBorders>
              <w:top w:val="single" w:sz="4" w:space="0" w:color="auto"/>
              <w:left w:val="single" w:sz="4" w:space="0" w:color="auto"/>
              <w:right w:val="single" w:sz="4" w:space="0" w:color="auto"/>
            </w:tcBorders>
          </w:tcPr>
          <w:p w:rsidR="00AF5D1E" w:rsidRPr="00FA739A" w:rsidRDefault="00AF5D1E" w:rsidP="00AF5D1E">
            <w:pPr>
              <w:jc w:val="center"/>
              <w:rPr>
                <w:rFonts w:ascii="Arial Narrow" w:eastAsia="Calibri" w:hAnsi="Arial Narrow" w:cs="Arial"/>
                <w:sz w:val="18"/>
                <w:szCs w:val="18"/>
                <w:lang w:eastAsia="en-US"/>
              </w:rPr>
            </w:pPr>
          </w:p>
        </w:tc>
        <w:tc>
          <w:tcPr>
            <w:tcW w:w="7796" w:type="dxa"/>
            <w:gridSpan w:val="6"/>
            <w:tcBorders>
              <w:top w:val="single" w:sz="4" w:space="0" w:color="auto"/>
              <w:left w:val="single" w:sz="4" w:space="0" w:color="auto"/>
              <w:bottom w:val="single" w:sz="4" w:space="0" w:color="auto"/>
              <w:right w:val="single" w:sz="4" w:space="0" w:color="auto"/>
            </w:tcBorders>
          </w:tcPr>
          <w:p w:rsidR="00AF5D1E" w:rsidRPr="00FA739A" w:rsidRDefault="00AF5D1E" w:rsidP="00AF5D1E">
            <w:pPr>
              <w:ind w:left="57" w:right="57"/>
              <w:rPr>
                <w:rFonts w:ascii="Arial Narrow" w:eastAsia="Calibri" w:hAnsi="Arial Narrow" w:cs="Arial"/>
                <w:sz w:val="18"/>
                <w:szCs w:val="18"/>
                <w:lang w:eastAsia="en-US"/>
              </w:rPr>
            </w:pPr>
            <w:r w:rsidRPr="00FA739A">
              <w:rPr>
                <w:rFonts w:ascii="Arial Narrow" w:eastAsia="Calibri" w:hAnsi="Arial Narrow" w:cs="Arial"/>
                <w:b/>
                <w:sz w:val="18"/>
                <w:szCs w:val="18"/>
                <w:lang w:eastAsia="en-US"/>
              </w:rPr>
              <w:t xml:space="preserve">Category / Program:   </w:t>
            </w:r>
            <w:r w:rsidRPr="00FA739A">
              <w:rPr>
                <w:rFonts w:ascii="Arial Narrow" w:eastAsia="Calibri" w:hAnsi="Arial Narrow" w:cs="Arial"/>
                <w:sz w:val="18"/>
                <w:szCs w:val="18"/>
                <w:lang w:eastAsia="en-US"/>
              </w:rPr>
              <w:t xml:space="preserve">GENERAL – General Schedule (Code GE) </w:t>
            </w:r>
          </w:p>
        </w:tc>
      </w:tr>
      <w:tr w:rsidR="00AF5D1E" w:rsidRPr="00FA739A" w:rsidTr="00F80991">
        <w:tblPrEx>
          <w:tblCellMar>
            <w:top w:w="15" w:type="dxa"/>
            <w:left w:w="15" w:type="dxa"/>
            <w:bottom w:w="15" w:type="dxa"/>
            <w:right w:w="15" w:type="dxa"/>
          </w:tblCellMar>
          <w:tblLook w:val="04A0" w:firstRow="1" w:lastRow="0" w:firstColumn="1" w:lastColumn="0" w:noHBand="0" w:noVBand="1"/>
        </w:tblPrEx>
        <w:trPr>
          <w:trHeight w:val="240"/>
        </w:trPr>
        <w:tc>
          <w:tcPr>
            <w:tcW w:w="1271" w:type="dxa"/>
            <w:vMerge/>
            <w:tcBorders>
              <w:left w:val="single" w:sz="4" w:space="0" w:color="auto"/>
              <w:right w:val="single" w:sz="4" w:space="0" w:color="auto"/>
            </w:tcBorders>
          </w:tcPr>
          <w:p w:rsidR="00AF5D1E" w:rsidRPr="00FA739A" w:rsidRDefault="00AF5D1E" w:rsidP="00AF5D1E">
            <w:pPr>
              <w:rPr>
                <w:rFonts w:ascii="Arial Narrow" w:eastAsia="Calibri" w:hAnsi="Arial Narrow" w:cs="Arial"/>
                <w:sz w:val="18"/>
                <w:szCs w:val="18"/>
                <w:lang w:eastAsia="en-US"/>
              </w:rPr>
            </w:pPr>
          </w:p>
        </w:tc>
        <w:tc>
          <w:tcPr>
            <w:tcW w:w="7796" w:type="dxa"/>
            <w:gridSpan w:val="6"/>
            <w:tcBorders>
              <w:top w:val="single" w:sz="4" w:space="0" w:color="auto"/>
              <w:left w:val="single" w:sz="4" w:space="0" w:color="auto"/>
              <w:bottom w:val="single" w:sz="4" w:space="0" w:color="auto"/>
              <w:right w:val="single" w:sz="4" w:space="0" w:color="auto"/>
            </w:tcBorders>
          </w:tcPr>
          <w:p w:rsidR="00AF5D1E" w:rsidRPr="00FA739A" w:rsidRDefault="00AF5D1E" w:rsidP="00AF5D1E">
            <w:pPr>
              <w:ind w:left="57" w:right="57"/>
              <w:rPr>
                <w:rFonts w:ascii="Arial Narrow" w:eastAsia="Calibri" w:hAnsi="Arial Narrow" w:cs="Arial"/>
                <w:b/>
                <w:sz w:val="18"/>
                <w:szCs w:val="18"/>
                <w:lang w:eastAsia="en-US"/>
              </w:rPr>
            </w:pPr>
            <w:r w:rsidRPr="00FA739A">
              <w:rPr>
                <w:rFonts w:ascii="Arial Narrow" w:eastAsia="Calibri" w:hAnsi="Arial Narrow" w:cs="Arial"/>
                <w:b/>
                <w:sz w:val="18"/>
                <w:szCs w:val="18"/>
                <w:lang w:eastAsia="en-US"/>
              </w:rPr>
              <w:t xml:space="preserve">Prescriber type:   </w:t>
            </w:r>
            <w:r w:rsidRPr="009978AC">
              <w:rPr>
                <w:rFonts w:ascii="Arial Narrow" w:eastAsia="Calibri" w:hAnsi="Arial Narrow" w:cs="Arial"/>
                <w:sz w:val="18"/>
                <w:szCs w:val="18"/>
                <w:lang w:eastAsia="en-US"/>
              </w:rPr>
              <w:fldChar w:fldCharType="begin">
                <w:ffData>
                  <w:name w:val=""/>
                  <w:enabled/>
                  <w:calcOnExit w:val="0"/>
                  <w:checkBox>
                    <w:sizeAuto/>
                    <w:default w:val="1"/>
                  </w:checkBox>
                </w:ffData>
              </w:fldChar>
            </w:r>
            <w:r w:rsidRPr="00FA739A">
              <w:rPr>
                <w:rFonts w:ascii="Arial Narrow" w:eastAsia="Calibri" w:hAnsi="Arial Narrow" w:cs="Arial"/>
                <w:sz w:val="18"/>
                <w:szCs w:val="18"/>
                <w:lang w:eastAsia="en-US"/>
              </w:rPr>
              <w:instrText xml:space="preserve"> FORMCHECKBOX </w:instrText>
            </w:r>
            <w:r w:rsidR="00980405">
              <w:rPr>
                <w:rFonts w:ascii="Arial Narrow" w:eastAsia="Calibri" w:hAnsi="Arial Narrow" w:cs="Arial"/>
                <w:sz w:val="18"/>
                <w:szCs w:val="18"/>
                <w:lang w:eastAsia="en-US"/>
              </w:rPr>
            </w:r>
            <w:r w:rsidR="00980405">
              <w:rPr>
                <w:rFonts w:ascii="Arial Narrow" w:eastAsia="Calibri" w:hAnsi="Arial Narrow" w:cs="Arial"/>
                <w:sz w:val="18"/>
                <w:szCs w:val="18"/>
                <w:lang w:eastAsia="en-US"/>
              </w:rPr>
              <w:fldChar w:fldCharType="separate"/>
            </w:r>
            <w:r w:rsidRPr="009978AC">
              <w:rPr>
                <w:rFonts w:ascii="Arial Narrow" w:eastAsia="Calibri" w:hAnsi="Arial Narrow" w:cs="Arial"/>
                <w:sz w:val="18"/>
                <w:szCs w:val="18"/>
                <w:lang w:eastAsia="en-US"/>
              </w:rPr>
              <w:fldChar w:fldCharType="end"/>
            </w:r>
            <w:r w:rsidRPr="00FA739A">
              <w:rPr>
                <w:rFonts w:ascii="Arial Narrow" w:eastAsia="Calibri" w:hAnsi="Arial Narrow" w:cs="Arial"/>
                <w:sz w:val="18"/>
                <w:szCs w:val="18"/>
                <w:lang w:eastAsia="en-US"/>
              </w:rPr>
              <w:t xml:space="preserve"> Medical Practitioners </w:t>
            </w:r>
          </w:p>
        </w:tc>
      </w:tr>
      <w:tr w:rsidR="00AF5D1E" w:rsidRPr="00FA739A" w:rsidTr="00F80991">
        <w:tblPrEx>
          <w:tblCellMar>
            <w:top w:w="15" w:type="dxa"/>
            <w:left w:w="15" w:type="dxa"/>
            <w:bottom w:w="15" w:type="dxa"/>
            <w:right w:w="15" w:type="dxa"/>
          </w:tblCellMar>
          <w:tblLook w:val="04A0" w:firstRow="1" w:lastRow="0" w:firstColumn="1" w:lastColumn="0" w:noHBand="0" w:noVBand="1"/>
        </w:tblPrEx>
        <w:tc>
          <w:tcPr>
            <w:tcW w:w="1271" w:type="dxa"/>
            <w:vMerge/>
            <w:tcBorders>
              <w:left w:val="single" w:sz="4" w:space="0" w:color="auto"/>
              <w:bottom w:val="single" w:sz="4" w:space="0" w:color="auto"/>
              <w:right w:val="single" w:sz="4" w:space="0" w:color="auto"/>
            </w:tcBorders>
          </w:tcPr>
          <w:p w:rsidR="00AF5D1E" w:rsidRPr="00FA739A" w:rsidRDefault="00AF5D1E" w:rsidP="00AF5D1E">
            <w:pPr>
              <w:rPr>
                <w:rFonts w:ascii="Arial Narrow" w:eastAsia="Calibri" w:hAnsi="Arial Narrow" w:cs="Arial"/>
                <w:sz w:val="18"/>
                <w:szCs w:val="18"/>
                <w:lang w:eastAsia="en-US"/>
              </w:rPr>
            </w:pPr>
          </w:p>
        </w:tc>
        <w:tc>
          <w:tcPr>
            <w:tcW w:w="7796" w:type="dxa"/>
            <w:gridSpan w:val="6"/>
            <w:tcBorders>
              <w:top w:val="single" w:sz="4" w:space="0" w:color="auto"/>
              <w:left w:val="single" w:sz="4" w:space="0" w:color="auto"/>
              <w:bottom w:val="single" w:sz="4" w:space="0" w:color="auto"/>
              <w:right w:val="single" w:sz="4" w:space="0" w:color="auto"/>
            </w:tcBorders>
          </w:tcPr>
          <w:p w:rsidR="00AF5D1E" w:rsidRPr="00FA739A" w:rsidRDefault="00AF5D1E" w:rsidP="00AF5D1E">
            <w:pPr>
              <w:ind w:left="57" w:right="57"/>
              <w:rPr>
                <w:rFonts w:ascii="Arial Narrow" w:eastAsia="Calibri" w:hAnsi="Arial Narrow" w:cs="Arial"/>
                <w:sz w:val="18"/>
                <w:szCs w:val="18"/>
                <w:lang w:eastAsia="en-US"/>
              </w:rPr>
            </w:pPr>
            <w:r w:rsidRPr="00FA739A">
              <w:rPr>
                <w:rFonts w:ascii="Arial Narrow" w:eastAsia="Calibri" w:hAnsi="Arial Narrow" w:cs="Arial"/>
                <w:b/>
                <w:sz w:val="18"/>
                <w:szCs w:val="18"/>
                <w:lang w:eastAsia="en-US"/>
              </w:rPr>
              <w:t>Restriction Type:</w:t>
            </w:r>
            <w:r w:rsidRPr="00FA739A">
              <w:rPr>
                <w:rFonts w:ascii="Arial Narrow" w:eastAsia="Calibri" w:hAnsi="Arial Narrow" w:cs="Arial"/>
                <w:sz w:val="18"/>
                <w:szCs w:val="18"/>
                <w:lang w:eastAsia="en-US"/>
              </w:rPr>
              <w:t xml:space="preserve"> </w:t>
            </w:r>
            <w:r w:rsidRPr="009978AC">
              <w:rPr>
                <w:rFonts w:ascii="Arial Narrow" w:eastAsia="Calibri" w:hAnsi="Arial Narrow" w:cs="Arial"/>
                <w:sz w:val="18"/>
                <w:szCs w:val="18"/>
                <w:lang w:eastAsia="en-US"/>
              </w:rPr>
              <w:fldChar w:fldCharType="begin">
                <w:ffData>
                  <w:name w:val=""/>
                  <w:enabled/>
                  <w:calcOnExit w:val="0"/>
                  <w:checkBox>
                    <w:sizeAuto/>
                    <w:default w:val="0"/>
                  </w:checkBox>
                </w:ffData>
              </w:fldChar>
            </w:r>
            <w:r w:rsidRPr="00FA739A">
              <w:rPr>
                <w:rFonts w:ascii="Arial Narrow" w:eastAsia="Calibri" w:hAnsi="Arial Narrow" w:cs="Arial"/>
                <w:sz w:val="18"/>
                <w:szCs w:val="18"/>
                <w:lang w:eastAsia="en-US"/>
              </w:rPr>
              <w:instrText xml:space="preserve"> FORMCHECKBOX </w:instrText>
            </w:r>
            <w:r w:rsidR="00980405">
              <w:rPr>
                <w:rFonts w:ascii="Arial Narrow" w:eastAsia="Calibri" w:hAnsi="Arial Narrow" w:cs="Arial"/>
                <w:sz w:val="18"/>
                <w:szCs w:val="18"/>
                <w:lang w:eastAsia="en-US"/>
              </w:rPr>
            </w:r>
            <w:r w:rsidR="00980405">
              <w:rPr>
                <w:rFonts w:ascii="Arial Narrow" w:eastAsia="Calibri" w:hAnsi="Arial Narrow" w:cs="Arial"/>
                <w:sz w:val="18"/>
                <w:szCs w:val="18"/>
                <w:lang w:eastAsia="en-US"/>
              </w:rPr>
              <w:fldChar w:fldCharType="separate"/>
            </w:r>
            <w:r w:rsidRPr="009978AC">
              <w:rPr>
                <w:rFonts w:ascii="Arial Narrow" w:eastAsia="Calibri" w:hAnsi="Arial Narrow" w:cs="Arial"/>
                <w:sz w:val="18"/>
                <w:szCs w:val="18"/>
                <w:lang w:eastAsia="en-US"/>
              </w:rPr>
              <w:fldChar w:fldCharType="end"/>
            </w:r>
            <w:r w:rsidRPr="00FA739A">
              <w:rPr>
                <w:rFonts w:ascii="Arial Narrow" w:eastAsia="Calibri" w:hAnsi="Arial Narrow" w:cs="Arial"/>
                <w:sz w:val="18"/>
                <w:szCs w:val="18"/>
                <w:lang w:eastAsia="en-US"/>
              </w:rPr>
              <w:t xml:space="preserve"> Authority Required – Streamlined [new code] </w:t>
            </w:r>
          </w:p>
        </w:tc>
      </w:tr>
      <w:tr w:rsidR="00AF5D1E" w:rsidRPr="00FA739A" w:rsidTr="00F80991">
        <w:tblPrEx>
          <w:tblCellMar>
            <w:top w:w="15" w:type="dxa"/>
            <w:left w:w="15" w:type="dxa"/>
            <w:bottom w:w="15" w:type="dxa"/>
            <w:right w:w="15" w:type="dxa"/>
          </w:tblCellMar>
          <w:tblLook w:val="04A0" w:firstRow="1" w:lastRow="0" w:firstColumn="1" w:lastColumn="0" w:noHBand="0" w:noVBand="1"/>
        </w:tblPrEx>
        <w:tc>
          <w:tcPr>
            <w:tcW w:w="1271" w:type="dxa"/>
            <w:vAlign w:val="center"/>
          </w:tcPr>
          <w:p w:rsidR="00AF5D1E" w:rsidRPr="00FA739A" w:rsidRDefault="00AF5D1E" w:rsidP="00AF5D1E">
            <w:pPr>
              <w:jc w:val="center"/>
              <w:rPr>
                <w:rFonts w:ascii="Arial Narrow" w:hAnsi="Arial Narrow"/>
                <w:color w:val="333333"/>
                <w:sz w:val="18"/>
                <w:szCs w:val="18"/>
              </w:rPr>
            </w:pPr>
          </w:p>
        </w:tc>
        <w:tc>
          <w:tcPr>
            <w:tcW w:w="7796" w:type="dxa"/>
            <w:gridSpan w:val="6"/>
            <w:vAlign w:val="center"/>
          </w:tcPr>
          <w:p w:rsidR="00AF5D1E" w:rsidRPr="00FA739A" w:rsidRDefault="00AF5D1E" w:rsidP="00AF5D1E">
            <w:pPr>
              <w:ind w:left="57" w:right="57"/>
              <w:jc w:val="left"/>
              <w:rPr>
                <w:rFonts w:ascii="Arial Narrow" w:hAnsi="Arial Narrow"/>
                <w:color w:val="333333"/>
                <w:sz w:val="18"/>
                <w:szCs w:val="18"/>
              </w:rPr>
            </w:pPr>
            <w:r w:rsidRPr="00FA739A">
              <w:rPr>
                <w:rFonts w:ascii="Arial Narrow" w:hAnsi="Arial Narrow"/>
                <w:b/>
                <w:bCs/>
                <w:color w:val="333333"/>
                <w:sz w:val="18"/>
                <w:szCs w:val="18"/>
              </w:rPr>
              <w:t>Administrative Advice:</w:t>
            </w:r>
            <w:r w:rsidRPr="00FA739A">
              <w:rPr>
                <w:rFonts w:ascii="Times New Roman" w:eastAsia="Calibri" w:hAnsi="Times New Roman"/>
                <w:lang w:eastAsia="en-US"/>
              </w:rPr>
              <w:t xml:space="preserve"> </w:t>
            </w:r>
            <w:r w:rsidRPr="00FA739A">
              <w:rPr>
                <w:rFonts w:ascii="Arial Narrow" w:hAnsi="Arial Narrow"/>
                <w:bCs/>
                <w:color w:val="333333"/>
                <w:sz w:val="18"/>
                <w:szCs w:val="18"/>
              </w:rPr>
              <w:t>Special pricing arrangements apply</w:t>
            </w:r>
          </w:p>
        </w:tc>
      </w:tr>
      <w:tr w:rsidR="00AF5D1E" w:rsidRPr="00FA739A" w:rsidTr="00E47C72">
        <w:tblPrEx>
          <w:tblCellMar>
            <w:top w:w="15" w:type="dxa"/>
            <w:left w:w="15" w:type="dxa"/>
            <w:bottom w:w="15" w:type="dxa"/>
            <w:right w:w="15" w:type="dxa"/>
          </w:tblCellMar>
        </w:tblPrEx>
        <w:tc>
          <w:tcPr>
            <w:tcW w:w="1271" w:type="dxa"/>
            <w:vAlign w:val="center"/>
          </w:tcPr>
          <w:p w:rsidR="00AF5D1E" w:rsidRPr="00FA739A" w:rsidRDefault="00AF5D1E" w:rsidP="00AF5D1E">
            <w:pPr>
              <w:jc w:val="center"/>
              <w:rPr>
                <w:rFonts w:ascii="Arial Narrow" w:hAnsi="Arial Narrow"/>
                <w:color w:val="333333"/>
                <w:sz w:val="18"/>
                <w:szCs w:val="18"/>
              </w:rPr>
            </w:pPr>
          </w:p>
        </w:tc>
        <w:tc>
          <w:tcPr>
            <w:tcW w:w="7796" w:type="dxa"/>
            <w:gridSpan w:val="6"/>
            <w:vAlign w:val="center"/>
            <w:hideMark/>
          </w:tcPr>
          <w:p w:rsidR="00AF5D1E" w:rsidRPr="00FA739A" w:rsidRDefault="00AF5D1E" w:rsidP="00AF5D1E">
            <w:pPr>
              <w:ind w:left="57" w:right="57"/>
              <w:jc w:val="left"/>
              <w:rPr>
                <w:rFonts w:ascii="Arial Narrow" w:hAnsi="Arial Narrow"/>
                <w:color w:val="333333"/>
                <w:sz w:val="18"/>
                <w:szCs w:val="18"/>
              </w:rPr>
            </w:pPr>
            <w:r w:rsidRPr="00FA739A">
              <w:rPr>
                <w:rFonts w:ascii="Arial Narrow" w:hAnsi="Arial Narrow"/>
                <w:b/>
                <w:bCs/>
                <w:color w:val="333333"/>
                <w:sz w:val="18"/>
                <w:szCs w:val="18"/>
              </w:rPr>
              <w:t>Indication:</w:t>
            </w:r>
            <w:r w:rsidRPr="00FA739A">
              <w:rPr>
                <w:rFonts w:ascii="Arial Narrow" w:hAnsi="Arial Narrow"/>
                <w:color w:val="333333"/>
                <w:sz w:val="18"/>
                <w:szCs w:val="18"/>
              </w:rPr>
              <w:t xml:space="preserve"> Locally advanced or metastatic breast cancer</w:t>
            </w:r>
          </w:p>
        </w:tc>
      </w:tr>
      <w:tr w:rsidR="00AF5D1E" w:rsidRPr="00FA739A" w:rsidTr="00F80991">
        <w:tblPrEx>
          <w:tblCellMar>
            <w:top w:w="15" w:type="dxa"/>
            <w:left w:w="15" w:type="dxa"/>
            <w:bottom w:w="15" w:type="dxa"/>
            <w:right w:w="15" w:type="dxa"/>
          </w:tblCellMar>
          <w:tblLook w:val="04A0" w:firstRow="1" w:lastRow="0" w:firstColumn="1" w:lastColumn="0" w:noHBand="0" w:noVBand="1"/>
        </w:tblPrEx>
        <w:tc>
          <w:tcPr>
            <w:tcW w:w="1271" w:type="dxa"/>
            <w:vAlign w:val="center"/>
          </w:tcPr>
          <w:p w:rsidR="00AF5D1E" w:rsidRPr="00FA739A" w:rsidRDefault="00AF5D1E" w:rsidP="00AF5D1E">
            <w:pPr>
              <w:jc w:val="center"/>
              <w:rPr>
                <w:rFonts w:ascii="Arial Narrow" w:hAnsi="Arial Narrow"/>
                <w:color w:val="333333"/>
                <w:sz w:val="18"/>
                <w:szCs w:val="18"/>
              </w:rPr>
            </w:pPr>
          </w:p>
        </w:tc>
        <w:tc>
          <w:tcPr>
            <w:tcW w:w="7796" w:type="dxa"/>
            <w:gridSpan w:val="6"/>
            <w:vAlign w:val="center"/>
          </w:tcPr>
          <w:p w:rsidR="00AF5D1E" w:rsidRPr="00FA739A" w:rsidRDefault="00AF5D1E" w:rsidP="00AF5D1E">
            <w:pPr>
              <w:ind w:left="57" w:right="57"/>
              <w:jc w:val="left"/>
              <w:rPr>
                <w:rFonts w:ascii="Arial Narrow" w:hAnsi="Arial Narrow"/>
                <w:color w:val="333333"/>
                <w:sz w:val="18"/>
                <w:szCs w:val="18"/>
              </w:rPr>
            </w:pPr>
            <w:r w:rsidRPr="00FA739A">
              <w:rPr>
                <w:rFonts w:ascii="Arial Narrow" w:hAnsi="Arial Narrow" w:cs="Arial"/>
                <w:b/>
                <w:bCs/>
                <w:snapToGrid w:val="0"/>
                <w:sz w:val="18"/>
                <w:szCs w:val="18"/>
              </w:rPr>
              <w:t>Clinical criteria:</w:t>
            </w:r>
          </w:p>
        </w:tc>
      </w:tr>
      <w:tr w:rsidR="00AF5D1E" w:rsidRPr="00FA739A" w:rsidTr="00F80991">
        <w:tblPrEx>
          <w:tblCellMar>
            <w:top w:w="15" w:type="dxa"/>
            <w:left w:w="15" w:type="dxa"/>
            <w:bottom w:w="15" w:type="dxa"/>
            <w:right w:w="15" w:type="dxa"/>
          </w:tblCellMar>
          <w:tblLook w:val="04A0" w:firstRow="1" w:lastRow="0" w:firstColumn="1" w:lastColumn="0" w:noHBand="0" w:noVBand="1"/>
        </w:tblPrEx>
        <w:tc>
          <w:tcPr>
            <w:tcW w:w="1271" w:type="dxa"/>
            <w:vAlign w:val="center"/>
          </w:tcPr>
          <w:p w:rsidR="00AF5D1E" w:rsidRPr="00FA739A" w:rsidRDefault="00AF5D1E" w:rsidP="00AF5D1E">
            <w:pPr>
              <w:jc w:val="center"/>
              <w:rPr>
                <w:rFonts w:ascii="Arial Narrow" w:hAnsi="Arial Narrow"/>
                <w:color w:val="333333"/>
                <w:sz w:val="18"/>
                <w:szCs w:val="18"/>
              </w:rPr>
            </w:pPr>
          </w:p>
        </w:tc>
        <w:tc>
          <w:tcPr>
            <w:tcW w:w="7796" w:type="dxa"/>
            <w:gridSpan w:val="6"/>
            <w:vAlign w:val="center"/>
          </w:tcPr>
          <w:p w:rsidR="00AF5D1E" w:rsidRPr="00FA739A" w:rsidRDefault="00AF5D1E" w:rsidP="00AF5D1E">
            <w:pPr>
              <w:ind w:left="57" w:right="57"/>
              <w:jc w:val="left"/>
              <w:rPr>
                <w:rFonts w:ascii="Arial Narrow" w:hAnsi="Arial Narrow"/>
                <w:color w:val="333333"/>
                <w:sz w:val="18"/>
                <w:szCs w:val="18"/>
              </w:rPr>
            </w:pPr>
            <w:r w:rsidRPr="00FA739A">
              <w:rPr>
                <w:rFonts w:ascii="Arial Narrow" w:hAnsi="Arial Narrow" w:cs="Arial"/>
                <w:bCs/>
                <w:snapToGrid w:val="0"/>
                <w:sz w:val="18"/>
                <w:szCs w:val="18"/>
              </w:rPr>
              <w:t>The condition must be hormone receptor positive</w:t>
            </w:r>
          </w:p>
        </w:tc>
      </w:tr>
      <w:tr w:rsidR="00AF5D1E" w:rsidRPr="00FA739A" w:rsidTr="00F80991">
        <w:tblPrEx>
          <w:tblCellMar>
            <w:top w:w="15" w:type="dxa"/>
            <w:left w:w="15" w:type="dxa"/>
            <w:bottom w:w="15" w:type="dxa"/>
            <w:right w:w="15" w:type="dxa"/>
          </w:tblCellMar>
          <w:tblLook w:val="04A0" w:firstRow="1" w:lastRow="0" w:firstColumn="1" w:lastColumn="0" w:noHBand="0" w:noVBand="1"/>
        </w:tblPrEx>
        <w:tc>
          <w:tcPr>
            <w:tcW w:w="1271" w:type="dxa"/>
            <w:vAlign w:val="center"/>
          </w:tcPr>
          <w:p w:rsidR="00AF5D1E" w:rsidRPr="00FA739A" w:rsidRDefault="00AF5D1E" w:rsidP="00AF5D1E">
            <w:pPr>
              <w:jc w:val="center"/>
              <w:rPr>
                <w:rFonts w:ascii="Arial Narrow" w:hAnsi="Arial Narrow"/>
                <w:color w:val="333333"/>
                <w:sz w:val="18"/>
                <w:szCs w:val="18"/>
              </w:rPr>
            </w:pPr>
          </w:p>
        </w:tc>
        <w:tc>
          <w:tcPr>
            <w:tcW w:w="7796" w:type="dxa"/>
            <w:gridSpan w:val="6"/>
            <w:vAlign w:val="center"/>
          </w:tcPr>
          <w:p w:rsidR="00AF5D1E" w:rsidRPr="00FA739A" w:rsidRDefault="00AF5D1E" w:rsidP="00AF5D1E">
            <w:pPr>
              <w:ind w:left="57" w:right="57"/>
              <w:jc w:val="left"/>
              <w:rPr>
                <w:rFonts w:ascii="Arial Narrow" w:hAnsi="Arial Narrow"/>
                <w:color w:val="333333"/>
                <w:sz w:val="18"/>
                <w:szCs w:val="18"/>
              </w:rPr>
            </w:pPr>
            <w:r w:rsidRPr="00FA739A">
              <w:rPr>
                <w:rFonts w:ascii="Arial Narrow" w:hAnsi="Arial Narrow" w:cs="Arial"/>
                <w:b/>
                <w:bCs/>
                <w:snapToGrid w:val="0"/>
                <w:sz w:val="18"/>
                <w:szCs w:val="18"/>
              </w:rPr>
              <w:t>AND</w:t>
            </w:r>
          </w:p>
        </w:tc>
      </w:tr>
      <w:tr w:rsidR="00AF5D1E" w:rsidRPr="00FA739A" w:rsidTr="00F80991">
        <w:tblPrEx>
          <w:tblCellMar>
            <w:top w:w="15" w:type="dxa"/>
            <w:left w:w="15" w:type="dxa"/>
            <w:bottom w:w="15" w:type="dxa"/>
            <w:right w:w="15" w:type="dxa"/>
          </w:tblCellMar>
          <w:tblLook w:val="04A0" w:firstRow="1" w:lastRow="0" w:firstColumn="1" w:lastColumn="0" w:noHBand="0" w:noVBand="1"/>
        </w:tblPrEx>
        <w:tc>
          <w:tcPr>
            <w:tcW w:w="1271" w:type="dxa"/>
            <w:vAlign w:val="center"/>
          </w:tcPr>
          <w:p w:rsidR="00AF5D1E" w:rsidRPr="00FA739A" w:rsidRDefault="00AF5D1E" w:rsidP="00AF5D1E">
            <w:pPr>
              <w:jc w:val="center"/>
              <w:rPr>
                <w:rFonts w:ascii="Arial Narrow" w:hAnsi="Arial Narrow"/>
                <w:color w:val="333333"/>
                <w:sz w:val="18"/>
                <w:szCs w:val="18"/>
              </w:rPr>
            </w:pPr>
          </w:p>
        </w:tc>
        <w:tc>
          <w:tcPr>
            <w:tcW w:w="7796" w:type="dxa"/>
            <w:gridSpan w:val="6"/>
            <w:vAlign w:val="center"/>
          </w:tcPr>
          <w:p w:rsidR="00AF5D1E" w:rsidRPr="00FA739A" w:rsidRDefault="00AF5D1E" w:rsidP="00AF5D1E">
            <w:pPr>
              <w:ind w:left="57" w:right="57"/>
              <w:jc w:val="left"/>
              <w:rPr>
                <w:rFonts w:ascii="Arial Narrow" w:hAnsi="Arial Narrow"/>
                <w:color w:val="333333"/>
                <w:sz w:val="18"/>
                <w:szCs w:val="18"/>
              </w:rPr>
            </w:pPr>
            <w:r w:rsidRPr="00FA739A">
              <w:rPr>
                <w:rFonts w:ascii="Arial Narrow" w:hAnsi="Arial Narrow" w:cs="Arial"/>
                <w:b/>
                <w:bCs/>
                <w:snapToGrid w:val="0"/>
                <w:sz w:val="18"/>
                <w:szCs w:val="18"/>
              </w:rPr>
              <w:t>Clinical criteria:</w:t>
            </w:r>
          </w:p>
        </w:tc>
      </w:tr>
      <w:tr w:rsidR="00AF5D1E" w:rsidRPr="00FA739A" w:rsidTr="00F80991">
        <w:tblPrEx>
          <w:tblCellMar>
            <w:top w:w="15" w:type="dxa"/>
            <w:left w:w="15" w:type="dxa"/>
            <w:bottom w:w="15" w:type="dxa"/>
            <w:right w:w="15" w:type="dxa"/>
          </w:tblCellMar>
          <w:tblLook w:val="04A0" w:firstRow="1" w:lastRow="0" w:firstColumn="1" w:lastColumn="0" w:noHBand="0" w:noVBand="1"/>
        </w:tblPrEx>
        <w:tc>
          <w:tcPr>
            <w:tcW w:w="1271" w:type="dxa"/>
            <w:vAlign w:val="center"/>
          </w:tcPr>
          <w:p w:rsidR="00AF5D1E" w:rsidRPr="00FA739A" w:rsidRDefault="00AF5D1E" w:rsidP="00AF5D1E">
            <w:pPr>
              <w:jc w:val="center"/>
              <w:rPr>
                <w:rFonts w:ascii="Arial Narrow" w:hAnsi="Arial Narrow"/>
                <w:color w:val="333333"/>
                <w:sz w:val="18"/>
                <w:szCs w:val="18"/>
              </w:rPr>
            </w:pPr>
          </w:p>
        </w:tc>
        <w:tc>
          <w:tcPr>
            <w:tcW w:w="7796" w:type="dxa"/>
            <w:gridSpan w:val="6"/>
            <w:vAlign w:val="center"/>
            <w:hideMark/>
          </w:tcPr>
          <w:p w:rsidR="00AF5D1E" w:rsidRPr="00FA739A" w:rsidRDefault="00AF5D1E" w:rsidP="00AF5D1E">
            <w:pPr>
              <w:ind w:left="57" w:right="57"/>
              <w:jc w:val="left"/>
              <w:rPr>
                <w:rFonts w:ascii="Arial Narrow" w:hAnsi="Arial Narrow"/>
                <w:color w:val="333333"/>
                <w:sz w:val="18"/>
                <w:szCs w:val="18"/>
              </w:rPr>
            </w:pPr>
            <w:r w:rsidRPr="00FA739A">
              <w:rPr>
                <w:rFonts w:ascii="Arial Narrow" w:hAnsi="Arial Narrow" w:cs="Arial"/>
                <w:bCs/>
                <w:snapToGrid w:val="0"/>
                <w:sz w:val="18"/>
                <w:szCs w:val="18"/>
              </w:rPr>
              <w:t>The condition must be human epidermal growth factor receptor 2 (HER2) negative</w:t>
            </w:r>
          </w:p>
        </w:tc>
      </w:tr>
      <w:tr w:rsidR="00AF5D1E" w:rsidRPr="00FA739A" w:rsidTr="00F80991">
        <w:tblPrEx>
          <w:tblCellMar>
            <w:top w:w="15" w:type="dxa"/>
            <w:left w:w="15" w:type="dxa"/>
            <w:bottom w:w="15" w:type="dxa"/>
            <w:right w:w="15" w:type="dxa"/>
          </w:tblCellMar>
          <w:tblLook w:val="04A0" w:firstRow="1" w:lastRow="0" w:firstColumn="1" w:lastColumn="0" w:noHBand="0" w:noVBand="1"/>
        </w:tblPrEx>
        <w:tc>
          <w:tcPr>
            <w:tcW w:w="1271" w:type="dxa"/>
            <w:vAlign w:val="center"/>
          </w:tcPr>
          <w:p w:rsidR="00AF5D1E" w:rsidRPr="00FA739A" w:rsidRDefault="00AF5D1E" w:rsidP="00AF5D1E">
            <w:pPr>
              <w:jc w:val="center"/>
              <w:rPr>
                <w:rFonts w:ascii="Arial Narrow" w:hAnsi="Arial Narrow"/>
                <w:color w:val="333333"/>
                <w:sz w:val="18"/>
                <w:szCs w:val="18"/>
              </w:rPr>
            </w:pPr>
          </w:p>
        </w:tc>
        <w:tc>
          <w:tcPr>
            <w:tcW w:w="7796" w:type="dxa"/>
            <w:gridSpan w:val="6"/>
            <w:vAlign w:val="center"/>
            <w:hideMark/>
          </w:tcPr>
          <w:p w:rsidR="00AF5D1E" w:rsidRPr="00FA739A" w:rsidRDefault="00AF5D1E" w:rsidP="00AF5D1E">
            <w:pPr>
              <w:ind w:left="57" w:right="57"/>
              <w:jc w:val="left"/>
              <w:rPr>
                <w:rFonts w:ascii="Arial Narrow" w:hAnsi="Arial Narrow"/>
                <w:color w:val="333333"/>
                <w:sz w:val="18"/>
                <w:szCs w:val="18"/>
              </w:rPr>
            </w:pPr>
            <w:r w:rsidRPr="00FA739A">
              <w:rPr>
                <w:rFonts w:ascii="Arial Narrow" w:hAnsi="Arial Narrow" w:cs="Arial"/>
                <w:b/>
                <w:bCs/>
                <w:snapToGrid w:val="0"/>
                <w:sz w:val="18"/>
                <w:szCs w:val="18"/>
              </w:rPr>
              <w:t>AND</w:t>
            </w:r>
          </w:p>
        </w:tc>
      </w:tr>
      <w:tr w:rsidR="00AF5D1E" w:rsidRPr="00FA739A" w:rsidTr="00F80991">
        <w:tblPrEx>
          <w:tblCellMar>
            <w:top w:w="15" w:type="dxa"/>
            <w:left w:w="15" w:type="dxa"/>
            <w:bottom w:w="15" w:type="dxa"/>
            <w:right w:w="15" w:type="dxa"/>
          </w:tblCellMar>
          <w:tblLook w:val="04A0" w:firstRow="1" w:lastRow="0" w:firstColumn="1" w:lastColumn="0" w:noHBand="0" w:noVBand="1"/>
        </w:tblPrEx>
        <w:tc>
          <w:tcPr>
            <w:tcW w:w="1271" w:type="dxa"/>
            <w:vAlign w:val="center"/>
          </w:tcPr>
          <w:p w:rsidR="00AF5D1E" w:rsidRPr="00FA739A" w:rsidRDefault="00AF5D1E" w:rsidP="00AF5D1E">
            <w:pPr>
              <w:jc w:val="center"/>
              <w:rPr>
                <w:rFonts w:ascii="Arial Narrow" w:hAnsi="Arial Narrow"/>
                <w:color w:val="333333"/>
                <w:sz w:val="18"/>
                <w:szCs w:val="18"/>
              </w:rPr>
            </w:pPr>
          </w:p>
        </w:tc>
        <w:tc>
          <w:tcPr>
            <w:tcW w:w="7796" w:type="dxa"/>
            <w:gridSpan w:val="6"/>
            <w:vAlign w:val="center"/>
            <w:hideMark/>
          </w:tcPr>
          <w:p w:rsidR="00AF5D1E" w:rsidRPr="00FA739A" w:rsidRDefault="00AF5D1E" w:rsidP="00AF5D1E">
            <w:pPr>
              <w:ind w:left="57" w:right="57"/>
              <w:jc w:val="left"/>
              <w:rPr>
                <w:rFonts w:ascii="Arial Narrow" w:hAnsi="Arial Narrow"/>
                <w:color w:val="333333"/>
                <w:sz w:val="18"/>
                <w:szCs w:val="18"/>
              </w:rPr>
            </w:pPr>
            <w:r w:rsidRPr="00FA739A">
              <w:rPr>
                <w:rFonts w:ascii="Arial Narrow" w:hAnsi="Arial Narrow" w:cs="Arial"/>
                <w:b/>
                <w:bCs/>
                <w:snapToGrid w:val="0"/>
                <w:sz w:val="18"/>
                <w:szCs w:val="18"/>
              </w:rPr>
              <w:t>Clinical criteria:</w:t>
            </w:r>
          </w:p>
        </w:tc>
      </w:tr>
      <w:tr w:rsidR="00AF5D1E" w:rsidRPr="00FA739A" w:rsidTr="00F80991">
        <w:tblPrEx>
          <w:tblCellMar>
            <w:top w:w="15" w:type="dxa"/>
            <w:left w:w="15" w:type="dxa"/>
            <w:bottom w:w="15" w:type="dxa"/>
            <w:right w:w="15" w:type="dxa"/>
          </w:tblCellMar>
          <w:tblLook w:val="04A0" w:firstRow="1" w:lastRow="0" w:firstColumn="1" w:lastColumn="0" w:noHBand="0" w:noVBand="1"/>
        </w:tblPrEx>
        <w:tc>
          <w:tcPr>
            <w:tcW w:w="1271" w:type="dxa"/>
            <w:vAlign w:val="center"/>
          </w:tcPr>
          <w:p w:rsidR="00AF5D1E" w:rsidRPr="00FA739A" w:rsidRDefault="00AF5D1E" w:rsidP="00AF5D1E">
            <w:pPr>
              <w:jc w:val="center"/>
              <w:rPr>
                <w:rFonts w:ascii="Arial Narrow" w:hAnsi="Arial Narrow"/>
                <w:color w:val="333333"/>
                <w:sz w:val="18"/>
                <w:szCs w:val="18"/>
              </w:rPr>
            </w:pPr>
          </w:p>
        </w:tc>
        <w:tc>
          <w:tcPr>
            <w:tcW w:w="7796" w:type="dxa"/>
            <w:gridSpan w:val="6"/>
            <w:vAlign w:val="center"/>
            <w:hideMark/>
          </w:tcPr>
          <w:p w:rsidR="00AF5D1E" w:rsidRPr="00FA739A" w:rsidRDefault="00AF5D1E" w:rsidP="00AF5D1E">
            <w:pPr>
              <w:ind w:left="57" w:right="57"/>
              <w:jc w:val="left"/>
              <w:rPr>
                <w:rFonts w:ascii="Arial Narrow" w:hAnsi="Arial Narrow"/>
                <w:color w:val="333333"/>
                <w:sz w:val="18"/>
                <w:szCs w:val="18"/>
              </w:rPr>
            </w:pPr>
            <w:r w:rsidRPr="00FA739A">
              <w:rPr>
                <w:rFonts w:ascii="Arial Narrow" w:hAnsi="Arial Narrow" w:cs="Arial"/>
                <w:bCs/>
                <w:snapToGrid w:val="0"/>
                <w:sz w:val="18"/>
                <w:szCs w:val="18"/>
              </w:rPr>
              <w:t>The condition must be inoperable</w:t>
            </w:r>
          </w:p>
        </w:tc>
      </w:tr>
      <w:tr w:rsidR="00AF5D1E" w:rsidRPr="00FA739A" w:rsidTr="00F80991">
        <w:tblPrEx>
          <w:tblCellMar>
            <w:top w:w="15" w:type="dxa"/>
            <w:left w:w="15" w:type="dxa"/>
            <w:bottom w:w="15" w:type="dxa"/>
            <w:right w:w="15" w:type="dxa"/>
          </w:tblCellMar>
          <w:tblLook w:val="04A0" w:firstRow="1" w:lastRow="0" w:firstColumn="1" w:lastColumn="0" w:noHBand="0" w:noVBand="1"/>
        </w:tblPrEx>
        <w:tc>
          <w:tcPr>
            <w:tcW w:w="1271" w:type="dxa"/>
            <w:vAlign w:val="center"/>
          </w:tcPr>
          <w:p w:rsidR="00AF5D1E" w:rsidRPr="00FA739A" w:rsidRDefault="00AF5D1E" w:rsidP="00AF5D1E">
            <w:pPr>
              <w:jc w:val="center"/>
              <w:rPr>
                <w:rFonts w:ascii="Arial Narrow" w:hAnsi="Arial Narrow" w:cs="Arial"/>
                <w:bCs/>
                <w:snapToGrid w:val="0"/>
                <w:sz w:val="18"/>
                <w:szCs w:val="18"/>
              </w:rPr>
            </w:pPr>
          </w:p>
        </w:tc>
        <w:tc>
          <w:tcPr>
            <w:tcW w:w="7796" w:type="dxa"/>
            <w:gridSpan w:val="6"/>
            <w:vAlign w:val="center"/>
          </w:tcPr>
          <w:p w:rsidR="00AF5D1E" w:rsidRPr="00FA739A" w:rsidRDefault="00AF5D1E" w:rsidP="00AF5D1E">
            <w:pPr>
              <w:ind w:left="57" w:right="57"/>
              <w:jc w:val="left"/>
              <w:rPr>
                <w:rFonts w:ascii="Arial Narrow" w:hAnsi="Arial Narrow" w:cs="Arial"/>
                <w:b/>
                <w:bCs/>
                <w:snapToGrid w:val="0"/>
                <w:sz w:val="18"/>
                <w:szCs w:val="18"/>
              </w:rPr>
            </w:pPr>
            <w:r w:rsidRPr="00FA739A">
              <w:rPr>
                <w:rFonts w:ascii="Arial Narrow" w:hAnsi="Arial Narrow" w:cs="Arial"/>
                <w:b/>
                <w:bCs/>
                <w:snapToGrid w:val="0"/>
                <w:sz w:val="18"/>
                <w:szCs w:val="18"/>
              </w:rPr>
              <w:t>AND</w:t>
            </w:r>
          </w:p>
        </w:tc>
      </w:tr>
      <w:tr w:rsidR="00AF5D1E" w:rsidRPr="00FA739A" w:rsidTr="00F80991">
        <w:tblPrEx>
          <w:tblCellMar>
            <w:top w:w="15" w:type="dxa"/>
            <w:left w:w="15" w:type="dxa"/>
            <w:bottom w:w="15" w:type="dxa"/>
            <w:right w:w="15" w:type="dxa"/>
          </w:tblCellMar>
          <w:tblLook w:val="04A0" w:firstRow="1" w:lastRow="0" w:firstColumn="1" w:lastColumn="0" w:noHBand="0" w:noVBand="1"/>
        </w:tblPrEx>
        <w:tc>
          <w:tcPr>
            <w:tcW w:w="1271" w:type="dxa"/>
            <w:vAlign w:val="center"/>
          </w:tcPr>
          <w:p w:rsidR="00AF5D1E" w:rsidRPr="00FA739A" w:rsidRDefault="00AF5D1E" w:rsidP="00AF5D1E">
            <w:pPr>
              <w:jc w:val="center"/>
              <w:rPr>
                <w:rFonts w:ascii="Arial Narrow" w:hAnsi="Arial Narrow"/>
                <w:color w:val="333333"/>
                <w:sz w:val="18"/>
                <w:szCs w:val="18"/>
              </w:rPr>
            </w:pPr>
          </w:p>
        </w:tc>
        <w:tc>
          <w:tcPr>
            <w:tcW w:w="7796" w:type="dxa"/>
            <w:gridSpan w:val="6"/>
            <w:vAlign w:val="center"/>
            <w:hideMark/>
          </w:tcPr>
          <w:p w:rsidR="00AF5D1E" w:rsidRPr="00FA739A" w:rsidRDefault="00AF5D1E" w:rsidP="00AF5D1E">
            <w:pPr>
              <w:ind w:left="57" w:right="57"/>
              <w:jc w:val="left"/>
              <w:rPr>
                <w:rFonts w:ascii="Arial Narrow" w:hAnsi="Arial Narrow"/>
                <w:color w:val="333333"/>
                <w:sz w:val="18"/>
                <w:szCs w:val="18"/>
              </w:rPr>
            </w:pPr>
            <w:r w:rsidRPr="00FA739A">
              <w:rPr>
                <w:rFonts w:ascii="Arial Narrow" w:hAnsi="Arial Narrow"/>
                <w:b/>
                <w:bCs/>
                <w:color w:val="333333"/>
                <w:sz w:val="18"/>
                <w:szCs w:val="18"/>
              </w:rPr>
              <w:t>Population criteria:</w:t>
            </w:r>
          </w:p>
        </w:tc>
      </w:tr>
      <w:tr w:rsidR="00AF5D1E" w:rsidRPr="00FA739A" w:rsidTr="00F80991">
        <w:tblPrEx>
          <w:tblCellMar>
            <w:top w:w="15" w:type="dxa"/>
            <w:left w:w="15" w:type="dxa"/>
            <w:bottom w:w="15" w:type="dxa"/>
            <w:right w:w="15" w:type="dxa"/>
          </w:tblCellMar>
          <w:tblLook w:val="04A0" w:firstRow="1" w:lastRow="0" w:firstColumn="1" w:lastColumn="0" w:noHBand="0" w:noVBand="1"/>
        </w:tblPrEx>
        <w:tc>
          <w:tcPr>
            <w:tcW w:w="1271" w:type="dxa"/>
            <w:vAlign w:val="center"/>
          </w:tcPr>
          <w:p w:rsidR="00AF5D1E" w:rsidRPr="00FA739A" w:rsidRDefault="00AF5D1E" w:rsidP="00AF5D1E">
            <w:pPr>
              <w:jc w:val="center"/>
              <w:rPr>
                <w:rFonts w:ascii="Arial Narrow" w:hAnsi="Arial Narrow"/>
                <w:color w:val="333333"/>
                <w:sz w:val="18"/>
                <w:szCs w:val="18"/>
              </w:rPr>
            </w:pPr>
          </w:p>
        </w:tc>
        <w:tc>
          <w:tcPr>
            <w:tcW w:w="7796" w:type="dxa"/>
            <w:gridSpan w:val="6"/>
            <w:vAlign w:val="center"/>
          </w:tcPr>
          <w:p w:rsidR="00AF5D1E" w:rsidRPr="00FA739A" w:rsidRDefault="00AF5D1E" w:rsidP="00AF5D1E">
            <w:pPr>
              <w:ind w:left="57" w:right="57"/>
              <w:jc w:val="left"/>
              <w:rPr>
                <w:rFonts w:ascii="Arial Narrow" w:hAnsi="Arial Narrow"/>
                <w:color w:val="333333"/>
                <w:sz w:val="18"/>
                <w:szCs w:val="18"/>
              </w:rPr>
            </w:pPr>
            <w:r w:rsidRPr="00FA739A">
              <w:rPr>
                <w:rFonts w:ascii="Arial Narrow" w:hAnsi="Arial Narrow" w:cs="Arial"/>
                <w:bCs/>
                <w:snapToGrid w:val="0"/>
                <w:sz w:val="18"/>
                <w:szCs w:val="18"/>
              </w:rPr>
              <w:t>Patient must not be premenopausal</w:t>
            </w:r>
          </w:p>
        </w:tc>
      </w:tr>
      <w:tr w:rsidR="00AF5D1E" w:rsidRPr="00FA739A" w:rsidTr="00F80991">
        <w:tblPrEx>
          <w:tblCellMar>
            <w:top w:w="15" w:type="dxa"/>
            <w:left w:w="15" w:type="dxa"/>
            <w:bottom w:w="15" w:type="dxa"/>
            <w:right w:w="15" w:type="dxa"/>
          </w:tblCellMar>
          <w:tblLook w:val="04A0" w:firstRow="1" w:lastRow="0" w:firstColumn="1" w:lastColumn="0" w:noHBand="0" w:noVBand="1"/>
        </w:tblPrEx>
        <w:tc>
          <w:tcPr>
            <w:tcW w:w="1271" w:type="dxa"/>
            <w:vAlign w:val="center"/>
          </w:tcPr>
          <w:p w:rsidR="00AF5D1E" w:rsidRPr="00FA739A" w:rsidRDefault="00AF5D1E" w:rsidP="00AF5D1E">
            <w:pPr>
              <w:jc w:val="center"/>
              <w:rPr>
                <w:rFonts w:ascii="Arial Narrow" w:hAnsi="Arial Narrow" w:cs="Arial"/>
                <w:bCs/>
                <w:snapToGrid w:val="0"/>
                <w:sz w:val="18"/>
                <w:szCs w:val="18"/>
              </w:rPr>
            </w:pPr>
          </w:p>
        </w:tc>
        <w:tc>
          <w:tcPr>
            <w:tcW w:w="7796" w:type="dxa"/>
            <w:gridSpan w:val="6"/>
            <w:vAlign w:val="center"/>
          </w:tcPr>
          <w:p w:rsidR="00AF5D1E" w:rsidRPr="00FA739A" w:rsidRDefault="00AF5D1E" w:rsidP="00AF5D1E">
            <w:pPr>
              <w:ind w:left="57" w:right="57"/>
              <w:jc w:val="left"/>
              <w:rPr>
                <w:rFonts w:ascii="Arial Narrow" w:hAnsi="Arial Narrow" w:cs="Arial"/>
                <w:b/>
                <w:bCs/>
                <w:snapToGrid w:val="0"/>
                <w:sz w:val="18"/>
                <w:szCs w:val="18"/>
              </w:rPr>
            </w:pPr>
            <w:r w:rsidRPr="00FA739A">
              <w:rPr>
                <w:rFonts w:ascii="Arial Narrow" w:hAnsi="Arial Narrow" w:cs="Arial"/>
                <w:b/>
                <w:bCs/>
                <w:snapToGrid w:val="0"/>
                <w:sz w:val="18"/>
                <w:szCs w:val="18"/>
              </w:rPr>
              <w:t>Prescriber Instructions:</w:t>
            </w:r>
          </w:p>
          <w:p w:rsidR="00AF5D1E" w:rsidRPr="00FA739A" w:rsidRDefault="00AF5D1E" w:rsidP="00AF5D1E">
            <w:pPr>
              <w:ind w:left="57" w:right="57"/>
              <w:jc w:val="left"/>
              <w:rPr>
                <w:rFonts w:ascii="Arial Narrow" w:hAnsi="Arial Narrow" w:cs="Arial"/>
                <w:bCs/>
                <w:snapToGrid w:val="0"/>
                <w:sz w:val="18"/>
                <w:szCs w:val="18"/>
              </w:rPr>
            </w:pPr>
            <w:r w:rsidRPr="00FA739A">
              <w:rPr>
                <w:rFonts w:ascii="Arial Narrow" w:hAnsi="Arial Narrow" w:cs="Arial"/>
                <w:bCs/>
                <w:snapToGrid w:val="0"/>
                <w:sz w:val="18"/>
                <w:szCs w:val="18"/>
              </w:rPr>
              <w:t>A patient who has progressive disease when treated with this drug is no longer eligible for PBS-subsidised treatment with this drug.</w:t>
            </w:r>
          </w:p>
        </w:tc>
      </w:tr>
    </w:tbl>
    <w:p w:rsidR="006350CC" w:rsidRPr="00FA739A" w:rsidRDefault="006350CC" w:rsidP="00542598">
      <w:pPr>
        <w:pStyle w:val="TableFooter"/>
      </w:pPr>
    </w:p>
    <w:p w:rsidR="006350CC" w:rsidRPr="00FA739A" w:rsidRDefault="006350CC" w:rsidP="00542598">
      <w:pPr>
        <w:pStyle w:val="TableFooter"/>
      </w:pPr>
    </w:p>
    <w:p w:rsidR="00EA252F" w:rsidRDefault="00322A93" w:rsidP="00DC4715">
      <w:pPr>
        <w:rPr>
          <w:b/>
          <w:i/>
        </w:rPr>
      </w:pPr>
      <w:r w:rsidRPr="00322A93">
        <w:rPr>
          <w:b/>
          <w:i/>
        </w:rPr>
        <w:t>These restrictions may be subject to further review. Should there be any changes made to the restriction the Sponsor will be informed.</w:t>
      </w:r>
    </w:p>
    <w:p w:rsidR="00D72217" w:rsidRPr="003D0B82" w:rsidRDefault="00D72217" w:rsidP="00D72217">
      <w:pPr>
        <w:pStyle w:val="2-SectionHeading"/>
      </w:pPr>
      <w:r w:rsidRPr="00C07617">
        <w:t>Context for Decision</w:t>
      </w:r>
    </w:p>
    <w:p w:rsidR="00D72217" w:rsidRPr="007129F2" w:rsidRDefault="00D72217" w:rsidP="00D72217">
      <w:pPr>
        <w:spacing w:after="120"/>
        <w:ind w:left="709"/>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D72217" w:rsidRPr="003D0B82" w:rsidRDefault="00D72217" w:rsidP="00D72217">
      <w:pPr>
        <w:pStyle w:val="2-SectionHeading"/>
      </w:pPr>
      <w:r w:rsidRPr="00C07617" w:rsidDel="007129F2">
        <w:t xml:space="preserve"> </w:t>
      </w:r>
      <w:r>
        <w:t>Sponsor’s Comment</w:t>
      </w:r>
    </w:p>
    <w:p w:rsidR="00D72217" w:rsidRPr="00322A93" w:rsidRDefault="003515C0" w:rsidP="00DC4715">
      <w:pPr>
        <w:rPr>
          <w:b/>
          <w:i/>
        </w:rPr>
      </w:pPr>
      <w:r w:rsidRPr="003515C0">
        <w:rPr>
          <w:rFonts w:asciiTheme="minorHAnsi" w:hAnsiTheme="minorHAnsi"/>
          <w:bCs/>
          <w:lang w:val="en-GB"/>
        </w:rPr>
        <w:t>Novartis welcomes the PBAC’s decision to recommend ribociclib in combination with fulvestrant for the treatment of patients with HR+ and HER2-, advanced/metastatic breast cancer</w:t>
      </w:r>
      <w:r>
        <w:rPr>
          <w:rFonts w:asciiTheme="minorHAnsi" w:hAnsiTheme="minorHAnsi"/>
          <w:bCs/>
          <w:lang w:val="en-GB"/>
        </w:rPr>
        <w:t>.</w:t>
      </w:r>
      <w:r w:rsidRPr="003515C0" w:rsidDel="003515C0">
        <w:rPr>
          <w:rFonts w:asciiTheme="minorHAnsi" w:hAnsiTheme="minorHAnsi"/>
          <w:bCs/>
          <w:highlight w:val="yellow"/>
          <w:lang w:val="en-GB"/>
        </w:rPr>
        <w:t xml:space="preserve"> </w:t>
      </w:r>
    </w:p>
    <w:sectPr w:rsidR="00D72217" w:rsidRPr="00322A93" w:rsidSect="00C27B58">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6394" w16cex:dateUtc="2020-11-20T04:47:00Z"/>
  <w16cex:commentExtensible w16cex:durableId="23668750" w16cex:dateUtc="2020-11-23T08:09:00Z"/>
  <w16cex:commentExtensible w16cex:durableId="23668706" w16cex:dateUtc="2020-11-23T08:07:00Z"/>
  <w16cex:commentExtensible w16cex:durableId="236687FF" w16cex:dateUtc="2020-11-23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330E76" w16cid:durableId="23626394"/>
  <w16cid:commentId w16cid:paraId="169F1BD0" w16cid:durableId="23668750"/>
  <w16cid:commentId w16cid:paraId="1F2FF2F4" w16cid:durableId="23668706"/>
  <w16cid:commentId w16cid:paraId="053788E5" w16cid:durableId="236687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7D1" w:rsidRDefault="004C37D1">
      <w:r>
        <w:separator/>
      </w:r>
    </w:p>
    <w:p w:rsidR="004C37D1" w:rsidRDefault="004C37D1"/>
  </w:endnote>
  <w:endnote w:type="continuationSeparator" w:id="0">
    <w:p w:rsidR="004C37D1" w:rsidRDefault="004C37D1">
      <w:r>
        <w:continuationSeparator/>
      </w:r>
    </w:p>
    <w:p w:rsidR="004C37D1" w:rsidRDefault="004C3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4C37D1" w:rsidTr="005A3173">
      <w:trPr>
        <w:trHeight w:val="151"/>
      </w:trPr>
      <w:tc>
        <w:tcPr>
          <w:tcW w:w="2250" w:type="pct"/>
          <w:tcBorders>
            <w:top w:val="nil"/>
            <w:left w:val="nil"/>
            <w:bottom w:val="single" w:sz="4" w:space="0" w:color="4F81BD"/>
            <w:right w:val="nil"/>
          </w:tcBorders>
        </w:tcPr>
        <w:p w:rsidR="004C37D1" w:rsidRPr="005A3173" w:rsidRDefault="004C37D1" w:rsidP="005A3173">
          <w:pPr>
            <w:pStyle w:val="Header"/>
            <w:spacing w:line="276" w:lineRule="auto"/>
            <w:rPr>
              <w:rFonts w:eastAsia="MS Gothic"/>
              <w:b/>
              <w:bCs/>
              <w:color w:val="4F81BD"/>
            </w:rPr>
          </w:pPr>
        </w:p>
      </w:tc>
      <w:tc>
        <w:tcPr>
          <w:tcW w:w="500" w:type="pct"/>
          <w:vMerge w:val="restart"/>
          <w:noWrap/>
          <w:vAlign w:val="center"/>
          <w:hideMark/>
        </w:tcPr>
        <w:p w:rsidR="004C37D1" w:rsidRPr="005A3173" w:rsidRDefault="004C37D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C37D1" w:rsidRPr="005A3173" w:rsidRDefault="004C37D1" w:rsidP="005A3173">
          <w:pPr>
            <w:pStyle w:val="Header"/>
            <w:spacing w:line="276" w:lineRule="auto"/>
            <w:rPr>
              <w:rFonts w:eastAsia="MS Gothic"/>
              <w:b/>
              <w:bCs/>
              <w:color w:val="4F81BD"/>
            </w:rPr>
          </w:pPr>
        </w:p>
      </w:tc>
    </w:tr>
    <w:tr w:rsidR="004C37D1" w:rsidTr="005A3173">
      <w:trPr>
        <w:trHeight w:val="150"/>
      </w:trPr>
      <w:tc>
        <w:tcPr>
          <w:tcW w:w="2250" w:type="pct"/>
          <w:tcBorders>
            <w:top w:val="single" w:sz="4" w:space="0" w:color="4F81BD"/>
            <w:left w:val="nil"/>
            <w:bottom w:val="nil"/>
            <w:right w:val="nil"/>
          </w:tcBorders>
        </w:tcPr>
        <w:p w:rsidR="004C37D1" w:rsidRPr="005A3173" w:rsidRDefault="004C37D1" w:rsidP="005A3173">
          <w:pPr>
            <w:pStyle w:val="Header"/>
            <w:spacing w:line="276" w:lineRule="auto"/>
            <w:rPr>
              <w:rFonts w:eastAsia="MS Gothic"/>
              <w:b/>
              <w:bCs/>
              <w:color w:val="4F81BD"/>
            </w:rPr>
          </w:pPr>
        </w:p>
      </w:tc>
      <w:tc>
        <w:tcPr>
          <w:tcW w:w="0" w:type="auto"/>
          <w:vMerge/>
          <w:vAlign w:val="center"/>
          <w:hideMark/>
        </w:tcPr>
        <w:p w:rsidR="004C37D1" w:rsidRPr="005A3173" w:rsidRDefault="004C37D1" w:rsidP="005A3173">
          <w:pPr>
            <w:rPr>
              <w:color w:val="365F91"/>
              <w:sz w:val="22"/>
              <w:szCs w:val="22"/>
            </w:rPr>
          </w:pPr>
        </w:p>
      </w:tc>
      <w:tc>
        <w:tcPr>
          <w:tcW w:w="2250" w:type="pct"/>
          <w:tcBorders>
            <w:top w:val="single" w:sz="4" w:space="0" w:color="4F81BD"/>
            <w:left w:val="nil"/>
            <w:bottom w:val="nil"/>
            <w:right w:val="nil"/>
          </w:tcBorders>
        </w:tcPr>
        <w:p w:rsidR="004C37D1" w:rsidRPr="005A3173" w:rsidRDefault="004C37D1" w:rsidP="005A3173">
          <w:pPr>
            <w:pStyle w:val="Header"/>
            <w:spacing w:line="276" w:lineRule="auto"/>
            <w:rPr>
              <w:rFonts w:eastAsia="MS Gothic"/>
              <w:b/>
              <w:bCs/>
              <w:color w:val="4F81BD"/>
            </w:rPr>
          </w:pPr>
        </w:p>
      </w:tc>
    </w:tr>
  </w:tbl>
  <w:p w:rsidR="004C37D1" w:rsidRDefault="004C37D1"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37D1" w:rsidRDefault="004C37D1">
    <w:pPr>
      <w:pStyle w:val="Footer"/>
    </w:pPr>
  </w:p>
  <w:p w:rsidR="004C37D1" w:rsidRDefault="004C37D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7D1" w:rsidRDefault="004C37D1" w:rsidP="00E27234">
    <w:pPr>
      <w:pStyle w:val="PBACFooter"/>
      <w:rPr>
        <w:rFonts w:asciiTheme="minorHAnsi" w:hAnsiTheme="minorHAnsi" w:cstheme="minorHAnsi"/>
        <w:sz w:val="24"/>
      </w:rPr>
    </w:pPr>
  </w:p>
  <w:p w:rsidR="004C37D1" w:rsidRDefault="004C37D1" w:rsidP="00E27234">
    <w:pPr>
      <w:pStyle w:val="PBACFooter"/>
      <w:rPr>
        <w:rFonts w:asciiTheme="minorHAnsi" w:hAnsiTheme="minorHAnsi" w:cstheme="minorHAnsi"/>
        <w:sz w:val="24"/>
      </w:rPr>
    </w:pPr>
    <w:r w:rsidRPr="00DC4715">
      <w:rPr>
        <w:rFonts w:asciiTheme="minorHAnsi" w:hAnsiTheme="minorHAnsi" w:cstheme="minorHAnsi"/>
        <w:sz w:val="24"/>
      </w:rPr>
      <w:fldChar w:fldCharType="begin"/>
    </w:r>
    <w:r w:rsidRPr="00DC4715">
      <w:rPr>
        <w:rFonts w:asciiTheme="minorHAnsi" w:hAnsiTheme="minorHAnsi" w:cstheme="minorHAnsi"/>
        <w:sz w:val="24"/>
      </w:rPr>
      <w:instrText xml:space="preserve"> PAGE   \* MERGEFORMAT </w:instrText>
    </w:r>
    <w:r w:rsidRPr="00DC4715">
      <w:rPr>
        <w:rFonts w:asciiTheme="minorHAnsi" w:hAnsiTheme="minorHAnsi" w:cstheme="minorHAnsi"/>
        <w:sz w:val="24"/>
      </w:rPr>
      <w:fldChar w:fldCharType="separate"/>
    </w:r>
    <w:r w:rsidR="00980405">
      <w:rPr>
        <w:rFonts w:asciiTheme="minorHAnsi" w:hAnsiTheme="minorHAnsi" w:cstheme="minorHAnsi"/>
        <w:noProof/>
        <w:sz w:val="24"/>
      </w:rPr>
      <w:t>30</w:t>
    </w:r>
    <w:r w:rsidRPr="00DC4715">
      <w:rPr>
        <w:rFonts w:asciiTheme="minorHAnsi" w:hAnsiTheme="minorHAnsi" w:cstheme="minorHAnsi"/>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4C37D1" w:rsidTr="005A3173">
      <w:trPr>
        <w:trHeight w:val="151"/>
      </w:trPr>
      <w:tc>
        <w:tcPr>
          <w:tcW w:w="2250" w:type="pct"/>
          <w:tcBorders>
            <w:top w:val="nil"/>
            <w:left w:val="nil"/>
            <w:bottom w:val="single" w:sz="4" w:space="0" w:color="4F81BD"/>
            <w:right w:val="nil"/>
          </w:tcBorders>
        </w:tcPr>
        <w:p w:rsidR="004C37D1" w:rsidRPr="005A3173" w:rsidRDefault="004C37D1" w:rsidP="005A3173">
          <w:pPr>
            <w:pStyle w:val="Header"/>
            <w:spacing w:line="276" w:lineRule="auto"/>
            <w:rPr>
              <w:rFonts w:eastAsia="MS Gothic"/>
              <w:b/>
              <w:bCs/>
              <w:color w:val="4F81BD"/>
            </w:rPr>
          </w:pPr>
        </w:p>
      </w:tc>
      <w:tc>
        <w:tcPr>
          <w:tcW w:w="500" w:type="pct"/>
          <w:vMerge w:val="restart"/>
          <w:noWrap/>
          <w:vAlign w:val="center"/>
          <w:hideMark/>
        </w:tcPr>
        <w:p w:rsidR="004C37D1" w:rsidRPr="005A3173" w:rsidRDefault="004C37D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C37D1" w:rsidRPr="005A3173" w:rsidRDefault="004C37D1" w:rsidP="005A3173">
          <w:pPr>
            <w:pStyle w:val="Header"/>
            <w:spacing w:line="276" w:lineRule="auto"/>
            <w:rPr>
              <w:rFonts w:eastAsia="MS Gothic"/>
              <w:b/>
              <w:bCs/>
              <w:color w:val="4F81BD"/>
            </w:rPr>
          </w:pPr>
        </w:p>
      </w:tc>
    </w:tr>
    <w:tr w:rsidR="004C37D1" w:rsidTr="005A3173">
      <w:trPr>
        <w:trHeight w:val="150"/>
      </w:trPr>
      <w:tc>
        <w:tcPr>
          <w:tcW w:w="2250" w:type="pct"/>
          <w:tcBorders>
            <w:top w:val="single" w:sz="4" w:space="0" w:color="4F81BD"/>
            <w:left w:val="nil"/>
            <w:bottom w:val="nil"/>
            <w:right w:val="nil"/>
          </w:tcBorders>
        </w:tcPr>
        <w:p w:rsidR="004C37D1" w:rsidRPr="005A3173" w:rsidRDefault="004C37D1" w:rsidP="005A3173">
          <w:pPr>
            <w:pStyle w:val="Header"/>
            <w:spacing w:line="276" w:lineRule="auto"/>
            <w:rPr>
              <w:rFonts w:eastAsia="MS Gothic"/>
              <w:b/>
              <w:bCs/>
              <w:color w:val="4F81BD"/>
            </w:rPr>
          </w:pPr>
        </w:p>
      </w:tc>
      <w:tc>
        <w:tcPr>
          <w:tcW w:w="0" w:type="auto"/>
          <w:vMerge/>
          <w:vAlign w:val="center"/>
          <w:hideMark/>
        </w:tcPr>
        <w:p w:rsidR="004C37D1" w:rsidRPr="005A3173" w:rsidRDefault="004C37D1" w:rsidP="005A3173">
          <w:pPr>
            <w:rPr>
              <w:color w:val="365F91"/>
              <w:sz w:val="22"/>
              <w:szCs w:val="22"/>
            </w:rPr>
          </w:pPr>
        </w:p>
      </w:tc>
      <w:tc>
        <w:tcPr>
          <w:tcW w:w="2250" w:type="pct"/>
          <w:tcBorders>
            <w:top w:val="single" w:sz="4" w:space="0" w:color="4F81BD"/>
            <w:left w:val="nil"/>
            <w:bottom w:val="nil"/>
            <w:right w:val="nil"/>
          </w:tcBorders>
        </w:tcPr>
        <w:p w:rsidR="004C37D1" w:rsidRPr="005A3173" w:rsidRDefault="004C37D1"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4C37D1" w:rsidTr="005A3173">
      <w:trPr>
        <w:trHeight w:val="151"/>
      </w:trPr>
      <w:tc>
        <w:tcPr>
          <w:tcW w:w="2250" w:type="pct"/>
          <w:tcBorders>
            <w:top w:val="nil"/>
            <w:left w:val="nil"/>
            <w:bottom w:val="single" w:sz="4" w:space="0" w:color="4F81BD"/>
            <w:right w:val="nil"/>
          </w:tcBorders>
        </w:tcPr>
        <w:p w:rsidR="004C37D1" w:rsidRPr="005A3173" w:rsidRDefault="004C37D1" w:rsidP="005A3173">
          <w:pPr>
            <w:pStyle w:val="Header"/>
            <w:spacing w:line="276" w:lineRule="auto"/>
            <w:rPr>
              <w:rFonts w:eastAsia="MS Gothic"/>
              <w:b/>
              <w:bCs/>
              <w:color w:val="4F81BD"/>
            </w:rPr>
          </w:pPr>
        </w:p>
      </w:tc>
      <w:tc>
        <w:tcPr>
          <w:tcW w:w="500" w:type="pct"/>
          <w:vMerge w:val="restart"/>
          <w:noWrap/>
          <w:vAlign w:val="center"/>
          <w:hideMark/>
        </w:tcPr>
        <w:p w:rsidR="004C37D1" w:rsidRPr="005A3173" w:rsidRDefault="004C37D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C37D1" w:rsidRPr="005A3173" w:rsidRDefault="004C37D1" w:rsidP="005A3173">
          <w:pPr>
            <w:pStyle w:val="Header"/>
            <w:spacing w:line="276" w:lineRule="auto"/>
            <w:rPr>
              <w:rFonts w:eastAsia="MS Gothic"/>
              <w:b/>
              <w:bCs/>
              <w:color w:val="4F81BD"/>
            </w:rPr>
          </w:pPr>
        </w:p>
      </w:tc>
    </w:tr>
    <w:tr w:rsidR="004C37D1" w:rsidTr="005A3173">
      <w:trPr>
        <w:trHeight w:val="150"/>
      </w:trPr>
      <w:tc>
        <w:tcPr>
          <w:tcW w:w="2250" w:type="pct"/>
          <w:tcBorders>
            <w:top w:val="single" w:sz="4" w:space="0" w:color="4F81BD"/>
            <w:left w:val="nil"/>
            <w:bottom w:val="nil"/>
            <w:right w:val="nil"/>
          </w:tcBorders>
        </w:tcPr>
        <w:p w:rsidR="004C37D1" w:rsidRPr="005A3173" w:rsidRDefault="004C37D1" w:rsidP="005A3173">
          <w:pPr>
            <w:pStyle w:val="Header"/>
            <w:spacing w:line="276" w:lineRule="auto"/>
            <w:rPr>
              <w:rFonts w:eastAsia="MS Gothic"/>
              <w:b/>
              <w:bCs/>
              <w:color w:val="4F81BD"/>
            </w:rPr>
          </w:pPr>
        </w:p>
      </w:tc>
      <w:tc>
        <w:tcPr>
          <w:tcW w:w="0" w:type="auto"/>
          <w:vMerge/>
          <w:vAlign w:val="center"/>
          <w:hideMark/>
        </w:tcPr>
        <w:p w:rsidR="004C37D1" w:rsidRPr="005A3173" w:rsidRDefault="004C37D1" w:rsidP="005A3173">
          <w:pPr>
            <w:rPr>
              <w:color w:val="365F91"/>
              <w:sz w:val="22"/>
              <w:szCs w:val="22"/>
            </w:rPr>
          </w:pPr>
        </w:p>
      </w:tc>
      <w:tc>
        <w:tcPr>
          <w:tcW w:w="2250" w:type="pct"/>
          <w:tcBorders>
            <w:top w:val="single" w:sz="4" w:space="0" w:color="4F81BD"/>
            <w:left w:val="nil"/>
            <w:bottom w:val="nil"/>
            <w:right w:val="nil"/>
          </w:tcBorders>
        </w:tcPr>
        <w:p w:rsidR="004C37D1" w:rsidRPr="005A3173" w:rsidRDefault="004C37D1" w:rsidP="005A3173">
          <w:pPr>
            <w:pStyle w:val="Header"/>
            <w:spacing w:line="276" w:lineRule="auto"/>
            <w:rPr>
              <w:rFonts w:eastAsia="MS Gothic"/>
              <w:b/>
              <w:bCs/>
              <w:color w:val="4F81BD"/>
            </w:rPr>
          </w:pPr>
        </w:p>
      </w:tc>
    </w:tr>
  </w:tbl>
  <w:p w:rsidR="004C37D1" w:rsidRPr="007C0F57" w:rsidRDefault="004C37D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rsidR="004C37D1" w:rsidRPr="007C0F57" w:rsidRDefault="004C37D1" w:rsidP="007C0F57">
    <w:pPr>
      <w:pStyle w:val="Footer"/>
      <w:jc w:val="center"/>
      <w:rPr>
        <w:b/>
        <w:i/>
        <w:sz w:val="20"/>
        <w:szCs w:val="20"/>
      </w:rPr>
    </w:pPr>
    <w:r w:rsidRPr="007C0F57">
      <w:rPr>
        <w:b/>
        <w:i/>
        <w:sz w:val="20"/>
        <w:szCs w:val="20"/>
      </w:rPr>
      <w:t>Commercial-in-Confidence</w:t>
    </w:r>
  </w:p>
  <w:p w:rsidR="004C37D1" w:rsidRDefault="004C37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7D1" w:rsidRDefault="004C37D1">
      <w:r>
        <w:separator/>
      </w:r>
    </w:p>
    <w:p w:rsidR="004C37D1" w:rsidRDefault="004C37D1"/>
  </w:footnote>
  <w:footnote w:type="continuationSeparator" w:id="0">
    <w:p w:rsidR="004C37D1" w:rsidRDefault="004C37D1">
      <w:r>
        <w:continuationSeparator/>
      </w:r>
    </w:p>
    <w:p w:rsidR="004C37D1" w:rsidRDefault="004C37D1"/>
  </w:footnote>
  <w:footnote w:id="1">
    <w:p w:rsidR="004C37D1" w:rsidRDefault="004C37D1">
      <w:pPr>
        <w:pStyle w:val="FootnoteText"/>
      </w:pPr>
      <w:r>
        <w:rPr>
          <w:rStyle w:val="FootnoteReference"/>
        </w:rPr>
        <w:footnoteRef/>
      </w:r>
      <w:r>
        <w:t xml:space="preserve"> </w:t>
      </w:r>
      <w:r w:rsidRPr="00550CE2">
        <w:rPr>
          <w:snapToGrid w:val="0"/>
        </w:rPr>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4C37D1" w:rsidRPr="008E0D90" w:rsidTr="00A06225">
      <w:trPr>
        <w:trHeight w:val="151"/>
      </w:trPr>
      <w:tc>
        <w:tcPr>
          <w:tcW w:w="2389" w:type="pct"/>
          <w:tcBorders>
            <w:top w:val="nil"/>
            <w:left w:val="nil"/>
            <w:bottom w:val="single" w:sz="4" w:space="0" w:color="4F81BD"/>
            <w:right w:val="nil"/>
          </w:tcBorders>
        </w:tcPr>
        <w:p w:rsidR="004C37D1" w:rsidRPr="00A06225" w:rsidRDefault="004C37D1">
          <w:pPr>
            <w:pStyle w:val="Header"/>
            <w:spacing w:line="276" w:lineRule="auto"/>
            <w:rPr>
              <w:rFonts w:ascii="Cambria" w:eastAsia="MS Gothic" w:hAnsi="Cambria"/>
              <w:b/>
              <w:bCs/>
              <w:color w:val="4F81BD"/>
            </w:rPr>
          </w:pPr>
        </w:p>
      </w:tc>
      <w:tc>
        <w:tcPr>
          <w:tcW w:w="333" w:type="pct"/>
          <w:vMerge w:val="restart"/>
          <w:noWrap/>
          <w:vAlign w:val="center"/>
          <w:hideMark/>
        </w:tcPr>
        <w:p w:rsidR="004C37D1" w:rsidRPr="00A06225" w:rsidRDefault="004C37D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C37D1" w:rsidRPr="00A06225" w:rsidRDefault="004C37D1">
          <w:pPr>
            <w:pStyle w:val="Header"/>
            <w:spacing w:line="276" w:lineRule="auto"/>
            <w:rPr>
              <w:rFonts w:ascii="Cambria" w:eastAsia="MS Gothic" w:hAnsi="Cambria"/>
              <w:b/>
              <w:bCs/>
              <w:color w:val="4F81BD"/>
            </w:rPr>
          </w:pPr>
        </w:p>
      </w:tc>
    </w:tr>
    <w:tr w:rsidR="004C37D1" w:rsidRPr="008E0D90" w:rsidTr="00A06225">
      <w:trPr>
        <w:trHeight w:val="150"/>
      </w:trPr>
      <w:tc>
        <w:tcPr>
          <w:tcW w:w="2389" w:type="pct"/>
          <w:tcBorders>
            <w:top w:val="single" w:sz="4" w:space="0" w:color="4F81BD"/>
            <w:left w:val="nil"/>
            <w:bottom w:val="nil"/>
            <w:right w:val="nil"/>
          </w:tcBorders>
        </w:tcPr>
        <w:p w:rsidR="004C37D1" w:rsidRPr="00A06225" w:rsidRDefault="004C37D1">
          <w:pPr>
            <w:pStyle w:val="Header"/>
            <w:spacing w:line="276" w:lineRule="auto"/>
            <w:rPr>
              <w:rFonts w:ascii="Cambria" w:eastAsia="MS Gothic" w:hAnsi="Cambria"/>
              <w:b/>
              <w:bCs/>
              <w:color w:val="4F81BD"/>
            </w:rPr>
          </w:pPr>
        </w:p>
      </w:tc>
      <w:tc>
        <w:tcPr>
          <w:tcW w:w="0" w:type="auto"/>
          <w:vMerge/>
          <w:vAlign w:val="center"/>
          <w:hideMark/>
        </w:tcPr>
        <w:p w:rsidR="004C37D1" w:rsidRPr="00A06225" w:rsidRDefault="004C37D1">
          <w:pPr>
            <w:rPr>
              <w:rFonts w:ascii="Cambria" w:hAnsi="Cambria"/>
              <w:color w:val="4F81BD"/>
              <w:sz w:val="22"/>
              <w:szCs w:val="22"/>
            </w:rPr>
          </w:pPr>
        </w:p>
      </w:tc>
      <w:tc>
        <w:tcPr>
          <w:tcW w:w="2278" w:type="pct"/>
          <w:tcBorders>
            <w:top w:val="single" w:sz="4" w:space="0" w:color="4F81BD"/>
            <w:left w:val="nil"/>
            <w:bottom w:val="nil"/>
            <w:right w:val="nil"/>
          </w:tcBorders>
        </w:tcPr>
        <w:p w:rsidR="004C37D1" w:rsidRPr="00A06225" w:rsidRDefault="004C37D1">
          <w:pPr>
            <w:pStyle w:val="Header"/>
            <w:spacing w:line="276" w:lineRule="auto"/>
            <w:rPr>
              <w:rFonts w:ascii="Cambria" w:eastAsia="MS Gothic" w:hAnsi="Cambria"/>
              <w:b/>
              <w:bCs/>
              <w:color w:val="4F81BD"/>
            </w:rPr>
          </w:pPr>
        </w:p>
      </w:tc>
    </w:tr>
  </w:tbl>
  <w:p w:rsidR="004C37D1" w:rsidRDefault="004C37D1">
    <w:pPr>
      <w:pStyle w:val="Header"/>
    </w:pPr>
  </w:p>
  <w:p w:rsidR="004C37D1" w:rsidRDefault="004C37D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7D1" w:rsidRPr="00DC4715" w:rsidRDefault="004C37D1" w:rsidP="00DC4715">
    <w:pPr>
      <w:pStyle w:val="NoSpacing"/>
      <w:jc w:val="center"/>
      <w:rPr>
        <w:rFonts w:asciiTheme="minorHAnsi" w:hAnsiTheme="minorHAnsi" w:cstheme="minorHAnsi"/>
        <w:i/>
        <w:sz w:val="24"/>
        <w:szCs w:val="24"/>
      </w:rPr>
    </w:pPr>
    <w:r>
      <w:rPr>
        <w:rFonts w:asciiTheme="minorHAnsi" w:hAnsiTheme="minorHAnsi" w:cstheme="minorHAnsi"/>
        <w:i/>
        <w:sz w:val="24"/>
        <w:szCs w:val="24"/>
      </w:rPr>
      <w:t>Public Summary Document</w:t>
    </w:r>
    <w:r w:rsidRPr="00DC4715">
      <w:rPr>
        <w:rFonts w:asciiTheme="minorHAnsi" w:hAnsiTheme="minorHAnsi" w:cstheme="minorHAnsi"/>
        <w:i/>
        <w:sz w:val="24"/>
        <w:szCs w:val="24"/>
      </w:rPr>
      <w:t xml:space="preserve"> – November 2020 PBAC Meeting</w:t>
    </w:r>
  </w:p>
  <w:p w:rsidR="004C37D1" w:rsidRDefault="004C37D1" w:rsidP="00DC4715">
    <w:pPr>
      <w:pStyle w:val="NoSpacing"/>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7D1" w:rsidRDefault="004C3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C72025"/>
    <w:multiLevelType w:val="hybridMultilevel"/>
    <w:tmpl w:val="5F526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B9348E"/>
    <w:multiLevelType w:val="multilevel"/>
    <w:tmpl w:val="F9143E06"/>
    <w:lvl w:ilvl="0">
      <w:start w:val="1"/>
      <w:numFmt w:val="decimal"/>
      <w:lvlText w:val="%1"/>
      <w:lvlJc w:val="left"/>
      <w:pPr>
        <w:ind w:left="720" w:hanging="720"/>
      </w:pPr>
      <w:rPr>
        <w:rFonts w:hint="default"/>
        <w:b/>
        <w:i w:val="0"/>
      </w:rPr>
    </w:lvl>
    <w:lvl w:ilvl="1">
      <w:start w:val="1"/>
      <w:numFmt w:val="lowerLetter"/>
      <w:lvlText w:val="%2)"/>
      <w:lvlJc w:val="left"/>
      <w:pPr>
        <w:ind w:left="720" w:hanging="720"/>
      </w:pPr>
      <w:rPr>
        <w:rFonts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BB0801"/>
    <w:multiLevelType w:val="hybridMultilevel"/>
    <w:tmpl w:val="52CA8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1E440D"/>
    <w:multiLevelType w:val="hybridMultilevel"/>
    <w:tmpl w:val="3E56EAF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F26806"/>
    <w:multiLevelType w:val="hybridMultilevel"/>
    <w:tmpl w:val="0B344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8248FD"/>
    <w:multiLevelType w:val="hybridMultilevel"/>
    <w:tmpl w:val="D08890C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7" w15:restartNumberingAfterBreak="0">
    <w:nsid w:val="3F7D4FE2"/>
    <w:multiLevelType w:val="hybridMultilevel"/>
    <w:tmpl w:val="CD04C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376C72"/>
    <w:multiLevelType w:val="hybridMultilevel"/>
    <w:tmpl w:val="EC8A2F1E"/>
    <w:lvl w:ilvl="0" w:tplc="620E4A4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F1B681CA">
      <w:start w:val="600"/>
      <w:numFmt w:val="bullet"/>
      <w:lvlText w:val="-"/>
      <w:lvlJc w:val="left"/>
      <w:pPr>
        <w:ind w:left="2160" w:hanging="360"/>
      </w:pPr>
      <w:rPr>
        <w:rFonts w:ascii="Calibri" w:eastAsia="Times New Roman" w:hAnsi="Calibri" w:cs="Calibri"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20" w15:restartNumberingAfterBreak="0">
    <w:nsid w:val="458D67A6"/>
    <w:multiLevelType w:val="hybridMultilevel"/>
    <w:tmpl w:val="7DC44466"/>
    <w:lvl w:ilvl="0" w:tplc="877630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2625C"/>
    <w:multiLevelType w:val="hybridMultilevel"/>
    <w:tmpl w:val="6EF4E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39332A"/>
    <w:multiLevelType w:val="hybridMultilevel"/>
    <w:tmpl w:val="BC62B366"/>
    <w:lvl w:ilvl="0" w:tplc="05946E4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222623"/>
    <w:multiLevelType w:val="hybridMultilevel"/>
    <w:tmpl w:val="6A32649A"/>
    <w:lvl w:ilvl="0" w:tplc="620E4A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3C26B6"/>
    <w:multiLevelType w:val="hybridMultilevel"/>
    <w:tmpl w:val="AFC6F05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08198B"/>
    <w:multiLevelType w:val="hybridMultilevel"/>
    <w:tmpl w:val="B66CCBA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228EF93A">
      <w:numFmt w:val="bullet"/>
      <w:lvlText w:val="-"/>
      <w:lvlJc w:val="left"/>
      <w:pPr>
        <w:ind w:left="2520" w:hanging="360"/>
      </w:pPr>
      <w:rPr>
        <w:rFonts w:ascii="Calibri" w:eastAsia="Times New Roman" w:hAnsi="Calibri" w:cs="Calibri"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AF2148C"/>
    <w:multiLevelType w:val="hybridMultilevel"/>
    <w:tmpl w:val="8B5A64E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84D033C"/>
    <w:multiLevelType w:val="multilevel"/>
    <w:tmpl w:val="B57000D8"/>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720" w:hanging="720"/>
      </w:pPr>
      <w:rPr>
        <w:rFonts w:hint="default"/>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F53672A"/>
    <w:multiLevelType w:val="hybridMultilevel"/>
    <w:tmpl w:val="5AE47814"/>
    <w:lvl w:ilvl="0" w:tplc="FC169276">
      <w:start w:val="1"/>
      <w:numFmt w:val="decimal"/>
      <w:lvlText w:val="%1."/>
      <w:lvlJc w:val="left"/>
      <w:pPr>
        <w:ind w:left="829" w:hanging="360"/>
      </w:pPr>
      <w:rPr>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35"/>
  </w:num>
  <w:num w:numId="2">
    <w:abstractNumId w:val="0"/>
  </w:num>
  <w:num w:numId="3">
    <w:abstractNumId w:val="35"/>
  </w:num>
  <w:num w:numId="4">
    <w:abstractNumId w:val="26"/>
  </w:num>
  <w:num w:numId="5">
    <w:abstractNumId w:val="23"/>
  </w:num>
  <w:num w:numId="6">
    <w:abstractNumId w:val="37"/>
  </w:num>
  <w:num w:numId="7">
    <w:abstractNumId w:val="31"/>
  </w:num>
  <w:num w:numId="8">
    <w:abstractNumId w:val="34"/>
  </w:num>
  <w:num w:numId="9">
    <w:abstractNumId w:val="22"/>
  </w:num>
  <w:num w:numId="10">
    <w:abstractNumId w:val="27"/>
  </w:num>
  <w:num w:numId="11">
    <w:abstractNumId w:val="33"/>
  </w:num>
  <w:num w:numId="12">
    <w:abstractNumId w:val="16"/>
  </w:num>
  <w:num w:numId="13">
    <w:abstractNumId w:val="16"/>
  </w:num>
  <w:num w:numId="14">
    <w:abstractNumId w:val="16"/>
    <w:lvlOverride w:ilvl="0">
      <w:startOverride w:val="1"/>
    </w:lvlOverride>
  </w:num>
  <w:num w:numId="15">
    <w:abstractNumId w:val="19"/>
  </w:num>
  <w:num w:numId="16">
    <w:abstractNumId w:val="16"/>
    <w:lvlOverride w:ilvl="0">
      <w:startOverride w:val="4"/>
    </w:lvlOverride>
  </w:num>
  <w:num w:numId="17">
    <w:abstractNumId w:val="3"/>
  </w:num>
  <w:num w:numId="18">
    <w:abstractNumId w:val="13"/>
  </w:num>
  <w:num w:numId="19">
    <w:abstractNumId w:val="1"/>
  </w:num>
  <w:num w:numId="20">
    <w:abstractNumId w:val="7"/>
  </w:num>
  <w:num w:numId="21">
    <w:abstractNumId w:val="36"/>
  </w:num>
  <w:num w:numId="22">
    <w:abstractNumId w:val="28"/>
  </w:num>
  <w:num w:numId="23">
    <w:abstractNumId w:val="21"/>
  </w:num>
  <w:num w:numId="24">
    <w:abstractNumId w:val="18"/>
  </w:num>
  <w:num w:numId="25">
    <w:abstractNumId w:val="35"/>
  </w:num>
  <w:num w:numId="26">
    <w:abstractNumId w:val="16"/>
    <w:lvlOverride w:ilvl="0">
      <w:startOverride w:val="1"/>
    </w:lvlOverride>
  </w:num>
  <w:num w:numId="27">
    <w:abstractNumId w:val="5"/>
  </w:num>
  <w:num w:numId="28">
    <w:abstractNumId w:val="38"/>
  </w:num>
  <w:num w:numId="29">
    <w:abstractNumId w:val="15"/>
  </w:num>
  <w:num w:numId="30">
    <w:abstractNumId w:val="20"/>
  </w:num>
  <w:num w:numId="31">
    <w:abstractNumId w:val="30"/>
  </w:num>
  <w:num w:numId="32">
    <w:abstractNumId w:val="35"/>
  </w:num>
  <w:num w:numId="33">
    <w:abstractNumId w:val="35"/>
  </w:num>
  <w:num w:numId="34">
    <w:abstractNumId w:val="12"/>
  </w:num>
  <w:num w:numId="35">
    <w:abstractNumId w:val="25"/>
  </w:num>
  <w:num w:numId="36">
    <w:abstractNumId w:val="0"/>
  </w:num>
  <w:num w:numId="37">
    <w:abstractNumId w:val="35"/>
  </w:num>
  <w:num w:numId="38">
    <w:abstractNumId w:val="35"/>
  </w:num>
  <w:num w:numId="39">
    <w:abstractNumId w:val="17"/>
  </w:num>
  <w:num w:numId="40">
    <w:abstractNumId w:val="11"/>
  </w:num>
  <w:num w:numId="41">
    <w:abstractNumId w:val="0"/>
  </w:num>
  <w:num w:numId="42">
    <w:abstractNumId w:val="35"/>
  </w:num>
  <w:num w:numId="43">
    <w:abstractNumId w:val="35"/>
  </w:num>
  <w:num w:numId="44">
    <w:abstractNumId w:val="35"/>
  </w:num>
  <w:num w:numId="45">
    <w:abstractNumId w:val="35"/>
  </w:num>
  <w:num w:numId="46">
    <w:abstractNumId w:val="35"/>
  </w:num>
  <w:num w:numId="47">
    <w:abstractNumId w:val="35"/>
  </w:num>
  <w:num w:numId="48">
    <w:abstractNumId w:val="35"/>
  </w:num>
  <w:num w:numId="49">
    <w:abstractNumId w:val="35"/>
  </w:num>
  <w:num w:numId="50">
    <w:abstractNumId w:val="35"/>
  </w:num>
  <w:num w:numId="51">
    <w:abstractNumId w:val="0"/>
  </w:num>
  <w:num w:numId="52">
    <w:abstractNumId w:val="0"/>
  </w:num>
  <w:num w:numId="53">
    <w:abstractNumId w:val="35"/>
  </w:num>
  <w:num w:numId="54">
    <w:abstractNumId w:val="35"/>
  </w:num>
  <w:num w:numId="55">
    <w:abstractNumId w:val="35"/>
  </w:num>
  <w:num w:numId="56">
    <w:abstractNumId w:val="14"/>
  </w:num>
  <w:num w:numId="57">
    <w:abstractNumId w:val="35"/>
  </w:num>
  <w:num w:numId="58">
    <w:abstractNumId w:val="35"/>
  </w:num>
  <w:num w:numId="59">
    <w:abstractNumId w:val="35"/>
  </w:num>
  <w:num w:numId="60">
    <w:abstractNumId w:val="24"/>
  </w:num>
  <w:num w:numId="61">
    <w:abstractNumId w:val="4"/>
  </w:num>
  <w:num w:numId="62">
    <w:abstractNumId w:val="2"/>
  </w:num>
  <w:num w:numId="63">
    <w:abstractNumId w:val="9"/>
  </w:num>
  <w:num w:numId="64">
    <w:abstractNumId w:val="10"/>
  </w:num>
  <w:num w:numId="65">
    <w:abstractNumId w:val="8"/>
  </w:num>
  <w:num w:numId="66">
    <w:abstractNumId w:val="35"/>
  </w:num>
  <w:num w:numId="67">
    <w:abstractNumId w:val="0"/>
  </w:num>
  <w:num w:numId="68">
    <w:abstractNumId w:val="0"/>
  </w:num>
  <w:num w:numId="69">
    <w:abstractNumId w:val="29"/>
  </w:num>
  <w:num w:numId="70">
    <w:abstractNumId w:val="32"/>
  </w:num>
  <w:num w:numId="71">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
  </w:num>
  <w:num w:numId="73">
    <w:abstractNumId w:val="3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3802"/>
    <w:rsid w:val="00006E68"/>
    <w:rsid w:val="00011990"/>
    <w:rsid w:val="00011A59"/>
    <w:rsid w:val="000125C6"/>
    <w:rsid w:val="00014CE6"/>
    <w:rsid w:val="00016A41"/>
    <w:rsid w:val="000214D1"/>
    <w:rsid w:val="00021D61"/>
    <w:rsid w:val="0002464A"/>
    <w:rsid w:val="000249A6"/>
    <w:rsid w:val="0003106B"/>
    <w:rsid w:val="00031472"/>
    <w:rsid w:val="0003334D"/>
    <w:rsid w:val="00034905"/>
    <w:rsid w:val="000411CF"/>
    <w:rsid w:val="000421A1"/>
    <w:rsid w:val="0004240E"/>
    <w:rsid w:val="00045E26"/>
    <w:rsid w:val="00045F61"/>
    <w:rsid w:val="00050A45"/>
    <w:rsid w:val="000514B5"/>
    <w:rsid w:val="00060E64"/>
    <w:rsid w:val="00065A1B"/>
    <w:rsid w:val="00066755"/>
    <w:rsid w:val="000763D5"/>
    <w:rsid w:val="00077143"/>
    <w:rsid w:val="0007728B"/>
    <w:rsid w:val="00080D6B"/>
    <w:rsid w:val="00082169"/>
    <w:rsid w:val="000847C6"/>
    <w:rsid w:val="000853BB"/>
    <w:rsid w:val="00090640"/>
    <w:rsid w:val="000918CB"/>
    <w:rsid w:val="00091B06"/>
    <w:rsid w:val="000951C4"/>
    <w:rsid w:val="00095ADA"/>
    <w:rsid w:val="00095BD9"/>
    <w:rsid w:val="000969AD"/>
    <w:rsid w:val="000A3AA2"/>
    <w:rsid w:val="000A44B2"/>
    <w:rsid w:val="000A52F6"/>
    <w:rsid w:val="000A6E8E"/>
    <w:rsid w:val="000B32FE"/>
    <w:rsid w:val="000B44C3"/>
    <w:rsid w:val="000B558D"/>
    <w:rsid w:val="000B5A03"/>
    <w:rsid w:val="000B5B61"/>
    <w:rsid w:val="000C212D"/>
    <w:rsid w:val="000C3347"/>
    <w:rsid w:val="000C4EA8"/>
    <w:rsid w:val="000C5F95"/>
    <w:rsid w:val="000C6996"/>
    <w:rsid w:val="000D09E9"/>
    <w:rsid w:val="000D113F"/>
    <w:rsid w:val="000D23BA"/>
    <w:rsid w:val="000E025D"/>
    <w:rsid w:val="000E3B17"/>
    <w:rsid w:val="000E5EA1"/>
    <w:rsid w:val="000E681E"/>
    <w:rsid w:val="000F0003"/>
    <w:rsid w:val="000F171A"/>
    <w:rsid w:val="000F3384"/>
    <w:rsid w:val="000F392F"/>
    <w:rsid w:val="000F4B12"/>
    <w:rsid w:val="000F4E6A"/>
    <w:rsid w:val="000F5825"/>
    <w:rsid w:val="000F7354"/>
    <w:rsid w:val="00100850"/>
    <w:rsid w:val="00101ABE"/>
    <w:rsid w:val="00102202"/>
    <w:rsid w:val="00104227"/>
    <w:rsid w:val="00107716"/>
    <w:rsid w:val="001107BF"/>
    <w:rsid w:val="00110B52"/>
    <w:rsid w:val="00113649"/>
    <w:rsid w:val="00113C05"/>
    <w:rsid w:val="00114320"/>
    <w:rsid w:val="001166C9"/>
    <w:rsid w:val="0012417C"/>
    <w:rsid w:val="0012749D"/>
    <w:rsid w:val="001301DB"/>
    <w:rsid w:val="0013478F"/>
    <w:rsid w:val="0013539F"/>
    <w:rsid w:val="00137CF9"/>
    <w:rsid w:val="00141138"/>
    <w:rsid w:val="00142395"/>
    <w:rsid w:val="00142714"/>
    <w:rsid w:val="00144A65"/>
    <w:rsid w:val="001452ED"/>
    <w:rsid w:val="00145A0A"/>
    <w:rsid w:val="00147D84"/>
    <w:rsid w:val="00154734"/>
    <w:rsid w:val="001549C1"/>
    <w:rsid w:val="001614C6"/>
    <w:rsid w:val="00162206"/>
    <w:rsid w:val="00162BDD"/>
    <w:rsid w:val="00162D4E"/>
    <w:rsid w:val="00163329"/>
    <w:rsid w:val="00164623"/>
    <w:rsid w:val="001652DE"/>
    <w:rsid w:val="00165B64"/>
    <w:rsid w:val="001676C8"/>
    <w:rsid w:val="00173119"/>
    <w:rsid w:val="00180713"/>
    <w:rsid w:val="00180720"/>
    <w:rsid w:val="0018173A"/>
    <w:rsid w:val="001830CE"/>
    <w:rsid w:val="00185894"/>
    <w:rsid w:val="0018643B"/>
    <w:rsid w:val="00192BC4"/>
    <w:rsid w:val="001933D9"/>
    <w:rsid w:val="00193EFB"/>
    <w:rsid w:val="00196307"/>
    <w:rsid w:val="001A33EA"/>
    <w:rsid w:val="001A4C4F"/>
    <w:rsid w:val="001A76FB"/>
    <w:rsid w:val="001B017F"/>
    <w:rsid w:val="001B18BE"/>
    <w:rsid w:val="001B24FB"/>
    <w:rsid w:val="001B2BBC"/>
    <w:rsid w:val="001B346A"/>
    <w:rsid w:val="001B3A40"/>
    <w:rsid w:val="001B3FFE"/>
    <w:rsid w:val="001B5129"/>
    <w:rsid w:val="001B720C"/>
    <w:rsid w:val="001C0B4C"/>
    <w:rsid w:val="001C1195"/>
    <w:rsid w:val="001C2E42"/>
    <w:rsid w:val="001D124F"/>
    <w:rsid w:val="001D1F5F"/>
    <w:rsid w:val="001E051E"/>
    <w:rsid w:val="001E06D2"/>
    <w:rsid w:val="001E3185"/>
    <w:rsid w:val="001F005B"/>
    <w:rsid w:val="001F1850"/>
    <w:rsid w:val="001F3189"/>
    <w:rsid w:val="00202510"/>
    <w:rsid w:val="00203FAC"/>
    <w:rsid w:val="002043B1"/>
    <w:rsid w:val="00213CFB"/>
    <w:rsid w:val="0021553C"/>
    <w:rsid w:val="0021557B"/>
    <w:rsid w:val="002158AB"/>
    <w:rsid w:val="002174FD"/>
    <w:rsid w:val="00217BE1"/>
    <w:rsid w:val="002239FE"/>
    <w:rsid w:val="00234252"/>
    <w:rsid w:val="00236D43"/>
    <w:rsid w:val="00237AC6"/>
    <w:rsid w:val="00242D61"/>
    <w:rsid w:val="002433A7"/>
    <w:rsid w:val="0024411F"/>
    <w:rsid w:val="00244490"/>
    <w:rsid w:val="00245B9C"/>
    <w:rsid w:val="00253499"/>
    <w:rsid w:val="002551A4"/>
    <w:rsid w:val="00256C9D"/>
    <w:rsid w:val="00257664"/>
    <w:rsid w:val="0026411E"/>
    <w:rsid w:val="002642DD"/>
    <w:rsid w:val="00264F21"/>
    <w:rsid w:val="00265151"/>
    <w:rsid w:val="00265B3F"/>
    <w:rsid w:val="00266509"/>
    <w:rsid w:val="00271BA1"/>
    <w:rsid w:val="002762FA"/>
    <w:rsid w:val="00276361"/>
    <w:rsid w:val="00277505"/>
    <w:rsid w:val="002823B6"/>
    <w:rsid w:val="0028241D"/>
    <w:rsid w:val="002860BC"/>
    <w:rsid w:val="00287C14"/>
    <w:rsid w:val="00293A7B"/>
    <w:rsid w:val="00294274"/>
    <w:rsid w:val="0029458F"/>
    <w:rsid w:val="00296DA6"/>
    <w:rsid w:val="002A0E04"/>
    <w:rsid w:val="002A104C"/>
    <w:rsid w:val="002A1EF7"/>
    <w:rsid w:val="002A2F5E"/>
    <w:rsid w:val="002A494D"/>
    <w:rsid w:val="002A4960"/>
    <w:rsid w:val="002B0AE0"/>
    <w:rsid w:val="002B1AE6"/>
    <w:rsid w:val="002B1D51"/>
    <w:rsid w:val="002B2DE8"/>
    <w:rsid w:val="002B30F8"/>
    <w:rsid w:val="002B388A"/>
    <w:rsid w:val="002B5596"/>
    <w:rsid w:val="002B7075"/>
    <w:rsid w:val="002C0F9C"/>
    <w:rsid w:val="002C212F"/>
    <w:rsid w:val="002C7485"/>
    <w:rsid w:val="002D1DC8"/>
    <w:rsid w:val="002D283A"/>
    <w:rsid w:val="002D404F"/>
    <w:rsid w:val="002D4543"/>
    <w:rsid w:val="002D591F"/>
    <w:rsid w:val="002D6899"/>
    <w:rsid w:val="002D6B73"/>
    <w:rsid w:val="002E0EF2"/>
    <w:rsid w:val="002E3153"/>
    <w:rsid w:val="002E4F4E"/>
    <w:rsid w:val="002E5292"/>
    <w:rsid w:val="002E72CA"/>
    <w:rsid w:val="002F600D"/>
    <w:rsid w:val="00300AD6"/>
    <w:rsid w:val="00300B1B"/>
    <w:rsid w:val="003019D0"/>
    <w:rsid w:val="003064AF"/>
    <w:rsid w:val="00310B68"/>
    <w:rsid w:val="0031132A"/>
    <w:rsid w:val="00314E8A"/>
    <w:rsid w:val="00314F80"/>
    <w:rsid w:val="00317C6C"/>
    <w:rsid w:val="00317DC4"/>
    <w:rsid w:val="00320CD3"/>
    <w:rsid w:val="00322A93"/>
    <w:rsid w:val="003234D2"/>
    <w:rsid w:val="00326E79"/>
    <w:rsid w:val="003301B1"/>
    <w:rsid w:val="00331189"/>
    <w:rsid w:val="0033263D"/>
    <w:rsid w:val="003332DC"/>
    <w:rsid w:val="0033518A"/>
    <w:rsid w:val="003367EF"/>
    <w:rsid w:val="00341AE4"/>
    <w:rsid w:val="003476EE"/>
    <w:rsid w:val="0035013A"/>
    <w:rsid w:val="003515C0"/>
    <w:rsid w:val="003541DD"/>
    <w:rsid w:val="00356E5B"/>
    <w:rsid w:val="00360428"/>
    <w:rsid w:val="003736C9"/>
    <w:rsid w:val="00382677"/>
    <w:rsid w:val="00384988"/>
    <w:rsid w:val="003872CF"/>
    <w:rsid w:val="0039000D"/>
    <w:rsid w:val="00395D6B"/>
    <w:rsid w:val="0039782C"/>
    <w:rsid w:val="003A5B4A"/>
    <w:rsid w:val="003A5D95"/>
    <w:rsid w:val="003A7842"/>
    <w:rsid w:val="003B23C5"/>
    <w:rsid w:val="003B2A75"/>
    <w:rsid w:val="003B6124"/>
    <w:rsid w:val="003B7B57"/>
    <w:rsid w:val="003C093A"/>
    <w:rsid w:val="003C1A0D"/>
    <w:rsid w:val="003C1ECF"/>
    <w:rsid w:val="003C28F7"/>
    <w:rsid w:val="003C2FB5"/>
    <w:rsid w:val="003C57EA"/>
    <w:rsid w:val="003C7A23"/>
    <w:rsid w:val="003D108E"/>
    <w:rsid w:val="003D120B"/>
    <w:rsid w:val="003D24C5"/>
    <w:rsid w:val="003D4AC4"/>
    <w:rsid w:val="003D63B7"/>
    <w:rsid w:val="003D74C5"/>
    <w:rsid w:val="003E3297"/>
    <w:rsid w:val="003E468B"/>
    <w:rsid w:val="003E62BD"/>
    <w:rsid w:val="003F0C3A"/>
    <w:rsid w:val="003F3228"/>
    <w:rsid w:val="003F5C8C"/>
    <w:rsid w:val="003F63CE"/>
    <w:rsid w:val="003F775A"/>
    <w:rsid w:val="00400E55"/>
    <w:rsid w:val="0040128E"/>
    <w:rsid w:val="0040216B"/>
    <w:rsid w:val="00402441"/>
    <w:rsid w:val="0040586D"/>
    <w:rsid w:val="00412E71"/>
    <w:rsid w:val="004217A0"/>
    <w:rsid w:val="004252EC"/>
    <w:rsid w:val="00425CE9"/>
    <w:rsid w:val="00430D39"/>
    <w:rsid w:val="0043317D"/>
    <w:rsid w:val="00440A82"/>
    <w:rsid w:val="004465BD"/>
    <w:rsid w:val="00446938"/>
    <w:rsid w:val="00452938"/>
    <w:rsid w:val="00453FF7"/>
    <w:rsid w:val="00461A44"/>
    <w:rsid w:val="00466ADA"/>
    <w:rsid w:val="00466DBE"/>
    <w:rsid w:val="00467409"/>
    <w:rsid w:val="004702BB"/>
    <w:rsid w:val="0047494B"/>
    <w:rsid w:val="00474D71"/>
    <w:rsid w:val="00476245"/>
    <w:rsid w:val="00477A9B"/>
    <w:rsid w:val="004819B5"/>
    <w:rsid w:val="00483035"/>
    <w:rsid w:val="00485940"/>
    <w:rsid w:val="004904B9"/>
    <w:rsid w:val="00490DEB"/>
    <w:rsid w:val="00496662"/>
    <w:rsid w:val="004A0E13"/>
    <w:rsid w:val="004A2484"/>
    <w:rsid w:val="004A4E96"/>
    <w:rsid w:val="004A5A85"/>
    <w:rsid w:val="004A71D1"/>
    <w:rsid w:val="004A7C5B"/>
    <w:rsid w:val="004B1845"/>
    <w:rsid w:val="004B2A9B"/>
    <w:rsid w:val="004B2E98"/>
    <w:rsid w:val="004B5640"/>
    <w:rsid w:val="004C03D0"/>
    <w:rsid w:val="004C1012"/>
    <w:rsid w:val="004C1BD7"/>
    <w:rsid w:val="004C31FE"/>
    <w:rsid w:val="004C37D1"/>
    <w:rsid w:val="004C524C"/>
    <w:rsid w:val="004C5FFA"/>
    <w:rsid w:val="004C691D"/>
    <w:rsid w:val="004C6C07"/>
    <w:rsid w:val="004D4FF6"/>
    <w:rsid w:val="004E692D"/>
    <w:rsid w:val="004E7D87"/>
    <w:rsid w:val="004F2553"/>
    <w:rsid w:val="004F4289"/>
    <w:rsid w:val="00501554"/>
    <w:rsid w:val="00502AFE"/>
    <w:rsid w:val="00503AD7"/>
    <w:rsid w:val="00504E0C"/>
    <w:rsid w:val="005109D4"/>
    <w:rsid w:val="00514CD7"/>
    <w:rsid w:val="00520D6A"/>
    <w:rsid w:val="00521F12"/>
    <w:rsid w:val="00522DB6"/>
    <w:rsid w:val="0052792D"/>
    <w:rsid w:val="0053124F"/>
    <w:rsid w:val="005319B2"/>
    <w:rsid w:val="00532402"/>
    <w:rsid w:val="00532C74"/>
    <w:rsid w:val="00534E2E"/>
    <w:rsid w:val="005358BA"/>
    <w:rsid w:val="00542598"/>
    <w:rsid w:val="005426AA"/>
    <w:rsid w:val="00544552"/>
    <w:rsid w:val="00545130"/>
    <w:rsid w:val="00550CE2"/>
    <w:rsid w:val="0055286A"/>
    <w:rsid w:val="00555745"/>
    <w:rsid w:val="00557D4F"/>
    <w:rsid w:val="0056484E"/>
    <w:rsid w:val="005764CD"/>
    <w:rsid w:val="00577C4D"/>
    <w:rsid w:val="00580532"/>
    <w:rsid w:val="00581932"/>
    <w:rsid w:val="0059469B"/>
    <w:rsid w:val="005963BB"/>
    <w:rsid w:val="005A0A1C"/>
    <w:rsid w:val="005A2894"/>
    <w:rsid w:val="005A2F6E"/>
    <w:rsid w:val="005A3173"/>
    <w:rsid w:val="005A3223"/>
    <w:rsid w:val="005A3DA3"/>
    <w:rsid w:val="005A52C4"/>
    <w:rsid w:val="005A555D"/>
    <w:rsid w:val="005A5D9F"/>
    <w:rsid w:val="005B09E2"/>
    <w:rsid w:val="005B7D88"/>
    <w:rsid w:val="005C0A86"/>
    <w:rsid w:val="005C4F73"/>
    <w:rsid w:val="005D03AB"/>
    <w:rsid w:val="005D167A"/>
    <w:rsid w:val="005D5017"/>
    <w:rsid w:val="005D63FA"/>
    <w:rsid w:val="005D67F2"/>
    <w:rsid w:val="005D76CD"/>
    <w:rsid w:val="005E0D82"/>
    <w:rsid w:val="005E1333"/>
    <w:rsid w:val="005E3136"/>
    <w:rsid w:val="005E507D"/>
    <w:rsid w:val="005F3DA6"/>
    <w:rsid w:val="00601A91"/>
    <w:rsid w:val="00602BA3"/>
    <w:rsid w:val="00605B63"/>
    <w:rsid w:val="00605F9A"/>
    <w:rsid w:val="00606EED"/>
    <w:rsid w:val="00612E34"/>
    <w:rsid w:val="00614159"/>
    <w:rsid w:val="00616C5F"/>
    <w:rsid w:val="00616DAC"/>
    <w:rsid w:val="00617C00"/>
    <w:rsid w:val="006263BF"/>
    <w:rsid w:val="0062715C"/>
    <w:rsid w:val="0062748A"/>
    <w:rsid w:val="00630A2C"/>
    <w:rsid w:val="006340A7"/>
    <w:rsid w:val="0063465A"/>
    <w:rsid w:val="006350CC"/>
    <w:rsid w:val="0063682E"/>
    <w:rsid w:val="00642DA8"/>
    <w:rsid w:val="006436CD"/>
    <w:rsid w:val="00646F99"/>
    <w:rsid w:val="00647939"/>
    <w:rsid w:val="00651169"/>
    <w:rsid w:val="0065361C"/>
    <w:rsid w:val="00653D69"/>
    <w:rsid w:val="00653DFF"/>
    <w:rsid w:val="006552E6"/>
    <w:rsid w:val="00655794"/>
    <w:rsid w:val="006571A5"/>
    <w:rsid w:val="00657C63"/>
    <w:rsid w:val="006611D5"/>
    <w:rsid w:val="006670BE"/>
    <w:rsid w:val="00670A76"/>
    <w:rsid w:val="006711AA"/>
    <w:rsid w:val="006726D2"/>
    <w:rsid w:val="00672B57"/>
    <w:rsid w:val="00673F1F"/>
    <w:rsid w:val="0067456D"/>
    <w:rsid w:val="00675622"/>
    <w:rsid w:val="0067747D"/>
    <w:rsid w:val="00677ABB"/>
    <w:rsid w:val="006804D6"/>
    <w:rsid w:val="006818D5"/>
    <w:rsid w:val="00681CA4"/>
    <w:rsid w:val="0069039D"/>
    <w:rsid w:val="006906DB"/>
    <w:rsid w:val="00691E6C"/>
    <w:rsid w:val="00693DFB"/>
    <w:rsid w:val="0069501D"/>
    <w:rsid w:val="00696129"/>
    <w:rsid w:val="00696702"/>
    <w:rsid w:val="00697CF2"/>
    <w:rsid w:val="006A0BB9"/>
    <w:rsid w:val="006A1213"/>
    <w:rsid w:val="006A12A5"/>
    <w:rsid w:val="006A5E20"/>
    <w:rsid w:val="006A61D9"/>
    <w:rsid w:val="006A7C2B"/>
    <w:rsid w:val="006A7F71"/>
    <w:rsid w:val="006B0D94"/>
    <w:rsid w:val="006B485D"/>
    <w:rsid w:val="006C1058"/>
    <w:rsid w:val="006C334C"/>
    <w:rsid w:val="006C6B8B"/>
    <w:rsid w:val="006C708E"/>
    <w:rsid w:val="006D0C9B"/>
    <w:rsid w:val="006D14E7"/>
    <w:rsid w:val="006D4444"/>
    <w:rsid w:val="006D6493"/>
    <w:rsid w:val="006D6EC7"/>
    <w:rsid w:val="006E1BCD"/>
    <w:rsid w:val="006F0A44"/>
    <w:rsid w:val="006F0A71"/>
    <w:rsid w:val="006F2DC3"/>
    <w:rsid w:val="006F40C2"/>
    <w:rsid w:val="006F5125"/>
    <w:rsid w:val="006F733D"/>
    <w:rsid w:val="007000DD"/>
    <w:rsid w:val="00700CE7"/>
    <w:rsid w:val="00702B18"/>
    <w:rsid w:val="00702B6F"/>
    <w:rsid w:val="00706A2F"/>
    <w:rsid w:val="0070718E"/>
    <w:rsid w:val="00710259"/>
    <w:rsid w:val="0071031F"/>
    <w:rsid w:val="0071340B"/>
    <w:rsid w:val="007155B0"/>
    <w:rsid w:val="00715AB5"/>
    <w:rsid w:val="00715BBB"/>
    <w:rsid w:val="00716942"/>
    <w:rsid w:val="007174BB"/>
    <w:rsid w:val="0072025D"/>
    <w:rsid w:val="0073137C"/>
    <w:rsid w:val="00731468"/>
    <w:rsid w:val="007353D3"/>
    <w:rsid w:val="0074156B"/>
    <w:rsid w:val="007427D1"/>
    <w:rsid w:val="00747092"/>
    <w:rsid w:val="007555E8"/>
    <w:rsid w:val="0076420C"/>
    <w:rsid w:val="0076758A"/>
    <w:rsid w:val="00771D07"/>
    <w:rsid w:val="00773BE3"/>
    <w:rsid w:val="007743DD"/>
    <w:rsid w:val="00774E2C"/>
    <w:rsid w:val="007753C2"/>
    <w:rsid w:val="00776321"/>
    <w:rsid w:val="007838B8"/>
    <w:rsid w:val="00783D4C"/>
    <w:rsid w:val="00787012"/>
    <w:rsid w:val="00787D87"/>
    <w:rsid w:val="00787D98"/>
    <w:rsid w:val="007915BA"/>
    <w:rsid w:val="00795073"/>
    <w:rsid w:val="007A26A1"/>
    <w:rsid w:val="007A7BB9"/>
    <w:rsid w:val="007B37F5"/>
    <w:rsid w:val="007B3DDC"/>
    <w:rsid w:val="007B5FD7"/>
    <w:rsid w:val="007B6E1C"/>
    <w:rsid w:val="007B72A6"/>
    <w:rsid w:val="007C0F57"/>
    <w:rsid w:val="007C40B6"/>
    <w:rsid w:val="007C491F"/>
    <w:rsid w:val="007C729F"/>
    <w:rsid w:val="007D0F42"/>
    <w:rsid w:val="007D2188"/>
    <w:rsid w:val="007D2D27"/>
    <w:rsid w:val="007D503D"/>
    <w:rsid w:val="007D6B49"/>
    <w:rsid w:val="007E1D28"/>
    <w:rsid w:val="007F0021"/>
    <w:rsid w:val="007F2641"/>
    <w:rsid w:val="007F2A26"/>
    <w:rsid w:val="007F74BB"/>
    <w:rsid w:val="007F7C36"/>
    <w:rsid w:val="007F7CA2"/>
    <w:rsid w:val="008007A2"/>
    <w:rsid w:val="00803985"/>
    <w:rsid w:val="00805463"/>
    <w:rsid w:val="00806796"/>
    <w:rsid w:val="008107FA"/>
    <w:rsid w:val="00811CC0"/>
    <w:rsid w:val="008151D6"/>
    <w:rsid w:val="00821527"/>
    <w:rsid w:val="00822AA9"/>
    <w:rsid w:val="008268BB"/>
    <w:rsid w:val="00826F6D"/>
    <w:rsid w:val="008306F3"/>
    <w:rsid w:val="00830E40"/>
    <w:rsid w:val="00835C62"/>
    <w:rsid w:val="008446C9"/>
    <w:rsid w:val="00846056"/>
    <w:rsid w:val="00847EC0"/>
    <w:rsid w:val="00852C76"/>
    <w:rsid w:val="0085341D"/>
    <w:rsid w:val="00855FD6"/>
    <w:rsid w:val="00856DDD"/>
    <w:rsid w:val="00863E68"/>
    <w:rsid w:val="008647B5"/>
    <w:rsid w:val="00866C48"/>
    <w:rsid w:val="0087254D"/>
    <w:rsid w:val="00875DCB"/>
    <w:rsid w:val="00882085"/>
    <w:rsid w:val="00883188"/>
    <w:rsid w:val="00884263"/>
    <w:rsid w:val="00886BA7"/>
    <w:rsid w:val="008921DA"/>
    <w:rsid w:val="00892B8F"/>
    <w:rsid w:val="00897107"/>
    <w:rsid w:val="00897D58"/>
    <w:rsid w:val="00897F22"/>
    <w:rsid w:val="008A0B39"/>
    <w:rsid w:val="008A1956"/>
    <w:rsid w:val="008A2C19"/>
    <w:rsid w:val="008A4937"/>
    <w:rsid w:val="008A50F1"/>
    <w:rsid w:val="008A55D4"/>
    <w:rsid w:val="008A58B0"/>
    <w:rsid w:val="008A59D9"/>
    <w:rsid w:val="008A6819"/>
    <w:rsid w:val="008B28B7"/>
    <w:rsid w:val="008B2EC0"/>
    <w:rsid w:val="008B35C7"/>
    <w:rsid w:val="008C1F01"/>
    <w:rsid w:val="008D0512"/>
    <w:rsid w:val="008D083E"/>
    <w:rsid w:val="008D1B5C"/>
    <w:rsid w:val="008D3C82"/>
    <w:rsid w:val="008D447E"/>
    <w:rsid w:val="008D6DE5"/>
    <w:rsid w:val="008D7A41"/>
    <w:rsid w:val="008E1CF1"/>
    <w:rsid w:val="008E2C72"/>
    <w:rsid w:val="008E3680"/>
    <w:rsid w:val="008E519A"/>
    <w:rsid w:val="008E5870"/>
    <w:rsid w:val="008E6A6C"/>
    <w:rsid w:val="008F0213"/>
    <w:rsid w:val="008F1434"/>
    <w:rsid w:val="008F28E9"/>
    <w:rsid w:val="008F54C3"/>
    <w:rsid w:val="008F6664"/>
    <w:rsid w:val="008F7355"/>
    <w:rsid w:val="008F7A2A"/>
    <w:rsid w:val="009023DC"/>
    <w:rsid w:val="009027C5"/>
    <w:rsid w:val="009067B7"/>
    <w:rsid w:val="00910ADB"/>
    <w:rsid w:val="00912F15"/>
    <w:rsid w:val="009143F4"/>
    <w:rsid w:val="00916004"/>
    <w:rsid w:val="00917D69"/>
    <w:rsid w:val="00921D3E"/>
    <w:rsid w:val="00926560"/>
    <w:rsid w:val="00930937"/>
    <w:rsid w:val="009324A6"/>
    <w:rsid w:val="00933E6C"/>
    <w:rsid w:val="00934BE7"/>
    <w:rsid w:val="00937958"/>
    <w:rsid w:val="00941602"/>
    <w:rsid w:val="00942160"/>
    <w:rsid w:val="00944392"/>
    <w:rsid w:val="0095146F"/>
    <w:rsid w:val="00957944"/>
    <w:rsid w:val="009602C5"/>
    <w:rsid w:val="00962223"/>
    <w:rsid w:val="00966D0D"/>
    <w:rsid w:val="0096783C"/>
    <w:rsid w:val="00970277"/>
    <w:rsid w:val="009722B3"/>
    <w:rsid w:val="009725EA"/>
    <w:rsid w:val="00974C21"/>
    <w:rsid w:val="00975948"/>
    <w:rsid w:val="00977BF3"/>
    <w:rsid w:val="009803E4"/>
    <w:rsid w:val="00980405"/>
    <w:rsid w:val="00980470"/>
    <w:rsid w:val="00980B0E"/>
    <w:rsid w:val="009836A3"/>
    <w:rsid w:val="009855A8"/>
    <w:rsid w:val="00990E29"/>
    <w:rsid w:val="009913F4"/>
    <w:rsid w:val="0099465B"/>
    <w:rsid w:val="00994C75"/>
    <w:rsid w:val="00995861"/>
    <w:rsid w:val="009978AC"/>
    <w:rsid w:val="009A0CDD"/>
    <w:rsid w:val="009A29FA"/>
    <w:rsid w:val="009A3168"/>
    <w:rsid w:val="009A61CA"/>
    <w:rsid w:val="009B0C64"/>
    <w:rsid w:val="009B0F67"/>
    <w:rsid w:val="009B1056"/>
    <w:rsid w:val="009B255E"/>
    <w:rsid w:val="009C032D"/>
    <w:rsid w:val="009C19E2"/>
    <w:rsid w:val="009C703C"/>
    <w:rsid w:val="009D206E"/>
    <w:rsid w:val="009D3CAA"/>
    <w:rsid w:val="009D6532"/>
    <w:rsid w:val="009E18DA"/>
    <w:rsid w:val="009E2E8E"/>
    <w:rsid w:val="009E40E1"/>
    <w:rsid w:val="009E6D63"/>
    <w:rsid w:val="009F0EFA"/>
    <w:rsid w:val="009F1547"/>
    <w:rsid w:val="009F4E46"/>
    <w:rsid w:val="009F55A3"/>
    <w:rsid w:val="009F5B65"/>
    <w:rsid w:val="009F5F2E"/>
    <w:rsid w:val="00A01432"/>
    <w:rsid w:val="00A04BAE"/>
    <w:rsid w:val="00A06225"/>
    <w:rsid w:val="00A0738B"/>
    <w:rsid w:val="00A104FD"/>
    <w:rsid w:val="00A10B46"/>
    <w:rsid w:val="00A128E6"/>
    <w:rsid w:val="00A144D3"/>
    <w:rsid w:val="00A22AC3"/>
    <w:rsid w:val="00A23268"/>
    <w:rsid w:val="00A23F3F"/>
    <w:rsid w:val="00A24067"/>
    <w:rsid w:val="00A2436D"/>
    <w:rsid w:val="00A24FDB"/>
    <w:rsid w:val="00A2744D"/>
    <w:rsid w:val="00A30F30"/>
    <w:rsid w:val="00A34E6C"/>
    <w:rsid w:val="00A36398"/>
    <w:rsid w:val="00A37C8D"/>
    <w:rsid w:val="00A4020E"/>
    <w:rsid w:val="00A40FB5"/>
    <w:rsid w:val="00A42826"/>
    <w:rsid w:val="00A429B3"/>
    <w:rsid w:val="00A50502"/>
    <w:rsid w:val="00A510E4"/>
    <w:rsid w:val="00A51F9B"/>
    <w:rsid w:val="00A5273B"/>
    <w:rsid w:val="00A53A9D"/>
    <w:rsid w:val="00A55677"/>
    <w:rsid w:val="00A55FEE"/>
    <w:rsid w:val="00A57422"/>
    <w:rsid w:val="00A62C1A"/>
    <w:rsid w:val="00A6426D"/>
    <w:rsid w:val="00A65BD0"/>
    <w:rsid w:val="00A665C1"/>
    <w:rsid w:val="00A669FE"/>
    <w:rsid w:val="00A673A4"/>
    <w:rsid w:val="00A70622"/>
    <w:rsid w:val="00A70977"/>
    <w:rsid w:val="00A709A6"/>
    <w:rsid w:val="00A70D58"/>
    <w:rsid w:val="00A73569"/>
    <w:rsid w:val="00A744F9"/>
    <w:rsid w:val="00A77613"/>
    <w:rsid w:val="00A81851"/>
    <w:rsid w:val="00A8390C"/>
    <w:rsid w:val="00A8544A"/>
    <w:rsid w:val="00A86AE0"/>
    <w:rsid w:val="00A87F2E"/>
    <w:rsid w:val="00A928BD"/>
    <w:rsid w:val="00A94718"/>
    <w:rsid w:val="00A94B57"/>
    <w:rsid w:val="00A9764D"/>
    <w:rsid w:val="00A97DE9"/>
    <w:rsid w:val="00AA12CD"/>
    <w:rsid w:val="00AA49F3"/>
    <w:rsid w:val="00AA4D1C"/>
    <w:rsid w:val="00AA4D6C"/>
    <w:rsid w:val="00AA52FD"/>
    <w:rsid w:val="00AB0126"/>
    <w:rsid w:val="00AB5566"/>
    <w:rsid w:val="00AB5856"/>
    <w:rsid w:val="00AB6780"/>
    <w:rsid w:val="00AC193C"/>
    <w:rsid w:val="00AC4DE5"/>
    <w:rsid w:val="00AC51A3"/>
    <w:rsid w:val="00AC5206"/>
    <w:rsid w:val="00AD4322"/>
    <w:rsid w:val="00AD5F30"/>
    <w:rsid w:val="00AD7C4F"/>
    <w:rsid w:val="00AE11A5"/>
    <w:rsid w:val="00AE13E2"/>
    <w:rsid w:val="00AE22D3"/>
    <w:rsid w:val="00AE5A49"/>
    <w:rsid w:val="00AF4ADD"/>
    <w:rsid w:val="00AF5D1E"/>
    <w:rsid w:val="00AF62DF"/>
    <w:rsid w:val="00AF68CC"/>
    <w:rsid w:val="00AF70D7"/>
    <w:rsid w:val="00AF7368"/>
    <w:rsid w:val="00B002E3"/>
    <w:rsid w:val="00B04829"/>
    <w:rsid w:val="00B06478"/>
    <w:rsid w:val="00B07CFB"/>
    <w:rsid w:val="00B1059E"/>
    <w:rsid w:val="00B16273"/>
    <w:rsid w:val="00B170A5"/>
    <w:rsid w:val="00B176C8"/>
    <w:rsid w:val="00B17EE5"/>
    <w:rsid w:val="00B205AA"/>
    <w:rsid w:val="00B22E84"/>
    <w:rsid w:val="00B233AD"/>
    <w:rsid w:val="00B23E25"/>
    <w:rsid w:val="00B25517"/>
    <w:rsid w:val="00B25F75"/>
    <w:rsid w:val="00B26B3F"/>
    <w:rsid w:val="00B2717C"/>
    <w:rsid w:val="00B2778F"/>
    <w:rsid w:val="00B315BD"/>
    <w:rsid w:val="00B33635"/>
    <w:rsid w:val="00B3756A"/>
    <w:rsid w:val="00B4296E"/>
    <w:rsid w:val="00B42AF4"/>
    <w:rsid w:val="00B43E90"/>
    <w:rsid w:val="00B467DC"/>
    <w:rsid w:val="00B53493"/>
    <w:rsid w:val="00B56118"/>
    <w:rsid w:val="00B6773F"/>
    <w:rsid w:val="00B70EB3"/>
    <w:rsid w:val="00B7247E"/>
    <w:rsid w:val="00B7525E"/>
    <w:rsid w:val="00B760FB"/>
    <w:rsid w:val="00B7668F"/>
    <w:rsid w:val="00B767AB"/>
    <w:rsid w:val="00B77707"/>
    <w:rsid w:val="00B801BA"/>
    <w:rsid w:val="00B82041"/>
    <w:rsid w:val="00B83EED"/>
    <w:rsid w:val="00B84BAB"/>
    <w:rsid w:val="00B84D5C"/>
    <w:rsid w:val="00B91B4E"/>
    <w:rsid w:val="00B925DF"/>
    <w:rsid w:val="00B972DD"/>
    <w:rsid w:val="00BA2DA8"/>
    <w:rsid w:val="00BA347C"/>
    <w:rsid w:val="00BA7B8F"/>
    <w:rsid w:val="00BB5C49"/>
    <w:rsid w:val="00BB69F5"/>
    <w:rsid w:val="00BB6C06"/>
    <w:rsid w:val="00BB7EC3"/>
    <w:rsid w:val="00BC300E"/>
    <w:rsid w:val="00BC4B9A"/>
    <w:rsid w:val="00BD02C3"/>
    <w:rsid w:val="00BD0BB7"/>
    <w:rsid w:val="00BD4759"/>
    <w:rsid w:val="00BD7483"/>
    <w:rsid w:val="00BD784C"/>
    <w:rsid w:val="00BE0177"/>
    <w:rsid w:val="00BE020A"/>
    <w:rsid w:val="00BE0587"/>
    <w:rsid w:val="00BE13DF"/>
    <w:rsid w:val="00BE2FEB"/>
    <w:rsid w:val="00BE5932"/>
    <w:rsid w:val="00BF092C"/>
    <w:rsid w:val="00BF20E2"/>
    <w:rsid w:val="00BF27A0"/>
    <w:rsid w:val="00BF3D1D"/>
    <w:rsid w:val="00BF4CB6"/>
    <w:rsid w:val="00BF52BE"/>
    <w:rsid w:val="00BF68C8"/>
    <w:rsid w:val="00C00DA7"/>
    <w:rsid w:val="00C04465"/>
    <w:rsid w:val="00C045C7"/>
    <w:rsid w:val="00C04C07"/>
    <w:rsid w:val="00C04CDE"/>
    <w:rsid w:val="00C063F4"/>
    <w:rsid w:val="00C07A92"/>
    <w:rsid w:val="00C101D3"/>
    <w:rsid w:val="00C12768"/>
    <w:rsid w:val="00C12D70"/>
    <w:rsid w:val="00C21B09"/>
    <w:rsid w:val="00C2673A"/>
    <w:rsid w:val="00C27B58"/>
    <w:rsid w:val="00C32BAE"/>
    <w:rsid w:val="00C34BCF"/>
    <w:rsid w:val="00C35996"/>
    <w:rsid w:val="00C36682"/>
    <w:rsid w:val="00C37AFE"/>
    <w:rsid w:val="00C4071E"/>
    <w:rsid w:val="00C41ED1"/>
    <w:rsid w:val="00C4747E"/>
    <w:rsid w:val="00C47C84"/>
    <w:rsid w:val="00C50376"/>
    <w:rsid w:val="00C51485"/>
    <w:rsid w:val="00C5151E"/>
    <w:rsid w:val="00C5342C"/>
    <w:rsid w:val="00C53B2B"/>
    <w:rsid w:val="00C56ABA"/>
    <w:rsid w:val="00C60272"/>
    <w:rsid w:val="00C603D4"/>
    <w:rsid w:val="00C6256A"/>
    <w:rsid w:val="00C70061"/>
    <w:rsid w:val="00C710E2"/>
    <w:rsid w:val="00C71C3F"/>
    <w:rsid w:val="00C7409E"/>
    <w:rsid w:val="00C74D6D"/>
    <w:rsid w:val="00C75D34"/>
    <w:rsid w:val="00C76E76"/>
    <w:rsid w:val="00C77891"/>
    <w:rsid w:val="00C8678E"/>
    <w:rsid w:val="00C901CB"/>
    <w:rsid w:val="00C91449"/>
    <w:rsid w:val="00C92D10"/>
    <w:rsid w:val="00CA0010"/>
    <w:rsid w:val="00CA0A47"/>
    <w:rsid w:val="00CA48D9"/>
    <w:rsid w:val="00CB1193"/>
    <w:rsid w:val="00CB4548"/>
    <w:rsid w:val="00CB4767"/>
    <w:rsid w:val="00CB493D"/>
    <w:rsid w:val="00CB4D7D"/>
    <w:rsid w:val="00CB6189"/>
    <w:rsid w:val="00CC3B97"/>
    <w:rsid w:val="00CD37BC"/>
    <w:rsid w:val="00CD480B"/>
    <w:rsid w:val="00CE10C4"/>
    <w:rsid w:val="00CE27B5"/>
    <w:rsid w:val="00CE6DAF"/>
    <w:rsid w:val="00CF410A"/>
    <w:rsid w:val="00CF7DE0"/>
    <w:rsid w:val="00D01B14"/>
    <w:rsid w:val="00D0321E"/>
    <w:rsid w:val="00D07A8A"/>
    <w:rsid w:val="00D1455A"/>
    <w:rsid w:val="00D22093"/>
    <w:rsid w:val="00D30D7C"/>
    <w:rsid w:val="00D31150"/>
    <w:rsid w:val="00D3138B"/>
    <w:rsid w:val="00D3181B"/>
    <w:rsid w:val="00D3280C"/>
    <w:rsid w:val="00D3406A"/>
    <w:rsid w:val="00D367D9"/>
    <w:rsid w:val="00D40B11"/>
    <w:rsid w:val="00D41577"/>
    <w:rsid w:val="00D441DA"/>
    <w:rsid w:val="00D441F1"/>
    <w:rsid w:val="00D450FF"/>
    <w:rsid w:val="00D4572C"/>
    <w:rsid w:val="00D469B2"/>
    <w:rsid w:val="00D547D9"/>
    <w:rsid w:val="00D54B09"/>
    <w:rsid w:val="00D65658"/>
    <w:rsid w:val="00D72217"/>
    <w:rsid w:val="00D72B6F"/>
    <w:rsid w:val="00D741EB"/>
    <w:rsid w:val="00D7679C"/>
    <w:rsid w:val="00D8106F"/>
    <w:rsid w:val="00D81DEE"/>
    <w:rsid w:val="00D820F3"/>
    <w:rsid w:val="00D83605"/>
    <w:rsid w:val="00D84934"/>
    <w:rsid w:val="00D91271"/>
    <w:rsid w:val="00D919F5"/>
    <w:rsid w:val="00D9397C"/>
    <w:rsid w:val="00D94F03"/>
    <w:rsid w:val="00DA0A82"/>
    <w:rsid w:val="00DA0D14"/>
    <w:rsid w:val="00DA1FC9"/>
    <w:rsid w:val="00DA2CB5"/>
    <w:rsid w:val="00DA2DE2"/>
    <w:rsid w:val="00DA4BAC"/>
    <w:rsid w:val="00DB0075"/>
    <w:rsid w:val="00DB0151"/>
    <w:rsid w:val="00DB2F78"/>
    <w:rsid w:val="00DC2935"/>
    <w:rsid w:val="00DC2C3E"/>
    <w:rsid w:val="00DC4715"/>
    <w:rsid w:val="00DC4880"/>
    <w:rsid w:val="00DC572C"/>
    <w:rsid w:val="00DD2964"/>
    <w:rsid w:val="00DD5725"/>
    <w:rsid w:val="00DE1CD8"/>
    <w:rsid w:val="00DE6D27"/>
    <w:rsid w:val="00DF01F8"/>
    <w:rsid w:val="00DF217D"/>
    <w:rsid w:val="00DF26A4"/>
    <w:rsid w:val="00DF26A7"/>
    <w:rsid w:val="00DF3277"/>
    <w:rsid w:val="00DF6B01"/>
    <w:rsid w:val="00DF7919"/>
    <w:rsid w:val="00E0207E"/>
    <w:rsid w:val="00E034A8"/>
    <w:rsid w:val="00E03528"/>
    <w:rsid w:val="00E03912"/>
    <w:rsid w:val="00E04090"/>
    <w:rsid w:val="00E0673E"/>
    <w:rsid w:val="00E078D9"/>
    <w:rsid w:val="00E10293"/>
    <w:rsid w:val="00E13133"/>
    <w:rsid w:val="00E15627"/>
    <w:rsid w:val="00E164B3"/>
    <w:rsid w:val="00E16910"/>
    <w:rsid w:val="00E24E09"/>
    <w:rsid w:val="00E27234"/>
    <w:rsid w:val="00E3495C"/>
    <w:rsid w:val="00E365EF"/>
    <w:rsid w:val="00E36C71"/>
    <w:rsid w:val="00E42BDB"/>
    <w:rsid w:val="00E46D5F"/>
    <w:rsid w:val="00E47C72"/>
    <w:rsid w:val="00E50A44"/>
    <w:rsid w:val="00E52913"/>
    <w:rsid w:val="00E55E9D"/>
    <w:rsid w:val="00E57EEB"/>
    <w:rsid w:val="00E62D94"/>
    <w:rsid w:val="00E64F37"/>
    <w:rsid w:val="00E65E54"/>
    <w:rsid w:val="00E661C7"/>
    <w:rsid w:val="00E75C21"/>
    <w:rsid w:val="00E80155"/>
    <w:rsid w:val="00E8134B"/>
    <w:rsid w:val="00E81E0D"/>
    <w:rsid w:val="00E81F28"/>
    <w:rsid w:val="00E848C0"/>
    <w:rsid w:val="00E870CB"/>
    <w:rsid w:val="00E905A3"/>
    <w:rsid w:val="00E90C8A"/>
    <w:rsid w:val="00E91B96"/>
    <w:rsid w:val="00E93D1E"/>
    <w:rsid w:val="00E941A1"/>
    <w:rsid w:val="00E95CE3"/>
    <w:rsid w:val="00E97898"/>
    <w:rsid w:val="00E97A95"/>
    <w:rsid w:val="00EA252F"/>
    <w:rsid w:val="00EA2825"/>
    <w:rsid w:val="00EA6518"/>
    <w:rsid w:val="00EA7466"/>
    <w:rsid w:val="00EA7EDE"/>
    <w:rsid w:val="00EB0B63"/>
    <w:rsid w:val="00EB148E"/>
    <w:rsid w:val="00EB1936"/>
    <w:rsid w:val="00EB37BE"/>
    <w:rsid w:val="00EB47B8"/>
    <w:rsid w:val="00EB5088"/>
    <w:rsid w:val="00EC2E35"/>
    <w:rsid w:val="00EC4F48"/>
    <w:rsid w:val="00ED1644"/>
    <w:rsid w:val="00ED2593"/>
    <w:rsid w:val="00ED2F4E"/>
    <w:rsid w:val="00ED7D55"/>
    <w:rsid w:val="00ED7D9C"/>
    <w:rsid w:val="00EE16ED"/>
    <w:rsid w:val="00EE1E1C"/>
    <w:rsid w:val="00EE31A2"/>
    <w:rsid w:val="00EE5C67"/>
    <w:rsid w:val="00EF0069"/>
    <w:rsid w:val="00EF322C"/>
    <w:rsid w:val="00EF44A0"/>
    <w:rsid w:val="00EF4FED"/>
    <w:rsid w:val="00EF6FA8"/>
    <w:rsid w:val="00EF6FB3"/>
    <w:rsid w:val="00F007C6"/>
    <w:rsid w:val="00F0172E"/>
    <w:rsid w:val="00F050BD"/>
    <w:rsid w:val="00F05657"/>
    <w:rsid w:val="00F15CE3"/>
    <w:rsid w:val="00F17ED6"/>
    <w:rsid w:val="00F209E2"/>
    <w:rsid w:val="00F25578"/>
    <w:rsid w:val="00F258E5"/>
    <w:rsid w:val="00F25B9C"/>
    <w:rsid w:val="00F26CC6"/>
    <w:rsid w:val="00F300BC"/>
    <w:rsid w:val="00F30B6D"/>
    <w:rsid w:val="00F3263C"/>
    <w:rsid w:val="00F3334E"/>
    <w:rsid w:val="00F36CCB"/>
    <w:rsid w:val="00F374E5"/>
    <w:rsid w:val="00F37B93"/>
    <w:rsid w:val="00F37BAD"/>
    <w:rsid w:val="00F37ECA"/>
    <w:rsid w:val="00F43AF2"/>
    <w:rsid w:val="00F45537"/>
    <w:rsid w:val="00F46E64"/>
    <w:rsid w:val="00F5007E"/>
    <w:rsid w:val="00F50EC4"/>
    <w:rsid w:val="00F52232"/>
    <w:rsid w:val="00F550CF"/>
    <w:rsid w:val="00F57A6D"/>
    <w:rsid w:val="00F61699"/>
    <w:rsid w:val="00F638CC"/>
    <w:rsid w:val="00F64C9E"/>
    <w:rsid w:val="00F64CC1"/>
    <w:rsid w:val="00F72317"/>
    <w:rsid w:val="00F77193"/>
    <w:rsid w:val="00F80475"/>
    <w:rsid w:val="00F80991"/>
    <w:rsid w:val="00F8247A"/>
    <w:rsid w:val="00F82E5C"/>
    <w:rsid w:val="00F9629A"/>
    <w:rsid w:val="00F97EFC"/>
    <w:rsid w:val="00FA1BDD"/>
    <w:rsid w:val="00FA305C"/>
    <w:rsid w:val="00FA4DD5"/>
    <w:rsid w:val="00FA5883"/>
    <w:rsid w:val="00FA6055"/>
    <w:rsid w:val="00FA739A"/>
    <w:rsid w:val="00FA78A9"/>
    <w:rsid w:val="00FB0126"/>
    <w:rsid w:val="00FB063A"/>
    <w:rsid w:val="00FB0A57"/>
    <w:rsid w:val="00FB0B39"/>
    <w:rsid w:val="00FB322F"/>
    <w:rsid w:val="00FB3775"/>
    <w:rsid w:val="00FB442F"/>
    <w:rsid w:val="00FC118C"/>
    <w:rsid w:val="00FC1929"/>
    <w:rsid w:val="00FC5B46"/>
    <w:rsid w:val="00FC7853"/>
    <w:rsid w:val="00FD159B"/>
    <w:rsid w:val="00FD2530"/>
    <w:rsid w:val="00FD6D8E"/>
    <w:rsid w:val="00FE0663"/>
    <w:rsid w:val="00FE0E94"/>
    <w:rsid w:val="00FE3CD9"/>
    <w:rsid w:val="00FE4F39"/>
    <w:rsid w:val="00FF00BD"/>
    <w:rsid w:val="00FF18C9"/>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06F"/>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 List,ES Paragraph,PBAC ES Paragraph,PBAC normal points"/>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 List Char,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link w:val="CaptionChar"/>
    <w:uiPriority w:val="99"/>
    <w:unhideWhenUsed/>
    <w:qFormat/>
    <w:rsid w:val="00B77707"/>
    <w:pPr>
      <w:spacing w:after="200"/>
    </w:pPr>
    <w:rPr>
      <w:rFonts w:ascii="Arial Narrow" w:hAnsi="Arial Narrow"/>
      <w:b/>
      <w:iCs/>
      <w:color w:val="000000" w:themeColor="text1"/>
      <w:sz w:val="20"/>
      <w:szCs w:val="18"/>
    </w:rPr>
  </w:style>
  <w:style w:type="paragraph" w:customStyle="1" w:styleId="ProcedureStep">
    <w:name w:val="ProcedureStep"/>
    <w:basedOn w:val="Normal"/>
    <w:rsid w:val="00BF27A0"/>
    <w:pPr>
      <w:numPr>
        <w:numId w:val="12"/>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9"/>
      </w:numPr>
      <w:contextualSpacing/>
    </w:pPr>
  </w:style>
  <w:style w:type="character" w:customStyle="1" w:styleId="CaptionChar">
    <w:name w:val="Caption Char"/>
    <w:basedOn w:val="DefaultParagraphFont"/>
    <w:link w:val="Caption"/>
    <w:uiPriority w:val="99"/>
    <w:rsid w:val="003A7842"/>
    <w:rPr>
      <w:rFonts w:ascii="Arial Narrow" w:hAnsi="Arial Narrow"/>
      <w:b/>
      <w:iCs/>
      <w:color w:val="000000" w:themeColor="text1"/>
      <w:szCs w:val="18"/>
    </w:rPr>
  </w:style>
  <w:style w:type="paragraph" w:styleId="Revision">
    <w:name w:val="Revision"/>
    <w:hidden/>
    <w:uiPriority w:val="71"/>
    <w:semiHidden/>
    <w:rsid w:val="008E6A6C"/>
    <w:rPr>
      <w:rFonts w:ascii="Calibri" w:hAnsi="Calibri"/>
      <w:sz w:val="24"/>
      <w:szCs w:val="24"/>
    </w:rPr>
  </w:style>
  <w:style w:type="paragraph" w:styleId="FootnoteText">
    <w:name w:val="footnote text"/>
    <w:basedOn w:val="Normal"/>
    <w:link w:val="FootnoteTextChar"/>
    <w:semiHidden/>
    <w:unhideWhenUsed/>
    <w:rsid w:val="00202510"/>
    <w:rPr>
      <w:sz w:val="20"/>
      <w:szCs w:val="20"/>
    </w:rPr>
  </w:style>
  <w:style w:type="character" w:customStyle="1" w:styleId="FootnoteTextChar">
    <w:name w:val="Footnote Text Char"/>
    <w:basedOn w:val="DefaultParagraphFont"/>
    <w:link w:val="FootnoteText"/>
    <w:semiHidden/>
    <w:rsid w:val="00202510"/>
    <w:rPr>
      <w:rFonts w:ascii="Calibri" w:hAnsi="Calibri"/>
    </w:rPr>
  </w:style>
  <w:style w:type="character" w:styleId="FootnoteReference">
    <w:name w:val="footnote reference"/>
    <w:basedOn w:val="DefaultParagraphFont"/>
    <w:semiHidden/>
    <w:unhideWhenUsed/>
    <w:rsid w:val="002025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20466480">
      <w:bodyDiv w:val="1"/>
      <w:marLeft w:val="0"/>
      <w:marRight w:val="0"/>
      <w:marTop w:val="0"/>
      <w:marBottom w:val="0"/>
      <w:divBdr>
        <w:top w:val="none" w:sz="0" w:space="0" w:color="auto"/>
        <w:left w:val="none" w:sz="0" w:space="0" w:color="auto"/>
        <w:bottom w:val="none" w:sz="0" w:space="0" w:color="auto"/>
        <w:right w:val="none" w:sz="0" w:space="0" w:color="auto"/>
      </w:divBdr>
    </w:div>
    <w:div w:id="203325062">
      <w:bodyDiv w:val="1"/>
      <w:marLeft w:val="0"/>
      <w:marRight w:val="0"/>
      <w:marTop w:val="0"/>
      <w:marBottom w:val="0"/>
      <w:divBdr>
        <w:top w:val="none" w:sz="0" w:space="0" w:color="auto"/>
        <w:left w:val="none" w:sz="0" w:space="0" w:color="auto"/>
        <w:bottom w:val="none" w:sz="0" w:space="0" w:color="auto"/>
        <w:right w:val="none" w:sz="0" w:space="0" w:color="auto"/>
      </w:divBdr>
    </w:div>
    <w:div w:id="210390643">
      <w:bodyDiv w:val="1"/>
      <w:marLeft w:val="0"/>
      <w:marRight w:val="0"/>
      <w:marTop w:val="0"/>
      <w:marBottom w:val="0"/>
      <w:divBdr>
        <w:top w:val="none" w:sz="0" w:space="0" w:color="auto"/>
        <w:left w:val="none" w:sz="0" w:space="0" w:color="auto"/>
        <w:bottom w:val="none" w:sz="0" w:space="0" w:color="auto"/>
        <w:right w:val="none" w:sz="0" w:space="0" w:color="auto"/>
      </w:divBdr>
    </w:div>
    <w:div w:id="304698684">
      <w:bodyDiv w:val="1"/>
      <w:marLeft w:val="0"/>
      <w:marRight w:val="0"/>
      <w:marTop w:val="0"/>
      <w:marBottom w:val="0"/>
      <w:divBdr>
        <w:top w:val="none" w:sz="0" w:space="0" w:color="auto"/>
        <w:left w:val="none" w:sz="0" w:space="0" w:color="auto"/>
        <w:bottom w:val="none" w:sz="0" w:space="0" w:color="auto"/>
        <w:right w:val="none" w:sz="0" w:space="0" w:color="auto"/>
      </w:divBdr>
    </w:div>
    <w:div w:id="344943040">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99735170">
      <w:bodyDiv w:val="1"/>
      <w:marLeft w:val="0"/>
      <w:marRight w:val="0"/>
      <w:marTop w:val="0"/>
      <w:marBottom w:val="0"/>
      <w:divBdr>
        <w:top w:val="none" w:sz="0" w:space="0" w:color="auto"/>
        <w:left w:val="none" w:sz="0" w:space="0" w:color="auto"/>
        <w:bottom w:val="none" w:sz="0" w:space="0" w:color="auto"/>
        <w:right w:val="none" w:sz="0" w:space="0" w:color="auto"/>
      </w:divBdr>
    </w:div>
    <w:div w:id="535313801">
      <w:bodyDiv w:val="1"/>
      <w:marLeft w:val="0"/>
      <w:marRight w:val="0"/>
      <w:marTop w:val="0"/>
      <w:marBottom w:val="0"/>
      <w:divBdr>
        <w:top w:val="none" w:sz="0" w:space="0" w:color="auto"/>
        <w:left w:val="none" w:sz="0" w:space="0" w:color="auto"/>
        <w:bottom w:val="none" w:sz="0" w:space="0" w:color="auto"/>
        <w:right w:val="none" w:sz="0" w:space="0" w:color="auto"/>
      </w:divBdr>
    </w:div>
    <w:div w:id="653754224">
      <w:bodyDiv w:val="1"/>
      <w:marLeft w:val="0"/>
      <w:marRight w:val="0"/>
      <w:marTop w:val="0"/>
      <w:marBottom w:val="0"/>
      <w:divBdr>
        <w:top w:val="none" w:sz="0" w:space="0" w:color="auto"/>
        <w:left w:val="none" w:sz="0" w:space="0" w:color="auto"/>
        <w:bottom w:val="none" w:sz="0" w:space="0" w:color="auto"/>
        <w:right w:val="none" w:sz="0" w:space="0" w:color="auto"/>
      </w:divBdr>
    </w:div>
    <w:div w:id="717167238">
      <w:bodyDiv w:val="1"/>
      <w:marLeft w:val="0"/>
      <w:marRight w:val="0"/>
      <w:marTop w:val="0"/>
      <w:marBottom w:val="0"/>
      <w:divBdr>
        <w:top w:val="none" w:sz="0" w:space="0" w:color="auto"/>
        <w:left w:val="none" w:sz="0" w:space="0" w:color="auto"/>
        <w:bottom w:val="none" w:sz="0" w:space="0" w:color="auto"/>
        <w:right w:val="none" w:sz="0" w:space="0" w:color="auto"/>
      </w:divBdr>
    </w:div>
    <w:div w:id="79621959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47914590">
      <w:bodyDiv w:val="1"/>
      <w:marLeft w:val="0"/>
      <w:marRight w:val="0"/>
      <w:marTop w:val="0"/>
      <w:marBottom w:val="0"/>
      <w:divBdr>
        <w:top w:val="none" w:sz="0" w:space="0" w:color="auto"/>
        <w:left w:val="none" w:sz="0" w:space="0" w:color="auto"/>
        <w:bottom w:val="none" w:sz="0" w:space="0" w:color="auto"/>
        <w:right w:val="none" w:sz="0" w:space="0" w:color="auto"/>
      </w:divBdr>
    </w:div>
    <w:div w:id="896473570">
      <w:bodyDiv w:val="1"/>
      <w:marLeft w:val="0"/>
      <w:marRight w:val="0"/>
      <w:marTop w:val="0"/>
      <w:marBottom w:val="0"/>
      <w:divBdr>
        <w:top w:val="none" w:sz="0" w:space="0" w:color="auto"/>
        <w:left w:val="none" w:sz="0" w:space="0" w:color="auto"/>
        <w:bottom w:val="none" w:sz="0" w:space="0" w:color="auto"/>
        <w:right w:val="none" w:sz="0" w:space="0" w:color="auto"/>
      </w:divBdr>
    </w:div>
    <w:div w:id="934631186">
      <w:bodyDiv w:val="1"/>
      <w:marLeft w:val="0"/>
      <w:marRight w:val="0"/>
      <w:marTop w:val="0"/>
      <w:marBottom w:val="0"/>
      <w:divBdr>
        <w:top w:val="none" w:sz="0" w:space="0" w:color="auto"/>
        <w:left w:val="none" w:sz="0" w:space="0" w:color="auto"/>
        <w:bottom w:val="none" w:sz="0" w:space="0" w:color="auto"/>
        <w:right w:val="none" w:sz="0" w:space="0" w:color="auto"/>
      </w:divBdr>
    </w:div>
    <w:div w:id="1069033321">
      <w:bodyDiv w:val="1"/>
      <w:marLeft w:val="0"/>
      <w:marRight w:val="0"/>
      <w:marTop w:val="0"/>
      <w:marBottom w:val="0"/>
      <w:divBdr>
        <w:top w:val="none" w:sz="0" w:space="0" w:color="auto"/>
        <w:left w:val="none" w:sz="0" w:space="0" w:color="auto"/>
        <w:bottom w:val="none" w:sz="0" w:space="0" w:color="auto"/>
        <w:right w:val="none" w:sz="0" w:space="0" w:color="auto"/>
      </w:divBdr>
    </w:div>
    <w:div w:id="1128858831">
      <w:bodyDiv w:val="1"/>
      <w:marLeft w:val="0"/>
      <w:marRight w:val="0"/>
      <w:marTop w:val="0"/>
      <w:marBottom w:val="0"/>
      <w:divBdr>
        <w:top w:val="none" w:sz="0" w:space="0" w:color="auto"/>
        <w:left w:val="none" w:sz="0" w:space="0" w:color="auto"/>
        <w:bottom w:val="none" w:sz="0" w:space="0" w:color="auto"/>
        <w:right w:val="none" w:sz="0" w:space="0" w:color="auto"/>
      </w:divBdr>
    </w:div>
    <w:div w:id="1259947215">
      <w:bodyDiv w:val="1"/>
      <w:marLeft w:val="0"/>
      <w:marRight w:val="0"/>
      <w:marTop w:val="0"/>
      <w:marBottom w:val="0"/>
      <w:divBdr>
        <w:top w:val="none" w:sz="0" w:space="0" w:color="auto"/>
        <w:left w:val="none" w:sz="0" w:space="0" w:color="auto"/>
        <w:bottom w:val="none" w:sz="0" w:space="0" w:color="auto"/>
        <w:right w:val="none" w:sz="0" w:space="0" w:color="auto"/>
      </w:divBdr>
    </w:div>
    <w:div w:id="1342004436">
      <w:bodyDiv w:val="1"/>
      <w:marLeft w:val="0"/>
      <w:marRight w:val="0"/>
      <w:marTop w:val="0"/>
      <w:marBottom w:val="0"/>
      <w:divBdr>
        <w:top w:val="none" w:sz="0" w:space="0" w:color="auto"/>
        <w:left w:val="none" w:sz="0" w:space="0" w:color="auto"/>
        <w:bottom w:val="none" w:sz="0" w:space="0" w:color="auto"/>
        <w:right w:val="none" w:sz="0" w:space="0" w:color="auto"/>
      </w:divBdr>
    </w:div>
    <w:div w:id="148893313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6300914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36091975">
      <w:bodyDiv w:val="1"/>
      <w:marLeft w:val="0"/>
      <w:marRight w:val="0"/>
      <w:marTop w:val="0"/>
      <w:marBottom w:val="0"/>
      <w:divBdr>
        <w:top w:val="none" w:sz="0" w:space="0" w:color="auto"/>
        <w:left w:val="none" w:sz="0" w:space="0" w:color="auto"/>
        <w:bottom w:val="none" w:sz="0" w:space="0" w:color="auto"/>
        <w:right w:val="none" w:sz="0" w:space="0" w:color="auto"/>
      </w:divBdr>
    </w:div>
    <w:div w:id="2023705252">
      <w:bodyDiv w:val="1"/>
      <w:marLeft w:val="0"/>
      <w:marRight w:val="0"/>
      <w:marTop w:val="0"/>
      <w:marBottom w:val="0"/>
      <w:divBdr>
        <w:top w:val="none" w:sz="0" w:space="0" w:color="auto"/>
        <w:left w:val="none" w:sz="0" w:space="0" w:color="auto"/>
        <w:bottom w:val="none" w:sz="0" w:space="0" w:color="auto"/>
        <w:right w:val="none" w:sz="0" w:space="0" w:color="auto"/>
      </w:divBdr>
    </w:div>
    <w:div w:id="214430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oleObject" Target="file:///\\AP.NOVARTIS.NET\AUNO-DFS\DATA\PH\BusUnits\Market%20Access%20Dept\HE\ribociclib\Local%20Data\PBS%20data%20CDKs%2001042020%20KIS%20M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PBS Benefits data </a:t>
            </a:r>
            <a:r>
              <a:rPr lang="en-AU" baseline="0"/>
              <a:t> - CDK 4/6 inhibitor Market </a:t>
            </a: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2"/>
          <c:order val="2"/>
          <c:tx>
            <c:strRef>
              <c:f>'2018-May2020 benefits'!$L$354</c:f>
              <c:strCache>
                <c:ptCount val="1"/>
                <c:pt idx="0">
                  <c:v>Benefit Value</c:v>
                </c:pt>
              </c:strCache>
            </c:strRef>
          </c:tx>
          <c:spPr>
            <a:ln w="28575" cap="rnd">
              <a:solidFill>
                <a:schemeClr val="accent3"/>
              </a:solidFill>
              <a:round/>
            </a:ln>
            <a:effectLst/>
          </c:spPr>
          <c:marker>
            <c:symbol val="none"/>
          </c:marker>
          <c:trendline>
            <c:spPr>
              <a:ln w="19050" cap="rnd">
                <a:solidFill>
                  <a:schemeClr val="accent3"/>
                </a:solidFill>
                <a:prstDash val="sysDot"/>
              </a:ln>
              <a:effectLst/>
            </c:spPr>
            <c:trendlineType val="linear"/>
            <c:forward val="12"/>
            <c:dispRSqr val="0"/>
            <c:dispEq val="0"/>
          </c:trendline>
          <c:cat>
            <c:numRef>
              <c:f>'2018-May2020 benefits'!$A$355:$A$378</c:f>
              <c:numCache>
                <c:formatCode>mmm\-yyyy</c:formatCode>
                <c:ptCount val="24"/>
                <c:pt idx="0">
                  <c:v>43282</c:v>
                </c:pt>
                <c:pt idx="1">
                  <c:v>43313</c:v>
                </c:pt>
                <c:pt idx="2">
                  <c:v>43344</c:v>
                </c:pt>
                <c:pt idx="3">
                  <c:v>43374</c:v>
                </c:pt>
                <c:pt idx="4">
                  <c:v>43405</c:v>
                </c:pt>
                <c:pt idx="5">
                  <c:v>43435</c:v>
                </c:pt>
                <c:pt idx="6">
                  <c:v>43466</c:v>
                </c:pt>
                <c:pt idx="7">
                  <c:v>43497</c:v>
                </c:pt>
                <c:pt idx="8">
                  <c:v>43525</c:v>
                </c:pt>
                <c:pt idx="9">
                  <c:v>43556</c:v>
                </c:pt>
                <c:pt idx="10">
                  <c:v>43586</c:v>
                </c:pt>
                <c:pt idx="11">
                  <c:v>43617</c:v>
                </c:pt>
                <c:pt idx="12">
                  <c:v>43647</c:v>
                </c:pt>
                <c:pt idx="13">
                  <c:v>43678</c:v>
                </c:pt>
                <c:pt idx="14">
                  <c:v>43709</c:v>
                </c:pt>
                <c:pt idx="15">
                  <c:v>43739</c:v>
                </c:pt>
                <c:pt idx="16">
                  <c:v>43770</c:v>
                </c:pt>
                <c:pt idx="17">
                  <c:v>43800</c:v>
                </c:pt>
                <c:pt idx="18">
                  <c:v>43831</c:v>
                </c:pt>
                <c:pt idx="19">
                  <c:v>43862</c:v>
                </c:pt>
                <c:pt idx="20">
                  <c:v>43891</c:v>
                </c:pt>
                <c:pt idx="21">
                  <c:v>43922</c:v>
                </c:pt>
                <c:pt idx="22">
                  <c:v>43952</c:v>
                </c:pt>
                <c:pt idx="23">
                  <c:v>43983</c:v>
                </c:pt>
              </c:numCache>
            </c:numRef>
          </c:cat>
          <c:val>
            <c:numRef>
              <c:f>'2018-May2020 benefits'!$L$355:$L$378</c:f>
              <c:numCache>
                <c:formatCode>#,##0</c:formatCode>
                <c:ptCount val="24"/>
                <c:pt idx="0">
                  <c:v>1447855</c:v>
                </c:pt>
                <c:pt idx="1">
                  <c:v>4373461</c:v>
                </c:pt>
                <c:pt idx="2">
                  <c:v>4181789</c:v>
                </c:pt>
                <c:pt idx="3">
                  <c:v>4369939</c:v>
                </c:pt>
                <c:pt idx="4">
                  <c:v>5115062</c:v>
                </c:pt>
                <c:pt idx="5">
                  <c:v>6138313</c:v>
                </c:pt>
                <c:pt idx="6">
                  <c:v>5187361</c:v>
                </c:pt>
                <c:pt idx="7">
                  <c:v>5755227</c:v>
                </c:pt>
                <c:pt idx="8">
                  <c:v>6764572</c:v>
                </c:pt>
                <c:pt idx="9">
                  <c:v>5702165</c:v>
                </c:pt>
                <c:pt idx="10">
                  <c:v>7246433</c:v>
                </c:pt>
                <c:pt idx="11">
                  <c:v>8353259</c:v>
                </c:pt>
                <c:pt idx="12">
                  <c:v>8010515</c:v>
                </c:pt>
                <c:pt idx="13">
                  <c:v>8571957</c:v>
                </c:pt>
                <c:pt idx="14">
                  <c:v>8373282</c:v>
                </c:pt>
                <c:pt idx="15">
                  <c:v>8732915</c:v>
                </c:pt>
                <c:pt idx="16">
                  <c:v>9832652</c:v>
                </c:pt>
                <c:pt idx="17">
                  <c:v>9603763</c:v>
                </c:pt>
                <c:pt idx="18">
                  <c:v>9521621</c:v>
                </c:pt>
                <c:pt idx="19">
                  <c:v>9946065</c:v>
                </c:pt>
                <c:pt idx="20">
                  <c:v>10262613</c:v>
                </c:pt>
                <c:pt idx="21">
                  <c:v>10924618</c:v>
                </c:pt>
                <c:pt idx="22">
                  <c:v>10491892</c:v>
                </c:pt>
                <c:pt idx="23">
                  <c:v>10275004</c:v>
                </c:pt>
              </c:numCache>
            </c:numRef>
          </c:val>
          <c:smooth val="0"/>
          <c:extLst>
            <c:ext xmlns:c16="http://schemas.microsoft.com/office/drawing/2014/chart" uri="{C3380CC4-5D6E-409C-BE32-E72D297353CC}">
              <c16:uniqueId val="{00000000-3B3E-4014-81D9-08B9139E1911}"/>
            </c:ext>
          </c:extLst>
        </c:ser>
        <c:dLbls>
          <c:showLegendKey val="0"/>
          <c:showVal val="0"/>
          <c:showCatName val="0"/>
          <c:showSerName val="0"/>
          <c:showPercent val="0"/>
          <c:showBubbleSize val="0"/>
        </c:dLbls>
        <c:smooth val="0"/>
        <c:axId val="317948112"/>
        <c:axId val="317948440"/>
        <c:extLst>
          <c:ext xmlns:c15="http://schemas.microsoft.com/office/drawing/2012/chart" uri="{02D57815-91ED-43cb-92C2-25804820EDAC}">
            <c15:filteredLineSeries>
              <c15:ser>
                <c:idx val="0"/>
                <c:order val="0"/>
                <c:tx>
                  <c:strRef>
                    <c:extLst>
                      <c:ext uri="{02D57815-91ED-43cb-92C2-25804820EDAC}">
                        <c15:formulaRef>
                          <c15:sqref>'2018-May2020 benefits'!$B$354</c15:sqref>
                        </c15:formulaRef>
                      </c:ext>
                    </c:extLst>
                    <c:strCache>
                      <c:ptCount val="1"/>
                    </c:strCache>
                  </c:strRef>
                </c:tx>
                <c:spPr>
                  <a:ln w="28575" cap="rnd">
                    <a:solidFill>
                      <a:schemeClr val="accent1"/>
                    </a:solidFill>
                    <a:round/>
                  </a:ln>
                  <a:effectLst/>
                </c:spPr>
                <c:marker>
                  <c:symbol val="none"/>
                </c:marker>
                <c:cat>
                  <c:numRef>
                    <c:extLst>
                      <c:ext uri="{02D57815-91ED-43cb-92C2-25804820EDAC}">
                        <c15:formulaRef>
                          <c15:sqref>'2018-May2020 benefits'!$A$355:$A$378</c15:sqref>
                        </c15:formulaRef>
                      </c:ext>
                    </c:extLst>
                    <c:numCache>
                      <c:formatCode>mmm\-yyyy</c:formatCode>
                      <c:ptCount val="24"/>
                      <c:pt idx="0">
                        <c:v>43282</c:v>
                      </c:pt>
                      <c:pt idx="1">
                        <c:v>43313</c:v>
                      </c:pt>
                      <c:pt idx="2">
                        <c:v>43344</c:v>
                      </c:pt>
                      <c:pt idx="3">
                        <c:v>43374</c:v>
                      </c:pt>
                      <c:pt idx="4">
                        <c:v>43405</c:v>
                      </c:pt>
                      <c:pt idx="5">
                        <c:v>43435</c:v>
                      </c:pt>
                      <c:pt idx="6">
                        <c:v>43466</c:v>
                      </c:pt>
                      <c:pt idx="7">
                        <c:v>43497</c:v>
                      </c:pt>
                      <c:pt idx="8">
                        <c:v>43525</c:v>
                      </c:pt>
                      <c:pt idx="9">
                        <c:v>43556</c:v>
                      </c:pt>
                      <c:pt idx="10">
                        <c:v>43586</c:v>
                      </c:pt>
                      <c:pt idx="11">
                        <c:v>43617</c:v>
                      </c:pt>
                      <c:pt idx="12">
                        <c:v>43647</c:v>
                      </c:pt>
                      <c:pt idx="13">
                        <c:v>43678</c:v>
                      </c:pt>
                      <c:pt idx="14">
                        <c:v>43709</c:v>
                      </c:pt>
                      <c:pt idx="15">
                        <c:v>43739</c:v>
                      </c:pt>
                      <c:pt idx="16">
                        <c:v>43770</c:v>
                      </c:pt>
                      <c:pt idx="17">
                        <c:v>43800</c:v>
                      </c:pt>
                      <c:pt idx="18">
                        <c:v>43831</c:v>
                      </c:pt>
                      <c:pt idx="19">
                        <c:v>43862</c:v>
                      </c:pt>
                      <c:pt idx="20">
                        <c:v>43891</c:v>
                      </c:pt>
                      <c:pt idx="21">
                        <c:v>43922</c:v>
                      </c:pt>
                      <c:pt idx="22">
                        <c:v>43952</c:v>
                      </c:pt>
                      <c:pt idx="23">
                        <c:v>43983</c:v>
                      </c:pt>
                    </c:numCache>
                  </c:numRef>
                </c:cat>
                <c:val>
                  <c:numRef>
                    <c:extLst>
                      <c:ext uri="{02D57815-91ED-43cb-92C2-25804820EDAC}">
                        <c15:formulaRef>
                          <c15:sqref>'2018-May2020 benefits'!$B$355:$B$377</c15:sqref>
                        </c15:formulaRef>
                      </c:ext>
                    </c:extLst>
                    <c:numCache>
                      <c:formatCode>General</c:formatCode>
                      <c:ptCount val="23"/>
                    </c:numCache>
                  </c:numRef>
                </c:val>
                <c:smooth val="0"/>
                <c:extLst>
                  <c:ext xmlns:c16="http://schemas.microsoft.com/office/drawing/2014/chart" uri="{C3380CC4-5D6E-409C-BE32-E72D297353CC}">
                    <c16:uniqueId val="{00000001-3B3E-4014-81D9-08B9139E1911}"/>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'2018-May2020 benefits'!$C$354</c15:sqref>
                        </c15:formulaRef>
                      </c:ext>
                    </c:extLst>
                    <c:strCache>
                      <c:ptCount val="1"/>
                    </c:strCache>
                  </c:strRef>
                </c:tx>
                <c:spPr>
                  <a:ln w="28575" cap="rnd">
                    <a:solidFill>
                      <a:schemeClr val="accent2"/>
                    </a:solidFill>
                    <a:round/>
                  </a:ln>
                  <a:effectLst/>
                </c:spPr>
                <c:marker>
                  <c:symbol val="none"/>
                </c:marker>
                <c:cat>
                  <c:numRef>
                    <c:extLst xmlns:c15="http://schemas.microsoft.com/office/drawing/2012/chart">
                      <c:ext xmlns:c15="http://schemas.microsoft.com/office/drawing/2012/chart" uri="{02D57815-91ED-43cb-92C2-25804820EDAC}">
                        <c15:formulaRef>
                          <c15:sqref>'2018-May2020 benefits'!$A$355:$A$378</c15:sqref>
                        </c15:formulaRef>
                      </c:ext>
                    </c:extLst>
                    <c:numCache>
                      <c:formatCode>mmm\-yyyy</c:formatCode>
                      <c:ptCount val="24"/>
                      <c:pt idx="0">
                        <c:v>43282</c:v>
                      </c:pt>
                      <c:pt idx="1">
                        <c:v>43313</c:v>
                      </c:pt>
                      <c:pt idx="2">
                        <c:v>43344</c:v>
                      </c:pt>
                      <c:pt idx="3">
                        <c:v>43374</c:v>
                      </c:pt>
                      <c:pt idx="4">
                        <c:v>43405</c:v>
                      </c:pt>
                      <c:pt idx="5">
                        <c:v>43435</c:v>
                      </c:pt>
                      <c:pt idx="6">
                        <c:v>43466</c:v>
                      </c:pt>
                      <c:pt idx="7">
                        <c:v>43497</c:v>
                      </c:pt>
                      <c:pt idx="8">
                        <c:v>43525</c:v>
                      </c:pt>
                      <c:pt idx="9">
                        <c:v>43556</c:v>
                      </c:pt>
                      <c:pt idx="10">
                        <c:v>43586</c:v>
                      </c:pt>
                      <c:pt idx="11">
                        <c:v>43617</c:v>
                      </c:pt>
                      <c:pt idx="12">
                        <c:v>43647</c:v>
                      </c:pt>
                      <c:pt idx="13">
                        <c:v>43678</c:v>
                      </c:pt>
                      <c:pt idx="14">
                        <c:v>43709</c:v>
                      </c:pt>
                      <c:pt idx="15">
                        <c:v>43739</c:v>
                      </c:pt>
                      <c:pt idx="16">
                        <c:v>43770</c:v>
                      </c:pt>
                      <c:pt idx="17">
                        <c:v>43800</c:v>
                      </c:pt>
                      <c:pt idx="18">
                        <c:v>43831</c:v>
                      </c:pt>
                      <c:pt idx="19">
                        <c:v>43862</c:v>
                      </c:pt>
                      <c:pt idx="20">
                        <c:v>43891</c:v>
                      </c:pt>
                      <c:pt idx="21">
                        <c:v>43922</c:v>
                      </c:pt>
                      <c:pt idx="22">
                        <c:v>43952</c:v>
                      </c:pt>
                      <c:pt idx="23">
                        <c:v>43983</c:v>
                      </c:pt>
                    </c:numCache>
                  </c:numRef>
                </c:cat>
                <c:val>
                  <c:numRef>
                    <c:extLst xmlns:c15="http://schemas.microsoft.com/office/drawing/2012/chart">
                      <c:ext xmlns:c15="http://schemas.microsoft.com/office/drawing/2012/chart" uri="{02D57815-91ED-43cb-92C2-25804820EDAC}">
                        <c15:formulaRef>
                          <c15:sqref>'2018-May2020 benefits'!$C$355:$C$377</c15:sqref>
                        </c15:formulaRef>
                      </c:ext>
                    </c:extLst>
                    <c:numCache>
                      <c:formatCode>General</c:formatCode>
                      <c:ptCount val="23"/>
                    </c:numCache>
                  </c:numRef>
                </c:val>
                <c:smooth val="0"/>
                <c:extLst xmlns:c15="http://schemas.microsoft.com/office/drawing/2012/chart">
                  <c:ext xmlns:c16="http://schemas.microsoft.com/office/drawing/2014/chart" uri="{C3380CC4-5D6E-409C-BE32-E72D297353CC}">
                    <c16:uniqueId val="{00000002-3B3E-4014-81D9-08B9139E1911}"/>
                  </c:ext>
                </c:extLst>
              </c15:ser>
            </c15:filteredLineSeries>
          </c:ext>
        </c:extLst>
      </c:lineChart>
      <c:dateAx>
        <c:axId val="317948112"/>
        <c:scaling>
          <c:orientation val="minMax"/>
        </c:scaling>
        <c:delete val="0"/>
        <c:axPos val="b"/>
        <c:numFmt formatCode="mmm\-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948440"/>
        <c:crosses val="autoZero"/>
        <c:auto val="1"/>
        <c:lblOffset val="100"/>
        <c:baseTimeUnit val="months"/>
      </c:dateAx>
      <c:valAx>
        <c:axId val="317948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948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A3FD5-400F-40A8-AE01-745B609D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10713</Words>
  <Characters>61398</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2021-03-01T04:42:00Z</dcterms:created>
  <dcterms:modified xsi:type="dcterms:W3CDTF">2021-03-05T01:38:00Z</dcterms:modified>
</cp:coreProperties>
</file>