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FDA" w:rsidRPr="002D4988" w:rsidRDefault="00352FDA" w:rsidP="00602260">
      <w:pPr>
        <w:rPr>
          <w:rFonts w:cs="Calibri"/>
        </w:rPr>
      </w:pPr>
      <w:bookmarkStart w:id="0" w:name="_Toc51163576"/>
    </w:p>
    <w:p w:rsidR="00B60939" w:rsidRPr="002D4988" w:rsidRDefault="00044A5F" w:rsidP="004A6040">
      <w:pPr>
        <w:pStyle w:val="1-MainHeading"/>
      </w:pPr>
      <w:r w:rsidRPr="002D4988">
        <w:t>7.07</w:t>
      </w:r>
      <w:r w:rsidR="00163F66" w:rsidRPr="002D4988">
        <w:tab/>
      </w:r>
      <w:r w:rsidR="00834CD8" w:rsidRPr="002D4988">
        <w:t>TOFACITINIB</w:t>
      </w:r>
      <w:r w:rsidR="00163F66" w:rsidRPr="002D4988">
        <w:t>,</w:t>
      </w:r>
      <w:r w:rsidR="00163F66" w:rsidRPr="002D4988">
        <w:br/>
      </w:r>
      <w:r w:rsidRPr="002D4988">
        <w:t>T</w:t>
      </w:r>
      <w:r w:rsidR="00834CD8" w:rsidRPr="002D4988">
        <w:t>ablet 5mg, tablet 10mg</w:t>
      </w:r>
      <w:r w:rsidR="00163F66" w:rsidRPr="002D4988">
        <w:t>,</w:t>
      </w:r>
      <w:r w:rsidR="00163F66" w:rsidRPr="002D4988">
        <w:br/>
      </w:r>
      <w:r w:rsidR="00834CD8" w:rsidRPr="002D4988">
        <w:t>Xeljanz</w:t>
      </w:r>
      <w:r w:rsidR="00B60939" w:rsidRPr="002D4988">
        <w:rPr>
          <w:vertAlign w:val="superscript"/>
        </w:rPr>
        <w:t>®</w:t>
      </w:r>
      <w:r w:rsidR="004A6040" w:rsidRPr="002D4988">
        <w:t>,</w:t>
      </w:r>
      <w:r w:rsidR="004A6040" w:rsidRPr="002D4988">
        <w:br/>
      </w:r>
      <w:r w:rsidR="00834CD8" w:rsidRPr="002D4988">
        <w:t>Pfizer Australia</w:t>
      </w:r>
      <w:bookmarkEnd w:id="0"/>
      <w:r w:rsidR="0066041C">
        <w:t xml:space="preserve"> Pty Ltd</w:t>
      </w:r>
    </w:p>
    <w:p w:rsidR="00B50DB8" w:rsidRPr="002D4988" w:rsidRDefault="00B50DB8" w:rsidP="004A6040">
      <w:pPr>
        <w:pStyle w:val="2-SectionHeading"/>
      </w:pPr>
      <w:bookmarkStart w:id="1" w:name="_Toc51163578"/>
      <w:r w:rsidRPr="002D4988">
        <w:t xml:space="preserve">Purpose of </w:t>
      </w:r>
      <w:r w:rsidR="00CD7193" w:rsidRPr="002D4988">
        <w:t>s</w:t>
      </w:r>
      <w:r w:rsidR="00BB3A45" w:rsidRPr="002D4988">
        <w:t>ubmission</w:t>
      </w:r>
      <w:bookmarkEnd w:id="1"/>
    </w:p>
    <w:p w:rsidR="00E80F71" w:rsidRPr="002D4988" w:rsidRDefault="00E80F71" w:rsidP="00E143D9">
      <w:pPr>
        <w:pStyle w:val="3-BodyText"/>
      </w:pPr>
      <w:r w:rsidRPr="002D4988">
        <w:t>The resubmission requested</w:t>
      </w:r>
      <w:r w:rsidR="00863D64" w:rsidRPr="002D4988">
        <w:t xml:space="preserve"> the</w:t>
      </w:r>
      <w:r w:rsidRPr="002D4988">
        <w:t xml:space="preserve"> </w:t>
      </w:r>
      <w:r w:rsidR="001A18F6" w:rsidRPr="002D4988">
        <w:t xml:space="preserve">PBAC reconsider its March 2019 recommendation for </w:t>
      </w:r>
      <w:r w:rsidR="00044A5F" w:rsidRPr="002D4988">
        <w:t xml:space="preserve">a General Schedule, </w:t>
      </w:r>
      <w:r w:rsidRPr="002D4988">
        <w:t>Authority Required listing for tofacitinib (TOF) for the treatment of moderate to severe ulcerative colitis (MSUC)</w:t>
      </w:r>
      <w:r w:rsidR="001A18F6" w:rsidRPr="002D4988">
        <w:t>, in particular PBAC’s recommendation that TOF be listed on a cost-minimisation basis against the least costly alternative biologic therapy currently PBS subsidised for this condition</w:t>
      </w:r>
      <w:r w:rsidR="0039042B" w:rsidRPr="002D4988">
        <w:t>.</w:t>
      </w:r>
    </w:p>
    <w:p w:rsidR="00831FB0" w:rsidRPr="002D4988" w:rsidRDefault="001A18F6" w:rsidP="00831FB0">
      <w:pPr>
        <w:pStyle w:val="3-BodyText"/>
        <w:numPr>
          <w:ilvl w:val="0"/>
          <w:numId w:val="0"/>
        </w:numPr>
        <w:ind w:left="720"/>
        <w:rPr>
          <w:rFonts w:ascii="Arial Narrow" w:hAnsi="Arial Narrow"/>
          <w:b/>
          <w:sz w:val="20"/>
        </w:rPr>
      </w:pPr>
      <w:r w:rsidRPr="002D4988">
        <w:t xml:space="preserve">The resubmission </w:t>
      </w:r>
      <w:r w:rsidR="00E80F71" w:rsidRPr="002D4988">
        <w:t xml:space="preserve">requested </w:t>
      </w:r>
      <w:r w:rsidRPr="002D4988">
        <w:t xml:space="preserve">listing </w:t>
      </w:r>
      <w:r w:rsidR="00E80F71" w:rsidRPr="002D4988">
        <w:t>on the basis of a cost-minimisation analysis versus a weighted comparator of infliximab (</w:t>
      </w:r>
      <w:r w:rsidR="00E80F71" w:rsidRPr="002D4988">
        <w:rPr>
          <w:rFonts w:eastAsiaTheme="minorEastAsia"/>
          <w:lang w:eastAsia="en-US"/>
        </w:rPr>
        <w:t>IFX), vedolizumab (VDZ), golimumab (GOL) and adalimumab (ADA)</w:t>
      </w:r>
      <w:r w:rsidR="00E80F71" w:rsidRPr="002D4988">
        <w:t>.</w:t>
      </w:r>
      <w:r w:rsidR="0098240F" w:rsidRPr="002D4988">
        <w:t xml:space="preserve"> </w:t>
      </w:r>
    </w:p>
    <w:p w:rsidR="008B1757" w:rsidRPr="002D4988" w:rsidRDefault="008B1757" w:rsidP="003B3813">
      <w:pPr>
        <w:pStyle w:val="3-BodyText"/>
        <w:keepNext/>
        <w:keepLines/>
        <w:numPr>
          <w:ilvl w:val="0"/>
          <w:numId w:val="0"/>
        </w:numPr>
        <w:rPr>
          <w:rStyle w:val="CommentReference"/>
        </w:rPr>
      </w:pPr>
      <w:r w:rsidRPr="002D4988">
        <w:rPr>
          <w:rStyle w:val="CommentReference"/>
        </w:rPr>
        <w:lastRenderedPageBreak/>
        <w:t xml:space="preserve">Table </w:t>
      </w:r>
      <w:r w:rsidR="00BC0889" w:rsidRPr="002D4988">
        <w:rPr>
          <w:rStyle w:val="CommentReference"/>
        </w:rPr>
        <w:t>1</w:t>
      </w:r>
      <w:r w:rsidRPr="002D4988">
        <w:rPr>
          <w:rStyle w:val="CommentReference"/>
        </w:rPr>
        <w:t>:</w:t>
      </w:r>
      <w:r w:rsidR="00BC591F" w:rsidRPr="002D4988">
        <w:rPr>
          <w:rStyle w:val="CommentReference"/>
        </w:rPr>
        <w:t xml:space="preserve"> </w:t>
      </w:r>
      <w:r w:rsidRPr="002D4988">
        <w:rPr>
          <w:rStyle w:val="CommentReference"/>
        </w:rPr>
        <w:t>Key components of the clinical issue addressed by the submission</w:t>
      </w:r>
      <w:r w:rsidR="007170DA" w:rsidRPr="002D4988">
        <w:rPr>
          <w:rStyle w:val="CommentReference"/>
        </w:rPr>
        <w:t xml:space="preserve"> (as stated in the </w:t>
      </w:r>
      <w:r w:rsidR="00314972" w:rsidRPr="002D4988">
        <w:rPr>
          <w:rStyle w:val="CommentReference"/>
        </w:rPr>
        <w:t>re</w:t>
      </w:r>
      <w:r w:rsidR="007170DA" w:rsidRPr="002D4988">
        <w:rPr>
          <w:rStyle w:val="CommentReference"/>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8B1757" w:rsidRPr="002D4988" w:rsidTr="005D4BB6">
        <w:trPr>
          <w:cantSplit/>
          <w:tblHeader/>
        </w:trPr>
        <w:tc>
          <w:tcPr>
            <w:tcW w:w="705" w:type="pct"/>
            <w:shd w:val="clear" w:color="auto" w:fill="auto"/>
          </w:tcPr>
          <w:p w:rsidR="008B1757" w:rsidRPr="002D4988" w:rsidRDefault="008B1757" w:rsidP="003B3813">
            <w:pPr>
              <w:pStyle w:val="In-tableHeading"/>
              <w:keepLines/>
              <w:rPr>
                <w:szCs w:val="20"/>
                <w:lang w:val="en-AU"/>
              </w:rPr>
            </w:pPr>
            <w:r w:rsidRPr="002D4988">
              <w:rPr>
                <w:lang w:val="en-AU"/>
              </w:rPr>
              <w:t>Component</w:t>
            </w:r>
          </w:p>
        </w:tc>
        <w:tc>
          <w:tcPr>
            <w:tcW w:w="4295" w:type="pct"/>
            <w:shd w:val="clear" w:color="auto" w:fill="auto"/>
          </w:tcPr>
          <w:p w:rsidR="008B1757" w:rsidRPr="002D4988" w:rsidRDefault="008B1757" w:rsidP="003B3813">
            <w:pPr>
              <w:pStyle w:val="In-tableHeading"/>
              <w:keepLines/>
              <w:rPr>
                <w:lang w:val="en-AU"/>
              </w:rPr>
            </w:pPr>
            <w:r w:rsidRPr="002D4988">
              <w:rPr>
                <w:lang w:val="en-AU"/>
              </w:rPr>
              <w:t>Description</w:t>
            </w:r>
          </w:p>
        </w:tc>
      </w:tr>
      <w:tr w:rsidR="00314972" w:rsidRPr="002D4988" w:rsidTr="005D4BB6">
        <w:trPr>
          <w:cantSplit/>
        </w:trPr>
        <w:tc>
          <w:tcPr>
            <w:tcW w:w="705" w:type="pct"/>
            <w:shd w:val="clear" w:color="auto" w:fill="DBE5F1" w:themeFill="accent1" w:themeFillTint="33"/>
            <w:vAlign w:val="center"/>
          </w:tcPr>
          <w:p w:rsidR="00314972" w:rsidRPr="002D4988" w:rsidRDefault="00314972" w:rsidP="003B3813">
            <w:pPr>
              <w:pStyle w:val="TableText0"/>
              <w:keepLines/>
            </w:pPr>
            <w:r w:rsidRPr="002D4988">
              <w:t>Population</w:t>
            </w:r>
          </w:p>
        </w:tc>
        <w:tc>
          <w:tcPr>
            <w:tcW w:w="4295" w:type="pct"/>
            <w:shd w:val="clear" w:color="auto" w:fill="DBE5F1" w:themeFill="accent1" w:themeFillTint="33"/>
          </w:tcPr>
          <w:p w:rsidR="00314972" w:rsidRPr="002D4988" w:rsidRDefault="00314972" w:rsidP="003B3813">
            <w:pPr>
              <w:pStyle w:val="TableText0"/>
              <w:keepLines/>
              <w:rPr>
                <w:szCs w:val="20"/>
              </w:rPr>
            </w:pPr>
            <w:r w:rsidRPr="002D4988">
              <w:t>Adult patients with moderate to severe ulcerative colitis who have had an inadequate response, lost response, or were intolerant to standard treatment.</w:t>
            </w:r>
          </w:p>
        </w:tc>
      </w:tr>
      <w:tr w:rsidR="00314972" w:rsidRPr="002D4988" w:rsidTr="005D4BB6">
        <w:trPr>
          <w:cantSplit/>
        </w:trPr>
        <w:tc>
          <w:tcPr>
            <w:tcW w:w="705" w:type="pct"/>
            <w:shd w:val="clear" w:color="auto" w:fill="DBE5F1" w:themeFill="accent1" w:themeFillTint="33"/>
            <w:vAlign w:val="center"/>
          </w:tcPr>
          <w:p w:rsidR="00314972" w:rsidRPr="002D4988" w:rsidRDefault="00314972" w:rsidP="003B3813">
            <w:pPr>
              <w:pStyle w:val="TableText0"/>
              <w:keepLines/>
            </w:pPr>
            <w:r w:rsidRPr="002D4988">
              <w:t>Intervention</w:t>
            </w:r>
          </w:p>
        </w:tc>
        <w:tc>
          <w:tcPr>
            <w:tcW w:w="4295" w:type="pct"/>
            <w:shd w:val="clear" w:color="auto" w:fill="DBE5F1" w:themeFill="accent1" w:themeFillTint="33"/>
          </w:tcPr>
          <w:p w:rsidR="00314972" w:rsidRPr="002D4988" w:rsidRDefault="00314972" w:rsidP="003B3813">
            <w:pPr>
              <w:pStyle w:val="TableText0"/>
              <w:keepLines/>
            </w:pPr>
            <w:r w:rsidRPr="002D4988">
              <w:t>Tofacitinib 10 mg twice daily for at least 8 weeks for induction and then tofacitinib 5 mg twice daily (for maintenance) or tofacitinib 10 mg twice daily in a small proportion of patients who fail to maintain a response on tofacitinib 5 mg twice daily.</w:t>
            </w:r>
          </w:p>
        </w:tc>
      </w:tr>
      <w:tr w:rsidR="00314972" w:rsidRPr="002D4988" w:rsidTr="005D4BB6">
        <w:trPr>
          <w:cantSplit/>
        </w:trPr>
        <w:tc>
          <w:tcPr>
            <w:tcW w:w="705" w:type="pct"/>
            <w:vAlign w:val="center"/>
          </w:tcPr>
          <w:p w:rsidR="00314972" w:rsidRPr="002D4988" w:rsidRDefault="00314972" w:rsidP="003B3813">
            <w:pPr>
              <w:pStyle w:val="TableText0"/>
              <w:keepLines/>
            </w:pPr>
            <w:r w:rsidRPr="002D4988">
              <w:t>Comparator</w:t>
            </w:r>
            <w:r w:rsidR="005D4BB6" w:rsidRPr="002D4988">
              <w:t>s</w:t>
            </w:r>
          </w:p>
        </w:tc>
        <w:tc>
          <w:tcPr>
            <w:tcW w:w="4295" w:type="pct"/>
            <w:vAlign w:val="center"/>
          </w:tcPr>
          <w:p w:rsidR="00314972" w:rsidRPr="002D4988" w:rsidRDefault="00314972" w:rsidP="00C52361">
            <w:pPr>
              <w:pStyle w:val="TableText0"/>
              <w:numPr>
                <w:ilvl w:val="0"/>
                <w:numId w:val="10"/>
              </w:numPr>
              <w:rPr>
                <w:lang w:eastAsia="en-US"/>
              </w:rPr>
            </w:pPr>
            <w:r w:rsidRPr="002D4988">
              <w:rPr>
                <w:lang w:eastAsia="en-US"/>
              </w:rPr>
              <w:t>Infliximab 5mg/kg IV infusion at 0, 2 and 6 weeks then Q8W thereafter.</w:t>
            </w:r>
          </w:p>
          <w:p w:rsidR="00314972" w:rsidRPr="002D4988" w:rsidRDefault="00314972" w:rsidP="00C52361">
            <w:pPr>
              <w:pStyle w:val="TableText0"/>
              <w:numPr>
                <w:ilvl w:val="0"/>
                <w:numId w:val="10"/>
              </w:numPr>
              <w:rPr>
                <w:lang w:eastAsia="en-US"/>
              </w:rPr>
            </w:pPr>
            <w:r w:rsidRPr="002D4988">
              <w:rPr>
                <w:lang w:eastAsia="en-US"/>
              </w:rPr>
              <w:t>Vedolizumab IV infusion, 300 mg at 0, 2 and 6 weeks then Q8W thereafter.</w:t>
            </w:r>
          </w:p>
          <w:p w:rsidR="004B7B3E" w:rsidRPr="002D4988" w:rsidRDefault="00314972" w:rsidP="00C52361">
            <w:pPr>
              <w:pStyle w:val="TableText0"/>
              <w:numPr>
                <w:ilvl w:val="0"/>
                <w:numId w:val="10"/>
              </w:numPr>
              <w:rPr>
                <w:lang w:eastAsia="en-US"/>
              </w:rPr>
            </w:pPr>
            <w:r w:rsidRPr="002D4988">
              <w:rPr>
                <w:lang w:eastAsia="en-US"/>
              </w:rPr>
              <w:t>Adalimumab SC injection, 160 mg at week 0, 80 mg at week 2 then 40 mg Q2W thereafter.</w:t>
            </w:r>
          </w:p>
          <w:p w:rsidR="00314972" w:rsidRPr="002D4988" w:rsidRDefault="00314972" w:rsidP="00C52361">
            <w:pPr>
              <w:pStyle w:val="TableText0"/>
              <w:numPr>
                <w:ilvl w:val="0"/>
                <w:numId w:val="10"/>
              </w:numPr>
              <w:rPr>
                <w:rFonts w:cs="Times New Roman"/>
                <w:lang w:eastAsia="en-US"/>
              </w:rPr>
            </w:pPr>
            <w:r w:rsidRPr="002D4988">
              <w:rPr>
                <w:lang w:eastAsia="en-US"/>
              </w:rPr>
              <w:t>Golimumab SC injection, 200 mg at week 0, 100 mg at week 2, then 100 mg Q4W thereafter</w:t>
            </w:r>
            <w:r w:rsidR="004B7B3E" w:rsidRPr="002D4988">
              <w:rPr>
                <w:lang w:eastAsia="en-US"/>
              </w:rPr>
              <w:t>.</w:t>
            </w:r>
          </w:p>
        </w:tc>
      </w:tr>
      <w:tr w:rsidR="00314972" w:rsidRPr="002D4988" w:rsidTr="005D4BB6">
        <w:trPr>
          <w:cantSplit/>
        </w:trPr>
        <w:tc>
          <w:tcPr>
            <w:tcW w:w="705" w:type="pct"/>
            <w:shd w:val="clear" w:color="auto" w:fill="DBE5F1" w:themeFill="accent1" w:themeFillTint="33"/>
            <w:vAlign w:val="center"/>
          </w:tcPr>
          <w:p w:rsidR="00314972" w:rsidRPr="002D4988" w:rsidRDefault="00314972" w:rsidP="003B3813">
            <w:pPr>
              <w:pStyle w:val="TableText0"/>
              <w:keepLines/>
            </w:pPr>
            <w:r w:rsidRPr="002D4988">
              <w:t>Outcomes</w:t>
            </w:r>
          </w:p>
        </w:tc>
        <w:tc>
          <w:tcPr>
            <w:tcW w:w="4295" w:type="pct"/>
            <w:shd w:val="clear" w:color="auto" w:fill="DBE5F1" w:themeFill="accent1" w:themeFillTint="33"/>
            <w:vAlign w:val="center"/>
          </w:tcPr>
          <w:p w:rsidR="00314972" w:rsidRPr="002D4988" w:rsidRDefault="00314972" w:rsidP="003B3813">
            <w:pPr>
              <w:keepNext/>
              <w:keepLines/>
              <w:jc w:val="left"/>
              <w:rPr>
                <w:rFonts w:ascii="Arial Narrow" w:eastAsiaTheme="minorEastAsia" w:hAnsi="Arial Narrow" w:cs="Times New Roman"/>
                <w:sz w:val="20"/>
                <w:lang w:eastAsia="en-US"/>
              </w:rPr>
            </w:pPr>
            <w:r w:rsidRPr="002D4988">
              <w:rPr>
                <w:rFonts w:ascii="Arial Narrow" w:eastAsiaTheme="minorEastAsia" w:hAnsi="Arial Narrow" w:cs="Times New Roman"/>
                <w:sz w:val="20"/>
                <w:lang w:eastAsia="en-US"/>
              </w:rPr>
              <w:t>Indirect comparison of tofacitinib and comparators was conducted for the following outcomes, for induction and maintenance therapy taking into account differences in trial design:</w:t>
            </w:r>
          </w:p>
          <w:p w:rsidR="00314972" w:rsidRPr="002D4988" w:rsidRDefault="00314972" w:rsidP="00C52361">
            <w:pPr>
              <w:pStyle w:val="TableText0"/>
              <w:numPr>
                <w:ilvl w:val="0"/>
                <w:numId w:val="13"/>
              </w:numPr>
              <w:rPr>
                <w:lang w:eastAsia="en-US"/>
              </w:rPr>
            </w:pPr>
            <w:r w:rsidRPr="002D4988">
              <w:rPr>
                <w:lang w:eastAsia="en-US"/>
              </w:rPr>
              <w:t>Clinical response, defined by a decrease from baseline in Mayo score of ≥3 and at least 30%, with an accompanying decrease in the subscore for rectal bleeding of ≥1 point or absolute subscore for rectal bleeding of 0 or 1;</w:t>
            </w:r>
          </w:p>
          <w:p w:rsidR="00314972" w:rsidRPr="002D4988" w:rsidRDefault="00314972" w:rsidP="00C52361">
            <w:pPr>
              <w:pStyle w:val="TableText0"/>
              <w:numPr>
                <w:ilvl w:val="0"/>
                <w:numId w:val="13"/>
              </w:numPr>
              <w:rPr>
                <w:color w:val="0066FF"/>
                <w:szCs w:val="20"/>
              </w:rPr>
            </w:pPr>
            <w:r w:rsidRPr="002D4988">
              <w:rPr>
                <w:lang w:eastAsia="en-US"/>
              </w:rPr>
              <w:t>Clinical remission, defined by a total Mayo score of ≤2, with no individual subscore exceeding 1.</w:t>
            </w:r>
          </w:p>
        </w:tc>
      </w:tr>
      <w:tr w:rsidR="00314972" w:rsidRPr="002D4988" w:rsidTr="005D4BB6">
        <w:trPr>
          <w:cantSplit/>
        </w:trPr>
        <w:tc>
          <w:tcPr>
            <w:tcW w:w="705" w:type="pct"/>
            <w:vAlign w:val="center"/>
          </w:tcPr>
          <w:p w:rsidR="00314972" w:rsidRPr="002D4988" w:rsidRDefault="00314972" w:rsidP="003B3813">
            <w:pPr>
              <w:pStyle w:val="TableText0"/>
              <w:keepLines/>
            </w:pPr>
            <w:r w:rsidRPr="002D4988">
              <w:t>Clinical claim</w:t>
            </w:r>
          </w:p>
        </w:tc>
        <w:tc>
          <w:tcPr>
            <w:tcW w:w="4295" w:type="pct"/>
            <w:vAlign w:val="center"/>
          </w:tcPr>
          <w:p w:rsidR="00314972" w:rsidRPr="002D4988" w:rsidRDefault="0098240F" w:rsidP="00C52361">
            <w:pPr>
              <w:pStyle w:val="TableText0"/>
              <w:keepLines/>
              <w:numPr>
                <w:ilvl w:val="0"/>
                <w:numId w:val="7"/>
              </w:numPr>
              <w:ind w:left="179" w:hanging="179"/>
            </w:pPr>
            <w:r w:rsidRPr="002D4988">
              <w:t xml:space="preserve">TNFi </w:t>
            </w:r>
            <w:r w:rsidR="00314972" w:rsidRPr="002D4988">
              <w:t xml:space="preserve">naïve patients: Tofacitinib is non-inferior in terms of efficacy to infliximab, </w:t>
            </w:r>
            <w:r w:rsidR="00314972" w:rsidRPr="002D4988">
              <w:rPr>
                <w:u w:val="single"/>
              </w:rPr>
              <w:t>vedolizumab, adalimumab and golimumab</w:t>
            </w:r>
            <w:r w:rsidR="00314972" w:rsidRPr="002D4988">
              <w:t>.</w:t>
            </w:r>
          </w:p>
          <w:p w:rsidR="00314972" w:rsidRPr="002D4988" w:rsidRDefault="0098240F" w:rsidP="00C52361">
            <w:pPr>
              <w:pStyle w:val="TableText0"/>
              <w:keepLines/>
              <w:numPr>
                <w:ilvl w:val="0"/>
                <w:numId w:val="7"/>
              </w:numPr>
              <w:ind w:left="179" w:hanging="179"/>
            </w:pPr>
            <w:r w:rsidRPr="002D4988">
              <w:t xml:space="preserve">TNFi </w:t>
            </w:r>
            <w:r w:rsidR="00314972" w:rsidRPr="002D4988">
              <w:t>experienced: Tofacitinib is superior to adalimumab, and by extension golimumab*, and non-inferior to vedolizumab in terms of efficacy.</w:t>
            </w:r>
            <w:r w:rsidRPr="002D4988">
              <w:t xml:space="preserve"> </w:t>
            </w:r>
          </w:p>
          <w:p w:rsidR="00314972" w:rsidRPr="002D4988" w:rsidRDefault="00314972" w:rsidP="003B3813">
            <w:pPr>
              <w:pStyle w:val="TableText0"/>
              <w:keepLines/>
              <w:rPr>
                <w:rFonts w:eastAsia="Times New Roman" w:cs="Arial"/>
                <w:bCs w:val="0"/>
                <w:snapToGrid w:val="0"/>
                <w:color w:val="0066FF"/>
                <w:szCs w:val="20"/>
              </w:rPr>
            </w:pPr>
            <w:r w:rsidRPr="002D4988">
              <w:t xml:space="preserve">Tofacitinib is non-inferior to infliximab*, vedolizumab, adalimumab and golimumab in terms of safety, for both </w:t>
            </w:r>
            <w:r w:rsidR="0098240F" w:rsidRPr="002D4988">
              <w:t xml:space="preserve">TNFi </w:t>
            </w:r>
            <w:r w:rsidRPr="002D4988">
              <w:t xml:space="preserve">naïve and </w:t>
            </w:r>
            <w:r w:rsidR="0098240F" w:rsidRPr="002D4988">
              <w:t xml:space="preserve">TNFi </w:t>
            </w:r>
            <w:r w:rsidRPr="002D4988">
              <w:t>experienced patients.</w:t>
            </w:r>
          </w:p>
        </w:tc>
      </w:tr>
    </w:tbl>
    <w:p w:rsidR="00246748" w:rsidRPr="002D4988" w:rsidRDefault="008B1757" w:rsidP="003B3813">
      <w:pPr>
        <w:pStyle w:val="TableFigureFooter"/>
        <w:keepNext/>
        <w:keepLines/>
        <w:rPr>
          <w:shd w:val="clear" w:color="auto" w:fill="DBE5F1" w:themeFill="accent1" w:themeFillTint="33"/>
          <w:lang w:eastAsia="en-US"/>
        </w:rPr>
      </w:pPr>
      <w:r w:rsidRPr="002D4988">
        <w:t xml:space="preserve">Source: </w:t>
      </w:r>
      <w:r w:rsidR="00246748" w:rsidRPr="002D4988">
        <w:t>Table 1.1.1, p3 of March 2019 submission; p75 of the resubmission.</w:t>
      </w:r>
    </w:p>
    <w:p w:rsidR="00246748" w:rsidRPr="002D4988" w:rsidRDefault="00246748" w:rsidP="003B3813">
      <w:pPr>
        <w:pStyle w:val="TableFigureFooter"/>
        <w:keepNext/>
        <w:keepLines/>
        <w:rPr>
          <w:shd w:val="clear" w:color="auto" w:fill="DBE5F1" w:themeFill="accent1" w:themeFillTint="33"/>
          <w:lang w:eastAsia="en-US"/>
        </w:rPr>
      </w:pPr>
      <w:r w:rsidRPr="002D4988">
        <w:rPr>
          <w:rFonts w:eastAsiaTheme="minorEastAsia"/>
          <w:lang w:eastAsia="en-US"/>
        </w:rPr>
        <w:t>Abbreviations: Q2W = once every 2 weeks; Q4W = once every 4 weeks; Q8W = once every 8 weeks; TNFi</w:t>
      </w:r>
      <w:r w:rsidR="00C452EE" w:rsidRPr="002D4988">
        <w:rPr>
          <w:rFonts w:eastAsiaTheme="minorEastAsia"/>
          <w:lang w:eastAsia="en-US"/>
        </w:rPr>
        <w:t xml:space="preserve"> </w:t>
      </w:r>
      <w:r w:rsidRPr="002D4988">
        <w:rPr>
          <w:rFonts w:eastAsiaTheme="minorEastAsia"/>
          <w:lang w:eastAsia="en-US"/>
        </w:rPr>
        <w:t>=</w:t>
      </w:r>
      <w:r w:rsidR="00C452EE" w:rsidRPr="002D4988">
        <w:rPr>
          <w:rFonts w:eastAsiaTheme="minorEastAsia"/>
          <w:lang w:eastAsia="en-US"/>
        </w:rPr>
        <w:t xml:space="preserve"> </w:t>
      </w:r>
      <w:r w:rsidRPr="002D4988">
        <w:rPr>
          <w:rFonts w:eastAsiaTheme="minorEastAsia"/>
          <w:lang w:eastAsia="en-US"/>
        </w:rPr>
        <w:t>tumour necrosis factor inhibitor.</w:t>
      </w:r>
    </w:p>
    <w:p w:rsidR="00246748" w:rsidRPr="002D4988" w:rsidRDefault="00246748" w:rsidP="003B3813">
      <w:pPr>
        <w:pStyle w:val="TableFigureFooter"/>
        <w:keepNext/>
        <w:keepLines/>
        <w:rPr>
          <w:lang w:eastAsia="en-US"/>
        </w:rPr>
      </w:pPr>
      <w:r w:rsidRPr="002D4988">
        <w:rPr>
          <w:shd w:val="clear" w:color="auto" w:fill="DBE5F1" w:themeFill="accent1" w:themeFillTint="33"/>
          <w:lang w:eastAsia="en-US"/>
        </w:rPr>
        <w:t>Shaded</w:t>
      </w:r>
      <w:r w:rsidRPr="002D4988">
        <w:rPr>
          <w:lang w:eastAsia="en-US"/>
        </w:rPr>
        <w:t xml:space="preserve"> areas indicate data previously seen by the PBAC</w:t>
      </w:r>
      <w:r w:rsidR="003A51BB" w:rsidRPr="002D4988">
        <w:rPr>
          <w:lang w:eastAsia="en-US"/>
        </w:rPr>
        <w:t xml:space="preserve">; </w:t>
      </w:r>
      <w:r w:rsidRPr="002D4988">
        <w:rPr>
          <w:u w:val="single"/>
          <w:lang w:eastAsia="en-US"/>
        </w:rPr>
        <w:t>Underlinin</w:t>
      </w:r>
      <w:r w:rsidRPr="002D4988">
        <w:rPr>
          <w:lang w:eastAsia="en-US"/>
        </w:rPr>
        <w:t>g refers to changes from the March 2019 submission.</w:t>
      </w:r>
    </w:p>
    <w:p w:rsidR="004E43B2" w:rsidRPr="002D4988" w:rsidRDefault="00246748" w:rsidP="003B3813">
      <w:pPr>
        <w:pStyle w:val="TableFigureFooter"/>
        <w:keepNext/>
        <w:keepLines/>
        <w:rPr>
          <w:sz w:val="20"/>
        </w:rPr>
      </w:pPr>
      <w:r w:rsidRPr="002D4988">
        <w:rPr>
          <w:lang w:eastAsia="en-US"/>
        </w:rPr>
        <w:t xml:space="preserve">*All the included infliximab and golimumab trials excluded patients with prior exposure to </w:t>
      </w:r>
      <w:r w:rsidR="00176171" w:rsidRPr="002D4988">
        <w:rPr>
          <w:lang w:eastAsia="en-US"/>
        </w:rPr>
        <w:t>TNFi.</w:t>
      </w:r>
    </w:p>
    <w:p w:rsidR="005C25FF" w:rsidRPr="002D4988" w:rsidRDefault="005C25FF" w:rsidP="004A6040">
      <w:pPr>
        <w:pStyle w:val="2-SectionHeading"/>
      </w:pPr>
      <w:bookmarkStart w:id="2" w:name="_Toc51163579"/>
      <w:r w:rsidRPr="002D4988">
        <w:t>Background</w:t>
      </w:r>
      <w:bookmarkEnd w:id="2"/>
    </w:p>
    <w:p w:rsidR="005C25FF" w:rsidRPr="002D4988" w:rsidRDefault="005C25FF" w:rsidP="004A6040">
      <w:pPr>
        <w:pStyle w:val="4-SubsectionHeading"/>
      </w:pPr>
      <w:bookmarkStart w:id="3" w:name="_Toc22897638"/>
      <w:bookmarkStart w:id="4" w:name="_Toc51163580"/>
      <w:r w:rsidRPr="002D4988">
        <w:t>Registration status</w:t>
      </w:r>
      <w:bookmarkEnd w:id="3"/>
      <w:bookmarkEnd w:id="4"/>
    </w:p>
    <w:p w:rsidR="00E80F71" w:rsidRPr="002D4988" w:rsidRDefault="00E80F71" w:rsidP="00E143D9">
      <w:pPr>
        <w:pStyle w:val="3-BodyText"/>
      </w:pPr>
      <w:bookmarkStart w:id="5" w:name="_Toc22897639"/>
      <w:r w:rsidRPr="002D4988">
        <w:t>TOF was approved in September 2019 by the TGA for the following indication: treatment of adult patients with moderately to severely active ulcerative colitis (MSUC) who have had an inadequate response, lost response, or were intolerant to either conventional therapy or a biological therapy.</w:t>
      </w:r>
    </w:p>
    <w:p w:rsidR="00E80F71" w:rsidRPr="002D4988" w:rsidRDefault="00E80F71" w:rsidP="00E143D9">
      <w:pPr>
        <w:pStyle w:val="3-BodyText"/>
      </w:pPr>
      <w:r w:rsidRPr="002D4988">
        <w:t>In October 2019, the Product Information (PI) and Consumer Medicine Information (CMI) documents for TOF were updated to include information about an increased risk of blood clots and of death with the higher dose of TOF 10 mg twice daily</w:t>
      </w:r>
      <w:r w:rsidRPr="002D4988">
        <w:rPr>
          <w:rStyle w:val="FootnoteReference"/>
        </w:rPr>
        <w:footnoteReference w:id="1"/>
      </w:r>
      <w:r w:rsidRPr="002D4988">
        <w:t>, in response to results from an ongoing safety study of patients at least 50 years of age, with at least one additional cardiovascular risk factor.</w:t>
      </w:r>
    </w:p>
    <w:p w:rsidR="00E80F71" w:rsidRPr="002D4988" w:rsidRDefault="00E80F71" w:rsidP="00E143D9">
      <w:pPr>
        <w:pStyle w:val="3-BodyText"/>
      </w:pPr>
      <w:r w:rsidRPr="002D4988">
        <w:rPr>
          <w:rFonts w:eastAsiaTheme="minorEastAsia"/>
          <w:lang w:eastAsia="en-US"/>
        </w:rPr>
        <w:t xml:space="preserve">TOF is </w:t>
      </w:r>
      <w:r w:rsidR="00C452EE" w:rsidRPr="002D4988">
        <w:rPr>
          <w:rFonts w:eastAsiaTheme="minorEastAsia"/>
          <w:lang w:eastAsia="en-US"/>
        </w:rPr>
        <w:t xml:space="preserve">currently </w:t>
      </w:r>
      <w:r w:rsidRPr="002D4988">
        <w:rPr>
          <w:rFonts w:eastAsiaTheme="minorEastAsia"/>
          <w:lang w:eastAsia="en-US"/>
        </w:rPr>
        <w:t>PBS</w:t>
      </w:r>
      <w:r w:rsidR="003B3813" w:rsidRPr="002D4988">
        <w:rPr>
          <w:rFonts w:eastAsiaTheme="minorEastAsia"/>
          <w:lang w:eastAsia="en-US"/>
        </w:rPr>
        <w:t xml:space="preserve"> </w:t>
      </w:r>
      <w:r w:rsidRPr="002D4988">
        <w:rPr>
          <w:rFonts w:eastAsiaTheme="minorEastAsia"/>
          <w:lang w:eastAsia="en-US"/>
        </w:rPr>
        <w:t>listed for the treatment of severe active rheumatoid arthritis (RA), and psoriatic arthritis (PsA).</w:t>
      </w:r>
    </w:p>
    <w:p w:rsidR="005C25FF" w:rsidRPr="002D4988" w:rsidRDefault="005C25FF" w:rsidP="004E18E9">
      <w:pPr>
        <w:pStyle w:val="4-SubsectionHeading"/>
      </w:pPr>
      <w:bookmarkStart w:id="6" w:name="_Toc51163581"/>
      <w:r w:rsidRPr="002D4988">
        <w:lastRenderedPageBreak/>
        <w:t>Previous PBAC consideration</w:t>
      </w:r>
      <w:bookmarkEnd w:id="5"/>
      <w:bookmarkEnd w:id="6"/>
    </w:p>
    <w:p w:rsidR="00E80F71" w:rsidRPr="002D4988" w:rsidRDefault="00E80F71" w:rsidP="00E143D9">
      <w:pPr>
        <w:pStyle w:val="3-BodyText"/>
      </w:pPr>
      <w:r w:rsidRPr="002D4988">
        <w:t xml:space="preserve">A major submission requesting listing for </w:t>
      </w:r>
      <w:r w:rsidR="001A18F6" w:rsidRPr="002D4988">
        <w:t>MSUC was recommended by PBAC</w:t>
      </w:r>
      <w:r w:rsidR="00BC0889" w:rsidRPr="002D4988">
        <w:t xml:space="preserve"> </w:t>
      </w:r>
      <w:r w:rsidRPr="002D4988">
        <w:t xml:space="preserve">at the March 2019 PBAC meeting. </w:t>
      </w:r>
    </w:p>
    <w:p w:rsidR="00E80C3A" w:rsidRPr="002D4988" w:rsidRDefault="00E80F71" w:rsidP="00E143D9">
      <w:pPr>
        <w:pStyle w:val="3-BodyText"/>
      </w:pPr>
      <w:r w:rsidRPr="002D4988">
        <w:t>In March 2019</w:t>
      </w:r>
      <w:r w:rsidR="00C452EE" w:rsidRPr="002D4988">
        <w:t>,</w:t>
      </w:r>
      <w:r w:rsidRPr="002D4988">
        <w:t xml:space="preserve"> the PBAC considered that any of the currently listed agents for MSUC (IFX, VDZ, ADA and GOL) could be considered an alternative therapy to TOF for the treatment of MSUC</w:t>
      </w:r>
      <w:r w:rsidR="00C452EE" w:rsidRPr="002D4988">
        <w:t>, and recommended listing on a cost-minimisation basis with the least costly biologic therapy, which the resubmission identified as ADA</w:t>
      </w:r>
      <w:r w:rsidR="00771B06" w:rsidRPr="002D4988">
        <w:t xml:space="preserve"> on the basis of advice it received from the </w:t>
      </w:r>
      <w:r w:rsidR="0039042B" w:rsidRPr="002D4988">
        <w:t xml:space="preserve">Department </w:t>
      </w:r>
      <w:r w:rsidR="00771B06" w:rsidRPr="002D4988">
        <w:t>subsequent to the March 2019 recommendation</w:t>
      </w:r>
      <w:r w:rsidRPr="002D4988">
        <w:t>.</w:t>
      </w:r>
      <w:r w:rsidR="0098240F" w:rsidRPr="002D4988">
        <w:t xml:space="preserve"> </w:t>
      </w:r>
    </w:p>
    <w:p w:rsidR="00797B70" w:rsidRPr="002D4988" w:rsidRDefault="00396BB0" w:rsidP="007F7239">
      <w:pPr>
        <w:pStyle w:val="3-BodyText"/>
        <w:keepNext/>
        <w:numPr>
          <w:ilvl w:val="0"/>
          <w:numId w:val="0"/>
        </w:numPr>
        <w:rPr>
          <w:rStyle w:val="CommentReference"/>
          <w:szCs w:val="24"/>
        </w:rPr>
      </w:pPr>
      <w:r w:rsidRPr="002D4988">
        <w:rPr>
          <w:rStyle w:val="CommentReference"/>
          <w:szCs w:val="24"/>
        </w:rPr>
        <w:t xml:space="preserve">Table </w:t>
      </w:r>
      <w:r w:rsidR="00BC0889" w:rsidRPr="002D4988">
        <w:rPr>
          <w:rStyle w:val="CommentReference"/>
          <w:szCs w:val="24"/>
        </w:rPr>
        <w:t>2</w:t>
      </w:r>
      <w:r w:rsidR="00797B70" w:rsidRPr="002D4988">
        <w:rPr>
          <w:rStyle w:val="CommentReference"/>
          <w:szCs w:val="24"/>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3969"/>
        <w:gridCol w:w="3919"/>
      </w:tblGrid>
      <w:tr w:rsidR="00797B70" w:rsidRPr="002D4988" w:rsidTr="001B25B0">
        <w:trPr>
          <w:cantSplit/>
          <w:tblHeader/>
        </w:trPr>
        <w:tc>
          <w:tcPr>
            <w:tcW w:w="626" w:type="pct"/>
            <w:vAlign w:val="center"/>
          </w:tcPr>
          <w:p w:rsidR="00797B70" w:rsidRPr="002D4988" w:rsidRDefault="00797B70" w:rsidP="007F7239">
            <w:pPr>
              <w:pStyle w:val="In-tableHeading"/>
              <w:widowControl w:val="0"/>
              <w:rPr>
                <w:lang w:val="en-AU"/>
              </w:rPr>
            </w:pPr>
            <w:r w:rsidRPr="002D4988">
              <w:rPr>
                <w:lang w:val="en-AU"/>
              </w:rPr>
              <w:t>Component</w:t>
            </w:r>
          </w:p>
        </w:tc>
        <w:tc>
          <w:tcPr>
            <w:tcW w:w="2201" w:type="pct"/>
            <w:vAlign w:val="center"/>
          </w:tcPr>
          <w:p w:rsidR="00797B70" w:rsidRPr="002D4988" w:rsidRDefault="00797B70" w:rsidP="007F7239">
            <w:pPr>
              <w:pStyle w:val="In-tableHeading"/>
              <w:widowControl w:val="0"/>
              <w:rPr>
                <w:lang w:val="en-AU"/>
              </w:rPr>
            </w:pPr>
            <w:r w:rsidRPr="002D4988">
              <w:rPr>
                <w:lang w:val="en-AU"/>
              </w:rPr>
              <w:t>Matter of concern</w:t>
            </w:r>
          </w:p>
        </w:tc>
        <w:tc>
          <w:tcPr>
            <w:tcW w:w="2173" w:type="pct"/>
            <w:vAlign w:val="center"/>
          </w:tcPr>
          <w:p w:rsidR="00797B70" w:rsidRPr="002D4988" w:rsidRDefault="00797B70" w:rsidP="007F7239">
            <w:pPr>
              <w:pStyle w:val="In-tableHeading"/>
              <w:widowControl w:val="0"/>
              <w:rPr>
                <w:lang w:val="en-AU"/>
              </w:rPr>
            </w:pPr>
            <w:r w:rsidRPr="002D4988">
              <w:rPr>
                <w:lang w:val="en-AU"/>
              </w:rPr>
              <w:t>How the resubmission addresses it</w:t>
            </w:r>
          </w:p>
        </w:tc>
      </w:tr>
      <w:tr w:rsidR="00797B70" w:rsidRPr="002D4988" w:rsidTr="001B25B0">
        <w:trPr>
          <w:cantSplit/>
        </w:trPr>
        <w:tc>
          <w:tcPr>
            <w:tcW w:w="626" w:type="pct"/>
            <w:shd w:val="clear" w:color="auto" w:fill="auto"/>
            <w:vAlign w:val="center"/>
          </w:tcPr>
          <w:p w:rsidR="00797B70" w:rsidRPr="002D4988" w:rsidRDefault="00797B70" w:rsidP="007F7239">
            <w:pPr>
              <w:pStyle w:val="TableText0"/>
              <w:widowControl w:val="0"/>
            </w:pPr>
            <w:r w:rsidRPr="002D4988">
              <w:t>Comparator</w:t>
            </w:r>
          </w:p>
        </w:tc>
        <w:tc>
          <w:tcPr>
            <w:tcW w:w="2201" w:type="pct"/>
            <w:shd w:val="clear" w:color="auto" w:fill="auto"/>
          </w:tcPr>
          <w:p w:rsidR="00797B70" w:rsidRPr="002D4988" w:rsidRDefault="00797B70" w:rsidP="007F7239">
            <w:pPr>
              <w:pStyle w:val="NormalWeb"/>
              <w:keepNext/>
              <w:widowControl w:val="0"/>
              <w:spacing w:before="0" w:after="0"/>
              <w:rPr>
                <w:rFonts w:ascii="Arial Narrow" w:hAnsi="Arial Narrow"/>
                <w:sz w:val="20"/>
                <w:szCs w:val="20"/>
                <w:lang w:val="en-AU"/>
              </w:rPr>
            </w:pPr>
            <w:r w:rsidRPr="002D4988">
              <w:rPr>
                <w:rFonts w:ascii="Arial Narrow" w:hAnsi="Arial Narrow" w:cs="Calibri"/>
                <w:sz w:val="20"/>
                <w:szCs w:val="20"/>
                <w:lang w:val="en-AU"/>
              </w:rPr>
              <w:t>The PBAC recommended the Authority Required listing of tofacitinib (TOF) for moderate to severe ulcerative colitis (MSUC) on a cost minimisation basis with the least costly biologic therapy currently PBS listed for MSUC.</w:t>
            </w:r>
            <w:r w:rsidR="0098240F" w:rsidRPr="002D4988">
              <w:rPr>
                <w:rFonts w:ascii="Arial Narrow" w:hAnsi="Arial Narrow" w:cs="Calibri"/>
                <w:sz w:val="20"/>
                <w:szCs w:val="20"/>
                <w:lang w:val="en-AU"/>
              </w:rPr>
              <w:t xml:space="preserve"> </w:t>
            </w:r>
            <w:r w:rsidRPr="002D4988">
              <w:rPr>
                <w:rFonts w:ascii="Arial Narrow" w:hAnsi="Arial Narrow" w:cs="Calibri"/>
                <w:sz w:val="20"/>
                <w:szCs w:val="20"/>
                <w:lang w:val="en-AU"/>
              </w:rPr>
              <w:t xml:space="preserve">In addition, </w:t>
            </w:r>
            <w:r w:rsidRPr="002D4988">
              <w:rPr>
                <w:rFonts w:ascii="Arial Narrow" w:hAnsi="Arial Narrow" w:cs="Arial"/>
                <w:sz w:val="20"/>
                <w:szCs w:val="20"/>
                <w:lang w:val="en-AU"/>
              </w:rPr>
              <w:t>the PBAC accepted any of the current PBS listed biologic therapies for MSUC could be an alternative therapy to TOF (Para 7.1, March 2019 PSD).</w:t>
            </w:r>
          </w:p>
          <w:p w:rsidR="00797B70" w:rsidRPr="002D4988" w:rsidRDefault="00797B70" w:rsidP="007F7239">
            <w:pPr>
              <w:pStyle w:val="TableText0"/>
              <w:widowControl w:val="0"/>
            </w:pPr>
          </w:p>
        </w:tc>
        <w:tc>
          <w:tcPr>
            <w:tcW w:w="2173" w:type="pct"/>
            <w:shd w:val="clear" w:color="auto" w:fill="auto"/>
          </w:tcPr>
          <w:p w:rsidR="00797B70" w:rsidRPr="002D4988" w:rsidRDefault="0039042B" w:rsidP="007F7239">
            <w:pPr>
              <w:pStyle w:val="TableText0"/>
              <w:widowControl w:val="0"/>
            </w:pPr>
            <w:r w:rsidRPr="002D4988">
              <w:rPr>
                <w:szCs w:val="20"/>
              </w:rPr>
              <w:t>T</w:t>
            </w:r>
            <w:r w:rsidR="00797B70" w:rsidRPr="002D4988">
              <w:rPr>
                <w:szCs w:val="20"/>
              </w:rPr>
              <w:t xml:space="preserve">he </w:t>
            </w:r>
            <w:r w:rsidR="00797B70" w:rsidRPr="002D4988">
              <w:t>resubmission nominated IFX, VDZ, ADA and GOL as the comparators, and presented a cost-minimisation analysis versus a weighted comparator of IFX, VDZ, ADA and GOL.</w:t>
            </w:r>
          </w:p>
          <w:p w:rsidR="00797B70" w:rsidRPr="002D4988" w:rsidRDefault="00797B70" w:rsidP="007F7239">
            <w:pPr>
              <w:pStyle w:val="TableText0"/>
              <w:widowControl w:val="0"/>
              <w:rPr>
                <w:rFonts w:eastAsia="Calibri" w:cstheme="minorHAnsi"/>
                <w:szCs w:val="20"/>
                <w:lang w:eastAsia="en-US"/>
              </w:rPr>
            </w:pPr>
          </w:p>
        </w:tc>
      </w:tr>
      <w:tr w:rsidR="00797B70" w:rsidRPr="002D4988" w:rsidTr="001B25B0">
        <w:trPr>
          <w:cantSplit/>
        </w:trPr>
        <w:tc>
          <w:tcPr>
            <w:tcW w:w="626" w:type="pct"/>
            <w:vAlign w:val="center"/>
          </w:tcPr>
          <w:p w:rsidR="00797B70" w:rsidRPr="002D4988" w:rsidRDefault="00797B70" w:rsidP="009874D6">
            <w:pPr>
              <w:pStyle w:val="TableText0"/>
              <w:keepNext w:val="0"/>
              <w:widowControl w:val="0"/>
            </w:pPr>
            <w:r w:rsidRPr="002D4988">
              <w:t>Clinical effectiveness</w:t>
            </w:r>
          </w:p>
        </w:tc>
        <w:tc>
          <w:tcPr>
            <w:tcW w:w="2201" w:type="pct"/>
          </w:tcPr>
          <w:p w:rsidR="00797B70" w:rsidRPr="002D4988" w:rsidRDefault="00797B70" w:rsidP="00C452EE">
            <w:pPr>
              <w:pStyle w:val="TableText0"/>
              <w:rPr>
                <w:rFonts w:eastAsia="Times New Roman" w:cs="Times New Roman"/>
                <w:snapToGrid w:val="0"/>
              </w:rPr>
            </w:pPr>
            <w:r w:rsidRPr="002D4988">
              <w:t xml:space="preserve">The PBAC considered the evidence presented in the submission did not support a conclusion that TOF provided a significant improvement in efficacy or reduction in toxicity compared to any of the currently listed biologics for MSUC </w:t>
            </w:r>
            <w:r w:rsidRPr="002D4988">
              <w:rPr>
                <w:rFonts w:eastAsia="Times New Roman"/>
                <w:snapToGrid w:val="0"/>
              </w:rPr>
              <w:t>(Para 7.6, March 2019 PSD).</w:t>
            </w:r>
          </w:p>
        </w:tc>
        <w:tc>
          <w:tcPr>
            <w:tcW w:w="2173" w:type="pct"/>
          </w:tcPr>
          <w:p w:rsidR="00797B70" w:rsidRPr="002D4988" w:rsidRDefault="00797B70" w:rsidP="00493B16">
            <w:pPr>
              <w:pStyle w:val="TableText0"/>
              <w:keepNext w:val="0"/>
              <w:widowControl w:val="0"/>
              <w:rPr>
                <w:rFonts w:eastAsia="Times New Roman" w:cs="Arial"/>
                <w:bCs w:val="0"/>
                <w:snapToGrid w:val="0"/>
                <w:szCs w:val="20"/>
              </w:rPr>
            </w:pPr>
            <w:r w:rsidRPr="002D4988">
              <w:rPr>
                <w:rFonts w:eastAsia="Times New Roman" w:cs="Arial"/>
                <w:bCs w:val="0"/>
                <w:snapToGrid w:val="0"/>
                <w:szCs w:val="20"/>
              </w:rPr>
              <w:t>The resubmission claimed a significant improvement in efficacy for TOF compared to ADA and</w:t>
            </w:r>
            <w:r w:rsidR="003024BB" w:rsidRPr="002D4988">
              <w:rPr>
                <w:rFonts w:eastAsia="Times New Roman" w:cs="Arial"/>
                <w:bCs w:val="0"/>
                <w:snapToGrid w:val="0"/>
                <w:szCs w:val="20"/>
              </w:rPr>
              <w:t>,</w:t>
            </w:r>
            <w:r w:rsidRPr="002D4988">
              <w:rPr>
                <w:rFonts w:eastAsia="Times New Roman" w:cs="Arial"/>
                <w:bCs w:val="0"/>
                <w:snapToGrid w:val="0"/>
                <w:szCs w:val="20"/>
              </w:rPr>
              <w:t xml:space="preserve"> by extension, GOL in </w:t>
            </w:r>
            <w:r w:rsidR="0098240F" w:rsidRPr="002D4988">
              <w:rPr>
                <w:rFonts w:eastAsia="Times New Roman" w:cs="Arial"/>
                <w:bCs w:val="0"/>
                <w:snapToGrid w:val="0"/>
                <w:szCs w:val="20"/>
              </w:rPr>
              <w:t xml:space="preserve">TNFi </w:t>
            </w:r>
            <w:r w:rsidRPr="002D4988">
              <w:rPr>
                <w:rFonts w:eastAsia="Times New Roman" w:cs="Arial"/>
                <w:bCs w:val="0"/>
                <w:snapToGrid w:val="0"/>
                <w:szCs w:val="20"/>
              </w:rPr>
              <w:t>experienced patients.</w:t>
            </w:r>
            <w:r w:rsidR="0098240F" w:rsidRPr="002D4988">
              <w:rPr>
                <w:rFonts w:eastAsia="Times New Roman" w:cs="Arial"/>
                <w:bCs w:val="0"/>
                <w:snapToGrid w:val="0"/>
                <w:szCs w:val="20"/>
              </w:rPr>
              <w:t xml:space="preserve"> </w:t>
            </w:r>
            <w:r w:rsidRPr="002D4988">
              <w:rPr>
                <w:rFonts w:eastAsia="Times New Roman" w:cs="Arial"/>
                <w:bCs w:val="0"/>
                <w:iCs/>
                <w:snapToGrid w:val="0"/>
                <w:szCs w:val="20"/>
              </w:rPr>
              <w:t>The resubmission did not apply this superiority claim to a cost-effectiveness analysis</w:t>
            </w:r>
            <w:r w:rsidR="00A712A0" w:rsidRPr="002D4988">
              <w:rPr>
                <w:rFonts w:eastAsia="Times New Roman" w:cs="Arial"/>
                <w:bCs w:val="0"/>
                <w:iCs/>
                <w:snapToGrid w:val="0"/>
                <w:szCs w:val="20"/>
              </w:rPr>
              <w:t>, nor does the requested listing reflect a listing scenario that separates patients by prior TNF</w:t>
            </w:r>
            <w:r w:rsidR="00C452EE" w:rsidRPr="002D4988">
              <w:rPr>
                <w:rFonts w:eastAsia="Times New Roman" w:cs="Arial"/>
                <w:bCs w:val="0"/>
                <w:iCs/>
                <w:snapToGrid w:val="0"/>
                <w:szCs w:val="20"/>
              </w:rPr>
              <w:t>i</w:t>
            </w:r>
            <w:r w:rsidR="00A712A0" w:rsidRPr="002D4988">
              <w:rPr>
                <w:rFonts w:eastAsia="Times New Roman" w:cs="Arial"/>
                <w:bCs w:val="0"/>
                <w:iCs/>
                <w:snapToGrid w:val="0"/>
                <w:szCs w:val="20"/>
              </w:rPr>
              <w:t xml:space="preserve"> treatment status</w:t>
            </w:r>
            <w:r w:rsidRPr="002D4988">
              <w:rPr>
                <w:rFonts w:eastAsia="Times New Roman" w:cs="Arial"/>
                <w:bCs w:val="0"/>
                <w:iCs/>
                <w:snapToGrid w:val="0"/>
                <w:szCs w:val="20"/>
              </w:rPr>
              <w:t>.</w:t>
            </w:r>
          </w:p>
        </w:tc>
      </w:tr>
      <w:tr w:rsidR="00797B70" w:rsidRPr="002D4988" w:rsidTr="001B25B0">
        <w:trPr>
          <w:cantSplit/>
        </w:trPr>
        <w:tc>
          <w:tcPr>
            <w:tcW w:w="626" w:type="pct"/>
            <w:vAlign w:val="center"/>
          </w:tcPr>
          <w:p w:rsidR="00797B70" w:rsidRPr="002D4988" w:rsidRDefault="00797B70" w:rsidP="009874D6">
            <w:pPr>
              <w:pStyle w:val="TableText0"/>
              <w:keepNext w:val="0"/>
              <w:widowControl w:val="0"/>
            </w:pPr>
            <w:r w:rsidRPr="002D4988">
              <w:t>Financial estimates</w:t>
            </w:r>
          </w:p>
        </w:tc>
        <w:tc>
          <w:tcPr>
            <w:tcW w:w="2201" w:type="pct"/>
          </w:tcPr>
          <w:p w:rsidR="00797B70" w:rsidRPr="002D4988" w:rsidRDefault="00797B70" w:rsidP="009874D6">
            <w:pPr>
              <w:pStyle w:val="NormalWeb"/>
              <w:widowControl w:val="0"/>
              <w:spacing w:before="0" w:after="0"/>
              <w:ind w:left="37"/>
              <w:rPr>
                <w:rFonts w:ascii="Arial Narrow" w:hAnsi="Arial Narrow"/>
                <w:sz w:val="20"/>
                <w:szCs w:val="20"/>
                <w:lang w:val="en-AU"/>
              </w:rPr>
            </w:pPr>
            <w:r w:rsidRPr="002D4988">
              <w:rPr>
                <w:rFonts w:ascii="Arial Narrow" w:hAnsi="Arial Narrow" w:cs="Calibri"/>
                <w:sz w:val="20"/>
                <w:szCs w:val="20"/>
                <w:lang w:val="en-AU"/>
              </w:rPr>
              <w:t>The PBAC noted the financial estimates provided in the submission were highly uncertain but considered that based on a cost minimisation basis with the least costly biologic therapy the listing</w:t>
            </w:r>
            <w:r w:rsidR="00493B16" w:rsidRPr="002D4988">
              <w:rPr>
                <w:rFonts w:ascii="Arial Narrow" w:hAnsi="Arial Narrow" w:cs="Calibri"/>
                <w:sz w:val="20"/>
                <w:szCs w:val="20"/>
                <w:lang w:val="en-AU"/>
              </w:rPr>
              <w:t xml:space="preserve"> of</w:t>
            </w:r>
            <w:r w:rsidRPr="002D4988">
              <w:rPr>
                <w:rFonts w:ascii="Arial Narrow" w:hAnsi="Arial Narrow" w:cs="Calibri"/>
                <w:sz w:val="20"/>
                <w:szCs w:val="20"/>
                <w:lang w:val="en-AU"/>
              </w:rPr>
              <w:t xml:space="preserve"> TOF for MSUC should be cost-neutral to the PBS (Para 7.7, March 2019 PSD)</w:t>
            </w:r>
          </w:p>
        </w:tc>
        <w:tc>
          <w:tcPr>
            <w:tcW w:w="2173" w:type="pct"/>
          </w:tcPr>
          <w:p w:rsidR="00797B70" w:rsidRPr="002D4988" w:rsidDel="00FB45CE" w:rsidRDefault="00797B70" w:rsidP="009874D6">
            <w:pPr>
              <w:pStyle w:val="TableText0"/>
              <w:keepNext w:val="0"/>
              <w:widowControl w:val="0"/>
              <w:rPr>
                <w:rFonts w:eastAsia="Times New Roman" w:cs="Arial"/>
                <w:bCs w:val="0"/>
                <w:snapToGrid w:val="0"/>
                <w:szCs w:val="20"/>
              </w:rPr>
            </w:pPr>
            <w:r w:rsidRPr="002D4988">
              <w:rPr>
                <w:rFonts w:eastAsia="Times New Roman" w:cs="Arial"/>
                <w:bCs w:val="0"/>
                <w:snapToGrid w:val="0"/>
                <w:szCs w:val="20"/>
              </w:rPr>
              <w:t xml:space="preserve">The resubmission presented a </w:t>
            </w:r>
            <w:r w:rsidRPr="002D4988">
              <w:t>cost-minimisation analysis versus a weighted comparator of IFX, VDZ, ADA and GOL, and the resultant financial estimates showed cost savings to the Government of over $</w:t>
            </w:r>
            <w:r w:rsidR="001B7425">
              <w:rPr>
                <w:noProof/>
                <w:color w:val="000000"/>
                <w:highlight w:val="black"/>
              </w:rPr>
              <w:t>'''</w:t>
            </w:r>
            <w:r w:rsidR="0079076E">
              <w:rPr>
                <w:vertAlign w:val="superscript"/>
              </w:rPr>
              <w:t>1</w:t>
            </w:r>
            <w:r w:rsidRPr="002D4988">
              <w:t>million by Year 6 of listing.</w:t>
            </w:r>
          </w:p>
        </w:tc>
      </w:tr>
    </w:tbl>
    <w:p w:rsidR="00E80F71" w:rsidRDefault="00797B70" w:rsidP="003B3813">
      <w:pPr>
        <w:pStyle w:val="TableFooter"/>
      </w:pPr>
      <w:r w:rsidRPr="002D4988">
        <w:t>Source: constructed during the evaluation based on the March 2019</w:t>
      </w:r>
      <w:r w:rsidR="009A5035" w:rsidRPr="002D4988">
        <w:t xml:space="preserve"> Public Summary Document</w:t>
      </w:r>
      <w:r w:rsidRPr="002D4988">
        <w:t xml:space="preserve"> </w:t>
      </w:r>
      <w:r w:rsidR="009A5035" w:rsidRPr="002D4988">
        <w:t>(</w:t>
      </w:r>
      <w:r w:rsidRPr="002D4988">
        <w:t>PSD</w:t>
      </w:r>
      <w:r w:rsidR="009A5035" w:rsidRPr="002D4988">
        <w:t>)</w:t>
      </w:r>
      <w:r w:rsidR="007717C4" w:rsidRPr="002D4988">
        <w:t>; TNFi = tumour necrosis factor inhibitor</w:t>
      </w:r>
    </w:p>
    <w:p w:rsidR="0079076E" w:rsidRPr="0079076E" w:rsidRDefault="0079076E" w:rsidP="003B3813">
      <w:pPr>
        <w:pStyle w:val="TableFooter"/>
        <w:rPr>
          <w:i/>
        </w:rPr>
      </w:pPr>
      <w:r w:rsidRPr="0079076E">
        <w:rPr>
          <w:i/>
        </w:rPr>
        <w:t>The redacted value correspond to the following range:</w:t>
      </w:r>
    </w:p>
    <w:p w:rsidR="0079076E" w:rsidRPr="0079076E" w:rsidRDefault="0079076E" w:rsidP="003B3813">
      <w:pPr>
        <w:pStyle w:val="TableFooter"/>
        <w:rPr>
          <w:i/>
        </w:rPr>
      </w:pPr>
      <w:r w:rsidRPr="0079076E">
        <w:rPr>
          <w:i/>
          <w:vertAlign w:val="superscript"/>
        </w:rPr>
        <w:t>1</w:t>
      </w:r>
      <w:r w:rsidRPr="0079076E">
        <w:rPr>
          <w:i/>
        </w:rPr>
        <w:t>$0 to &lt;$10 million</w:t>
      </w:r>
    </w:p>
    <w:p w:rsidR="00B60939" w:rsidRPr="002D4988" w:rsidRDefault="00B50DB8" w:rsidP="004E18E9">
      <w:pPr>
        <w:pStyle w:val="2-SectionHeading"/>
      </w:pPr>
      <w:bookmarkStart w:id="7" w:name="_Toc51163582"/>
      <w:r w:rsidRPr="002D4988">
        <w:t>Requested listing</w:t>
      </w:r>
      <w:bookmarkEnd w:id="7"/>
    </w:p>
    <w:p w:rsidR="00245378" w:rsidRPr="002D4988" w:rsidRDefault="00245378" w:rsidP="00E143D9">
      <w:pPr>
        <w:pStyle w:val="3-BodyText"/>
        <w:rPr>
          <w:rFonts w:ascii="Calibri" w:eastAsiaTheme="minorEastAsia" w:hAnsi="Calibri"/>
          <w:szCs w:val="22"/>
          <w:lang w:eastAsia="en-US"/>
        </w:rPr>
      </w:pPr>
      <w:r w:rsidRPr="002D4988">
        <w:t>The Sponsor requested several restrictions for TOF 10 mg and TOF 5 mg to provide for initial treatment (1&amp;2), continuing treatment, and grandfathered patients.</w:t>
      </w:r>
      <w:r w:rsidR="0098240F" w:rsidRPr="002D4988">
        <w:t xml:space="preserve"> </w:t>
      </w:r>
      <w:r w:rsidR="00493B16" w:rsidRPr="002D4988">
        <w:t xml:space="preserve">The requested restrictions are the same as those recommended by the PBAC in the March 2019 consideration (para 8.1, </w:t>
      </w:r>
      <w:r w:rsidR="0098240F" w:rsidRPr="002D4988">
        <w:t>TOF</w:t>
      </w:r>
      <w:r w:rsidR="00B77B96" w:rsidRPr="002D4988">
        <w:t xml:space="preserve"> Public Summary Document (PSD), </w:t>
      </w:r>
      <w:r w:rsidR="00493B16" w:rsidRPr="002D4988">
        <w:t>March 2019</w:t>
      </w:r>
      <w:r w:rsidR="00B77B96" w:rsidRPr="002D4988">
        <w:t xml:space="preserve"> PBAC Meeting</w:t>
      </w:r>
      <w:r w:rsidR="00493B16" w:rsidRPr="002D4988">
        <w:t xml:space="preserve">). </w:t>
      </w:r>
      <w:r w:rsidRPr="002D4988">
        <w:rPr>
          <w:rFonts w:ascii="Calibri" w:eastAsiaTheme="minorEastAsia" w:hAnsi="Calibri"/>
          <w:szCs w:val="22"/>
          <w:lang w:eastAsia="en-US"/>
        </w:rPr>
        <w:t>The requested restrictions were generally similar to that of currently PBS listed bDMARDs for MSUC. Below is a</w:t>
      </w:r>
      <w:r w:rsidR="001C038A" w:rsidRPr="002D4988">
        <w:rPr>
          <w:rFonts w:ascii="Calibri" w:eastAsiaTheme="minorEastAsia" w:hAnsi="Calibri"/>
          <w:szCs w:val="22"/>
          <w:lang w:eastAsia="en-US"/>
        </w:rPr>
        <w:t xml:space="preserve">n abbreviated version </w:t>
      </w:r>
      <w:r w:rsidRPr="002D4988">
        <w:rPr>
          <w:rFonts w:ascii="Calibri" w:eastAsiaTheme="minorEastAsia" w:hAnsi="Calibri"/>
          <w:szCs w:val="22"/>
          <w:lang w:eastAsia="en-US"/>
        </w:rPr>
        <w:t xml:space="preserve">of the restrictions for </w:t>
      </w:r>
      <w:r w:rsidR="001C038A" w:rsidRPr="002D4988">
        <w:rPr>
          <w:rFonts w:ascii="Calibri" w:eastAsiaTheme="minorEastAsia" w:hAnsi="Calibri"/>
          <w:szCs w:val="22"/>
          <w:lang w:eastAsia="en-US"/>
        </w:rPr>
        <w:t>I</w:t>
      </w:r>
      <w:r w:rsidRPr="002D4988">
        <w:rPr>
          <w:rFonts w:ascii="Calibri" w:eastAsiaTheme="minorEastAsia" w:hAnsi="Calibri"/>
          <w:szCs w:val="22"/>
          <w:lang w:eastAsia="en-US"/>
        </w:rPr>
        <w:t xml:space="preserve">nitial 1 and </w:t>
      </w:r>
      <w:r w:rsidR="001C038A" w:rsidRPr="002D4988">
        <w:rPr>
          <w:rFonts w:ascii="Calibri" w:eastAsiaTheme="minorEastAsia" w:hAnsi="Calibri"/>
          <w:szCs w:val="22"/>
          <w:lang w:eastAsia="en-US"/>
        </w:rPr>
        <w:t>C</w:t>
      </w:r>
      <w:r w:rsidRPr="002D4988">
        <w:rPr>
          <w:rFonts w:ascii="Calibri" w:eastAsiaTheme="minorEastAsia" w:hAnsi="Calibri"/>
          <w:szCs w:val="22"/>
          <w:lang w:eastAsia="en-US"/>
        </w:rPr>
        <w:t>ontinuing treatment.</w:t>
      </w:r>
    </w:p>
    <w:tbl>
      <w:tblPr>
        <w:tblW w:w="4984" w:type="pct"/>
        <w:tblInd w:w="26" w:type="dxa"/>
        <w:tblCellMar>
          <w:left w:w="28" w:type="dxa"/>
          <w:right w:w="28" w:type="dxa"/>
        </w:tblCellMar>
        <w:tblLook w:val="0000" w:firstRow="0" w:lastRow="0" w:firstColumn="0" w:lastColumn="0" w:noHBand="0" w:noVBand="0"/>
      </w:tblPr>
      <w:tblGrid>
        <w:gridCol w:w="3375"/>
        <w:gridCol w:w="421"/>
        <w:gridCol w:w="1495"/>
        <w:gridCol w:w="1508"/>
        <w:gridCol w:w="714"/>
        <w:gridCol w:w="1485"/>
      </w:tblGrid>
      <w:tr w:rsidR="003517F9" w:rsidRPr="002D4988" w:rsidTr="00000439">
        <w:trPr>
          <w:cantSplit/>
          <w:trHeight w:val="463"/>
        </w:trPr>
        <w:tc>
          <w:tcPr>
            <w:tcW w:w="1875" w:type="pct"/>
            <w:tcBorders>
              <w:top w:val="single" w:sz="4" w:space="0" w:color="auto"/>
              <w:bottom w:val="single" w:sz="4" w:space="0" w:color="auto"/>
            </w:tcBorders>
            <w:vAlign w:val="center"/>
          </w:tcPr>
          <w:p w:rsidR="00617E12" w:rsidRPr="002D4988" w:rsidRDefault="00617E12" w:rsidP="00617E12">
            <w:pPr>
              <w:keepNext/>
              <w:jc w:val="left"/>
              <w:rPr>
                <w:rFonts w:ascii="Arial Narrow" w:hAnsi="Arial Narrow"/>
                <w:b/>
                <w:sz w:val="20"/>
              </w:rPr>
            </w:pPr>
            <w:r w:rsidRPr="002D4988">
              <w:rPr>
                <w:rFonts w:ascii="Arial Narrow" w:hAnsi="Arial Narrow"/>
                <w:b/>
                <w:sz w:val="20"/>
              </w:rPr>
              <w:lastRenderedPageBreak/>
              <w:t>Name, Restriction,</w:t>
            </w:r>
          </w:p>
          <w:p w:rsidR="00617E12" w:rsidRPr="002D4988" w:rsidRDefault="00617E12" w:rsidP="00617E12">
            <w:pPr>
              <w:keepNext/>
              <w:jc w:val="left"/>
              <w:rPr>
                <w:rFonts w:ascii="Arial Narrow" w:hAnsi="Arial Narrow"/>
                <w:b/>
                <w:sz w:val="20"/>
              </w:rPr>
            </w:pPr>
            <w:r w:rsidRPr="002D4988">
              <w:rPr>
                <w:rFonts w:ascii="Arial Narrow" w:hAnsi="Arial Narrow"/>
                <w:b/>
                <w:sz w:val="20"/>
              </w:rPr>
              <w:t>Manner of administration and form</w:t>
            </w:r>
          </w:p>
        </w:tc>
        <w:tc>
          <w:tcPr>
            <w:tcW w:w="234" w:type="pct"/>
            <w:tcBorders>
              <w:top w:val="single" w:sz="4" w:space="0" w:color="auto"/>
              <w:bottom w:val="single" w:sz="4" w:space="0" w:color="auto"/>
            </w:tcBorders>
            <w:vAlign w:val="center"/>
          </w:tcPr>
          <w:p w:rsidR="00617E12" w:rsidRPr="002D4988" w:rsidRDefault="00617E12" w:rsidP="00617E12">
            <w:pPr>
              <w:keepNext/>
              <w:jc w:val="center"/>
              <w:rPr>
                <w:rFonts w:ascii="Arial Narrow" w:hAnsi="Arial Narrow"/>
                <w:b/>
                <w:sz w:val="20"/>
              </w:rPr>
            </w:pPr>
            <w:r w:rsidRPr="002D4988">
              <w:rPr>
                <w:rFonts w:ascii="Arial Narrow" w:hAnsi="Arial Narrow"/>
                <w:b/>
                <w:sz w:val="20"/>
              </w:rPr>
              <w:t>Max.</w:t>
            </w:r>
          </w:p>
          <w:p w:rsidR="00617E12" w:rsidRPr="002D4988" w:rsidRDefault="00617E12" w:rsidP="00617E12">
            <w:pPr>
              <w:keepNext/>
              <w:jc w:val="center"/>
              <w:rPr>
                <w:rFonts w:ascii="Arial Narrow" w:hAnsi="Arial Narrow"/>
                <w:b/>
                <w:sz w:val="20"/>
              </w:rPr>
            </w:pPr>
            <w:r w:rsidRPr="002D4988">
              <w:rPr>
                <w:rFonts w:ascii="Arial Narrow" w:hAnsi="Arial Narrow"/>
                <w:b/>
                <w:sz w:val="20"/>
              </w:rPr>
              <w:t>Qty</w:t>
            </w:r>
          </w:p>
        </w:tc>
        <w:tc>
          <w:tcPr>
            <w:tcW w:w="831" w:type="pct"/>
            <w:tcBorders>
              <w:top w:val="single" w:sz="4" w:space="0" w:color="auto"/>
              <w:bottom w:val="single" w:sz="4" w:space="0" w:color="auto"/>
            </w:tcBorders>
            <w:vAlign w:val="center"/>
          </w:tcPr>
          <w:p w:rsidR="00617E12" w:rsidRPr="002D4988" w:rsidRDefault="00617E12" w:rsidP="00617E12">
            <w:pPr>
              <w:keepNext/>
              <w:jc w:val="center"/>
              <w:rPr>
                <w:rFonts w:ascii="Arial Narrow" w:hAnsi="Arial Narrow"/>
                <w:b/>
                <w:sz w:val="20"/>
              </w:rPr>
            </w:pPr>
            <w:r w:rsidRPr="002D4988">
              <w:rPr>
                <w:rFonts w:ascii="Arial Narrow" w:hAnsi="Arial Narrow" w:cs="Times New Roman"/>
                <w:b/>
                <w:sz w:val="20"/>
              </w:rPr>
              <w:t>№</w:t>
            </w:r>
            <w:r w:rsidRPr="002D4988">
              <w:rPr>
                <w:rFonts w:ascii="Arial Narrow" w:hAnsi="Arial Narrow"/>
                <w:b/>
                <w:sz w:val="20"/>
              </w:rPr>
              <w:t>.of</w:t>
            </w:r>
          </w:p>
          <w:p w:rsidR="00617E12" w:rsidRPr="002D4988" w:rsidRDefault="00617E12" w:rsidP="00617E12">
            <w:pPr>
              <w:keepNext/>
              <w:jc w:val="center"/>
              <w:rPr>
                <w:rFonts w:ascii="Arial Narrow" w:hAnsi="Arial Narrow"/>
                <w:b/>
                <w:sz w:val="20"/>
              </w:rPr>
            </w:pPr>
            <w:r w:rsidRPr="002D4988">
              <w:rPr>
                <w:rFonts w:ascii="Arial Narrow" w:hAnsi="Arial Narrow"/>
                <w:b/>
                <w:sz w:val="20"/>
              </w:rPr>
              <w:t>Rpts</w:t>
            </w:r>
          </w:p>
        </w:tc>
        <w:tc>
          <w:tcPr>
            <w:tcW w:w="838" w:type="pct"/>
            <w:tcBorders>
              <w:top w:val="single" w:sz="4" w:space="0" w:color="auto"/>
              <w:bottom w:val="single" w:sz="4" w:space="0" w:color="auto"/>
            </w:tcBorders>
            <w:vAlign w:val="center"/>
          </w:tcPr>
          <w:p w:rsidR="00617E12" w:rsidRPr="002D4988" w:rsidRDefault="00617E12" w:rsidP="003B52C4">
            <w:pPr>
              <w:keepNext/>
              <w:jc w:val="center"/>
              <w:rPr>
                <w:rFonts w:ascii="Arial Narrow" w:hAnsi="Arial Narrow"/>
                <w:b/>
                <w:sz w:val="20"/>
              </w:rPr>
            </w:pPr>
            <w:r w:rsidRPr="002D4988">
              <w:rPr>
                <w:rFonts w:ascii="Arial Narrow" w:hAnsi="Arial Narrow"/>
                <w:b/>
                <w:sz w:val="20"/>
              </w:rPr>
              <w:t>Dispensed Price for Max. Qty</w:t>
            </w:r>
            <w:r w:rsidR="00591957" w:rsidRPr="002D4988">
              <w:rPr>
                <w:rFonts w:ascii="Arial Narrow" w:hAnsi="Arial Narrow"/>
                <w:b/>
                <w:sz w:val="20"/>
              </w:rPr>
              <w:t xml:space="preserve"> </w:t>
            </w:r>
          </w:p>
        </w:tc>
        <w:tc>
          <w:tcPr>
            <w:tcW w:w="1222" w:type="pct"/>
            <w:gridSpan w:val="2"/>
            <w:tcBorders>
              <w:top w:val="single" w:sz="4" w:space="0" w:color="auto"/>
              <w:bottom w:val="single" w:sz="4" w:space="0" w:color="auto"/>
            </w:tcBorders>
            <w:vAlign w:val="center"/>
          </w:tcPr>
          <w:p w:rsidR="00617E12" w:rsidRPr="002D4988" w:rsidRDefault="00617E12" w:rsidP="00617E12">
            <w:pPr>
              <w:keepNext/>
              <w:jc w:val="center"/>
              <w:rPr>
                <w:rFonts w:ascii="Arial Narrow" w:hAnsi="Arial Narrow"/>
                <w:b/>
                <w:sz w:val="20"/>
              </w:rPr>
            </w:pPr>
            <w:r w:rsidRPr="002D4988">
              <w:rPr>
                <w:rFonts w:ascii="Arial Narrow" w:hAnsi="Arial Narrow"/>
                <w:b/>
                <w:sz w:val="20"/>
              </w:rPr>
              <w:t>Proprietary Name and Manufacturer</w:t>
            </w:r>
          </w:p>
        </w:tc>
      </w:tr>
      <w:tr w:rsidR="0083761B" w:rsidRPr="002D4988" w:rsidTr="0079076E">
        <w:trPr>
          <w:cantSplit/>
          <w:trHeight w:val="1374"/>
        </w:trPr>
        <w:tc>
          <w:tcPr>
            <w:tcW w:w="1875" w:type="pct"/>
            <w:vAlign w:val="center"/>
          </w:tcPr>
          <w:p w:rsidR="0083761B" w:rsidRPr="002D4988" w:rsidRDefault="0083761B" w:rsidP="00617E12">
            <w:pPr>
              <w:keepNext/>
              <w:jc w:val="left"/>
              <w:rPr>
                <w:rFonts w:ascii="Arial Narrow" w:hAnsi="Arial Narrow"/>
                <w:sz w:val="20"/>
              </w:rPr>
            </w:pPr>
            <w:r w:rsidRPr="002D4988">
              <w:rPr>
                <w:rFonts w:ascii="Arial Narrow" w:hAnsi="Arial Narrow"/>
                <w:sz w:val="20"/>
              </w:rPr>
              <w:t>TOFACITINIB</w:t>
            </w:r>
          </w:p>
          <w:p w:rsidR="0083761B" w:rsidRPr="002D4988" w:rsidRDefault="0083761B" w:rsidP="00617E12">
            <w:pPr>
              <w:keepNext/>
              <w:jc w:val="left"/>
              <w:rPr>
                <w:rFonts w:ascii="Arial Narrow" w:hAnsi="Arial Narrow"/>
                <w:sz w:val="20"/>
              </w:rPr>
            </w:pPr>
            <w:r w:rsidRPr="002D4988">
              <w:rPr>
                <w:rFonts w:ascii="Arial Narrow" w:hAnsi="Arial Narrow"/>
                <w:sz w:val="20"/>
              </w:rPr>
              <w:t>5 mg tablet</w:t>
            </w:r>
          </w:p>
        </w:tc>
        <w:tc>
          <w:tcPr>
            <w:tcW w:w="234" w:type="pct"/>
            <w:vAlign w:val="center"/>
          </w:tcPr>
          <w:p w:rsidR="0083761B" w:rsidRPr="002D4988" w:rsidRDefault="0083761B" w:rsidP="00617E12">
            <w:pPr>
              <w:keepNext/>
              <w:jc w:val="center"/>
              <w:rPr>
                <w:rFonts w:ascii="Arial Narrow" w:hAnsi="Arial Narrow"/>
                <w:sz w:val="20"/>
              </w:rPr>
            </w:pPr>
            <w:r w:rsidRPr="002D4988">
              <w:rPr>
                <w:rFonts w:ascii="Arial Narrow" w:hAnsi="Arial Narrow"/>
                <w:sz w:val="20"/>
              </w:rPr>
              <w:t>56</w:t>
            </w:r>
          </w:p>
        </w:tc>
        <w:tc>
          <w:tcPr>
            <w:tcW w:w="831" w:type="pct"/>
            <w:vAlign w:val="center"/>
          </w:tcPr>
          <w:p w:rsidR="0083761B" w:rsidRPr="002D4988" w:rsidRDefault="0083761B" w:rsidP="00617E12">
            <w:pPr>
              <w:keepNext/>
              <w:jc w:val="center"/>
              <w:rPr>
                <w:rFonts w:ascii="Arial Narrow" w:hAnsi="Arial Narrow"/>
                <w:sz w:val="20"/>
              </w:rPr>
            </w:pPr>
            <w:r w:rsidRPr="002D4988">
              <w:rPr>
                <w:rFonts w:ascii="Arial Narrow" w:hAnsi="Arial Narrow"/>
                <w:sz w:val="20"/>
              </w:rPr>
              <w:t>2 (induction)</w:t>
            </w:r>
          </w:p>
          <w:p w:rsidR="0083761B" w:rsidRPr="002D4988" w:rsidRDefault="0083761B" w:rsidP="00617E12">
            <w:pPr>
              <w:keepNext/>
              <w:jc w:val="center"/>
              <w:rPr>
                <w:rFonts w:ascii="Arial Narrow" w:hAnsi="Arial Narrow"/>
                <w:sz w:val="20"/>
              </w:rPr>
            </w:pPr>
            <w:r w:rsidRPr="002D4988">
              <w:rPr>
                <w:rFonts w:ascii="Arial Narrow" w:hAnsi="Arial Narrow"/>
                <w:sz w:val="20"/>
              </w:rPr>
              <w:t>5 (maintenance)</w:t>
            </w:r>
          </w:p>
        </w:tc>
        <w:tc>
          <w:tcPr>
            <w:tcW w:w="838" w:type="pct"/>
            <w:vAlign w:val="center"/>
          </w:tcPr>
          <w:p w:rsidR="0083761B" w:rsidRPr="002D4988" w:rsidRDefault="0083761B" w:rsidP="00CF0AFC">
            <w:pPr>
              <w:pStyle w:val="Tabletext"/>
              <w:jc w:val="center"/>
              <w:rPr>
                <w:i/>
                <w:szCs w:val="20"/>
              </w:rPr>
            </w:pPr>
            <w:r w:rsidRPr="002D4988">
              <w:rPr>
                <w:szCs w:val="20"/>
              </w:rPr>
              <w:t>$</w:t>
            </w:r>
            <w:r w:rsidR="001B7425">
              <w:rPr>
                <w:noProof/>
                <w:color w:val="000000"/>
                <w:szCs w:val="20"/>
                <w:highlight w:val="black"/>
              </w:rPr>
              <w:t>'''''''''''''''''''</w:t>
            </w:r>
            <w:r w:rsidRPr="002D4988">
              <w:rPr>
                <w:szCs w:val="20"/>
              </w:rPr>
              <w:t xml:space="preserve"> (</w:t>
            </w:r>
            <w:r w:rsidRPr="002D4988">
              <w:rPr>
                <w:i/>
                <w:szCs w:val="20"/>
              </w:rPr>
              <w:t>Published)</w:t>
            </w:r>
          </w:p>
          <w:p w:rsidR="0083761B" w:rsidRPr="002D4988" w:rsidRDefault="0083761B" w:rsidP="00CF0AFC">
            <w:pPr>
              <w:keepNext/>
              <w:jc w:val="center"/>
              <w:rPr>
                <w:rFonts w:ascii="Arial Narrow" w:hAnsi="Arial Narrow"/>
                <w:sz w:val="20"/>
                <w:szCs w:val="20"/>
              </w:rPr>
            </w:pPr>
            <w:r w:rsidRPr="002D4988">
              <w:rPr>
                <w:rFonts w:ascii="Arial Narrow" w:hAnsi="Arial Narrow"/>
                <w:sz w:val="20"/>
                <w:szCs w:val="20"/>
              </w:rPr>
              <w:t>$</w:t>
            </w:r>
            <w:r w:rsidR="001B7425">
              <w:rPr>
                <w:rFonts w:ascii="Arial Narrow" w:hAnsi="Arial Narrow"/>
                <w:noProof/>
                <w:color w:val="000000"/>
                <w:sz w:val="20"/>
                <w:szCs w:val="20"/>
                <w:highlight w:val="black"/>
              </w:rPr>
              <w:t>''''''''''''''''''</w:t>
            </w:r>
          </w:p>
          <w:p w:rsidR="0083761B" w:rsidRPr="002D4988" w:rsidRDefault="0083761B" w:rsidP="00CF0AFC">
            <w:pPr>
              <w:keepNext/>
              <w:jc w:val="center"/>
              <w:rPr>
                <w:rFonts w:ascii="Arial Narrow" w:hAnsi="Arial Narrow"/>
                <w:i/>
                <w:sz w:val="20"/>
                <w:szCs w:val="20"/>
              </w:rPr>
            </w:pPr>
            <w:r w:rsidRPr="002D4988">
              <w:rPr>
                <w:rFonts w:ascii="Arial Narrow" w:hAnsi="Arial Narrow"/>
                <w:sz w:val="20"/>
                <w:szCs w:val="20"/>
              </w:rPr>
              <w:t>(</w:t>
            </w:r>
            <w:r w:rsidRPr="002D4988">
              <w:rPr>
                <w:rFonts w:ascii="Arial Narrow" w:hAnsi="Arial Narrow"/>
                <w:i/>
                <w:sz w:val="20"/>
                <w:szCs w:val="20"/>
              </w:rPr>
              <w:t>Effective)</w:t>
            </w:r>
          </w:p>
        </w:tc>
        <w:tc>
          <w:tcPr>
            <w:tcW w:w="397" w:type="pct"/>
            <w:vAlign w:val="center"/>
          </w:tcPr>
          <w:p w:rsidR="0083761B" w:rsidRPr="002D4988" w:rsidRDefault="0083761B" w:rsidP="00617E12">
            <w:pPr>
              <w:keepNext/>
              <w:jc w:val="center"/>
              <w:rPr>
                <w:rFonts w:ascii="Arial Narrow" w:hAnsi="Arial Narrow"/>
                <w:sz w:val="20"/>
                <w:szCs w:val="20"/>
              </w:rPr>
            </w:pPr>
            <w:r w:rsidRPr="002D4988">
              <w:rPr>
                <w:rFonts w:ascii="Arial Narrow" w:hAnsi="Arial Narrow"/>
                <w:sz w:val="20"/>
                <w:szCs w:val="20"/>
              </w:rPr>
              <w:t>Xeljanz</w:t>
            </w:r>
            <w:r w:rsidRPr="002D4988">
              <w:rPr>
                <w:rFonts w:ascii="Arial Narrow" w:hAnsi="Arial Narrow"/>
                <w:sz w:val="20"/>
                <w:szCs w:val="20"/>
                <w:vertAlign w:val="superscript"/>
              </w:rPr>
              <w:t>®</w:t>
            </w:r>
          </w:p>
        </w:tc>
        <w:tc>
          <w:tcPr>
            <w:tcW w:w="825" w:type="pct"/>
            <w:vAlign w:val="center"/>
          </w:tcPr>
          <w:p w:rsidR="0083761B" w:rsidRPr="002D4988" w:rsidRDefault="0083761B" w:rsidP="00EC0DD9">
            <w:pPr>
              <w:keepNext/>
              <w:jc w:val="center"/>
              <w:rPr>
                <w:rFonts w:ascii="Arial Narrow" w:hAnsi="Arial Narrow"/>
                <w:sz w:val="20"/>
              </w:rPr>
            </w:pPr>
            <w:r w:rsidRPr="002D4988">
              <w:rPr>
                <w:rFonts w:ascii="Arial Narrow" w:hAnsi="Arial Narrow"/>
                <w:sz w:val="20"/>
              </w:rPr>
              <w:t>Pfizer Australia</w:t>
            </w:r>
          </w:p>
        </w:tc>
      </w:tr>
      <w:tr w:rsidR="00CF0AFC" w:rsidRPr="002D4988" w:rsidTr="00000439">
        <w:trPr>
          <w:cantSplit/>
          <w:trHeight w:val="567"/>
        </w:trPr>
        <w:tc>
          <w:tcPr>
            <w:tcW w:w="1875" w:type="pct"/>
            <w:vAlign w:val="center"/>
          </w:tcPr>
          <w:p w:rsidR="00CF0AFC" w:rsidRPr="002D4988" w:rsidRDefault="00CF0AFC" w:rsidP="00CF0AFC">
            <w:pPr>
              <w:keepNext/>
              <w:jc w:val="left"/>
              <w:rPr>
                <w:rFonts w:ascii="Arial Narrow" w:hAnsi="Arial Narrow"/>
                <w:sz w:val="20"/>
              </w:rPr>
            </w:pPr>
            <w:r w:rsidRPr="002D4988">
              <w:rPr>
                <w:rFonts w:ascii="Arial Narrow" w:hAnsi="Arial Narrow"/>
                <w:sz w:val="20"/>
              </w:rPr>
              <w:t>TOFACITINIB</w:t>
            </w:r>
          </w:p>
          <w:p w:rsidR="00CF0AFC" w:rsidRPr="002D4988" w:rsidRDefault="00CF0AFC" w:rsidP="00CF0AFC">
            <w:pPr>
              <w:keepNext/>
              <w:jc w:val="left"/>
              <w:rPr>
                <w:rFonts w:ascii="Arial Narrow" w:hAnsi="Arial Narrow"/>
                <w:smallCaps/>
                <w:sz w:val="20"/>
              </w:rPr>
            </w:pPr>
            <w:r w:rsidRPr="002D4988">
              <w:rPr>
                <w:rFonts w:ascii="Arial Narrow" w:hAnsi="Arial Narrow"/>
                <w:sz w:val="20"/>
              </w:rPr>
              <w:t>10 mg tablet</w:t>
            </w:r>
          </w:p>
        </w:tc>
        <w:tc>
          <w:tcPr>
            <w:tcW w:w="234" w:type="pct"/>
            <w:vAlign w:val="center"/>
          </w:tcPr>
          <w:p w:rsidR="00CF0AFC" w:rsidRPr="002D4988" w:rsidRDefault="00CF0AFC" w:rsidP="00CF0AFC">
            <w:pPr>
              <w:keepNext/>
              <w:jc w:val="center"/>
              <w:rPr>
                <w:rFonts w:ascii="Arial Narrow" w:hAnsi="Arial Narrow"/>
                <w:sz w:val="20"/>
              </w:rPr>
            </w:pPr>
            <w:r w:rsidRPr="002D4988">
              <w:rPr>
                <w:rFonts w:ascii="Arial Narrow" w:hAnsi="Arial Narrow"/>
                <w:sz w:val="20"/>
              </w:rPr>
              <w:t>56</w:t>
            </w:r>
          </w:p>
        </w:tc>
        <w:tc>
          <w:tcPr>
            <w:tcW w:w="831" w:type="pct"/>
            <w:vAlign w:val="center"/>
          </w:tcPr>
          <w:p w:rsidR="00CF0AFC" w:rsidRPr="002D4988" w:rsidRDefault="00CF0AFC" w:rsidP="00CF0AFC">
            <w:pPr>
              <w:keepNext/>
              <w:jc w:val="center"/>
              <w:rPr>
                <w:rFonts w:ascii="Arial Narrow" w:hAnsi="Arial Narrow"/>
                <w:sz w:val="20"/>
              </w:rPr>
            </w:pPr>
            <w:r w:rsidRPr="002D4988">
              <w:rPr>
                <w:rFonts w:ascii="Arial Narrow" w:hAnsi="Arial Narrow"/>
                <w:sz w:val="20"/>
              </w:rPr>
              <w:t>3 (induction)</w:t>
            </w:r>
          </w:p>
          <w:p w:rsidR="00CF0AFC" w:rsidRPr="002D4988" w:rsidRDefault="00CF0AFC" w:rsidP="00CF0AFC">
            <w:pPr>
              <w:keepNext/>
              <w:jc w:val="center"/>
              <w:rPr>
                <w:rFonts w:ascii="Arial Narrow" w:hAnsi="Arial Narrow"/>
                <w:sz w:val="20"/>
              </w:rPr>
            </w:pPr>
            <w:r w:rsidRPr="002D4988">
              <w:rPr>
                <w:rFonts w:ascii="Arial Narrow" w:hAnsi="Arial Narrow"/>
                <w:sz w:val="20"/>
              </w:rPr>
              <w:t>5 (maintenance)</w:t>
            </w:r>
          </w:p>
        </w:tc>
        <w:tc>
          <w:tcPr>
            <w:tcW w:w="838" w:type="pct"/>
            <w:vAlign w:val="center"/>
          </w:tcPr>
          <w:p w:rsidR="00CF0AFC" w:rsidRPr="002D4988" w:rsidRDefault="00CF0AFC" w:rsidP="00CF0AFC">
            <w:pPr>
              <w:pStyle w:val="Tabletext"/>
              <w:jc w:val="center"/>
              <w:rPr>
                <w:i/>
                <w:szCs w:val="20"/>
              </w:rPr>
            </w:pPr>
            <w:r w:rsidRPr="002D4988">
              <w:rPr>
                <w:szCs w:val="20"/>
              </w:rPr>
              <w:t>$</w:t>
            </w:r>
            <w:r w:rsidR="001B7425">
              <w:rPr>
                <w:noProof/>
                <w:color w:val="000000"/>
                <w:szCs w:val="20"/>
                <w:highlight w:val="black"/>
              </w:rPr>
              <w:t>''''''''''''''''''''''</w:t>
            </w:r>
            <w:r w:rsidRPr="002D4988">
              <w:rPr>
                <w:szCs w:val="20"/>
              </w:rPr>
              <w:t xml:space="preserve"> </w:t>
            </w:r>
            <w:r w:rsidR="00000439" w:rsidRPr="002D4988">
              <w:rPr>
                <w:szCs w:val="20"/>
              </w:rPr>
              <w:t>(</w:t>
            </w:r>
            <w:r w:rsidR="00000439" w:rsidRPr="002D4988">
              <w:rPr>
                <w:i/>
                <w:szCs w:val="20"/>
              </w:rPr>
              <w:t>Published)</w:t>
            </w:r>
          </w:p>
          <w:p w:rsidR="00000439" w:rsidRPr="002D4988" w:rsidRDefault="00CF0AFC" w:rsidP="00000439">
            <w:pPr>
              <w:keepNext/>
              <w:jc w:val="center"/>
              <w:rPr>
                <w:rFonts w:ascii="Arial Narrow" w:hAnsi="Arial Narrow"/>
                <w:sz w:val="20"/>
                <w:szCs w:val="20"/>
              </w:rPr>
            </w:pPr>
            <w:r w:rsidRPr="002D4988">
              <w:rPr>
                <w:rFonts w:ascii="Arial Narrow" w:hAnsi="Arial Narrow"/>
                <w:sz w:val="20"/>
                <w:szCs w:val="20"/>
              </w:rPr>
              <w:t>$</w:t>
            </w:r>
            <w:r w:rsidR="001B7425">
              <w:rPr>
                <w:rFonts w:ascii="Arial Narrow" w:hAnsi="Arial Narrow"/>
                <w:noProof/>
                <w:color w:val="000000"/>
                <w:sz w:val="20"/>
                <w:szCs w:val="20"/>
                <w:highlight w:val="black"/>
              </w:rPr>
              <w:t>'''''''''''''''''</w:t>
            </w:r>
            <w:r w:rsidRPr="002D4988">
              <w:rPr>
                <w:rFonts w:ascii="Arial Narrow" w:hAnsi="Arial Narrow"/>
                <w:sz w:val="20"/>
                <w:szCs w:val="20"/>
              </w:rPr>
              <w:t xml:space="preserve"> </w:t>
            </w:r>
          </w:p>
          <w:p w:rsidR="00CF0AFC" w:rsidRPr="002D4988" w:rsidRDefault="00000439" w:rsidP="00000439">
            <w:pPr>
              <w:keepNext/>
              <w:jc w:val="center"/>
              <w:rPr>
                <w:rFonts w:ascii="Arial Narrow" w:hAnsi="Arial Narrow"/>
                <w:i/>
                <w:sz w:val="20"/>
                <w:szCs w:val="20"/>
              </w:rPr>
            </w:pPr>
            <w:r w:rsidRPr="002D4988">
              <w:rPr>
                <w:rFonts w:ascii="Arial Narrow" w:hAnsi="Arial Narrow"/>
                <w:sz w:val="20"/>
                <w:szCs w:val="20"/>
              </w:rPr>
              <w:t>(</w:t>
            </w:r>
            <w:r w:rsidRPr="002D4988">
              <w:rPr>
                <w:rFonts w:ascii="Arial Narrow" w:hAnsi="Arial Narrow"/>
                <w:i/>
                <w:sz w:val="20"/>
                <w:szCs w:val="20"/>
              </w:rPr>
              <w:t>Effective)</w:t>
            </w:r>
          </w:p>
        </w:tc>
        <w:tc>
          <w:tcPr>
            <w:tcW w:w="397" w:type="pct"/>
            <w:vAlign w:val="center"/>
          </w:tcPr>
          <w:p w:rsidR="00CF0AFC" w:rsidRPr="002D4988" w:rsidRDefault="00CF0AFC" w:rsidP="00CF0AFC">
            <w:pPr>
              <w:keepNext/>
              <w:jc w:val="left"/>
              <w:rPr>
                <w:rFonts w:ascii="Arial Narrow" w:hAnsi="Arial Narrow"/>
                <w:sz w:val="20"/>
                <w:szCs w:val="20"/>
              </w:rPr>
            </w:pPr>
            <w:r w:rsidRPr="002D4988">
              <w:rPr>
                <w:rFonts w:ascii="Arial Narrow" w:hAnsi="Arial Narrow"/>
                <w:sz w:val="20"/>
                <w:szCs w:val="20"/>
              </w:rPr>
              <w:t>Xeljanz</w:t>
            </w:r>
            <w:r w:rsidRPr="002D4988">
              <w:rPr>
                <w:rFonts w:ascii="Arial Narrow" w:hAnsi="Arial Narrow"/>
                <w:sz w:val="20"/>
                <w:szCs w:val="20"/>
                <w:vertAlign w:val="superscript"/>
              </w:rPr>
              <w:t>®</w:t>
            </w:r>
          </w:p>
        </w:tc>
        <w:tc>
          <w:tcPr>
            <w:tcW w:w="825" w:type="pct"/>
            <w:vAlign w:val="center"/>
          </w:tcPr>
          <w:p w:rsidR="00CF0AFC" w:rsidRPr="002D4988" w:rsidRDefault="00CF0AFC" w:rsidP="00CF0AFC">
            <w:pPr>
              <w:keepNext/>
              <w:jc w:val="center"/>
              <w:rPr>
                <w:rFonts w:ascii="Arial Narrow" w:hAnsi="Arial Narrow"/>
                <w:sz w:val="20"/>
              </w:rPr>
            </w:pPr>
            <w:r w:rsidRPr="002D4988">
              <w:rPr>
                <w:rFonts w:ascii="Arial Narrow" w:hAnsi="Arial Narrow"/>
                <w:sz w:val="20"/>
              </w:rPr>
              <w:t>Pfizer Australia</w:t>
            </w:r>
          </w:p>
        </w:tc>
      </w:tr>
    </w:tbl>
    <w:p w:rsidR="00936AA1" w:rsidRPr="002D4988" w:rsidRDefault="00936AA1" w:rsidP="00F36970">
      <w:pPr>
        <w:pStyle w:val="TableFigureFooter"/>
      </w:pPr>
    </w:p>
    <w:tbl>
      <w:tblPr>
        <w:tblW w:w="5000" w:type="pct"/>
        <w:tblInd w:w="5" w:type="dxa"/>
        <w:tblLook w:val="0000" w:firstRow="0" w:lastRow="0" w:firstColumn="0" w:lastColumn="0" w:noHBand="0" w:noVBand="0"/>
      </w:tblPr>
      <w:tblGrid>
        <w:gridCol w:w="1832"/>
        <w:gridCol w:w="7185"/>
      </w:tblGrid>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b/>
              </w:rPr>
            </w:pPr>
            <w:r w:rsidRPr="002D4988">
              <w:rPr>
                <w:b/>
              </w:rPr>
              <w:t>Category / Program:</w:t>
            </w: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pPr>
            <w:r w:rsidRPr="002D4988">
              <w:t>GENERAL – General Schedule (Section 85)</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b/>
              </w:rPr>
            </w:pPr>
            <w:r w:rsidRPr="002D4988">
              <w:rPr>
                <w:b/>
              </w:rPr>
              <w:t>Prescriber type:</w:t>
            </w: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1C038A">
            <w:pPr>
              <w:pStyle w:val="TableText0"/>
              <w:keepNext w:val="0"/>
              <w:widowControl w:val="0"/>
            </w:pPr>
            <w:r w:rsidRPr="002D4988">
              <w:rPr>
                <w:bCs w:val="0"/>
              </w:rPr>
              <w:fldChar w:fldCharType="begin">
                <w:ffData>
                  <w:name w:val="Check1"/>
                  <w:enabled/>
                  <w:calcOnExit w:val="0"/>
                  <w:checkBox>
                    <w:sizeAuto/>
                    <w:default w:val="1"/>
                  </w:checkBox>
                </w:ffData>
              </w:fldChar>
            </w:r>
            <w:r w:rsidRPr="002D4988">
              <w:instrText xml:space="preserve"> FORMCHECKBOX </w:instrText>
            </w:r>
            <w:r w:rsidR="00D6581F">
              <w:rPr>
                <w:bCs w:val="0"/>
              </w:rPr>
            </w:r>
            <w:r w:rsidR="00D6581F">
              <w:rPr>
                <w:bCs w:val="0"/>
              </w:rPr>
              <w:fldChar w:fldCharType="separate"/>
            </w:r>
            <w:r w:rsidRPr="002D4988">
              <w:rPr>
                <w:bCs w:val="0"/>
              </w:rPr>
              <w:fldChar w:fldCharType="end"/>
            </w:r>
            <w:r w:rsidRPr="002D4988">
              <w:t>Medical Practitioners</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b/>
              </w:rPr>
            </w:pPr>
            <w:r w:rsidRPr="002D4988">
              <w:rPr>
                <w:b/>
              </w:rPr>
              <w:t>PBS Indication:</w:t>
            </w: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pPr>
            <w:r w:rsidRPr="002D4988">
              <w:t>Moderate to severe ulcerative colitis</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b/>
              </w:rPr>
            </w:pPr>
            <w:r w:rsidRPr="002D4988">
              <w:rPr>
                <w:b/>
              </w:rPr>
              <w:t>Treatment phase:</w:t>
            </w: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pPr>
            <w:r w:rsidRPr="002D4988">
              <w:t>Initial 1</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i/>
              </w:rPr>
            </w:pPr>
            <w:r w:rsidRPr="002D4988">
              <w:rPr>
                <w:b/>
              </w:rPr>
              <w:t>Restriction:</w:t>
            </w: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pPr>
            <w:r w:rsidRPr="002D4988">
              <w:rPr>
                <w:bCs w:val="0"/>
              </w:rPr>
              <w:fldChar w:fldCharType="begin">
                <w:ffData>
                  <w:name w:val=""/>
                  <w:enabled/>
                  <w:calcOnExit w:val="0"/>
                  <w:checkBox>
                    <w:sizeAuto/>
                    <w:default w:val="1"/>
                  </w:checkBox>
                </w:ffData>
              </w:fldChar>
            </w:r>
            <w:r w:rsidRPr="002D4988">
              <w:instrText xml:space="preserve"> FORMCHECKBOX </w:instrText>
            </w:r>
            <w:r w:rsidR="00D6581F">
              <w:rPr>
                <w:bCs w:val="0"/>
              </w:rPr>
            </w:r>
            <w:r w:rsidR="00D6581F">
              <w:rPr>
                <w:bCs w:val="0"/>
              </w:rPr>
              <w:fldChar w:fldCharType="separate"/>
            </w:r>
            <w:r w:rsidRPr="002D4988">
              <w:rPr>
                <w:bCs w:val="0"/>
              </w:rPr>
              <w:fldChar w:fldCharType="end"/>
            </w:r>
            <w:r w:rsidRPr="002D4988">
              <w:t>Authority Required - In Writing</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b/>
              </w:rPr>
            </w:pPr>
            <w:r w:rsidRPr="002D4988">
              <w:rPr>
                <w:b/>
              </w:rPr>
              <w:t>Clinical criteria:</w:t>
            </w:r>
          </w:p>
          <w:p w:rsidR="00936AA1" w:rsidRPr="002D4988" w:rsidRDefault="00936AA1" w:rsidP="009874D6">
            <w:pPr>
              <w:pStyle w:val="TableText0"/>
              <w:keepNext w:val="0"/>
              <w:widowControl w:val="0"/>
              <w:rPr>
                <w:i/>
              </w:rPr>
            </w:pP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rFonts w:cs="Arial"/>
              </w:rPr>
            </w:pPr>
            <w:r w:rsidRPr="002D4988">
              <w:rPr>
                <w:rFonts w:cs="Arial"/>
              </w:rPr>
              <w:t>Patient must have failed to achieve an adequate response (or intolerance) to standard medical management (5-aminosalicylate, azathioprine, 6-mercaptopurine, oral steroids);</w:t>
            </w:r>
          </w:p>
          <w:p w:rsidR="00936AA1" w:rsidRPr="002D4988" w:rsidRDefault="00936AA1" w:rsidP="009874D6">
            <w:pPr>
              <w:pStyle w:val="TableText0"/>
              <w:keepNext w:val="0"/>
              <w:widowControl w:val="0"/>
              <w:rPr>
                <w:rFonts w:cs="Arial"/>
              </w:rPr>
            </w:pPr>
            <w:r w:rsidRPr="002D4988">
              <w:rPr>
                <w:rFonts w:cs="Arial"/>
              </w:rPr>
              <w:t>AND</w:t>
            </w:r>
          </w:p>
          <w:p w:rsidR="00936AA1" w:rsidRPr="002D4988" w:rsidRDefault="00936AA1" w:rsidP="009874D6">
            <w:pPr>
              <w:pStyle w:val="TableText0"/>
              <w:keepNext w:val="0"/>
              <w:widowControl w:val="0"/>
              <w:rPr>
                <w:rFonts w:cs="Arial"/>
              </w:rPr>
            </w:pPr>
            <w:r w:rsidRPr="002D4988">
              <w:rPr>
                <w:rFonts w:cs="Arial"/>
              </w:rPr>
              <w:t>Patient must have a Mayo clinic score greater than or equal to 6;</w:t>
            </w:r>
          </w:p>
          <w:p w:rsidR="00936AA1" w:rsidRPr="002D4988" w:rsidRDefault="00936AA1" w:rsidP="009874D6">
            <w:pPr>
              <w:pStyle w:val="TableText0"/>
              <w:keepNext w:val="0"/>
              <w:widowControl w:val="0"/>
              <w:rPr>
                <w:rFonts w:cs="Arial"/>
              </w:rPr>
            </w:pPr>
            <w:r w:rsidRPr="002D4988">
              <w:rPr>
                <w:rFonts w:cs="Arial"/>
              </w:rPr>
              <w:t xml:space="preserve">OR </w:t>
            </w:r>
          </w:p>
          <w:p w:rsidR="00936AA1" w:rsidRPr="002D4988" w:rsidRDefault="00936AA1" w:rsidP="009874D6">
            <w:pPr>
              <w:pStyle w:val="TableText0"/>
              <w:keepNext w:val="0"/>
              <w:widowControl w:val="0"/>
              <w:rPr>
                <w:rFonts w:cs="Arial"/>
              </w:rPr>
            </w:pPr>
            <w:r w:rsidRPr="002D4988">
              <w:rPr>
                <w:rFonts w:cs="Arial"/>
              </w:rPr>
              <w:t>Patient must have a partial Mayo clinic score greater than or equal to 6, provided the rectal bleeding and stool frequency subscores are both greater than or equal to 2 (endoscopy subscore is not required).</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b/>
              </w:rPr>
            </w:pPr>
            <w:r w:rsidRPr="002D4988">
              <w:rPr>
                <w:b/>
              </w:rPr>
              <w:t>Prescriber Instructions:</w:t>
            </w: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
              <w:widowControl w:val="0"/>
            </w:pPr>
            <w:r w:rsidRPr="002D4988">
              <w:t xml:space="preserve">A partial Mayo clinic assessment of the patient's response to this initial course of treatment must be made up to 12 weeks after the first dose for patients administered doses at weeks 0, 2, 6 and 10 so that there is adequate time for a response to be demonstrated. </w:t>
            </w:r>
          </w:p>
          <w:p w:rsidR="00936AA1" w:rsidRPr="002D4988" w:rsidRDefault="00936AA1" w:rsidP="009874D6">
            <w:pPr>
              <w:pStyle w:val="TableText0"/>
              <w:keepNext w:val="0"/>
              <w:widowControl w:val="0"/>
            </w:pPr>
            <w:r w:rsidRPr="002D4988">
              <w:t xml:space="preserve">A maximum of </w:t>
            </w:r>
            <w:r w:rsidRPr="002D4988">
              <w:rPr>
                <w:b/>
              </w:rPr>
              <w:t>16 weeks of treatment</w:t>
            </w:r>
            <w:r w:rsidRPr="002D4988">
              <w:t xml:space="preserve"> with this drug will be approved under this criterion. </w:t>
            </w:r>
            <w:r w:rsidRPr="002D4988">
              <w:rPr>
                <w:u w:val="single"/>
              </w:rPr>
              <w:t>The recommended dose is 10 mg twice daily for at least 8 weeks followed by 5 mg twice daily.</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b/>
              </w:rPr>
            </w:pPr>
            <w:r w:rsidRPr="002D4988">
              <w:rPr>
                <w:b/>
              </w:rPr>
              <w:t>Treatment phase:</w:t>
            </w: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pPr>
            <w:r w:rsidRPr="002D4988">
              <w:t>Continuing</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i/>
              </w:rPr>
            </w:pPr>
            <w:r w:rsidRPr="002D4988">
              <w:rPr>
                <w:b/>
              </w:rPr>
              <w:t>Restriction:</w:t>
            </w: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pPr>
            <w:r w:rsidRPr="002D4988">
              <w:rPr>
                <w:bCs w:val="0"/>
              </w:rPr>
              <w:fldChar w:fldCharType="begin">
                <w:ffData>
                  <w:name w:val=""/>
                  <w:enabled/>
                  <w:calcOnExit w:val="0"/>
                  <w:checkBox>
                    <w:sizeAuto/>
                    <w:default w:val="1"/>
                  </w:checkBox>
                </w:ffData>
              </w:fldChar>
            </w:r>
            <w:r w:rsidRPr="002D4988">
              <w:instrText xml:space="preserve"> FORMCHECKBOX </w:instrText>
            </w:r>
            <w:r w:rsidR="00D6581F">
              <w:rPr>
                <w:bCs w:val="0"/>
              </w:rPr>
            </w:r>
            <w:r w:rsidR="00D6581F">
              <w:rPr>
                <w:bCs w:val="0"/>
              </w:rPr>
              <w:fldChar w:fldCharType="separate"/>
            </w:r>
            <w:r w:rsidRPr="002D4988">
              <w:rPr>
                <w:bCs w:val="0"/>
              </w:rPr>
              <w:fldChar w:fldCharType="end"/>
            </w:r>
            <w:r w:rsidRPr="002D4988">
              <w:t>Authority Required - In Writing</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b/>
              </w:rPr>
            </w:pPr>
            <w:r w:rsidRPr="002D4988">
              <w:rPr>
                <w:b/>
              </w:rPr>
              <w:t>Clinical criteria:</w:t>
            </w:r>
          </w:p>
          <w:p w:rsidR="00936AA1" w:rsidRPr="002D4988" w:rsidRDefault="00936AA1" w:rsidP="009874D6">
            <w:pPr>
              <w:pStyle w:val="TableText0"/>
              <w:keepNext w:val="0"/>
              <w:widowControl w:val="0"/>
              <w:rPr>
                <w:i/>
              </w:rPr>
            </w:pP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rFonts w:cs="Arial"/>
              </w:rPr>
            </w:pPr>
            <w:r w:rsidRPr="002D4988">
              <w:rPr>
                <w:rFonts w:cs="Arial"/>
              </w:rPr>
              <w:t>Patient must have previously received PBS-subsidised treatment with this drug for this condition</w:t>
            </w:r>
          </w:p>
          <w:p w:rsidR="00936AA1" w:rsidRPr="002D4988" w:rsidRDefault="00936AA1" w:rsidP="009874D6">
            <w:pPr>
              <w:pStyle w:val="TableText0"/>
              <w:keepNext w:val="0"/>
              <w:widowControl w:val="0"/>
              <w:rPr>
                <w:rFonts w:cs="Arial"/>
              </w:rPr>
            </w:pPr>
            <w:r w:rsidRPr="002D4988">
              <w:rPr>
                <w:rFonts w:cs="Arial"/>
              </w:rPr>
              <w:t>AND</w:t>
            </w:r>
          </w:p>
          <w:p w:rsidR="00936AA1" w:rsidRPr="002D4988" w:rsidRDefault="00936AA1" w:rsidP="009874D6">
            <w:pPr>
              <w:pStyle w:val="TableText0"/>
              <w:keepNext w:val="0"/>
              <w:widowControl w:val="0"/>
              <w:rPr>
                <w:rFonts w:cs="Arial"/>
              </w:rPr>
            </w:pPr>
            <w:r w:rsidRPr="002D4988">
              <w:rPr>
                <w:rFonts w:cs="Arial"/>
              </w:rPr>
              <w:t>Patient must have demonstrated or sustained an adequate response to treatment by having a partial Mayo clinic score less than or equal to 2, with no subscore greater than 1 while receiving treatment with this drug.</w:t>
            </w:r>
          </w:p>
        </w:tc>
      </w:tr>
      <w:tr w:rsidR="00936AA1" w:rsidRPr="002D4988" w:rsidTr="001C038A">
        <w:trPr>
          <w:cantSplit/>
        </w:trPr>
        <w:tc>
          <w:tcPr>
            <w:tcW w:w="1016"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rPr>
                <w:b/>
              </w:rPr>
            </w:pPr>
            <w:r w:rsidRPr="002D4988">
              <w:rPr>
                <w:b/>
              </w:rPr>
              <w:t>Prescriber Instructions:</w:t>
            </w:r>
          </w:p>
        </w:tc>
        <w:tc>
          <w:tcPr>
            <w:tcW w:w="3984" w:type="pct"/>
            <w:tcBorders>
              <w:top w:val="single" w:sz="4" w:space="0" w:color="auto"/>
              <w:left w:val="single" w:sz="4" w:space="0" w:color="auto"/>
              <w:bottom w:val="single" w:sz="4" w:space="0" w:color="auto"/>
              <w:right w:val="single" w:sz="4" w:space="0" w:color="auto"/>
            </w:tcBorders>
          </w:tcPr>
          <w:p w:rsidR="00936AA1" w:rsidRPr="002D4988" w:rsidRDefault="00936AA1" w:rsidP="009874D6">
            <w:pPr>
              <w:pStyle w:val="TableText0"/>
              <w:keepNext w:val="0"/>
              <w:widowControl w:val="0"/>
            </w:pPr>
            <w:r w:rsidRPr="002D4988">
              <w:rPr>
                <w:rFonts w:cs="Arial"/>
              </w:rPr>
              <w:t xml:space="preserve">Patients are eligible to receive continuing treatment with this drug in </w:t>
            </w:r>
            <w:r w:rsidRPr="002D4988">
              <w:rPr>
                <w:rFonts w:cs="Arial"/>
                <w:b/>
              </w:rPr>
              <w:t>courses of up to 24 weeks</w:t>
            </w:r>
            <w:r w:rsidRPr="002D4988">
              <w:rPr>
                <w:rFonts w:cs="Arial"/>
              </w:rPr>
              <w:t xml:space="preserve"> providing they continue to sustain the response.</w:t>
            </w:r>
          </w:p>
        </w:tc>
      </w:tr>
    </w:tbl>
    <w:p w:rsidR="00936AA1" w:rsidRPr="002D4988" w:rsidRDefault="00936AA1" w:rsidP="009A5035">
      <w:pPr>
        <w:pStyle w:val="TableFigureFooter"/>
      </w:pPr>
      <w:r w:rsidRPr="002D4988">
        <w:t xml:space="preserve">Source: pp.22-29 of the March 2019 submission; Submission Summary Folder attached to the resubmission. </w:t>
      </w:r>
    </w:p>
    <w:p w:rsidR="003B52C4" w:rsidRPr="002D4988" w:rsidRDefault="003B52C4" w:rsidP="003B52C4">
      <w:pPr>
        <w:pStyle w:val="TableFigureFooter"/>
      </w:pPr>
      <w:r w:rsidRPr="002D4988">
        <w:rPr>
          <w:rStyle w:val="FootnoteReference"/>
        </w:rPr>
        <w:t>a</w:t>
      </w:r>
      <w:r w:rsidRPr="002D4988">
        <w:t xml:space="preserve"> Requested DPMQs based on Table 3.4.11 of the submission.</w:t>
      </w:r>
    </w:p>
    <w:p w:rsidR="002439A2" w:rsidRPr="002D4988" w:rsidRDefault="002439A2" w:rsidP="00E143D9">
      <w:pPr>
        <w:pStyle w:val="3-BodyText"/>
      </w:pPr>
      <w:r w:rsidRPr="002D4988">
        <w:rPr>
          <w:rFonts w:eastAsiaTheme="minorEastAsia"/>
          <w:lang w:eastAsia="en-US"/>
        </w:rPr>
        <w:t>The resubmission requested a Special Pricing Arrangement (SPA).</w:t>
      </w:r>
      <w:r w:rsidR="0098240F" w:rsidRPr="002D4988">
        <w:rPr>
          <w:rFonts w:eastAsiaTheme="minorEastAsia"/>
          <w:lang w:eastAsia="en-US"/>
        </w:rPr>
        <w:t xml:space="preserve"> </w:t>
      </w:r>
      <w:r w:rsidRPr="002D4988">
        <w:rPr>
          <w:rFonts w:eastAsiaTheme="minorEastAsia"/>
          <w:lang w:eastAsia="en-US"/>
        </w:rPr>
        <w:t>The proposed published prices (DPMQ) for TOF 10 mg and TOF 5 mg are $</w:t>
      </w:r>
      <w:r w:rsidR="001B7425">
        <w:rPr>
          <w:rFonts w:eastAsiaTheme="minorEastAsia"/>
          <w:noProof/>
          <w:color w:val="000000"/>
          <w:highlight w:val="black"/>
          <w:lang w:eastAsia="en-US"/>
        </w:rPr>
        <w:t>''''''''''''''''</w:t>
      </w:r>
      <w:r w:rsidRPr="002D4988">
        <w:rPr>
          <w:rFonts w:eastAsiaTheme="minorEastAsia"/>
          <w:lang w:eastAsia="en-US"/>
        </w:rPr>
        <w:t xml:space="preserve"> and $</w:t>
      </w:r>
      <w:r w:rsidR="001B7425">
        <w:rPr>
          <w:rFonts w:eastAsiaTheme="minorEastAsia"/>
          <w:noProof/>
          <w:color w:val="000000"/>
          <w:highlight w:val="black"/>
          <w:lang w:eastAsia="en-US"/>
        </w:rPr>
        <w:t xml:space="preserve">''''''''''''''''' </w:t>
      </w:r>
      <w:r w:rsidRPr="002D4988">
        <w:rPr>
          <w:rFonts w:eastAsiaTheme="minorEastAsia"/>
          <w:lang w:eastAsia="en-US"/>
        </w:rPr>
        <w:t>respectively, per 56 tablets.</w:t>
      </w:r>
      <w:r w:rsidR="0098240F" w:rsidRPr="002D4988">
        <w:rPr>
          <w:rFonts w:eastAsiaTheme="minorEastAsia"/>
          <w:lang w:eastAsia="en-US"/>
        </w:rPr>
        <w:t xml:space="preserve"> </w:t>
      </w:r>
      <w:r w:rsidRPr="002D4988">
        <w:rPr>
          <w:rFonts w:eastAsiaTheme="minorEastAsia"/>
          <w:lang w:eastAsia="en-US"/>
        </w:rPr>
        <w:t>The proposed effective prices</w:t>
      </w:r>
      <w:r w:rsidR="003B3813" w:rsidRPr="002D4988">
        <w:rPr>
          <w:rFonts w:eastAsiaTheme="minorEastAsia"/>
          <w:lang w:eastAsia="en-US"/>
        </w:rPr>
        <w:t xml:space="preserve"> (DPMQ)</w:t>
      </w:r>
      <w:r w:rsidRPr="002D4988">
        <w:rPr>
          <w:rFonts w:eastAsiaTheme="minorEastAsia"/>
          <w:lang w:eastAsia="en-US"/>
        </w:rPr>
        <w:t xml:space="preserve"> for both TOF 10 mg and TOF 5 mg </w:t>
      </w:r>
      <w:r w:rsidR="00BC0889" w:rsidRPr="002D4988">
        <w:rPr>
          <w:rFonts w:eastAsiaTheme="minorEastAsia"/>
          <w:lang w:eastAsia="en-US"/>
        </w:rPr>
        <w:t>are $</w:t>
      </w:r>
      <w:r w:rsidR="001B7425">
        <w:rPr>
          <w:rFonts w:eastAsiaTheme="minorEastAsia"/>
          <w:noProof/>
          <w:color w:val="000000"/>
          <w:highlight w:val="black"/>
          <w:lang w:eastAsia="en-US"/>
        </w:rPr>
        <w:t>''''''''''''</w:t>
      </w:r>
      <w:r w:rsidR="001A18F6" w:rsidRPr="002D4988">
        <w:rPr>
          <w:rFonts w:eastAsiaTheme="minorEastAsia"/>
          <w:lang w:eastAsia="en-US"/>
        </w:rPr>
        <w:t>.</w:t>
      </w:r>
    </w:p>
    <w:p w:rsidR="002439A2" w:rsidRPr="002D4988" w:rsidRDefault="002439A2" w:rsidP="00E143D9">
      <w:pPr>
        <w:pStyle w:val="3-BodyText"/>
        <w:rPr>
          <w:rFonts w:eastAsiaTheme="minorEastAsia"/>
          <w:lang w:eastAsia="en-US"/>
        </w:rPr>
      </w:pPr>
      <w:r w:rsidRPr="002D4988">
        <w:rPr>
          <w:rFonts w:eastAsiaTheme="minorEastAsia"/>
          <w:lang w:eastAsia="en-US"/>
        </w:rPr>
        <w:t xml:space="preserve">The requested effective price is the same for both the 5 mg and 10 mg strengths, which represents a </w:t>
      </w:r>
      <w:r w:rsidRPr="00942DFC">
        <w:rPr>
          <w:rFonts w:eastAsiaTheme="minorEastAsia"/>
          <w:lang w:eastAsia="en-US"/>
        </w:rPr>
        <w:t>13</w:t>
      </w:r>
      <w:r w:rsidRPr="002D4988">
        <w:rPr>
          <w:rFonts w:eastAsiaTheme="minorEastAsia"/>
          <w:lang w:eastAsia="en-US"/>
        </w:rPr>
        <w:t>% decrease from the requested price in March 2019 for the 5 mg strength ($</w:t>
      </w:r>
      <w:r w:rsidR="001B7425">
        <w:rPr>
          <w:rFonts w:eastAsiaTheme="minorEastAsia"/>
          <w:noProof/>
          <w:color w:val="000000"/>
          <w:highlight w:val="black"/>
          <w:lang w:eastAsia="en-US"/>
        </w:rPr>
        <w:t>''''''''''''''''''</w:t>
      </w:r>
      <w:r w:rsidRPr="002D4988">
        <w:rPr>
          <w:rFonts w:eastAsiaTheme="minorEastAsia"/>
          <w:lang w:eastAsia="en-US"/>
        </w:rPr>
        <w:t>) and a 40% decrease for the 10 mg strength ($</w:t>
      </w:r>
      <w:r w:rsidR="001B7425">
        <w:rPr>
          <w:rFonts w:eastAsiaTheme="minorEastAsia"/>
          <w:noProof/>
          <w:color w:val="000000"/>
          <w:highlight w:val="black"/>
          <w:lang w:eastAsia="en-US"/>
        </w:rPr>
        <w:t>''''''''''''''''''</w:t>
      </w:r>
      <w:r w:rsidRPr="002D4988">
        <w:rPr>
          <w:rFonts w:eastAsiaTheme="minorEastAsia"/>
          <w:lang w:eastAsia="en-US"/>
        </w:rPr>
        <w:t>).</w:t>
      </w:r>
    </w:p>
    <w:p w:rsidR="000F0D89" w:rsidRPr="002D4988" w:rsidRDefault="000F0D89" w:rsidP="003B52C4">
      <w:pPr>
        <w:pStyle w:val="ListParagraph"/>
        <w:numPr>
          <w:ilvl w:val="0"/>
          <w:numId w:val="0"/>
        </w:numPr>
        <w:ind w:left="709"/>
        <w:rPr>
          <w:i/>
        </w:rPr>
      </w:pPr>
      <w:r w:rsidRPr="002D4988">
        <w:rPr>
          <w:i/>
        </w:rPr>
        <w:t>For more detail on PBAC’s view, see section 7 PBAC outcome.</w:t>
      </w:r>
    </w:p>
    <w:p w:rsidR="00B50DB8" w:rsidRPr="002D4988" w:rsidRDefault="00203181" w:rsidP="004E18E9">
      <w:pPr>
        <w:pStyle w:val="2-SectionHeading"/>
      </w:pPr>
      <w:bookmarkStart w:id="8" w:name="_Toc51163583"/>
      <w:r w:rsidRPr="002D4988">
        <w:lastRenderedPageBreak/>
        <w:t xml:space="preserve">Population and </w:t>
      </w:r>
      <w:r w:rsidR="008E0D3C" w:rsidRPr="002D4988">
        <w:t>d</w:t>
      </w:r>
      <w:r w:rsidRPr="002D4988">
        <w:t>isease</w:t>
      </w:r>
      <w:bookmarkEnd w:id="8"/>
    </w:p>
    <w:p w:rsidR="00F71CBE" w:rsidRPr="002D4988" w:rsidRDefault="00F71CBE" w:rsidP="00E143D9">
      <w:pPr>
        <w:pStyle w:val="3-BodyText"/>
        <w:rPr>
          <w:rFonts w:eastAsiaTheme="minorEastAsia"/>
          <w:lang w:eastAsia="en-US"/>
        </w:rPr>
      </w:pPr>
      <w:r w:rsidRPr="002D4988">
        <w:rPr>
          <w:rFonts w:eastAsiaTheme="minorEastAsia"/>
          <w:lang w:eastAsia="en-US"/>
        </w:rPr>
        <w:t>Ulcerative colitis is a life-long chronic relapsing and remitting inflammatory disease that involves ulceration of the mucosa of the colon.</w:t>
      </w:r>
      <w:r w:rsidR="0098240F" w:rsidRPr="002D4988">
        <w:rPr>
          <w:rFonts w:eastAsiaTheme="minorEastAsia"/>
          <w:lang w:eastAsia="en-US"/>
        </w:rPr>
        <w:t xml:space="preserve"> </w:t>
      </w:r>
      <w:r w:rsidRPr="002D4988">
        <w:rPr>
          <w:rFonts w:eastAsiaTheme="minorEastAsia"/>
          <w:lang w:eastAsia="en-US"/>
        </w:rPr>
        <w:t>Disease of moderate to severe activity may be associated with systemic symptoms, including fatigue, fever, anorexia, nausea, weight loss, and dehydration.</w:t>
      </w:r>
      <w:r w:rsidR="0098240F" w:rsidRPr="002D4988">
        <w:rPr>
          <w:rFonts w:eastAsiaTheme="minorEastAsia"/>
          <w:lang w:eastAsia="en-US"/>
        </w:rPr>
        <w:t xml:space="preserve"> </w:t>
      </w:r>
      <w:r w:rsidRPr="002D4988">
        <w:rPr>
          <w:rFonts w:eastAsiaTheme="minorEastAsia"/>
          <w:lang w:eastAsia="en-US"/>
        </w:rPr>
        <w:t>The most serious complications of ulcerative colitis are bowel perforation and colorectal cancer.</w:t>
      </w:r>
    </w:p>
    <w:p w:rsidR="003B52C4" w:rsidRPr="002D4988" w:rsidRDefault="00F71CBE" w:rsidP="00E143D9">
      <w:pPr>
        <w:pStyle w:val="3-BodyText"/>
        <w:rPr>
          <w:rFonts w:ascii="Calibri" w:eastAsiaTheme="minorEastAsia" w:hAnsi="Calibri"/>
          <w:szCs w:val="22"/>
          <w:lang w:eastAsia="en-US"/>
        </w:rPr>
      </w:pPr>
      <w:r w:rsidRPr="002D4988">
        <w:rPr>
          <w:rFonts w:eastAsiaTheme="minorEastAsia"/>
          <w:szCs w:val="22"/>
          <w:lang w:eastAsia="en-US"/>
        </w:rPr>
        <w:t>TOF is an oral selective Janus-associated kinase (JAK) inhibitor.</w:t>
      </w:r>
      <w:r w:rsidR="0098240F" w:rsidRPr="002D4988">
        <w:rPr>
          <w:rFonts w:eastAsiaTheme="minorEastAsia"/>
          <w:szCs w:val="22"/>
          <w:lang w:eastAsia="en-US"/>
        </w:rPr>
        <w:t xml:space="preserve"> </w:t>
      </w:r>
      <w:r w:rsidR="003B52C4" w:rsidRPr="002D4988">
        <w:rPr>
          <w:rFonts w:eastAsiaTheme="minorEastAsia"/>
          <w:szCs w:val="22"/>
          <w:lang w:eastAsia="en-US"/>
        </w:rPr>
        <w:t>Other PBS listed drugs for MSUC are:</w:t>
      </w:r>
    </w:p>
    <w:p w:rsidR="003B52C4" w:rsidRPr="002D4988" w:rsidRDefault="003B52C4" w:rsidP="003B52C4">
      <w:pPr>
        <w:pStyle w:val="ListParagraph"/>
        <w:rPr>
          <w:rFonts w:ascii="Calibri" w:eastAsiaTheme="minorEastAsia" w:hAnsi="Calibri"/>
          <w:lang w:eastAsia="en-US"/>
        </w:rPr>
      </w:pPr>
      <w:r w:rsidRPr="002D4988">
        <w:rPr>
          <w:rFonts w:eastAsiaTheme="minorEastAsia"/>
          <w:lang w:eastAsia="en-US"/>
        </w:rPr>
        <w:t xml:space="preserve">Tumour necrosis factor inhibitors (TNFi) - ADA, GOL and IFX </w:t>
      </w:r>
    </w:p>
    <w:p w:rsidR="003B52C4" w:rsidRPr="002D4988" w:rsidRDefault="003B52C4" w:rsidP="003B52C4">
      <w:pPr>
        <w:pStyle w:val="ListParagraph"/>
        <w:rPr>
          <w:rFonts w:ascii="Calibri" w:eastAsiaTheme="minorEastAsia" w:hAnsi="Calibri"/>
          <w:lang w:eastAsia="en-US"/>
        </w:rPr>
      </w:pPr>
      <w:r w:rsidRPr="002D4988">
        <w:rPr>
          <w:rFonts w:eastAsiaTheme="minorEastAsia"/>
          <w:lang w:eastAsia="en-US"/>
        </w:rPr>
        <w:t>Integrin receptor antagonist – VDZ.</w:t>
      </w:r>
    </w:p>
    <w:p w:rsidR="00F71CBE" w:rsidRPr="002D4988" w:rsidRDefault="00F71CBE" w:rsidP="00E143D9">
      <w:pPr>
        <w:pStyle w:val="3-BodyText"/>
        <w:rPr>
          <w:rFonts w:ascii="Calibri" w:eastAsiaTheme="minorEastAsia" w:hAnsi="Calibri"/>
          <w:szCs w:val="22"/>
          <w:lang w:eastAsia="en-US"/>
        </w:rPr>
      </w:pPr>
      <w:r w:rsidRPr="002D4988">
        <w:rPr>
          <w:lang w:eastAsia="en-US"/>
        </w:rPr>
        <w:t xml:space="preserve">A key </w:t>
      </w:r>
      <w:r w:rsidR="00EA2361" w:rsidRPr="002D4988">
        <w:rPr>
          <w:lang w:eastAsia="en-US"/>
        </w:rPr>
        <w:t xml:space="preserve">difference </w:t>
      </w:r>
      <w:r w:rsidRPr="002D4988">
        <w:rPr>
          <w:lang w:eastAsia="en-US"/>
        </w:rPr>
        <w:t xml:space="preserve">of TOF </w:t>
      </w:r>
      <w:r w:rsidR="00EA2361" w:rsidRPr="002D4988">
        <w:rPr>
          <w:lang w:eastAsia="en-US"/>
        </w:rPr>
        <w:t xml:space="preserve">to </w:t>
      </w:r>
      <w:r w:rsidRPr="002D4988">
        <w:rPr>
          <w:lang w:eastAsia="en-US"/>
        </w:rPr>
        <w:t xml:space="preserve">the comparator drugs is that it is given orally whereas IFX and VDZ are administered by intravenous infusion (IV), and ADA and GOL are administered via subcutaneous injection (SC). </w:t>
      </w:r>
      <w:r w:rsidR="002D59D0" w:rsidRPr="002D4988">
        <w:rPr>
          <w:lang w:eastAsia="en-US"/>
        </w:rPr>
        <w:t>The Pre-PBAC Response noted TOF represent</w:t>
      </w:r>
      <w:r w:rsidR="003B52C4" w:rsidRPr="002D4988">
        <w:rPr>
          <w:lang w:eastAsia="en-US"/>
        </w:rPr>
        <w:t>ed</w:t>
      </w:r>
      <w:r w:rsidR="002D59D0" w:rsidRPr="002D4988">
        <w:rPr>
          <w:lang w:eastAsia="en-US"/>
        </w:rPr>
        <w:t xml:space="preserve"> a new therapeutic class for MSUC and</w:t>
      </w:r>
      <w:r w:rsidR="000308B3" w:rsidRPr="002D4988">
        <w:rPr>
          <w:lang w:eastAsia="en-US"/>
        </w:rPr>
        <w:t xml:space="preserve"> argued there was a clinical need for additional</w:t>
      </w:r>
      <w:r w:rsidR="002D59D0" w:rsidRPr="002D4988">
        <w:rPr>
          <w:lang w:eastAsia="en-US"/>
        </w:rPr>
        <w:t xml:space="preserve"> treatments with </w:t>
      </w:r>
      <w:r w:rsidR="000308B3" w:rsidRPr="002D4988">
        <w:rPr>
          <w:lang w:eastAsia="en-US"/>
        </w:rPr>
        <w:t>new</w:t>
      </w:r>
      <w:r w:rsidR="002D59D0" w:rsidRPr="002D4988">
        <w:rPr>
          <w:lang w:eastAsia="en-US"/>
        </w:rPr>
        <w:t xml:space="preserve"> </w:t>
      </w:r>
      <w:r w:rsidR="002D4988" w:rsidRPr="002D4988">
        <w:rPr>
          <w:lang w:eastAsia="en-US"/>
        </w:rPr>
        <w:t>mechanisms</w:t>
      </w:r>
      <w:r w:rsidR="002D59D0" w:rsidRPr="002D4988">
        <w:rPr>
          <w:lang w:eastAsia="en-US"/>
        </w:rPr>
        <w:t xml:space="preserve"> of action available for patients.</w:t>
      </w:r>
    </w:p>
    <w:p w:rsidR="00060A36" w:rsidRPr="002D4988" w:rsidRDefault="00515583" w:rsidP="00863D64">
      <w:pPr>
        <w:widowControl w:val="0"/>
        <w:tabs>
          <w:tab w:val="num" w:pos="284"/>
        </w:tabs>
        <w:spacing w:after="160"/>
        <w:ind w:left="709"/>
        <w:rPr>
          <w:i/>
        </w:rPr>
      </w:pPr>
      <w:r w:rsidRPr="002D4988">
        <w:t xml:space="preserve"> </w:t>
      </w:r>
      <w:r w:rsidR="00060A36" w:rsidRPr="002D4988">
        <w:rPr>
          <w:i/>
        </w:rPr>
        <w:t>For more detail on PBAC’s view, see section 7 PBAC outcome.</w:t>
      </w:r>
    </w:p>
    <w:p w:rsidR="00B50DB8" w:rsidRPr="002D4988" w:rsidRDefault="00B50DB8" w:rsidP="004E18E9">
      <w:pPr>
        <w:pStyle w:val="2-SectionHeading"/>
      </w:pPr>
      <w:bookmarkStart w:id="9" w:name="_Toc51163584"/>
      <w:r w:rsidRPr="002D4988">
        <w:t>Comparator</w:t>
      </w:r>
      <w:bookmarkEnd w:id="9"/>
    </w:p>
    <w:p w:rsidR="00C23AEE" w:rsidRPr="002D4988" w:rsidRDefault="00C23AEE" w:rsidP="00E143D9">
      <w:pPr>
        <w:pStyle w:val="3-BodyText"/>
        <w:rPr>
          <w:i/>
          <w:snapToGrid/>
        </w:rPr>
      </w:pPr>
      <w:r w:rsidRPr="002D4988">
        <w:t xml:space="preserve">The resubmission nominated IFX, VDZ, ADA and GOL as </w:t>
      </w:r>
      <w:r w:rsidR="00515583" w:rsidRPr="002D4988">
        <w:t xml:space="preserve">a mixed </w:t>
      </w:r>
      <w:r w:rsidRPr="002D4988">
        <w:t>comparator, and noted that IFX and VDZ are most widely prescribed in both the first- and later-line treatment of MSUC.</w:t>
      </w:r>
      <w:r w:rsidR="00BC0889" w:rsidRPr="002D4988">
        <w:t xml:space="preserve"> </w:t>
      </w:r>
      <w:r w:rsidRPr="002D4988">
        <w:t>The March 2019 submission nominated IFX as the main comparator.</w:t>
      </w:r>
      <w:r w:rsidR="0098240F" w:rsidRPr="002D4988">
        <w:t xml:space="preserve"> </w:t>
      </w:r>
      <w:r w:rsidR="007717C4" w:rsidRPr="002D4988">
        <w:t>T</w:t>
      </w:r>
      <w:r w:rsidRPr="002D4988">
        <w:t xml:space="preserve">he PBAC </w:t>
      </w:r>
      <w:r w:rsidR="007717C4" w:rsidRPr="002D4988">
        <w:t xml:space="preserve">previously </w:t>
      </w:r>
      <w:r w:rsidRPr="002D4988">
        <w:t>recommended listing of TOF for MSUC on a cost-minimisation basis against the least costly biologic therapy</w:t>
      </w:r>
      <w:r w:rsidR="005E4628" w:rsidRPr="002D4988">
        <w:t xml:space="preserve"> currently PBS listed for MSUC.</w:t>
      </w:r>
      <w:r w:rsidRPr="002D4988">
        <w:t xml:space="preserve"> In making this recommendation, the PBAC accepted any of the current PBS listed biologic therapies for MSUC could be an alternative</w:t>
      </w:r>
      <w:r w:rsidR="00CF3DE2" w:rsidRPr="002D4988">
        <w:t xml:space="preserve"> therapy to TOF (paragraph 7.1, </w:t>
      </w:r>
      <w:r w:rsidR="0098240F" w:rsidRPr="002D4988">
        <w:t>TOF</w:t>
      </w:r>
      <w:r w:rsidRPr="002D4988">
        <w:t xml:space="preserve"> PSD, March 2019 PBAC meeting).</w:t>
      </w:r>
    </w:p>
    <w:p w:rsidR="00C23AEE" w:rsidRPr="002D4988" w:rsidRDefault="00C23AEE" w:rsidP="00E143D9">
      <w:pPr>
        <w:pStyle w:val="3-BodyText"/>
        <w:rPr>
          <w:snapToGrid/>
        </w:rPr>
      </w:pPr>
      <w:r w:rsidRPr="002D4988">
        <w:t>The resubmission contended that TOF, due to its alternative mechanism of action, is a valuable alternative to VDZ for patients who have failed prior TNF</w:t>
      </w:r>
      <w:r w:rsidR="00EA2361" w:rsidRPr="002D4988">
        <w:t>i</w:t>
      </w:r>
      <w:r w:rsidRPr="002D4988">
        <w:t xml:space="preserve"> treatment. </w:t>
      </w:r>
    </w:p>
    <w:p w:rsidR="00C23AEE" w:rsidRPr="002D4988" w:rsidRDefault="00C23AEE" w:rsidP="00E143D9">
      <w:pPr>
        <w:pStyle w:val="3-BodyText"/>
        <w:rPr>
          <w:snapToGrid/>
        </w:rPr>
      </w:pPr>
      <w:r w:rsidRPr="002D4988">
        <w:t>The resubmission</w:t>
      </w:r>
      <w:r w:rsidR="00CF3DE2" w:rsidRPr="002D4988">
        <w:t xml:space="preserve"> </w:t>
      </w:r>
      <w:r w:rsidRPr="002D4988">
        <w:t xml:space="preserve">provided extensive discussion around the choice of comparator, specifically in a situation where there are a number of different </w:t>
      </w:r>
      <w:r w:rsidR="000E1207" w:rsidRPr="002D4988">
        <w:t xml:space="preserve">alternative therapies </w:t>
      </w:r>
      <w:r w:rsidRPr="002D4988">
        <w:t>wh</w:t>
      </w:r>
      <w:r w:rsidR="005E4628" w:rsidRPr="002D4988">
        <w:t>ich may have different prices.</w:t>
      </w:r>
      <w:r w:rsidR="00BC0889" w:rsidRPr="002D4988">
        <w:t xml:space="preserve"> </w:t>
      </w:r>
      <w:r w:rsidRPr="002D4988">
        <w:t>The resubmission stated (p13) that the PBAC’s approach has been that new, non-inferior or therapeutically equivalent products should be based on a comparison with the price of the lowest cost product in a basket of products that have been considered by the PBAC to be either non-inferior or therapeutically equivalent to each other, regardless of the market share, or clinical utility/use of that lowest cost product.</w:t>
      </w:r>
      <w:r w:rsidR="005E4628" w:rsidRPr="002D4988">
        <w:t xml:space="preserve"> </w:t>
      </w:r>
      <w:r w:rsidRPr="002D4988">
        <w:t xml:space="preserve">The resubmission added that the PBAC has defended this approach by referring to Section 101(3B) of the </w:t>
      </w:r>
      <w:r w:rsidRPr="002D4988">
        <w:rPr>
          <w:i/>
        </w:rPr>
        <w:t>National Health Act</w:t>
      </w:r>
      <w:r w:rsidR="00FF686E" w:rsidRPr="002D4988">
        <w:rPr>
          <w:i/>
        </w:rPr>
        <w:t xml:space="preserve"> 1953</w:t>
      </w:r>
      <w:r w:rsidR="00FF686E" w:rsidRPr="002D4988">
        <w:t xml:space="preserve"> (‘The Act’)</w:t>
      </w:r>
      <w:r w:rsidRPr="002D4988">
        <w:t>, which states that</w:t>
      </w:r>
      <w:r w:rsidRPr="002D4988">
        <w:rPr>
          <w:rFonts w:cs="Calibri"/>
        </w:rPr>
        <w:t xml:space="preserve"> “where therapy involving the use of a particular drug or medicinal preparation, or a class of drugs and medicinal preparations, is </w:t>
      </w:r>
      <w:r w:rsidRPr="002D4988">
        <w:rPr>
          <w:rFonts w:cs="Calibri"/>
        </w:rPr>
        <w:lastRenderedPageBreak/>
        <w:t>substantially more costly than an alternative therapy or alternative therapies, whether or not involving the use of other drugs or preparations, the Committee ... shall not recommend to the Minister that the drug, preparation or class be made available as pharmaceutical benefits under this Part unless the Committee is satisfied that the first</w:t>
      </w:r>
      <w:r w:rsidRPr="002D4988">
        <w:rPr>
          <w:rFonts w:ascii="Cambria Math" w:hAnsi="Cambria Math" w:cs="Cambria Math"/>
        </w:rPr>
        <w:t>‑</w:t>
      </w:r>
      <w:r w:rsidRPr="002D4988">
        <w:rPr>
          <w:rFonts w:cs="Calibri"/>
        </w:rPr>
        <w:t>mentioned therapy, for some patients, provides a significant improvement in efficacy or reduction of toxicity over the alternative therapy or therapies.”</w:t>
      </w:r>
      <w:r w:rsidR="0098240F" w:rsidRPr="002D4988">
        <w:t xml:space="preserve"> </w:t>
      </w:r>
    </w:p>
    <w:p w:rsidR="00A3524A" w:rsidRPr="002D4988" w:rsidRDefault="00C23AEE" w:rsidP="000E1207">
      <w:pPr>
        <w:pStyle w:val="3-BodyText"/>
        <w:rPr>
          <w:snapToGrid/>
        </w:rPr>
      </w:pPr>
      <w:r w:rsidRPr="002D4988">
        <w:t xml:space="preserve">The resubmission stated (p13) </w:t>
      </w:r>
      <w:r w:rsidR="005E4628" w:rsidRPr="002D4988">
        <w:t>that</w:t>
      </w:r>
      <w:r w:rsidRPr="002D4988">
        <w:t xml:space="preserve"> the Act did not provide a definition of the term ‘the alternative therapy or therapies’, and did not require this to be the therapy(ies) most likely to be replaced, which corresponds to the definition of comparator in the PBAC Guidelines, nor does it require it to be the lowest cost available therapy(ies).</w:t>
      </w:r>
      <w:r w:rsidR="0049632F" w:rsidRPr="002D4988">
        <w:t xml:space="preserve"> The Pre-Sub-Committee Response (PSCR) reiterated the Sponsor’s view that the PBAC Guidelines state the selection of comparators should be based on the current alternative therapies in Australia, and the therapies most likely to be replaced in clinical practice.</w:t>
      </w:r>
      <w:r w:rsidR="009B0853" w:rsidRPr="002D4988">
        <w:t xml:space="preserve"> </w:t>
      </w:r>
    </w:p>
    <w:p w:rsidR="00C23AEE" w:rsidRPr="002D4988" w:rsidRDefault="000E1207" w:rsidP="00664B3E">
      <w:pPr>
        <w:pStyle w:val="3-BodyText"/>
        <w:rPr>
          <w:snapToGrid/>
        </w:rPr>
      </w:pPr>
      <w:r w:rsidRPr="002D4988">
        <w:t>The</w:t>
      </w:r>
      <w:r w:rsidR="00664B3E" w:rsidRPr="002D4988">
        <w:t xml:space="preserve"> PBAC noted that the “Key Factors Influencing PBAC Decision Making” section of the PBAC guidelines explicitly states that “PBAC is required, under the Act, to consider the effectiveness and cost of the proposed medicine compared with </w:t>
      </w:r>
      <w:r w:rsidR="00664B3E" w:rsidRPr="002D4988">
        <w:rPr>
          <w:b/>
        </w:rPr>
        <w:t>existing therapies</w:t>
      </w:r>
      <w:r w:rsidR="00BC0889" w:rsidRPr="002D4988">
        <w:t xml:space="preserve"> [emphasis added]</w:t>
      </w:r>
      <w:r w:rsidR="00664B3E" w:rsidRPr="002D4988">
        <w:t xml:space="preserve">. PBAC therefore reaffirmed its previous advice </w:t>
      </w:r>
      <w:r w:rsidR="009B0853" w:rsidRPr="002D4988">
        <w:t xml:space="preserve">that all </w:t>
      </w:r>
      <w:r w:rsidR="00A3524A" w:rsidRPr="002D4988">
        <w:t xml:space="preserve">biological therapies </w:t>
      </w:r>
      <w:r w:rsidR="009B0853" w:rsidRPr="002D4988">
        <w:t>currently</w:t>
      </w:r>
      <w:r w:rsidR="0039042B" w:rsidRPr="002D4988">
        <w:t xml:space="preserve"> PBS</w:t>
      </w:r>
      <w:r w:rsidR="009B0853" w:rsidRPr="002D4988">
        <w:t xml:space="preserve"> listed for MSUC were potential alternative therapies.</w:t>
      </w:r>
      <w:r w:rsidRPr="002D4988">
        <w:rPr>
          <w:i/>
        </w:rPr>
        <w:t xml:space="preserve"> </w:t>
      </w:r>
    </w:p>
    <w:p w:rsidR="00A3524A" w:rsidRPr="002D4988" w:rsidRDefault="00D20974" w:rsidP="00D659BA">
      <w:pPr>
        <w:pStyle w:val="3-BodyText"/>
      </w:pPr>
      <w:r w:rsidRPr="002D4988">
        <w:t xml:space="preserve">To recommend </w:t>
      </w:r>
      <w:r w:rsidR="0098240F" w:rsidRPr="002D4988">
        <w:t>TOF</w:t>
      </w:r>
      <w:r w:rsidRPr="002D4988">
        <w:t xml:space="preserve"> at a higher price than </w:t>
      </w:r>
      <w:r w:rsidR="00BF2B7E">
        <w:t>any less</w:t>
      </w:r>
      <w:r w:rsidRPr="002D4988">
        <w:t xml:space="preserve"> costly alternative, t</w:t>
      </w:r>
      <w:r w:rsidR="00FF686E" w:rsidRPr="002D4988">
        <w:t xml:space="preserve">he </w:t>
      </w:r>
      <w:r w:rsidR="00A3524A" w:rsidRPr="002D4988">
        <w:t xml:space="preserve">PBAC </w:t>
      </w:r>
      <w:r w:rsidR="00FF686E" w:rsidRPr="002D4988">
        <w:t xml:space="preserve">must be satisfied, at a minimum, that </w:t>
      </w:r>
      <w:r w:rsidR="0098240F" w:rsidRPr="002D4988">
        <w:t>TOF</w:t>
      </w:r>
      <w:r w:rsidR="00FF686E" w:rsidRPr="002D4988">
        <w:t>, for some patients, provides such a ‘significant improvement’</w:t>
      </w:r>
      <w:r w:rsidR="00A3524A" w:rsidRPr="002D4988">
        <w:t xml:space="preserve"> over that alternative therapy</w:t>
      </w:r>
      <w:r w:rsidRPr="002D4988">
        <w:t xml:space="preserve">. </w:t>
      </w:r>
    </w:p>
    <w:p w:rsidR="00FA7008" w:rsidRPr="002D4988" w:rsidRDefault="00213AB3" w:rsidP="00FA7008">
      <w:pPr>
        <w:pStyle w:val="3-BodyText"/>
      </w:pPr>
      <w:r w:rsidRPr="002D4988">
        <w:t xml:space="preserve">The </w:t>
      </w:r>
      <w:r w:rsidR="0049632F" w:rsidRPr="002D4988">
        <w:t>PSCR</w:t>
      </w:r>
      <w:r w:rsidR="00475F42" w:rsidRPr="002D4988">
        <w:t xml:space="preserve"> and Pre-PBAC Response</w:t>
      </w:r>
      <w:r w:rsidRPr="002D4988">
        <w:t xml:space="preserve"> argued </w:t>
      </w:r>
      <w:r w:rsidR="00BC0889" w:rsidRPr="002D4988">
        <w:t xml:space="preserve">a </w:t>
      </w:r>
      <w:r w:rsidRPr="002D4988">
        <w:t xml:space="preserve">weighted comparator approach was selected </w:t>
      </w:r>
      <w:r w:rsidR="005E4628" w:rsidRPr="002D4988">
        <w:t>because</w:t>
      </w:r>
      <w:r w:rsidRPr="002D4988">
        <w:t xml:space="preserve"> a cost minimisation approach to the least costly comparator previously relied upon by the PBAC places no value on innovative advances in MSUC treatment, </w:t>
      </w:r>
      <w:r w:rsidR="0049632F" w:rsidRPr="002D4988">
        <w:t>such as therapeutic agents with new mechanisms of action.</w:t>
      </w:r>
      <w:r w:rsidR="00A3524A" w:rsidRPr="002D4988">
        <w:t xml:space="preserve"> </w:t>
      </w:r>
      <w:r w:rsidR="00FA7008" w:rsidRPr="002D4988">
        <w:t>The Pre-PBAC Response also argued that TOF provides, for some patients (namely in induction for those who are TNF</w:t>
      </w:r>
      <w:r w:rsidR="00176171" w:rsidRPr="002D4988">
        <w:t>i</w:t>
      </w:r>
      <w:r w:rsidR="00FA7008" w:rsidRPr="002D4988">
        <w:t xml:space="preserve"> experienced) a significant improvement in efficacy over ADA</w:t>
      </w:r>
      <w:r w:rsidR="00664B3E" w:rsidRPr="002D4988">
        <w:t xml:space="preserve"> (and by extension over GOL)</w:t>
      </w:r>
      <w:r w:rsidR="00FA7008" w:rsidRPr="002D4988">
        <w:t xml:space="preserve">. </w:t>
      </w:r>
    </w:p>
    <w:p w:rsidR="00060A36" w:rsidRPr="002D4988" w:rsidRDefault="00FF686E" w:rsidP="00B8697D">
      <w:pPr>
        <w:pStyle w:val="3-BodyText"/>
      </w:pPr>
      <w:bookmarkStart w:id="10" w:name="_Ref57232482"/>
      <w:r w:rsidRPr="002D4988">
        <w:t xml:space="preserve">The </w:t>
      </w:r>
      <w:r w:rsidR="00FA7008" w:rsidRPr="002D4988">
        <w:t xml:space="preserve">PBAC </w:t>
      </w:r>
      <w:r w:rsidR="00F05DDC" w:rsidRPr="002D4988">
        <w:t xml:space="preserve">noted the </w:t>
      </w:r>
      <w:r w:rsidRPr="002D4988">
        <w:t xml:space="preserve">approach taken by the submission to separate the MSUC population into </w:t>
      </w:r>
      <w:r w:rsidR="0098240F" w:rsidRPr="002D4988">
        <w:t xml:space="preserve">TNFi </w:t>
      </w:r>
      <w:r w:rsidRPr="002D4988">
        <w:t xml:space="preserve">naïve and </w:t>
      </w:r>
      <w:r w:rsidR="0098240F" w:rsidRPr="002D4988">
        <w:t xml:space="preserve">TNFi </w:t>
      </w:r>
      <w:r w:rsidRPr="002D4988">
        <w:t xml:space="preserve">experienced </w:t>
      </w:r>
      <w:r w:rsidR="005E4628" w:rsidRPr="002D4988">
        <w:t xml:space="preserve">patients </w:t>
      </w:r>
      <w:r w:rsidR="00443AFA" w:rsidRPr="002D4988">
        <w:t>was</w:t>
      </w:r>
      <w:r w:rsidRPr="002D4988">
        <w:t xml:space="preserve"> inconsistent with both the requested listing and</w:t>
      </w:r>
      <w:r w:rsidR="005E4628" w:rsidRPr="002D4988">
        <w:t xml:space="preserve"> the</w:t>
      </w:r>
      <w:r w:rsidRPr="002D4988">
        <w:t xml:space="preserve"> manner in which other </w:t>
      </w:r>
      <w:r w:rsidR="00FA7008" w:rsidRPr="002D4988">
        <w:t xml:space="preserve">biologic therapies </w:t>
      </w:r>
      <w:r w:rsidRPr="002D4988">
        <w:t>for MSUC are PBS listed.</w:t>
      </w:r>
      <w:r w:rsidR="00BC0889" w:rsidRPr="002D4988">
        <w:t xml:space="preserve"> </w:t>
      </w:r>
      <w:r w:rsidR="008D308F" w:rsidRPr="002D4988">
        <w:t xml:space="preserve">Further, the submission did not identify any specific population(s) that </w:t>
      </w:r>
      <w:r w:rsidR="00443AFA" w:rsidRPr="002D4988">
        <w:t xml:space="preserve">could not </w:t>
      </w:r>
      <w:r w:rsidR="008D308F" w:rsidRPr="002D4988">
        <w:t>use one or more of the potential alternative treatments</w:t>
      </w:r>
      <w:r w:rsidR="00175671" w:rsidRPr="002D4988">
        <w:t>; therefore, the</w:t>
      </w:r>
      <w:r w:rsidR="00FA7008" w:rsidRPr="002D4988">
        <w:t xml:space="preserve"> PBAC consider</w:t>
      </w:r>
      <w:r w:rsidR="00664B3E" w:rsidRPr="002D4988">
        <w:t>ed</w:t>
      </w:r>
      <w:r w:rsidR="00FA7008" w:rsidRPr="002D4988">
        <w:t xml:space="preserve"> the</w:t>
      </w:r>
      <w:r w:rsidR="00175671" w:rsidRPr="002D4988">
        <w:t xml:space="preserve"> </w:t>
      </w:r>
      <w:r w:rsidR="00664B3E" w:rsidRPr="002D4988">
        <w:t xml:space="preserve">submission’s </w:t>
      </w:r>
      <w:r w:rsidR="00175671" w:rsidRPr="002D4988">
        <w:t xml:space="preserve">weighted comparator approach </w:t>
      </w:r>
      <w:r w:rsidR="00FA7008" w:rsidRPr="002D4988">
        <w:t xml:space="preserve">was </w:t>
      </w:r>
      <w:r w:rsidR="00EA2361" w:rsidRPr="002D4988">
        <w:t xml:space="preserve">not </w:t>
      </w:r>
      <w:r w:rsidR="00664B3E" w:rsidRPr="002D4988">
        <w:t xml:space="preserve">adequately </w:t>
      </w:r>
      <w:r w:rsidR="00175671" w:rsidRPr="002D4988">
        <w:t>justified.</w:t>
      </w:r>
      <w:bookmarkEnd w:id="10"/>
    </w:p>
    <w:p w:rsidR="00060A36" w:rsidRPr="002D4988" w:rsidRDefault="00060A36" w:rsidP="00B8697D">
      <w:pPr>
        <w:pStyle w:val="3-BodyText"/>
        <w:numPr>
          <w:ilvl w:val="0"/>
          <w:numId w:val="0"/>
        </w:numPr>
        <w:ind w:left="709"/>
        <w:rPr>
          <w:i/>
        </w:rPr>
      </w:pPr>
      <w:r w:rsidRPr="002D4988">
        <w:rPr>
          <w:i/>
        </w:rPr>
        <w:t>For more detail on PBAC’s view, see section 7 PBAC outcome.</w:t>
      </w:r>
    </w:p>
    <w:p w:rsidR="00223D5A" w:rsidRPr="002D4988" w:rsidRDefault="00223D5A" w:rsidP="00223D5A">
      <w:pPr>
        <w:pStyle w:val="2-SectionHeading"/>
      </w:pPr>
      <w:bookmarkStart w:id="11" w:name="_Toc51163585"/>
      <w:bookmarkStart w:id="12" w:name="_Toc22897640"/>
      <w:r w:rsidRPr="002D4988">
        <w:lastRenderedPageBreak/>
        <w:t>Consideration of the evidence</w:t>
      </w:r>
      <w:bookmarkEnd w:id="11"/>
    </w:p>
    <w:p w:rsidR="00C52361" w:rsidRPr="002D4988" w:rsidRDefault="00C52361" w:rsidP="003D628B">
      <w:pPr>
        <w:widowControl w:val="0"/>
        <w:spacing w:before="240" w:line="276" w:lineRule="auto"/>
        <w:outlineLvl w:val="1"/>
        <w:rPr>
          <w:rFonts w:asciiTheme="minorHAnsi" w:hAnsiTheme="minorHAnsi"/>
          <w:b/>
          <w:bCs/>
          <w:i/>
          <w:snapToGrid w:val="0"/>
          <w:sz w:val="28"/>
          <w:szCs w:val="28"/>
        </w:rPr>
      </w:pPr>
      <w:bookmarkStart w:id="13" w:name="_Toc51163586"/>
      <w:r w:rsidRPr="002D4988">
        <w:rPr>
          <w:rFonts w:asciiTheme="minorHAnsi" w:hAnsiTheme="minorHAnsi"/>
          <w:b/>
          <w:bCs/>
          <w:i/>
          <w:snapToGrid w:val="0"/>
          <w:sz w:val="28"/>
          <w:szCs w:val="28"/>
        </w:rPr>
        <w:t>Sponsor hearing</w:t>
      </w:r>
    </w:p>
    <w:p w:rsidR="00C52361" w:rsidRPr="002D4988" w:rsidRDefault="00C52361" w:rsidP="00C52361">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t>The</w:t>
      </w:r>
      <w:r w:rsidR="00AA7430" w:rsidRPr="002D4988">
        <w:rPr>
          <w:rFonts w:asciiTheme="minorHAnsi" w:hAnsiTheme="minorHAnsi"/>
          <w:bCs/>
          <w:snapToGrid w:val="0"/>
        </w:rPr>
        <w:t>re was no hearing for this item</w:t>
      </w:r>
      <w:r w:rsidRPr="002D4988">
        <w:rPr>
          <w:rFonts w:asciiTheme="minorHAnsi" w:hAnsiTheme="minorHAnsi"/>
          <w:bCs/>
          <w:snapToGrid w:val="0"/>
        </w:rPr>
        <w:t>.</w:t>
      </w:r>
    </w:p>
    <w:p w:rsidR="00C52361" w:rsidRPr="002D4988" w:rsidRDefault="00C52361" w:rsidP="003D628B">
      <w:pPr>
        <w:widowControl w:val="0"/>
        <w:spacing w:before="240" w:line="276" w:lineRule="auto"/>
        <w:outlineLvl w:val="1"/>
        <w:rPr>
          <w:rFonts w:asciiTheme="minorHAnsi" w:hAnsiTheme="minorHAnsi"/>
          <w:b/>
          <w:bCs/>
          <w:i/>
          <w:snapToGrid w:val="0"/>
          <w:sz w:val="28"/>
          <w:szCs w:val="28"/>
        </w:rPr>
      </w:pPr>
      <w:r w:rsidRPr="002D4988">
        <w:rPr>
          <w:rFonts w:asciiTheme="minorHAnsi" w:hAnsiTheme="minorHAnsi"/>
          <w:b/>
          <w:bCs/>
          <w:i/>
          <w:snapToGrid w:val="0"/>
          <w:sz w:val="28"/>
          <w:szCs w:val="28"/>
        </w:rPr>
        <w:t>Consumer comments</w:t>
      </w:r>
    </w:p>
    <w:p w:rsidR="00C52361" w:rsidRPr="002D4988" w:rsidRDefault="00C52361" w:rsidP="00C52361">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t>The PBAC noted and welcom</w:t>
      </w:r>
      <w:r w:rsidR="00B63F6D" w:rsidRPr="002D4988">
        <w:rPr>
          <w:rFonts w:asciiTheme="minorHAnsi" w:hAnsiTheme="minorHAnsi"/>
          <w:bCs/>
          <w:snapToGrid w:val="0"/>
        </w:rPr>
        <w:t>ed the input from individuals (50), health care professionals (13</w:t>
      </w:r>
      <w:r w:rsidRPr="002D4988">
        <w:rPr>
          <w:rFonts w:asciiTheme="minorHAnsi" w:hAnsiTheme="minorHAnsi"/>
          <w:bCs/>
          <w:snapToGrid w:val="0"/>
        </w:rPr>
        <w:t xml:space="preserve">) and </w:t>
      </w:r>
      <w:r w:rsidR="00B63F6D" w:rsidRPr="002D4988">
        <w:rPr>
          <w:rFonts w:asciiTheme="minorHAnsi" w:hAnsiTheme="minorHAnsi"/>
          <w:bCs/>
          <w:snapToGrid w:val="0"/>
        </w:rPr>
        <w:t>Crohn’s and Colitis Australia</w:t>
      </w:r>
      <w:r w:rsidRPr="002D4988">
        <w:rPr>
          <w:rFonts w:asciiTheme="minorHAnsi" w:hAnsiTheme="minorHAnsi"/>
          <w:bCs/>
          <w:snapToGrid w:val="0"/>
        </w:rPr>
        <w:t xml:space="preserve"> via the Consumer Commen</w:t>
      </w:r>
      <w:r w:rsidR="00443AFA" w:rsidRPr="002D4988">
        <w:rPr>
          <w:rFonts w:asciiTheme="minorHAnsi" w:hAnsiTheme="minorHAnsi"/>
          <w:bCs/>
          <w:snapToGrid w:val="0"/>
        </w:rPr>
        <w:t>ts facility on the PBS website.</w:t>
      </w:r>
      <w:r w:rsidRPr="002D4988">
        <w:rPr>
          <w:rFonts w:asciiTheme="minorHAnsi" w:hAnsiTheme="minorHAnsi"/>
          <w:bCs/>
          <w:snapToGrid w:val="0"/>
        </w:rPr>
        <w:t xml:space="preserve"> The comments described a range of benefits of treatment </w:t>
      </w:r>
      <w:r w:rsidR="00B63F6D" w:rsidRPr="002D4988">
        <w:rPr>
          <w:rFonts w:asciiTheme="minorHAnsi" w:hAnsiTheme="minorHAnsi"/>
          <w:bCs/>
          <w:snapToGrid w:val="0"/>
        </w:rPr>
        <w:t xml:space="preserve">with TOF including improved symptom control, the ability to avoid life-changing surgery for ulcerative colitis, </w:t>
      </w:r>
      <w:r w:rsidR="00443AFA" w:rsidRPr="002D4988">
        <w:rPr>
          <w:rFonts w:asciiTheme="minorHAnsi" w:hAnsiTheme="minorHAnsi"/>
          <w:bCs/>
          <w:snapToGrid w:val="0"/>
        </w:rPr>
        <w:t xml:space="preserve">and </w:t>
      </w:r>
      <w:r w:rsidR="00B63F6D" w:rsidRPr="002D4988">
        <w:rPr>
          <w:rFonts w:asciiTheme="minorHAnsi" w:hAnsiTheme="minorHAnsi"/>
          <w:bCs/>
          <w:snapToGrid w:val="0"/>
        </w:rPr>
        <w:t>the benefits of an oral therapy over the current intravenous or subcutaneous injection options</w:t>
      </w:r>
      <w:r w:rsidR="009E4B0D" w:rsidRPr="002D4988">
        <w:rPr>
          <w:rFonts w:asciiTheme="minorHAnsi" w:hAnsiTheme="minorHAnsi"/>
          <w:bCs/>
          <w:snapToGrid w:val="0"/>
        </w:rPr>
        <w:t>.</w:t>
      </w:r>
      <w:r w:rsidR="00B63F6D" w:rsidRPr="002D4988">
        <w:rPr>
          <w:rFonts w:asciiTheme="minorHAnsi" w:hAnsiTheme="minorHAnsi"/>
          <w:bCs/>
          <w:snapToGrid w:val="0"/>
        </w:rPr>
        <w:t xml:space="preserve"> The PBAC specifically noted the advice from</w:t>
      </w:r>
      <w:r w:rsidR="009E4B0D" w:rsidRPr="002D4988">
        <w:rPr>
          <w:rFonts w:asciiTheme="minorHAnsi" w:hAnsiTheme="minorHAnsi"/>
          <w:bCs/>
          <w:snapToGrid w:val="0"/>
        </w:rPr>
        <w:t xml:space="preserve"> health care professionals and</w:t>
      </w:r>
      <w:r w:rsidR="00B63F6D" w:rsidRPr="002D4988">
        <w:rPr>
          <w:rFonts w:asciiTheme="minorHAnsi" w:hAnsiTheme="minorHAnsi"/>
          <w:bCs/>
          <w:snapToGrid w:val="0"/>
        </w:rPr>
        <w:t xml:space="preserve"> Crohn’s and Colitis Australia that cited patient experiences </w:t>
      </w:r>
      <w:r w:rsidR="009E4B0D" w:rsidRPr="002D4988">
        <w:rPr>
          <w:rFonts w:asciiTheme="minorHAnsi" w:hAnsiTheme="minorHAnsi"/>
          <w:bCs/>
          <w:snapToGrid w:val="0"/>
        </w:rPr>
        <w:t>of TOF being an effective treatment option when other biologics have failed and being useful for patients in rural and remote areas</w:t>
      </w:r>
      <w:r w:rsidR="002D4988">
        <w:rPr>
          <w:rFonts w:asciiTheme="minorHAnsi" w:hAnsiTheme="minorHAnsi"/>
          <w:bCs/>
          <w:snapToGrid w:val="0"/>
        </w:rPr>
        <w:t xml:space="preserve">. </w:t>
      </w:r>
    </w:p>
    <w:p w:rsidR="00B60939" w:rsidRPr="002D4988" w:rsidRDefault="00B60939" w:rsidP="002E4F02">
      <w:pPr>
        <w:pStyle w:val="4-SubsectionHeading"/>
      </w:pPr>
      <w:r w:rsidRPr="002D4988">
        <w:t>Clinical trials</w:t>
      </w:r>
      <w:bookmarkEnd w:id="12"/>
      <w:bookmarkEnd w:id="13"/>
    </w:p>
    <w:p w:rsidR="0054606D" w:rsidRPr="002D4988" w:rsidRDefault="0054606D" w:rsidP="00E143D9">
      <w:pPr>
        <w:pStyle w:val="3-BodyText"/>
      </w:pPr>
      <w:r w:rsidRPr="002D4988">
        <w:rPr>
          <w:snapToGrid/>
        </w:rPr>
        <w:t xml:space="preserve">There were no head-to-head trials of TOF vs. any </w:t>
      </w:r>
      <w:r w:rsidR="004A28FD" w:rsidRPr="002D4988">
        <w:rPr>
          <w:snapToGrid/>
        </w:rPr>
        <w:t>of the alternative therapies</w:t>
      </w:r>
      <w:r w:rsidR="00936720" w:rsidRPr="002D4988">
        <w:rPr>
          <w:snapToGrid/>
        </w:rPr>
        <w:t xml:space="preserve"> for the treatment of MSUC. </w:t>
      </w:r>
      <w:r w:rsidRPr="002D4988">
        <w:rPr>
          <w:snapToGrid/>
        </w:rPr>
        <w:t>The resubmission presented a series of indirect comparisons using data from 17 randomised placebo-controlled trials:</w:t>
      </w:r>
    </w:p>
    <w:p w:rsidR="0054606D" w:rsidRPr="002D4988" w:rsidRDefault="0054606D" w:rsidP="00C52361">
      <w:pPr>
        <w:widowControl w:val="0"/>
        <w:numPr>
          <w:ilvl w:val="0"/>
          <w:numId w:val="5"/>
        </w:numPr>
        <w:ind w:left="1146" w:hanging="426"/>
        <w:rPr>
          <w:rFonts w:eastAsiaTheme="minorEastAsia"/>
          <w:snapToGrid w:val="0"/>
          <w:szCs w:val="22"/>
          <w:lang w:eastAsia="en-US"/>
        </w:rPr>
      </w:pPr>
      <w:r w:rsidRPr="002D4988">
        <w:rPr>
          <w:rFonts w:eastAsiaTheme="minorEastAsia"/>
          <w:snapToGrid w:val="0"/>
          <w:szCs w:val="22"/>
          <w:lang w:eastAsia="en-US"/>
        </w:rPr>
        <w:t xml:space="preserve">TOF vs. </w:t>
      </w:r>
      <w:r w:rsidR="002C30E0" w:rsidRPr="002D4988">
        <w:rPr>
          <w:rFonts w:eastAsiaTheme="minorEastAsia"/>
          <w:snapToGrid w:val="0"/>
          <w:szCs w:val="22"/>
          <w:lang w:eastAsia="en-US"/>
        </w:rPr>
        <w:t>placebo (</w:t>
      </w:r>
      <w:r w:rsidRPr="002D4988">
        <w:rPr>
          <w:rFonts w:eastAsiaTheme="minorEastAsia"/>
          <w:snapToGrid w:val="0"/>
          <w:szCs w:val="22"/>
          <w:lang w:eastAsia="en-US"/>
        </w:rPr>
        <w:t>PBO</w:t>
      </w:r>
      <w:r w:rsidR="002C30E0" w:rsidRPr="002D4988">
        <w:rPr>
          <w:rFonts w:eastAsiaTheme="minorEastAsia"/>
          <w:snapToGrid w:val="0"/>
          <w:szCs w:val="22"/>
          <w:lang w:eastAsia="en-US"/>
        </w:rPr>
        <w:t>)</w:t>
      </w:r>
      <w:r w:rsidRPr="002D4988">
        <w:rPr>
          <w:rFonts w:eastAsiaTheme="minorEastAsia"/>
          <w:snapToGrid w:val="0"/>
          <w:szCs w:val="22"/>
          <w:lang w:eastAsia="en-US"/>
        </w:rPr>
        <w:t xml:space="preserve"> (three RCTs): OCTAVE 1, OCTAVE 2, OCTAVE sustain;</w:t>
      </w:r>
    </w:p>
    <w:p w:rsidR="0054606D" w:rsidRPr="002D4988" w:rsidRDefault="0054606D" w:rsidP="00C52361">
      <w:pPr>
        <w:widowControl w:val="0"/>
        <w:numPr>
          <w:ilvl w:val="0"/>
          <w:numId w:val="5"/>
        </w:numPr>
        <w:ind w:left="1146" w:hanging="426"/>
        <w:rPr>
          <w:rFonts w:eastAsiaTheme="minorEastAsia"/>
          <w:snapToGrid w:val="0"/>
          <w:szCs w:val="22"/>
          <w:lang w:eastAsia="en-US"/>
        </w:rPr>
      </w:pPr>
      <w:r w:rsidRPr="002D4988">
        <w:rPr>
          <w:rFonts w:eastAsiaTheme="minorEastAsia"/>
          <w:snapToGrid w:val="0"/>
          <w:szCs w:val="22"/>
          <w:lang w:eastAsia="en-US"/>
        </w:rPr>
        <w:t>IFX vs. PBO (f</w:t>
      </w:r>
      <w:r w:rsidR="00AE58BC" w:rsidRPr="002D4988">
        <w:rPr>
          <w:rFonts w:eastAsiaTheme="minorEastAsia"/>
          <w:snapToGrid w:val="0"/>
          <w:szCs w:val="22"/>
          <w:lang w:eastAsia="en-US"/>
        </w:rPr>
        <w:t>ive</w:t>
      </w:r>
      <w:r w:rsidRPr="002D4988">
        <w:rPr>
          <w:rFonts w:eastAsiaTheme="minorEastAsia"/>
          <w:snapToGrid w:val="0"/>
          <w:szCs w:val="22"/>
          <w:lang w:eastAsia="en-US"/>
        </w:rPr>
        <w:t xml:space="preserve"> RCTs): ACT 1, ACT 2, Jiang 2015, REMICADE, Kobayashi 2018;</w:t>
      </w:r>
    </w:p>
    <w:p w:rsidR="0054606D" w:rsidRPr="002D4988" w:rsidRDefault="0054606D" w:rsidP="00C52361">
      <w:pPr>
        <w:widowControl w:val="0"/>
        <w:numPr>
          <w:ilvl w:val="0"/>
          <w:numId w:val="6"/>
        </w:numPr>
        <w:ind w:left="1146" w:hanging="426"/>
        <w:rPr>
          <w:rFonts w:eastAsiaTheme="minorEastAsia"/>
          <w:snapToGrid w:val="0"/>
          <w:szCs w:val="22"/>
          <w:lang w:eastAsia="en-US"/>
        </w:rPr>
      </w:pPr>
      <w:r w:rsidRPr="002D4988">
        <w:rPr>
          <w:rFonts w:eastAsiaTheme="minorEastAsia"/>
          <w:snapToGrid w:val="0"/>
          <w:szCs w:val="22"/>
          <w:lang w:eastAsia="en-US"/>
        </w:rPr>
        <w:t>GOL vs PBO (</w:t>
      </w:r>
      <w:r w:rsidR="00DB4726" w:rsidRPr="002D4988">
        <w:rPr>
          <w:rFonts w:eastAsiaTheme="minorEastAsia"/>
          <w:snapToGrid w:val="0"/>
          <w:szCs w:val="22"/>
          <w:lang w:eastAsia="en-US"/>
        </w:rPr>
        <w:t xml:space="preserve">three </w:t>
      </w:r>
      <w:r w:rsidRPr="002D4988">
        <w:rPr>
          <w:rFonts w:eastAsiaTheme="minorEastAsia"/>
          <w:snapToGrid w:val="0"/>
          <w:szCs w:val="22"/>
          <w:lang w:eastAsia="en-US"/>
        </w:rPr>
        <w:t>RCTs): PURSUIT-SC, PURSUIT-M, PURSUIT-J;</w:t>
      </w:r>
    </w:p>
    <w:p w:rsidR="0054606D" w:rsidRPr="002D4988" w:rsidRDefault="0054606D" w:rsidP="00C52361">
      <w:pPr>
        <w:widowControl w:val="0"/>
        <w:numPr>
          <w:ilvl w:val="0"/>
          <w:numId w:val="6"/>
        </w:numPr>
        <w:ind w:left="1146" w:hanging="426"/>
        <w:rPr>
          <w:rFonts w:eastAsiaTheme="minorEastAsia"/>
          <w:snapToGrid w:val="0"/>
          <w:szCs w:val="22"/>
          <w:lang w:eastAsia="en-US"/>
        </w:rPr>
      </w:pPr>
      <w:r w:rsidRPr="002D4988">
        <w:rPr>
          <w:rFonts w:eastAsiaTheme="minorEastAsia"/>
          <w:snapToGrid w:val="0"/>
          <w:szCs w:val="22"/>
          <w:lang w:eastAsia="en-US"/>
        </w:rPr>
        <w:t>ADA vs. PBO (</w:t>
      </w:r>
      <w:r w:rsidR="00DB4726" w:rsidRPr="002D4988">
        <w:rPr>
          <w:rFonts w:eastAsiaTheme="minorEastAsia"/>
          <w:snapToGrid w:val="0"/>
          <w:szCs w:val="22"/>
          <w:lang w:eastAsia="en-US"/>
        </w:rPr>
        <w:t xml:space="preserve">three </w:t>
      </w:r>
      <w:r w:rsidRPr="002D4988">
        <w:rPr>
          <w:rFonts w:eastAsiaTheme="minorEastAsia"/>
          <w:snapToGrid w:val="0"/>
          <w:szCs w:val="22"/>
          <w:lang w:eastAsia="en-US"/>
        </w:rPr>
        <w:t>RCTs): ULTRA 1, ULTRA 2, Suzuki 2014;</w:t>
      </w:r>
    </w:p>
    <w:p w:rsidR="0054606D" w:rsidRPr="002D4988" w:rsidRDefault="0054606D" w:rsidP="00C52361">
      <w:pPr>
        <w:widowControl w:val="0"/>
        <w:numPr>
          <w:ilvl w:val="0"/>
          <w:numId w:val="6"/>
        </w:numPr>
        <w:ind w:left="1146" w:hanging="426"/>
        <w:rPr>
          <w:rFonts w:eastAsiaTheme="minorEastAsia"/>
          <w:snapToGrid w:val="0"/>
          <w:szCs w:val="22"/>
          <w:lang w:eastAsia="en-US"/>
        </w:rPr>
      </w:pPr>
      <w:r w:rsidRPr="002D4988">
        <w:rPr>
          <w:rFonts w:eastAsiaTheme="minorEastAsia"/>
          <w:snapToGrid w:val="0"/>
          <w:szCs w:val="22"/>
          <w:lang w:eastAsia="en-US"/>
        </w:rPr>
        <w:t>VDZ vs. PBO (</w:t>
      </w:r>
      <w:r w:rsidR="00DB4726" w:rsidRPr="002D4988">
        <w:rPr>
          <w:rFonts w:eastAsiaTheme="minorEastAsia"/>
          <w:snapToGrid w:val="0"/>
          <w:szCs w:val="22"/>
          <w:lang w:eastAsia="en-US"/>
        </w:rPr>
        <w:t xml:space="preserve">three </w:t>
      </w:r>
      <w:r w:rsidRPr="002D4988">
        <w:rPr>
          <w:rFonts w:eastAsiaTheme="minorEastAsia"/>
          <w:snapToGrid w:val="0"/>
          <w:szCs w:val="22"/>
          <w:lang w:eastAsia="en-US"/>
        </w:rPr>
        <w:t>RCT</w:t>
      </w:r>
      <w:r w:rsidR="00024118" w:rsidRPr="002D4988">
        <w:rPr>
          <w:rFonts w:eastAsiaTheme="minorEastAsia"/>
          <w:snapToGrid w:val="0"/>
          <w:szCs w:val="22"/>
          <w:lang w:eastAsia="en-US"/>
        </w:rPr>
        <w:t>s</w:t>
      </w:r>
      <w:r w:rsidRPr="002D4988">
        <w:rPr>
          <w:rFonts w:eastAsiaTheme="minorEastAsia"/>
          <w:snapToGrid w:val="0"/>
          <w:szCs w:val="22"/>
          <w:lang w:eastAsia="en-US"/>
        </w:rPr>
        <w:t>): GEMINI-1, Motoya 2019, Sandborn 2020.</w:t>
      </w:r>
    </w:p>
    <w:p w:rsidR="00443AFA" w:rsidRPr="002D4988" w:rsidRDefault="00443AFA" w:rsidP="00443AFA">
      <w:pPr>
        <w:widowControl w:val="0"/>
        <w:rPr>
          <w:rFonts w:eastAsiaTheme="minorEastAsia"/>
          <w:snapToGrid w:val="0"/>
          <w:szCs w:val="22"/>
          <w:lang w:eastAsia="en-US"/>
        </w:rPr>
      </w:pPr>
    </w:p>
    <w:p w:rsidR="0054606D" w:rsidRPr="002D4988" w:rsidRDefault="0054606D" w:rsidP="00E143D9">
      <w:pPr>
        <w:pStyle w:val="3-BodyText"/>
        <w:numPr>
          <w:ilvl w:val="0"/>
          <w:numId w:val="0"/>
        </w:numPr>
        <w:ind w:left="720"/>
      </w:pPr>
      <w:r w:rsidRPr="002D4988">
        <w:t xml:space="preserve">Two new trials of VDZ versus PBO (Motoya 2019, Sandborn 2020) </w:t>
      </w:r>
      <w:r w:rsidR="00443AFA" w:rsidRPr="002D4988">
        <w:t>were</w:t>
      </w:r>
      <w:r w:rsidRPr="002D4988">
        <w:t xml:space="preserve"> added in this resubmission and the PBAC ha</w:t>
      </w:r>
      <w:r w:rsidR="00443AFA" w:rsidRPr="002D4988">
        <w:t>d</w:t>
      </w:r>
      <w:r w:rsidRPr="002D4988">
        <w:t xml:space="preserve"> not </w:t>
      </w:r>
      <w:r w:rsidR="00443AFA" w:rsidRPr="002D4988">
        <w:t xml:space="preserve">previously </w:t>
      </w:r>
      <w:r w:rsidRPr="002D4988">
        <w:t>considered data from these two trials.</w:t>
      </w:r>
    </w:p>
    <w:p w:rsidR="002E6474" w:rsidRPr="002D4988" w:rsidRDefault="0054606D" w:rsidP="00E143D9">
      <w:pPr>
        <w:pStyle w:val="3-BodyText"/>
      </w:pPr>
      <w:r w:rsidRPr="002D4988">
        <w:rPr>
          <w:snapToGrid/>
        </w:rPr>
        <w:t>Details of the trials presented in the resubmission are provided in Table 3</w:t>
      </w:r>
      <w:r w:rsidR="00A73134" w:rsidRPr="002D4988">
        <w:rPr>
          <w:snapToGrid/>
        </w:rPr>
        <w:t>.</w:t>
      </w:r>
      <w:r w:rsidR="00BC591F" w:rsidRPr="002D4988">
        <w:rPr>
          <w:snapToGrid/>
        </w:rPr>
        <w:t xml:space="preserve"> </w:t>
      </w:r>
    </w:p>
    <w:p w:rsidR="002E6474" w:rsidRPr="002D4988" w:rsidRDefault="002E6474" w:rsidP="002E6474">
      <w:pPr>
        <w:keepNext/>
        <w:spacing w:after="60"/>
        <w:jc w:val="left"/>
        <w:rPr>
          <w:rFonts w:ascii="Arial Narrow" w:eastAsiaTheme="minorHAnsi" w:hAnsi="Arial Narrow" w:cstheme="minorBidi"/>
          <w:b/>
          <w:bCs/>
          <w:sz w:val="20"/>
          <w:szCs w:val="22"/>
          <w:lang w:eastAsia="en-US"/>
        </w:rPr>
      </w:pPr>
      <w:r w:rsidRPr="002D4988">
        <w:rPr>
          <w:rFonts w:ascii="Arial Narrow" w:eastAsiaTheme="minorHAnsi" w:hAnsi="Arial Narrow" w:cstheme="minorBidi"/>
          <w:b/>
          <w:sz w:val="20"/>
          <w:szCs w:val="22"/>
          <w:lang w:eastAsia="en-US"/>
        </w:rPr>
        <w:t xml:space="preserve">Table </w:t>
      </w:r>
      <w:r w:rsidR="00BC0889" w:rsidRPr="002D4988">
        <w:rPr>
          <w:rFonts w:ascii="Arial Narrow" w:eastAsiaTheme="minorHAnsi" w:hAnsi="Arial Narrow" w:cstheme="minorBidi"/>
          <w:b/>
          <w:sz w:val="20"/>
          <w:szCs w:val="22"/>
          <w:lang w:eastAsia="en-US"/>
        </w:rPr>
        <w:t>3</w:t>
      </w:r>
      <w:r w:rsidR="0070069D" w:rsidRPr="002D4988">
        <w:rPr>
          <w:rFonts w:ascii="Arial Narrow" w:eastAsiaTheme="minorHAnsi" w:hAnsi="Arial Narrow" w:cstheme="minorBidi"/>
          <w:b/>
          <w:sz w:val="20"/>
          <w:szCs w:val="22"/>
          <w:lang w:eastAsia="en-US"/>
        </w:rPr>
        <w:t>:</w:t>
      </w:r>
      <w:r w:rsidRPr="002D4988">
        <w:rPr>
          <w:rFonts w:ascii="Arial Narrow" w:eastAsiaTheme="minorHAnsi" w:hAnsi="Arial Narrow" w:cstheme="minorBidi"/>
          <w:b/>
          <w:sz w:val="20"/>
          <w:szCs w:val="22"/>
          <w:lang w:eastAsia="en-US"/>
        </w:rPr>
        <w:t xml:space="preserve"> </w:t>
      </w:r>
      <w:r w:rsidRPr="002D4988">
        <w:rPr>
          <w:rFonts w:ascii="Arial Narrow" w:eastAsiaTheme="minorHAnsi" w:hAnsi="Arial Narrow" w:cstheme="minorBidi"/>
          <w:b/>
          <w:bCs/>
          <w:sz w:val="20"/>
          <w:szCs w:val="16"/>
          <w:lang w:eastAsia="en-US"/>
        </w:rPr>
        <w:t xml:space="preserve">Trials and associated reports presented in the </w:t>
      </w:r>
      <w:r w:rsidR="001A32E0" w:rsidRPr="002D4988">
        <w:rPr>
          <w:rFonts w:ascii="Arial Narrow" w:eastAsiaTheme="minorHAnsi" w:hAnsi="Arial Narrow" w:cstheme="minorBidi"/>
          <w:b/>
          <w:bCs/>
          <w:sz w:val="20"/>
          <w:szCs w:val="16"/>
          <w:lang w:eastAsia="en-US"/>
        </w:rPr>
        <w:t>re</w:t>
      </w:r>
      <w:r w:rsidRPr="002D4988">
        <w:rPr>
          <w:rFonts w:ascii="Arial Narrow" w:eastAsiaTheme="minorHAnsi" w:hAnsi="Arial Narrow" w:cstheme="minorBidi"/>
          <w:b/>
          <w:bCs/>
          <w:sz w:val="20"/>
          <w:szCs w:val="16"/>
          <w:lang w:eastAsia="en-US"/>
        </w:rPr>
        <w:t>submission</w:t>
      </w:r>
    </w:p>
    <w:tbl>
      <w:tblPr>
        <w:tblStyle w:val="TableGridbeth8"/>
        <w:tblW w:w="5106" w:type="pct"/>
        <w:tblCellMar>
          <w:left w:w="28" w:type="dxa"/>
          <w:right w:w="28" w:type="dxa"/>
        </w:tblCellMar>
        <w:tblLook w:val="01E0" w:firstRow="1" w:lastRow="1" w:firstColumn="1" w:lastColumn="1" w:noHBand="0" w:noVBand="0"/>
        <w:tblCaption w:val="Table 3: Trials and associated reports presented in the resubmission"/>
      </w:tblPr>
      <w:tblGrid>
        <w:gridCol w:w="1387"/>
        <w:gridCol w:w="5698"/>
        <w:gridCol w:w="2123"/>
      </w:tblGrid>
      <w:tr w:rsidR="002E6474" w:rsidRPr="002D4988" w:rsidTr="00D15F29">
        <w:trPr>
          <w:tblHeader/>
        </w:trPr>
        <w:tc>
          <w:tcPr>
            <w:tcW w:w="753" w:type="pct"/>
            <w:vAlign w:val="center"/>
          </w:tcPr>
          <w:p w:rsidR="002E6474" w:rsidRPr="002D4988" w:rsidRDefault="002E6474" w:rsidP="002E6474">
            <w:pPr>
              <w:jc w:val="left"/>
              <w:rPr>
                <w:rFonts w:ascii="Arial Narrow" w:hAnsi="Arial Narrow" w:cs="Times New Roman"/>
                <w:b/>
                <w:bCs/>
                <w:sz w:val="20"/>
                <w:szCs w:val="20"/>
                <w:lang w:eastAsia="en-US"/>
              </w:rPr>
            </w:pPr>
            <w:r w:rsidRPr="002D4988">
              <w:rPr>
                <w:rFonts w:ascii="Arial Narrow" w:hAnsi="Arial Narrow" w:cs="Times New Roman"/>
                <w:b/>
                <w:bCs/>
                <w:sz w:val="20"/>
                <w:szCs w:val="20"/>
                <w:lang w:eastAsia="en-US"/>
              </w:rPr>
              <w:t>Trial ID</w:t>
            </w:r>
          </w:p>
        </w:tc>
        <w:tc>
          <w:tcPr>
            <w:tcW w:w="3094" w:type="pct"/>
            <w:vAlign w:val="center"/>
          </w:tcPr>
          <w:p w:rsidR="002E6474" w:rsidRPr="002D4988" w:rsidRDefault="002E6474" w:rsidP="002E6474">
            <w:pPr>
              <w:jc w:val="left"/>
              <w:rPr>
                <w:rFonts w:ascii="Arial Narrow" w:hAnsi="Arial Narrow" w:cs="Times New Roman"/>
                <w:b/>
                <w:bCs/>
                <w:sz w:val="20"/>
                <w:szCs w:val="20"/>
                <w:lang w:eastAsia="en-US"/>
              </w:rPr>
            </w:pPr>
            <w:r w:rsidRPr="002D4988">
              <w:rPr>
                <w:rFonts w:ascii="Arial Narrow" w:hAnsi="Arial Narrow" w:cs="Times New Roman"/>
                <w:b/>
                <w:bCs/>
                <w:sz w:val="20"/>
                <w:szCs w:val="20"/>
                <w:lang w:eastAsia="en-US"/>
              </w:rPr>
              <w:t>Protocol title/ Publication title</w:t>
            </w:r>
          </w:p>
        </w:tc>
        <w:tc>
          <w:tcPr>
            <w:tcW w:w="1153" w:type="pct"/>
            <w:vAlign w:val="center"/>
          </w:tcPr>
          <w:p w:rsidR="002E6474" w:rsidRPr="002D4988" w:rsidRDefault="002E6474" w:rsidP="002E6474">
            <w:pPr>
              <w:jc w:val="left"/>
              <w:rPr>
                <w:rFonts w:ascii="Arial Narrow" w:hAnsi="Arial Narrow" w:cs="Times New Roman"/>
                <w:b/>
                <w:bCs/>
                <w:sz w:val="20"/>
                <w:szCs w:val="20"/>
                <w:lang w:eastAsia="en-US"/>
              </w:rPr>
            </w:pPr>
            <w:r w:rsidRPr="002D4988">
              <w:rPr>
                <w:rFonts w:ascii="Arial Narrow" w:hAnsi="Arial Narrow" w:cs="Times New Roman"/>
                <w:b/>
                <w:bCs/>
                <w:sz w:val="20"/>
                <w:szCs w:val="20"/>
                <w:lang w:eastAsia="en-US"/>
              </w:rPr>
              <w:t>Publication citation</w:t>
            </w:r>
          </w:p>
        </w:tc>
      </w:tr>
      <w:tr w:rsidR="002E6474" w:rsidRPr="002D4988" w:rsidTr="00DB2826">
        <w:tc>
          <w:tcPr>
            <w:tcW w:w="5000" w:type="pct"/>
            <w:gridSpan w:val="3"/>
            <w:shd w:val="clear" w:color="auto" w:fill="DBE5F1" w:themeFill="accent1" w:themeFillTint="33"/>
            <w:vAlign w:val="center"/>
          </w:tcPr>
          <w:p w:rsidR="002E6474" w:rsidRPr="002D4988" w:rsidRDefault="002E6474" w:rsidP="002E6474">
            <w:pPr>
              <w:jc w:val="left"/>
              <w:rPr>
                <w:rFonts w:ascii="Arial Narrow" w:hAnsi="Arial Narrow" w:cs="Times New Roman"/>
                <w:b/>
                <w:bCs/>
                <w:sz w:val="20"/>
                <w:szCs w:val="20"/>
                <w:lang w:eastAsia="en-US"/>
              </w:rPr>
            </w:pPr>
            <w:r w:rsidRPr="002D4988">
              <w:rPr>
                <w:rFonts w:ascii="Arial Narrow" w:hAnsi="Arial Narrow" w:cs="Times New Roman"/>
                <w:b/>
                <w:bCs/>
                <w:sz w:val="20"/>
                <w:szCs w:val="20"/>
                <w:lang w:eastAsia="en-US"/>
              </w:rPr>
              <w:t>Tofacitinib trials</w:t>
            </w:r>
          </w:p>
        </w:tc>
      </w:tr>
      <w:tr w:rsidR="002E6474" w:rsidRPr="002D4988" w:rsidTr="00DB2826">
        <w:trPr>
          <w:trHeight w:val="519"/>
        </w:trPr>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OCTAVE 1</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Study A3921094. A multicentre, randomized, double-blind, placebo-controlled, parallel-group study of oral CP-690,550 as an induction therapy in subjects with moderate to severe ulcerative colitis</w:t>
            </w:r>
            <w:r w:rsidR="00DB4726" w:rsidRPr="002D4988">
              <w:rPr>
                <w:rFonts w:ascii="Arial Narrow" w:hAnsi="Arial Narrow" w:cs="Times New Roman"/>
                <w:sz w:val="20"/>
                <w:szCs w:val="20"/>
                <w:lang w:eastAsia="en-US"/>
              </w:rPr>
              <w:t>.</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Clinical study report – report date: 25 May 2016.</w:t>
            </w:r>
          </w:p>
        </w:tc>
      </w:tr>
      <w:tr w:rsidR="002E6474" w:rsidRPr="002D4988" w:rsidTr="00DB2826">
        <w:trPr>
          <w:trHeight w:val="598"/>
        </w:trPr>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OCTAVE 2</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sz w:val="20"/>
                <w:szCs w:val="20"/>
                <w:lang w:eastAsia="en-US"/>
              </w:rPr>
              <w:t xml:space="preserve">Study A3921095. A multicentre, randomized, double-blind, placebo-controlled, parallel-group study of oral CP-690,550 as an induction therapy in subjects with moderate to severe ulcerative colitis. </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 xml:space="preserve">Clinical study report – report date: </w:t>
            </w:r>
            <w:r w:rsidRPr="002D4988">
              <w:rPr>
                <w:rFonts w:ascii="Arial Narrow" w:hAnsi="Arial Narrow"/>
                <w:sz w:val="20"/>
                <w:szCs w:val="20"/>
                <w:lang w:eastAsia="en-US"/>
              </w:rPr>
              <w:t>6 May 2016</w:t>
            </w:r>
          </w:p>
        </w:tc>
      </w:tr>
      <w:tr w:rsidR="002E6474" w:rsidRPr="002D4988" w:rsidTr="00DB2826">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OCTAVE SUSTAIN</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sz w:val="20"/>
                <w:szCs w:val="20"/>
                <w:lang w:eastAsia="en-US"/>
              </w:rPr>
              <w:t xml:space="preserve">Study A3921096. A multicentre, randomized, double-blind, placebo-controlled, parallel-group study of oral CP-690,550 as a maintenance therapy in subjects with ulcerative colitis. </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 xml:space="preserve">Clinical study report – report date: </w:t>
            </w:r>
            <w:r w:rsidRPr="002D4988">
              <w:rPr>
                <w:rFonts w:ascii="Arial Narrow" w:hAnsi="Arial Narrow"/>
                <w:sz w:val="20"/>
                <w:szCs w:val="20"/>
                <w:lang w:eastAsia="en-US"/>
              </w:rPr>
              <w:t>16 December 2016</w:t>
            </w:r>
          </w:p>
        </w:tc>
      </w:tr>
      <w:tr w:rsidR="002E6474" w:rsidRPr="002D4988" w:rsidTr="00DB2826">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iCs/>
                <w:sz w:val="20"/>
                <w:szCs w:val="20"/>
                <w:lang w:eastAsia="en-US"/>
              </w:rPr>
              <w:t>*OCTAVE trials (1, 2, sustain)</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sz w:val="20"/>
                <w:szCs w:val="20"/>
                <w:lang w:eastAsia="en-US"/>
              </w:rPr>
            </w:pPr>
            <w:r w:rsidRPr="002D4988">
              <w:rPr>
                <w:rFonts w:ascii="Arial Narrow" w:hAnsi="Arial Narrow"/>
                <w:iCs/>
                <w:sz w:val="20"/>
                <w:szCs w:val="20"/>
                <w:lang w:eastAsia="en-US"/>
              </w:rPr>
              <w:t>Sandborn WJ, Chinyu S, Sands BE, et al; Tofacitinib as Induction and Maintenance Therapy for Ulcerative Colitis</w:t>
            </w:r>
            <w:r w:rsidR="00DB4726" w:rsidRPr="002D4988">
              <w:rPr>
                <w:rFonts w:ascii="Arial Narrow" w:hAnsi="Arial Narrow"/>
                <w:iCs/>
                <w:sz w:val="20"/>
                <w:szCs w:val="20"/>
                <w:lang w:eastAsia="en-US"/>
              </w:rPr>
              <w:t>.</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i/>
                <w:sz w:val="20"/>
                <w:szCs w:val="20"/>
                <w:lang w:eastAsia="en-US"/>
              </w:rPr>
              <w:t>N Engl J Med.</w:t>
            </w:r>
            <w:r w:rsidRPr="002D4988">
              <w:rPr>
                <w:rFonts w:ascii="Arial Narrow" w:hAnsi="Arial Narrow" w:cs="Times New Roman"/>
                <w:sz w:val="20"/>
                <w:szCs w:val="20"/>
                <w:lang w:eastAsia="en-US"/>
              </w:rPr>
              <w:t xml:space="preserve"> </w:t>
            </w:r>
            <w:r w:rsidRPr="002D4988">
              <w:rPr>
                <w:rFonts w:ascii="Arial Narrow" w:hAnsi="Arial Narrow"/>
                <w:sz w:val="20"/>
                <w:szCs w:val="20"/>
                <w:lang w:eastAsia="en-US"/>
              </w:rPr>
              <w:t>2017; 376 (18): 1723-1736</w:t>
            </w:r>
          </w:p>
        </w:tc>
      </w:tr>
      <w:tr w:rsidR="002E6474" w:rsidRPr="002D4988" w:rsidTr="00DB2826">
        <w:tc>
          <w:tcPr>
            <w:tcW w:w="5000" w:type="pct"/>
            <w:gridSpan w:val="3"/>
            <w:shd w:val="clear" w:color="auto" w:fill="DBE5F1" w:themeFill="accent1" w:themeFillTint="33"/>
            <w:vAlign w:val="center"/>
          </w:tcPr>
          <w:p w:rsidR="002E6474" w:rsidRPr="002D4988" w:rsidRDefault="002E6474" w:rsidP="002E6474">
            <w:pPr>
              <w:jc w:val="left"/>
              <w:rPr>
                <w:rFonts w:ascii="Arial Narrow" w:hAnsi="Arial Narrow" w:cs="Times New Roman"/>
                <w:b/>
                <w:bCs/>
                <w:sz w:val="20"/>
                <w:szCs w:val="20"/>
                <w:lang w:eastAsia="en-US"/>
              </w:rPr>
            </w:pPr>
            <w:r w:rsidRPr="002D4988">
              <w:rPr>
                <w:rFonts w:ascii="Arial Narrow" w:hAnsi="Arial Narrow" w:cs="Times New Roman"/>
                <w:b/>
                <w:bCs/>
                <w:sz w:val="20"/>
                <w:szCs w:val="20"/>
                <w:lang w:eastAsia="en-US"/>
              </w:rPr>
              <w:t>Infliximab trials</w:t>
            </w:r>
          </w:p>
        </w:tc>
      </w:tr>
      <w:tr w:rsidR="002E6474" w:rsidRPr="002D4988" w:rsidTr="00DB2826">
        <w:trPr>
          <w:trHeight w:val="182"/>
        </w:trPr>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lastRenderedPageBreak/>
              <w:t>ACT 1</w:t>
            </w:r>
          </w:p>
        </w:tc>
        <w:tc>
          <w:tcPr>
            <w:tcW w:w="3094" w:type="pct"/>
            <w:vMerge w:val="restar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 xml:space="preserve">Rutgeerts P, Sandborn WJ, Feagan BG, et al. Infliximab for induction and maintenance therapy for ulcerative colitis. </w:t>
            </w:r>
          </w:p>
        </w:tc>
        <w:tc>
          <w:tcPr>
            <w:tcW w:w="1153" w:type="pct"/>
            <w:vMerge w:val="restar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i/>
                <w:sz w:val="20"/>
                <w:szCs w:val="20"/>
                <w:lang w:eastAsia="en-US"/>
              </w:rPr>
              <w:t>N Engl J Med</w:t>
            </w:r>
            <w:r w:rsidRPr="002D4988">
              <w:rPr>
                <w:rFonts w:ascii="Arial Narrow" w:hAnsi="Arial Narrow" w:cs="Times New Roman"/>
                <w:sz w:val="20"/>
                <w:szCs w:val="20"/>
                <w:lang w:eastAsia="en-US"/>
              </w:rPr>
              <w:t xml:space="preserve">. 2005; 353:2462-2476. </w:t>
            </w:r>
          </w:p>
        </w:tc>
      </w:tr>
      <w:tr w:rsidR="002E6474" w:rsidRPr="002D4988" w:rsidTr="00DB2826">
        <w:trPr>
          <w:trHeight w:val="56"/>
        </w:trPr>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ACT 2</w:t>
            </w:r>
          </w:p>
        </w:tc>
        <w:tc>
          <w:tcPr>
            <w:tcW w:w="3094" w:type="pct"/>
            <w:vMerge/>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p>
        </w:tc>
        <w:tc>
          <w:tcPr>
            <w:tcW w:w="1153" w:type="pct"/>
            <w:vMerge/>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p>
        </w:tc>
      </w:tr>
      <w:tr w:rsidR="002E6474" w:rsidRPr="002D4988" w:rsidTr="00DB2826">
        <w:trPr>
          <w:trHeight w:val="56"/>
        </w:trPr>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Jiang 2015</w:t>
            </w:r>
          </w:p>
        </w:tc>
        <w:tc>
          <w:tcPr>
            <w:tcW w:w="3094" w:type="pct"/>
            <w:shd w:val="clear" w:color="auto" w:fill="DBE5F1" w:themeFill="accent1" w:themeFillTint="33"/>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Jiang XL, Cui HF, Gao J, Fan H. Low-dose Infliximab for Induction and Maintenance Treatment in Chinese Patients With Moderate to Severe Active Ulcerative Colitis.</w:t>
            </w:r>
          </w:p>
        </w:tc>
        <w:tc>
          <w:tcPr>
            <w:tcW w:w="1153" w:type="pct"/>
            <w:shd w:val="clear" w:color="auto" w:fill="DBE5F1" w:themeFill="accent1" w:themeFillTint="33"/>
            <w:vAlign w:val="center"/>
          </w:tcPr>
          <w:p w:rsidR="002E6474" w:rsidRPr="002D4988" w:rsidRDefault="004A2ED4" w:rsidP="004A2ED4">
            <w:pPr>
              <w:jc w:val="left"/>
              <w:rPr>
                <w:rFonts w:ascii="Arial Narrow" w:hAnsi="Arial Narrow" w:cs="Times New Roman"/>
                <w:sz w:val="20"/>
                <w:szCs w:val="20"/>
                <w:lang w:eastAsia="en-US"/>
              </w:rPr>
            </w:pPr>
            <w:r w:rsidRPr="002D4988">
              <w:rPr>
                <w:rFonts w:ascii="Arial Narrow" w:hAnsi="Arial Narrow" w:cs="Times New Roman"/>
                <w:i/>
                <w:sz w:val="20"/>
                <w:szCs w:val="20"/>
                <w:lang w:eastAsia="en-US"/>
              </w:rPr>
              <w:t>J</w:t>
            </w:r>
            <w:r w:rsidR="002E6474" w:rsidRPr="002D4988">
              <w:rPr>
                <w:rFonts w:ascii="Arial Narrow" w:hAnsi="Arial Narrow" w:cs="Times New Roman"/>
                <w:i/>
                <w:sz w:val="20"/>
                <w:szCs w:val="20"/>
                <w:lang w:eastAsia="en-US"/>
              </w:rPr>
              <w:t xml:space="preserve"> </w:t>
            </w:r>
            <w:r w:rsidRPr="002D4988">
              <w:rPr>
                <w:rFonts w:ascii="Arial Narrow" w:hAnsi="Arial Narrow" w:cs="Times New Roman"/>
                <w:i/>
                <w:sz w:val="20"/>
                <w:szCs w:val="20"/>
                <w:lang w:eastAsia="en-US"/>
              </w:rPr>
              <w:t>Clin G</w:t>
            </w:r>
            <w:r w:rsidR="002E6474" w:rsidRPr="002D4988">
              <w:rPr>
                <w:rFonts w:ascii="Arial Narrow" w:hAnsi="Arial Narrow" w:cs="Times New Roman"/>
                <w:i/>
                <w:sz w:val="20"/>
                <w:szCs w:val="20"/>
                <w:lang w:eastAsia="en-US"/>
              </w:rPr>
              <w:t>astroenterol</w:t>
            </w:r>
            <w:r w:rsidR="002E6474" w:rsidRPr="002D4988">
              <w:rPr>
                <w:rFonts w:ascii="Arial Narrow" w:hAnsi="Arial Narrow" w:cs="Times New Roman"/>
                <w:sz w:val="20"/>
                <w:szCs w:val="20"/>
                <w:lang w:eastAsia="en-US"/>
              </w:rPr>
              <w:t>. 2015, 49(7):582-588.</w:t>
            </w:r>
          </w:p>
        </w:tc>
      </w:tr>
      <w:tr w:rsidR="002E6474" w:rsidRPr="002D4988" w:rsidTr="00DB2826">
        <w:trPr>
          <w:trHeight w:val="56"/>
        </w:trPr>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REMICADE</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Jansen Research and Development. Clinical Study Report Synopsis. CNTO312 (infliximab). A Phase 3, multicentre, randomised, double-blind, placebo-controlled study evaluating the efficacy and safety of infliximab in Chinese subjects with active ulcerative colitis. REMICADEUCO3001.</w:t>
            </w:r>
          </w:p>
        </w:tc>
        <w:tc>
          <w:tcPr>
            <w:tcW w:w="1153" w:type="pct"/>
            <w:shd w:val="clear" w:color="auto" w:fill="DBE5F1" w:themeFill="accent1" w:themeFillTint="33"/>
            <w:vAlign w:val="center"/>
          </w:tcPr>
          <w:p w:rsidR="002E6474" w:rsidRPr="002D4988" w:rsidRDefault="002E6474" w:rsidP="002E6474">
            <w:pPr>
              <w:spacing w:before="40" w:after="40"/>
              <w:jc w:val="left"/>
              <w:rPr>
                <w:rFonts w:ascii="Arial Narrow" w:eastAsia="Arial" w:hAnsi="Arial Narrow"/>
                <w:sz w:val="20"/>
                <w:szCs w:val="20"/>
                <w:lang w:eastAsia="en-US"/>
              </w:rPr>
            </w:pPr>
            <w:r w:rsidRPr="002D4988">
              <w:rPr>
                <w:rFonts w:ascii="Arial Narrow" w:eastAsia="Arial" w:hAnsi="Arial Narrow"/>
                <w:sz w:val="20"/>
                <w:szCs w:val="20"/>
                <w:lang w:eastAsia="en-US"/>
              </w:rPr>
              <w:t>NCT01551290</w:t>
            </w:r>
          </w:p>
        </w:tc>
      </w:tr>
      <w:tr w:rsidR="002E6474" w:rsidRPr="002D4988" w:rsidTr="00DB2826">
        <w:trPr>
          <w:trHeight w:val="56"/>
        </w:trPr>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iCs/>
                <w:sz w:val="20"/>
                <w:szCs w:val="20"/>
                <w:lang w:eastAsia="en-US"/>
              </w:rPr>
            </w:pPr>
            <w:r w:rsidRPr="002D4988">
              <w:rPr>
                <w:rFonts w:ascii="Arial Narrow" w:hAnsi="Arial Narrow" w:cs="Times New Roman"/>
                <w:iCs/>
                <w:sz w:val="20"/>
                <w:szCs w:val="20"/>
                <w:lang w:eastAsia="en-US"/>
              </w:rPr>
              <w:t>Kobayashi 2016</w:t>
            </w:r>
          </w:p>
        </w:tc>
        <w:tc>
          <w:tcPr>
            <w:tcW w:w="3094" w:type="pct"/>
            <w:shd w:val="clear" w:color="auto" w:fill="DBE5F1" w:themeFill="accent1" w:themeFillTint="33"/>
          </w:tcPr>
          <w:p w:rsidR="002E6474" w:rsidRPr="002D4988" w:rsidRDefault="002E6474" w:rsidP="002E6474">
            <w:pPr>
              <w:jc w:val="left"/>
              <w:rPr>
                <w:rFonts w:ascii="Arial Narrow" w:hAnsi="Arial Narrow" w:cs="Times New Roman"/>
                <w:iCs/>
                <w:sz w:val="20"/>
                <w:szCs w:val="20"/>
                <w:lang w:eastAsia="en-US"/>
              </w:rPr>
            </w:pPr>
            <w:r w:rsidRPr="002D4988">
              <w:rPr>
                <w:rFonts w:ascii="Arial Narrow" w:hAnsi="Arial Narrow" w:cs="Times New Roman"/>
                <w:iCs/>
                <w:sz w:val="20"/>
                <w:szCs w:val="20"/>
                <w:lang w:eastAsia="en-US"/>
              </w:rPr>
              <w:t>Kobayashi T, Suzuki Y, Motoya S, Hirai F, Ogata H, Ito H, Sato N, Ozaki K, Watanabe M, Hibi T. First trough level of infliximab at week 2 predicts future outcomes of induction therapy in ulcerative colitis-results from a multicenter prospective randomized controlled trial and its post hoc analysis. Serum trough level as predictor of response.</w:t>
            </w:r>
          </w:p>
        </w:tc>
        <w:tc>
          <w:tcPr>
            <w:tcW w:w="1153" w:type="pct"/>
            <w:shd w:val="clear" w:color="auto" w:fill="DBE5F1" w:themeFill="accent1" w:themeFillTint="33"/>
            <w:vAlign w:val="center"/>
          </w:tcPr>
          <w:p w:rsidR="002E6474" w:rsidRPr="002D4988" w:rsidRDefault="002E6474" w:rsidP="004A2ED4">
            <w:pPr>
              <w:jc w:val="left"/>
              <w:rPr>
                <w:rFonts w:ascii="Arial Narrow" w:hAnsi="Arial Narrow" w:cs="Times New Roman"/>
                <w:iCs/>
                <w:sz w:val="20"/>
                <w:szCs w:val="20"/>
                <w:lang w:eastAsia="en-US"/>
              </w:rPr>
            </w:pPr>
            <w:r w:rsidRPr="002D4988">
              <w:rPr>
                <w:rFonts w:ascii="Arial Narrow" w:hAnsi="Arial Narrow" w:cs="Times New Roman"/>
                <w:i/>
                <w:iCs/>
                <w:sz w:val="20"/>
                <w:szCs w:val="20"/>
                <w:lang w:eastAsia="en-US"/>
              </w:rPr>
              <w:t>J</w:t>
            </w:r>
            <w:r w:rsidR="004A2ED4" w:rsidRPr="002D4988">
              <w:rPr>
                <w:rFonts w:ascii="Arial Narrow" w:hAnsi="Arial Narrow" w:cs="Times New Roman"/>
                <w:i/>
                <w:iCs/>
                <w:sz w:val="20"/>
                <w:szCs w:val="20"/>
                <w:lang w:eastAsia="en-US"/>
              </w:rPr>
              <w:t xml:space="preserve"> Gastroenterol</w:t>
            </w:r>
            <w:r w:rsidRPr="002D4988">
              <w:rPr>
                <w:rFonts w:ascii="Arial Narrow" w:hAnsi="Arial Narrow" w:cs="Times New Roman"/>
                <w:iCs/>
                <w:sz w:val="20"/>
                <w:szCs w:val="20"/>
                <w:lang w:eastAsia="en-US"/>
              </w:rPr>
              <w:t xml:space="preserve"> 2016; 51(3):241-51</w:t>
            </w:r>
          </w:p>
        </w:tc>
      </w:tr>
      <w:tr w:rsidR="002E6474" w:rsidRPr="002D4988" w:rsidTr="00DB2826">
        <w:tc>
          <w:tcPr>
            <w:tcW w:w="5000" w:type="pct"/>
            <w:gridSpan w:val="3"/>
            <w:shd w:val="clear" w:color="auto" w:fill="DBE5F1" w:themeFill="accent1" w:themeFillTint="33"/>
            <w:vAlign w:val="center"/>
          </w:tcPr>
          <w:p w:rsidR="002E6474" w:rsidRPr="002D4988" w:rsidRDefault="002E6474" w:rsidP="002E6474">
            <w:pPr>
              <w:jc w:val="left"/>
              <w:rPr>
                <w:rFonts w:ascii="Arial Narrow" w:hAnsi="Arial Narrow" w:cs="Times New Roman"/>
                <w:b/>
                <w:bCs/>
                <w:sz w:val="20"/>
                <w:szCs w:val="20"/>
                <w:lang w:eastAsia="en-US"/>
              </w:rPr>
            </w:pPr>
            <w:r w:rsidRPr="002D4988">
              <w:rPr>
                <w:rFonts w:ascii="Arial Narrow" w:hAnsi="Arial Narrow" w:cs="Times New Roman"/>
                <w:b/>
                <w:bCs/>
                <w:sz w:val="20"/>
                <w:szCs w:val="20"/>
                <w:lang w:eastAsia="en-US"/>
              </w:rPr>
              <w:t>Adalimumab trials</w:t>
            </w:r>
          </w:p>
        </w:tc>
      </w:tr>
      <w:tr w:rsidR="002E6474" w:rsidRPr="002D4988" w:rsidTr="00DB2826">
        <w:trPr>
          <w:trHeight w:val="620"/>
        </w:trPr>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ULTRA 1</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 xml:space="preserve">Reinisch W, Sandborn WJ, Hommes DW, </w:t>
            </w:r>
            <w:r w:rsidRPr="002D4988">
              <w:rPr>
                <w:rFonts w:ascii="Arial Narrow" w:hAnsi="Arial Narrow" w:cs="Times New Roman"/>
                <w:i/>
                <w:sz w:val="20"/>
                <w:szCs w:val="20"/>
                <w:lang w:eastAsia="en-US"/>
              </w:rPr>
              <w:t>et al</w:t>
            </w:r>
            <w:r w:rsidRPr="002D4988">
              <w:rPr>
                <w:rFonts w:ascii="Arial Narrow" w:hAnsi="Arial Narrow" w:cs="Times New Roman"/>
                <w:sz w:val="20"/>
                <w:szCs w:val="20"/>
                <w:lang w:eastAsia="en-US"/>
              </w:rPr>
              <w:t>. Adalimumab for induction of clinical remission in moderately to severely active UC: results of a randomised controlled trial.</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i/>
                <w:sz w:val="20"/>
                <w:szCs w:val="20"/>
                <w:lang w:eastAsia="en-US"/>
              </w:rPr>
              <w:t>Gut</w:t>
            </w:r>
            <w:r w:rsidRPr="002D4988">
              <w:rPr>
                <w:rFonts w:ascii="Arial Narrow" w:hAnsi="Arial Narrow" w:cs="Times New Roman"/>
                <w:sz w:val="20"/>
                <w:szCs w:val="20"/>
                <w:lang w:eastAsia="en-US"/>
              </w:rPr>
              <w:t>. 2011;60(6):780-787</w:t>
            </w:r>
          </w:p>
        </w:tc>
      </w:tr>
      <w:tr w:rsidR="002E6474" w:rsidRPr="002D4988" w:rsidTr="00DB2826">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ULTRA 2</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 xml:space="preserve">Sandborn WJ, van Assche G, Reinisch W, et al. Adalimumab induces and maintains clinical remission in patients with moderate to severe UC. </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i/>
                <w:sz w:val="20"/>
                <w:szCs w:val="20"/>
                <w:lang w:eastAsia="en-US"/>
              </w:rPr>
              <w:t>Gastroenterology</w:t>
            </w:r>
            <w:r w:rsidRPr="002D4988">
              <w:rPr>
                <w:rFonts w:ascii="Arial Narrow" w:hAnsi="Arial Narrow" w:cs="Times New Roman"/>
                <w:sz w:val="20"/>
                <w:szCs w:val="20"/>
                <w:lang w:eastAsia="en-US"/>
              </w:rPr>
              <w:t>. 2012;142(2):257-65[e1-3]</w:t>
            </w:r>
          </w:p>
        </w:tc>
      </w:tr>
      <w:tr w:rsidR="002E6474" w:rsidRPr="002D4988" w:rsidTr="00DB2826">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iCs/>
                <w:sz w:val="20"/>
                <w:szCs w:val="20"/>
                <w:lang w:eastAsia="en-US"/>
              </w:rPr>
            </w:pPr>
            <w:r w:rsidRPr="002D4988">
              <w:rPr>
                <w:rFonts w:ascii="Arial Narrow" w:hAnsi="Arial Narrow" w:cs="Times New Roman"/>
                <w:iCs/>
                <w:sz w:val="20"/>
                <w:szCs w:val="20"/>
                <w:lang w:eastAsia="en-US"/>
              </w:rPr>
              <w:t>Suzuki 2014</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iCs/>
                <w:sz w:val="20"/>
                <w:szCs w:val="20"/>
                <w:lang w:eastAsia="en-US"/>
              </w:rPr>
            </w:pPr>
            <w:r w:rsidRPr="002D4988">
              <w:rPr>
                <w:rFonts w:ascii="Arial Narrow" w:hAnsi="Arial Narrow" w:cs="Times New Roman"/>
                <w:iCs/>
                <w:sz w:val="20"/>
                <w:szCs w:val="20"/>
                <w:lang w:eastAsia="en-US"/>
              </w:rPr>
              <w:t xml:space="preserve">Suzuki Y, Motoya S, Hanai H, et al. Efficacy and safety of adalimumab in Japanese patients with moderately to severely active ulcerative colitis. </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iCs/>
                <w:sz w:val="20"/>
                <w:szCs w:val="20"/>
                <w:lang w:eastAsia="en-US"/>
              </w:rPr>
            </w:pPr>
            <w:r w:rsidRPr="002D4988">
              <w:rPr>
                <w:rFonts w:ascii="Arial Narrow" w:hAnsi="Arial Narrow" w:cs="Times New Roman"/>
                <w:i/>
                <w:iCs/>
                <w:sz w:val="20"/>
                <w:szCs w:val="20"/>
                <w:lang w:eastAsia="en-US"/>
              </w:rPr>
              <w:t>J Gastroenterol</w:t>
            </w:r>
            <w:r w:rsidRPr="002D4988">
              <w:rPr>
                <w:rFonts w:ascii="Arial Narrow" w:hAnsi="Arial Narrow" w:cs="Times New Roman"/>
                <w:iCs/>
                <w:sz w:val="20"/>
                <w:szCs w:val="20"/>
                <w:lang w:eastAsia="en-US"/>
              </w:rPr>
              <w:t>. 2014; 49:283-294.</w:t>
            </w:r>
          </w:p>
        </w:tc>
      </w:tr>
      <w:tr w:rsidR="002E6474" w:rsidRPr="002D4988" w:rsidTr="00DB2826">
        <w:tc>
          <w:tcPr>
            <w:tcW w:w="5000" w:type="pct"/>
            <w:gridSpan w:val="3"/>
            <w:shd w:val="clear" w:color="auto" w:fill="DBE5F1" w:themeFill="accent1" w:themeFillTint="33"/>
            <w:vAlign w:val="center"/>
          </w:tcPr>
          <w:p w:rsidR="002E6474" w:rsidRPr="002D4988" w:rsidRDefault="002E6474" w:rsidP="002E6474">
            <w:pPr>
              <w:jc w:val="left"/>
              <w:rPr>
                <w:rFonts w:ascii="Arial Narrow" w:hAnsi="Arial Narrow" w:cs="Times New Roman"/>
                <w:b/>
                <w:sz w:val="20"/>
                <w:szCs w:val="20"/>
                <w:lang w:eastAsia="en-US"/>
              </w:rPr>
            </w:pPr>
            <w:r w:rsidRPr="002D4988">
              <w:rPr>
                <w:rFonts w:ascii="Arial Narrow" w:hAnsi="Arial Narrow" w:cs="Times New Roman"/>
                <w:b/>
                <w:sz w:val="20"/>
                <w:szCs w:val="20"/>
                <w:lang w:eastAsia="en-US"/>
              </w:rPr>
              <w:t>Golimumab trials</w:t>
            </w:r>
          </w:p>
        </w:tc>
      </w:tr>
      <w:tr w:rsidR="002E6474" w:rsidRPr="002D4988" w:rsidTr="00DB2826">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PURSUIT SC</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Sandborn WJ, Feagan BG, Marano C, et al. Subcutaneous golimumab induces clinical response and remission in patients with moderate-to-severe ulcerative colitis</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i/>
                <w:sz w:val="20"/>
                <w:szCs w:val="20"/>
                <w:lang w:eastAsia="en-US"/>
              </w:rPr>
              <w:t>Gastroenterology</w:t>
            </w:r>
            <w:r w:rsidRPr="002D4988">
              <w:rPr>
                <w:rFonts w:ascii="Arial Narrow" w:hAnsi="Arial Narrow" w:cs="Times New Roman"/>
                <w:sz w:val="20"/>
                <w:szCs w:val="20"/>
                <w:lang w:eastAsia="en-US"/>
              </w:rPr>
              <w:t>. 2014,146(1):85-95</w:t>
            </w:r>
          </w:p>
        </w:tc>
      </w:tr>
      <w:tr w:rsidR="002E6474" w:rsidRPr="002D4988" w:rsidTr="00DB2826">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PURSUIT M</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 xml:space="preserve">Sandborn WJ, Feagan BG, Marano C, et al. Subcutaneous golimumab maintains clinical response in patients with moderate-to-severe ulcerative colitis. </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i/>
                <w:sz w:val="20"/>
                <w:szCs w:val="20"/>
                <w:lang w:eastAsia="en-US"/>
              </w:rPr>
              <w:t>Gastroenterology</w:t>
            </w:r>
            <w:r w:rsidRPr="002D4988">
              <w:rPr>
                <w:rFonts w:ascii="Arial Narrow" w:hAnsi="Arial Narrow" w:cs="Times New Roman"/>
                <w:sz w:val="20"/>
                <w:szCs w:val="20"/>
                <w:lang w:eastAsia="en-US"/>
              </w:rPr>
              <w:t xml:space="preserve">. 2014,146(1):96-109 </w:t>
            </w:r>
          </w:p>
        </w:tc>
      </w:tr>
      <w:tr w:rsidR="002E6474" w:rsidRPr="002D4988" w:rsidTr="00DB2826">
        <w:tc>
          <w:tcPr>
            <w:tcW w:w="753" w:type="pct"/>
            <w:shd w:val="clear" w:color="auto" w:fill="DBE5F1" w:themeFill="accent1" w:themeFillTint="33"/>
            <w:vAlign w:val="center"/>
          </w:tcPr>
          <w:p w:rsidR="002E6474" w:rsidRPr="002D4988" w:rsidRDefault="002E6474" w:rsidP="002E6474">
            <w:pPr>
              <w:jc w:val="left"/>
              <w:rPr>
                <w:rFonts w:ascii="Arial Narrow" w:hAnsi="Arial Narrow" w:cs="Times New Roman"/>
                <w:iCs/>
                <w:sz w:val="20"/>
                <w:szCs w:val="20"/>
                <w:lang w:eastAsia="en-US"/>
              </w:rPr>
            </w:pPr>
            <w:r w:rsidRPr="002D4988">
              <w:rPr>
                <w:rFonts w:ascii="Arial Narrow" w:hAnsi="Arial Narrow" w:cs="Times New Roman"/>
                <w:iCs/>
                <w:sz w:val="20"/>
                <w:szCs w:val="20"/>
                <w:lang w:eastAsia="en-US"/>
              </w:rPr>
              <w:t>PURSUIT J</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iCs/>
                <w:sz w:val="20"/>
                <w:szCs w:val="20"/>
                <w:lang w:eastAsia="en-US"/>
              </w:rPr>
            </w:pPr>
            <w:r w:rsidRPr="002D4988">
              <w:rPr>
                <w:rFonts w:ascii="Arial Narrow" w:hAnsi="Arial Narrow" w:cs="Times New Roman"/>
                <w:iCs/>
                <w:sz w:val="20"/>
                <w:szCs w:val="20"/>
                <w:lang w:eastAsia="en-US"/>
              </w:rPr>
              <w:t xml:space="preserve">Hibi T, Imai Y, Senoo A, Ohta K and Ukyo Y. Efficacy and safety of golimumab 52-week maintenance therapy in Japanese patients with moderate to severely active ulcerative colitis: a phase 3, double-blind, randomized, placebo-controlled study-(PURSUIT-J study). </w:t>
            </w:r>
          </w:p>
        </w:tc>
        <w:tc>
          <w:tcPr>
            <w:tcW w:w="1153" w:type="pct"/>
            <w:shd w:val="clear" w:color="auto" w:fill="DBE5F1" w:themeFill="accent1" w:themeFillTint="33"/>
            <w:vAlign w:val="center"/>
          </w:tcPr>
          <w:p w:rsidR="002E6474" w:rsidRPr="002D4988" w:rsidRDefault="004A2ED4" w:rsidP="002E6474">
            <w:pPr>
              <w:jc w:val="left"/>
              <w:rPr>
                <w:rFonts w:ascii="Arial Narrow" w:hAnsi="Arial Narrow" w:cs="Times New Roman"/>
                <w:iCs/>
                <w:sz w:val="20"/>
                <w:szCs w:val="20"/>
                <w:lang w:eastAsia="en-US"/>
              </w:rPr>
            </w:pPr>
            <w:r w:rsidRPr="002D4988">
              <w:rPr>
                <w:rFonts w:ascii="Arial Narrow" w:hAnsi="Arial Narrow" w:cs="Times New Roman"/>
                <w:i/>
                <w:iCs/>
                <w:sz w:val="20"/>
                <w:szCs w:val="20"/>
                <w:lang w:eastAsia="en-US"/>
              </w:rPr>
              <w:t>J Gastroenterol</w:t>
            </w:r>
            <w:r w:rsidR="002E6474" w:rsidRPr="002D4988">
              <w:rPr>
                <w:rFonts w:ascii="Arial Narrow" w:hAnsi="Arial Narrow" w:cs="Times New Roman"/>
                <w:iCs/>
                <w:sz w:val="20"/>
                <w:szCs w:val="20"/>
                <w:lang w:eastAsia="en-US"/>
              </w:rPr>
              <w:t>.2017: 52(10):1101-1111</w:t>
            </w:r>
          </w:p>
        </w:tc>
      </w:tr>
      <w:tr w:rsidR="002E6474" w:rsidRPr="002D4988" w:rsidTr="00915FCC">
        <w:tc>
          <w:tcPr>
            <w:tcW w:w="5000" w:type="pct"/>
            <w:gridSpan w:val="3"/>
            <w:vAlign w:val="center"/>
          </w:tcPr>
          <w:p w:rsidR="002E6474" w:rsidRPr="002D4988" w:rsidRDefault="002E6474" w:rsidP="002E6474">
            <w:pPr>
              <w:jc w:val="left"/>
              <w:rPr>
                <w:rFonts w:ascii="Arial Narrow" w:hAnsi="Arial Narrow" w:cs="Times New Roman"/>
                <w:b/>
                <w:bCs/>
                <w:sz w:val="20"/>
                <w:szCs w:val="20"/>
                <w:lang w:eastAsia="en-US"/>
              </w:rPr>
            </w:pPr>
            <w:r w:rsidRPr="002D4988">
              <w:rPr>
                <w:rFonts w:ascii="Arial Narrow" w:hAnsi="Arial Narrow" w:cs="Times New Roman"/>
                <w:b/>
                <w:bCs/>
                <w:sz w:val="20"/>
                <w:szCs w:val="20"/>
                <w:lang w:eastAsia="en-US"/>
              </w:rPr>
              <w:t>Vedolizumab trial</w:t>
            </w:r>
            <w:r w:rsidR="00DB2826" w:rsidRPr="002D4988">
              <w:rPr>
                <w:rFonts w:ascii="Arial Narrow" w:hAnsi="Arial Narrow" w:cs="Times New Roman"/>
                <w:b/>
                <w:bCs/>
                <w:sz w:val="20"/>
                <w:szCs w:val="20"/>
                <w:lang w:eastAsia="en-US"/>
              </w:rPr>
              <w:t>s</w:t>
            </w:r>
          </w:p>
        </w:tc>
      </w:tr>
      <w:tr w:rsidR="002E6474" w:rsidRPr="002D4988" w:rsidTr="00DB2826">
        <w:tc>
          <w:tcPr>
            <w:tcW w:w="753" w:type="pct"/>
            <w:vMerge w:val="restar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GEMINI 1</w:t>
            </w: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 xml:space="preserve">Feagan B, Rutgeerts P, Sands B, et al. Vedolizumab as induction and maintenance therapy for ulcerative colitis. </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r w:rsidRPr="002D4988">
              <w:rPr>
                <w:rFonts w:ascii="Arial Narrow" w:hAnsi="Arial Narrow" w:cs="Times New Roman"/>
                <w:i/>
                <w:sz w:val="20"/>
                <w:szCs w:val="20"/>
                <w:lang w:eastAsia="en-US"/>
              </w:rPr>
              <w:t xml:space="preserve">N Engl J </w:t>
            </w:r>
            <w:r w:rsidR="004A2ED4" w:rsidRPr="002D4988">
              <w:rPr>
                <w:rFonts w:ascii="Arial Narrow" w:hAnsi="Arial Narrow" w:cs="Times New Roman"/>
                <w:i/>
                <w:sz w:val="20"/>
                <w:szCs w:val="20"/>
                <w:lang w:eastAsia="en-US"/>
              </w:rPr>
              <w:t>M</w:t>
            </w:r>
            <w:r w:rsidRPr="002D4988">
              <w:rPr>
                <w:rFonts w:ascii="Arial Narrow" w:hAnsi="Arial Narrow" w:cs="Times New Roman"/>
                <w:i/>
                <w:sz w:val="20"/>
                <w:szCs w:val="20"/>
                <w:lang w:eastAsia="en-US"/>
              </w:rPr>
              <w:t>ed</w:t>
            </w:r>
            <w:r w:rsidRPr="002D4988">
              <w:rPr>
                <w:rFonts w:ascii="Arial Narrow" w:hAnsi="Arial Narrow" w:cs="Times New Roman"/>
                <w:sz w:val="20"/>
                <w:szCs w:val="20"/>
                <w:lang w:eastAsia="en-US"/>
              </w:rPr>
              <w:t>. 2013; 369(8):699-710.</w:t>
            </w:r>
          </w:p>
        </w:tc>
      </w:tr>
      <w:tr w:rsidR="002E6474" w:rsidRPr="002D4988" w:rsidTr="00DB2826">
        <w:tc>
          <w:tcPr>
            <w:tcW w:w="753" w:type="pct"/>
            <w:vMerge/>
            <w:shd w:val="clear" w:color="auto" w:fill="DBE5F1" w:themeFill="accent1" w:themeFillTint="33"/>
            <w:vAlign w:val="center"/>
          </w:tcPr>
          <w:p w:rsidR="002E6474" w:rsidRPr="002D4988" w:rsidRDefault="002E6474" w:rsidP="002E6474">
            <w:pPr>
              <w:jc w:val="left"/>
              <w:rPr>
                <w:rFonts w:ascii="Arial Narrow" w:hAnsi="Arial Narrow" w:cs="Times New Roman"/>
                <w:sz w:val="20"/>
                <w:szCs w:val="20"/>
                <w:lang w:eastAsia="en-US"/>
              </w:rPr>
            </w:pPr>
          </w:p>
        </w:tc>
        <w:tc>
          <w:tcPr>
            <w:tcW w:w="3094" w:type="pct"/>
            <w:shd w:val="clear" w:color="auto" w:fill="DBE5F1" w:themeFill="accent1" w:themeFillTint="33"/>
            <w:vAlign w:val="center"/>
          </w:tcPr>
          <w:p w:rsidR="002E6474" w:rsidRPr="002D4988" w:rsidRDefault="002E6474" w:rsidP="002E6474">
            <w:pPr>
              <w:jc w:val="left"/>
              <w:rPr>
                <w:rFonts w:ascii="Arial Narrow" w:hAnsi="Arial Narrow" w:cs="Times New Roman"/>
                <w:iCs/>
                <w:sz w:val="20"/>
                <w:szCs w:val="20"/>
                <w:lang w:eastAsia="en-US"/>
              </w:rPr>
            </w:pPr>
            <w:r w:rsidRPr="002D4988">
              <w:rPr>
                <w:rFonts w:ascii="Arial Narrow" w:hAnsi="Arial Narrow" w:cs="Times New Roman"/>
                <w:iCs/>
                <w:sz w:val="20"/>
                <w:szCs w:val="20"/>
                <w:lang w:eastAsia="en-US"/>
              </w:rPr>
              <w:t xml:space="preserve">Feagan BG, Rubin DT, Danese S, Vermeire S, Abhyankar B, Sankoh S, James A, Smyth M. Efficacy of Vedolizumab Induction and Maintenance Therapy in Patients With Ulcerative Colitis, Regardless of Prior Exposure to Tumor Necrosis Factor Antagonists. </w:t>
            </w:r>
          </w:p>
        </w:tc>
        <w:tc>
          <w:tcPr>
            <w:tcW w:w="1153" w:type="pct"/>
            <w:shd w:val="clear" w:color="auto" w:fill="DBE5F1" w:themeFill="accent1" w:themeFillTint="33"/>
            <w:vAlign w:val="center"/>
          </w:tcPr>
          <w:p w:rsidR="002E6474" w:rsidRPr="002D4988" w:rsidRDefault="002E6474" w:rsidP="002E6474">
            <w:pPr>
              <w:jc w:val="left"/>
              <w:rPr>
                <w:rFonts w:ascii="Arial Narrow" w:hAnsi="Arial Narrow" w:cs="Times New Roman"/>
                <w:iCs/>
                <w:sz w:val="20"/>
                <w:szCs w:val="20"/>
                <w:lang w:eastAsia="en-US"/>
              </w:rPr>
            </w:pPr>
            <w:r w:rsidRPr="002D4988">
              <w:rPr>
                <w:rFonts w:ascii="Arial Narrow" w:hAnsi="Arial Narrow" w:cs="Times New Roman"/>
                <w:i/>
                <w:iCs/>
                <w:sz w:val="20"/>
                <w:szCs w:val="20"/>
                <w:lang w:eastAsia="en-US"/>
              </w:rPr>
              <w:t>Clin Gastroenterol Hepatol</w:t>
            </w:r>
            <w:r w:rsidRPr="002D4988">
              <w:rPr>
                <w:rFonts w:ascii="Arial Narrow" w:hAnsi="Arial Narrow" w:cs="Times New Roman"/>
                <w:iCs/>
                <w:sz w:val="20"/>
                <w:szCs w:val="20"/>
                <w:lang w:eastAsia="en-US"/>
              </w:rPr>
              <w:t xml:space="preserve">. 2017 Feb;15(2):229-239.e5. </w:t>
            </w:r>
          </w:p>
        </w:tc>
      </w:tr>
      <w:tr w:rsidR="00D15F29" w:rsidRPr="002D4988" w:rsidTr="00D15F29">
        <w:tc>
          <w:tcPr>
            <w:tcW w:w="753" w:type="pct"/>
            <w:vAlign w:val="center"/>
          </w:tcPr>
          <w:p w:rsidR="00D15F29" w:rsidRPr="002D4988" w:rsidRDefault="00D15F29" w:rsidP="00D15F29">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Motoya 2019</w:t>
            </w:r>
          </w:p>
        </w:tc>
        <w:tc>
          <w:tcPr>
            <w:tcW w:w="3094" w:type="pct"/>
            <w:vAlign w:val="center"/>
          </w:tcPr>
          <w:p w:rsidR="00D15F29" w:rsidRPr="002D4988" w:rsidRDefault="00D15F29" w:rsidP="00D15F29">
            <w:pPr>
              <w:jc w:val="left"/>
              <w:rPr>
                <w:rFonts w:ascii="Arial Narrow" w:hAnsi="Arial Narrow" w:cs="Times New Roman"/>
                <w:i/>
                <w:iCs/>
                <w:sz w:val="20"/>
                <w:szCs w:val="20"/>
                <w:lang w:eastAsia="en-US"/>
              </w:rPr>
            </w:pPr>
            <w:r w:rsidRPr="002D4988">
              <w:rPr>
                <w:rFonts w:ascii="Arial Narrow" w:hAnsi="Arial Narrow" w:cs="Times New Roman"/>
                <w:bCs/>
                <w:iCs/>
                <w:sz w:val="20"/>
                <w:szCs w:val="20"/>
                <w:lang w:eastAsia="en-US"/>
              </w:rPr>
              <w:t>Motoya S, Watanabe K, Ogata H, et al. Vedolizumab in Japanese patients with ulcerative colitis: A phase 3, randomized, double-blind, placebo-controlled study.</w:t>
            </w:r>
          </w:p>
        </w:tc>
        <w:tc>
          <w:tcPr>
            <w:tcW w:w="1153" w:type="pct"/>
            <w:vAlign w:val="center"/>
          </w:tcPr>
          <w:p w:rsidR="00D15F29" w:rsidRPr="002D4988" w:rsidRDefault="00D15F29" w:rsidP="00D15F29">
            <w:pPr>
              <w:jc w:val="left"/>
              <w:rPr>
                <w:rFonts w:ascii="Arial Narrow" w:hAnsi="Arial Narrow" w:cs="Times New Roman"/>
                <w:i/>
                <w:iCs/>
                <w:sz w:val="20"/>
                <w:szCs w:val="20"/>
                <w:lang w:eastAsia="en-US"/>
              </w:rPr>
            </w:pPr>
            <w:r w:rsidRPr="002D4988">
              <w:rPr>
                <w:rFonts w:ascii="Arial Narrow" w:hAnsi="Arial Narrow" w:cs="Times New Roman"/>
                <w:bCs/>
                <w:i/>
                <w:iCs/>
                <w:sz w:val="20"/>
                <w:szCs w:val="20"/>
                <w:lang w:eastAsia="en-US"/>
              </w:rPr>
              <w:t>PLOS ONE</w:t>
            </w:r>
            <w:r w:rsidRPr="002D4988">
              <w:rPr>
                <w:rFonts w:ascii="Arial Narrow" w:hAnsi="Arial Narrow" w:cs="Times New Roman"/>
                <w:bCs/>
                <w:iCs/>
                <w:sz w:val="20"/>
                <w:szCs w:val="20"/>
                <w:lang w:eastAsia="en-US"/>
              </w:rPr>
              <w:t xml:space="preserve"> February 2019; 14(2):</w:t>
            </w:r>
            <w:r w:rsidRPr="002D4988">
              <w:rPr>
                <w:rFonts w:ascii="Arial Narrow" w:hAnsi="Arial Narrow"/>
                <w:sz w:val="20"/>
                <w:szCs w:val="20"/>
              </w:rPr>
              <w:t xml:space="preserve"> e0212989.</w:t>
            </w:r>
          </w:p>
        </w:tc>
      </w:tr>
      <w:tr w:rsidR="00D15F29" w:rsidRPr="002D4988" w:rsidTr="00D15F29">
        <w:tc>
          <w:tcPr>
            <w:tcW w:w="753" w:type="pct"/>
            <w:vAlign w:val="center"/>
          </w:tcPr>
          <w:p w:rsidR="00D15F29" w:rsidRPr="002D4988" w:rsidRDefault="00D15F29" w:rsidP="00D15F29">
            <w:pPr>
              <w:jc w:val="left"/>
              <w:rPr>
                <w:rFonts w:ascii="Arial Narrow" w:hAnsi="Arial Narrow" w:cs="Times New Roman"/>
                <w:sz w:val="20"/>
                <w:szCs w:val="20"/>
                <w:lang w:eastAsia="en-US"/>
              </w:rPr>
            </w:pPr>
            <w:r w:rsidRPr="002D4988">
              <w:rPr>
                <w:rFonts w:ascii="Arial Narrow" w:hAnsi="Arial Narrow" w:cs="Times New Roman"/>
                <w:sz w:val="20"/>
                <w:szCs w:val="20"/>
                <w:lang w:eastAsia="en-US"/>
              </w:rPr>
              <w:t>Sandborn 2020</w:t>
            </w:r>
          </w:p>
        </w:tc>
        <w:tc>
          <w:tcPr>
            <w:tcW w:w="3094" w:type="pct"/>
            <w:vAlign w:val="center"/>
          </w:tcPr>
          <w:p w:rsidR="00D15F29" w:rsidRPr="002D4988" w:rsidRDefault="00D15F29" w:rsidP="00D15F29">
            <w:pPr>
              <w:jc w:val="left"/>
              <w:rPr>
                <w:rFonts w:ascii="Arial Narrow" w:hAnsi="Arial Narrow" w:cs="Times New Roman"/>
                <w:i/>
                <w:iCs/>
                <w:sz w:val="20"/>
                <w:szCs w:val="20"/>
                <w:lang w:eastAsia="en-US"/>
              </w:rPr>
            </w:pPr>
            <w:r w:rsidRPr="002D4988">
              <w:rPr>
                <w:rFonts w:ascii="Arial Narrow" w:hAnsi="Arial Narrow" w:cs="Times New Roman"/>
                <w:bCs/>
                <w:iCs/>
                <w:sz w:val="20"/>
                <w:szCs w:val="20"/>
                <w:lang w:eastAsia="en-US"/>
              </w:rPr>
              <w:t>Sandborn W, Baert F, Danese S, et al. Efficacy and safety of vedolizumab subcutaneous formulation in a randomized trial of patients with ulcerative colitis.</w:t>
            </w:r>
          </w:p>
        </w:tc>
        <w:tc>
          <w:tcPr>
            <w:tcW w:w="1153" w:type="pct"/>
            <w:vAlign w:val="center"/>
          </w:tcPr>
          <w:p w:rsidR="00D15F29" w:rsidRPr="002D4988" w:rsidRDefault="00D15F29" w:rsidP="00D15F29">
            <w:pPr>
              <w:jc w:val="left"/>
              <w:rPr>
                <w:rFonts w:ascii="Arial Narrow" w:hAnsi="Arial Narrow" w:cs="Times New Roman"/>
                <w:i/>
                <w:iCs/>
                <w:sz w:val="20"/>
                <w:szCs w:val="20"/>
                <w:lang w:eastAsia="en-US"/>
              </w:rPr>
            </w:pPr>
            <w:r w:rsidRPr="002D4988">
              <w:rPr>
                <w:rFonts w:ascii="Arial Narrow" w:hAnsi="Arial Narrow" w:cs="Times New Roman"/>
                <w:bCs/>
                <w:i/>
                <w:iCs/>
                <w:sz w:val="20"/>
                <w:szCs w:val="20"/>
                <w:lang w:eastAsia="en-US"/>
              </w:rPr>
              <w:t xml:space="preserve">Gastroenterology </w:t>
            </w:r>
            <w:r w:rsidRPr="002D4988">
              <w:rPr>
                <w:rFonts w:ascii="Arial Narrow" w:hAnsi="Arial Narrow" w:cs="Times New Roman"/>
                <w:bCs/>
                <w:iCs/>
                <w:sz w:val="20"/>
                <w:szCs w:val="20"/>
                <w:lang w:eastAsia="en-US"/>
              </w:rPr>
              <w:t>2020; 158: 562-572.</w:t>
            </w:r>
          </w:p>
        </w:tc>
      </w:tr>
    </w:tbl>
    <w:p w:rsidR="00D15F29" w:rsidRPr="002D4988" w:rsidRDefault="00D15F29" w:rsidP="00D15F29">
      <w:pPr>
        <w:rPr>
          <w:rFonts w:ascii="Arial Narrow" w:eastAsiaTheme="minorEastAsia" w:hAnsi="Arial Narrow"/>
          <w:snapToGrid w:val="0"/>
          <w:sz w:val="18"/>
          <w:szCs w:val="22"/>
          <w:lang w:eastAsia="en-US"/>
        </w:rPr>
      </w:pPr>
      <w:r w:rsidRPr="002D4988">
        <w:rPr>
          <w:rFonts w:ascii="Arial Narrow" w:eastAsiaTheme="minorEastAsia" w:hAnsi="Arial Narrow"/>
          <w:snapToGrid w:val="0"/>
          <w:sz w:val="18"/>
          <w:szCs w:val="22"/>
          <w:lang w:eastAsia="en-US"/>
        </w:rPr>
        <w:t>Source: Table 2.2.1-2.2.5, pp. 25-30 of the resubmission.</w:t>
      </w:r>
    </w:p>
    <w:p w:rsidR="002E6474" w:rsidRPr="002D4988" w:rsidRDefault="00FD411D" w:rsidP="00EC5836">
      <w:pPr>
        <w:pStyle w:val="TableFigureFooter"/>
        <w:rPr>
          <w:lang w:eastAsia="en-US"/>
        </w:rPr>
      </w:pPr>
      <w:r w:rsidRPr="002D4988">
        <w:rPr>
          <w:shd w:val="clear" w:color="auto" w:fill="DBE5F1" w:themeFill="accent1" w:themeFillTint="33"/>
          <w:lang w:eastAsia="en-US"/>
        </w:rPr>
        <w:t>Shaded</w:t>
      </w:r>
      <w:r w:rsidRPr="002D4988">
        <w:rPr>
          <w:lang w:eastAsia="en-US"/>
        </w:rPr>
        <w:t xml:space="preserve"> areas indicate da</w:t>
      </w:r>
      <w:r w:rsidR="002C30E0" w:rsidRPr="002D4988">
        <w:rPr>
          <w:lang w:eastAsia="en-US"/>
        </w:rPr>
        <w:t>ta previously seen by the PBAC.</w:t>
      </w:r>
    </w:p>
    <w:p w:rsidR="00483290" w:rsidRPr="002D4988" w:rsidRDefault="008F120A" w:rsidP="00E143D9">
      <w:pPr>
        <w:pStyle w:val="3-BodyText"/>
        <w:rPr>
          <w:rFonts w:ascii="Arial Narrow" w:eastAsiaTheme="minorEastAsia" w:hAnsi="Arial Narrow"/>
          <w:b/>
          <w:sz w:val="20"/>
          <w:szCs w:val="16"/>
          <w:lang w:eastAsia="en-US"/>
        </w:rPr>
      </w:pPr>
      <w:r w:rsidRPr="002D4988">
        <w:t xml:space="preserve">The key features of the </w:t>
      </w:r>
      <w:r w:rsidR="00483290" w:rsidRPr="002D4988">
        <w:t>trials</w:t>
      </w:r>
      <w:r w:rsidRPr="002D4988">
        <w:t xml:space="preserve"> are summarised in </w:t>
      </w:r>
      <w:r w:rsidR="001D31B2" w:rsidRPr="002D4988">
        <w:t>Table 4</w:t>
      </w:r>
      <w:r w:rsidRPr="002D4988">
        <w:t>.</w:t>
      </w:r>
      <w:r w:rsidR="00BC591F" w:rsidRPr="002D4988">
        <w:t xml:space="preserve"> </w:t>
      </w:r>
    </w:p>
    <w:p w:rsidR="00483290" w:rsidRPr="002D4988" w:rsidRDefault="00483290" w:rsidP="00E143D9">
      <w:pPr>
        <w:pStyle w:val="3-BodyText"/>
        <w:numPr>
          <w:ilvl w:val="0"/>
          <w:numId w:val="0"/>
        </w:numPr>
        <w:rPr>
          <w:rStyle w:val="CommentReference"/>
          <w:rFonts w:eastAsiaTheme="minorEastAsia"/>
        </w:rPr>
      </w:pPr>
      <w:r w:rsidRPr="002D4988">
        <w:rPr>
          <w:rStyle w:val="CommentReference"/>
          <w:rFonts w:eastAsiaTheme="minorEastAsia"/>
        </w:rPr>
        <w:t xml:space="preserve">Table </w:t>
      </w:r>
      <w:r w:rsidR="00BC0889" w:rsidRPr="002D4988">
        <w:rPr>
          <w:rStyle w:val="CommentReference"/>
          <w:rFonts w:eastAsiaTheme="minorEastAsia"/>
        </w:rPr>
        <w:t>4</w:t>
      </w:r>
      <w:r w:rsidR="0070069D" w:rsidRPr="002D4988">
        <w:rPr>
          <w:rStyle w:val="CommentReference"/>
          <w:rFonts w:eastAsiaTheme="minorEastAsia"/>
        </w:rPr>
        <w:t>:</w:t>
      </w:r>
      <w:r w:rsidRPr="002D4988">
        <w:rPr>
          <w:rStyle w:val="CommentReference"/>
          <w:rFonts w:eastAsiaTheme="minorEastAsia"/>
        </w:rPr>
        <w:t xml:space="preserve"> Key features of the included evidence</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3"/>
        <w:gridCol w:w="571"/>
        <w:gridCol w:w="2123"/>
        <w:gridCol w:w="851"/>
        <w:gridCol w:w="1276"/>
        <w:gridCol w:w="3119"/>
      </w:tblGrid>
      <w:tr w:rsidR="00483290" w:rsidRPr="002D4988" w:rsidTr="00915FCC">
        <w:trPr>
          <w:tblHeader/>
        </w:trPr>
        <w:tc>
          <w:tcPr>
            <w:tcW w:w="818" w:type="pct"/>
            <w:shd w:val="clear" w:color="auto" w:fill="auto"/>
            <w:vAlign w:val="center"/>
          </w:tcPr>
          <w:p w:rsidR="00483290" w:rsidRPr="002D4988" w:rsidRDefault="00483290" w:rsidP="00915FCC">
            <w:pPr>
              <w:jc w:val="left"/>
              <w:rPr>
                <w:rFonts w:ascii="Arial Narrow" w:eastAsiaTheme="minorEastAsia" w:hAnsi="Arial Narrow" w:cs="Times New Roman"/>
                <w:b/>
                <w:sz w:val="18"/>
                <w:szCs w:val="22"/>
                <w:lang w:eastAsia="en-US"/>
              </w:rPr>
            </w:pPr>
            <w:r w:rsidRPr="002D4988">
              <w:rPr>
                <w:rFonts w:ascii="Arial Narrow" w:eastAsiaTheme="minorEastAsia" w:hAnsi="Arial Narrow" w:cs="Times New Roman"/>
                <w:b/>
                <w:sz w:val="18"/>
                <w:szCs w:val="22"/>
                <w:lang w:eastAsia="en-US"/>
              </w:rPr>
              <w:lastRenderedPageBreak/>
              <w:t>Trial</w:t>
            </w:r>
          </w:p>
        </w:tc>
        <w:tc>
          <w:tcPr>
            <w:tcW w:w="301" w:type="pct"/>
            <w:shd w:val="clear" w:color="auto" w:fill="auto"/>
            <w:vAlign w:val="center"/>
          </w:tcPr>
          <w:p w:rsidR="00483290" w:rsidRPr="002D4988" w:rsidRDefault="00483290" w:rsidP="00915FCC">
            <w:pPr>
              <w:jc w:val="center"/>
              <w:rPr>
                <w:rFonts w:ascii="Arial Narrow" w:eastAsiaTheme="minorEastAsia" w:hAnsi="Arial Narrow" w:cs="Times New Roman"/>
                <w:b/>
                <w:sz w:val="18"/>
                <w:szCs w:val="22"/>
                <w:lang w:eastAsia="en-US"/>
              </w:rPr>
            </w:pPr>
            <w:r w:rsidRPr="002D4988">
              <w:rPr>
                <w:rFonts w:ascii="Arial Narrow" w:eastAsiaTheme="minorEastAsia" w:hAnsi="Arial Narrow" w:cs="Times New Roman"/>
                <w:b/>
                <w:sz w:val="18"/>
                <w:szCs w:val="22"/>
                <w:lang w:eastAsia="en-US"/>
              </w:rPr>
              <w:t>N</w:t>
            </w:r>
          </w:p>
        </w:tc>
        <w:tc>
          <w:tcPr>
            <w:tcW w:w="1118" w:type="pct"/>
            <w:shd w:val="clear" w:color="auto" w:fill="auto"/>
            <w:vAlign w:val="center"/>
          </w:tcPr>
          <w:p w:rsidR="00483290" w:rsidRPr="002D4988" w:rsidRDefault="00483290" w:rsidP="00915FCC">
            <w:pPr>
              <w:jc w:val="center"/>
              <w:rPr>
                <w:rFonts w:ascii="Arial Narrow" w:eastAsiaTheme="minorEastAsia" w:hAnsi="Arial Narrow" w:cs="Times New Roman"/>
                <w:b/>
                <w:sz w:val="18"/>
                <w:szCs w:val="22"/>
                <w:lang w:eastAsia="en-US"/>
              </w:rPr>
            </w:pPr>
            <w:r w:rsidRPr="002D4988">
              <w:rPr>
                <w:rFonts w:ascii="Arial Narrow" w:eastAsiaTheme="minorEastAsia" w:hAnsi="Arial Narrow" w:cs="Times New Roman"/>
                <w:b/>
                <w:sz w:val="18"/>
                <w:szCs w:val="22"/>
                <w:lang w:eastAsia="en-US"/>
              </w:rPr>
              <w:t>Design/ duration</w:t>
            </w:r>
          </w:p>
        </w:tc>
        <w:tc>
          <w:tcPr>
            <w:tcW w:w="448" w:type="pct"/>
            <w:shd w:val="clear" w:color="auto" w:fill="auto"/>
            <w:vAlign w:val="center"/>
          </w:tcPr>
          <w:p w:rsidR="00483290" w:rsidRPr="002D4988" w:rsidRDefault="00483290" w:rsidP="00915FCC">
            <w:pPr>
              <w:jc w:val="center"/>
              <w:rPr>
                <w:rFonts w:ascii="Arial Narrow" w:eastAsiaTheme="minorEastAsia" w:hAnsi="Arial Narrow" w:cs="Times New Roman"/>
                <w:b/>
                <w:sz w:val="18"/>
                <w:szCs w:val="22"/>
                <w:lang w:eastAsia="en-US"/>
              </w:rPr>
            </w:pPr>
            <w:r w:rsidRPr="002D4988">
              <w:rPr>
                <w:rFonts w:ascii="Arial Narrow" w:eastAsiaTheme="minorEastAsia" w:hAnsi="Arial Narrow" w:cs="Times New Roman"/>
                <w:b/>
                <w:sz w:val="18"/>
                <w:szCs w:val="22"/>
                <w:lang w:eastAsia="en-US"/>
              </w:rPr>
              <w:t>Risk of bias</w:t>
            </w:r>
          </w:p>
        </w:tc>
        <w:tc>
          <w:tcPr>
            <w:tcW w:w="672" w:type="pct"/>
            <w:shd w:val="clear" w:color="auto" w:fill="auto"/>
            <w:vAlign w:val="center"/>
          </w:tcPr>
          <w:p w:rsidR="00483290" w:rsidRPr="002D4988" w:rsidRDefault="00483290" w:rsidP="00915FCC">
            <w:pPr>
              <w:jc w:val="center"/>
              <w:rPr>
                <w:rFonts w:ascii="Arial Narrow" w:eastAsiaTheme="minorEastAsia" w:hAnsi="Arial Narrow" w:cs="Times New Roman"/>
                <w:b/>
                <w:sz w:val="18"/>
                <w:szCs w:val="22"/>
                <w:lang w:eastAsia="en-US"/>
              </w:rPr>
            </w:pPr>
            <w:r w:rsidRPr="002D4988">
              <w:rPr>
                <w:rFonts w:ascii="Arial Narrow" w:eastAsiaTheme="minorEastAsia" w:hAnsi="Arial Narrow" w:cs="Times New Roman"/>
                <w:b/>
                <w:sz w:val="18"/>
                <w:szCs w:val="22"/>
                <w:lang w:eastAsia="en-US"/>
              </w:rPr>
              <w:t>Patient population</w:t>
            </w:r>
          </w:p>
        </w:tc>
        <w:tc>
          <w:tcPr>
            <w:tcW w:w="1643" w:type="pct"/>
            <w:shd w:val="clear" w:color="auto" w:fill="auto"/>
            <w:vAlign w:val="center"/>
          </w:tcPr>
          <w:p w:rsidR="00483290" w:rsidRPr="002D4988" w:rsidRDefault="00483290" w:rsidP="00915FCC">
            <w:pPr>
              <w:jc w:val="center"/>
              <w:rPr>
                <w:rFonts w:ascii="Arial Narrow" w:eastAsiaTheme="minorEastAsia" w:hAnsi="Arial Narrow" w:cs="Times New Roman"/>
                <w:b/>
                <w:sz w:val="18"/>
                <w:szCs w:val="22"/>
                <w:lang w:eastAsia="en-US"/>
              </w:rPr>
            </w:pPr>
            <w:r w:rsidRPr="002D4988">
              <w:rPr>
                <w:rFonts w:ascii="Arial Narrow" w:eastAsiaTheme="minorEastAsia" w:hAnsi="Arial Narrow" w:cs="Times New Roman"/>
                <w:b/>
                <w:sz w:val="18"/>
                <w:szCs w:val="22"/>
                <w:lang w:eastAsia="en-US"/>
              </w:rPr>
              <w:t>Key outcome(s)</w:t>
            </w:r>
          </w:p>
        </w:tc>
      </w:tr>
      <w:tr w:rsidR="00483290" w:rsidRPr="002D4988" w:rsidTr="00915FCC">
        <w:tc>
          <w:tcPr>
            <w:tcW w:w="5000" w:type="pct"/>
            <w:gridSpan w:val="6"/>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b/>
                <w:sz w:val="18"/>
                <w:szCs w:val="22"/>
                <w:lang w:eastAsia="en-US"/>
              </w:rPr>
            </w:pPr>
            <w:r w:rsidRPr="002D4988">
              <w:rPr>
                <w:rFonts w:ascii="Arial Narrow" w:eastAsiaTheme="minorEastAsia" w:hAnsi="Arial Narrow" w:cs="Times New Roman"/>
                <w:b/>
                <w:sz w:val="18"/>
                <w:szCs w:val="22"/>
                <w:lang w:eastAsia="en-US"/>
              </w:rPr>
              <w:t>TOF v PBO</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OCTAVE 1</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598</w:t>
            </w:r>
          </w:p>
        </w:tc>
        <w:tc>
          <w:tcPr>
            <w:tcW w:w="1118" w:type="pct"/>
            <w:vMerge w:val="restar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w:t>
            </w:r>
            <w:r w:rsidR="00D11729" w:rsidRPr="002D4988">
              <w:rPr>
                <w:rFonts w:ascii="Arial Narrow" w:eastAsiaTheme="minorEastAsia" w:hAnsi="Arial Narrow" w:cs="Times New Roman"/>
                <w:sz w:val="18"/>
                <w:szCs w:val="22"/>
                <w:lang w:eastAsia="en-US"/>
              </w:rPr>
              <w:t>,</w:t>
            </w:r>
            <w:r w:rsidRPr="002D4988">
              <w:rPr>
                <w:rFonts w:ascii="Arial Narrow" w:eastAsiaTheme="minorEastAsia" w:hAnsi="Arial Narrow" w:cs="Times New Roman"/>
                <w:sz w:val="18"/>
                <w:szCs w:val="22"/>
                <w:lang w:eastAsia="en-US"/>
              </w:rPr>
              <w:t xml:space="preserve"> MC, R, PC, DB (8wk).</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TNFi-n &amp; TNFi-e</w:t>
            </w:r>
          </w:p>
        </w:tc>
        <w:tc>
          <w:tcPr>
            <w:tcW w:w="1643" w:type="pct"/>
            <w:vMerge w:val="restar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remission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remission, clinical response, mucosal healing </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OCTAVE 2</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541</w:t>
            </w:r>
          </w:p>
        </w:tc>
        <w:tc>
          <w:tcPr>
            <w:tcW w:w="1118" w:type="pct"/>
            <w:vMerge/>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TNFi-n &amp; TNFi-e</w:t>
            </w:r>
          </w:p>
        </w:tc>
        <w:tc>
          <w:tcPr>
            <w:tcW w:w="1643" w:type="pct"/>
            <w:vMerge/>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OCTAVE SUSTAIN</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593</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 MC, R, PC, DB (52wk), RWD, 3-arm.</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High</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 xml:space="preserve">Wk 8 responders in OCTAVE 1,2 </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remission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remission, clinical response, sustained clinical remission, sustained clinical response, mucosal healing, corticosteroid-free remission </w:t>
            </w:r>
          </w:p>
        </w:tc>
      </w:tr>
      <w:tr w:rsidR="00483290" w:rsidRPr="002D4988" w:rsidTr="00915FCC">
        <w:tc>
          <w:tcPr>
            <w:tcW w:w="5000" w:type="pct"/>
            <w:gridSpan w:val="6"/>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b/>
                <w:bCs/>
                <w:sz w:val="18"/>
                <w:szCs w:val="22"/>
                <w:lang w:eastAsia="en-US"/>
              </w:rPr>
            </w:pPr>
            <w:r w:rsidRPr="002D4988">
              <w:rPr>
                <w:rFonts w:ascii="Arial Narrow" w:eastAsiaTheme="minorEastAsia" w:hAnsi="Arial Narrow" w:cs="Times New Roman"/>
                <w:b/>
                <w:bCs/>
                <w:sz w:val="18"/>
                <w:szCs w:val="22"/>
                <w:lang w:eastAsia="en-US"/>
              </w:rPr>
              <w:t>IFX v PBO</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ACT 1</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 &amp; 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364</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w:t>
            </w:r>
            <w:r w:rsidR="00D11729" w:rsidRPr="002D4988">
              <w:rPr>
                <w:rFonts w:ascii="Arial Narrow" w:eastAsiaTheme="minorEastAsia" w:hAnsi="Arial Narrow" w:cs="Times New Roman"/>
                <w:sz w:val="18"/>
                <w:szCs w:val="22"/>
                <w:lang w:eastAsia="en-US"/>
              </w:rPr>
              <w:t>,</w:t>
            </w:r>
            <w:r w:rsidRPr="002D4988">
              <w:rPr>
                <w:rFonts w:ascii="Arial Narrow" w:eastAsiaTheme="minorEastAsia" w:hAnsi="Arial Narrow" w:cs="Times New Roman"/>
                <w:sz w:val="18"/>
                <w:szCs w:val="22"/>
                <w:lang w:eastAsia="en-US"/>
              </w:rPr>
              <w:t xml:space="preserve"> MC, R, PC, DB (52wk), 3-arm</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TNFi-n</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remission, mucosal healing, sustained clinical response, sustained clinical remission</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ACT 2</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 &amp; 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364</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w:t>
            </w:r>
            <w:r w:rsidR="00D11729" w:rsidRPr="002D4988">
              <w:rPr>
                <w:rFonts w:ascii="Arial Narrow" w:eastAsiaTheme="minorEastAsia" w:hAnsi="Arial Narrow" w:cs="Times New Roman"/>
                <w:sz w:val="18"/>
                <w:szCs w:val="22"/>
                <w:lang w:eastAsia="en-US"/>
              </w:rPr>
              <w:t>,</w:t>
            </w:r>
            <w:r w:rsidRPr="002D4988">
              <w:rPr>
                <w:rFonts w:ascii="Arial Narrow" w:eastAsiaTheme="minorEastAsia" w:hAnsi="Arial Narrow" w:cs="Times New Roman"/>
                <w:sz w:val="18"/>
                <w:szCs w:val="22"/>
                <w:lang w:eastAsia="en-US"/>
              </w:rPr>
              <w:t xml:space="preserve"> MC, R, PC, DB (30wk), 3-arm</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TNFi-n</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remission, mucosal healing </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Jiang 2015</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 &amp; 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123</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MC, R, PC, DB (30wk), 3-arm</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iCs/>
                <w:sz w:val="18"/>
                <w:szCs w:val="18"/>
                <w:lang w:eastAsia="en-US"/>
              </w:rPr>
            </w:pPr>
            <w:r w:rsidRPr="002D4988">
              <w:rPr>
                <w:rFonts w:ascii="Arial Narrow" w:eastAsiaTheme="minorEastAsia" w:hAnsi="Arial Narrow" w:cs="Times New Roman"/>
                <w:iCs/>
                <w:sz w:val="18"/>
                <w:szCs w:val="18"/>
                <w:lang w:eastAsia="en-US"/>
              </w:rPr>
              <w:t>TNFi-n</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(Chinese)</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remission, mucosal healing </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REMICADE</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 &amp; 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99</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w:t>
            </w:r>
            <w:r w:rsidR="00D11729" w:rsidRPr="002D4988">
              <w:rPr>
                <w:rFonts w:ascii="Arial Narrow" w:eastAsiaTheme="minorEastAsia" w:hAnsi="Arial Narrow" w:cs="Times New Roman"/>
                <w:sz w:val="18"/>
                <w:szCs w:val="22"/>
                <w:lang w:eastAsia="en-US"/>
              </w:rPr>
              <w:t>,</w:t>
            </w:r>
            <w:r w:rsidRPr="002D4988">
              <w:rPr>
                <w:rFonts w:ascii="Arial Narrow" w:eastAsiaTheme="minorEastAsia" w:hAnsi="Arial Narrow" w:cs="Times New Roman"/>
                <w:sz w:val="18"/>
                <w:szCs w:val="22"/>
                <w:lang w:eastAsia="en-US"/>
              </w:rPr>
              <w:t xml:space="preserve"> MC, R, PC, DB (26wk)</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Prior TNFi NR</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(Chinese)</w:t>
            </w:r>
            <w:r w:rsidRPr="002D4988">
              <w:rPr>
                <w:rFonts w:ascii="Arial Narrow" w:eastAsiaTheme="minorEastAsia" w:hAnsi="Arial Narrow" w:cs="Times New Roman"/>
                <w:sz w:val="18"/>
                <w:szCs w:val="22"/>
                <w:lang w:eastAsia="en-US"/>
              </w:rPr>
              <w:t xml:space="preserve"> </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remission, mucosal healing, sustained clinical response, sustained clinical remission</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Kobayashi 2016</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 &amp; 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IP: 208</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MP:NR</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w:t>
            </w:r>
            <w:r w:rsidR="00D11729" w:rsidRPr="002D4988">
              <w:rPr>
                <w:rFonts w:ascii="Arial Narrow" w:eastAsiaTheme="minorEastAsia" w:hAnsi="Arial Narrow" w:cs="Times New Roman"/>
                <w:sz w:val="18"/>
                <w:szCs w:val="22"/>
                <w:lang w:eastAsia="en-US"/>
              </w:rPr>
              <w:t>,</w:t>
            </w:r>
            <w:r w:rsidRPr="002D4988">
              <w:rPr>
                <w:rFonts w:ascii="Arial Narrow" w:eastAsiaTheme="minorEastAsia" w:hAnsi="Arial Narrow" w:cs="Times New Roman"/>
                <w:sz w:val="18"/>
                <w:szCs w:val="22"/>
                <w:lang w:eastAsia="en-US"/>
              </w:rPr>
              <w:t xml:space="preserve"> MC, R, PC, DB (30wk), RWD for maintenance (8wk induction, 22wk maintenance)</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TNFi-n</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(Japanese)</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 xml:space="preserve">Maintenance: </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Wk8 responders</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remission, mucosal healing</w:t>
            </w:r>
          </w:p>
        </w:tc>
      </w:tr>
      <w:tr w:rsidR="00483290" w:rsidRPr="002D4988" w:rsidTr="00915FCC">
        <w:tc>
          <w:tcPr>
            <w:tcW w:w="5000" w:type="pct"/>
            <w:gridSpan w:val="6"/>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b/>
                <w:bCs/>
                <w:sz w:val="18"/>
                <w:szCs w:val="22"/>
                <w:lang w:eastAsia="en-US"/>
              </w:rPr>
            </w:pPr>
            <w:r w:rsidRPr="002D4988">
              <w:rPr>
                <w:rFonts w:ascii="Arial Narrow" w:eastAsiaTheme="minorEastAsia" w:hAnsi="Arial Narrow" w:cs="Times New Roman"/>
                <w:b/>
                <w:bCs/>
                <w:sz w:val="18"/>
                <w:szCs w:val="22"/>
                <w:lang w:eastAsia="en-US"/>
              </w:rPr>
              <w:t>GOL v PBO</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PURSUIT-SC</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Pt1:</w:t>
            </w:r>
          </w:p>
          <w:p w:rsidR="00483290" w:rsidRPr="002D4988" w:rsidRDefault="00483290" w:rsidP="00915FCC">
            <w:pPr>
              <w:jc w:val="center"/>
              <w:rPr>
                <w:rFonts w:ascii="Arial Narrow" w:eastAsiaTheme="minorEastAsia" w:hAnsi="Arial Narrow" w:cs="Times New Roman"/>
                <w:i/>
                <w:iCs/>
                <w:sz w:val="18"/>
                <w:szCs w:val="22"/>
                <w:lang w:eastAsia="en-US"/>
              </w:rPr>
            </w:pPr>
            <w:r w:rsidRPr="002D4988">
              <w:rPr>
                <w:rFonts w:ascii="Arial Narrow" w:eastAsiaTheme="minorEastAsia" w:hAnsi="Arial Narrow" w:cs="Times New Roman"/>
                <w:i/>
                <w:iCs/>
                <w:sz w:val="18"/>
                <w:szCs w:val="22"/>
                <w:lang w:eastAsia="en-US"/>
              </w:rPr>
              <w:t>84</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 xml:space="preserve">Pt2: </w:t>
            </w:r>
            <w:r w:rsidRPr="002D4988">
              <w:rPr>
                <w:rFonts w:ascii="Arial Narrow" w:eastAsiaTheme="minorEastAsia" w:hAnsi="Arial Narrow" w:cs="Times New Roman"/>
                <w:i/>
                <w:iCs/>
                <w:sz w:val="18"/>
                <w:szCs w:val="22"/>
                <w:lang w:eastAsia="en-US"/>
              </w:rPr>
              <w:t>516</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P2/3, MC, R, PC, DB (6wk), Part 1 cohort - 4arm dose ranging (6wk); Part 2 cohort - 3-arm dose confirming (6wk).</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TNFi-n</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remission, mucosal healing, IBDQ change from baseline</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PURSUIT-M</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464</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iCs/>
                <w:sz w:val="18"/>
                <w:szCs w:val="18"/>
                <w:lang w:eastAsia="en-US"/>
              </w:rPr>
            </w:pPr>
            <w:r w:rsidRPr="002D4988">
              <w:rPr>
                <w:rFonts w:ascii="Arial Narrow" w:eastAsiaTheme="minorEastAsia" w:hAnsi="Arial Narrow" w:cs="Times New Roman"/>
                <w:iCs/>
                <w:sz w:val="18"/>
                <w:szCs w:val="18"/>
                <w:lang w:eastAsia="en-US"/>
              </w:rPr>
              <w:t>P3, MC, R, PC, DB (52wk), RWD, 3-arm (</w:t>
            </w:r>
            <w:r w:rsidRPr="002D4988">
              <w:rPr>
                <w:rFonts w:ascii="Arial Narrow" w:eastAsiaTheme="minorEastAsia" w:hAnsi="Arial Narrow" w:cs="Times New Roman"/>
                <w:i/>
                <w:sz w:val="18"/>
                <w:szCs w:val="18"/>
                <w:lang w:eastAsia="en-US"/>
              </w:rPr>
              <w:t>Included non-randomised cohort separately^)</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High</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Wk6 active responders in PURSUIT-SC &amp; PURSUIT IV</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sustained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sustained clinical remission, sustained mucosal healing, sustained clinical remission among patients with baseline clinical remission, corticoid-free clinical remission</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PURSUIT-J</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63</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 MC, R, BD, PC, DB (54wk), RWD (</w:t>
            </w:r>
            <w:r w:rsidRPr="002D4988">
              <w:rPr>
                <w:rFonts w:ascii="Arial Narrow" w:eastAsiaTheme="minorEastAsia" w:hAnsi="Arial Narrow" w:cs="Times New Roman"/>
                <w:i/>
                <w:iCs/>
                <w:sz w:val="18"/>
                <w:szCs w:val="22"/>
                <w:lang w:eastAsia="en-US"/>
              </w:rPr>
              <w:t>included 6wk OL induction phase</w:t>
            </w:r>
            <w:r w:rsidRPr="002D4988">
              <w:rPr>
                <w:rFonts w:ascii="Arial Narrow" w:eastAsiaTheme="minorEastAsia" w:hAnsi="Arial Narrow" w:cs="Times New Roman"/>
                <w:sz w:val="18"/>
                <w:szCs w:val="22"/>
                <w:lang w:eastAsia="en-US"/>
              </w:rPr>
              <w:t>).</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High</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iCs/>
                <w:sz w:val="18"/>
                <w:szCs w:val="18"/>
                <w:lang w:eastAsia="en-US"/>
              </w:rPr>
            </w:pPr>
            <w:r w:rsidRPr="002D4988">
              <w:rPr>
                <w:rFonts w:ascii="Arial Narrow" w:eastAsiaTheme="minorEastAsia" w:hAnsi="Arial Narrow" w:cs="Times New Roman"/>
                <w:iCs/>
                <w:sz w:val="18"/>
                <w:szCs w:val="18"/>
                <w:lang w:eastAsia="en-US"/>
              </w:rPr>
              <w:t>TNFi-n</w:t>
            </w:r>
          </w:p>
          <w:p w:rsidR="00483290" w:rsidRPr="002D4988" w:rsidRDefault="00483290" w:rsidP="00915FCC">
            <w:pPr>
              <w:jc w:val="center"/>
              <w:rPr>
                <w:rFonts w:ascii="Arial Narrow" w:eastAsiaTheme="minorEastAsia" w:hAnsi="Arial Narrow" w:cs="Times New Roman"/>
                <w:iCs/>
                <w:sz w:val="18"/>
                <w:szCs w:val="18"/>
                <w:lang w:eastAsia="en-US"/>
              </w:rPr>
            </w:pPr>
            <w:r w:rsidRPr="002D4988">
              <w:rPr>
                <w:rFonts w:ascii="Arial Narrow" w:eastAsiaTheme="minorEastAsia" w:hAnsi="Arial Narrow" w:cs="Times New Roman"/>
                <w:iCs/>
                <w:sz w:val="18"/>
                <w:szCs w:val="18"/>
                <w:lang w:eastAsia="en-US"/>
              </w:rPr>
              <w:t>(Japanese)</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 xml:space="preserve">Wk6 responders to OL </w:t>
            </w:r>
            <w:r w:rsidRPr="002D4988">
              <w:rPr>
                <w:rFonts w:ascii="Arial Narrow" w:eastAsiaTheme="minorEastAsia" w:hAnsi="Arial Narrow" w:cs="Times New Roman"/>
                <w:sz w:val="18"/>
                <w:szCs w:val="22"/>
                <w:lang w:eastAsia="en-US"/>
              </w:rPr>
              <w:t>induction</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sustained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sustained clinical remission, sustained mucosal healing</w:t>
            </w:r>
          </w:p>
        </w:tc>
      </w:tr>
      <w:tr w:rsidR="00483290" w:rsidRPr="002D4988" w:rsidTr="00915FCC">
        <w:tc>
          <w:tcPr>
            <w:tcW w:w="5000" w:type="pct"/>
            <w:gridSpan w:val="6"/>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b/>
                <w:bCs/>
                <w:sz w:val="18"/>
                <w:szCs w:val="22"/>
                <w:lang w:eastAsia="en-US"/>
              </w:rPr>
            </w:pPr>
            <w:r w:rsidRPr="002D4988">
              <w:rPr>
                <w:rFonts w:ascii="Arial Narrow" w:eastAsiaTheme="minorEastAsia" w:hAnsi="Arial Narrow" w:cs="Times New Roman"/>
                <w:b/>
                <w:bCs/>
                <w:sz w:val="18"/>
                <w:szCs w:val="22"/>
                <w:lang w:eastAsia="en-US"/>
              </w:rPr>
              <w:t>ADA v PBO</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ULTRA 1</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390</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 MC, R, PC, DB (8wk)</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TNFi-n</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remission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response, mucosal healing</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ULTRA 2</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 &amp; 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494</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 MC, R, PC, DB (52wk)</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TNFi-n &amp; TNFi-e</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remission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response, mucosal healing, IBDQ response, sustained clinical remission, sustained clinical response, sustained mucosal healing</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 xml:space="preserve">Suzuki 2014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 &amp; 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273</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P2/3, MC, R, PC, DB (52wk), 3-arm</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iCs/>
                <w:sz w:val="18"/>
                <w:szCs w:val="18"/>
                <w:lang w:eastAsia="en-US"/>
              </w:rPr>
            </w:pPr>
            <w:r w:rsidRPr="002D4988">
              <w:rPr>
                <w:rFonts w:ascii="Arial Narrow" w:eastAsiaTheme="minorEastAsia" w:hAnsi="Arial Narrow" w:cs="Times New Roman"/>
                <w:iCs/>
                <w:sz w:val="18"/>
                <w:szCs w:val="18"/>
                <w:lang w:eastAsia="en-US"/>
              </w:rPr>
              <w:t>TNFi-n</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iCs/>
                <w:sz w:val="18"/>
                <w:szCs w:val="18"/>
                <w:lang w:eastAsia="en-US"/>
              </w:rPr>
              <w:t>(Japanese)</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remission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response, mucosal healing</w:t>
            </w:r>
          </w:p>
        </w:tc>
      </w:tr>
      <w:tr w:rsidR="00483290" w:rsidRPr="002D4988" w:rsidTr="00915FCC">
        <w:tc>
          <w:tcPr>
            <w:tcW w:w="5000" w:type="pct"/>
            <w:gridSpan w:val="6"/>
            <w:shd w:val="clear" w:color="auto" w:fill="auto"/>
            <w:vAlign w:val="center"/>
          </w:tcPr>
          <w:p w:rsidR="00483290" w:rsidRPr="002D4988" w:rsidRDefault="00483290" w:rsidP="00915FCC">
            <w:pPr>
              <w:jc w:val="left"/>
              <w:rPr>
                <w:rFonts w:ascii="Arial Narrow" w:eastAsiaTheme="minorEastAsia" w:hAnsi="Arial Narrow" w:cs="Times New Roman"/>
                <w:b/>
                <w:bCs/>
                <w:sz w:val="18"/>
                <w:szCs w:val="22"/>
                <w:lang w:eastAsia="en-US"/>
              </w:rPr>
            </w:pPr>
            <w:r w:rsidRPr="002D4988">
              <w:rPr>
                <w:rFonts w:ascii="Arial Narrow" w:eastAsiaTheme="minorEastAsia" w:hAnsi="Arial Narrow" w:cs="Times New Roman"/>
                <w:b/>
                <w:bCs/>
                <w:sz w:val="18"/>
                <w:szCs w:val="22"/>
                <w:lang w:eastAsia="en-US"/>
              </w:rPr>
              <w:t>VDZ v PBO</w:t>
            </w:r>
          </w:p>
        </w:tc>
      </w:tr>
      <w:tr w:rsidR="00483290" w:rsidRPr="002D4988" w:rsidTr="00915FCC">
        <w:tc>
          <w:tcPr>
            <w:tcW w:w="8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 xml:space="preserve">GEMINI 1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[induction &amp; maintenance]</w:t>
            </w:r>
          </w:p>
        </w:tc>
        <w:tc>
          <w:tcPr>
            <w:tcW w:w="301"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IP Ct1:</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374</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IP Ct2:</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lastRenderedPageBreak/>
              <w:t>521</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MP:</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373</w:t>
            </w:r>
          </w:p>
        </w:tc>
        <w:tc>
          <w:tcPr>
            <w:tcW w:w="1118"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lastRenderedPageBreak/>
              <w:t xml:space="preserve">P3, MC, R, DB (58wk), RWD for maintenance (6wk induction, 52wk maintenance), </w:t>
            </w:r>
            <w:r w:rsidRPr="002D4988">
              <w:rPr>
                <w:rFonts w:ascii="Arial Narrow" w:eastAsiaTheme="minorEastAsia" w:hAnsi="Arial Narrow" w:cs="Times New Roman"/>
                <w:sz w:val="18"/>
                <w:szCs w:val="22"/>
                <w:lang w:eastAsia="en-US"/>
              </w:rPr>
              <w:lastRenderedPageBreak/>
              <w:t>3-arm. Cohort 1 - randomised induction. Cohort 2- OL induction.</w:t>
            </w:r>
          </w:p>
        </w:tc>
        <w:tc>
          <w:tcPr>
            <w:tcW w:w="448"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lastRenderedPageBreak/>
              <w:t>Low*</w:t>
            </w:r>
          </w:p>
        </w:tc>
        <w:tc>
          <w:tcPr>
            <w:tcW w:w="672" w:type="pct"/>
            <w:shd w:val="clear" w:color="auto" w:fill="DBE5F1" w:themeFill="accent1" w:themeFillTint="33"/>
            <w:vAlign w:val="center"/>
          </w:tcPr>
          <w:p w:rsidR="00483290" w:rsidRPr="002D4988" w:rsidRDefault="00483290" w:rsidP="00915FCC">
            <w:pPr>
              <w:jc w:val="center"/>
              <w:rPr>
                <w:rFonts w:ascii="Arial Narrow" w:eastAsiaTheme="minorEastAsia" w:hAnsi="Arial Narrow" w:cs="Times New Roman"/>
                <w:iCs/>
                <w:sz w:val="18"/>
                <w:szCs w:val="18"/>
                <w:lang w:eastAsia="en-US"/>
              </w:rPr>
            </w:pPr>
            <w:r w:rsidRPr="002D4988">
              <w:rPr>
                <w:rFonts w:ascii="Arial Narrow" w:eastAsiaTheme="minorEastAsia" w:hAnsi="Arial Narrow" w:cs="Times New Roman"/>
                <w:iCs/>
                <w:sz w:val="18"/>
                <w:szCs w:val="18"/>
                <w:lang w:eastAsia="en-US"/>
              </w:rPr>
              <w:t>TNFi-n &amp; TNFi-e</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 xml:space="preserve">Maintenance: </w:t>
            </w:r>
          </w:p>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lastRenderedPageBreak/>
              <w:t>Wk6 active responders in cohort 1 and 2.</w:t>
            </w:r>
          </w:p>
        </w:tc>
        <w:tc>
          <w:tcPr>
            <w:tcW w:w="1643" w:type="pct"/>
            <w:shd w:val="clear" w:color="auto" w:fill="DBE5F1" w:themeFill="accent1" w:themeFillTint="33"/>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lastRenderedPageBreak/>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lastRenderedPageBreak/>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remission, mucosal healing, sustained clinical response, sustained clinical remission, corticosteroid-free remission</w:t>
            </w:r>
          </w:p>
        </w:tc>
      </w:tr>
      <w:tr w:rsidR="00483290" w:rsidRPr="002D4988" w:rsidTr="00915FCC">
        <w:tc>
          <w:tcPr>
            <w:tcW w:w="818" w:type="pct"/>
            <w:shd w:val="clear" w:color="auto" w:fill="auto"/>
            <w:vAlign w:val="center"/>
          </w:tcPr>
          <w:p w:rsidR="00483290" w:rsidRPr="002D4988" w:rsidRDefault="00483290" w:rsidP="00915FCC">
            <w:pPr>
              <w:jc w:val="left"/>
              <w:rPr>
                <w:rFonts w:ascii="Arial Narrow" w:eastAsiaTheme="minorEastAsia" w:hAnsi="Arial Narrow" w:cs="Times New Roman"/>
                <w:sz w:val="18"/>
                <w:szCs w:val="18"/>
                <w:lang w:eastAsia="en-US"/>
              </w:rPr>
            </w:pPr>
            <w:r w:rsidRPr="002D4988">
              <w:rPr>
                <w:rFonts w:ascii="Arial Narrow" w:hAnsi="Arial Narrow"/>
                <w:sz w:val="18"/>
                <w:szCs w:val="18"/>
              </w:rPr>
              <w:lastRenderedPageBreak/>
              <w:t>Motoya 2019</w:t>
            </w:r>
          </w:p>
        </w:tc>
        <w:tc>
          <w:tcPr>
            <w:tcW w:w="301" w:type="pct"/>
            <w:shd w:val="clear" w:color="auto" w:fill="auto"/>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246</w:t>
            </w:r>
          </w:p>
        </w:tc>
        <w:tc>
          <w:tcPr>
            <w:tcW w:w="1118" w:type="pct"/>
            <w:shd w:val="clear" w:color="auto" w:fill="auto"/>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P3, MC, R, DB, RWD for maintenance (10wk induction, 60wk maintenance).</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Randomised induction.</w:t>
            </w:r>
          </w:p>
        </w:tc>
        <w:tc>
          <w:tcPr>
            <w:tcW w:w="448" w:type="pct"/>
            <w:shd w:val="clear" w:color="auto" w:fill="auto"/>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auto"/>
            <w:vAlign w:val="center"/>
          </w:tcPr>
          <w:p w:rsidR="00483290" w:rsidRPr="002D4988" w:rsidRDefault="00483290" w:rsidP="00915FCC">
            <w:pPr>
              <w:jc w:val="center"/>
              <w:rPr>
                <w:rFonts w:ascii="Arial Narrow" w:eastAsiaTheme="minorEastAsia" w:hAnsi="Arial Narrow" w:cs="Times New Roman"/>
                <w:iCs/>
                <w:sz w:val="18"/>
                <w:szCs w:val="18"/>
                <w:lang w:eastAsia="en-US"/>
              </w:rPr>
            </w:pPr>
            <w:r w:rsidRPr="002D4988">
              <w:rPr>
                <w:rFonts w:ascii="Arial Narrow" w:eastAsiaTheme="minorEastAsia" w:hAnsi="Arial Narrow" w:cs="Times New Roman"/>
                <w:iCs/>
                <w:sz w:val="18"/>
                <w:szCs w:val="18"/>
                <w:lang w:eastAsia="en-US"/>
              </w:rPr>
              <w:t>TNFi-n &amp; TNFi-e</w:t>
            </w:r>
          </w:p>
          <w:p w:rsidR="00483290" w:rsidRPr="002D4988" w:rsidRDefault="00483290" w:rsidP="00915FCC">
            <w:pPr>
              <w:jc w:val="center"/>
              <w:rPr>
                <w:rFonts w:ascii="Arial Narrow" w:eastAsiaTheme="minorEastAsia" w:hAnsi="Arial Narrow" w:cs="Times New Roman"/>
                <w:iCs/>
                <w:sz w:val="18"/>
                <w:szCs w:val="18"/>
                <w:lang w:eastAsia="en-US"/>
              </w:rPr>
            </w:pPr>
          </w:p>
        </w:tc>
        <w:tc>
          <w:tcPr>
            <w:tcW w:w="1643" w:type="pct"/>
            <w:shd w:val="clear" w:color="auto" w:fill="auto"/>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xml:space="preserve">: clinical response </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remission, mucosal healing</w:t>
            </w:r>
          </w:p>
        </w:tc>
      </w:tr>
      <w:tr w:rsidR="00483290" w:rsidRPr="002D4988" w:rsidTr="00915FCC">
        <w:tc>
          <w:tcPr>
            <w:tcW w:w="818" w:type="pct"/>
            <w:shd w:val="clear" w:color="auto" w:fill="auto"/>
            <w:vAlign w:val="center"/>
          </w:tcPr>
          <w:p w:rsidR="00483290" w:rsidRPr="002D4988" w:rsidRDefault="00483290" w:rsidP="00915FCC">
            <w:pPr>
              <w:jc w:val="left"/>
              <w:rPr>
                <w:rFonts w:ascii="Arial Narrow" w:eastAsiaTheme="minorEastAsia" w:hAnsi="Arial Narrow" w:cs="Times New Roman"/>
                <w:sz w:val="18"/>
                <w:szCs w:val="18"/>
                <w:lang w:eastAsia="en-US"/>
              </w:rPr>
            </w:pPr>
            <w:r w:rsidRPr="002D4988">
              <w:rPr>
                <w:rFonts w:ascii="Arial Narrow" w:hAnsi="Arial Narrow"/>
                <w:sz w:val="18"/>
                <w:szCs w:val="18"/>
              </w:rPr>
              <w:t>Sandborn 2020</w:t>
            </w:r>
          </w:p>
        </w:tc>
        <w:tc>
          <w:tcPr>
            <w:tcW w:w="301" w:type="pct"/>
            <w:shd w:val="clear" w:color="auto" w:fill="auto"/>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383</w:t>
            </w:r>
          </w:p>
        </w:tc>
        <w:tc>
          <w:tcPr>
            <w:tcW w:w="1118" w:type="pct"/>
            <w:shd w:val="clear" w:color="auto" w:fill="auto"/>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 xml:space="preserve">P3, MC, R, DB, RWD for maintenance (6wk induction, 52wk maintenance). OL induction. </w:t>
            </w:r>
          </w:p>
        </w:tc>
        <w:tc>
          <w:tcPr>
            <w:tcW w:w="448" w:type="pct"/>
            <w:shd w:val="clear" w:color="auto" w:fill="auto"/>
            <w:vAlign w:val="center"/>
          </w:tcPr>
          <w:p w:rsidR="00483290" w:rsidRPr="002D4988" w:rsidRDefault="00483290" w:rsidP="00915FCC">
            <w:pPr>
              <w:jc w:val="center"/>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Low*</w:t>
            </w:r>
          </w:p>
        </w:tc>
        <w:tc>
          <w:tcPr>
            <w:tcW w:w="672" w:type="pct"/>
            <w:shd w:val="clear" w:color="auto" w:fill="auto"/>
            <w:vAlign w:val="center"/>
          </w:tcPr>
          <w:p w:rsidR="00483290" w:rsidRPr="002D4988" w:rsidRDefault="00483290" w:rsidP="00915FCC">
            <w:pPr>
              <w:jc w:val="center"/>
              <w:rPr>
                <w:rFonts w:ascii="Arial Narrow" w:eastAsiaTheme="minorEastAsia" w:hAnsi="Arial Narrow" w:cs="Times New Roman"/>
                <w:iCs/>
                <w:sz w:val="18"/>
                <w:szCs w:val="18"/>
                <w:lang w:eastAsia="en-US"/>
              </w:rPr>
            </w:pPr>
            <w:r w:rsidRPr="002D4988">
              <w:rPr>
                <w:rFonts w:ascii="Arial Narrow" w:eastAsiaTheme="minorEastAsia" w:hAnsi="Arial Narrow" w:cs="Times New Roman"/>
                <w:iCs/>
                <w:sz w:val="18"/>
                <w:szCs w:val="18"/>
                <w:lang w:eastAsia="en-US"/>
              </w:rPr>
              <w:t>TNFi-n &amp; TNFi-e</w:t>
            </w:r>
          </w:p>
          <w:p w:rsidR="00483290" w:rsidRPr="002D4988" w:rsidRDefault="00483290" w:rsidP="00915FCC">
            <w:pPr>
              <w:jc w:val="center"/>
              <w:rPr>
                <w:rFonts w:ascii="Arial Narrow" w:eastAsiaTheme="minorEastAsia" w:hAnsi="Arial Narrow" w:cs="Times New Roman"/>
                <w:iCs/>
                <w:sz w:val="18"/>
                <w:szCs w:val="18"/>
                <w:lang w:eastAsia="en-US"/>
              </w:rPr>
            </w:pPr>
          </w:p>
        </w:tc>
        <w:tc>
          <w:tcPr>
            <w:tcW w:w="1643" w:type="pct"/>
            <w:shd w:val="clear" w:color="auto" w:fill="auto"/>
            <w:vAlign w:val="center"/>
          </w:tcPr>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1</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clinical remission</w:t>
            </w:r>
          </w:p>
          <w:p w:rsidR="00483290" w:rsidRPr="002D4988" w:rsidRDefault="00483290" w:rsidP="00915FCC">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2</w:t>
            </w:r>
            <w:r w:rsidRPr="002D4988">
              <w:rPr>
                <w:rFonts w:ascii="Arial Narrow" w:eastAsiaTheme="minorEastAsia" w:hAnsi="Arial Narrow" w:cs="Times New Roman"/>
                <w:sz w:val="18"/>
                <w:szCs w:val="22"/>
                <w:vertAlign w:val="superscript"/>
                <w:lang w:eastAsia="en-US"/>
              </w:rPr>
              <w:t>ary</w:t>
            </w:r>
            <w:r w:rsidRPr="002D4988">
              <w:rPr>
                <w:rFonts w:ascii="Arial Narrow" w:eastAsiaTheme="minorEastAsia" w:hAnsi="Arial Narrow" w:cs="Times New Roman"/>
                <w:sz w:val="18"/>
                <w:szCs w:val="22"/>
                <w:lang w:eastAsia="en-US"/>
              </w:rPr>
              <w:t>: mucosal healing, sustained clinical response, sustained clinical remission, corticosteroid-free remission</w:t>
            </w:r>
          </w:p>
        </w:tc>
      </w:tr>
    </w:tbl>
    <w:p w:rsidR="00483290" w:rsidRPr="002D4988" w:rsidRDefault="00483290" w:rsidP="00483290">
      <w:pPr>
        <w:rPr>
          <w:rFonts w:ascii="Arial Narrow" w:eastAsiaTheme="minorEastAsia" w:hAnsi="Arial Narrow"/>
          <w:snapToGrid w:val="0"/>
          <w:sz w:val="18"/>
          <w:szCs w:val="22"/>
          <w:lang w:eastAsia="en-US"/>
        </w:rPr>
      </w:pPr>
      <w:r w:rsidRPr="002D4988">
        <w:rPr>
          <w:rFonts w:ascii="Arial Narrow" w:eastAsiaTheme="minorEastAsia" w:hAnsi="Arial Narrow"/>
          <w:snapToGrid w:val="0"/>
          <w:sz w:val="18"/>
          <w:szCs w:val="22"/>
          <w:lang w:eastAsia="en-US"/>
        </w:rPr>
        <w:t>Source: Compiled during the evaluation based on source reports and publications.</w:t>
      </w:r>
    </w:p>
    <w:p w:rsidR="00483290" w:rsidRPr="002D4988" w:rsidRDefault="00483290" w:rsidP="00483290">
      <w:pPr>
        <w:pStyle w:val="TableFigureFooter"/>
        <w:rPr>
          <w:lang w:eastAsia="en-US"/>
        </w:rPr>
      </w:pPr>
      <w:r w:rsidRPr="002D4988">
        <w:rPr>
          <w:shd w:val="clear" w:color="auto" w:fill="DBE5F1" w:themeFill="accent1" w:themeFillTint="33"/>
          <w:lang w:eastAsia="en-US"/>
        </w:rPr>
        <w:t>Shaded</w:t>
      </w:r>
      <w:r w:rsidRPr="002D4988">
        <w:rPr>
          <w:lang w:eastAsia="en-US"/>
        </w:rPr>
        <w:t xml:space="preserve"> areas indicate data previously seen by the PBAC.</w:t>
      </w:r>
    </w:p>
    <w:p w:rsidR="00483290" w:rsidRPr="002D4988" w:rsidRDefault="00483290" w:rsidP="00A75748">
      <w:pPr>
        <w:pStyle w:val="TableFigureFooter"/>
        <w:spacing w:after="0"/>
        <w:rPr>
          <w:lang w:eastAsia="en-US"/>
        </w:rPr>
      </w:pPr>
      <w:r w:rsidRPr="002D4988">
        <w:rPr>
          <w:rFonts w:eastAsiaTheme="minorEastAsia"/>
          <w:lang w:eastAsia="en-US"/>
        </w:rPr>
        <w:t>Abbreviations: ADA=adalimumab, bid=twice a day, DB=double blind; IFX=infliximab, IP=induction phase; MC=multi-centre; MP=maintenance phase; OL=open label;</w:t>
      </w:r>
      <w:r w:rsidR="0070069D" w:rsidRPr="002D4988">
        <w:rPr>
          <w:rFonts w:eastAsiaTheme="minorEastAsia"/>
          <w:lang w:eastAsia="en-US"/>
        </w:rPr>
        <w:t xml:space="preserve"> P3 = phase three; PC= placebo controlled</w:t>
      </w:r>
      <w:r w:rsidRPr="002D4988">
        <w:rPr>
          <w:rFonts w:eastAsiaTheme="minorEastAsia"/>
          <w:lang w:eastAsia="en-US"/>
        </w:rPr>
        <w:t xml:space="preserve"> R=randomised, RWD=randomised withdrawal design; TOF=tofacitinib, TNFi-e=tumour necrosis factor inhibitor experience, TNFi-n= tumour necrosis factor inhibitor naïve, VDZ=vedolizumab. </w:t>
      </w:r>
    </w:p>
    <w:p w:rsidR="00483290" w:rsidRPr="002D4988" w:rsidRDefault="00483290" w:rsidP="00483290">
      <w:pPr>
        <w:tabs>
          <w:tab w:val="left" w:pos="142"/>
        </w:tabs>
        <w:rPr>
          <w:rFonts w:ascii="Arial Narrow" w:eastAsiaTheme="minorEastAsia" w:hAnsi="Arial Narrow"/>
          <w:snapToGrid w:val="0"/>
          <w:sz w:val="18"/>
          <w:szCs w:val="22"/>
          <w:lang w:eastAsia="en-US"/>
        </w:rPr>
      </w:pPr>
      <w:r w:rsidRPr="002D4988">
        <w:rPr>
          <w:rFonts w:ascii="Arial Narrow" w:eastAsiaTheme="minorEastAsia" w:hAnsi="Arial Narrow"/>
          <w:snapToGrid w:val="0"/>
          <w:sz w:val="18"/>
          <w:szCs w:val="22"/>
          <w:lang w:eastAsia="en-US"/>
        </w:rPr>
        <w:t>*</w:t>
      </w:r>
      <w:r w:rsidRPr="002D4988">
        <w:rPr>
          <w:rFonts w:ascii="Arial Narrow" w:eastAsiaTheme="minorEastAsia" w:hAnsi="Arial Narrow"/>
          <w:snapToGrid w:val="0"/>
          <w:sz w:val="18"/>
          <w:szCs w:val="22"/>
          <w:lang w:eastAsia="en-US"/>
        </w:rPr>
        <w:tab/>
        <w:t>Low risk of bias in the induction phase, but high risk of bias during maintenance due to high attrition bias.</w:t>
      </w:r>
    </w:p>
    <w:p w:rsidR="00483290" w:rsidRPr="002D4988" w:rsidRDefault="00483290" w:rsidP="002C30E0">
      <w:pPr>
        <w:tabs>
          <w:tab w:val="left" w:pos="142"/>
        </w:tabs>
        <w:spacing w:after="120"/>
        <w:rPr>
          <w:rFonts w:ascii="Arial Narrow" w:eastAsiaTheme="minorEastAsia" w:hAnsi="Arial Narrow"/>
          <w:snapToGrid w:val="0"/>
          <w:sz w:val="18"/>
          <w:szCs w:val="22"/>
          <w:lang w:eastAsia="en-US"/>
        </w:rPr>
      </w:pPr>
      <w:r w:rsidRPr="002D4988">
        <w:rPr>
          <w:rFonts w:ascii="Arial Narrow" w:eastAsiaTheme="minorEastAsia" w:hAnsi="Arial Narrow"/>
          <w:snapToGrid w:val="0"/>
          <w:sz w:val="18"/>
          <w:szCs w:val="22"/>
          <w:lang w:eastAsia="en-US"/>
        </w:rPr>
        <w:t>^</w:t>
      </w:r>
      <w:r w:rsidRPr="002D4988">
        <w:rPr>
          <w:rFonts w:ascii="Arial Narrow" w:eastAsiaTheme="minorEastAsia" w:hAnsi="Arial Narrow"/>
          <w:snapToGrid w:val="0"/>
          <w:sz w:val="18"/>
          <w:szCs w:val="22"/>
          <w:lang w:eastAsia="en-US"/>
        </w:rPr>
        <w:tab/>
        <w:t xml:space="preserve">Non-randomised cohort consisted of </w:t>
      </w:r>
      <w:r w:rsidRPr="002D4988">
        <w:rPr>
          <w:rFonts w:ascii="Arial Narrow" w:eastAsiaTheme="minorEastAsia" w:hAnsi="Arial Narrow"/>
          <w:iCs/>
          <w:snapToGrid w:val="0"/>
          <w:sz w:val="18"/>
          <w:szCs w:val="18"/>
          <w:lang w:eastAsia="en-US"/>
        </w:rPr>
        <w:t>patients randomised to PBO or GOL without clinical response at Wk6 in PURSUIT-SC or -IV.</w:t>
      </w:r>
    </w:p>
    <w:p w:rsidR="00D11729" w:rsidRPr="002D4988" w:rsidRDefault="00221DA5" w:rsidP="00E143D9">
      <w:pPr>
        <w:pStyle w:val="3-BodyText"/>
        <w:rPr>
          <w:rFonts w:eastAsiaTheme="minorEastAsia"/>
          <w:lang w:eastAsia="en-US"/>
        </w:rPr>
      </w:pPr>
      <w:r w:rsidRPr="002D4988">
        <w:rPr>
          <w:rFonts w:eastAsiaTheme="minorEastAsia"/>
          <w:lang w:eastAsia="en-US"/>
        </w:rPr>
        <w:t>The trials differed considerably by trial design</w:t>
      </w:r>
      <w:r w:rsidR="00D11729" w:rsidRPr="002D4988">
        <w:rPr>
          <w:rFonts w:eastAsiaTheme="minorEastAsia"/>
          <w:lang w:eastAsia="en-US"/>
        </w:rPr>
        <w:t>:</w:t>
      </w:r>
      <w:r w:rsidR="0098240F" w:rsidRPr="002D4988">
        <w:rPr>
          <w:rFonts w:eastAsiaTheme="minorEastAsia"/>
          <w:lang w:eastAsia="en-US"/>
        </w:rPr>
        <w:t xml:space="preserve"> </w:t>
      </w:r>
    </w:p>
    <w:p w:rsidR="00D11729" w:rsidRPr="002D4988" w:rsidRDefault="00221DA5" w:rsidP="00E143D9">
      <w:pPr>
        <w:pStyle w:val="ListParagraph"/>
      </w:pPr>
      <w:r w:rsidRPr="002D4988">
        <w:t xml:space="preserve">Five trials investigated short-term induction therapy only (OCTAVE 1, OCTAVE 2, PURSUIT-SC, ULTRA 1, </w:t>
      </w:r>
      <w:r w:rsidRPr="002D4988">
        <w:rPr>
          <w:rFonts w:eastAsiaTheme="minorEastAsia"/>
        </w:rPr>
        <w:t>Kobayashi</w:t>
      </w:r>
      <w:r w:rsidRPr="002D4988">
        <w:t xml:space="preserve"> 2016)</w:t>
      </w:r>
      <w:r w:rsidR="00D11729" w:rsidRPr="002D4988">
        <w:t>;</w:t>
      </w:r>
    </w:p>
    <w:p w:rsidR="00D11729" w:rsidRPr="002D4988" w:rsidRDefault="00221DA5" w:rsidP="00E143D9">
      <w:pPr>
        <w:pStyle w:val="ListParagraph"/>
      </w:pPr>
      <w:r w:rsidRPr="002D4988">
        <w:t>Six trials investigated induction and maintenance without re-randomisation of patients (ACT 1, ACT 2, Jiang 2015, REMICADE, ULTRA 2, Suzuki 2014)</w:t>
      </w:r>
      <w:r w:rsidR="00D11729" w:rsidRPr="002D4988">
        <w:t>;</w:t>
      </w:r>
      <w:r w:rsidR="0098240F" w:rsidRPr="002D4988">
        <w:t xml:space="preserve"> </w:t>
      </w:r>
    </w:p>
    <w:p w:rsidR="00D11729" w:rsidRPr="002D4988" w:rsidRDefault="00221DA5" w:rsidP="00E143D9">
      <w:pPr>
        <w:pStyle w:val="ListParagraph"/>
      </w:pPr>
      <w:r w:rsidRPr="002D4988">
        <w:t>Two trials investigated induction and then maintenance in responders to induction therapy using a randomised withdrawal design for maintenance therapy (GEMINI 1, Motoya 2019)</w:t>
      </w:r>
      <w:r w:rsidR="00D11729" w:rsidRPr="002D4988">
        <w:t>; and</w:t>
      </w:r>
      <w:r w:rsidRPr="002D4988">
        <w:t xml:space="preserve"> </w:t>
      </w:r>
    </w:p>
    <w:p w:rsidR="00221DA5" w:rsidRPr="002D4988" w:rsidRDefault="00221DA5" w:rsidP="00E143D9">
      <w:pPr>
        <w:pStyle w:val="ListParagraph"/>
      </w:pPr>
      <w:r w:rsidRPr="002D4988">
        <w:t>Four trials investigated maintenance therapy only in responders to induction therapy using a randomised withdrawal design of responders to induction trials or open-label induction phases (OCTAVE Sustain, PURSUIT M, PURSUIT J, Sandborn 2020).</w:t>
      </w:r>
    </w:p>
    <w:p w:rsidR="00620C25" w:rsidRPr="002D4988" w:rsidRDefault="00221DA5" w:rsidP="00E143D9">
      <w:pPr>
        <w:pStyle w:val="3-BodyText"/>
        <w:rPr>
          <w:szCs w:val="22"/>
        </w:rPr>
      </w:pPr>
      <w:r w:rsidRPr="002D4988">
        <w:t>Overall, the risk of bias in the induction studies was low. However, the maintenance studies had a high risk of attrition bias due to discontinuations and loss to follow-up</w:t>
      </w:r>
      <w:r w:rsidR="004A04A0" w:rsidRPr="002D4988">
        <w:t>.</w:t>
      </w:r>
    </w:p>
    <w:p w:rsidR="00B60939" w:rsidRPr="002D4988" w:rsidRDefault="00B60939" w:rsidP="00EC5836">
      <w:pPr>
        <w:pStyle w:val="4-SubsectionHeading"/>
      </w:pPr>
      <w:bookmarkStart w:id="14" w:name="_Toc22897641"/>
      <w:bookmarkStart w:id="15" w:name="_Toc51163587"/>
      <w:r w:rsidRPr="002D4988">
        <w:t>Comparative effectiveness</w:t>
      </w:r>
      <w:bookmarkEnd w:id="14"/>
      <w:bookmarkEnd w:id="15"/>
    </w:p>
    <w:p w:rsidR="00AE4C2B" w:rsidRPr="002D4988" w:rsidRDefault="00AE4C2B" w:rsidP="00E143D9">
      <w:pPr>
        <w:pStyle w:val="3-BodyText"/>
        <w:rPr>
          <w:rFonts w:eastAsiaTheme="minorEastAsia"/>
          <w:snapToGrid/>
        </w:rPr>
      </w:pPr>
      <w:r w:rsidRPr="002D4988">
        <w:rPr>
          <w:rFonts w:eastAsiaTheme="minorEastAsia"/>
          <w:snapToGrid/>
        </w:rPr>
        <w:t xml:space="preserve">The clinically relevant outcomes were clinical remission and clinical response, as assessed using the Mayo score. Clinical remission </w:t>
      </w:r>
      <w:r w:rsidR="00B44F9D" w:rsidRPr="002D4988">
        <w:rPr>
          <w:rFonts w:eastAsiaTheme="minorEastAsia"/>
          <w:snapToGrid/>
        </w:rPr>
        <w:t>was</w:t>
      </w:r>
      <w:r w:rsidRPr="002D4988">
        <w:rPr>
          <w:rFonts w:eastAsiaTheme="minorEastAsia"/>
          <w:snapToGrid/>
        </w:rPr>
        <w:t xml:space="preserve"> defined</w:t>
      </w:r>
      <w:r w:rsidR="00B44F9D" w:rsidRPr="002D4988">
        <w:rPr>
          <w:rFonts w:eastAsiaTheme="minorEastAsia"/>
          <w:snapToGrid/>
        </w:rPr>
        <w:t xml:space="preserve"> in the</w:t>
      </w:r>
      <w:r w:rsidR="00664B3E" w:rsidRPr="002D4988">
        <w:rPr>
          <w:rFonts w:eastAsiaTheme="minorEastAsia"/>
          <w:snapToGrid/>
        </w:rPr>
        <w:t xml:space="preserve"> TOF</w:t>
      </w:r>
      <w:r w:rsidR="00B44F9D" w:rsidRPr="002D4988">
        <w:rPr>
          <w:rFonts w:eastAsiaTheme="minorEastAsia"/>
          <w:snapToGrid/>
        </w:rPr>
        <w:t xml:space="preserve"> trial</w:t>
      </w:r>
      <w:r w:rsidR="00664B3E" w:rsidRPr="002D4988">
        <w:rPr>
          <w:rFonts w:eastAsiaTheme="minorEastAsia"/>
          <w:snapToGrid/>
        </w:rPr>
        <w:t>s</w:t>
      </w:r>
      <w:r w:rsidRPr="002D4988">
        <w:rPr>
          <w:rFonts w:eastAsiaTheme="minorEastAsia"/>
          <w:snapToGrid/>
        </w:rPr>
        <w:t xml:space="preserve"> as total Mayo score of ≤2 points with no individual subscore &gt;1 point. Clinical response </w:t>
      </w:r>
      <w:r w:rsidR="00B44F9D" w:rsidRPr="002D4988">
        <w:rPr>
          <w:rFonts w:eastAsiaTheme="minorEastAsia"/>
          <w:snapToGrid/>
        </w:rPr>
        <w:t xml:space="preserve">was </w:t>
      </w:r>
      <w:r w:rsidRPr="002D4988">
        <w:rPr>
          <w:rFonts w:eastAsiaTheme="minorEastAsia"/>
          <w:snapToGrid/>
        </w:rPr>
        <w:t xml:space="preserve">defined </w:t>
      </w:r>
      <w:r w:rsidR="00B44F9D" w:rsidRPr="002D4988">
        <w:rPr>
          <w:rFonts w:eastAsiaTheme="minorEastAsia"/>
          <w:snapToGrid/>
        </w:rPr>
        <w:t xml:space="preserve">in the trial </w:t>
      </w:r>
      <w:r w:rsidRPr="002D4988">
        <w:rPr>
          <w:rFonts w:eastAsiaTheme="minorEastAsia"/>
          <w:snapToGrid/>
        </w:rPr>
        <w:t>as a decrease from baseline in Mayo score of ≥3 points and at least 30%, with an accompanying decrease in the subscore for rectal bleeding of ≥1 point or absolute subscore for rectal bleeding of 0 or 1.</w:t>
      </w:r>
    </w:p>
    <w:p w:rsidR="004A28FD" w:rsidRPr="002D4988" w:rsidRDefault="00B44F9D" w:rsidP="00E143D9">
      <w:pPr>
        <w:pStyle w:val="3-BodyText"/>
        <w:rPr>
          <w:rFonts w:ascii="Times New Roman" w:hAnsi="Times New Roman" w:cs="Times New Roman"/>
        </w:rPr>
      </w:pPr>
      <w:bookmarkStart w:id="16" w:name="_Ref51141735"/>
      <w:bookmarkStart w:id="17" w:name="_Ref53405948"/>
      <w:r w:rsidRPr="002D4988">
        <w:t xml:space="preserve">The resubmission presented a series of indirect comparisons between TOF and all </w:t>
      </w:r>
      <w:r w:rsidR="004A28FD" w:rsidRPr="002D4988">
        <w:t>alternative therapies</w:t>
      </w:r>
      <w:r w:rsidRPr="002D4988">
        <w:t xml:space="preserve"> for induction and maintenance therapy usin</w:t>
      </w:r>
      <w:r w:rsidR="00E143D9" w:rsidRPr="002D4988">
        <w:t xml:space="preserve">g placebo as </w:t>
      </w:r>
      <w:r w:rsidR="00396BB0" w:rsidRPr="002D4988">
        <w:t xml:space="preserve">the </w:t>
      </w:r>
      <w:r w:rsidR="00E143D9" w:rsidRPr="002D4988">
        <w:t>common reference.</w:t>
      </w:r>
      <w:r w:rsidRPr="002D4988">
        <w:t xml:space="preserve"> Analyses were presented for the ITT population and for TNFi naïve a</w:t>
      </w:r>
      <w:r w:rsidR="00E143D9" w:rsidRPr="002D4988">
        <w:t>nd TNFi experienced subgroups</w:t>
      </w:r>
      <w:r w:rsidR="00BC0889" w:rsidRPr="002D4988">
        <w:t>.</w:t>
      </w:r>
    </w:p>
    <w:bookmarkEnd w:id="16"/>
    <w:bookmarkEnd w:id="17"/>
    <w:p w:rsidR="00AE4C2B" w:rsidRPr="002D4988" w:rsidRDefault="00AE4C2B" w:rsidP="00E143D9">
      <w:pPr>
        <w:pStyle w:val="3-BodyText"/>
      </w:pPr>
      <w:r w:rsidRPr="002D4988">
        <w:lastRenderedPageBreak/>
        <w:t xml:space="preserve">To improve comparability across outcomes and trials, the </w:t>
      </w:r>
      <w:r w:rsidR="00185747" w:rsidRPr="002D4988">
        <w:t>following is detailed</w:t>
      </w:r>
      <w:r w:rsidR="00CE03B4" w:rsidRPr="002D4988">
        <w:t xml:space="preserve"> below</w:t>
      </w:r>
      <w:r w:rsidR="00185747" w:rsidRPr="002D4988">
        <w:t xml:space="preserve">: </w:t>
      </w:r>
      <w:r w:rsidRPr="002D4988">
        <w:t>i) results for “clinical remission” following induction treatment</w:t>
      </w:r>
      <w:r w:rsidR="00185747" w:rsidRPr="002D4988">
        <w:t>;</w:t>
      </w:r>
      <w:r w:rsidRPr="002D4988">
        <w:t xml:space="preserve"> and ii) results for “sustained clinical remission” and “sustained clinical response” in maintenance therapy from trials that re-randomised patients with response to induction therapy consistent with the design of the TOF mai</w:t>
      </w:r>
      <w:r w:rsidR="00185747" w:rsidRPr="002D4988">
        <w:t xml:space="preserve">ntenance trial OCTAVE Sustain. </w:t>
      </w:r>
      <w:r w:rsidRPr="002D4988">
        <w:t xml:space="preserve">However, there were still some differences in the timing/frequency of the assessments for the outcomes of sustained clinical remission/response across trials (i.e. these outcomes were measured at Week 24 and 52 in OCTAVE </w:t>
      </w:r>
      <w:r w:rsidR="00CE03B4" w:rsidRPr="002D4988">
        <w:t>S</w:t>
      </w:r>
      <w:r w:rsidRPr="002D4988">
        <w:t>ustain, Week 30 and 54 in the PURSUIT trials, Week 6 and 52 in GEMINI-1 and Sandborn 2020, and Week 10 and 60 in Motoya 2019).</w:t>
      </w:r>
    </w:p>
    <w:p w:rsidR="00B543E0" w:rsidRPr="002D4988" w:rsidRDefault="00BC0889" w:rsidP="00396BB0">
      <w:pPr>
        <w:pStyle w:val="3-BodyText"/>
      </w:pPr>
      <w:r w:rsidRPr="002D4988">
        <w:rPr>
          <w:rFonts w:eastAsiaTheme="minorEastAsia"/>
        </w:rPr>
        <w:t>Table 5</w:t>
      </w:r>
      <w:r w:rsidR="00396BB0" w:rsidRPr="002D4988">
        <w:t xml:space="preserve"> </w:t>
      </w:r>
      <w:r w:rsidR="00AE4C2B" w:rsidRPr="002D4988">
        <w:t xml:space="preserve">and </w:t>
      </w:r>
      <w:r w:rsidRPr="002D4988">
        <w:rPr>
          <w:rFonts w:eastAsiaTheme="minorEastAsia"/>
        </w:rPr>
        <w:t>Table 6</w:t>
      </w:r>
      <w:r w:rsidR="00AE4C2B" w:rsidRPr="002D4988">
        <w:t xml:space="preserve"> present results for clinical remission and clinical response, r</w:t>
      </w:r>
      <w:r w:rsidR="00CE03B4" w:rsidRPr="002D4988">
        <w:t xml:space="preserve">espectively, during induction. </w:t>
      </w:r>
      <w:r w:rsidRPr="002D4988">
        <w:rPr>
          <w:rStyle w:val="CommentReference"/>
          <w:rFonts w:asciiTheme="minorHAnsi" w:eastAsiaTheme="minorEastAsia" w:hAnsiTheme="minorHAnsi"/>
          <w:b w:val="0"/>
          <w:sz w:val="24"/>
          <w:szCs w:val="24"/>
        </w:rPr>
        <w:t>Table 7</w:t>
      </w:r>
      <w:r w:rsidR="00396BB0" w:rsidRPr="002D4988">
        <w:t xml:space="preserve"> </w:t>
      </w:r>
      <w:r w:rsidR="00AE4C2B" w:rsidRPr="002D4988">
        <w:t xml:space="preserve">and </w:t>
      </w:r>
      <w:r w:rsidRPr="002D4988">
        <w:rPr>
          <w:rFonts w:eastAsiaTheme="minorEastAsia"/>
        </w:rPr>
        <w:t>Table 8</w:t>
      </w:r>
      <w:r w:rsidR="00396BB0" w:rsidRPr="002D4988">
        <w:t xml:space="preserve"> </w:t>
      </w:r>
      <w:r w:rsidR="00AE4C2B" w:rsidRPr="002D4988">
        <w:t>present results for the outcomes of sustained clinical remission and sustained clinical response, respective</w:t>
      </w:r>
      <w:r w:rsidR="00CE03B4" w:rsidRPr="002D4988">
        <w:t xml:space="preserve">ly, for maintenance treatment. </w:t>
      </w:r>
      <w:r w:rsidR="00D11729" w:rsidRPr="002D4988">
        <w:t>I</w:t>
      </w:r>
      <w:r w:rsidR="00AE4C2B" w:rsidRPr="002D4988">
        <w:t>ndirect comparisons between TOF and IFX or ADA for maintenance therapy</w:t>
      </w:r>
      <w:r w:rsidR="00D11729" w:rsidRPr="002D4988">
        <w:t xml:space="preserve"> are not presented</w:t>
      </w:r>
      <w:r w:rsidR="00AE4C2B" w:rsidRPr="002D4988">
        <w:t xml:space="preserve"> due to differences in trial design that favoured TOF</w:t>
      </w:r>
      <w:r w:rsidR="005566B9" w:rsidRPr="002D4988">
        <w:t>.</w:t>
      </w:r>
    </w:p>
    <w:p w:rsidR="00185A63" w:rsidRPr="002D4988" w:rsidRDefault="00185A63">
      <w:pPr>
        <w:jc w:val="left"/>
        <w:rPr>
          <w:rFonts w:ascii="Arial Narrow" w:eastAsiaTheme="minorEastAsia" w:hAnsi="Arial Narrow"/>
          <w:b/>
          <w:bCs/>
          <w:sz w:val="18"/>
          <w:szCs w:val="20"/>
          <w:lang w:eastAsia="en-US"/>
        </w:rPr>
      </w:pPr>
      <w:r w:rsidRPr="002D4988">
        <w:rPr>
          <w:rFonts w:ascii="Arial Narrow" w:eastAsiaTheme="minorEastAsia" w:hAnsi="Arial Narrow"/>
          <w:b/>
          <w:bCs/>
          <w:sz w:val="18"/>
          <w:szCs w:val="20"/>
          <w:lang w:eastAsia="en-US"/>
        </w:rPr>
        <w:br w:type="page"/>
      </w:r>
    </w:p>
    <w:p w:rsidR="005566B9" w:rsidRPr="002D4988" w:rsidRDefault="005566B9" w:rsidP="0020268E">
      <w:pPr>
        <w:rPr>
          <w:rFonts w:ascii="Arial Narrow" w:eastAsiaTheme="minorEastAsia" w:hAnsi="Arial Narrow"/>
          <w:b/>
          <w:sz w:val="20"/>
          <w:szCs w:val="20"/>
          <w:lang w:eastAsia="en-US"/>
        </w:rPr>
      </w:pPr>
      <w:bookmarkStart w:id="18" w:name="_Ref53405172"/>
      <w:r w:rsidRPr="002D4988">
        <w:rPr>
          <w:rFonts w:ascii="Arial Narrow" w:eastAsiaTheme="minorEastAsia" w:hAnsi="Arial Narrow"/>
          <w:b/>
          <w:bCs/>
          <w:sz w:val="18"/>
          <w:szCs w:val="20"/>
          <w:lang w:eastAsia="en-US"/>
        </w:rPr>
        <w:lastRenderedPageBreak/>
        <w:t xml:space="preserve">Table </w:t>
      </w:r>
      <w:r w:rsidR="00BC0889" w:rsidRPr="002D4988">
        <w:rPr>
          <w:rFonts w:ascii="Arial Narrow" w:eastAsiaTheme="minorEastAsia" w:hAnsi="Arial Narrow"/>
          <w:b/>
          <w:bCs/>
          <w:sz w:val="18"/>
          <w:szCs w:val="20"/>
          <w:lang w:eastAsia="en-US"/>
        </w:rPr>
        <w:t>5</w:t>
      </w:r>
      <w:bookmarkEnd w:id="18"/>
      <w:r w:rsidR="00D11729" w:rsidRPr="002D4988">
        <w:rPr>
          <w:rFonts w:ascii="Arial Narrow" w:eastAsiaTheme="minorEastAsia" w:hAnsi="Arial Narrow"/>
          <w:b/>
          <w:bCs/>
          <w:sz w:val="18"/>
          <w:szCs w:val="20"/>
          <w:lang w:eastAsia="en-US"/>
        </w:rPr>
        <w:t>:</w:t>
      </w:r>
      <w:r w:rsidRPr="002D4988">
        <w:rPr>
          <w:rFonts w:ascii="Arial Narrow" w:eastAsiaTheme="minorEastAsia" w:hAnsi="Arial Narrow"/>
          <w:b/>
          <w:sz w:val="18"/>
          <w:szCs w:val="20"/>
          <w:lang w:eastAsia="en-US"/>
        </w:rPr>
        <w:t xml:space="preserve"> Clinical remission at Weeks 6/8/10 – induction therapy (relevant arms only)</w:t>
      </w:r>
      <w:r w:rsidR="00D6581F">
        <w:rPr>
          <w:rFonts w:ascii="Arial Narrow" w:eastAsiaTheme="minorEastAsia" w:hAnsi="Arial Narrow"/>
          <w:b/>
          <w:sz w:val="18"/>
          <w:szCs w:val="20"/>
          <w:lang w:eastAsia="en-US"/>
        </w:rPr>
        <w:t>#</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38"/>
        <w:gridCol w:w="1274"/>
        <w:gridCol w:w="1136"/>
        <w:gridCol w:w="1330"/>
        <w:gridCol w:w="1330"/>
        <w:gridCol w:w="1309"/>
        <w:gridCol w:w="991"/>
      </w:tblGrid>
      <w:tr w:rsidR="0020268E" w:rsidRPr="002D4988" w:rsidTr="0020268E">
        <w:trPr>
          <w:trHeight w:val="170"/>
          <w:tblHeader/>
        </w:trPr>
        <w:tc>
          <w:tcPr>
            <w:tcW w:w="998" w:type="pct"/>
            <w:tcBorders>
              <w:bottom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Trial</w:t>
            </w:r>
          </w:p>
        </w:tc>
        <w:tc>
          <w:tcPr>
            <w:tcW w:w="692" w:type="pct"/>
            <w:tcBorders>
              <w:bottom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Drug</w:t>
            </w:r>
            <w:r w:rsidR="0098240F" w:rsidRPr="002D4988">
              <w:rPr>
                <w:rFonts w:ascii="Arial Narrow" w:eastAsiaTheme="minorEastAsia" w:hAnsi="Arial Narrow"/>
                <w:b/>
                <w:bCs/>
                <w:iCs/>
                <w:snapToGrid w:val="0"/>
                <w:sz w:val="17"/>
                <w:szCs w:val="17"/>
                <w:lang w:eastAsia="en-US"/>
              </w:rPr>
              <w:t xml:space="preserve"> </w:t>
            </w:r>
            <w:r w:rsidRPr="002D4988">
              <w:rPr>
                <w:rFonts w:ascii="Arial Narrow" w:eastAsiaTheme="minorEastAsia" w:hAnsi="Arial Narrow"/>
                <w:b/>
                <w:bCs/>
                <w:iCs/>
                <w:snapToGrid w:val="0"/>
                <w:sz w:val="17"/>
                <w:szCs w:val="17"/>
                <w:lang w:eastAsia="en-US"/>
              </w:rPr>
              <w:t>n/N (%)</w:t>
            </w:r>
          </w:p>
        </w:tc>
        <w:tc>
          <w:tcPr>
            <w:tcW w:w="617" w:type="pct"/>
            <w:tcBorders>
              <w:bottom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Control n/N (%)</w:t>
            </w:r>
          </w:p>
        </w:tc>
        <w:tc>
          <w:tcPr>
            <w:tcW w:w="722" w:type="pct"/>
            <w:tcBorders>
              <w:top w:val="single" w:sz="4" w:space="0" w:color="auto"/>
              <w:bottom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RR (95% CI)^</w:t>
            </w:r>
          </w:p>
        </w:tc>
        <w:tc>
          <w:tcPr>
            <w:tcW w:w="1432" w:type="pct"/>
            <w:gridSpan w:val="2"/>
            <w:tcBorders>
              <w:top w:val="single" w:sz="4" w:space="0" w:color="auto"/>
              <w:bottom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RD (95% CI)^</w:t>
            </w:r>
          </w:p>
        </w:tc>
        <w:tc>
          <w:tcPr>
            <w:tcW w:w="539" w:type="pct"/>
            <w:tcBorders>
              <w:top w:val="single" w:sz="4" w:space="0" w:color="auto"/>
              <w:bottom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NNT (95%CI)</w:t>
            </w:r>
          </w:p>
        </w:tc>
      </w:tr>
      <w:tr w:rsidR="0020268E" w:rsidRPr="002D4988" w:rsidTr="0020268E">
        <w:trPr>
          <w:trHeight w:val="68"/>
        </w:trPr>
        <w:tc>
          <w:tcPr>
            <w:tcW w:w="2307" w:type="pct"/>
            <w:gridSpan w:val="3"/>
            <w:tcBorders>
              <w:righ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b/>
                <w:bCs/>
                <w:i/>
                <w:iCs/>
                <w:snapToGrid w:val="0"/>
                <w:sz w:val="17"/>
                <w:szCs w:val="17"/>
                <w:lang w:eastAsia="en-US"/>
              </w:rPr>
            </w:pPr>
            <w:r w:rsidRPr="002D4988">
              <w:rPr>
                <w:rFonts w:ascii="Arial Narrow" w:eastAsiaTheme="minorEastAsia" w:hAnsi="Arial Narrow"/>
                <w:b/>
                <w:snapToGrid w:val="0"/>
                <w:sz w:val="17"/>
                <w:szCs w:val="17"/>
                <w:lang w:eastAsia="en-US"/>
              </w:rPr>
              <w:t>TOF 10mg v PBO (Wk 8)</w:t>
            </w:r>
            <w:r w:rsidRPr="002D4988">
              <w:rPr>
                <w:rFonts w:ascii="Arial Narrow" w:eastAsiaTheme="minorEastAsia" w:hAnsi="Arial Narrow"/>
                <w:b/>
                <w:snapToGrid w:val="0"/>
                <w:sz w:val="17"/>
                <w:szCs w:val="17"/>
                <w:vertAlign w:val="superscript"/>
                <w:lang w:eastAsia="en-US"/>
              </w:rPr>
              <w:t>a</w:t>
            </w:r>
          </w:p>
        </w:tc>
        <w:tc>
          <w:tcPr>
            <w:tcW w:w="722" w:type="pct"/>
            <w:tcBorders>
              <w:top w:val="single" w:sz="4" w:space="0" w:color="auto"/>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
                <w:iCs/>
                <w:snapToGrid w:val="0"/>
                <w:sz w:val="17"/>
                <w:szCs w:val="17"/>
                <w:lang w:eastAsia="en-US"/>
              </w:rPr>
            </w:pPr>
          </w:p>
        </w:tc>
        <w:tc>
          <w:tcPr>
            <w:tcW w:w="722" w:type="pct"/>
            <w:tcBorders>
              <w:top w:val="single" w:sz="4" w:space="0" w:color="auto"/>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p>
        </w:tc>
        <w:tc>
          <w:tcPr>
            <w:tcW w:w="711" w:type="pct"/>
            <w:tcBorders>
              <w:top w:val="single" w:sz="4" w:space="0" w:color="auto"/>
              <w:left w:val="nil"/>
              <w:bottom w:val="nil"/>
              <w:right w:val="single" w:sz="4" w:space="0" w:color="auto"/>
            </w:tcBorders>
            <w:vAlign w:val="center"/>
          </w:tcPr>
          <w:p w:rsidR="0020268E" w:rsidRPr="002D4988" w:rsidRDefault="0020268E" w:rsidP="0020268E">
            <w:pPr>
              <w:jc w:val="center"/>
              <w:rPr>
                <w:rFonts w:ascii="Arial Narrow" w:eastAsiaTheme="minorEastAsia" w:hAnsi="Arial Narrow"/>
                <w:i/>
                <w:iCs/>
                <w:snapToGrid w:val="0"/>
                <w:sz w:val="17"/>
                <w:szCs w:val="17"/>
                <w:lang w:eastAsia="en-US"/>
              </w:rPr>
            </w:pPr>
          </w:p>
        </w:tc>
        <w:tc>
          <w:tcPr>
            <w:tcW w:w="539" w:type="pct"/>
            <w:tcBorders>
              <w:top w:val="single" w:sz="4" w:space="0" w:color="auto"/>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iCs/>
                <w:snapToGrid w:val="0"/>
                <w:sz w:val="17"/>
                <w:szCs w:val="17"/>
                <w:lang w:eastAsia="en-US"/>
              </w:rPr>
            </w:pPr>
          </w:p>
        </w:tc>
      </w:tr>
      <w:tr w:rsidR="0020268E" w:rsidRPr="002D4988" w:rsidTr="0020268E">
        <w:trPr>
          <w:trHeight w:val="112"/>
        </w:trPr>
        <w:tc>
          <w:tcPr>
            <w:tcW w:w="998" w:type="pct"/>
            <w:shd w:val="clear" w:color="auto" w:fill="DBE5F1" w:themeFill="accent1" w:themeFillTint="33"/>
            <w:vAlign w:val="center"/>
          </w:tcPr>
          <w:p w:rsidR="0020268E" w:rsidRPr="00E91861" w:rsidRDefault="0020268E" w:rsidP="0020268E">
            <w:pPr>
              <w:jc w:val="left"/>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OCTAVE 1, ITT</w:t>
            </w:r>
          </w:p>
        </w:tc>
        <w:tc>
          <w:tcPr>
            <w:tcW w:w="692"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88/476 (18.5)</w:t>
            </w:r>
          </w:p>
        </w:tc>
        <w:tc>
          <w:tcPr>
            <w:tcW w:w="617"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10/122 (8.2)</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2.26 (1.21, 4.21)</w:t>
            </w:r>
          </w:p>
        </w:tc>
        <w:tc>
          <w:tcPr>
            <w:tcW w:w="722" w:type="pct"/>
            <w:tcBorders>
              <w:top w:val="nil"/>
              <w:left w:val="single" w:sz="4" w:space="0" w:color="auto"/>
              <w:bottom w:val="nil"/>
              <w:right w:val="nil"/>
            </w:tcBorders>
            <w:shd w:val="clear" w:color="auto" w:fill="DBE5F1" w:themeFill="accent1" w:themeFillTint="33"/>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0.10 (0.04, 0.16)</w:t>
            </w:r>
          </w:p>
        </w:tc>
        <w:tc>
          <w:tcPr>
            <w:tcW w:w="711" w:type="pct"/>
            <w:vMerge w:val="restart"/>
            <w:tcBorders>
              <w:top w:val="nil"/>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r w:rsidRPr="00E91861">
              <w:rPr>
                <w:noProof/>
              </w:rPr>
              <w:drawing>
                <wp:inline distT="0" distB="0" distL="0" distR="0" wp14:anchorId="45070ABD" wp14:editId="3A33C283">
                  <wp:extent cx="762000" cy="7010400"/>
                  <wp:effectExtent l="0" t="0" r="0" b="0"/>
                  <wp:docPr id="3" name="Picture 3" title="Table 5: Clinical remission at Weeks 6/8/10 – induction therapy (relevant arm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040" t="5124" r="27038" b="2393"/>
                          <a:stretch/>
                        </pic:blipFill>
                        <pic:spPr bwMode="auto">
                          <a:xfrm>
                            <a:off x="0" y="0"/>
                            <a:ext cx="762596" cy="70158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10 (6, 25)</w:t>
            </w:r>
          </w:p>
        </w:tc>
      </w:tr>
      <w:tr w:rsidR="0020268E" w:rsidRPr="002D4988" w:rsidTr="0020268E">
        <w:trPr>
          <w:trHeight w:val="112"/>
        </w:trPr>
        <w:tc>
          <w:tcPr>
            <w:tcW w:w="998" w:type="pct"/>
            <w:shd w:val="clear" w:color="auto" w:fill="DBE5F1" w:themeFill="accent1" w:themeFillTint="33"/>
            <w:vAlign w:val="center"/>
          </w:tcPr>
          <w:p w:rsidR="0020268E" w:rsidRPr="00E91861" w:rsidRDefault="0020268E" w:rsidP="0020268E">
            <w:pPr>
              <w:jc w:val="left"/>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OCTAVE 1, TNFi-n</w:t>
            </w:r>
          </w:p>
        </w:tc>
        <w:tc>
          <w:tcPr>
            <w:tcW w:w="692"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56/222 (25.2)</w:t>
            </w:r>
          </w:p>
        </w:tc>
        <w:tc>
          <w:tcPr>
            <w:tcW w:w="617"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9/57 (15.8)</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1.60 (0.84, 3.03)</w:t>
            </w:r>
          </w:p>
        </w:tc>
        <w:tc>
          <w:tcPr>
            <w:tcW w:w="722" w:type="pct"/>
            <w:tcBorders>
              <w:top w:val="nil"/>
              <w:left w:val="single" w:sz="4" w:space="0" w:color="auto"/>
              <w:bottom w:val="nil"/>
              <w:right w:val="nil"/>
            </w:tcBorders>
            <w:shd w:val="clear" w:color="auto" w:fill="DBE5F1" w:themeFill="accent1" w:themeFillTint="33"/>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0.09 (-0.02, 0.20)</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20268E">
        <w:trPr>
          <w:trHeight w:val="112"/>
        </w:trPr>
        <w:tc>
          <w:tcPr>
            <w:tcW w:w="998" w:type="pct"/>
            <w:shd w:val="clear" w:color="auto" w:fill="DBE5F1" w:themeFill="accent1" w:themeFillTint="33"/>
            <w:vAlign w:val="center"/>
          </w:tcPr>
          <w:p w:rsidR="0020268E" w:rsidRPr="00E91861" w:rsidRDefault="0020268E" w:rsidP="0020268E">
            <w:pPr>
              <w:jc w:val="left"/>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OCTAVE 1, TNFi-e</w:t>
            </w:r>
          </w:p>
        </w:tc>
        <w:tc>
          <w:tcPr>
            <w:tcW w:w="692"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32/254 (12.6)</w:t>
            </w:r>
          </w:p>
        </w:tc>
        <w:tc>
          <w:tcPr>
            <w:tcW w:w="617"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1/65 (1.5)</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8.19 (1.14, 58.82)</w:t>
            </w:r>
          </w:p>
        </w:tc>
        <w:tc>
          <w:tcPr>
            <w:tcW w:w="722" w:type="pct"/>
            <w:tcBorders>
              <w:top w:val="nil"/>
              <w:left w:val="single" w:sz="4" w:space="0" w:color="auto"/>
              <w:bottom w:val="nil"/>
              <w:right w:val="nil"/>
            </w:tcBorders>
            <w:shd w:val="clear" w:color="auto" w:fill="DBE5F1" w:themeFill="accent1" w:themeFillTint="33"/>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0.11 (0.06, 0.16)</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9 (6, 17)</w:t>
            </w:r>
          </w:p>
        </w:tc>
      </w:tr>
      <w:tr w:rsidR="0020268E" w:rsidRPr="002D4988" w:rsidTr="0020268E">
        <w:trPr>
          <w:trHeight w:val="112"/>
        </w:trPr>
        <w:tc>
          <w:tcPr>
            <w:tcW w:w="998" w:type="pct"/>
            <w:shd w:val="clear" w:color="auto" w:fill="DBE5F1" w:themeFill="accent1" w:themeFillTint="33"/>
            <w:vAlign w:val="center"/>
          </w:tcPr>
          <w:p w:rsidR="0020268E" w:rsidRPr="00E91861" w:rsidRDefault="0020268E" w:rsidP="0020268E">
            <w:pPr>
              <w:jc w:val="left"/>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OCTAVE 2, ITT</w:t>
            </w:r>
          </w:p>
        </w:tc>
        <w:tc>
          <w:tcPr>
            <w:tcW w:w="692"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72/429 (16.8)</w:t>
            </w:r>
          </w:p>
        </w:tc>
        <w:tc>
          <w:tcPr>
            <w:tcW w:w="617"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4/112 (3.6)</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4.70 (1.75, 12.59)</w:t>
            </w:r>
          </w:p>
        </w:tc>
        <w:tc>
          <w:tcPr>
            <w:tcW w:w="722" w:type="pct"/>
            <w:tcBorders>
              <w:top w:val="nil"/>
              <w:left w:val="single" w:sz="4" w:space="0" w:color="auto"/>
              <w:bottom w:val="nil"/>
              <w:right w:val="nil"/>
            </w:tcBorders>
            <w:shd w:val="clear" w:color="auto" w:fill="DBE5F1" w:themeFill="accent1" w:themeFillTint="33"/>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0.13 (0.08, 0.18)</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8 (5.5, 12.5)</w:t>
            </w:r>
          </w:p>
        </w:tc>
      </w:tr>
      <w:tr w:rsidR="0020268E" w:rsidRPr="002D4988" w:rsidTr="0020268E">
        <w:trPr>
          <w:trHeight w:val="112"/>
        </w:trPr>
        <w:tc>
          <w:tcPr>
            <w:tcW w:w="998" w:type="pct"/>
            <w:shd w:val="clear" w:color="auto" w:fill="DBE5F1" w:themeFill="accent1" w:themeFillTint="33"/>
            <w:vAlign w:val="center"/>
          </w:tcPr>
          <w:p w:rsidR="0020268E" w:rsidRPr="00E91861" w:rsidRDefault="0020268E" w:rsidP="0020268E">
            <w:pPr>
              <w:jc w:val="left"/>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OCTAVE 2, TNFi-n</w:t>
            </w:r>
          </w:p>
        </w:tc>
        <w:tc>
          <w:tcPr>
            <w:tcW w:w="692"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44/195 (22.6)</w:t>
            </w:r>
          </w:p>
        </w:tc>
        <w:tc>
          <w:tcPr>
            <w:tcW w:w="617"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4/47 (8.5)</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2.65 (1.00, 7.01)</w:t>
            </w:r>
          </w:p>
        </w:tc>
        <w:tc>
          <w:tcPr>
            <w:tcW w:w="722" w:type="pct"/>
            <w:tcBorders>
              <w:top w:val="nil"/>
              <w:left w:val="single" w:sz="4" w:space="0" w:color="auto"/>
              <w:bottom w:val="nil"/>
              <w:right w:val="nil"/>
            </w:tcBorders>
            <w:shd w:val="clear" w:color="auto" w:fill="DBE5F1" w:themeFill="accent1" w:themeFillTint="33"/>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0.14 (0.04, 0.24)</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7 (4, 25)</w:t>
            </w:r>
          </w:p>
        </w:tc>
      </w:tr>
      <w:tr w:rsidR="0020268E" w:rsidRPr="002D4988" w:rsidTr="0020268E">
        <w:trPr>
          <w:trHeight w:val="112"/>
        </w:trPr>
        <w:tc>
          <w:tcPr>
            <w:tcW w:w="998" w:type="pct"/>
            <w:shd w:val="clear" w:color="auto" w:fill="DBE5F1" w:themeFill="accent1" w:themeFillTint="33"/>
            <w:vAlign w:val="center"/>
          </w:tcPr>
          <w:p w:rsidR="0020268E" w:rsidRPr="00E91861" w:rsidRDefault="0020268E" w:rsidP="0020268E">
            <w:pPr>
              <w:jc w:val="left"/>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OCTAVE 2, TNFi-e</w:t>
            </w:r>
          </w:p>
        </w:tc>
        <w:tc>
          <w:tcPr>
            <w:tcW w:w="692"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28/234 (12.0)</w:t>
            </w:r>
          </w:p>
        </w:tc>
        <w:tc>
          <w:tcPr>
            <w:tcW w:w="617"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0/65 (0)</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16.01 (0.99, 258.73)</w:t>
            </w:r>
          </w:p>
        </w:tc>
        <w:tc>
          <w:tcPr>
            <w:tcW w:w="722" w:type="pct"/>
            <w:tcBorders>
              <w:top w:val="nil"/>
              <w:left w:val="single" w:sz="4" w:space="0" w:color="auto"/>
              <w:bottom w:val="nil"/>
              <w:right w:val="nil"/>
            </w:tcBorders>
            <w:shd w:val="clear" w:color="auto" w:fill="DBE5F1" w:themeFill="accent1" w:themeFillTint="33"/>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0.12 (0.07, 0.17)</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8 (6, 14)</w:t>
            </w:r>
          </w:p>
        </w:tc>
      </w:tr>
      <w:tr w:rsidR="0020268E" w:rsidRPr="002D4988" w:rsidTr="0020268E">
        <w:trPr>
          <w:trHeight w:val="112"/>
        </w:trPr>
        <w:tc>
          <w:tcPr>
            <w:tcW w:w="998" w:type="pct"/>
            <w:shd w:val="clear" w:color="auto" w:fill="DBE5F1" w:themeFill="accent1" w:themeFillTint="33"/>
            <w:vAlign w:val="center"/>
          </w:tcPr>
          <w:p w:rsidR="0020268E" w:rsidRPr="00E91861" w:rsidRDefault="0020268E" w:rsidP="006E1995">
            <w:pPr>
              <w:ind w:left="112"/>
              <w:jc w:val="right"/>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Meta, ITT</w:t>
            </w:r>
          </w:p>
        </w:tc>
        <w:tc>
          <w:tcPr>
            <w:tcW w:w="692"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160/905 (17.7)</w:t>
            </w:r>
          </w:p>
        </w:tc>
        <w:tc>
          <w:tcPr>
            <w:tcW w:w="617"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14/234 (6.0)</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E91861" w:rsidRDefault="0020268E" w:rsidP="0020268E">
            <w:pPr>
              <w:jc w:val="center"/>
              <w:rPr>
                <w:rFonts w:ascii="Arial Narrow" w:eastAsiaTheme="minorEastAsia" w:hAnsi="Arial Narrow"/>
                <w:b/>
                <w:bCs/>
                <w:i/>
                <w:iCs/>
                <w:snapToGrid w:val="0"/>
                <w:sz w:val="17"/>
                <w:szCs w:val="17"/>
                <w:lang w:eastAsia="en-US"/>
              </w:rPr>
            </w:pPr>
            <w:r w:rsidRPr="00E91861">
              <w:rPr>
                <w:rFonts w:ascii="Arial Narrow" w:eastAsiaTheme="minorEastAsia" w:hAnsi="Arial Narrow"/>
                <w:b/>
                <w:bCs/>
                <w:i/>
                <w:iCs/>
                <w:snapToGrid w:val="0"/>
                <w:sz w:val="17"/>
                <w:szCs w:val="17"/>
                <w:lang w:eastAsia="en-US"/>
              </w:rPr>
              <w:t>2.95 (1.46, 5.95)</w:t>
            </w:r>
          </w:p>
        </w:tc>
        <w:tc>
          <w:tcPr>
            <w:tcW w:w="722" w:type="pct"/>
            <w:tcBorders>
              <w:top w:val="nil"/>
              <w:left w:val="single" w:sz="4" w:space="0" w:color="auto"/>
              <w:bottom w:val="nil"/>
              <w:right w:val="nil"/>
            </w:tcBorders>
            <w:shd w:val="clear" w:color="auto" w:fill="DBE5F1" w:themeFill="accent1" w:themeFillTint="33"/>
          </w:tcPr>
          <w:p w:rsidR="0020268E" w:rsidRPr="00E91861" w:rsidRDefault="0020268E" w:rsidP="0020268E">
            <w:pPr>
              <w:jc w:val="center"/>
              <w:rPr>
                <w:rFonts w:ascii="Arial Narrow" w:eastAsiaTheme="minorEastAsia" w:hAnsi="Arial Narrow"/>
                <w:b/>
                <w:bCs/>
                <w:i/>
                <w:iCs/>
                <w:snapToGrid w:val="0"/>
                <w:sz w:val="17"/>
                <w:szCs w:val="17"/>
                <w:lang w:eastAsia="en-US"/>
              </w:rPr>
            </w:pPr>
            <w:r w:rsidRPr="00E91861">
              <w:rPr>
                <w:rFonts w:ascii="Arial Narrow" w:eastAsiaTheme="minorEastAsia" w:hAnsi="Arial Narrow"/>
                <w:b/>
                <w:bCs/>
                <w:i/>
                <w:iCs/>
                <w:snapToGrid w:val="0"/>
                <w:sz w:val="17"/>
                <w:szCs w:val="17"/>
                <w:lang w:eastAsia="en-US"/>
              </w:rPr>
              <w:t>0.12 (0.08, 0.16)</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8 (6, 12.5)</w:t>
            </w:r>
          </w:p>
        </w:tc>
      </w:tr>
      <w:tr w:rsidR="0020268E" w:rsidRPr="002D4988" w:rsidTr="0020268E">
        <w:trPr>
          <w:trHeight w:val="112"/>
        </w:trPr>
        <w:tc>
          <w:tcPr>
            <w:tcW w:w="998" w:type="pct"/>
            <w:shd w:val="clear" w:color="auto" w:fill="DBE5F1" w:themeFill="accent1" w:themeFillTint="33"/>
            <w:vAlign w:val="center"/>
          </w:tcPr>
          <w:p w:rsidR="0020268E" w:rsidRPr="00E91861" w:rsidRDefault="0020268E" w:rsidP="006E1995">
            <w:pPr>
              <w:ind w:left="112"/>
              <w:jc w:val="right"/>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Meta, TNFi-n</w:t>
            </w:r>
          </w:p>
        </w:tc>
        <w:tc>
          <w:tcPr>
            <w:tcW w:w="692"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100/417 (23.7)</w:t>
            </w:r>
          </w:p>
        </w:tc>
        <w:tc>
          <w:tcPr>
            <w:tcW w:w="617"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13/104 (12.5)</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E91861" w:rsidRDefault="0020268E" w:rsidP="0020268E">
            <w:pPr>
              <w:jc w:val="center"/>
              <w:rPr>
                <w:rFonts w:ascii="Arial Narrow" w:eastAsiaTheme="minorEastAsia" w:hAnsi="Arial Narrow"/>
                <w:b/>
                <w:bCs/>
                <w:i/>
                <w:snapToGrid w:val="0"/>
                <w:sz w:val="17"/>
                <w:szCs w:val="17"/>
                <w:lang w:eastAsia="en-US"/>
              </w:rPr>
            </w:pPr>
            <w:r w:rsidRPr="00E91861">
              <w:rPr>
                <w:rFonts w:ascii="Arial Narrow" w:eastAsiaTheme="minorEastAsia" w:hAnsi="Arial Narrow"/>
                <w:b/>
                <w:bCs/>
                <w:i/>
                <w:snapToGrid w:val="0"/>
                <w:sz w:val="17"/>
                <w:szCs w:val="17"/>
                <w:lang w:eastAsia="en-US"/>
              </w:rPr>
              <w:t>1.86 (1.09, 3.18)</w:t>
            </w:r>
          </w:p>
        </w:tc>
        <w:tc>
          <w:tcPr>
            <w:tcW w:w="722" w:type="pct"/>
            <w:tcBorders>
              <w:top w:val="nil"/>
              <w:left w:val="single" w:sz="4" w:space="0" w:color="auto"/>
              <w:bottom w:val="nil"/>
              <w:right w:val="nil"/>
            </w:tcBorders>
            <w:shd w:val="clear" w:color="auto" w:fill="DBE5F1" w:themeFill="accent1" w:themeFillTint="33"/>
          </w:tcPr>
          <w:p w:rsidR="0020268E" w:rsidRPr="00E91861" w:rsidRDefault="0020268E" w:rsidP="0020268E">
            <w:pPr>
              <w:jc w:val="center"/>
              <w:rPr>
                <w:rFonts w:ascii="Arial Narrow" w:eastAsiaTheme="minorEastAsia" w:hAnsi="Arial Narrow"/>
                <w:b/>
                <w:bCs/>
                <w:i/>
                <w:iCs/>
                <w:snapToGrid w:val="0"/>
                <w:sz w:val="17"/>
                <w:szCs w:val="17"/>
                <w:lang w:eastAsia="en-US"/>
              </w:rPr>
            </w:pPr>
            <w:r w:rsidRPr="00E91861">
              <w:rPr>
                <w:rFonts w:ascii="Arial Narrow" w:eastAsiaTheme="minorEastAsia" w:hAnsi="Arial Narrow"/>
                <w:b/>
                <w:bCs/>
                <w:i/>
                <w:snapToGrid w:val="0"/>
                <w:sz w:val="17"/>
                <w:szCs w:val="17"/>
                <w:lang w:eastAsia="en-US"/>
              </w:rPr>
              <w:t>0.12 (0.05, 0.19)</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8 (5, 20)</w:t>
            </w:r>
          </w:p>
        </w:tc>
      </w:tr>
      <w:tr w:rsidR="0020268E" w:rsidRPr="002D4988" w:rsidTr="0020268E">
        <w:trPr>
          <w:trHeight w:val="112"/>
        </w:trPr>
        <w:tc>
          <w:tcPr>
            <w:tcW w:w="998" w:type="pct"/>
            <w:shd w:val="clear" w:color="auto" w:fill="DBE5F1" w:themeFill="accent1" w:themeFillTint="33"/>
            <w:vAlign w:val="center"/>
          </w:tcPr>
          <w:p w:rsidR="0020268E" w:rsidRPr="00E91861" w:rsidRDefault="0020268E" w:rsidP="006E1995">
            <w:pPr>
              <w:ind w:left="112"/>
              <w:jc w:val="right"/>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Meta, TNFi-e</w:t>
            </w:r>
          </w:p>
        </w:tc>
        <w:tc>
          <w:tcPr>
            <w:tcW w:w="692"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60/488 (12.3)</w:t>
            </w:r>
          </w:p>
        </w:tc>
        <w:tc>
          <w:tcPr>
            <w:tcW w:w="617"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1/130 (0.8)</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E91861" w:rsidRDefault="0020268E" w:rsidP="0020268E">
            <w:pPr>
              <w:jc w:val="center"/>
              <w:rPr>
                <w:rFonts w:ascii="Arial Narrow" w:eastAsiaTheme="minorEastAsia" w:hAnsi="Arial Narrow"/>
                <w:b/>
                <w:bCs/>
                <w:i/>
                <w:iCs/>
                <w:snapToGrid w:val="0"/>
                <w:sz w:val="17"/>
                <w:szCs w:val="17"/>
                <w:lang w:eastAsia="en-US"/>
              </w:rPr>
            </w:pPr>
            <w:r w:rsidRPr="00E91861">
              <w:rPr>
                <w:rFonts w:ascii="Arial Narrow" w:eastAsiaTheme="minorEastAsia" w:hAnsi="Arial Narrow"/>
                <w:b/>
                <w:bCs/>
                <w:i/>
                <w:iCs/>
                <w:snapToGrid w:val="0"/>
                <w:sz w:val="17"/>
                <w:szCs w:val="17"/>
                <w:lang w:eastAsia="en-US"/>
              </w:rPr>
              <w:t>10.25 (2.05, 51.19)</w:t>
            </w:r>
          </w:p>
        </w:tc>
        <w:tc>
          <w:tcPr>
            <w:tcW w:w="722" w:type="pct"/>
            <w:tcBorders>
              <w:top w:val="nil"/>
              <w:left w:val="single" w:sz="4" w:space="0" w:color="auto"/>
              <w:bottom w:val="nil"/>
              <w:right w:val="nil"/>
            </w:tcBorders>
            <w:shd w:val="clear" w:color="auto" w:fill="DBE5F1" w:themeFill="accent1" w:themeFillTint="33"/>
          </w:tcPr>
          <w:p w:rsidR="0020268E" w:rsidRPr="00E91861" w:rsidRDefault="0020268E" w:rsidP="0020268E">
            <w:pPr>
              <w:jc w:val="center"/>
              <w:rPr>
                <w:rFonts w:ascii="Arial Narrow" w:eastAsiaTheme="minorEastAsia" w:hAnsi="Arial Narrow"/>
                <w:b/>
                <w:bCs/>
                <w:i/>
                <w:iCs/>
                <w:snapToGrid w:val="0"/>
                <w:sz w:val="17"/>
                <w:szCs w:val="17"/>
                <w:lang w:eastAsia="en-US"/>
              </w:rPr>
            </w:pPr>
            <w:r w:rsidRPr="00E91861">
              <w:rPr>
                <w:rFonts w:ascii="Arial Narrow" w:eastAsiaTheme="minorEastAsia" w:hAnsi="Arial Narrow"/>
                <w:b/>
                <w:bCs/>
                <w:i/>
                <w:iCs/>
                <w:snapToGrid w:val="0"/>
                <w:sz w:val="17"/>
                <w:szCs w:val="17"/>
                <w:lang w:eastAsia="en-US"/>
              </w:rPr>
              <w:t>0.12 (0.08, 0.15)</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8 (7, 12.5)</w:t>
            </w:r>
          </w:p>
        </w:tc>
      </w:tr>
      <w:tr w:rsidR="0020268E" w:rsidRPr="002D4988" w:rsidTr="0020268E">
        <w:trPr>
          <w:trHeight w:val="170"/>
        </w:trPr>
        <w:tc>
          <w:tcPr>
            <w:tcW w:w="2307" w:type="pct"/>
            <w:gridSpan w:val="3"/>
            <w:tcBorders>
              <w:righ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IFX v PBO (Wk 8)</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
                <w:iCs/>
                <w:snapToGrid w:val="0"/>
                <w:sz w:val="17"/>
                <w:szCs w:val="17"/>
                <w:lang w:eastAsia="en-US"/>
              </w:rPr>
            </w:pP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i/>
                <w:iCs/>
                <w:snapToGrid w:val="0"/>
                <w:sz w:val="17"/>
                <w:szCs w:val="17"/>
                <w:lang w:eastAsia="en-US"/>
              </w:rPr>
            </w:pP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ACT 1, ITT/TNFi-n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47/121 (38.8)</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18/121 (14.9)</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2.61 (1.61, 4.23)</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snapToGrid w:val="0"/>
                <w:sz w:val="17"/>
                <w:szCs w:val="17"/>
                <w:lang w:eastAsia="en-US"/>
              </w:rPr>
              <w:t>0.24 (0.13, 0.35)</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4 (3, 8)</w:t>
            </w:r>
          </w:p>
        </w:tc>
      </w:tr>
      <w:tr w:rsidR="0020268E" w:rsidRPr="002D4988" w:rsidTr="0020268E">
        <w:trPr>
          <w:trHeight w:val="237"/>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ACT 2, ITT/TNFi-n</w:t>
            </w:r>
          </w:p>
        </w:tc>
        <w:tc>
          <w:tcPr>
            <w:tcW w:w="692"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41/121 (33.9)</w:t>
            </w:r>
          </w:p>
        </w:tc>
        <w:tc>
          <w:tcPr>
            <w:tcW w:w="617"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7/123 (5.7)</w:t>
            </w:r>
          </w:p>
        </w:tc>
        <w:tc>
          <w:tcPr>
            <w:tcW w:w="722"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5.95 (2.78, 12.75)</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snapToGrid w:val="0"/>
                <w:sz w:val="17"/>
                <w:szCs w:val="17"/>
                <w:lang w:eastAsia="en-US"/>
              </w:rPr>
              <w:t>0.28 (0.19, 0.38)</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4 (3, 5)</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Jiang 2015, ITT/TNFi-n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22/41 (53.7)</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9/41 (22.0)</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2.44 (1.28, 4.65)</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snapToGrid w:val="0"/>
                <w:sz w:val="17"/>
                <w:szCs w:val="17"/>
                <w:lang w:eastAsia="en-US"/>
              </w:rPr>
              <w:t>0.32 (0.12, 0.52)</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3 (2, 8)</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REMICADE ITT/TNFi-n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11/50 (22.0)</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5/49 (10.2)</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2.16 (0.81, 5.75)</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snapToGrid w:val="0"/>
                <w:sz w:val="17"/>
                <w:szCs w:val="17"/>
                <w:lang w:eastAsia="en-US"/>
              </w:rPr>
              <w:t>0.12 (-0.02, 0.26)</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Kobayashi 2016 ITT/TNFi-n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21/104 (20.2)</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11/104 (10.6)</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1.91 (0.97, 3.76)</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0.10 (-0.00, 0.19)</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ind w:left="112"/>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ITT/TNFi-n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142/437 (32.5)</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50/438 (11.4)</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2.72 (1.90, 3.88)</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0.20 (0.12, 0.29)</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5 (4, 6)</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ind w:left="112"/>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Meta (ACT1/2), ITT/TNFi-n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88/242 (36.3)</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25/244 (10.4)</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3.74 (1.66, 8.45)</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0.26 (0.19, 0.33)</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4 (3, 5)</w:t>
            </w:r>
          </w:p>
        </w:tc>
      </w:tr>
      <w:tr w:rsidR="0020268E" w:rsidRPr="002D4988" w:rsidTr="0020268E">
        <w:trPr>
          <w:trHeight w:val="170"/>
        </w:trPr>
        <w:tc>
          <w:tcPr>
            <w:tcW w:w="2307" w:type="pct"/>
            <w:gridSpan w:val="3"/>
            <w:tcBorders>
              <w:right w:val="single" w:sz="4" w:space="0" w:color="auto"/>
            </w:tcBorders>
            <w:shd w:val="clear" w:color="auto" w:fill="DBE5F1" w:themeFill="accent1" w:themeFillTint="33"/>
            <w:vAlign w:val="center"/>
          </w:tcPr>
          <w:p w:rsidR="0020268E" w:rsidRPr="002D4988" w:rsidRDefault="0020268E" w:rsidP="0020268E">
            <w:pP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GOL v PBO (Wk 6)</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PURSUIT-SC, ITT/TNFi-n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45/253 (17.8)</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16/251 (6.4)</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2.79 (1.62, 4.80)</w:t>
            </w: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0.11 (0.06, 0.17)</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9 (6, 17)</w:t>
            </w:r>
          </w:p>
        </w:tc>
      </w:tr>
      <w:tr w:rsidR="0020268E" w:rsidRPr="002D4988" w:rsidTr="0020268E">
        <w:trPr>
          <w:trHeight w:val="70"/>
        </w:trPr>
        <w:tc>
          <w:tcPr>
            <w:tcW w:w="2307" w:type="pct"/>
            <w:gridSpan w:val="3"/>
            <w:tcBorders>
              <w:right w:val="single" w:sz="4" w:space="0" w:color="auto"/>
            </w:tcBorders>
            <w:shd w:val="clear" w:color="auto" w:fill="DBE5F1" w:themeFill="accent1" w:themeFillTint="33"/>
            <w:vAlign w:val="center"/>
          </w:tcPr>
          <w:p w:rsidR="0020268E" w:rsidRPr="002D4988" w:rsidRDefault="0020268E" w:rsidP="0020268E">
            <w:pP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ADA v PBO (Wk 8)</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ULTRA 1, ITT/TNFi-n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24/130 (18.5)</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12/130 (9.2)</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2.00 (1.05, 3.83)</w:t>
            </w: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0.09 (0.01, 0.18)</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11 (5.5, 100)</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ULTRA 2, ITT</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41/248 (16.5)</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23/246 (9.3)</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1.77 (1.10, 2.86)</w:t>
            </w: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0.07 (0.01, 0.13)</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14 (8, 100)</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ULTRA 2, 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snapToGrid w:val="0"/>
                <w:sz w:val="17"/>
                <w:szCs w:val="17"/>
                <w:lang w:eastAsia="en-US"/>
              </w:rPr>
              <w:t>32/150 (21.3)</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snapToGrid w:val="0"/>
                <w:sz w:val="17"/>
                <w:szCs w:val="17"/>
                <w:lang w:eastAsia="en-US"/>
              </w:rPr>
              <w:t>16/145 (11.0))</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1.93 (1.11, 3.37)</w:t>
            </w: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0.10 (0.02, 0.19)</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10 (5, 50)</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ULTRA 2, TNFi-e</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snapToGrid w:val="0"/>
                <w:sz w:val="17"/>
                <w:szCs w:val="17"/>
                <w:lang w:eastAsia="en-US"/>
              </w:rPr>
              <w:t>9/98 (9.2)</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snapToGrid w:val="0"/>
                <w:sz w:val="17"/>
                <w:szCs w:val="17"/>
                <w:lang w:eastAsia="en-US"/>
              </w:rPr>
              <w:t>7/101 (6.9)</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1.33 (0.51, 3.42)</w:t>
            </w: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0.02 (-0.05, 0.10)</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Suzuki 2014, ITT/TNFi-n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9/90 (10.0)</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11/96 (11.5)</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0.87 (0.38, 2.01)</w:t>
            </w: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-0.01 (-0.10, 0.07)</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ind w:left="112"/>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ITT</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74/468 (15.8)</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46/472 (9.7)</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
                <w:iCs/>
                <w:snapToGrid w:val="0"/>
                <w:sz w:val="17"/>
                <w:szCs w:val="17"/>
                <w:lang w:eastAsia="en-US"/>
              </w:rPr>
            </w:pPr>
            <w:r w:rsidRPr="002D4988">
              <w:rPr>
                <w:rFonts w:ascii="Arial Narrow" w:eastAsiaTheme="minorEastAsia" w:hAnsi="Arial Narrow"/>
                <w:b/>
                <w:bCs/>
                <w:i/>
                <w:iCs/>
                <w:snapToGrid w:val="0"/>
                <w:sz w:val="17"/>
                <w:szCs w:val="17"/>
                <w:lang w:eastAsia="en-US"/>
              </w:rPr>
              <w:t>1.58 (1.05, 2.40)</w:t>
            </w: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i/>
                <w:snapToGrid w:val="0"/>
                <w:sz w:val="17"/>
                <w:szCs w:val="17"/>
                <w:lang w:eastAsia="en-US"/>
              </w:rPr>
              <w:t>0.05 (0.00, 0.11)</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17 (10, 50)</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ind w:left="112"/>
              <w:jc w:val="right"/>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Meta, 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65/370 (17.5)</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39/371 (10.5)</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1.62 (1.02, 2.57)</w:t>
            </w:r>
          </w:p>
        </w:tc>
        <w:tc>
          <w:tcPr>
            <w:tcW w:w="722" w:type="pct"/>
            <w:tcBorders>
              <w:top w:val="nil"/>
              <w:left w:val="single" w:sz="4" w:space="0" w:color="auto"/>
              <w:bottom w:val="nil"/>
              <w:right w:val="nil"/>
            </w:tcBorders>
            <w:shd w:val="clear" w:color="auto" w:fill="DBE5F1" w:themeFill="accent1" w:themeFillTint="33"/>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Cs/>
                <w:i/>
                <w:snapToGrid w:val="0"/>
                <w:sz w:val="17"/>
                <w:szCs w:val="17"/>
                <w:lang w:eastAsia="en-US"/>
              </w:rPr>
              <w:t>0.06 (-0.01, 0.13</w:t>
            </w:r>
            <w:r w:rsidRPr="002D4988">
              <w:rPr>
                <w:rFonts w:ascii="Arial Narrow" w:eastAsiaTheme="minorEastAsia" w:hAnsi="Arial Narrow"/>
                <w:b/>
                <w:bCs/>
                <w:i/>
                <w:snapToGrid w:val="0"/>
                <w:sz w:val="17"/>
                <w:szCs w:val="17"/>
                <w:lang w:eastAsia="en-US"/>
              </w:rPr>
              <w:t>)</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14 (8, 50)</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rPr>
                <w:rFonts w:ascii="Arial Narrow" w:eastAsiaTheme="minorEastAsia" w:hAnsi="Arial Narrow"/>
                <w:iCs/>
                <w:snapToGrid w:val="0"/>
                <w:sz w:val="17"/>
                <w:szCs w:val="17"/>
                <w:lang w:eastAsia="en-US"/>
              </w:rPr>
            </w:pPr>
            <w:r w:rsidRPr="002D4988">
              <w:rPr>
                <w:rFonts w:ascii="Arial Narrow" w:eastAsiaTheme="minorEastAsia" w:hAnsi="Arial Narrow"/>
                <w:b/>
                <w:bCs/>
                <w:iCs/>
                <w:snapToGrid w:val="0"/>
                <w:sz w:val="17"/>
                <w:szCs w:val="17"/>
                <w:lang w:eastAsia="en-US"/>
              </w:rPr>
              <w:t>VDZ v PBO (Wk 6,10</w:t>
            </w:r>
            <w:r w:rsidRPr="002D4988">
              <w:rPr>
                <w:rFonts w:ascii="Arial Narrow" w:eastAsiaTheme="minorEastAsia" w:hAnsi="Arial Narrow"/>
                <w:b/>
                <w:bCs/>
                <w:iCs/>
                <w:snapToGrid w:val="0"/>
                <w:sz w:val="17"/>
                <w:szCs w:val="17"/>
                <w:vertAlign w:val="superscript"/>
                <w:lang w:eastAsia="en-US"/>
              </w:rPr>
              <w:t>b</w:t>
            </w:r>
            <w:r w:rsidRPr="002D4988">
              <w:rPr>
                <w:rFonts w:ascii="Arial Narrow" w:eastAsiaTheme="minorEastAsia" w:hAnsi="Arial Narrow"/>
                <w:b/>
                <w:bCs/>
                <w:iCs/>
                <w:snapToGrid w:val="0"/>
                <w:sz w:val="17"/>
                <w:szCs w:val="17"/>
                <w:lang w:eastAsia="en-US"/>
              </w:rPr>
              <w:t>)</w:t>
            </w:r>
          </w:p>
        </w:tc>
        <w:tc>
          <w:tcPr>
            <w:tcW w:w="722"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22" w:type="pct"/>
            <w:tcBorders>
              <w:top w:val="nil"/>
              <w:left w:val="single" w:sz="4" w:space="0" w:color="auto"/>
              <w:bottom w:val="nil"/>
              <w:right w:val="nil"/>
            </w:tcBorders>
            <w:shd w:val="clear" w:color="auto" w:fill="auto"/>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GEMINI 1, ITT</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38/225 (16.9)</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8/149 (5.4)</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3.15 (1.51, 6.55)</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0.12 (0.05, 0.18)</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8 (5.5, 20)</w:t>
            </w:r>
          </w:p>
        </w:tc>
      </w:tr>
      <w:tr w:rsidR="0020268E" w:rsidRPr="002D4988" w:rsidTr="0020268E">
        <w:trPr>
          <w:trHeight w:val="170"/>
        </w:trPr>
        <w:tc>
          <w:tcPr>
            <w:tcW w:w="998"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 xml:space="preserve">GEMINI 1, </w:t>
            </w:r>
            <w:r w:rsidRPr="002D4988">
              <w:rPr>
                <w:rFonts w:ascii="Arial Narrow" w:eastAsiaTheme="minorEastAsia" w:hAnsi="Arial Narrow"/>
                <w:i/>
                <w:snapToGrid w:val="0"/>
                <w:sz w:val="17"/>
                <w:szCs w:val="17"/>
                <w:lang w:eastAsia="en-US"/>
              </w:rPr>
              <w:t>TNFi-n</w:t>
            </w:r>
          </w:p>
        </w:tc>
        <w:tc>
          <w:tcPr>
            <w:tcW w:w="692"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30/130 (23.1)</w:t>
            </w:r>
          </w:p>
        </w:tc>
        <w:tc>
          <w:tcPr>
            <w:tcW w:w="617"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5/76 (6.6)</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3.51 (1.42, 8.66)</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0.16 (0.07, 0.26)</w:t>
            </w: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6 (4, 14)</w:t>
            </w:r>
          </w:p>
        </w:tc>
      </w:tr>
      <w:tr w:rsidR="0020268E" w:rsidRPr="002D4988" w:rsidTr="0020268E">
        <w:trPr>
          <w:trHeight w:val="170"/>
        </w:trPr>
        <w:tc>
          <w:tcPr>
            <w:tcW w:w="998" w:type="pct"/>
            <w:tcBorders>
              <w:top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 xml:space="preserve">GEMINI 1, </w:t>
            </w:r>
            <w:r w:rsidRPr="002D4988">
              <w:rPr>
                <w:rFonts w:ascii="Arial Narrow" w:eastAsiaTheme="minorEastAsia" w:hAnsi="Arial Narrow"/>
                <w:i/>
                <w:snapToGrid w:val="0"/>
                <w:sz w:val="17"/>
                <w:szCs w:val="17"/>
                <w:lang w:eastAsia="en-US"/>
              </w:rPr>
              <w:t>TNFi-e*</w:t>
            </w:r>
          </w:p>
        </w:tc>
        <w:tc>
          <w:tcPr>
            <w:tcW w:w="692" w:type="pct"/>
            <w:tcBorders>
              <w:top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8/82 (9.8)</w:t>
            </w:r>
          </w:p>
        </w:tc>
        <w:tc>
          <w:tcPr>
            <w:tcW w:w="617" w:type="pct"/>
            <w:tcBorders>
              <w:top w:val="single" w:sz="4" w:space="0" w:color="auto"/>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2/63 (3.2)</w:t>
            </w:r>
          </w:p>
        </w:tc>
        <w:tc>
          <w:tcPr>
            <w:tcW w:w="722" w:type="pct"/>
            <w:tcBorders>
              <w:top w:val="nil"/>
              <w:left w:val="single" w:sz="4" w:space="0" w:color="auto"/>
              <w:bottom w:val="nil"/>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3.07 (0.68, 13.97)</w:t>
            </w:r>
          </w:p>
        </w:tc>
        <w:tc>
          <w:tcPr>
            <w:tcW w:w="722"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0.07 (-0.01, 0.14)</w:t>
            </w:r>
          </w:p>
        </w:tc>
        <w:tc>
          <w:tcPr>
            <w:tcW w:w="711" w:type="pct"/>
            <w:vMerge/>
            <w:tcBorders>
              <w:top w:val="single" w:sz="4" w:space="0" w:color="auto"/>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 xml:space="preserve">NS </w:t>
            </w:r>
          </w:p>
        </w:tc>
      </w:tr>
      <w:tr w:rsidR="0020268E" w:rsidRPr="002D4988" w:rsidTr="0020268E">
        <w:trPr>
          <w:trHeight w:val="170"/>
        </w:trPr>
        <w:tc>
          <w:tcPr>
            <w:tcW w:w="998" w:type="pct"/>
            <w:shd w:val="clear" w:color="auto" w:fill="auto"/>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Motoya 2019, ITT</w:t>
            </w:r>
          </w:p>
        </w:tc>
        <w:tc>
          <w:tcPr>
            <w:tcW w:w="692" w:type="pct"/>
            <w:tcBorders>
              <w:top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30/164 (18.3)</w:t>
            </w:r>
          </w:p>
        </w:tc>
        <w:tc>
          <w:tcPr>
            <w:tcW w:w="617" w:type="pct"/>
            <w:tcBorders>
              <w:top w:val="single" w:sz="4" w:space="0" w:color="auto"/>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10/82 (12.2)</w:t>
            </w:r>
          </w:p>
        </w:tc>
        <w:tc>
          <w:tcPr>
            <w:tcW w:w="722"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1.50 (0.77, 2.92)</w:t>
            </w:r>
          </w:p>
        </w:tc>
        <w:tc>
          <w:tcPr>
            <w:tcW w:w="722"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0.06 (-0.03, 0.15)</w:t>
            </w:r>
          </w:p>
        </w:tc>
        <w:tc>
          <w:tcPr>
            <w:tcW w:w="711" w:type="pct"/>
            <w:vMerge/>
            <w:tcBorders>
              <w:top w:val="single" w:sz="4" w:space="0" w:color="auto"/>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20268E">
        <w:trPr>
          <w:trHeight w:val="170"/>
        </w:trPr>
        <w:tc>
          <w:tcPr>
            <w:tcW w:w="998" w:type="pct"/>
            <w:shd w:val="clear" w:color="auto" w:fill="auto"/>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 xml:space="preserve">Motoya 2019, </w:t>
            </w:r>
            <w:r w:rsidRPr="002D4988">
              <w:rPr>
                <w:rFonts w:ascii="Arial Narrow" w:eastAsiaTheme="minorEastAsia" w:hAnsi="Arial Narrow"/>
                <w:i/>
                <w:snapToGrid w:val="0"/>
                <w:sz w:val="17"/>
                <w:szCs w:val="17"/>
                <w:lang w:eastAsia="en-US"/>
              </w:rPr>
              <w:t>TNFi-n</w:t>
            </w:r>
          </w:p>
        </w:tc>
        <w:tc>
          <w:tcPr>
            <w:tcW w:w="692" w:type="pct"/>
            <w:tcBorders>
              <w:top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22/79 (27.8)</w:t>
            </w:r>
          </w:p>
        </w:tc>
        <w:tc>
          <w:tcPr>
            <w:tcW w:w="617" w:type="pct"/>
            <w:tcBorders>
              <w:top w:val="single" w:sz="4" w:space="0" w:color="auto"/>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6/41 (14.6)</w:t>
            </w:r>
          </w:p>
        </w:tc>
        <w:tc>
          <w:tcPr>
            <w:tcW w:w="722"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1.90 (0.84, 4.32)</w:t>
            </w:r>
          </w:p>
        </w:tc>
        <w:tc>
          <w:tcPr>
            <w:tcW w:w="722"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0.13 (-0.01, 0.28)</w:t>
            </w:r>
          </w:p>
        </w:tc>
        <w:tc>
          <w:tcPr>
            <w:tcW w:w="711" w:type="pct"/>
            <w:vMerge/>
            <w:tcBorders>
              <w:top w:val="single" w:sz="4" w:space="0" w:color="auto"/>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20268E">
        <w:trPr>
          <w:trHeight w:val="170"/>
        </w:trPr>
        <w:tc>
          <w:tcPr>
            <w:tcW w:w="998" w:type="pct"/>
            <w:tcBorders>
              <w:top w:val="single" w:sz="4" w:space="0" w:color="auto"/>
            </w:tcBorders>
            <w:shd w:val="clear" w:color="auto" w:fill="auto"/>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 xml:space="preserve">Motoya 2019, </w:t>
            </w:r>
            <w:r w:rsidRPr="002D4988">
              <w:rPr>
                <w:rFonts w:ascii="Arial Narrow" w:eastAsiaTheme="minorEastAsia" w:hAnsi="Arial Narrow"/>
                <w:i/>
                <w:snapToGrid w:val="0"/>
                <w:sz w:val="17"/>
                <w:szCs w:val="17"/>
                <w:lang w:eastAsia="en-US"/>
              </w:rPr>
              <w:t>TNFi-e*</w:t>
            </w:r>
          </w:p>
        </w:tc>
        <w:tc>
          <w:tcPr>
            <w:tcW w:w="692" w:type="pct"/>
            <w:tcBorders>
              <w:top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8/85 (9.4)</w:t>
            </w:r>
          </w:p>
        </w:tc>
        <w:tc>
          <w:tcPr>
            <w:tcW w:w="617" w:type="pct"/>
            <w:tcBorders>
              <w:top w:val="single" w:sz="4" w:space="0" w:color="auto"/>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4/41 (9.8)</w:t>
            </w:r>
          </w:p>
        </w:tc>
        <w:tc>
          <w:tcPr>
            <w:tcW w:w="722"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0.96 (0.31, 3.02)</w:t>
            </w:r>
          </w:p>
        </w:tc>
        <w:tc>
          <w:tcPr>
            <w:tcW w:w="722"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0.00 (-0.11, 0.11)</w:t>
            </w:r>
          </w:p>
        </w:tc>
        <w:tc>
          <w:tcPr>
            <w:tcW w:w="711" w:type="pct"/>
            <w:vMerge/>
            <w:tcBorders>
              <w:top w:val="single" w:sz="4" w:space="0" w:color="auto"/>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20268E">
        <w:trPr>
          <w:trHeight w:val="170"/>
        </w:trPr>
        <w:tc>
          <w:tcPr>
            <w:tcW w:w="998" w:type="pct"/>
            <w:shd w:val="clear" w:color="auto" w:fill="auto"/>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ITT</w:t>
            </w:r>
          </w:p>
        </w:tc>
        <w:tc>
          <w:tcPr>
            <w:tcW w:w="692" w:type="pct"/>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iCs/>
                <w:snapToGrid w:val="0"/>
                <w:sz w:val="17"/>
                <w:szCs w:val="17"/>
                <w:lang w:eastAsia="en-US"/>
              </w:rPr>
              <w:t>68/389 (17.5)</w:t>
            </w:r>
          </w:p>
        </w:tc>
        <w:tc>
          <w:tcPr>
            <w:tcW w:w="617" w:type="pct"/>
            <w:tcBorders>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iCs/>
                <w:snapToGrid w:val="0"/>
                <w:sz w:val="17"/>
                <w:szCs w:val="17"/>
                <w:lang w:eastAsia="en-US"/>
              </w:rPr>
              <w:t>18/231 (7.8)</w:t>
            </w:r>
          </w:p>
        </w:tc>
        <w:tc>
          <w:tcPr>
            <w:tcW w:w="722"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b/>
                <w:bCs/>
                <w:i/>
                <w:iCs/>
                <w:snapToGrid w:val="0"/>
                <w:sz w:val="17"/>
                <w:szCs w:val="17"/>
                <w:lang w:eastAsia="en-US"/>
              </w:rPr>
              <w:t>2.14 (1.03, 4.43)</w:t>
            </w:r>
          </w:p>
        </w:tc>
        <w:tc>
          <w:tcPr>
            <w:tcW w:w="722" w:type="pct"/>
            <w:tcBorders>
              <w:top w:val="nil"/>
              <w:left w:val="single" w:sz="4" w:space="0" w:color="auto"/>
              <w:bottom w:val="nil"/>
              <w:right w:val="nil"/>
            </w:tcBorders>
            <w:shd w:val="clear" w:color="auto" w:fill="auto"/>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b/>
                <w:bCs/>
                <w:i/>
                <w:iCs/>
                <w:snapToGrid w:val="0"/>
                <w:sz w:val="17"/>
                <w:szCs w:val="17"/>
                <w:lang w:eastAsia="en-US"/>
              </w:rPr>
              <w:t>0.10 (0.05, 0.15)</w:t>
            </w:r>
          </w:p>
        </w:tc>
        <w:tc>
          <w:tcPr>
            <w:tcW w:w="711" w:type="pct"/>
            <w:vMerge/>
            <w:tcBorders>
              <w:top w:val="single" w:sz="4" w:space="0" w:color="auto"/>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10 (7, 20)</w:t>
            </w:r>
          </w:p>
        </w:tc>
      </w:tr>
      <w:tr w:rsidR="0020268E" w:rsidRPr="002D4988" w:rsidTr="0020268E">
        <w:trPr>
          <w:trHeight w:val="170"/>
        </w:trPr>
        <w:tc>
          <w:tcPr>
            <w:tcW w:w="998" w:type="pct"/>
            <w:shd w:val="clear" w:color="auto" w:fill="auto"/>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TNFi-n</w:t>
            </w:r>
          </w:p>
        </w:tc>
        <w:tc>
          <w:tcPr>
            <w:tcW w:w="692" w:type="pct"/>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iCs/>
                <w:snapToGrid w:val="0"/>
                <w:sz w:val="17"/>
                <w:szCs w:val="17"/>
                <w:lang w:eastAsia="en-US"/>
              </w:rPr>
              <w:t>52/209 (24.9)</w:t>
            </w:r>
          </w:p>
        </w:tc>
        <w:tc>
          <w:tcPr>
            <w:tcW w:w="617" w:type="pct"/>
            <w:tcBorders>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iCs/>
                <w:snapToGrid w:val="0"/>
                <w:sz w:val="17"/>
                <w:szCs w:val="17"/>
                <w:lang w:eastAsia="en-US"/>
              </w:rPr>
              <w:t>11/117 (9.4)</w:t>
            </w:r>
          </w:p>
        </w:tc>
        <w:tc>
          <w:tcPr>
            <w:tcW w:w="722"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b/>
                <w:bCs/>
                <w:i/>
                <w:snapToGrid w:val="0"/>
                <w:sz w:val="17"/>
                <w:szCs w:val="17"/>
                <w:lang w:eastAsia="en-US"/>
              </w:rPr>
              <w:t>2.51 (1.37, 4.60)</w:t>
            </w:r>
          </w:p>
        </w:tc>
        <w:tc>
          <w:tcPr>
            <w:tcW w:w="722" w:type="pct"/>
            <w:tcBorders>
              <w:top w:val="nil"/>
              <w:left w:val="single" w:sz="4" w:space="0" w:color="auto"/>
              <w:bottom w:val="nil"/>
              <w:right w:val="nil"/>
            </w:tcBorders>
            <w:shd w:val="clear" w:color="auto" w:fill="auto"/>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b/>
                <w:bCs/>
                <w:i/>
                <w:snapToGrid w:val="0"/>
                <w:sz w:val="17"/>
                <w:szCs w:val="17"/>
                <w:lang w:eastAsia="en-US"/>
              </w:rPr>
              <w:t>0.16 (0.08, 0.23)</w:t>
            </w:r>
          </w:p>
        </w:tc>
        <w:tc>
          <w:tcPr>
            <w:tcW w:w="711" w:type="pct"/>
            <w:vMerge/>
            <w:tcBorders>
              <w:top w:val="single" w:sz="4" w:space="0" w:color="auto"/>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6 (4, 13)</w:t>
            </w:r>
          </w:p>
        </w:tc>
      </w:tr>
      <w:tr w:rsidR="0020268E" w:rsidRPr="002D4988" w:rsidTr="0020268E">
        <w:trPr>
          <w:trHeight w:val="170"/>
        </w:trPr>
        <w:tc>
          <w:tcPr>
            <w:tcW w:w="998" w:type="pct"/>
            <w:shd w:val="clear" w:color="auto" w:fill="auto"/>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TNFi-e*</w:t>
            </w:r>
          </w:p>
        </w:tc>
        <w:tc>
          <w:tcPr>
            <w:tcW w:w="692" w:type="pct"/>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iCs/>
                <w:snapToGrid w:val="0"/>
                <w:sz w:val="17"/>
                <w:szCs w:val="17"/>
                <w:lang w:eastAsia="en-US"/>
              </w:rPr>
              <w:t>16/167 (9.6)</w:t>
            </w:r>
          </w:p>
        </w:tc>
        <w:tc>
          <w:tcPr>
            <w:tcW w:w="617" w:type="pct"/>
            <w:tcBorders>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iCs/>
                <w:snapToGrid w:val="0"/>
                <w:sz w:val="17"/>
                <w:szCs w:val="17"/>
                <w:lang w:eastAsia="en-US"/>
              </w:rPr>
              <w:t>6/104 (5.8)</w:t>
            </w:r>
          </w:p>
        </w:tc>
        <w:tc>
          <w:tcPr>
            <w:tcW w:w="722"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bCs/>
                <w:i/>
                <w:iCs/>
                <w:snapToGrid w:val="0"/>
                <w:sz w:val="17"/>
                <w:szCs w:val="17"/>
                <w:lang w:eastAsia="en-US"/>
              </w:rPr>
              <w:t>1.54 (0.50, 4.76)</w:t>
            </w:r>
          </w:p>
        </w:tc>
        <w:tc>
          <w:tcPr>
            <w:tcW w:w="722" w:type="pct"/>
            <w:tcBorders>
              <w:top w:val="nil"/>
              <w:left w:val="single" w:sz="4" w:space="0" w:color="auto"/>
              <w:bottom w:val="nil"/>
              <w:right w:val="nil"/>
            </w:tcBorders>
            <w:shd w:val="clear" w:color="auto" w:fill="auto"/>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bCs/>
                <w:i/>
                <w:iCs/>
                <w:snapToGrid w:val="0"/>
                <w:sz w:val="17"/>
                <w:szCs w:val="17"/>
                <w:lang w:eastAsia="en-US"/>
              </w:rPr>
              <w:t>0.04 (-0.02, 0.11)</w:t>
            </w:r>
          </w:p>
        </w:tc>
        <w:tc>
          <w:tcPr>
            <w:tcW w:w="711" w:type="pct"/>
            <w:vMerge/>
            <w:tcBorders>
              <w:top w:val="single" w:sz="4" w:space="0" w:color="auto"/>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Indirect comparisons, ITT</w:t>
            </w:r>
          </w:p>
        </w:tc>
        <w:tc>
          <w:tcPr>
            <w:tcW w:w="722"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22" w:type="pct"/>
            <w:tcBorders>
              <w:top w:val="nil"/>
              <w:left w:val="single" w:sz="4" w:space="0" w:color="auto"/>
              <w:bottom w:val="nil"/>
              <w:right w:val="nil"/>
            </w:tcBorders>
            <w:shd w:val="clear" w:color="auto" w:fill="auto"/>
          </w:tcPr>
          <w:p w:rsidR="0020268E" w:rsidRPr="002D4988" w:rsidRDefault="0020268E" w:rsidP="0020268E">
            <w:pPr>
              <w:jc w:val="center"/>
              <w:rPr>
                <w:rFonts w:ascii="Arial Narrow" w:eastAsiaTheme="minorEastAsia" w:hAnsi="Arial Narrow"/>
                <w:bCs/>
                <w:iCs/>
                <w:snapToGrid w:val="0"/>
                <w:sz w:val="17"/>
                <w:szCs w:val="17"/>
                <w:lang w:eastAsia="en-US"/>
              </w:rPr>
            </w:pPr>
          </w:p>
        </w:tc>
        <w:tc>
          <w:tcPr>
            <w:tcW w:w="711"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C41DCB" w:rsidRDefault="0020268E" w:rsidP="0020268E">
            <w:pPr>
              <w:jc w:val="center"/>
              <w:rPr>
                <w:rFonts w:ascii="Arial Narrow" w:eastAsiaTheme="minorEastAsia" w:hAnsi="Arial Narrow"/>
                <w:i/>
                <w:snapToGrid w:val="0"/>
                <w:sz w:val="17"/>
                <w:szCs w:val="17"/>
                <w:highlight w:val="yellow"/>
                <w:lang w:eastAsia="en-US"/>
              </w:rPr>
            </w:pP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ITT) v IFX (Meta ITT)</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1.09 (0.49, 2.39)</w:t>
            </w:r>
          </w:p>
        </w:tc>
        <w:tc>
          <w:tcPr>
            <w:tcW w:w="722"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-0.08 (-‘0.17, 0.01)</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TOF (Meta ITT) v IFX (Meta ITT/TNFi-n ACT1/2)</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0.79 (0.27, 2.31)</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
                <w:i/>
                <w:snapToGrid w:val="0"/>
                <w:sz w:val="17"/>
                <w:szCs w:val="17"/>
                <w:lang w:eastAsia="en-US"/>
              </w:rPr>
            </w:pPr>
            <w:r w:rsidRPr="00E91861">
              <w:rPr>
                <w:rFonts w:ascii="Arial Narrow" w:eastAsiaTheme="minorEastAsia" w:hAnsi="Arial Narrow"/>
                <w:b/>
                <w:i/>
                <w:snapToGrid w:val="0"/>
                <w:sz w:val="17"/>
                <w:szCs w:val="17"/>
                <w:lang w:eastAsia="en-US"/>
              </w:rPr>
              <w:t>-0.14 (-0.22, -0.06)</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7 (4.5, 17)#</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ITT) v GOL (PURSUIT-SC ITT/TNFi-n)</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1.06 (</w:t>
            </w:r>
            <w:r w:rsidRPr="00E91861">
              <w:rPr>
                <w:rFonts w:ascii="Arial Narrow" w:eastAsiaTheme="minorEastAsia" w:hAnsi="Arial Narrow"/>
                <w:i/>
                <w:iCs/>
                <w:snapToGrid w:val="0"/>
                <w:sz w:val="17"/>
                <w:szCs w:val="17"/>
                <w:lang w:eastAsia="en-US"/>
              </w:rPr>
              <w:t>0.44, 2.57</w:t>
            </w:r>
            <w:r w:rsidRPr="00E91861">
              <w:rPr>
                <w:rFonts w:ascii="Arial Narrow" w:eastAsiaTheme="minorEastAsia" w:hAnsi="Arial Narrow"/>
                <w:iCs/>
                <w:snapToGrid w:val="0"/>
                <w:sz w:val="17"/>
                <w:szCs w:val="17"/>
                <w:lang w:eastAsia="en-US"/>
              </w:rPr>
              <w:t>)</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Cs/>
                <w:snapToGrid w:val="0"/>
                <w:sz w:val="17"/>
                <w:szCs w:val="17"/>
                <w:lang w:eastAsia="en-US"/>
              </w:rPr>
            </w:pPr>
            <w:r w:rsidRPr="00E91861">
              <w:rPr>
                <w:rFonts w:ascii="Arial Narrow" w:eastAsiaTheme="minorEastAsia" w:hAnsi="Arial Narrow"/>
                <w:bCs/>
                <w:iCs/>
                <w:snapToGrid w:val="0"/>
                <w:sz w:val="17"/>
                <w:szCs w:val="17"/>
                <w:lang w:eastAsia="en-US"/>
              </w:rPr>
              <w:t>0.01 (-0.06, 0.08)</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TOF (Meta ITT) v ADA (Meta ITT)</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1.87 (0.83, 4.22)</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
                <w:i/>
                <w:snapToGrid w:val="0"/>
                <w:sz w:val="17"/>
                <w:szCs w:val="17"/>
                <w:lang w:eastAsia="en-US"/>
              </w:rPr>
            </w:pPr>
            <w:r w:rsidRPr="00E91861">
              <w:rPr>
                <w:rFonts w:ascii="Arial Narrow" w:eastAsiaTheme="minorEastAsia" w:hAnsi="Arial Narrow"/>
                <w:b/>
                <w:i/>
                <w:snapToGrid w:val="0"/>
                <w:sz w:val="17"/>
                <w:szCs w:val="17"/>
                <w:lang w:eastAsia="en-US"/>
              </w:rPr>
              <w:t>0.07 (0.002, 0.14)</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14 (7, 502)</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
                <w:iCs/>
                <w:snapToGrid w:val="0"/>
                <w:sz w:val="17"/>
                <w:szCs w:val="17"/>
                <w:lang w:eastAsia="en-US"/>
              </w:rPr>
              <w:t>TOF (Meta ITT) v VDZ (Meta ITT</w:t>
            </w:r>
            <w:r w:rsidRPr="002D4988">
              <w:rPr>
                <w:rFonts w:ascii="Arial Narrow" w:eastAsiaTheme="minorEastAsia" w:hAnsi="Arial Narrow"/>
                <w:iCs/>
                <w:snapToGrid w:val="0"/>
                <w:sz w:val="17"/>
                <w:szCs w:val="17"/>
                <w:lang w:eastAsia="en-US"/>
              </w:rPr>
              <w:t>)</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iCs/>
                <w:snapToGrid w:val="0"/>
                <w:sz w:val="17"/>
                <w:szCs w:val="17"/>
                <w:lang w:eastAsia="en-US"/>
              </w:rPr>
            </w:pPr>
            <w:r w:rsidRPr="00E91861">
              <w:rPr>
                <w:rFonts w:ascii="Arial Narrow" w:eastAsiaTheme="minorEastAsia" w:hAnsi="Arial Narrow"/>
                <w:i/>
                <w:iCs/>
                <w:snapToGrid w:val="0"/>
                <w:sz w:val="17"/>
                <w:szCs w:val="17"/>
                <w:lang w:eastAsia="en-US"/>
              </w:rPr>
              <w:t>1.38 (0.50, 3.80)</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iCs/>
                <w:snapToGrid w:val="0"/>
                <w:sz w:val="17"/>
                <w:szCs w:val="17"/>
                <w:lang w:eastAsia="en-US"/>
              </w:rPr>
            </w:pPr>
            <w:r w:rsidRPr="00E91861">
              <w:rPr>
                <w:rFonts w:ascii="Arial Narrow" w:eastAsiaTheme="minorEastAsia" w:hAnsi="Arial Narrow"/>
                <w:bCs/>
                <w:i/>
                <w:iCs/>
                <w:snapToGrid w:val="0"/>
                <w:sz w:val="17"/>
                <w:szCs w:val="17"/>
                <w:lang w:eastAsia="en-US"/>
              </w:rPr>
              <w:t>0.02 (-0.04, 0.08)</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NA</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b/>
                <w:bCs/>
                <w:i/>
                <w:snapToGrid w:val="0"/>
                <w:sz w:val="17"/>
                <w:szCs w:val="17"/>
                <w:lang w:eastAsia="en-US"/>
              </w:rPr>
              <w:t>Indirect comparisons, TNFi-n</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Cs/>
                <w:snapToGrid w:val="0"/>
                <w:sz w:val="17"/>
                <w:szCs w:val="17"/>
                <w:lang w:eastAsia="en-US"/>
              </w:rPr>
            </w:pP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TOF (Meta TNFi-n) v IFX (Meta ITT/TNFi-n)</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0.68 (0.36, 1.30)</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-0.08 (-0.19, 0.03)</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 xml:space="preserve">NS </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TOF (Meta TNFi-n) v IFX (Meta ITT/TNFi-n ACT1/2)</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0.50 (0.19, 1.32)</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
                <w:i/>
                <w:snapToGrid w:val="0"/>
                <w:sz w:val="17"/>
                <w:szCs w:val="17"/>
                <w:lang w:eastAsia="en-US"/>
              </w:rPr>
            </w:pPr>
            <w:r w:rsidRPr="00E91861">
              <w:rPr>
                <w:rFonts w:ascii="Arial Narrow" w:eastAsiaTheme="minorEastAsia" w:hAnsi="Arial Narrow"/>
                <w:b/>
                <w:i/>
                <w:snapToGrid w:val="0"/>
                <w:sz w:val="17"/>
                <w:szCs w:val="17"/>
                <w:lang w:eastAsia="en-US"/>
              </w:rPr>
              <w:t>-0.14 (-0.24, -0.04)</w:t>
            </w:r>
          </w:p>
        </w:tc>
        <w:tc>
          <w:tcPr>
            <w:tcW w:w="711" w:type="pct"/>
            <w:vMerge/>
            <w:tcBorders>
              <w:left w:val="nil"/>
              <w:right w:val="single" w:sz="4" w:space="0" w:color="auto"/>
            </w:tcBorders>
          </w:tcPr>
          <w:p w:rsidR="0020268E" w:rsidRPr="00E91861" w:rsidRDefault="0020268E" w:rsidP="0020268E">
            <w:pP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tcPr>
          <w:p w:rsidR="0020268E" w:rsidRPr="00E91861" w:rsidRDefault="0020268E" w:rsidP="0020268E">
            <w:pP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7 (4, 25)#</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TOF (Meta TNFi-n) v GOL (Meta ITT/TNFi-n)</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0.67 (0.31, 1.43)</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0.01 (-0.08, 0.10)</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TOF (Meta TNFi-n) v ADA (Meta TNFi-n)</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1.15 (0.57, 2.33)</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0.06 (-0.04, 0.16)</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TOF (Meta TNFi-n) v VDZ (Meta TNFi-n)</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0.74 (0.33, 1.66)</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-0.04 (-0.14, 0.06)</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b/>
                <w:bCs/>
                <w:i/>
                <w:snapToGrid w:val="0"/>
                <w:sz w:val="17"/>
                <w:szCs w:val="17"/>
                <w:lang w:eastAsia="en-US"/>
              </w:rPr>
              <w:t>Indirect comparisons, TNFi-e</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Cs/>
                <w:snapToGrid w:val="0"/>
                <w:sz w:val="17"/>
                <w:szCs w:val="17"/>
                <w:lang w:eastAsia="en-US"/>
              </w:rPr>
            </w:pP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p>
        </w:tc>
      </w:tr>
      <w:tr w:rsidR="0020268E" w:rsidRPr="002D4988" w:rsidTr="0020268E">
        <w:trPr>
          <w:trHeight w:val="170"/>
        </w:trPr>
        <w:tc>
          <w:tcPr>
            <w:tcW w:w="2307"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TOF (Meta TNFi-e) v ADA (ULTRA 2, TNFi-e)</w:t>
            </w:r>
          </w:p>
        </w:tc>
        <w:tc>
          <w:tcPr>
            <w:tcW w:w="72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b/>
                <w:bCs/>
                <w:i/>
                <w:snapToGrid w:val="0"/>
                <w:sz w:val="17"/>
                <w:szCs w:val="17"/>
                <w:lang w:eastAsia="en-US"/>
              </w:rPr>
            </w:pPr>
            <w:r w:rsidRPr="00E91861">
              <w:rPr>
                <w:rFonts w:ascii="Arial Narrow" w:eastAsiaTheme="minorEastAsia" w:hAnsi="Arial Narrow"/>
                <w:b/>
                <w:bCs/>
                <w:i/>
                <w:snapToGrid w:val="0"/>
                <w:sz w:val="17"/>
                <w:szCs w:val="17"/>
                <w:lang w:eastAsia="en-US"/>
              </w:rPr>
              <w:t>7.71 (1.19, 49.96)</w:t>
            </w:r>
          </w:p>
        </w:tc>
        <w:tc>
          <w:tcPr>
            <w:tcW w:w="722"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
                <w:i/>
                <w:snapToGrid w:val="0"/>
                <w:sz w:val="17"/>
                <w:szCs w:val="17"/>
                <w:lang w:eastAsia="en-US"/>
              </w:rPr>
            </w:pPr>
            <w:r w:rsidRPr="00E91861">
              <w:rPr>
                <w:rFonts w:ascii="Arial Narrow" w:eastAsiaTheme="minorEastAsia" w:hAnsi="Arial Narrow"/>
                <w:b/>
                <w:i/>
                <w:snapToGrid w:val="0"/>
                <w:sz w:val="17"/>
                <w:szCs w:val="17"/>
                <w:lang w:eastAsia="en-US"/>
              </w:rPr>
              <w:t>0.10 (0.02, 0.18)</w:t>
            </w:r>
          </w:p>
        </w:tc>
        <w:tc>
          <w:tcPr>
            <w:tcW w:w="711"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10 (6, 50)</w:t>
            </w:r>
          </w:p>
        </w:tc>
      </w:tr>
      <w:tr w:rsidR="0020268E" w:rsidRPr="002D4988" w:rsidTr="0020268E">
        <w:trPr>
          <w:trHeight w:val="473"/>
        </w:trPr>
        <w:tc>
          <w:tcPr>
            <w:tcW w:w="2307" w:type="pct"/>
            <w:gridSpan w:val="3"/>
            <w:tcBorders>
              <w:right w:val="single" w:sz="4" w:space="0" w:color="auto"/>
            </w:tcBorders>
            <w:shd w:val="clear" w:color="auto" w:fill="auto"/>
          </w:tcPr>
          <w:p w:rsidR="0020268E" w:rsidRPr="002D4988" w:rsidRDefault="0020268E" w:rsidP="0020268E">
            <w:pPr>
              <w:ind w:right="180"/>
              <w:jc w:val="right"/>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TOF (Meta TNFi-e) v VDZ (TNFi-e failure)</w:t>
            </w:r>
          </w:p>
        </w:tc>
        <w:tc>
          <w:tcPr>
            <w:tcW w:w="722" w:type="pct"/>
            <w:tcBorders>
              <w:top w:val="nil"/>
              <w:left w:val="single" w:sz="4" w:space="0" w:color="auto"/>
              <w:bottom w:val="single" w:sz="4" w:space="0" w:color="auto"/>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6.66 (0.93, 47.45)</w:t>
            </w:r>
          </w:p>
        </w:tc>
        <w:tc>
          <w:tcPr>
            <w:tcW w:w="722" w:type="pct"/>
            <w:tcBorders>
              <w:top w:val="nil"/>
              <w:left w:val="single" w:sz="4" w:space="0" w:color="auto"/>
              <w:bottom w:val="single" w:sz="4" w:space="0" w:color="auto"/>
              <w:right w:val="nil"/>
            </w:tcBorders>
            <w:shd w:val="clear" w:color="auto" w:fill="auto"/>
          </w:tcPr>
          <w:p w:rsidR="0020268E" w:rsidRPr="00E91861" w:rsidRDefault="0020268E" w:rsidP="0020268E">
            <w:pPr>
              <w:jc w:val="center"/>
              <w:rPr>
                <w:rFonts w:ascii="Arial Narrow" w:eastAsiaTheme="minorEastAsia" w:hAnsi="Arial Narrow"/>
                <w:b/>
                <w:i/>
                <w:snapToGrid w:val="0"/>
                <w:sz w:val="17"/>
                <w:szCs w:val="17"/>
                <w:lang w:eastAsia="en-US"/>
              </w:rPr>
            </w:pPr>
            <w:r w:rsidRPr="00E91861">
              <w:rPr>
                <w:rFonts w:ascii="Arial Narrow" w:eastAsiaTheme="minorEastAsia" w:hAnsi="Arial Narrow"/>
                <w:b/>
                <w:i/>
                <w:snapToGrid w:val="0"/>
                <w:sz w:val="17"/>
                <w:szCs w:val="17"/>
                <w:lang w:eastAsia="en-US"/>
              </w:rPr>
              <w:t>0.08 (0.006, 0.15)</w:t>
            </w:r>
          </w:p>
        </w:tc>
        <w:tc>
          <w:tcPr>
            <w:tcW w:w="711" w:type="pct"/>
            <w:vMerge/>
            <w:tcBorders>
              <w:left w:val="nil"/>
              <w:bottom w:val="single" w:sz="4" w:space="0" w:color="auto"/>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39" w:type="pct"/>
            <w:tcBorders>
              <w:top w:val="nil"/>
              <w:left w:val="single" w:sz="4" w:space="0" w:color="auto"/>
              <w:bottom w:val="single" w:sz="4" w:space="0" w:color="auto"/>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13 (7,167)</w:t>
            </w:r>
          </w:p>
        </w:tc>
      </w:tr>
    </w:tbl>
    <w:p w:rsidR="0082097A" w:rsidRPr="002D4988" w:rsidRDefault="0020268E" w:rsidP="0020268E">
      <w:pPr>
        <w:spacing w:after="160"/>
        <w:rPr>
          <w:rFonts w:ascii="Arial Narrow" w:eastAsiaTheme="minorEastAsia" w:hAnsi="Arial Narrow"/>
          <w:b/>
          <w:snapToGrid w:val="0"/>
          <w:sz w:val="18"/>
          <w:szCs w:val="18"/>
          <w:lang w:eastAsia="en-US"/>
        </w:rPr>
      </w:pPr>
      <w:r w:rsidRPr="002D4988">
        <w:rPr>
          <w:rFonts w:ascii="Arial Narrow" w:eastAsiaTheme="minorEastAsia" w:hAnsi="Arial Narrow"/>
          <w:snapToGrid w:val="0"/>
          <w:sz w:val="15"/>
          <w:szCs w:val="15"/>
          <w:lang w:eastAsia="en-US"/>
        </w:rPr>
        <w:t xml:space="preserve">Source: Tables 2.5.1, 2.5.3, 2.5.7, 2.5.9, pp.38-45 of resub. </w:t>
      </w:r>
      <w:r w:rsidRPr="002D4988">
        <w:rPr>
          <w:rFonts w:ascii="Arial Narrow" w:hAnsi="Arial Narrow"/>
          <w:sz w:val="15"/>
          <w:szCs w:val="15"/>
          <w:shd w:val="clear" w:color="auto" w:fill="DBE5F1" w:themeFill="accent1" w:themeFillTint="33"/>
          <w:lang w:eastAsia="en-US"/>
        </w:rPr>
        <w:t xml:space="preserve">Shaded </w:t>
      </w:r>
      <w:r w:rsidRPr="002D4988">
        <w:rPr>
          <w:rFonts w:ascii="Arial Narrow" w:hAnsi="Arial Narrow"/>
          <w:sz w:val="15"/>
          <w:szCs w:val="15"/>
          <w:lang w:eastAsia="en-US"/>
        </w:rPr>
        <w:t>areas: data previously seen by the PBAC.</w:t>
      </w:r>
      <w:r w:rsidRPr="002D4988">
        <w:rPr>
          <w:rFonts w:eastAsiaTheme="minorEastAsia"/>
          <w:bCs/>
          <w:sz w:val="15"/>
          <w:szCs w:val="15"/>
          <w:lang w:eastAsia="en-US"/>
        </w:rPr>
        <w:t xml:space="preserve"> </w:t>
      </w:r>
      <w:r w:rsidRPr="002D4988">
        <w:rPr>
          <w:rFonts w:ascii="Arial Narrow" w:eastAsiaTheme="minorEastAsia" w:hAnsi="Arial Narrow"/>
          <w:bCs/>
          <w:snapToGrid w:val="0"/>
          <w:sz w:val="15"/>
          <w:szCs w:val="15"/>
          <w:lang w:eastAsia="en-US"/>
        </w:rPr>
        <w:t xml:space="preserve">Italics: results estimated during the evaluation. Blue line crossing zero. Bold typography: statistically significant. ADA=adalimumab, CI=confidence interval, GOL=golimumab, ITT=intention to treat, NNT=number needed to treat, NS=not significant, RD=risk difference, RR=risk ratio, TOF=tofacitinib, TNFi=tumour necrosis factor inhibitor, TNFi-n=TNFi naïve, TNFi-e=TNFi exposed, VDZ=vedolizumab. </w:t>
      </w:r>
      <w:r w:rsidRPr="002D4988">
        <w:rPr>
          <w:rFonts w:ascii="Arial Narrow" w:eastAsiaTheme="minorEastAsia" w:hAnsi="Arial Narrow"/>
          <w:b/>
          <w:snapToGrid w:val="0"/>
          <w:sz w:val="15"/>
          <w:szCs w:val="15"/>
          <w:vertAlign w:val="superscript"/>
          <w:lang w:eastAsia="en-US"/>
        </w:rPr>
        <w:t xml:space="preserve">a </w:t>
      </w:r>
      <w:r w:rsidRPr="002D4988">
        <w:rPr>
          <w:rFonts w:ascii="Arial Narrow" w:eastAsiaTheme="minorEastAsia" w:hAnsi="Arial Narrow"/>
          <w:snapToGrid w:val="0"/>
          <w:sz w:val="15"/>
          <w:szCs w:val="15"/>
          <w:lang w:eastAsia="en-US"/>
        </w:rPr>
        <w:t xml:space="preserve">The more </w:t>
      </w:r>
      <w:r w:rsidR="00CE03B4" w:rsidRPr="002D4988">
        <w:rPr>
          <w:rFonts w:ascii="Arial Narrow" w:eastAsiaTheme="minorEastAsia" w:hAnsi="Arial Narrow"/>
          <w:snapToGrid w:val="0"/>
          <w:sz w:val="15"/>
          <w:szCs w:val="15"/>
          <w:lang w:eastAsia="en-US"/>
        </w:rPr>
        <w:t xml:space="preserve">conservative </w:t>
      </w:r>
      <w:r w:rsidRPr="002D4988">
        <w:rPr>
          <w:rFonts w:ascii="Arial Narrow" w:eastAsiaTheme="minorEastAsia" w:hAnsi="Arial Narrow"/>
          <w:snapToGrid w:val="0"/>
          <w:sz w:val="15"/>
          <w:szCs w:val="15"/>
          <w:lang w:eastAsia="en-US"/>
        </w:rPr>
        <w:t xml:space="preserve">primary outcome of remission was used by the submission. </w:t>
      </w:r>
      <w:r w:rsidRPr="002D4988">
        <w:rPr>
          <w:rFonts w:ascii="Arial Narrow" w:eastAsiaTheme="minorEastAsia" w:hAnsi="Arial Narrow"/>
          <w:b/>
          <w:snapToGrid w:val="0"/>
          <w:sz w:val="15"/>
          <w:szCs w:val="15"/>
          <w:vertAlign w:val="superscript"/>
          <w:lang w:eastAsia="en-US"/>
        </w:rPr>
        <w:t>b</w:t>
      </w:r>
      <w:r w:rsidRPr="002D4988">
        <w:rPr>
          <w:rFonts w:ascii="Arial Narrow" w:eastAsiaTheme="minorEastAsia" w:hAnsi="Arial Narrow"/>
          <w:b/>
          <w:i/>
          <w:snapToGrid w:val="0"/>
          <w:sz w:val="15"/>
          <w:szCs w:val="15"/>
          <w:vertAlign w:val="superscript"/>
          <w:lang w:eastAsia="en-US"/>
        </w:rPr>
        <w:t xml:space="preserve"> </w:t>
      </w:r>
      <w:r w:rsidRPr="002D4988">
        <w:rPr>
          <w:rFonts w:ascii="Arial Narrow" w:eastAsiaTheme="minorEastAsia" w:hAnsi="Arial Narrow"/>
          <w:snapToGrid w:val="0"/>
          <w:sz w:val="15"/>
          <w:szCs w:val="15"/>
          <w:lang w:eastAsia="en-US"/>
        </w:rPr>
        <w:t>GEMINI &amp; Motoya 2019 outcomes at Week 6 &amp; Week 10 respectively.</w:t>
      </w:r>
      <w:r w:rsidRPr="002D4988">
        <w:rPr>
          <w:rFonts w:ascii="Arial Narrow" w:eastAsiaTheme="minorEastAsia" w:hAnsi="Arial Narrow"/>
          <w:i/>
          <w:snapToGrid w:val="0"/>
          <w:sz w:val="15"/>
          <w:szCs w:val="15"/>
          <w:lang w:eastAsia="en-US"/>
        </w:rPr>
        <w:t xml:space="preserve"> </w:t>
      </w:r>
      <w:r w:rsidRPr="002D4988">
        <w:rPr>
          <w:rFonts w:ascii="Arial Narrow" w:eastAsiaTheme="minorEastAsia" w:hAnsi="Arial Narrow"/>
          <w:b/>
          <w:bCs/>
          <w:snapToGrid w:val="0"/>
          <w:sz w:val="15"/>
          <w:szCs w:val="15"/>
          <w:lang w:eastAsia="en-US"/>
        </w:rPr>
        <w:t>^</w:t>
      </w:r>
      <w:r w:rsidRPr="002D4988">
        <w:rPr>
          <w:rFonts w:ascii="Arial Narrow" w:eastAsiaTheme="minorEastAsia" w:hAnsi="Arial Narrow"/>
          <w:snapToGrid w:val="0"/>
          <w:sz w:val="15"/>
          <w:szCs w:val="15"/>
          <w:lang w:eastAsia="en-US"/>
        </w:rPr>
        <w:t>random effects meta-analysis using RevMan Ver5.4. *TNFi</w:t>
      </w:r>
      <w:r w:rsidR="00CE03B4" w:rsidRPr="002D4988">
        <w:rPr>
          <w:rFonts w:ascii="Arial Narrow" w:eastAsiaTheme="minorEastAsia" w:hAnsi="Arial Narrow"/>
          <w:snapToGrid w:val="0"/>
          <w:sz w:val="15"/>
          <w:szCs w:val="15"/>
          <w:lang w:eastAsia="en-US"/>
        </w:rPr>
        <w:t xml:space="preserve"> </w:t>
      </w:r>
      <w:r w:rsidRPr="002D4988">
        <w:rPr>
          <w:rFonts w:ascii="Arial Narrow" w:eastAsiaTheme="minorEastAsia" w:hAnsi="Arial Narrow"/>
          <w:snapToGrid w:val="0"/>
          <w:sz w:val="15"/>
          <w:szCs w:val="15"/>
          <w:lang w:eastAsia="en-US"/>
        </w:rPr>
        <w:t>exposed+failure, TNF</w:t>
      </w:r>
      <w:r w:rsidR="00CE03B4" w:rsidRPr="002D4988">
        <w:rPr>
          <w:rFonts w:ascii="Arial Narrow" w:eastAsiaTheme="minorEastAsia" w:hAnsi="Arial Narrow"/>
          <w:snapToGrid w:val="0"/>
          <w:sz w:val="15"/>
          <w:szCs w:val="15"/>
          <w:lang w:eastAsia="en-US"/>
        </w:rPr>
        <w:t xml:space="preserve">i </w:t>
      </w:r>
      <w:r w:rsidRPr="002D4988">
        <w:rPr>
          <w:rFonts w:ascii="Arial Narrow" w:eastAsiaTheme="minorEastAsia" w:hAnsi="Arial Narrow"/>
          <w:snapToGrid w:val="0"/>
          <w:sz w:val="15"/>
          <w:szCs w:val="15"/>
          <w:lang w:eastAsia="en-US"/>
        </w:rPr>
        <w:t>exposed without failure were excluded.</w:t>
      </w:r>
      <w:r w:rsidR="00D6581F" w:rsidRPr="00D6581F">
        <w:rPr>
          <w:rFonts w:ascii="Arial Narrow" w:eastAsiaTheme="minorEastAsia" w:hAnsi="Arial Narrow"/>
          <w:snapToGrid w:val="0"/>
          <w:sz w:val="15"/>
          <w:szCs w:val="15"/>
          <w:lang w:eastAsia="en-US"/>
        </w:rPr>
        <w:t xml:space="preserve"> </w:t>
      </w:r>
      <w:r w:rsidR="00D6581F" w:rsidRPr="00F655C0">
        <w:rPr>
          <w:rFonts w:ascii="Arial Narrow" w:eastAsiaTheme="minorEastAsia" w:hAnsi="Arial Narrow"/>
          <w:snapToGrid w:val="0"/>
          <w:sz w:val="15"/>
          <w:szCs w:val="15"/>
          <w:lang w:eastAsia="en-US"/>
        </w:rPr>
        <w:t xml:space="preserve"># Note that the redacted results presented in Table 5 were conducted during the evaluation specifically for the purposes of informing the PBAC consideration at the March 2019 PBAC meeting.  </w:t>
      </w:r>
      <w:r w:rsidR="00D6581F" w:rsidRPr="00F655C0">
        <w:rPr>
          <w:rFonts w:ascii="Arial Narrow" w:eastAsiaTheme="minorEastAsia" w:hAnsi="Arial Narrow"/>
          <w:snapToGrid w:val="0"/>
          <w:sz w:val="15"/>
          <w:szCs w:val="15"/>
          <w:lang w:eastAsia="en-US"/>
        </w:rPr>
        <w:lastRenderedPageBreak/>
        <w:t>Interpretation of the results and their application should therefore be limited to seeking to understand the basis for the PBAC outcome and should not be used for any other purpose.</w:t>
      </w:r>
      <w:r w:rsidR="0082097A" w:rsidRPr="002D4988">
        <w:rPr>
          <w:rFonts w:ascii="Arial Narrow" w:eastAsiaTheme="minorEastAsia" w:hAnsi="Arial Narrow"/>
          <w:b/>
          <w:snapToGrid w:val="0"/>
          <w:sz w:val="18"/>
          <w:szCs w:val="18"/>
          <w:lang w:eastAsia="en-US"/>
        </w:rPr>
        <w:br w:type="page"/>
      </w:r>
    </w:p>
    <w:p w:rsidR="00565033" w:rsidRPr="002D4988" w:rsidRDefault="00565033" w:rsidP="00565033">
      <w:pPr>
        <w:rPr>
          <w:rFonts w:ascii="Arial Narrow" w:eastAsiaTheme="minorEastAsia" w:hAnsi="Arial Narrow"/>
          <w:b/>
          <w:snapToGrid w:val="0"/>
          <w:sz w:val="18"/>
          <w:szCs w:val="18"/>
          <w:lang w:eastAsia="en-US"/>
        </w:rPr>
      </w:pPr>
      <w:bookmarkStart w:id="19" w:name="_Ref53405185"/>
      <w:r w:rsidRPr="002D4988">
        <w:rPr>
          <w:rFonts w:ascii="Arial Narrow" w:eastAsiaTheme="minorEastAsia" w:hAnsi="Arial Narrow"/>
          <w:b/>
          <w:snapToGrid w:val="0"/>
          <w:sz w:val="18"/>
          <w:szCs w:val="18"/>
          <w:lang w:eastAsia="en-US"/>
        </w:rPr>
        <w:lastRenderedPageBreak/>
        <w:t xml:space="preserve">Table </w:t>
      </w:r>
      <w:r w:rsidR="00BC0889" w:rsidRPr="002D4988">
        <w:rPr>
          <w:rFonts w:ascii="Arial Narrow" w:eastAsiaTheme="minorEastAsia" w:hAnsi="Arial Narrow"/>
          <w:b/>
          <w:snapToGrid w:val="0"/>
          <w:sz w:val="18"/>
          <w:szCs w:val="18"/>
          <w:lang w:eastAsia="en-US"/>
        </w:rPr>
        <w:t>6</w:t>
      </w:r>
      <w:bookmarkEnd w:id="19"/>
      <w:r w:rsidRPr="002D4988">
        <w:rPr>
          <w:rFonts w:ascii="Arial Narrow" w:eastAsiaTheme="minorEastAsia" w:hAnsi="Arial Narrow"/>
          <w:b/>
          <w:snapToGrid w:val="0"/>
          <w:sz w:val="18"/>
          <w:szCs w:val="18"/>
          <w:lang w:eastAsia="en-US"/>
        </w:rPr>
        <w:t>: Clinical response at Weeks 6/8/10 – induction therapy (relevant arms only)</w:t>
      </w:r>
      <w:r w:rsidR="00D6581F">
        <w:rPr>
          <w:rFonts w:ascii="Arial Narrow" w:eastAsiaTheme="minorEastAsia" w:hAnsi="Arial Narrow"/>
          <w:b/>
          <w:snapToGrid w:val="0"/>
          <w:sz w:val="18"/>
          <w:szCs w:val="1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46"/>
        <w:gridCol w:w="1105"/>
        <w:gridCol w:w="1105"/>
        <w:gridCol w:w="1190"/>
        <w:gridCol w:w="1250"/>
        <w:gridCol w:w="1407"/>
        <w:gridCol w:w="1014"/>
      </w:tblGrid>
      <w:tr w:rsidR="006E1995" w:rsidRPr="002D4988" w:rsidTr="006E1995">
        <w:trPr>
          <w:trHeight w:val="170"/>
          <w:tblHeader/>
        </w:trPr>
        <w:tc>
          <w:tcPr>
            <w:tcW w:w="1079" w:type="pct"/>
            <w:tcBorders>
              <w:left w:val="single" w:sz="4" w:space="0" w:color="auto"/>
              <w:bottom w:val="single" w:sz="4" w:space="0" w:color="auto"/>
            </w:tcBorders>
            <w:shd w:val="clear" w:color="auto" w:fill="auto"/>
            <w:vAlign w:val="center"/>
          </w:tcPr>
          <w:p w:rsidR="006E1995" w:rsidRPr="002D4988" w:rsidRDefault="006E1995" w:rsidP="0020268E">
            <w:pPr>
              <w:jc w:val="left"/>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Trial</w:t>
            </w:r>
          </w:p>
        </w:tc>
        <w:tc>
          <w:tcPr>
            <w:tcW w:w="613" w:type="pct"/>
            <w:tcBorders>
              <w:bottom w:val="single" w:sz="4" w:space="0" w:color="auto"/>
            </w:tcBorders>
            <w:shd w:val="clear" w:color="auto" w:fill="auto"/>
            <w:vAlign w:val="center"/>
          </w:tcPr>
          <w:p w:rsidR="006E1995" w:rsidRPr="002D4988" w:rsidRDefault="006E1995"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Drug n/N (%)</w:t>
            </w:r>
          </w:p>
        </w:tc>
        <w:tc>
          <w:tcPr>
            <w:tcW w:w="613" w:type="pct"/>
            <w:tcBorders>
              <w:bottom w:val="single" w:sz="4" w:space="0" w:color="auto"/>
            </w:tcBorders>
            <w:shd w:val="clear" w:color="auto" w:fill="auto"/>
            <w:vAlign w:val="center"/>
          </w:tcPr>
          <w:p w:rsidR="006E1995" w:rsidRPr="002D4988" w:rsidRDefault="006E1995"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Control n/N (%)</w:t>
            </w:r>
          </w:p>
        </w:tc>
        <w:tc>
          <w:tcPr>
            <w:tcW w:w="660" w:type="pct"/>
            <w:tcBorders>
              <w:bottom w:val="single" w:sz="4" w:space="0" w:color="auto"/>
            </w:tcBorders>
            <w:shd w:val="clear" w:color="auto" w:fill="auto"/>
            <w:vAlign w:val="center"/>
          </w:tcPr>
          <w:p w:rsidR="006E1995" w:rsidRPr="002D4988" w:rsidRDefault="006E1995"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RR (95% CI)^</w:t>
            </w:r>
          </w:p>
        </w:tc>
        <w:tc>
          <w:tcPr>
            <w:tcW w:w="1472" w:type="pct"/>
            <w:gridSpan w:val="2"/>
            <w:tcBorders>
              <w:bottom w:val="single" w:sz="4" w:space="0" w:color="auto"/>
            </w:tcBorders>
            <w:shd w:val="clear" w:color="auto" w:fill="auto"/>
            <w:vAlign w:val="center"/>
          </w:tcPr>
          <w:p w:rsidR="006E1995" w:rsidRPr="002D4988" w:rsidRDefault="006E1995"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RD (95% CI)^</w:t>
            </w:r>
          </w:p>
        </w:tc>
        <w:tc>
          <w:tcPr>
            <w:tcW w:w="562" w:type="pct"/>
            <w:tcBorders>
              <w:bottom w:val="single" w:sz="4" w:space="0" w:color="auto"/>
            </w:tcBorders>
            <w:shd w:val="clear" w:color="auto" w:fill="auto"/>
          </w:tcPr>
          <w:p w:rsidR="006E1995" w:rsidRPr="002D4988" w:rsidRDefault="006E1995"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NNT (95%CI)</w:t>
            </w:r>
          </w:p>
        </w:tc>
      </w:tr>
      <w:tr w:rsidR="0020268E" w:rsidRPr="002D4988" w:rsidTr="006E1995">
        <w:trPr>
          <w:trHeight w:val="56"/>
        </w:trPr>
        <w:tc>
          <w:tcPr>
            <w:tcW w:w="2305" w:type="pct"/>
            <w:gridSpan w:val="3"/>
            <w:tcBorders>
              <w:left w:val="single" w:sz="4" w:space="0" w:color="auto"/>
              <w:bottom w:val="single" w:sz="4" w:space="0" w:color="auto"/>
              <w:right w:val="single" w:sz="4" w:space="0" w:color="auto"/>
            </w:tcBorders>
            <w:shd w:val="clear" w:color="auto" w:fill="DBE5F1" w:themeFill="accent1" w:themeFillTint="33"/>
            <w:vAlign w:val="center"/>
          </w:tcPr>
          <w:p w:rsidR="0020268E" w:rsidRPr="002D4988" w:rsidRDefault="0020268E" w:rsidP="0020268E">
            <w:pPr>
              <w:rPr>
                <w:rFonts w:ascii="Arial Narrow" w:eastAsiaTheme="minorEastAsia" w:hAnsi="Arial Narrow"/>
                <w:b/>
                <w:bCs/>
                <w:iCs/>
                <w:snapToGrid w:val="0"/>
                <w:sz w:val="17"/>
                <w:szCs w:val="17"/>
                <w:lang w:eastAsia="en-US"/>
              </w:rPr>
            </w:pPr>
            <w:r w:rsidRPr="002D4988">
              <w:rPr>
                <w:rFonts w:ascii="Arial Narrow" w:eastAsiaTheme="minorEastAsia" w:hAnsi="Arial Narrow"/>
                <w:b/>
                <w:iCs/>
                <w:snapToGrid w:val="0"/>
                <w:sz w:val="17"/>
                <w:szCs w:val="17"/>
                <w:lang w:eastAsia="en-US"/>
              </w:rPr>
              <w:t>TOF 10mg v PBO (Wk 8)</w:t>
            </w:r>
          </w:p>
        </w:tc>
        <w:tc>
          <w:tcPr>
            <w:tcW w:w="660" w:type="pct"/>
            <w:tcBorders>
              <w:top w:val="single" w:sz="4" w:space="0" w:color="auto"/>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693" w:type="pct"/>
            <w:tcBorders>
              <w:top w:val="single" w:sz="4" w:space="0" w:color="auto"/>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80" w:type="pct"/>
            <w:tcBorders>
              <w:left w:val="nil"/>
              <w:bottom w:val="nil"/>
              <w:right w:val="single" w:sz="4" w:space="0" w:color="auto"/>
            </w:tcBorders>
          </w:tcPr>
          <w:p w:rsidR="0020268E" w:rsidRPr="002D4988" w:rsidRDefault="0020268E" w:rsidP="0020268E">
            <w:pPr>
              <w:jc w:val="center"/>
              <w:rPr>
                <w:rFonts w:ascii="Arial Narrow" w:eastAsiaTheme="minorEastAsia" w:hAnsi="Arial Narrow"/>
                <w:iCs/>
                <w:snapToGrid w:val="0"/>
                <w:sz w:val="17"/>
                <w:szCs w:val="17"/>
                <w:lang w:eastAsia="en-US"/>
              </w:rPr>
            </w:pPr>
          </w:p>
        </w:tc>
        <w:tc>
          <w:tcPr>
            <w:tcW w:w="562" w:type="pct"/>
            <w:tcBorders>
              <w:left w:val="single" w:sz="4" w:space="0" w:color="auto"/>
              <w:bottom w:val="nil"/>
            </w:tcBorders>
            <w:shd w:val="clear" w:color="auto" w:fill="auto"/>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r>
      <w:tr w:rsidR="0020268E" w:rsidRPr="002D4988" w:rsidTr="006E1995">
        <w:trPr>
          <w:trHeight w:val="112"/>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OCTAVE 1, ITT</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285/476 (59.9)</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40/122 (32.8)</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1.83 (1.40, 2.38)</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0.27 (0.18, 0.37)</w:t>
            </w:r>
          </w:p>
        </w:tc>
        <w:tc>
          <w:tcPr>
            <w:tcW w:w="780" w:type="pct"/>
            <w:vMerge w:val="restart"/>
            <w:tcBorders>
              <w:top w:val="nil"/>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r w:rsidRPr="002D4988">
              <w:rPr>
                <w:noProof/>
              </w:rPr>
              <w:drawing>
                <wp:inline distT="0" distB="0" distL="0" distR="0" wp14:anchorId="6EB9EADD" wp14:editId="6D7400DE">
                  <wp:extent cx="853765" cy="6892578"/>
                  <wp:effectExtent l="0" t="0" r="3810" b="3810"/>
                  <wp:docPr id="10" name="Picture 10" title="Table 6: Clinical response at Weeks 6/8/10 – induction therapy (relevant arm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3522" t="4474" r="21178" b="1668"/>
                          <a:stretch/>
                        </pic:blipFill>
                        <pic:spPr bwMode="auto">
                          <a:xfrm>
                            <a:off x="0" y="0"/>
                            <a:ext cx="870732" cy="70295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4 (3, 5.5)</w:t>
            </w:r>
          </w:p>
        </w:tc>
      </w:tr>
      <w:tr w:rsidR="0020268E" w:rsidRPr="002D4988" w:rsidTr="006E1995">
        <w:trPr>
          <w:trHeight w:val="112"/>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OCTAVE 1, TNFi-n</w:t>
            </w:r>
          </w:p>
        </w:tc>
        <w:tc>
          <w:tcPr>
            <w:tcW w:w="613"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147/222 (66.2)</w:t>
            </w:r>
          </w:p>
        </w:tc>
        <w:tc>
          <w:tcPr>
            <w:tcW w:w="613"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28/57 (49.1)</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1.35 (1.02, 1.78)</w:t>
            </w:r>
          </w:p>
        </w:tc>
        <w:tc>
          <w:tcPr>
            <w:tcW w:w="693"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0.17 (0.03, 0.31)</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6 (3, 33)</w:t>
            </w:r>
          </w:p>
        </w:tc>
      </w:tr>
      <w:tr w:rsidR="0020268E" w:rsidRPr="002D4988" w:rsidTr="006E1995">
        <w:trPr>
          <w:trHeight w:val="112"/>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OCTAVE 1, TNFi-e</w:t>
            </w:r>
          </w:p>
        </w:tc>
        <w:tc>
          <w:tcPr>
            <w:tcW w:w="613"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138/254 (54.3)</w:t>
            </w:r>
          </w:p>
        </w:tc>
        <w:tc>
          <w:tcPr>
            <w:tcW w:w="613"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12/65 (18.4)</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2.94 (1.74, 4.97)</w:t>
            </w:r>
          </w:p>
        </w:tc>
        <w:tc>
          <w:tcPr>
            <w:tcW w:w="693"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0.36 (0.25, 0.47)</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3 (2, 4)</w:t>
            </w:r>
          </w:p>
        </w:tc>
      </w:tr>
      <w:tr w:rsidR="0020268E" w:rsidRPr="002D4988" w:rsidTr="006E1995">
        <w:trPr>
          <w:trHeight w:val="112"/>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OCTAVE 2, ITT</w:t>
            </w:r>
          </w:p>
        </w:tc>
        <w:tc>
          <w:tcPr>
            <w:tcW w:w="613"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236/429 (55.0)</w:t>
            </w:r>
          </w:p>
        </w:tc>
        <w:tc>
          <w:tcPr>
            <w:tcW w:w="613"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32/112 (28.6)</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1.93 (1.42, 2.61)</w:t>
            </w:r>
          </w:p>
        </w:tc>
        <w:tc>
          <w:tcPr>
            <w:tcW w:w="693"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0.26 (0.17, 0.36)</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4 (3, 6)</w:t>
            </w:r>
          </w:p>
        </w:tc>
      </w:tr>
      <w:tr w:rsidR="0020268E" w:rsidRPr="002D4988" w:rsidTr="006E1995">
        <w:trPr>
          <w:trHeight w:val="112"/>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OCTAVE 2, TNFi-n</w:t>
            </w:r>
          </w:p>
        </w:tc>
        <w:tc>
          <w:tcPr>
            <w:tcW w:w="613"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120/195 (61.5)</w:t>
            </w:r>
          </w:p>
        </w:tc>
        <w:tc>
          <w:tcPr>
            <w:tcW w:w="613"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15/47 (31.9)</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1.93 (1.25, 2.97)</w:t>
            </w:r>
          </w:p>
        </w:tc>
        <w:tc>
          <w:tcPr>
            <w:tcW w:w="693"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0.30 (0.15, 0.45)</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3 (2, 7)</w:t>
            </w:r>
          </w:p>
        </w:tc>
      </w:tr>
      <w:tr w:rsidR="0020268E" w:rsidRPr="002D4988" w:rsidTr="006E1995">
        <w:trPr>
          <w:trHeight w:val="112"/>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OCTAVE 2, TNFi-e</w:t>
            </w:r>
          </w:p>
        </w:tc>
        <w:tc>
          <w:tcPr>
            <w:tcW w:w="613"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116/234 (49.5)</w:t>
            </w:r>
          </w:p>
        </w:tc>
        <w:tc>
          <w:tcPr>
            <w:tcW w:w="613"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17/65 (26.1)</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1.90 (1.23, 2.91)</w:t>
            </w:r>
          </w:p>
        </w:tc>
        <w:tc>
          <w:tcPr>
            <w:tcW w:w="693"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0.23 (0.11, 0.36)</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4 (3, 9)</w:t>
            </w:r>
          </w:p>
        </w:tc>
      </w:tr>
      <w:tr w:rsidR="0020268E" w:rsidRPr="002D4988" w:rsidTr="006E1995">
        <w:trPr>
          <w:trHeight w:val="112"/>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ITT</w:t>
            </w:r>
          </w:p>
        </w:tc>
        <w:tc>
          <w:tcPr>
            <w:tcW w:w="613"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521/905 (57.5)</w:t>
            </w:r>
          </w:p>
        </w:tc>
        <w:tc>
          <w:tcPr>
            <w:tcW w:w="613"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72/234 (30.7)</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1.87 (1.53, 2.28)</w:t>
            </w:r>
          </w:p>
        </w:tc>
        <w:tc>
          <w:tcPr>
            <w:tcW w:w="693"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0.27 (0.20, 0.33)</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4 (3, 5)</w:t>
            </w:r>
          </w:p>
        </w:tc>
      </w:tr>
      <w:tr w:rsidR="0020268E" w:rsidRPr="002D4988" w:rsidTr="006E1995">
        <w:trPr>
          <w:trHeight w:val="112"/>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TNFi-n</w:t>
            </w:r>
          </w:p>
        </w:tc>
        <w:tc>
          <w:tcPr>
            <w:tcW w:w="613"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267/417 (64.0)</w:t>
            </w:r>
          </w:p>
        </w:tc>
        <w:tc>
          <w:tcPr>
            <w:tcW w:w="613"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43/104 (41.3)</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1.55 (1.09, 2.21)</w:t>
            </w:r>
          </w:p>
        </w:tc>
        <w:tc>
          <w:tcPr>
            <w:tcW w:w="693"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0.23 (0.11, 0.35)</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4 (3, 8)</w:t>
            </w:r>
          </w:p>
        </w:tc>
      </w:tr>
      <w:tr w:rsidR="0020268E" w:rsidRPr="002D4988" w:rsidTr="006E1995">
        <w:trPr>
          <w:trHeight w:val="112"/>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TNFi-e</w:t>
            </w:r>
          </w:p>
        </w:tc>
        <w:tc>
          <w:tcPr>
            <w:tcW w:w="613"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254/488 (52.0)</w:t>
            </w:r>
          </w:p>
        </w:tc>
        <w:tc>
          <w:tcPr>
            <w:tcW w:w="613"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29/130 (22.3)</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2.30 (1.49, 3.55)</w:t>
            </w:r>
          </w:p>
        </w:tc>
        <w:tc>
          <w:tcPr>
            <w:tcW w:w="693"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7"/>
                <w:szCs w:val="17"/>
                <w:lang w:eastAsia="en-US"/>
              </w:rPr>
            </w:pPr>
            <w:r w:rsidRPr="00E91861">
              <w:rPr>
                <w:rFonts w:ascii="Arial Narrow" w:eastAsiaTheme="minorEastAsia" w:hAnsi="Arial Narrow"/>
                <w:b/>
                <w:bCs/>
                <w:iCs/>
                <w:snapToGrid w:val="0"/>
                <w:sz w:val="17"/>
                <w:szCs w:val="17"/>
                <w:lang w:eastAsia="en-US"/>
              </w:rPr>
              <w:t>0.30 (0.18, 0.42)</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3 (3, 5)</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DBE5F1" w:themeFill="accent1" w:themeFillTint="33"/>
            <w:vAlign w:val="center"/>
          </w:tcPr>
          <w:p w:rsidR="0020268E" w:rsidRPr="002D4988" w:rsidRDefault="0020268E" w:rsidP="0020268E">
            <w:pP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IFX v PBO (Wk 8)</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p>
        </w:tc>
      </w:tr>
      <w:tr w:rsidR="0020268E" w:rsidRPr="002D4988" w:rsidTr="006E1995">
        <w:trPr>
          <w:trHeight w:val="170"/>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ACT 1, ITT/TNFi-n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84/121 (69.4)</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45/121 (37.2)</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1.87 (1.44, 2.42)</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0.32 (0.20, 0.44)</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3 (2, 5)</w:t>
            </w:r>
          </w:p>
        </w:tc>
      </w:tr>
      <w:tr w:rsidR="0020268E" w:rsidRPr="002D4988" w:rsidTr="006E1995">
        <w:trPr>
          <w:trHeight w:val="170"/>
        </w:trPr>
        <w:tc>
          <w:tcPr>
            <w:tcW w:w="1079" w:type="pct"/>
            <w:tcBorders>
              <w:left w:val="single" w:sz="4" w:space="0" w:color="auto"/>
              <w:righ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ACT 2, ITT/TNFi-n</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78/121 (64.5)</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36/123 (29.3)</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2.20 (1.62, 2.99)</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0.35 (0.23, 0.47)</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3 (2, 4)</w:t>
            </w:r>
          </w:p>
        </w:tc>
      </w:tr>
      <w:tr w:rsidR="0020268E" w:rsidRPr="002D4988" w:rsidTr="006E1995">
        <w:trPr>
          <w:trHeight w:val="170"/>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Jiang 2015, ITT/TNFi-n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32/41 (78.1)</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15/41 (36.6)</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2.13 (1.38, 3.29)</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0.41 (0.22, 0.61)</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2 (2, 4.5)</w:t>
            </w:r>
          </w:p>
        </w:tc>
      </w:tr>
      <w:tr w:rsidR="0020268E" w:rsidRPr="002D4988" w:rsidTr="006E1995">
        <w:trPr>
          <w:trHeight w:val="131"/>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REMICADE ITT/TNFi-n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32/50 (64.0)</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19/49 (38.8)</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b/>
                <w:bCs/>
                <w:iCs/>
                <w:sz w:val="17"/>
                <w:szCs w:val="17"/>
                <w:lang w:eastAsia="en-US"/>
              </w:rPr>
            </w:pPr>
            <w:r w:rsidRPr="002D4988">
              <w:rPr>
                <w:rFonts w:ascii="Arial Narrow" w:eastAsiaTheme="minorEastAsia" w:hAnsi="Arial Narrow" w:cs="Times New Roman"/>
                <w:b/>
                <w:bCs/>
                <w:iCs/>
                <w:sz w:val="17"/>
                <w:szCs w:val="17"/>
                <w:lang w:eastAsia="en-US"/>
              </w:rPr>
              <w:t>1.65 (1.10, 2.48)</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b/>
                <w:bCs/>
                <w:iCs/>
                <w:sz w:val="17"/>
                <w:szCs w:val="17"/>
                <w:lang w:eastAsia="en-US"/>
              </w:rPr>
            </w:pPr>
            <w:r w:rsidRPr="002D4988">
              <w:rPr>
                <w:rFonts w:ascii="Arial Narrow" w:eastAsiaTheme="minorEastAsia" w:hAnsi="Arial Narrow" w:cs="Times New Roman"/>
                <w:b/>
                <w:bCs/>
                <w:iCs/>
                <w:sz w:val="17"/>
                <w:szCs w:val="17"/>
                <w:lang w:eastAsia="en-US"/>
              </w:rPr>
              <w:t>0.25 (0.06, 0.44)</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4 (2, 17)</w:t>
            </w:r>
          </w:p>
        </w:tc>
      </w:tr>
      <w:tr w:rsidR="0020268E" w:rsidRPr="002D4988" w:rsidTr="006E1995">
        <w:trPr>
          <w:trHeight w:val="131"/>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Kobayashi 2016 ITT/TNFi-n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57/104 (54.8)</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37/104 (35.6)</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b/>
                <w:bCs/>
                <w:sz w:val="17"/>
                <w:szCs w:val="17"/>
                <w:lang w:eastAsia="en-US"/>
              </w:rPr>
            </w:pPr>
            <w:r w:rsidRPr="002D4988">
              <w:rPr>
                <w:rFonts w:ascii="Arial Narrow" w:eastAsiaTheme="minorEastAsia" w:hAnsi="Arial Narrow" w:cs="Times New Roman"/>
                <w:b/>
                <w:bCs/>
                <w:sz w:val="17"/>
                <w:szCs w:val="17"/>
                <w:lang w:eastAsia="en-US"/>
              </w:rPr>
              <w:t>1.54 (1.13, 2.10)</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b/>
                <w:bCs/>
                <w:sz w:val="17"/>
                <w:szCs w:val="17"/>
                <w:lang w:eastAsia="en-US"/>
              </w:rPr>
            </w:pPr>
            <w:r w:rsidRPr="002D4988">
              <w:rPr>
                <w:rFonts w:ascii="Arial Narrow" w:eastAsiaTheme="minorEastAsia" w:hAnsi="Arial Narrow" w:cs="Times New Roman"/>
                <w:b/>
                <w:bCs/>
                <w:sz w:val="17"/>
                <w:szCs w:val="17"/>
                <w:lang w:eastAsia="en-US"/>
              </w:rPr>
              <w:t>0.19 (0.06, 0.33)</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5 (3, 17)</w:t>
            </w:r>
          </w:p>
        </w:tc>
      </w:tr>
      <w:tr w:rsidR="0020268E" w:rsidRPr="002D4988" w:rsidTr="006E1995">
        <w:trPr>
          <w:trHeight w:val="233"/>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ITT/TNFi-n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283/437 (64.8)</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152/438 (34.7)</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1.86 (1.61, 2.15)</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0.30 (0.23, 0.37)</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3 (3, 4)</w:t>
            </w:r>
          </w:p>
        </w:tc>
      </w:tr>
      <w:tr w:rsidR="0020268E" w:rsidRPr="002D4988" w:rsidTr="006E1995">
        <w:trPr>
          <w:trHeight w:val="56"/>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(ACT1/2), ITT/TNFi-n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162/242 (66.9)</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81/244 (33.2)</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2.02 (1.65, 2.46)</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0.34 (0.25, 0.42)</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3 (2, 4)</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DBE5F1" w:themeFill="accent1" w:themeFillTint="33"/>
            <w:vAlign w:val="center"/>
          </w:tcPr>
          <w:p w:rsidR="0020268E" w:rsidRPr="002D4988" w:rsidRDefault="0020268E" w:rsidP="0020268E">
            <w:pP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GOL v PBO (Wk 6)</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p>
        </w:tc>
      </w:tr>
      <w:tr w:rsidR="0020268E" w:rsidRPr="002D4988" w:rsidTr="006E1995">
        <w:trPr>
          <w:trHeight w:val="170"/>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PURSUIT-SC, ITT/TNFi-n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129/253 (51.0)</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76/251 (30.3)</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1.68 (1.35, 2.11)</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0.21 (0.12, 0.29)</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5 (3, 8)</w:t>
            </w:r>
          </w:p>
        </w:tc>
      </w:tr>
      <w:tr w:rsidR="0020268E" w:rsidRPr="002D4988" w:rsidTr="006E1995">
        <w:trPr>
          <w:trHeight w:val="70"/>
        </w:trPr>
        <w:tc>
          <w:tcPr>
            <w:tcW w:w="2305" w:type="pct"/>
            <w:gridSpan w:val="3"/>
            <w:tcBorders>
              <w:left w:val="single" w:sz="4" w:space="0" w:color="auto"/>
              <w:right w:val="single" w:sz="4" w:space="0" w:color="auto"/>
            </w:tcBorders>
            <w:shd w:val="clear" w:color="auto" w:fill="DBE5F1" w:themeFill="accent1" w:themeFillTint="33"/>
            <w:vAlign w:val="center"/>
          </w:tcPr>
          <w:p w:rsidR="0020268E" w:rsidRPr="002D4988" w:rsidRDefault="0020268E" w:rsidP="0020268E">
            <w:pP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ADA v PBO (Wk 8)</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p>
        </w:tc>
      </w:tr>
      <w:tr w:rsidR="0020268E" w:rsidRPr="002D4988" w:rsidTr="006E1995">
        <w:trPr>
          <w:trHeight w:val="170"/>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ULTRA 1, ITT/TNFi-n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71/130 (54.6)</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58/130 (44.6)</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1.22 (0.96, 1.57)</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0.10 (-0.02, 0.22)</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6E1995">
        <w:trPr>
          <w:trHeight w:val="170"/>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ULTRA 2, ITT</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125/248 (50.4)</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85/246 (34.6)</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1.46 (1.18, 1.80)</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0.16 (0.07, 0.24)</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6 (4, 14)</w:t>
            </w:r>
          </w:p>
        </w:tc>
      </w:tr>
      <w:tr w:rsidR="0020268E" w:rsidRPr="002D4988" w:rsidTr="006E1995">
        <w:trPr>
          <w:trHeight w:val="170"/>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ULTRA 2, 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89/150 (59.3)</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56/145 (38.6)</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1.54 (1.20, 1.96)</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0.21 (0.10, 0.32)</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5 (3, 10)</w:t>
            </w:r>
          </w:p>
        </w:tc>
      </w:tr>
      <w:tr w:rsidR="0020268E" w:rsidRPr="002D4988" w:rsidTr="006E1995">
        <w:trPr>
          <w:trHeight w:val="170"/>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ULTRA 2, TNFi-e</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36/98 (36.7)</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29/101 (28.7)</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1.28 (0.86, 1.91)</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7"/>
                <w:szCs w:val="17"/>
                <w:lang w:eastAsia="en-US"/>
              </w:rPr>
            </w:pPr>
            <w:r w:rsidRPr="002D4988">
              <w:rPr>
                <w:rFonts w:ascii="Arial Narrow" w:eastAsiaTheme="minorEastAsia" w:hAnsi="Arial Narrow"/>
                <w:snapToGrid w:val="0"/>
                <w:sz w:val="17"/>
                <w:szCs w:val="17"/>
                <w:lang w:eastAsia="en-US"/>
              </w:rPr>
              <w:t>0.08 (-0.05, 0.21)</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6E1995">
        <w:trPr>
          <w:trHeight w:val="170"/>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Suzuki 2014, ITT/TNFi-n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45/90 (50.0)</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iCs/>
                <w:sz w:val="17"/>
                <w:szCs w:val="17"/>
                <w:lang w:eastAsia="en-US"/>
              </w:rPr>
            </w:pPr>
            <w:r w:rsidRPr="002D4988">
              <w:rPr>
                <w:rFonts w:ascii="Arial Narrow" w:eastAsiaTheme="minorEastAsia" w:hAnsi="Arial Narrow" w:cs="Times New Roman"/>
                <w:iCs/>
                <w:sz w:val="17"/>
                <w:szCs w:val="17"/>
                <w:lang w:eastAsia="en-US"/>
              </w:rPr>
              <w:t>34/96 (35.4)</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1.41 (1.00, 1.98)</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0.15 (0.01, 0.29)</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7 (3, 100)</w:t>
            </w:r>
          </w:p>
        </w:tc>
      </w:tr>
      <w:tr w:rsidR="0020268E" w:rsidRPr="002D4988" w:rsidTr="006E1995">
        <w:trPr>
          <w:trHeight w:val="170"/>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ITT</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241/468 (51.4)</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177/472 (37.5)</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Times New Roman" w:eastAsiaTheme="minorEastAsia" w:hAnsi="Times New Roman" w:cs="Times New Roman"/>
                <w:b/>
                <w:bCs/>
                <w:i/>
                <w:sz w:val="17"/>
                <w:szCs w:val="17"/>
                <w:lang w:eastAsia="zh-CN"/>
              </w:rPr>
            </w:pPr>
            <w:r w:rsidRPr="002D4988">
              <w:rPr>
                <w:rFonts w:ascii="Arial Narrow" w:eastAsiaTheme="minorEastAsia" w:hAnsi="Arial Narrow" w:cs="Times New Roman"/>
                <w:b/>
                <w:bCs/>
                <w:i/>
                <w:sz w:val="17"/>
                <w:szCs w:val="17"/>
                <w:lang w:eastAsia="en-US"/>
              </w:rPr>
              <w:t>1.36 (1.18, 1.58)</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0.14 (0.08, 0.20)</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7 (5, 12.5)</w:t>
            </w:r>
          </w:p>
        </w:tc>
      </w:tr>
      <w:tr w:rsidR="0020268E" w:rsidRPr="002D4988" w:rsidTr="006E1995">
        <w:trPr>
          <w:trHeight w:val="170"/>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205/370 (55.4)</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148/371 (39.8)</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1.38 (1.18, 1.61)</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
                <w:snapToGrid w:val="0"/>
                <w:sz w:val="17"/>
                <w:szCs w:val="17"/>
                <w:lang w:eastAsia="en-US"/>
              </w:rPr>
            </w:pPr>
            <w:r w:rsidRPr="002D4988">
              <w:rPr>
                <w:rFonts w:ascii="Arial Narrow" w:eastAsiaTheme="minorEastAsia" w:hAnsi="Arial Narrow"/>
                <w:b/>
                <w:bCs/>
                <w:i/>
                <w:snapToGrid w:val="0"/>
                <w:sz w:val="17"/>
                <w:szCs w:val="17"/>
                <w:lang w:eastAsia="en-US"/>
              </w:rPr>
              <w:t>0.15 (0.08, 0.23)</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7 (4, 12.5)</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b/>
                <w:bCs/>
                <w:iCs/>
                <w:snapToGrid w:val="0"/>
                <w:sz w:val="17"/>
                <w:szCs w:val="17"/>
                <w:lang w:eastAsia="en-US"/>
              </w:rPr>
              <w:t>VDZ v PBO (Wk 6)</w:t>
            </w:r>
          </w:p>
        </w:tc>
        <w:tc>
          <w:tcPr>
            <w:tcW w:w="660"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693"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iCs/>
                <w:snapToGrid w:val="0"/>
                <w:sz w:val="17"/>
                <w:szCs w:val="17"/>
                <w:lang w:eastAsia="en-US"/>
              </w:rPr>
            </w:pP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p>
        </w:tc>
      </w:tr>
      <w:tr w:rsidR="0020268E" w:rsidRPr="002D4988" w:rsidTr="006E1995">
        <w:trPr>
          <w:trHeight w:val="170"/>
        </w:trPr>
        <w:tc>
          <w:tcPr>
            <w:tcW w:w="1079" w:type="pct"/>
            <w:tcBorders>
              <w:lef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GEMINI 1, ITT</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106/225 (47.1)</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38/149 (25.5)</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1.85 (1.36, 2.51)</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0.22 (0.12, 0.31)</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4.5 (3, 8)</w:t>
            </w:r>
          </w:p>
        </w:tc>
      </w:tr>
      <w:tr w:rsidR="0020268E" w:rsidRPr="002D4988" w:rsidTr="006E1995">
        <w:trPr>
          <w:trHeight w:val="56"/>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 xml:space="preserve">GEMINI 1, </w:t>
            </w:r>
            <w:r w:rsidRPr="002D4988">
              <w:rPr>
                <w:rFonts w:ascii="Arial Narrow" w:eastAsiaTheme="minorEastAsia" w:hAnsi="Arial Narrow"/>
                <w:snapToGrid w:val="0"/>
                <w:sz w:val="17"/>
                <w:szCs w:val="17"/>
                <w:lang w:eastAsia="en-US"/>
              </w:rPr>
              <w:t>TNFi-n</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69/130 (53.1)</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20/76 (26.3)</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2.02 (1.34, 3.04)</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0.27 (0.14, 0.40)</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4 (2.5, 7)</w:t>
            </w:r>
          </w:p>
        </w:tc>
      </w:tr>
      <w:tr w:rsidR="0020268E" w:rsidRPr="002D4988" w:rsidTr="006E1995">
        <w:trPr>
          <w:trHeight w:val="170"/>
        </w:trPr>
        <w:tc>
          <w:tcPr>
            <w:tcW w:w="1079" w:type="pct"/>
            <w:tcBorders>
              <w:left w:val="single" w:sz="4" w:space="0" w:color="auto"/>
            </w:tcBorders>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 xml:space="preserve">GEMINI 1, </w:t>
            </w:r>
            <w:r w:rsidRPr="002D4988">
              <w:rPr>
                <w:rFonts w:ascii="Arial Narrow" w:eastAsiaTheme="minorEastAsia" w:hAnsi="Arial Narrow"/>
                <w:snapToGrid w:val="0"/>
                <w:sz w:val="17"/>
                <w:szCs w:val="17"/>
                <w:lang w:eastAsia="en-US"/>
              </w:rPr>
              <w:t>TNFi-e*</w:t>
            </w:r>
          </w:p>
        </w:tc>
        <w:tc>
          <w:tcPr>
            <w:tcW w:w="613" w:type="pct"/>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32/82 (39.0)</w:t>
            </w:r>
          </w:p>
        </w:tc>
        <w:tc>
          <w:tcPr>
            <w:tcW w:w="613" w:type="pct"/>
            <w:tcBorders>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13/63 (20.6)</w:t>
            </w:r>
          </w:p>
        </w:tc>
        <w:tc>
          <w:tcPr>
            <w:tcW w:w="660"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1.89 (1.09, 3.29)</w:t>
            </w:r>
          </w:p>
        </w:tc>
        <w:tc>
          <w:tcPr>
            <w:tcW w:w="693"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7"/>
                <w:szCs w:val="17"/>
                <w:lang w:eastAsia="en-US"/>
              </w:rPr>
            </w:pPr>
            <w:r w:rsidRPr="002D4988">
              <w:rPr>
                <w:rFonts w:ascii="Arial Narrow" w:eastAsiaTheme="minorEastAsia" w:hAnsi="Arial Narrow"/>
                <w:b/>
                <w:bCs/>
                <w:snapToGrid w:val="0"/>
                <w:sz w:val="17"/>
                <w:szCs w:val="17"/>
                <w:lang w:eastAsia="en-US"/>
              </w:rPr>
              <w:t>0.18 (0.04, 0.33)</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5.5 (3, 25)</w:t>
            </w:r>
          </w:p>
        </w:tc>
      </w:tr>
      <w:tr w:rsidR="0020268E" w:rsidRPr="002D4988" w:rsidTr="006E1995">
        <w:trPr>
          <w:trHeight w:val="170"/>
        </w:trPr>
        <w:tc>
          <w:tcPr>
            <w:tcW w:w="1079" w:type="pct"/>
            <w:shd w:val="clear" w:color="auto" w:fill="auto"/>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Motoya 2019, ITT</w:t>
            </w:r>
          </w:p>
        </w:tc>
        <w:tc>
          <w:tcPr>
            <w:tcW w:w="613" w:type="pct"/>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65/164 (39.6)</w:t>
            </w:r>
          </w:p>
        </w:tc>
        <w:tc>
          <w:tcPr>
            <w:tcW w:w="613" w:type="pct"/>
            <w:tcBorders>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27/82 (32.9)</w:t>
            </w:r>
          </w:p>
        </w:tc>
        <w:tc>
          <w:tcPr>
            <w:tcW w:w="660"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Cs/>
                <w:snapToGrid w:val="0"/>
                <w:sz w:val="17"/>
                <w:szCs w:val="17"/>
                <w:lang w:eastAsia="en-US"/>
              </w:rPr>
            </w:pPr>
            <w:r w:rsidRPr="002D4988">
              <w:rPr>
                <w:rFonts w:ascii="Arial Narrow" w:eastAsiaTheme="minorEastAsia" w:hAnsi="Arial Narrow"/>
                <w:bCs/>
                <w:snapToGrid w:val="0"/>
                <w:sz w:val="17"/>
                <w:szCs w:val="17"/>
                <w:lang w:eastAsia="en-US"/>
              </w:rPr>
              <w:t>1.20 (0.84, 1.73)</w:t>
            </w:r>
          </w:p>
        </w:tc>
        <w:tc>
          <w:tcPr>
            <w:tcW w:w="693"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Cs/>
                <w:snapToGrid w:val="0"/>
                <w:sz w:val="17"/>
                <w:szCs w:val="17"/>
                <w:lang w:eastAsia="en-US"/>
              </w:rPr>
            </w:pPr>
            <w:r w:rsidRPr="002D4988">
              <w:rPr>
                <w:rFonts w:ascii="Arial Narrow" w:eastAsiaTheme="minorEastAsia" w:hAnsi="Arial Narrow"/>
                <w:bCs/>
                <w:snapToGrid w:val="0"/>
                <w:sz w:val="17"/>
                <w:szCs w:val="17"/>
                <w:lang w:eastAsia="en-US"/>
              </w:rPr>
              <w:t>0.07 (-0.06, 0.19)</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6E1995">
        <w:trPr>
          <w:trHeight w:val="170"/>
        </w:trPr>
        <w:tc>
          <w:tcPr>
            <w:tcW w:w="1079" w:type="pct"/>
            <w:shd w:val="clear" w:color="auto" w:fill="auto"/>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 xml:space="preserve">Motoya 2019, </w:t>
            </w:r>
            <w:r w:rsidRPr="002D4988">
              <w:rPr>
                <w:rFonts w:ascii="Arial Narrow" w:eastAsiaTheme="minorEastAsia" w:hAnsi="Arial Narrow"/>
                <w:snapToGrid w:val="0"/>
                <w:sz w:val="17"/>
                <w:szCs w:val="17"/>
                <w:lang w:eastAsia="en-US"/>
              </w:rPr>
              <w:t>TNFi-n</w:t>
            </w:r>
          </w:p>
        </w:tc>
        <w:tc>
          <w:tcPr>
            <w:tcW w:w="613" w:type="pct"/>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42/79 (53.2)</w:t>
            </w:r>
          </w:p>
        </w:tc>
        <w:tc>
          <w:tcPr>
            <w:tcW w:w="613" w:type="pct"/>
            <w:tcBorders>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15/41 (36.6)</w:t>
            </w:r>
          </w:p>
        </w:tc>
        <w:tc>
          <w:tcPr>
            <w:tcW w:w="660"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Cs/>
                <w:snapToGrid w:val="0"/>
                <w:sz w:val="17"/>
                <w:szCs w:val="17"/>
                <w:lang w:eastAsia="en-US"/>
              </w:rPr>
            </w:pPr>
            <w:r w:rsidRPr="002D4988">
              <w:rPr>
                <w:rFonts w:ascii="Arial Narrow" w:eastAsiaTheme="minorEastAsia" w:hAnsi="Arial Narrow"/>
                <w:bCs/>
                <w:snapToGrid w:val="0"/>
                <w:sz w:val="17"/>
                <w:szCs w:val="17"/>
                <w:lang w:eastAsia="en-US"/>
              </w:rPr>
              <w:t>1.45 (0.92, 2.29)</w:t>
            </w:r>
          </w:p>
        </w:tc>
        <w:tc>
          <w:tcPr>
            <w:tcW w:w="693"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Cs/>
                <w:snapToGrid w:val="0"/>
                <w:sz w:val="17"/>
                <w:szCs w:val="17"/>
                <w:lang w:eastAsia="en-US"/>
              </w:rPr>
            </w:pPr>
            <w:r w:rsidRPr="002D4988">
              <w:rPr>
                <w:rFonts w:ascii="Arial Narrow" w:eastAsiaTheme="minorEastAsia" w:hAnsi="Arial Narrow"/>
                <w:bCs/>
                <w:snapToGrid w:val="0"/>
                <w:sz w:val="17"/>
                <w:szCs w:val="17"/>
                <w:lang w:eastAsia="en-US"/>
              </w:rPr>
              <w:t>0.17 (-0.02, 0.35)</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6E1995">
        <w:trPr>
          <w:trHeight w:val="170"/>
        </w:trPr>
        <w:tc>
          <w:tcPr>
            <w:tcW w:w="1079" w:type="pct"/>
            <w:tcBorders>
              <w:top w:val="single" w:sz="4" w:space="0" w:color="auto"/>
            </w:tcBorders>
            <w:shd w:val="clear" w:color="auto" w:fill="auto"/>
            <w:vAlign w:val="center"/>
          </w:tcPr>
          <w:p w:rsidR="0020268E" w:rsidRPr="002D4988" w:rsidRDefault="0020268E" w:rsidP="0020268E">
            <w:pPr>
              <w:jc w:val="lef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 xml:space="preserve">Motoya 2019, </w:t>
            </w:r>
            <w:r w:rsidRPr="002D4988">
              <w:rPr>
                <w:rFonts w:ascii="Arial Narrow" w:eastAsiaTheme="minorEastAsia" w:hAnsi="Arial Narrow"/>
                <w:snapToGrid w:val="0"/>
                <w:sz w:val="17"/>
                <w:szCs w:val="17"/>
                <w:lang w:eastAsia="en-US"/>
              </w:rPr>
              <w:t>TNFi-e</w:t>
            </w:r>
          </w:p>
        </w:tc>
        <w:tc>
          <w:tcPr>
            <w:tcW w:w="613" w:type="pct"/>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23/85 (27.1)</w:t>
            </w:r>
          </w:p>
        </w:tc>
        <w:tc>
          <w:tcPr>
            <w:tcW w:w="613" w:type="pct"/>
            <w:tcBorders>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cs="Times New Roman"/>
                <w:sz w:val="17"/>
                <w:szCs w:val="17"/>
                <w:lang w:eastAsia="en-US"/>
              </w:rPr>
              <w:t>12/41 (29.3)</w:t>
            </w:r>
          </w:p>
        </w:tc>
        <w:tc>
          <w:tcPr>
            <w:tcW w:w="660"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Cs/>
                <w:snapToGrid w:val="0"/>
                <w:sz w:val="17"/>
                <w:szCs w:val="17"/>
                <w:lang w:eastAsia="en-US"/>
              </w:rPr>
            </w:pPr>
            <w:r w:rsidRPr="002D4988">
              <w:rPr>
                <w:rFonts w:ascii="Arial Narrow" w:eastAsiaTheme="minorEastAsia" w:hAnsi="Arial Narrow"/>
                <w:bCs/>
                <w:snapToGrid w:val="0"/>
                <w:sz w:val="17"/>
                <w:szCs w:val="17"/>
                <w:lang w:eastAsia="en-US"/>
              </w:rPr>
              <w:t>0.92 (0.51, 1.67)</w:t>
            </w:r>
          </w:p>
        </w:tc>
        <w:tc>
          <w:tcPr>
            <w:tcW w:w="693"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Cs/>
                <w:snapToGrid w:val="0"/>
                <w:sz w:val="17"/>
                <w:szCs w:val="17"/>
                <w:lang w:eastAsia="en-US"/>
              </w:rPr>
            </w:pPr>
            <w:r w:rsidRPr="002D4988">
              <w:rPr>
                <w:rFonts w:ascii="Arial Narrow" w:eastAsiaTheme="minorEastAsia" w:hAnsi="Arial Narrow"/>
                <w:bCs/>
                <w:snapToGrid w:val="0"/>
                <w:sz w:val="17"/>
                <w:szCs w:val="17"/>
                <w:lang w:eastAsia="en-US"/>
              </w:rPr>
              <w:t>-0.02 (-0.19, 0.15)</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6E1995">
        <w:trPr>
          <w:trHeight w:val="170"/>
        </w:trPr>
        <w:tc>
          <w:tcPr>
            <w:tcW w:w="1079" w:type="pct"/>
            <w:shd w:val="clear" w:color="auto" w:fill="auto"/>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ITT</w:t>
            </w:r>
          </w:p>
        </w:tc>
        <w:tc>
          <w:tcPr>
            <w:tcW w:w="613" w:type="pct"/>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iCs/>
                <w:snapToGrid w:val="0"/>
                <w:sz w:val="17"/>
                <w:szCs w:val="17"/>
                <w:lang w:eastAsia="en-US"/>
              </w:rPr>
              <w:t>171/389 (44.0)</w:t>
            </w:r>
          </w:p>
        </w:tc>
        <w:tc>
          <w:tcPr>
            <w:tcW w:w="613" w:type="pct"/>
            <w:tcBorders>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iCs/>
                <w:snapToGrid w:val="0"/>
                <w:sz w:val="17"/>
                <w:szCs w:val="17"/>
                <w:lang w:eastAsia="en-US"/>
              </w:rPr>
              <w:t>65/231 (28.1)</w:t>
            </w:r>
          </w:p>
        </w:tc>
        <w:tc>
          <w:tcPr>
            <w:tcW w:w="660"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bCs/>
                <w:i/>
                <w:snapToGrid w:val="0"/>
                <w:sz w:val="17"/>
                <w:szCs w:val="17"/>
                <w:lang w:eastAsia="en-US"/>
              </w:rPr>
            </w:pPr>
            <w:r w:rsidRPr="002D4988">
              <w:rPr>
                <w:rFonts w:ascii="Arial Narrow" w:eastAsiaTheme="minorEastAsia" w:hAnsi="Arial Narrow"/>
                <w:bCs/>
                <w:i/>
                <w:iCs/>
                <w:snapToGrid w:val="0"/>
                <w:sz w:val="17"/>
                <w:szCs w:val="17"/>
                <w:lang w:eastAsia="en-US"/>
              </w:rPr>
              <w:t>1.51 (0.99, 2.29)</w:t>
            </w:r>
          </w:p>
        </w:tc>
        <w:tc>
          <w:tcPr>
            <w:tcW w:w="693" w:type="pct"/>
            <w:tcBorders>
              <w:top w:val="nil"/>
              <w:left w:val="single" w:sz="4" w:space="0" w:color="auto"/>
              <w:bottom w:val="nil"/>
              <w:right w:val="nil"/>
            </w:tcBorders>
            <w:shd w:val="clear" w:color="auto" w:fill="auto"/>
          </w:tcPr>
          <w:p w:rsidR="0020268E" w:rsidRPr="002D4988" w:rsidRDefault="0020268E" w:rsidP="0020268E">
            <w:pPr>
              <w:jc w:val="center"/>
              <w:rPr>
                <w:rFonts w:ascii="Arial Narrow" w:eastAsiaTheme="minorEastAsia" w:hAnsi="Arial Narrow"/>
                <w:bCs/>
                <w:i/>
                <w:snapToGrid w:val="0"/>
                <w:sz w:val="17"/>
                <w:szCs w:val="17"/>
                <w:lang w:eastAsia="en-US"/>
              </w:rPr>
            </w:pPr>
            <w:r w:rsidRPr="002D4988">
              <w:rPr>
                <w:rFonts w:ascii="Arial Narrow" w:eastAsiaTheme="minorEastAsia" w:hAnsi="Arial Narrow"/>
                <w:bCs/>
                <w:i/>
                <w:iCs/>
                <w:snapToGrid w:val="0"/>
                <w:sz w:val="17"/>
                <w:szCs w:val="17"/>
                <w:lang w:eastAsia="en-US"/>
              </w:rPr>
              <w:t>0.15 (0.00, 0.29)</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6E1995">
        <w:trPr>
          <w:trHeight w:val="170"/>
        </w:trPr>
        <w:tc>
          <w:tcPr>
            <w:tcW w:w="1079" w:type="pct"/>
            <w:shd w:val="clear" w:color="auto" w:fill="auto"/>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TNFi-n</w:t>
            </w:r>
          </w:p>
        </w:tc>
        <w:tc>
          <w:tcPr>
            <w:tcW w:w="613" w:type="pct"/>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iCs/>
                <w:snapToGrid w:val="0"/>
                <w:sz w:val="17"/>
                <w:szCs w:val="17"/>
                <w:lang w:eastAsia="en-US"/>
              </w:rPr>
              <w:t>111/209 (53.1)</w:t>
            </w:r>
          </w:p>
        </w:tc>
        <w:tc>
          <w:tcPr>
            <w:tcW w:w="613" w:type="pct"/>
            <w:tcBorders>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iCs/>
                <w:snapToGrid w:val="0"/>
                <w:sz w:val="17"/>
                <w:szCs w:val="17"/>
                <w:lang w:eastAsia="en-US"/>
              </w:rPr>
              <w:t>35/117 (29.9)</w:t>
            </w:r>
          </w:p>
        </w:tc>
        <w:tc>
          <w:tcPr>
            <w:tcW w:w="660"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bCs/>
                <w:i/>
                <w:snapToGrid w:val="0"/>
                <w:sz w:val="17"/>
                <w:szCs w:val="17"/>
                <w:lang w:eastAsia="en-US"/>
              </w:rPr>
            </w:pPr>
            <w:r w:rsidRPr="002D4988">
              <w:rPr>
                <w:rFonts w:ascii="Arial Narrow" w:eastAsiaTheme="minorEastAsia" w:hAnsi="Arial Narrow"/>
                <w:b/>
                <w:bCs/>
                <w:i/>
                <w:snapToGrid w:val="0"/>
                <w:sz w:val="17"/>
                <w:szCs w:val="17"/>
                <w:lang w:eastAsia="en-US"/>
              </w:rPr>
              <w:t>1.74 (1.26, 2.40)</w:t>
            </w:r>
          </w:p>
        </w:tc>
        <w:tc>
          <w:tcPr>
            <w:tcW w:w="693" w:type="pct"/>
            <w:tcBorders>
              <w:top w:val="nil"/>
              <w:left w:val="single" w:sz="4" w:space="0" w:color="auto"/>
              <w:bottom w:val="nil"/>
              <w:right w:val="nil"/>
            </w:tcBorders>
            <w:shd w:val="clear" w:color="auto" w:fill="auto"/>
          </w:tcPr>
          <w:p w:rsidR="0020268E" w:rsidRPr="002D4988" w:rsidRDefault="0020268E" w:rsidP="0020268E">
            <w:pPr>
              <w:jc w:val="center"/>
              <w:rPr>
                <w:rFonts w:ascii="Arial Narrow" w:eastAsiaTheme="minorEastAsia" w:hAnsi="Arial Narrow"/>
                <w:bCs/>
                <w:i/>
                <w:snapToGrid w:val="0"/>
                <w:sz w:val="17"/>
                <w:szCs w:val="17"/>
                <w:lang w:eastAsia="en-US"/>
              </w:rPr>
            </w:pPr>
            <w:r w:rsidRPr="002D4988">
              <w:rPr>
                <w:rFonts w:ascii="Arial Narrow" w:eastAsiaTheme="minorEastAsia" w:hAnsi="Arial Narrow"/>
                <w:b/>
                <w:bCs/>
                <w:i/>
                <w:snapToGrid w:val="0"/>
                <w:sz w:val="17"/>
                <w:szCs w:val="17"/>
                <w:lang w:eastAsia="en-US"/>
              </w:rPr>
              <w:t>0.23 (0.13, 0.34)</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4 (3, 8)</w:t>
            </w:r>
          </w:p>
        </w:tc>
      </w:tr>
      <w:tr w:rsidR="0020268E" w:rsidRPr="002D4988" w:rsidTr="006E1995">
        <w:trPr>
          <w:trHeight w:val="170"/>
        </w:trPr>
        <w:tc>
          <w:tcPr>
            <w:tcW w:w="1079" w:type="pct"/>
            <w:shd w:val="clear" w:color="auto" w:fill="auto"/>
            <w:vAlign w:val="center"/>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Meta, TNFi-e</w:t>
            </w:r>
          </w:p>
        </w:tc>
        <w:tc>
          <w:tcPr>
            <w:tcW w:w="613" w:type="pct"/>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iCs/>
                <w:snapToGrid w:val="0"/>
                <w:sz w:val="17"/>
                <w:szCs w:val="17"/>
                <w:lang w:eastAsia="en-US"/>
              </w:rPr>
              <w:t>55/167 (32.9)</w:t>
            </w:r>
          </w:p>
        </w:tc>
        <w:tc>
          <w:tcPr>
            <w:tcW w:w="613" w:type="pct"/>
            <w:tcBorders>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cs="Times New Roman"/>
                <w:sz w:val="17"/>
                <w:szCs w:val="17"/>
                <w:lang w:eastAsia="en-US"/>
              </w:rPr>
            </w:pPr>
            <w:r w:rsidRPr="002D4988">
              <w:rPr>
                <w:rFonts w:ascii="Arial Narrow" w:eastAsiaTheme="minorEastAsia" w:hAnsi="Arial Narrow"/>
                <w:iCs/>
                <w:snapToGrid w:val="0"/>
                <w:sz w:val="17"/>
                <w:szCs w:val="17"/>
                <w:lang w:eastAsia="en-US"/>
              </w:rPr>
              <w:t>25/104 (24.0)</w:t>
            </w:r>
          </w:p>
        </w:tc>
        <w:tc>
          <w:tcPr>
            <w:tcW w:w="660"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bCs/>
                <w:i/>
                <w:snapToGrid w:val="0"/>
                <w:sz w:val="17"/>
                <w:szCs w:val="17"/>
                <w:lang w:eastAsia="en-US"/>
              </w:rPr>
            </w:pPr>
            <w:r w:rsidRPr="002D4988">
              <w:rPr>
                <w:rFonts w:ascii="Arial Narrow" w:eastAsiaTheme="minorEastAsia" w:hAnsi="Arial Narrow"/>
                <w:bCs/>
                <w:i/>
                <w:iCs/>
                <w:snapToGrid w:val="0"/>
                <w:sz w:val="17"/>
                <w:szCs w:val="17"/>
                <w:lang w:eastAsia="en-US"/>
              </w:rPr>
              <w:t>1.33 (0.66, 2.69)</w:t>
            </w:r>
          </w:p>
        </w:tc>
        <w:tc>
          <w:tcPr>
            <w:tcW w:w="693" w:type="pct"/>
            <w:tcBorders>
              <w:top w:val="nil"/>
              <w:left w:val="single" w:sz="4" w:space="0" w:color="auto"/>
              <w:bottom w:val="nil"/>
              <w:right w:val="nil"/>
            </w:tcBorders>
            <w:shd w:val="clear" w:color="auto" w:fill="auto"/>
          </w:tcPr>
          <w:p w:rsidR="0020268E" w:rsidRPr="002D4988" w:rsidRDefault="0020268E" w:rsidP="0020268E">
            <w:pPr>
              <w:jc w:val="center"/>
              <w:rPr>
                <w:rFonts w:ascii="Arial Narrow" w:eastAsiaTheme="minorEastAsia" w:hAnsi="Arial Narrow"/>
                <w:bCs/>
                <w:i/>
                <w:snapToGrid w:val="0"/>
                <w:sz w:val="17"/>
                <w:szCs w:val="17"/>
                <w:lang w:eastAsia="en-US"/>
              </w:rPr>
            </w:pPr>
            <w:r w:rsidRPr="002D4988">
              <w:rPr>
                <w:rFonts w:ascii="Arial Narrow" w:eastAsiaTheme="minorEastAsia" w:hAnsi="Arial Narrow"/>
                <w:bCs/>
                <w:i/>
                <w:iCs/>
                <w:snapToGrid w:val="0"/>
                <w:sz w:val="17"/>
                <w:szCs w:val="17"/>
                <w:lang w:eastAsia="en-US"/>
              </w:rPr>
              <w:t>0.09 (-0.12, 0.29)</w:t>
            </w: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r w:rsidRPr="002D4988">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b/>
                <w:bCs/>
                <w:iCs/>
                <w:snapToGrid w:val="0"/>
                <w:sz w:val="17"/>
                <w:szCs w:val="17"/>
                <w:lang w:eastAsia="en-US"/>
              </w:rPr>
            </w:pPr>
            <w:r w:rsidRPr="002D4988">
              <w:rPr>
                <w:rFonts w:ascii="Arial Narrow" w:eastAsiaTheme="minorEastAsia" w:hAnsi="Arial Narrow"/>
                <w:b/>
                <w:bCs/>
                <w:iCs/>
                <w:snapToGrid w:val="0"/>
                <w:sz w:val="17"/>
                <w:szCs w:val="17"/>
                <w:lang w:eastAsia="en-US"/>
              </w:rPr>
              <w:t>Indirect comparisons, ITT</w:t>
            </w:r>
          </w:p>
        </w:tc>
        <w:tc>
          <w:tcPr>
            <w:tcW w:w="660" w:type="pct"/>
            <w:tcBorders>
              <w:top w:val="nil"/>
              <w:left w:val="single" w:sz="4" w:space="0" w:color="auto"/>
              <w:bottom w:val="nil"/>
              <w:right w:val="single" w:sz="4" w:space="0" w:color="auto"/>
            </w:tcBorders>
            <w:shd w:val="clear" w:color="auto" w:fill="auto"/>
          </w:tcPr>
          <w:p w:rsidR="0020268E" w:rsidRPr="002D4988" w:rsidRDefault="0020268E" w:rsidP="0020268E">
            <w:pPr>
              <w:jc w:val="center"/>
              <w:rPr>
                <w:rFonts w:ascii="Arial Narrow" w:eastAsiaTheme="minorEastAsia" w:hAnsi="Arial Narrow"/>
                <w:iCs/>
                <w:snapToGrid w:val="0"/>
                <w:sz w:val="17"/>
                <w:szCs w:val="17"/>
                <w:lang w:eastAsia="en-US"/>
              </w:rPr>
            </w:pPr>
          </w:p>
        </w:tc>
        <w:tc>
          <w:tcPr>
            <w:tcW w:w="693" w:type="pct"/>
            <w:tcBorders>
              <w:top w:val="nil"/>
              <w:left w:val="single" w:sz="4" w:space="0" w:color="auto"/>
              <w:bottom w:val="nil"/>
              <w:right w:val="nil"/>
            </w:tcBorders>
            <w:shd w:val="clear" w:color="auto" w:fill="auto"/>
          </w:tcPr>
          <w:p w:rsidR="0020268E" w:rsidRPr="002D4988" w:rsidRDefault="0020268E" w:rsidP="0020268E">
            <w:pPr>
              <w:rPr>
                <w:rFonts w:ascii="Arial Narrow" w:eastAsiaTheme="minorEastAsia" w:hAnsi="Arial Narrow"/>
                <w:bCs/>
                <w:iCs/>
                <w:snapToGrid w:val="0"/>
                <w:sz w:val="17"/>
                <w:szCs w:val="17"/>
                <w:lang w:eastAsia="en-US"/>
              </w:rPr>
            </w:pPr>
          </w:p>
        </w:tc>
        <w:tc>
          <w:tcPr>
            <w:tcW w:w="78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7"/>
                <w:szCs w:val="17"/>
                <w:lang w:eastAsia="en-US"/>
              </w:rPr>
            </w:pPr>
          </w:p>
        </w:tc>
      </w:tr>
      <w:tr w:rsidR="0020268E" w:rsidRPr="002D4988" w:rsidTr="006E1995">
        <w:trPr>
          <w:trHeight w:val="151"/>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ITT) v IFX (Meta ITT)</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1.01 (0.79, 1.29)</w:t>
            </w:r>
          </w:p>
        </w:tc>
        <w:tc>
          <w:tcPr>
            <w:tcW w:w="693"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-0.03 (-0.13, 0.07)</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ITT) v IFX (Meta ITT/TNFi-n ACT1/2)</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0.93 (0.70, 1.23)</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-0.07 (-0.18, 0.04)</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ITT) v GOL (PURSUIT-SC ITT/TNFi-n)</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snapToGrid w:val="0"/>
                <w:sz w:val="17"/>
                <w:szCs w:val="17"/>
                <w:lang w:eastAsia="en-US"/>
              </w:rPr>
            </w:pPr>
            <w:r w:rsidRPr="00E91861">
              <w:rPr>
                <w:rFonts w:ascii="Arial Narrow" w:eastAsiaTheme="minorEastAsia" w:hAnsi="Arial Narrow"/>
                <w:snapToGrid w:val="0"/>
                <w:sz w:val="17"/>
                <w:szCs w:val="17"/>
                <w:lang w:eastAsia="en-US"/>
              </w:rPr>
              <w:t>1.11 (0.83, 1.50)</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snapToGrid w:val="0"/>
                <w:sz w:val="17"/>
                <w:szCs w:val="17"/>
                <w:lang w:eastAsia="en-US"/>
              </w:rPr>
            </w:pPr>
            <w:r w:rsidRPr="00E91861">
              <w:rPr>
                <w:rFonts w:ascii="Arial Narrow" w:eastAsiaTheme="minorEastAsia" w:hAnsi="Arial Narrow"/>
                <w:bCs/>
                <w:snapToGrid w:val="0"/>
                <w:sz w:val="17"/>
                <w:szCs w:val="17"/>
                <w:lang w:eastAsia="en-US"/>
              </w:rPr>
              <w:t>0.06 (-0.05, 0.17)</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ITT) v ADA (Meta ITT)</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b/>
                <w:bCs/>
                <w:i/>
                <w:snapToGrid w:val="0"/>
                <w:sz w:val="17"/>
                <w:szCs w:val="17"/>
                <w:lang w:eastAsia="en-US"/>
              </w:rPr>
            </w:pPr>
            <w:r w:rsidRPr="00E91861">
              <w:rPr>
                <w:rFonts w:ascii="Arial Narrow" w:eastAsiaTheme="minorEastAsia" w:hAnsi="Arial Narrow"/>
                <w:b/>
                <w:bCs/>
                <w:i/>
                <w:snapToGrid w:val="0"/>
                <w:sz w:val="17"/>
                <w:szCs w:val="17"/>
                <w:lang w:eastAsia="en-US"/>
              </w:rPr>
              <w:t>1.38 (1.07, 1.76)</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
                <w:bCs/>
                <w:i/>
                <w:snapToGrid w:val="0"/>
                <w:sz w:val="17"/>
                <w:szCs w:val="17"/>
                <w:lang w:eastAsia="en-US"/>
              </w:rPr>
            </w:pPr>
            <w:r w:rsidRPr="00E91861">
              <w:rPr>
                <w:rFonts w:ascii="Arial Narrow" w:eastAsiaTheme="minorEastAsia" w:hAnsi="Arial Narrow"/>
                <w:b/>
                <w:bCs/>
                <w:i/>
                <w:snapToGrid w:val="0"/>
                <w:sz w:val="17"/>
                <w:szCs w:val="17"/>
                <w:lang w:eastAsia="en-US"/>
              </w:rPr>
              <w:t>0.13 (0.04, 0.22)</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8 (4.5, 25)</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
                <w:iCs/>
                <w:snapToGrid w:val="0"/>
                <w:sz w:val="17"/>
                <w:szCs w:val="17"/>
                <w:lang w:eastAsia="en-US"/>
              </w:rPr>
              <w:t>TOF (Meta ITT) v VDZ (Meta ITT</w:t>
            </w:r>
            <w:r w:rsidRPr="002D4988">
              <w:rPr>
                <w:rFonts w:ascii="Arial Narrow" w:eastAsiaTheme="minorEastAsia" w:hAnsi="Arial Narrow"/>
                <w:iCs/>
                <w:snapToGrid w:val="0"/>
                <w:sz w:val="17"/>
                <w:szCs w:val="17"/>
                <w:lang w:eastAsia="en-US"/>
              </w:rPr>
              <w:t>)</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1.24 (0.78, 1.97)</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0.12 (-0.04, 0.28)</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b/>
                <w:bCs/>
                <w:iCs/>
                <w:snapToGrid w:val="0"/>
                <w:sz w:val="17"/>
                <w:szCs w:val="17"/>
                <w:lang w:eastAsia="en-US"/>
              </w:rPr>
              <w:t>Indirect comparisons, TNFi-n</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Cs/>
                <w:snapToGrid w:val="0"/>
                <w:sz w:val="17"/>
                <w:szCs w:val="17"/>
                <w:lang w:eastAsia="en-US"/>
              </w:rPr>
            </w:pP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Cs/>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Cs/>
                <w:snapToGrid w:val="0"/>
                <w:sz w:val="17"/>
                <w:szCs w:val="17"/>
                <w:lang w:eastAsia="en-US"/>
              </w:rPr>
            </w:pP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TNFi-n) v IFX (Meta ITT/TNFi-n)</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0.83 (0.57, 1.22)</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-0.07 (-0.21, 0.07)</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TNFi-n) v IFX (Meta ITT/TNFi-n ACT1/2)</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0.77 (0.51, 1.15)</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-0.11 (-0.26, 0.04)</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TNFi-n) v GOL (Meta ITT/TNFi-n)</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0.92 (0.61, 1.40)</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0.02 (-0.13, 0.17)</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TNFi-n) v ADA (Meta TNFi-n)</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1.12 (0.76, 1.65)</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0.08 (-0.06, 0.22)</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
                <w:snapToGrid w:val="0"/>
                <w:sz w:val="17"/>
                <w:szCs w:val="17"/>
                <w:lang w:eastAsia="en-US"/>
              </w:rPr>
              <w:t xml:space="preserve">TOF (Meta TNFi-n) v VDZ (Meta TNFi-n) </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0.89 (0.55, 1.44)</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0.00 (-0.16, 0.16)</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
                <w:snapToGrid w:val="0"/>
                <w:sz w:val="17"/>
                <w:szCs w:val="17"/>
                <w:lang w:eastAsia="en-US"/>
              </w:rPr>
              <w:t>NS</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b/>
                <w:bCs/>
                <w:iCs/>
                <w:snapToGrid w:val="0"/>
                <w:sz w:val="17"/>
                <w:szCs w:val="17"/>
                <w:lang w:eastAsia="en-US"/>
              </w:rPr>
              <w:t>Indirect comparisons, TNFi-e</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Cs/>
                <w:iCs/>
                <w:snapToGrid w:val="0"/>
                <w:sz w:val="17"/>
                <w:szCs w:val="17"/>
                <w:lang w:eastAsia="en-US"/>
              </w:rPr>
            </w:pP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Cs/>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Cs/>
                <w:snapToGrid w:val="0"/>
                <w:sz w:val="17"/>
                <w:szCs w:val="17"/>
                <w:lang w:eastAsia="en-US"/>
              </w:rPr>
            </w:pPr>
            <w:r w:rsidRPr="00E91861">
              <w:rPr>
                <w:rFonts w:ascii="Arial Narrow" w:eastAsiaTheme="minorEastAsia" w:hAnsi="Arial Narrow"/>
                <w:iCs/>
                <w:snapToGrid w:val="0"/>
                <w:sz w:val="17"/>
                <w:szCs w:val="17"/>
                <w:lang w:eastAsia="en-US"/>
              </w:rPr>
              <w:t xml:space="preserve"> </w:t>
            </w:r>
          </w:p>
        </w:tc>
      </w:tr>
      <w:tr w:rsidR="0020268E" w:rsidRPr="002D4988" w:rsidTr="006E1995">
        <w:trPr>
          <w:trHeight w:val="170"/>
        </w:trPr>
        <w:tc>
          <w:tcPr>
            <w:tcW w:w="2305" w:type="pct"/>
            <w:gridSpan w:val="3"/>
            <w:tcBorders>
              <w:left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Cs/>
                <w:snapToGrid w:val="0"/>
                <w:sz w:val="17"/>
                <w:szCs w:val="17"/>
                <w:lang w:eastAsia="en-US"/>
              </w:rPr>
              <w:t>TOF (Meta TNFi-e) v ADA (ULTRA 2, TNFi-e)</w:t>
            </w:r>
          </w:p>
        </w:tc>
        <w:tc>
          <w:tcPr>
            <w:tcW w:w="660"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b/>
                <w:bCs/>
                <w:i/>
                <w:snapToGrid w:val="0"/>
                <w:sz w:val="17"/>
                <w:szCs w:val="17"/>
                <w:lang w:eastAsia="en-US"/>
              </w:rPr>
            </w:pPr>
            <w:r w:rsidRPr="00E91861">
              <w:rPr>
                <w:rFonts w:ascii="Arial Narrow" w:eastAsiaTheme="minorEastAsia" w:hAnsi="Arial Narrow"/>
                <w:b/>
                <w:bCs/>
                <w:i/>
                <w:snapToGrid w:val="0"/>
                <w:sz w:val="17"/>
                <w:szCs w:val="17"/>
                <w:lang w:eastAsia="en-US"/>
              </w:rPr>
              <w:t>1.80 (1.00, 3.24)</w:t>
            </w:r>
          </w:p>
        </w:tc>
        <w:tc>
          <w:tcPr>
            <w:tcW w:w="693" w:type="pct"/>
            <w:tcBorders>
              <w:top w:val="nil"/>
              <w:left w:val="single" w:sz="4" w:space="0" w:color="auto"/>
              <w:bottom w:val="nil"/>
              <w:right w:val="nil"/>
            </w:tcBorders>
            <w:shd w:val="clear" w:color="auto" w:fill="auto"/>
          </w:tcPr>
          <w:p w:rsidR="0020268E" w:rsidRPr="00E91861" w:rsidRDefault="0020268E" w:rsidP="0020268E">
            <w:pPr>
              <w:jc w:val="center"/>
              <w:rPr>
                <w:rFonts w:ascii="Arial Narrow" w:eastAsiaTheme="minorEastAsia" w:hAnsi="Arial Narrow"/>
                <w:b/>
                <w:bCs/>
                <w:i/>
                <w:snapToGrid w:val="0"/>
                <w:sz w:val="17"/>
                <w:szCs w:val="17"/>
                <w:lang w:eastAsia="en-US"/>
              </w:rPr>
            </w:pPr>
            <w:r w:rsidRPr="00E91861">
              <w:rPr>
                <w:rFonts w:ascii="Arial Narrow" w:eastAsiaTheme="minorEastAsia" w:hAnsi="Arial Narrow"/>
                <w:b/>
                <w:bCs/>
                <w:i/>
                <w:snapToGrid w:val="0"/>
                <w:sz w:val="17"/>
                <w:szCs w:val="17"/>
                <w:lang w:eastAsia="en-US"/>
              </w:rPr>
              <w:t>0.22 (0.04, 0.40)</w:t>
            </w:r>
          </w:p>
        </w:tc>
        <w:tc>
          <w:tcPr>
            <w:tcW w:w="78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4.5 (3, 25)</w:t>
            </w:r>
          </w:p>
        </w:tc>
      </w:tr>
      <w:tr w:rsidR="0020268E" w:rsidRPr="002D4988" w:rsidTr="006E1995">
        <w:trPr>
          <w:trHeight w:val="419"/>
        </w:trPr>
        <w:tc>
          <w:tcPr>
            <w:tcW w:w="2305" w:type="pct"/>
            <w:gridSpan w:val="3"/>
            <w:tcBorders>
              <w:left w:val="single" w:sz="4" w:space="0" w:color="auto"/>
              <w:bottom w:val="single" w:sz="4" w:space="0" w:color="auto"/>
              <w:right w:val="single" w:sz="4" w:space="0" w:color="auto"/>
            </w:tcBorders>
            <w:shd w:val="clear" w:color="auto" w:fill="auto"/>
          </w:tcPr>
          <w:p w:rsidR="0020268E" w:rsidRPr="002D4988" w:rsidRDefault="0020268E" w:rsidP="0020268E">
            <w:pPr>
              <w:jc w:val="right"/>
              <w:rPr>
                <w:rFonts w:ascii="Arial Narrow" w:eastAsiaTheme="minorEastAsia" w:hAnsi="Arial Narrow"/>
                <w:iCs/>
                <w:snapToGrid w:val="0"/>
                <w:sz w:val="17"/>
                <w:szCs w:val="17"/>
                <w:lang w:eastAsia="en-US"/>
              </w:rPr>
            </w:pPr>
            <w:r w:rsidRPr="002D4988">
              <w:rPr>
                <w:rFonts w:ascii="Arial Narrow" w:eastAsiaTheme="minorEastAsia" w:hAnsi="Arial Narrow"/>
                <w:i/>
                <w:snapToGrid w:val="0"/>
                <w:sz w:val="17"/>
                <w:szCs w:val="17"/>
                <w:lang w:eastAsia="en-US"/>
              </w:rPr>
              <w:t>TOF (Meta TNFi-e) v VDZ (</w:t>
            </w:r>
            <w:r w:rsidRPr="002D4988">
              <w:rPr>
                <w:rFonts w:ascii="Arial Narrow" w:eastAsiaTheme="minorEastAsia" w:hAnsi="Arial Narrow"/>
                <w:iCs/>
                <w:snapToGrid w:val="0"/>
                <w:sz w:val="17"/>
                <w:szCs w:val="17"/>
                <w:lang w:eastAsia="en-US"/>
              </w:rPr>
              <w:t>TNFi-e failure)</w:t>
            </w:r>
          </w:p>
        </w:tc>
        <w:tc>
          <w:tcPr>
            <w:tcW w:w="660" w:type="pct"/>
            <w:tcBorders>
              <w:top w:val="nil"/>
              <w:left w:val="single" w:sz="4" w:space="0" w:color="auto"/>
              <w:bottom w:val="single" w:sz="4" w:space="0" w:color="auto"/>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1.73 (0.76, 3.95)</w:t>
            </w:r>
          </w:p>
        </w:tc>
        <w:tc>
          <w:tcPr>
            <w:tcW w:w="693" w:type="pct"/>
            <w:tcBorders>
              <w:top w:val="nil"/>
              <w:left w:val="single" w:sz="4" w:space="0" w:color="auto"/>
              <w:bottom w:val="single" w:sz="4" w:space="0" w:color="auto"/>
              <w:right w:val="nil"/>
            </w:tcBorders>
            <w:shd w:val="clear" w:color="auto" w:fill="auto"/>
          </w:tcPr>
          <w:p w:rsidR="0020268E" w:rsidRPr="00E91861" w:rsidRDefault="0020268E" w:rsidP="0020268E">
            <w:pPr>
              <w:jc w:val="center"/>
              <w:rPr>
                <w:rFonts w:ascii="Arial Narrow" w:eastAsiaTheme="minorEastAsia" w:hAnsi="Arial Narrow"/>
                <w:bCs/>
                <w:i/>
                <w:snapToGrid w:val="0"/>
                <w:sz w:val="17"/>
                <w:szCs w:val="17"/>
                <w:lang w:eastAsia="en-US"/>
              </w:rPr>
            </w:pPr>
            <w:r w:rsidRPr="00E91861">
              <w:rPr>
                <w:rFonts w:ascii="Arial Narrow" w:eastAsiaTheme="minorEastAsia" w:hAnsi="Arial Narrow"/>
                <w:bCs/>
                <w:i/>
                <w:snapToGrid w:val="0"/>
                <w:sz w:val="17"/>
                <w:szCs w:val="17"/>
                <w:lang w:eastAsia="en-US"/>
              </w:rPr>
              <w:t>0.21 (-0.03, 0.45)</w:t>
            </w:r>
          </w:p>
        </w:tc>
        <w:tc>
          <w:tcPr>
            <w:tcW w:w="780" w:type="pct"/>
            <w:vMerge/>
            <w:tcBorders>
              <w:left w:val="nil"/>
              <w:bottom w:val="single" w:sz="4" w:space="0" w:color="auto"/>
              <w:right w:val="single" w:sz="4" w:space="0" w:color="auto"/>
            </w:tcBorders>
          </w:tcPr>
          <w:p w:rsidR="0020268E" w:rsidRPr="00E91861" w:rsidRDefault="0020268E" w:rsidP="0020268E">
            <w:pPr>
              <w:jc w:val="center"/>
              <w:rPr>
                <w:rFonts w:ascii="Arial Narrow" w:eastAsiaTheme="minorEastAsia" w:hAnsi="Arial Narrow"/>
                <w:i/>
                <w:snapToGrid w:val="0"/>
                <w:sz w:val="17"/>
                <w:szCs w:val="17"/>
                <w:lang w:eastAsia="en-US"/>
              </w:rPr>
            </w:pPr>
          </w:p>
        </w:tc>
        <w:tc>
          <w:tcPr>
            <w:tcW w:w="562" w:type="pct"/>
            <w:tcBorders>
              <w:top w:val="nil"/>
              <w:left w:val="single" w:sz="4" w:space="0" w:color="auto"/>
              <w:bottom w:val="single" w:sz="4" w:space="0" w:color="auto"/>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7"/>
                <w:szCs w:val="17"/>
                <w:lang w:eastAsia="en-US"/>
              </w:rPr>
            </w:pPr>
            <w:r w:rsidRPr="00E91861">
              <w:rPr>
                <w:rFonts w:ascii="Arial Narrow" w:eastAsiaTheme="minorEastAsia" w:hAnsi="Arial Narrow"/>
                <w:i/>
                <w:snapToGrid w:val="0"/>
                <w:sz w:val="17"/>
                <w:szCs w:val="17"/>
                <w:lang w:eastAsia="en-US"/>
              </w:rPr>
              <w:t>NS</w:t>
            </w:r>
          </w:p>
          <w:p w:rsidR="0020268E" w:rsidRPr="00E91861" w:rsidRDefault="0020268E" w:rsidP="0020268E">
            <w:pPr>
              <w:jc w:val="center"/>
              <w:rPr>
                <w:rFonts w:ascii="Arial Narrow" w:eastAsiaTheme="minorEastAsia" w:hAnsi="Arial Narrow"/>
                <w:i/>
                <w:snapToGrid w:val="0"/>
                <w:sz w:val="17"/>
                <w:szCs w:val="17"/>
                <w:lang w:eastAsia="en-US"/>
              </w:rPr>
            </w:pPr>
          </w:p>
        </w:tc>
      </w:tr>
    </w:tbl>
    <w:p w:rsidR="0082097A" w:rsidRPr="002D4988" w:rsidRDefault="0020268E" w:rsidP="0020268E">
      <w:pPr>
        <w:spacing w:after="160"/>
        <w:rPr>
          <w:rFonts w:ascii="Arial Narrow" w:eastAsiaTheme="minorEastAsia" w:hAnsi="Arial Narrow"/>
          <w:b/>
          <w:snapToGrid w:val="0"/>
          <w:sz w:val="20"/>
          <w:szCs w:val="16"/>
          <w:lang w:eastAsia="en-US"/>
        </w:rPr>
      </w:pPr>
      <w:r w:rsidRPr="002D4988">
        <w:rPr>
          <w:rFonts w:ascii="Arial Narrow" w:eastAsiaTheme="minorEastAsia" w:hAnsi="Arial Narrow"/>
          <w:snapToGrid w:val="0"/>
          <w:sz w:val="16"/>
          <w:szCs w:val="18"/>
          <w:lang w:eastAsia="en-US"/>
        </w:rPr>
        <w:t>Source: Tables 2.5.2, 2.5.4, 2.5.8, 2.5.10, pp.39-45 of resub.</w:t>
      </w:r>
      <w:r w:rsidRPr="002D4988">
        <w:rPr>
          <w:rFonts w:ascii="Arial Narrow" w:eastAsiaTheme="minorEastAsia" w:hAnsi="Arial Narrow"/>
          <w:bCs/>
          <w:snapToGrid w:val="0"/>
          <w:sz w:val="16"/>
          <w:szCs w:val="18"/>
          <w:lang w:eastAsia="en-US"/>
        </w:rPr>
        <w:t xml:space="preserve"> </w:t>
      </w:r>
      <w:r w:rsidRPr="002D4988">
        <w:rPr>
          <w:rFonts w:ascii="Arial Narrow" w:eastAsiaTheme="minorEastAsia" w:hAnsi="Arial Narrow"/>
          <w:bCs/>
          <w:snapToGrid w:val="0"/>
          <w:sz w:val="16"/>
          <w:szCs w:val="18"/>
          <w:shd w:val="clear" w:color="auto" w:fill="DBE5F1" w:themeFill="accent1" w:themeFillTint="33"/>
          <w:lang w:eastAsia="en-US"/>
        </w:rPr>
        <w:t xml:space="preserve">Shaded </w:t>
      </w:r>
      <w:r w:rsidRPr="002D4988">
        <w:rPr>
          <w:rFonts w:ascii="Arial Narrow" w:eastAsiaTheme="minorEastAsia" w:hAnsi="Arial Narrow"/>
          <w:bCs/>
          <w:snapToGrid w:val="0"/>
          <w:sz w:val="16"/>
          <w:szCs w:val="18"/>
          <w:lang w:eastAsia="en-US"/>
        </w:rPr>
        <w:t>areas: data previously seen by the PBAC. Italics: results estimated during the evaluation. Bold typography indicates statistically significant differences. Blue line crossing zero.</w:t>
      </w:r>
      <w:r w:rsidRPr="002D4988">
        <w:rPr>
          <w:rFonts w:ascii="Arial Narrow" w:eastAsiaTheme="minorEastAsia" w:hAnsi="Arial Narrow"/>
          <w:b/>
          <w:bCs/>
          <w:snapToGrid w:val="0"/>
          <w:sz w:val="16"/>
          <w:szCs w:val="18"/>
          <w:lang w:eastAsia="en-US"/>
        </w:rPr>
        <w:t xml:space="preserve"> ^</w:t>
      </w:r>
      <w:r w:rsidRPr="002D4988">
        <w:rPr>
          <w:rFonts w:ascii="Arial Narrow" w:eastAsiaTheme="minorEastAsia" w:hAnsi="Arial Narrow"/>
          <w:snapToGrid w:val="0"/>
          <w:sz w:val="16"/>
          <w:szCs w:val="18"/>
          <w:lang w:eastAsia="en-US"/>
        </w:rPr>
        <w:t xml:space="preserve">estimated during the evaluation using random effects meta-analysis using RevMan Version 5.4. </w:t>
      </w:r>
      <w:r w:rsidRPr="002D4988">
        <w:rPr>
          <w:rFonts w:ascii="Arial Narrow" w:eastAsiaTheme="minorEastAsia" w:hAnsi="Arial Narrow"/>
          <w:bCs/>
          <w:snapToGrid w:val="0"/>
          <w:sz w:val="16"/>
          <w:szCs w:val="18"/>
          <w:lang w:eastAsia="en-US"/>
        </w:rPr>
        <w:t xml:space="preserve">ADA=adalimumab, CI=confidence interval, GOL=golimumab, ITT=intention to treat, NNT=number needed to treat, NS=not significant, RD=risk difference, RR=risk ratio, TOF=tofacitinib, TNFi=tumour necrosis factor inhibitor, TNFi-n=TNFi naïve, TNFi-e=TNFi exposed, VDZ=vedolizumab </w:t>
      </w:r>
      <w:r w:rsidRPr="002D4988">
        <w:rPr>
          <w:rFonts w:ascii="Arial Narrow" w:eastAsiaTheme="minorEastAsia" w:hAnsi="Arial Narrow"/>
          <w:snapToGrid w:val="0"/>
          <w:sz w:val="16"/>
          <w:szCs w:val="18"/>
          <w:lang w:eastAsia="en-US"/>
        </w:rPr>
        <w:t>*TNFi</w:t>
      </w:r>
      <w:r w:rsidR="00CE03B4" w:rsidRPr="002D4988">
        <w:rPr>
          <w:rFonts w:ascii="Arial Narrow" w:eastAsiaTheme="minorEastAsia" w:hAnsi="Arial Narrow"/>
          <w:snapToGrid w:val="0"/>
          <w:sz w:val="16"/>
          <w:szCs w:val="18"/>
          <w:lang w:eastAsia="en-US"/>
        </w:rPr>
        <w:t xml:space="preserve"> </w:t>
      </w:r>
      <w:r w:rsidRPr="002D4988">
        <w:rPr>
          <w:rFonts w:ascii="Arial Narrow" w:eastAsiaTheme="minorEastAsia" w:hAnsi="Arial Narrow"/>
          <w:snapToGrid w:val="0"/>
          <w:sz w:val="16"/>
          <w:szCs w:val="18"/>
          <w:lang w:eastAsia="en-US"/>
        </w:rPr>
        <w:t>exposed+failure, TNF</w:t>
      </w:r>
      <w:r w:rsidR="00CE03B4" w:rsidRPr="002D4988">
        <w:rPr>
          <w:rFonts w:ascii="Arial Narrow" w:eastAsiaTheme="minorEastAsia" w:hAnsi="Arial Narrow"/>
          <w:snapToGrid w:val="0"/>
          <w:sz w:val="16"/>
          <w:szCs w:val="18"/>
          <w:lang w:eastAsia="en-US"/>
        </w:rPr>
        <w:t xml:space="preserve">i </w:t>
      </w:r>
      <w:r w:rsidRPr="002D4988">
        <w:rPr>
          <w:rFonts w:ascii="Arial Narrow" w:eastAsiaTheme="minorEastAsia" w:hAnsi="Arial Narrow"/>
          <w:snapToGrid w:val="0"/>
          <w:sz w:val="16"/>
          <w:szCs w:val="18"/>
          <w:lang w:eastAsia="en-US"/>
        </w:rPr>
        <w:t>exposed without failure were excluded.</w:t>
      </w:r>
      <w:bookmarkStart w:id="20" w:name="_Hlk49757762"/>
      <w:r w:rsidR="00D6581F">
        <w:rPr>
          <w:rFonts w:ascii="Arial Narrow" w:eastAsiaTheme="minorEastAsia" w:hAnsi="Arial Narrow"/>
          <w:snapToGrid w:val="0"/>
          <w:sz w:val="16"/>
          <w:szCs w:val="18"/>
          <w:lang w:eastAsia="en-US"/>
        </w:rPr>
        <w:t xml:space="preserve"> </w:t>
      </w:r>
      <w:r w:rsidR="00D6581F" w:rsidRPr="00F655C0">
        <w:rPr>
          <w:rFonts w:ascii="Arial Narrow" w:eastAsiaTheme="minorEastAsia" w:hAnsi="Arial Narrow"/>
          <w:snapToGrid w:val="0"/>
          <w:sz w:val="15"/>
          <w:szCs w:val="15"/>
          <w:lang w:eastAsia="en-US"/>
        </w:rPr>
        <w:t># Note that the redac</w:t>
      </w:r>
      <w:r w:rsidR="00D6581F">
        <w:rPr>
          <w:rFonts w:ascii="Arial Narrow" w:eastAsiaTheme="minorEastAsia" w:hAnsi="Arial Narrow"/>
          <w:snapToGrid w:val="0"/>
          <w:sz w:val="15"/>
          <w:szCs w:val="15"/>
          <w:lang w:eastAsia="en-US"/>
        </w:rPr>
        <w:t>ted results presented in Table 6</w:t>
      </w:r>
      <w:r w:rsidR="00D6581F" w:rsidRPr="00F655C0">
        <w:rPr>
          <w:rFonts w:ascii="Arial Narrow" w:eastAsiaTheme="minorEastAsia" w:hAnsi="Arial Narrow"/>
          <w:snapToGrid w:val="0"/>
          <w:sz w:val="15"/>
          <w:szCs w:val="15"/>
          <w:lang w:eastAsia="en-US"/>
        </w:rPr>
        <w:t xml:space="preserve"> were conducted </w:t>
      </w:r>
      <w:r w:rsidR="00D6581F" w:rsidRPr="00F655C0">
        <w:rPr>
          <w:rFonts w:ascii="Arial Narrow" w:eastAsiaTheme="minorEastAsia" w:hAnsi="Arial Narrow"/>
          <w:snapToGrid w:val="0"/>
          <w:sz w:val="15"/>
          <w:szCs w:val="15"/>
          <w:lang w:eastAsia="en-US"/>
        </w:rPr>
        <w:lastRenderedPageBreak/>
        <w:t>during the evaluation specifically for the purposes of informing the PBAC consideration at the March 2019 PBAC meeting.  Interpretation of the results and their application should therefore be limited to seeking to understand the basis for the PBAC outcome and should not be used for any other purpose.</w:t>
      </w:r>
      <w:r w:rsidR="0082097A" w:rsidRPr="002D4988">
        <w:rPr>
          <w:rFonts w:ascii="Arial Narrow" w:eastAsiaTheme="minorEastAsia" w:hAnsi="Arial Narrow"/>
          <w:b/>
          <w:snapToGrid w:val="0"/>
          <w:sz w:val="20"/>
          <w:szCs w:val="16"/>
          <w:lang w:eastAsia="en-US"/>
        </w:rPr>
        <w:br w:type="page"/>
      </w:r>
    </w:p>
    <w:p w:rsidR="00565033" w:rsidRPr="002D4988" w:rsidRDefault="00396BB0" w:rsidP="00565033">
      <w:pPr>
        <w:rPr>
          <w:rStyle w:val="CommentReference"/>
          <w:rFonts w:eastAsiaTheme="minorEastAsia"/>
        </w:rPr>
      </w:pPr>
      <w:bookmarkStart w:id="21" w:name="_Ref53405232"/>
      <w:r w:rsidRPr="002D4988">
        <w:rPr>
          <w:rStyle w:val="CommentReference"/>
          <w:rFonts w:eastAsiaTheme="minorEastAsia"/>
        </w:rPr>
        <w:lastRenderedPageBreak/>
        <w:t xml:space="preserve">Table </w:t>
      </w:r>
      <w:r w:rsidR="00BC0889" w:rsidRPr="002D4988">
        <w:rPr>
          <w:rStyle w:val="CommentReference"/>
          <w:rFonts w:eastAsiaTheme="minorEastAsia"/>
        </w:rPr>
        <w:t>7</w:t>
      </w:r>
      <w:bookmarkEnd w:id="21"/>
      <w:r w:rsidR="00565033" w:rsidRPr="002D4988">
        <w:rPr>
          <w:rStyle w:val="CommentReference"/>
          <w:rFonts w:eastAsiaTheme="minorEastAsia"/>
        </w:rPr>
        <w:t>: Sustained remission / clinical remission at 52/54/60 wks – maintenance therapy (relevant arms)</w:t>
      </w:r>
      <w:r w:rsidR="00D6581F">
        <w:rPr>
          <w:rStyle w:val="CommentReference"/>
          <w:rFonts w:eastAsiaTheme="minor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0A0" w:firstRow="1" w:lastRow="0" w:firstColumn="1" w:lastColumn="0" w:noHBand="0" w:noVBand="0"/>
      </w:tblPr>
      <w:tblGrid>
        <w:gridCol w:w="1838"/>
        <w:gridCol w:w="992"/>
        <w:gridCol w:w="1134"/>
        <w:gridCol w:w="1277"/>
        <w:gridCol w:w="1264"/>
        <w:gridCol w:w="1713"/>
        <w:gridCol w:w="799"/>
      </w:tblGrid>
      <w:tr w:rsidR="0020268E" w:rsidRPr="002D4988" w:rsidTr="0020268E">
        <w:trPr>
          <w:trHeight w:val="112"/>
          <w:tblHeader/>
        </w:trPr>
        <w:tc>
          <w:tcPr>
            <w:tcW w:w="1019" w:type="pct"/>
            <w:tcBorders>
              <w:bottom w:val="single" w:sz="4" w:space="0" w:color="auto"/>
              <w:right w:val="single" w:sz="4" w:space="0" w:color="auto"/>
            </w:tcBorders>
            <w:shd w:val="clear" w:color="auto" w:fill="auto"/>
            <w:vAlign w:val="center"/>
          </w:tcPr>
          <w:bookmarkEnd w:id="20"/>
          <w:p w:rsidR="0020268E" w:rsidRPr="002D4988" w:rsidRDefault="0020268E" w:rsidP="0020268E">
            <w:pPr>
              <w:jc w:val="left"/>
              <w:rPr>
                <w:rFonts w:ascii="Arial Narrow" w:eastAsiaTheme="minorEastAsia" w:hAnsi="Arial Narrow"/>
                <w:b/>
                <w:snapToGrid w:val="0"/>
                <w:sz w:val="18"/>
                <w:szCs w:val="18"/>
                <w:lang w:eastAsia="en-US"/>
              </w:rPr>
            </w:pPr>
            <w:r w:rsidRPr="002D4988">
              <w:rPr>
                <w:rFonts w:ascii="Arial Narrow" w:eastAsiaTheme="minorEastAsia" w:hAnsi="Arial Narrow"/>
                <w:b/>
                <w:bCs/>
                <w:iCs/>
                <w:snapToGrid w:val="0"/>
                <w:sz w:val="18"/>
                <w:szCs w:val="18"/>
                <w:lang w:eastAsia="en-US"/>
              </w:rPr>
              <w:t>Trial</w:t>
            </w:r>
          </w:p>
        </w:tc>
        <w:tc>
          <w:tcPr>
            <w:tcW w:w="550" w:type="pct"/>
            <w:tcBorders>
              <w:bottom w:val="single" w:sz="4" w:space="0" w:color="auto"/>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Drug</w:t>
            </w:r>
          </w:p>
          <w:p w:rsidR="0020268E" w:rsidRPr="002D4988" w:rsidRDefault="0020268E" w:rsidP="0020268E">
            <w:pPr>
              <w:jc w:val="center"/>
              <w:rPr>
                <w:rFonts w:ascii="Arial Narrow" w:eastAsiaTheme="minorEastAsia" w:hAnsi="Arial Narrow"/>
                <w:b/>
                <w:snapToGrid w:val="0"/>
                <w:sz w:val="18"/>
                <w:szCs w:val="18"/>
                <w:lang w:eastAsia="en-US"/>
              </w:rPr>
            </w:pPr>
            <w:r w:rsidRPr="002D4988">
              <w:rPr>
                <w:rFonts w:ascii="Arial Narrow" w:eastAsiaTheme="minorEastAsia" w:hAnsi="Arial Narrow"/>
                <w:b/>
                <w:bCs/>
                <w:iCs/>
                <w:snapToGrid w:val="0"/>
                <w:sz w:val="18"/>
                <w:szCs w:val="18"/>
                <w:lang w:eastAsia="en-US"/>
              </w:rPr>
              <w:t>n/N (%)</w:t>
            </w:r>
          </w:p>
        </w:tc>
        <w:tc>
          <w:tcPr>
            <w:tcW w:w="629" w:type="pct"/>
            <w:tcBorders>
              <w:bottom w:val="single" w:sz="4" w:space="0" w:color="auto"/>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Control</w:t>
            </w:r>
          </w:p>
          <w:p w:rsidR="0020268E" w:rsidRPr="002D4988" w:rsidRDefault="0020268E" w:rsidP="0020268E">
            <w:pPr>
              <w:jc w:val="center"/>
              <w:rPr>
                <w:rFonts w:ascii="Arial Narrow" w:eastAsiaTheme="minorEastAsia" w:hAnsi="Arial Narrow"/>
                <w:b/>
                <w:snapToGrid w:val="0"/>
                <w:sz w:val="18"/>
                <w:szCs w:val="18"/>
                <w:lang w:eastAsia="en-US"/>
              </w:rPr>
            </w:pPr>
            <w:r w:rsidRPr="002D4988">
              <w:rPr>
                <w:rFonts w:ascii="Arial Narrow" w:eastAsiaTheme="minorEastAsia" w:hAnsi="Arial Narrow"/>
                <w:b/>
                <w:bCs/>
                <w:iCs/>
                <w:snapToGrid w:val="0"/>
                <w:sz w:val="18"/>
                <w:szCs w:val="18"/>
                <w:lang w:eastAsia="en-US"/>
              </w:rPr>
              <w:t>n/N (%)</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iCs/>
                <w:snapToGrid w:val="0"/>
                <w:sz w:val="18"/>
                <w:szCs w:val="18"/>
                <w:lang w:eastAsia="en-US"/>
              </w:rPr>
            </w:pPr>
            <w:r w:rsidRPr="002D4988">
              <w:rPr>
                <w:rFonts w:ascii="Arial Narrow" w:eastAsiaTheme="minorEastAsia" w:hAnsi="Arial Narrow"/>
                <w:b/>
                <w:bCs/>
                <w:iCs/>
                <w:snapToGrid w:val="0"/>
                <w:sz w:val="18"/>
                <w:szCs w:val="18"/>
                <w:lang w:eastAsia="en-US"/>
              </w:rPr>
              <w:t>RR (95% CI)^</w:t>
            </w:r>
          </w:p>
        </w:tc>
        <w:tc>
          <w:tcPr>
            <w:tcW w:w="1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RD [95% CI]^</w:t>
            </w:r>
          </w:p>
        </w:tc>
        <w:tc>
          <w:tcPr>
            <w:tcW w:w="443" w:type="pct"/>
            <w:tcBorders>
              <w:left w:val="single" w:sz="4" w:space="0" w:color="auto"/>
              <w:bottom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iCs/>
                <w:snapToGrid w:val="0"/>
                <w:sz w:val="18"/>
                <w:szCs w:val="18"/>
                <w:lang w:eastAsia="en-US"/>
              </w:rPr>
            </w:pPr>
            <w:r w:rsidRPr="002D4988">
              <w:rPr>
                <w:rFonts w:ascii="Arial Narrow" w:eastAsiaTheme="minorEastAsia" w:hAnsi="Arial Narrow"/>
                <w:b/>
                <w:bCs/>
                <w:iCs/>
                <w:snapToGrid w:val="0"/>
                <w:sz w:val="18"/>
                <w:szCs w:val="18"/>
                <w:lang w:eastAsia="en-US"/>
              </w:rPr>
              <w:t>NNT (95%CI)</w:t>
            </w:r>
          </w:p>
        </w:tc>
      </w:tr>
      <w:tr w:rsidR="0020268E" w:rsidRPr="002D4988" w:rsidTr="0020268E">
        <w:trPr>
          <w:trHeight w:val="112"/>
        </w:trPr>
        <w:tc>
          <w:tcPr>
            <w:tcW w:w="2198" w:type="pct"/>
            <w:gridSpan w:val="3"/>
            <w:tcBorders>
              <w:left w:val="single" w:sz="4" w:space="0" w:color="auto"/>
              <w:bottom w:val="single" w:sz="4" w:space="0" w:color="auto"/>
              <w:righ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b/>
                <w:bCs/>
                <w:i/>
                <w:iCs/>
                <w:snapToGrid w:val="0"/>
                <w:sz w:val="18"/>
                <w:szCs w:val="18"/>
                <w:lang w:eastAsia="en-US"/>
              </w:rPr>
            </w:pPr>
            <w:r w:rsidRPr="002D4988">
              <w:rPr>
                <w:rFonts w:ascii="Arial Narrow" w:eastAsiaTheme="minorEastAsia" w:hAnsi="Arial Narrow"/>
                <w:b/>
                <w:snapToGrid w:val="0"/>
                <w:sz w:val="18"/>
                <w:szCs w:val="18"/>
                <w:lang w:eastAsia="en-US"/>
              </w:rPr>
              <w:t>TOF v PBO (Wk 24&amp;52)*</w:t>
            </w:r>
          </w:p>
        </w:tc>
        <w:tc>
          <w:tcPr>
            <w:tcW w:w="708" w:type="pct"/>
            <w:tcBorders>
              <w:top w:val="single" w:sz="4" w:space="0" w:color="auto"/>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
                <w:iCs/>
                <w:snapToGrid w:val="0"/>
                <w:sz w:val="18"/>
                <w:szCs w:val="18"/>
                <w:lang w:eastAsia="en-US"/>
              </w:rPr>
            </w:pPr>
          </w:p>
        </w:tc>
        <w:tc>
          <w:tcPr>
            <w:tcW w:w="701" w:type="pct"/>
            <w:tcBorders>
              <w:top w:val="single" w:sz="4" w:space="0" w:color="auto"/>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
                <w:iCs/>
                <w:snapToGrid w:val="0"/>
                <w:sz w:val="18"/>
                <w:szCs w:val="18"/>
                <w:lang w:eastAsia="en-US"/>
              </w:rPr>
            </w:pPr>
          </w:p>
        </w:tc>
        <w:tc>
          <w:tcPr>
            <w:tcW w:w="950" w:type="pct"/>
            <w:tcBorders>
              <w:left w:val="nil"/>
              <w:bottom w:val="nil"/>
              <w:right w:val="single" w:sz="4" w:space="0" w:color="auto"/>
            </w:tcBorders>
          </w:tcPr>
          <w:p w:rsidR="0020268E" w:rsidRPr="002D4988" w:rsidRDefault="0020268E" w:rsidP="0020268E">
            <w:pPr>
              <w:jc w:val="center"/>
              <w:rPr>
                <w:rFonts w:ascii="Arial Narrow" w:eastAsiaTheme="minorEastAsia" w:hAnsi="Arial Narrow"/>
                <w:i/>
                <w:iCs/>
                <w:snapToGrid w:val="0"/>
                <w:sz w:val="18"/>
                <w:szCs w:val="18"/>
                <w:lang w:eastAsia="en-US"/>
              </w:rPr>
            </w:pPr>
          </w:p>
        </w:tc>
        <w:tc>
          <w:tcPr>
            <w:tcW w:w="443" w:type="pct"/>
            <w:tcBorders>
              <w:left w:val="single" w:sz="4" w:space="0" w:color="auto"/>
              <w:bottom w:val="nil"/>
            </w:tcBorders>
            <w:shd w:val="clear" w:color="auto" w:fill="auto"/>
            <w:vAlign w:val="center"/>
          </w:tcPr>
          <w:p w:rsidR="0020268E" w:rsidRPr="002D4988" w:rsidRDefault="0020268E" w:rsidP="0020268E">
            <w:pPr>
              <w:jc w:val="center"/>
              <w:rPr>
                <w:rFonts w:ascii="Arial Narrow" w:eastAsiaTheme="minorEastAsia" w:hAnsi="Arial Narrow"/>
                <w:i/>
                <w:iCs/>
                <w:snapToGrid w:val="0"/>
                <w:sz w:val="18"/>
                <w:szCs w:val="18"/>
                <w:lang w:eastAsia="en-US"/>
              </w:rPr>
            </w:pPr>
          </w:p>
        </w:tc>
      </w:tr>
      <w:tr w:rsidR="0020268E" w:rsidRPr="002D4988" w:rsidTr="0020268E">
        <w:trPr>
          <w:trHeight w:val="112"/>
        </w:trPr>
        <w:tc>
          <w:tcPr>
            <w:tcW w:w="1019" w:type="pct"/>
            <w:shd w:val="clear" w:color="auto" w:fill="DBE5F1" w:themeFill="accent1" w:themeFillTint="33"/>
            <w:vAlign w:val="center"/>
          </w:tcPr>
          <w:p w:rsidR="0020268E" w:rsidRPr="00E91861" w:rsidRDefault="0020268E" w:rsidP="0020268E">
            <w:pPr>
              <w:jc w:val="lef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OCTAVE S, 5mg ITT</w:t>
            </w:r>
          </w:p>
        </w:tc>
        <w:tc>
          <w:tcPr>
            <w:tcW w:w="550"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44/198 (22.2)</w:t>
            </w:r>
          </w:p>
        </w:tc>
        <w:tc>
          <w:tcPr>
            <w:tcW w:w="629"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10/198 (5.1)</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iCs/>
                <w:snapToGrid w:val="0"/>
                <w:sz w:val="18"/>
                <w:szCs w:val="18"/>
                <w:lang w:eastAsia="en-US"/>
              </w:rPr>
              <w:t>4.40 (2.28, 8.49)</w:t>
            </w:r>
          </w:p>
        </w:tc>
        <w:tc>
          <w:tcPr>
            <w:tcW w:w="701"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iCs/>
                <w:snapToGrid w:val="0"/>
                <w:sz w:val="18"/>
                <w:szCs w:val="18"/>
                <w:lang w:eastAsia="en-US"/>
              </w:rPr>
              <w:t>0.17 (0.11, 0.24)</w:t>
            </w:r>
          </w:p>
        </w:tc>
        <w:tc>
          <w:tcPr>
            <w:tcW w:w="950" w:type="pct"/>
            <w:vMerge w:val="restart"/>
            <w:tcBorders>
              <w:top w:val="nil"/>
              <w:left w:val="nil"/>
              <w:right w:val="single" w:sz="4" w:space="0" w:color="auto"/>
            </w:tcBorders>
          </w:tcPr>
          <w:p w:rsidR="0020268E" w:rsidRPr="00E91861" w:rsidRDefault="0020268E" w:rsidP="0020268E">
            <w:pPr>
              <w:rPr>
                <w:rFonts w:ascii="Arial Narrow" w:eastAsiaTheme="minorEastAsia" w:hAnsi="Arial Narrow"/>
                <w:i/>
                <w:snapToGrid w:val="0"/>
                <w:sz w:val="16"/>
                <w:szCs w:val="16"/>
                <w:lang w:eastAsia="en-US"/>
              </w:rPr>
            </w:pPr>
            <w:r w:rsidRPr="00E91861">
              <w:rPr>
                <w:noProof/>
              </w:rPr>
              <w:drawing>
                <wp:inline distT="0" distB="0" distL="0" distR="0" wp14:anchorId="165223BC" wp14:editId="6831AA1A">
                  <wp:extent cx="1037590" cy="5948785"/>
                  <wp:effectExtent l="0" t="0" r="0" b="0"/>
                  <wp:docPr id="12" name="Picture 12" title="Table 7: Sustained remission / clinical remission at 52/54/60 wks – maintenance therapy (relevant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9674" t="12095" r="59341" b="7646"/>
                          <a:stretch/>
                        </pic:blipFill>
                        <pic:spPr bwMode="auto">
                          <a:xfrm>
                            <a:off x="0" y="0"/>
                            <a:ext cx="1057658" cy="6063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3"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6 (4, 9)</w:t>
            </w:r>
          </w:p>
        </w:tc>
      </w:tr>
      <w:tr w:rsidR="0020268E" w:rsidRPr="002D4988" w:rsidTr="0020268E">
        <w:trPr>
          <w:trHeight w:val="112"/>
        </w:trPr>
        <w:tc>
          <w:tcPr>
            <w:tcW w:w="1019" w:type="pct"/>
            <w:shd w:val="clear" w:color="auto" w:fill="DBE5F1" w:themeFill="accent1" w:themeFillTint="33"/>
            <w:vAlign w:val="center"/>
          </w:tcPr>
          <w:p w:rsidR="0020268E" w:rsidRPr="00E91861" w:rsidRDefault="0020268E" w:rsidP="0020268E">
            <w:pPr>
              <w:jc w:val="left"/>
              <w:rPr>
                <w:rFonts w:ascii="Arial Narrow" w:eastAsiaTheme="minorEastAsia" w:hAnsi="Arial Narrow"/>
                <w:b/>
                <w:snapToGrid w:val="0"/>
                <w:sz w:val="18"/>
                <w:szCs w:val="18"/>
                <w:lang w:eastAsia="en-US"/>
              </w:rPr>
            </w:pPr>
            <w:r w:rsidRPr="00E91861">
              <w:rPr>
                <w:rFonts w:ascii="Arial Narrow" w:eastAsiaTheme="minorEastAsia" w:hAnsi="Arial Narrow"/>
                <w:iCs/>
                <w:snapToGrid w:val="0"/>
                <w:sz w:val="18"/>
                <w:szCs w:val="18"/>
                <w:lang w:eastAsia="en-US"/>
              </w:rPr>
              <w:t>OCTAVE S, 10mg ITT</w:t>
            </w:r>
          </w:p>
        </w:tc>
        <w:tc>
          <w:tcPr>
            <w:tcW w:w="550"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50/197 (25.4)</w:t>
            </w:r>
          </w:p>
        </w:tc>
        <w:tc>
          <w:tcPr>
            <w:tcW w:w="629"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10/198 (5.1)</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iCs/>
                <w:snapToGrid w:val="0"/>
                <w:sz w:val="18"/>
                <w:szCs w:val="18"/>
                <w:lang w:eastAsia="en-US"/>
              </w:rPr>
              <w:t>5.03 (2.62, 9.62)</w:t>
            </w:r>
          </w:p>
        </w:tc>
        <w:tc>
          <w:tcPr>
            <w:tcW w:w="701"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iCs/>
                <w:snapToGrid w:val="0"/>
                <w:sz w:val="18"/>
                <w:szCs w:val="18"/>
                <w:lang w:eastAsia="en-US"/>
              </w:rPr>
              <w:t>0.20 (0.14, 0.27)</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5 (4, 7)</w:t>
            </w:r>
          </w:p>
        </w:tc>
      </w:tr>
      <w:tr w:rsidR="0020268E" w:rsidRPr="002D4988" w:rsidTr="0020268E">
        <w:trPr>
          <w:trHeight w:val="112"/>
        </w:trPr>
        <w:tc>
          <w:tcPr>
            <w:tcW w:w="1019" w:type="pct"/>
            <w:shd w:val="clear" w:color="auto" w:fill="DBE5F1" w:themeFill="accent1" w:themeFillTint="33"/>
            <w:vAlign w:val="center"/>
          </w:tcPr>
          <w:p w:rsidR="0020268E" w:rsidRPr="00E91861" w:rsidRDefault="0020268E" w:rsidP="0020268E">
            <w:pPr>
              <w:jc w:val="lef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OCTAVE S, 5mg TNFi-n</w:t>
            </w:r>
          </w:p>
        </w:tc>
        <w:tc>
          <w:tcPr>
            <w:tcW w:w="550"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26/108 (24.1)</w:t>
            </w:r>
          </w:p>
        </w:tc>
        <w:tc>
          <w:tcPr>
            <w:tcW w:w="629"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4/106 (3.8)</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iCs/>
                <w:snapToGrid w:val="0"/>
                <w:sz w:val="18"/>
                <w:szCs w:val="18"/>
                <w:lang w:eastAsia="en-US"/>
              </w:rPr>
              <w:t>6.38 (2.31, 17.66)</w:t>
            </w:r>
          </w:p>
        </w:tc>
        <w:tc>
          <w:tcPr>
            <w:tcW w:w="701"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iCs/>
                <w:snapToGrid w:val="0"/>
                <w:sz w:val="18"/>
                <w:szCs w:val="18"/>
                <w:lang w:eastAsia="en-US"/>
              </w:rPr>
              <w:t>0.20 (0.11, 0.29)</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5 (3, 9)</w:t>
            </w:r>
          </w:p>
        </w:tc>
      </w:tr>
      <w:tr w:rsidR="0020268E" w:rsidRPr="002D4988" w:rsidTr="0020268E">
        <w:trPr>
          <w:trHeight w:val="128"/>
        </w:trPr>
        <w:tc>
          <w:tcPr>
            <w:tcW w:w="1019" w:type="pct"/>
            <w:shd w:val="clear" w:color="auto" w:fill="DBE5F1" w:themeFill="accent1" w:themeFillTint="33"/>
            <w:vAlign w:val="center"/>
          </w:tcPr>
          <w:p w:rsidR="0020268E" w:rsidRPr="00E91861" w:rsidRDefault="0020268E" w:rsidP="0020268E">
            <w:pPr>
              <w:jc w:val="lef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OCTAVE S, 5mg TNFi-e</w:t>
            </w:r>
          </w:p>
        </w:tc>
        <w:tc>
          <w:tcPr>
            <w:tcW w:w="550"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18/90 (20.0)</w:t>
            </w:r>
          </w:p>
        </w:tc>
        <w:tc>
          <w:tcPr>
            <w:tcW w:w="629"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6/92 (6.5)</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cs="Times New Roman"/>
                <w:b/>
                <w:bCs/>
                <w:sz w:val="18"/>
                <w:szCs w:val="22"/>
                <w:lang w:eastAsia="en-US"/>
              </w:rPr>
            </w:pPr>
            <w:r w:rsidRPr="00E91861">
              <w:rPr>
                <w:rFonts w:ascii="Arial Narrow" w:eastAsiaTheme="minorEastAsia" w:hAnsi="Arial Narrow" w:cs="Times New Roman"/>
                <w:b/>
                <w:bCs/>
                <w:sz w:val="18"/>
                <w:szCs w:val="22"/>
                <w:lang w:eastAsia="en-US"/>
              </w:rPr>
              <w:t>3.07 (1.28, 7.37)</w:t>
            </w:r>
          </w:p>
        </w:tc>
        <w:tc>
          <w:tcPr>
            <w:tcW w:w="701"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cs="Times New Roman"/>
                <w:b/>
                <w:bCs/>
                <w:sz w:val="18"/>
                <w:szCs w:val="22"/>
                <w:lang w:eastAsia="en-US"/>
              </w:rPr>
            </w:pPr>
            <w:r w:rsidRPr="00E91861">
              <w:rPr>
                <w:rFonts w:ascii="Arial Narrow" w:eastAsiaTheme="minorEastAsia" w:hAnsi="Arial Narrow" w:cs="Times New Roman"/>
                <w:b/>
                <w:bCs/>
                <w:sz w:val="18"/>
                <w:szCs w:val="22"/>
                <w:lang w:eastAsia="en-US"/>
              </w:rPr>
              <w:t>0.13 (0.04, 0.23)</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8 (4, 25)</w:t>
            </w:r>
          </w:p>
        </w:tc>
      </w:tr>
      <w:tr w:rsidR="0020268E" w:rsidRPr="002D4988" w:rsidTr="0020268E">
        <w:trPr>
          <w:trHeight w:val="59"/>
        </w:trPr>
        <w:tc>
          <w:tcPr>
            <w:tcW w:w="1019" w:type="pct"/>
            <w:shd w:val="clear" w:color="auto" w:fill="DBE5F1" w:themeFill="accent1" w:themeFillTint="33"/>
            <w:vAlign w:val="center"/>
          </w:tcPr>
          <w:p w:rsidR="0020268E" w:rsidRPr="00E91861" w:rsidRDefault="0020268E" w:rsidP="0020268E">
            <w:pPr>
              <w:jc w:val="lef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OCTAVE S, 10mg TNFi-n</w:t>
            </w:r>
          </w:p>
        </w:tc>
        <w:tc>
          <w:tcPr>
            <w:tcW w:w="550"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32/96 (33.3)</w:t>
            </w:r>
          </w:p>
        </w:tc>
        <w:tc>
          <w:tcPr>
            <w:tcW w:w="629"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4/106 (3.8)</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adjustRightInd w:val="0"/>
              <w:spacing w:before="40" w:after="40"/>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snapToGrid w:val="0"/>
                <w:color w:val="000000"/>
                <w:sz w:val="18"/>
                <w:szCs w:val="18"/>
                <w:lang w:eastAsia="en-US"/>
              </w:rPr>
              <w:t>8.83 (3.24, 24.06)</w:t>
            </w:r>
          </w:p>
        </w:tc>
        <w:tc>
          <w:tcPr>
            <w:tcW w:w="701"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adjustRightInd w:val="0"/>
              <w:spacing w:before="40" w:after="40"/>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snapToGrid w:val="0"/>
                <w:color w:val="000000"/>
                <w:sz w:val="18"/>
                <w:szCs w:val="18"/>
                <w:lang w:eastAsia="en-US"/>
              </w:rPr>
              <w:t>0.30 (0.19, 0.40)</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3 (2.5, 5)</w:t>
            </w:r>
          </w:p>
        </w:tc>
      </w:tr>
      <w:tr w:rsidR="0020268E" w:rsidRPr="002D4988" w:rsidTr="0020268E">
        <w:trPr>
          <w:trHeight w:val="112"/>
        </w:trPr>
        <w:tc>
          <w:tcPr>
            <w:tcW w:w="1019" w:type="pct"/>
            <w:shd w:val="clear" w:color="auto" w:fill="DBE5F1" w:themeFill="accent1" w:themeFillTint="33"/>
            <w:vAlign w:val="center"/>
          </w:tcPr>
          <w:p w:rsidR="0020268E" w:rsidRPr="00E91861" w:rsidRDefault="0020268E" w:rsidP="0020268E">
            <w:pPr>
              <w:jc w:val="lef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OCTAVE S, 10mg TNFi-e</w:t>
            </w:r>
          </w:p>
        </w:tc>
        <w:tc>
          <w:tcPr>
            <w:tcW w:w="550"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18/101 (17.8)</w:t>
            </w:r>
          </w:p>
        </w:tc>
        <w:tc>
          <w:tcPr>
            <w:tcW w:w="629"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6/92 (6.5)</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cs="Times New Roman"/>
                <w:b/>
                <w:bCs/>
                <w:sz w:val="18"/>
                <w:szCs w:val="22"/>
                <w:lang w:eastAsia="en-US"/>
              </w:rPr>
            </w:pPr>
            <w:r w:rsidRPr="00E91861">
              <w:rPr>
                <w:rFonts w:ascii="Arial Narrow" w:eastAsiaTheme="minorEastAsia" w:hAnsi="Arial Narrow" w:cs="Times New Roman"/>
                <w:b/>
                <w:bCs/>
                <w:sz w:val="18"/>
                <w:szCs w:val="22"/>
                <w:lang w:eastAsia="en-US"/>
              </w:rPr>
              <w:t>2.73 (1.13, 6.59)</w:t>
            </w:r>
          </w:p>
        </w:tc>
        <w:tc>
          <w:tcPr>
            <w:tcW w:w="701"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cs="Times New Roman"/>
                <w:b/>
                <w:bCs/>
                <w:sz w:val="18"/>
                <w:szCs w:val="22"/>
                <w:lang w:eastAsia="en-US"/>
              </w:rPr>
            </w:pPr>
            <w:r w:rsidRPr="00E91861">
              <w:rPr>
                <w:rFonts w:ascii="Arial Narrow" w:eastAsiaTheme="minorEastAsia" w:hAnsi="Arial Narrow" w:cs="Times New Roman"/>
                <w:b/>
                <w:bCs/>
                <w:sz w:val="18"/>
                <w:szCs w:val="22"/>
                <w:lang w:eastAsia="en-US"/>
              </w:rPr>
              <w:t>0.11 (0.02, 0.20)</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9 (5, 50)</w:t>
            </w:r>
          </w:p>
        </w:tc>
      </w:tr>
      <w:tr w:rsidR="0020268E" w:rsidRPr="002D4988" w:rsidTr="0020268E">
        <w:trPr>
          <w:trHeight w:val="112"/>
        </w:trPr>
        <w:tc>
          <w:tcPr>
            <w:tcW w:w="1019" w:type="pct"/>
            <w:shd w:val="clear" w:color="auto" w:fill="DBE5F1" w:themeFill="accent1" w:themeFillTint="33"/>
            <w:vAlign w:val="center"/>
          </w:tcPr>
          <w:p w:rsidR="0020268E" w:rsidRPr="00E91861" w:rsidRDefault="0020268E" w:rsidP="0020268E">
            <w:pPr>
              <w:jc w:val="right"/>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Pooled 5/10mg ITT</w:t>
            </w:r>
          </w:p>
        </w:tc>
        <w:tc>
          <w:tcPr>
            <w:tcW w:w="550"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94/395 (23.8)</w:t>
            </w:r>
          </w:p>
        </w:tc>
        <w:tc>
          <w:tcPr>
            <w:tcW w:w="629"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snapToGrid w:val="0"/>
                <w:sz w:val="18"/>
                <w:szCs w:val="18"/>
                <w:lang w:eastAsia="en-US"/>
              </w:rPr>
            </w:pPr>
            <w:r w:rsidRPr="00E91861">
              <w:rPr>
                <w:rFonts w:ascii="Arial Narrow" w:eastAsiaTheme="minorEastAsia" w:hAnsi="Arial Narrow"/>
                <w:iCs/>
                <w:snapToGrid w:val="0"/>
                <w:sz w:val="18"/>
                <w:szCs w:val="18"/>
                <w:lang w:eastAsia="en-US"/>
              </w:rPr>
              <w:t>10/198 (5.1)</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4.71 (2.51, 8.84)</w:t>
            </w:r>
          </w:p>
        </w:tc>
        <w:tc>
          <w:tcPr>
            <w:tcW w:w="701"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0.19 (0.14, 0.24)</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5 (4, 7)</w:t>
            </w:r>
          </w:p>
        </w:tc>
      </w:tr>
      <w:tr w:rsidR="0020268E" w:rsidRPr="002D4988" w:rsidTr="0020268E">
        <w:trPr>
          <w:trHeight w:val="112"/>
        </w:trPr>
        <w:tc>
          <w:tcPr>
            <w:tcW w:w="1019" w:type="pct"/>
            <w:shd w:val="clear" w:color="auto" w:fill="DBE5F1" w:themeFill="accent1" w:themeFillTint="33"/>
            <w:vAlign w:val="center"/>
          </w:tcPr>
          <w:p w:rsidR="0020268E" w:rsidRPr="00E91861" w:rsidRDefault="0020268E" w:rsidP="0020268E">
            <w:pPr>
              <w:jc w:val="right"/>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Pooled 5/10mg TNFi-n</w:t>
            </w:r>
          </w:p>
        </w:tc>
        <w:tc>
          <w:tcPr>
            <w:tcW w:w="550"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58/204 (28.4)</w:t>
            </w:r>
          </w:p>
        </w:tc>
        <w:tc>
          <w:tcPr>
            <w:tcW w:w="629"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snapToGrid w:val="0"/>
                <w:sz w:val="18"/>
                <w:szCs w:val="18"/>
                <w:lang w:eastAsia="en-US"/>
              </w:rPr>
            </w:pPr>
            <w:r w:rsidRPr="00E91861">
              <w:rPr>
                <w:rFonts w:ascii="Arial Narrow" w:eastAsiaTheme="minorEastAsia" w:hAnsi="Arial Narrow"/>
                <w:iCs/>
                <w:snapToGrid w:val="0"/>
                <w:sz w:val="18"/>
                <w:szCs w:val="18"/>
                <w:lang w:eastAsia="en-US"/>
              </w:rPr>
              <w:t>4/106 (3.8)</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7.53 (2.81, 20.19)</w:t>
            </w:r>
          </w:p>
        </w:tc>
        <w:tc>
          <w:tcPr>
            <w:tcW w:w="701"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0.25 (0.17, 0.32)</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4 (3, 6)</w:t>
            </w:r>
          </w:p>
        </w:tc>
      </w:tr>
      <w:tr w:rsidR="0020268E" w:rsidRPr="002D4988" w:rsidTr="0020268E">
        <w:trPr>
          <w:trHeight w:val="112"/>
        </w:trPr>
        <w:tc>
          <w:tcPr>
            <w:tcW w:w="1019" w:type="pct"/>
            <w:shd w:val="clear" w:color="auto" w:fill="DBE5F1" w:themeFill="accent1" w:themeFillTint="33"/>
            <w:vAlign w:val="center"/>
          </w:tcPr>
          <w:p w:rsidR="0020268E" w:rsidRPr="00E91861" w:rsidRDefault="0020268E" w:rsidP="0020268E">
            <w:pPr>
              <w:jc w:val="right"/>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Pooled 5/10mg TNFi-e</w:t>
            </w:r>
          </w:p>
        </w:tc>
        <w:tc>
          <w:tcPr>
            <w:tcW w:w="550" w:type="pct"/>
            <w:shd w:val="clear" w:color="auto" w:fill="DBE5F1" w:themeFill="accent1" w:themeFillTint="33"/>
            <w:vAlign w:val="center"/>
          </w:tcPr>
          <w:p w:rsidR="0020268E" w:rsidRPr="00E91861" w:rsidRDefault="0020268E" w:rsidP="0020268E">
            <w:pPr>
              <w:jc w:val="center"/>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36/191 (18.8)</w:t>
            </w:r>
          </w:p>
        </w:tc>
        <w:tc>
          <w:tcPr>
            <w:tcW w:w="629" w:type="pct"/>
            <w:tcBorders>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snapToGrid w:val="0"/>
                <w:sz w:val="18"/>
                <w:szCs w:val="18"/>
                <w:lang w:eastAsia="en-US"/>
              </w:rPr>
            </w:pPr>
            <w:r w:rsidRPr="00E91861">
              <w:rPr>
                <w:rFonts w:ascii="Arial Narrow" w:eastAsiaTheme="minorEastAsia" w:hAnsi="Arial Narrow"/>
                <w:iCs/>
                <w:snapToGrid w:val="0"/>
                <w:sz w:val="18"/>
                <w:szCs w:val="18"/>
                <w:lang w:eastAsia="en-US"/>
              </w:rPr>
              <w:t>6/92 (6.5)</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2.89 (1.26, 6.61)</w:t>
            </w:r>
          </w:p>
        </w:tc>
        <w:tc>
          <w:tcPr>
            <w:tcW w:w="701" w:type="pct"/>
            <w:tcBorders>
              <w:top w:val="nil"/>
              <w:left w:val="single" w:sz="4" w:space="0" w:color="auto"/>
              <w:bottom w:val="nil"/>
              <w:right w:val="nil"/>
            </w:tcBorders>
            <w:shd w:val="clear" w:color="auto" w:fill="DBE5F1" w:themeFill="accent1" w:themeFillTint="33"/>
            <w:vAlign w:val="center"/>
          </w:tcPr>
          <w:p w:rsidR="0020268E" w:rsidRPr="00E91861" w:rsidRDefault="0020268E" w:rsidP="0020268E">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0.12 (0.05, 0.20)</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8 (5, 20)</w:t>
            </w:r>
          </w:p>
        </w:tc>
      </w:tr>
      <w:tr w:rsidR="0020268E" w:rsidRPr="002D4988" w:rsidTr="0020268E">
        <w:trPr>
          <w:trHeight w:val="170"/>
        </w:trPr>
        <w:tc>
          <w:tcPr>
            <w:tcW w:w="2198" w:type="pct"/>
            <w:gridSpan w:val="3"/>
            <w:tcBorders>
              <w:right w:val="single" w:sz="4" w:space="0" w:color="auto"/>
            </w:tcBorders>
            <w:shd w:val="clear" w:color="auto" w:fill="DBE5F1" w:themeFill="accent1" w:themeFillTint="33"/>
            <w:vAlign w:val="center"/>
          </w:tcPr>
          <w:p w:rsidR="0020268E" w:rsidRPr="002D4988" w:rsidRDefault="0020268E" w:rsidP="0020268E">
            <w:pPr>
              <w:jc w:val="left"/>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GOL v PBO (Wk 30&amp;54)</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8"/>
                <w:szCs w:val="18"/>
                <w:lang w:eastAsia="en-US"/>
              </w:rPr>
            </w:pPr>
          </w:p>
        </w:tc>
        <w:tc>
          <w:tcPr>
            <w:tcW w:w="701"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iCs/>
                <w:snapToGrid w:val="0"/>
                <w:sz w:val="18"/>
                <w:szCs w:val="18"/>
                <w:lang w:eastAsia="en-US"/>
              </w:rPr>
            </w:pP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p>
        </w:tc>
      </w:tr>
      <w:tr w:rsidR="0020268E" w:rsidRPr="002D4988" w:rsidTr="0020268E">
        <w:trPr>
          <w:trHeight w:val="170"/>
        </w:trPr>
        <w:tc>
          <w:tcPr>
            <w:tcW w:w="1019" w:type="pct"/>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PURSUIT-M, ITT/TNFi-n</w:t>
            </w:r>
          </w:p>
        </w:tc>
        <w:tc>
          <w:tcPr>
            <w:tcW w:w="550"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42/151 (27.8)</w:t>
            </w:r>
          </w:p>
        </w:tc>
        <w:tc>
          <w:tcPr>
            <w:tcW w:w="629"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24/154 (15.6)</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1.78 (1.14, 2.79)</w:t>
            </w:r>
          </w:p>
        </w:tc>
        <w:tc>
          <w:tcPr>
            <w:tcW w:w="701"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0.12 (0.03, 0.21)</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8 (5, 33)</w:t>
            </w:r>
          </w:p>
        </w:tc>
      </w:tr>
      <w:tr w:rsidR="0020268E" w:rsidRPr="002D4988" w:rsidTr="0020268E">
        <w:trPr>
          <w:trHeight w:val="170"/>
        </w:trPr>
        <w:tc>
          <w:tcPr>
            <w:tcW w:w="1019" w:type="pct"/>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PURSUIT-J ITT/TNFi-n</w:t>
            </w:r>
          </w:p>
        </w:tc>
        <w:tc>
          <w:tcPr>
            <w:tcW w:w="550"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16/32 (50.0)</w:t>
            </w:r>
          </w:p>
        </w:tc>
        <w:tc>
          <w:tcPr>
            <w:tcW w:w="629"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2/31 (6.5)</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7.75 (1.94, 30.94)</w:t>
            </w:r>
          </w:p>
        </w:tc>
        <w:tc>
          <w:tcPr>
            <w:tcW w:w="701"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0.44 (0.24, 0.63)</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2 (2, 4)</w:t>
            </w:r>
          </w:p>
        </w:tc>
      </w:tr>
      <w:tr w:rsidR="0020268E" w:rsidRPr="002D4988" w:rsidTr="0020268E">
        <w:trPr>
          <w:trHeight w:val="170"/>
        </w:trPr>
        <w:tc>
          <w:tcPr>
            <w:tcW w:w="1019" w:type="pct"/>
            <w:shd w:val="clear" w:color="auto" w:fill="DBE5F1" w:themeFill="accent1" w:themeFillTint="33"/>
          </w:tcPr>
          <w:p w:rsidR="0020268E" w:rsidRPr="002D4988" w:rsidRDefault="0020268E" w:rsidP="0020268E">
            <w:pPr>
              <w:jc w:val="right"/>
              <w:rPr>
                <w:rFonts w:ascii="Arial Narrow" w:eastAsiaTheme="minorEastAsia" w:hAnsi="Arial Narrow"/>
                <w:i/>
                <w:snapToGrid w:val="0"/>
                <w:sz w:val="18"/>
                <w:szCs w:val="18"/>
                <w:lang w:eastAsia="en-US"/>
              </w:rPr>
            </w:pPr>
            <w:r w:rsidRPr="002D4988">
              <w:rPr>
                <w:rFonts w:ascii="Arial Narrow" w:eastAsiaTheme="minorEastAsia" w:hAnsi="Arial Narrow"/>
                <w:i/>
                <w:snapToGrid w:val="0"/>
                <w:sz w:val="18"/>
                <w:szCs w:val="18"/>
                <w:lang w:eastAsia="en-US"/>
              </w:rPr>
              <w:t>Meta</w:t>
            </w:r>
          </w:p>
        </w:tc>
        <w:tc>
          <w:tcPr>
            <w:tcW w:w="550"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58/183 (31.7)</w:t>
            </w:r>
          </w:p>
        </w:tc>
        <w:tc>
          <w:tcPr>
            <w:tcW w:w="629"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26/185 (14.1)</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Cs/>
                <w:i/>
                <w:snapToGrid w:val="0"/>
                <w:sz w:val="18"/>
                <w:szCs w:val="18"/>
                <w:lang w:eastAsia="en-US"/>
              </w:rPr>
            </w:pPr>
            <w:r w:rsidRPr="002D4988">
              <w:rPr>
                <w:rFonts w:ascii="Arial Narrow" w:eastAsiaTheme="minorEastAsia" w:hAnsi="Arial Narrow"/>
                <w:bCs/>
                <w:i/>
                <w:snapToGrid w:val="0"/>
                <w:sz w:val="18"/>
                <w:szCs w:val="18"/>
                <w:lang w:eastAsia="en-US"/>
              </w:rPr>
              <w:t>3.22 (0.76, 13.63)</w:t>
            </w:r>
          </w:p>
        </w:tc>
        <w:tc>
          <w:tcPr>
            <w:tcW w:w="701"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Cs/>
                <w:i/>
                <w:snapToGrid w:val="0"/>
                <w:sz w:val="18"/>
                <w:szCs w:val="18"/>
                <w:lang w:eastAsia="en-US"/>
              </w:rPr>
            </w:pPr>
            <w:r w:rsidRPr="002D4988">
              <w:rPr>
                <w:rFonts w:ascii="Arial Narrow" w:eastAsiaTheme="minorEastAsia" w:hAnsi="Arial Narrow"/>
                <w:bCs/>
                <w:i/>
                <w:snapToGrid w:val="0"/>
                <w:sz w:val="18"/>
                <w:szCs w:val="18"/>
                <w:lang w:eastAsia="en-US"/>
              </w:rPr>
              <w:t>0.27 (-0.04, 0.57)</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NS</w:t>
            </w:r>
          </w:p>
        </w:tc>
      </w:tr>
      <w:tr w:rsidR="0020268E" w:rsidRPr="002D4988" w:rsidTr="0020268E">
        <w:trPr>
          <w:trHeight w:val="70"/>
        </w:trPr>
        <w:tc>
          <w:tcPr>
            <w:tcW w:w="2198" w:type="pct"/>
            <w:gridSpan w:val="3"/>
            <w:tcBorders>
              <w:right w:val="single" w:sz="4" w:space="0" w:color="auto"/>
            </w:tcBorders>
            <w:shd w:val="clear" w:color="auto" w:fill="auto"/>
            <w:vAlign w:val="center"/>
          </w:tcPr>
          <w:p w:rsidR="0020268E" w:rsidRPr="002D4988" w:rsidRDefault="0020268E" w:rsidP="0020268E">
            <w:pPr>
              <w:jc w:val="left"/>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VDZ v PBO (Wk 6/10&amp;52/60</w:t>
            </w:r>
            <w:r w:rsidRPr="002D4988">
              <w:rPr>
                <w:rFonts w:ascii="Arial Narrow" w:eastAsiaTheme="minorEastAsia" w:hAnsi="Arial Narrow"/>
                <w:b/>
                <w:bCs/>
                <w:iCs/>
                <w:snapToGrid w:val="0"/>
                <w:sz w:val="18"/>
                <w:szCs w:val="18"/>
                <w:vertAlign w:val="superscript"/>
                <w:lang w:eastAsia="en-US"/>
              </w:rPr>
              <w:t>a</w:t>
            </w:r>
            <w:r w:rsidRPr="002D4988">
              <w:rPr>
                <w:rFonts w:ascii="Arial Narrow" w:eastAsiaTheme="minorEastAsia" w:hAnsi="Arial Narrow"/>
                <w:b/>
                <w:bCs/>
                <w:iCs/>
                <w:snapToGrid w:val="0"/>
                <w:sz w:val="18"/>
                <w:szCs w:val="18"/>
                <w:lang w:eastAsia="en-US"/>
              </w:rPr>
              <w:t>)</w:t>
            </w:r>
          </w:p>
        </w:tc>
        <w:tc>
          <w:tcPr>
            <w:tcW w:w="708"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8"/>
                <w:szCs w:val="18"/>
                <w:lang w:eastAsia="en-US"/>
              </w:rPr>
            </w:pPr>
          </w:p>
        </w:tc>
        <w:tc>
          <w:tcPr>
            <w:tcW w:w="701"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
                <w:bCs/>
                <w:iCs/>
                <w:snapToGrid w:val="0"/>
                <w:sz w:val="18"/>
                <w:szCs w:val="18"/>
                <w:lang w:eastAsia="en-US"/>
              </w:rPr>
            </w:pP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p>
        </w:tc>
      </w:tr>
      <w:tr w:rsidR="0020268E" w:rsidRPr="002D4988" w:rsidTr="0020268E">
        <w:trPr>
          <w:trHeight w:val="170"/>
        </w:trPr>
        <w:tc>
          <w:tcPr>
            <w:tcW w:w="1019" w:type="pct"/>
            <w:shd w:val="clear" w:color="auto" w:fill="DBE5F1" w:themeFill="accent1" w:themeFillTint="33"/>
            <w:vAlign w:val="center"/>
          </w:tcPr>
          <w:p w:rsidR="0020268E" w:rsidRPr="002D4988" w:rsidRDefault="0020268E" w:rsidP="0020268E">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GEMINI 1, ITT</w:t>
            </w:r>
          </w:p>
        </w:tc>
        <w:tc>
          <w:tcPr>
            <w:tcW w:w="550" w:type="pct"/>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25/122 (20.5)</w:t>
            </w:r>
          </w:p>
        </w:tc>
        <w:tc>
          <w:tcPr>
            <w:tcW w:w="629"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11/126 (19.8)</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2.35 (1.21, 4.56)</w:t>
            </w:r>
          </w:p>
        </w:tc>
        <w:tc>
          <w:tcPr>
            <w:tcW w:w="701"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0.12 (0.03, 0.20)</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8 (5, 33)</w:t>
            </w:r>
          </w:p>
        </w:tc>
      </w:tr>
      <w:tr w:rsidR="0020268E" w:rsidRPr="002D4988" w:rsidTr="0020268E">
        <w:trPr>
          <w:trHeight w:val="170"/>
        </w:trPr>
        <w:tc>
          <w:tcPr>
            <w:tcW w:w="1019" w:type="pct"/>
            <w:shd w:val="clear" w:color="auto" w:fill="DBE5F1" w:themeFill="accent1" w:themeFillTint="33"/>
          </w:tcPr>
          <w:p w:rsidR="0020268E" w:rsidRPr="002D4988" w:rsidRDefault="0020268E" w:rsidP="0020268E">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 xml:space="preserve">GEMINI 1, </w:t>
            </w:r>
            <w:r w:rsidRPr="002D4988">
              <w:rPr>
                <w:rFonts w:ascii="Arial Narrow" w:eastAsiaTheme="minorEastAsia" w:hAnsi="Arial Narrow"/>
                <w:i/>
                <w:snapToGrid w:val="0"/>
                <w:sz w:val="18"/>
                <w:szCs w:val="18"/>
                <w:lang w:eastAsia="en-US"/>
              </w:rPr>
              <w:t>TNFi-n</w:t>
            </w:r>
          </w:p>
        </w:tc>
        <w:tc>
          <w:tcPr>
            <w:tcW w:w="550"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16/72 (22.2)</w:t>
            </w:r>
          </w:p>
        </w:tc>
        <w:tc>
          <w:tcPr>
            <w:tcW w:w="629"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10/79 (12.7)</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1.76 (0.85, 3.62)</w:t>
            </w:r>
          </w:p>
        </w:tc>
        <w:tc>
          <w:tcPr>
            <w:tcW w:w="701"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0.10 (-0.03, 0.22)</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NS</w:t>
            </w:r>
          </w:p>
        </w:tc>
      </w:tr>
      <w:tr w:rsidR="0020268E" w:rsidRPr="002D4988" w:rsidTr="0020268E">
        <w:trPr>
          <w:trHeight w:val="170"/>
        </w:trPr>
        <w:tc>
          <w:tcPr>
            <w:tcW w:w="1019" w:type="pct"/>
            <w:shd w:val="clear" w:color="auto" w:fill="DBE5F1" w:themeFill="accent1" w:themeFillTint="33"/>
          </w:tcPr>
          <w:p w:rsidR="0020268E" w:rsidRPr="002D4988" w:rsidRDefault="0020268E" w:rsidP="0020268E">
            <w:pPr>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 xml:space="preserve">GEMINI 1, </w:t>
            </w:r>
            <w:r w:rsidRPr="002D4988">
              <w:rPr>
                <w:rFonts w:ascii="Arial Narrow" w:eastAsiaTheme="minorEastAsia" w:hAnsi="Arial Narrow"/>
                <w:i/>
                <w:snapToGrid w:val="0"/>
                <w:sz w:val="18"/>
                <w:szCs w:val="18"/>
                <w:lang w:eastAsia="en-US"/>
              </w:rPr>
              <w:t>TNFi-e*</w:t>
            </w:r>
          </w:p>
        </w:tc>
        <w:tc>
          <w:tcPr>
            <w:tcW w:w="550" w:type="pct"/>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9/43 (20.9)</w:t>
            </w:r>
          </w:p>
        </w:tc>
        <w:tc>
          <w:tcPr>
            <w:tcW w:w="629" w:type="pct"/>
            <w:tcBorders>
              <w:right w:val="single" w:sz="4" w:space="0" w:color="auto"/>
            </w:tcBorders>
            <w:shd w:val="clear" w:color="auto" w:fill="DBE5F1" w:themeFill="accent1" w:themeFillTint="33"/>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1/38 (2.6)</w:t>
            </w:r>
          </w:p>
        </w:tc>
        <w:tc>
          <w:tcPr>
            <w:tcW w:w="708" w:type="pct"/>
            <w:tcBorders>
              <w:top w:val="nil"/>
              <w:left w:val="single" w:sz="4" w:space="0" w:color="auto"/>
              <w:bottom w:val="nil"/>
              <w:right w:val="single" w:sz="4" w:space="0" w:color="auto"/>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7.95 (1.06, 59.92)</w:t>
            </w:r>
          </w:p>
        </w:tc>
        <w:tc>
          <w:tcPr>
            <w:tcW w:w="701" w:type="pct"/>
            <w:tcBorders>
              <w:top w:val="nil"/>
              <w:left w:val="single" w:sz="4" w:space="0" w:color="auto"/>
              <w:bottom w:val="nil"/>
              <w:right w:val="nil"/>
            </w:tcBorders>
            <w:shd w:val="clear" w:color="auto" w:fill="DBE5F1" w:themeFill="accent1" w:themeFillTint="33"/>
            <w:vAlign w:val="center"/>
          </w:tcPr>
          <w:p w:rsidR="0020268E" w:rsidRPr="002D4988" w:rsidRDefault="0020268E" w:rsidP="0020268E">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0.18 (0.05, 0.31)</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5.5 (3, 20)</w:t>
            </w:r>
          </w:p>
        </w:tc>
      </w:tr>
      <w:tr w:rsidR="0020268E" w:rsidRPr="002D4988" w:rsidTr="0020268E">
        <w:trPr>
          <w:trHeight w:val="170"/>
        </w:trPr>
        <w:tc>
          <w:tcPr>
            <w:tcW w:w="1019" w:type="pct"/>
            <w:shd w:val="clear" w:color="auto" w:fill="auto"/>
          </w:tcPr>
          <w:p w:rsidR="0020268E" w:rsidRPr="002D4988" w:rsidRDefault="0020268E" w:rsidP="0020268E">
            <w:pPr>
              <w:rPr>
                <w:rFonts w:ascii="Arial Narrow" w:eastAsiaTheme="minorEastAsia" w:hAnsi="Arial Narrow"/>
                <w:i/>
                <w:iCs/>
                <w:snapToGrid w:val="0"/>
                <w:sz w:val="18"/>
                <w:szCs w:val="18"/>
                <w:lang w:eastAsia="en-US"/>
              </w:rPr>
            </w:pPr>
            <w:r w:rsidRPr="002D4988">
              <w:rPr>
                <w:rFonts w:ascii="Arial Narrow" w:eastAsiaTheme="minorEastAsia" w:hAnsi="Arial Narrow"/>
                <w:i/>
                <w:iCs/>
                <w:snapToGrid w:val="0"/>
                <w:sz w:val="18"/>
                <w:szCs w:val="18"/>
                <w:lang w:eastAsia="en-US"/>
              </w:rPr>
              <w:t>Sandborn 2020, ITT</w:t>
            </w:r>
          </w:p>
        </w:tc>
        <w:tc>
          <w:tcPr>
            <w:tcW w:w="550" w:type="pct"/>
            <w:shd w:val="clear" w:color="auto" w:fill="auto"/>
          </w:tcPr>
          <w:p w:rsidR="0020268E" w:rsidRPr="002D4988" w:rsidRDefault="0020268E" w:rsidP="0020268E">
            <w:pPr>
              <w:jc w:val="center"/>
              <w:rPr>
                <w:rFonts w:ascii="Arial Narrow" w:eastAsiaTheme="minorEastAsia" w:hAnsi="Arial Narrow"/>
                <w:i/>
                <w:snapToGrid w:val="0"/>
                <w:sz w:val="18"/>
                <w:szCs w:val="18"/>
                <w:lang w:eastAsia="en-US"/>
              </w:rPr>
            </w:pPr>
            <w:r w:rsidRPr="002D4988">
              <w:rPr>
                <w:rFonts w:ascii="Arial Narrow" w:eastAsiaTheme="minorEastAsia" w:hAnsi="Arial Narrow"/>
                <w:i/>
                <w:snapToGrid w:val="0"/>
                <w:sz w:val="18"/>
                <w:szCs w:val="18"/>
                <w:lang w:eastAsia="en-US"/>
              </w:rPr>
              <w:t>9/54 (16.7)</w:t>
            </w:r>
          </w:p>
        </w:tc>
        <w:tc>
          <w:tcPr>
            <w:tcW w:w="629" w:type="pct"/>
            <w:tcBorders>
              <w:right w:val="single" w:sz="4" w:space="0" w:color="auto"/>
            </w:tcBorders>
            <w:shd w:val="clear" w:color="auto" w:fill="auto"/>
          </w:tcPr>
          <w:p w:rsidR="0020268E" w:rsidRPr="002D4988" w:rsidRDefault="0020268E" w:rsidP="0020268E">
            <w:pPr>
              <w:jc w:val="center"/>
              <w:rPr>
                <w:rFonts w:ascii="Arial Narrow" w:eastAsiaTheme="minorEastAsia" w:hAnsi="Arial Narrow"/>
                <w:i/>
                <w:snapToGrid w:val="0"/>
                <w:sz w:val="18"/>
                <w:szCs w:val="18"/>
                <w:lang w:eastAsia="en-US"/>
              </w:rPr>
            </w:pPr>
            <w:r w:rsidRPr="002D4988">
              <w:rPr>
                <w:rFonts w:ascii="Arial Narrow" w:eastAsiaTheme="minorEastAsia" w:hAnsi="Arial Narrow"/>
                <w:i/>
                <w:snapToGrid w:val="0"/>
                <w:sz w:val="18"/>
                <w:szCs w:val="18"/>
                <w:lang w:eastAsia="en-US"/>
              </w:rPr>
              <w:t>3/56 (5.4)</w:t>
            </w:r>
          </w:p>
        </w:tc>
        <w:tc>
          <w:tcPr>
            <w:tcW w:w="708"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3.11 (0.89, 10.88)</w:t>
            </w:r>
          </w:p>
        </w:tc>
        <w:tc>
          <w:tcPr>
            <w:tcW w:w="701"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0.11 (0.00, 0.23)</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NS</w:t>
            </w:r>
          </w:p>
        </w:tc>
      </w:tr>
      <w:tr w:rsidR="0020268E" w:rsidRPr="002D4988" w:rsidTr="0020268E">
        <w:trPr>
          <w:trHeight w:val="170"/>
        </w:trPr>
        <w:tc>
          <w:tcPr>
            <w:tcW w:w="1019" w:type="pct"/>
            <w:shd w:val="clear" w:color="auto" w:fill="auto"/>
            <w:vAlign w:val="center"/>
          </w:tcPr>
          <w:p w:rsidR="0020268E" w:rsidRPr="002D4988" w:rsidRDefault="0020268E" w:rsidP="0020268E">
            <w:pPr>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Motoya 2019, ITT</w:t>
            </w:r>
          </w:p>
        </w:tc>
        <w:tc>
          <w:tcPr>
            <w:tcW w:w="550" w:type="pct"/>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11/41 (26.8)</w:t>
            </w:r>
          </w:p>
        </w:tc>
        <w:tc>
          <w:tcPr>
            <w:tcW w:w="629" w:type="pct"/>
            <w:tcBorders>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7/42 (16.7)</w:t>
            </w:r>
          </w:p>
        </w:tc>
        <w:tc>
          <w:tcPr>
            <w:tcW w:w="708"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1.61 (0.69, 3.74)</w:t>
            </w:r>
          </w:p>
        </w:tc>
        <w:tc>
          <w:tcPr>
            <w:tcW w:w="701"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0.10 (-0.07, 0.28)</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NS</w:t>
            </w:r>
          </w:p>
        </w:tc>
      </w:tr>
      <w:tr w:rsidR="0020268E" w:rsidRPr="002D4988" w:rsidTr="0020268E">
        <w:trPr>
          <w:trHeight w:val="170"/>
        </w:trPr>
        <w:tc>
          <w:tcPr>
            <w:tcW w:w="1019" w:type="pct"/>
            <w:shd w:val="clear" w:color="auto" w:fill="auto"/>
          </w:tcPr>
          <w:p w:rsidR="0020268E" w:rsidRPr="002D4988" w:rsidRDefault="0020268E" w:rsidP="0020268E">
            <w:pPr>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 xml:space="preserve">Motoya 2019, </w:t>
            </w:r>
            <w:r w:rsidRPr="002D4988">
              <w:rPr>
                <w:rFonts w:ascii="Arial Narrow" w:eastAsiaTheme="minorEastAsia" w:hAnsi="Arial Narrow"/>
                <w:i/>
                <w:snapToGrid w:val="0"/>
                <w:sz w:val="18"/>
                <w:szCs w:val="18"/>
                <w:lang w:eastAsia="en-US"/>
              </w:rPr>
              <w:t>TNFi-n</w:t>
            </w:r>
          </w:p>
        </w:tc>
        <w:tc>
          <w:tcPr>
            <w:tcW w:w="550" w:type="pct"/>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8/24 (33.3)</w:t>
            </w:r>
          </w:p>
        </w:tc>
        <w:tc>
          <w:tcPr>
            <w:tcW w:w="629" w:type="pct"/>
            <w:tcBorders>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6/28 (21.4)</w:t>
            </w:r>
          </w:p>
        </w:tc>
        <w:tc>
          <w:tcPr>
            <w:tcW w:w="708"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1.56 (0.63, 3.85)</w:t>
            </w:r>
          </w:p>
        </w:tc>
        <w:tc>
          <w:tcPr>
            <w:tcW w:w="701"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0.12 (-0.12, 0.36)</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NS</w:t>
            </w:r>
          </w:p>
        </w:tc>
      </w:tr>
      <w:tr w:rsidR="0020268E" w:rsidRPr="002D4988" w:rsidTr="0020268E">
        <w:trPr>
          <w:trHeight w:val="170"/>
        </w:trPr>
        <w:tc>
          <w:tcPr>
            <w:tcW w:w="1019" w:type="pct"/>
            <w:shd w:val="clear" w:color="auto" w:fill="auto"/>
          </w:tcPr>
          <w:p w:rsidR="0020268E" w:rsidRPr="002D4988" w:rsidRDefault="0020268E" w:rsidP="0020268E">
            <w:pPr>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 xml:space="preserve">Motoya 2019, </w:t>
            </w:r>
            <w:r w:rsidRPr="002D4988">
              <w:rPr>
                <w:rFonts w:ascii="Arial Narrow" w:eastAsiaTheme="minorEastAsia" w:hAnsi="Arial Narrow"/>
                <w:i/>
                <w:snapToGrid w:val="0"/>
                <w:sz w:val="18"/>
                <w:szCs w:val="18"/>
                <w:lang w:eastAsia="en-US"/>
              </w:rPr>
              <w:t>TNFi-e</w:t>
            </w:r>
          </w:p>
        </w:tc>
        <w:tc>
          <w:tcPr>
            <w:tcW w:w="550" w:type="pct"/>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3/17 (17.6)</w:t>
            </w:r>
          </w:p>
        </w:tc>
        <w:tc>
          <w:tcPr>
            <w:tcW w:w="629" w:type="pct"/>
            <w:tcBorders>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1/14 (7.1)</w:t>
            </w:r>
          </w:p>
        </w:tc>
        <w:tc>
          <w:tcPr>
            <w:tcW w:w="708"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2.47 (0.29, 21.21)</w:t>
            </w:r>
          </w:p>
        </w:tc>
        <w:tc>
          <w:tcPr>
            <w:tcW w:w="701"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0.11 (-0.12, 0.33)</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NS</w:t>
            </w:r>
          </w:p>
        </w:tc>
      </w:tr>
      <w:tr w:rsidR="0020268E" w:rsidRPr="002D4988" w:rsidTr="0020268E">
        <w:trPr>
          <w:trHeight w:val="170"/>
        </w:trPr>
        <w:tc>
          <w:tcPr>
            <w:tcW w:w="1019" w:type="pct"/>
            <w:shd w:val="clear" w:color="auto" w:fill="auto"/>
            <w:vAlign w:val="center"/>
          </w:tcPr>
          <w:p w:rsidR="0020268E" w:rsidRPr="002D4988" w:rsidRDefault="0020268E" w:rsidP="0020268E">
            <w:pPr>
              <w:jc w:val="right"/>
              <w:rPr>
                <w:rFonts w:ascii="Arial Narrow" w:eastAsiaTheme="minorEastAsia" w:hAnsi="Arial Narrow"/>
                <w:iCs/>
                <w:snapToGrid w:val="0"/>
                <w:sz w:val="18"/>
                <w:szCs w:val="18"/>
                <w:lang w:eastAsia="en-US"/>
              </w:rPr>
            </w:pPr>
            <w:r w:rsidRPr="002D4988">
              <w:rPr>
                <w:rFonts w:ascii="Arial Narrow" w:eastAsiaTheme="minorEastAsia" w:hAnsi="Arial Narrow"/>
                <w:snapToGrid w:val="0"/>
                <w:sz w:val="18"/>
                <w:szCs w:val="18"/>
                <w:lang w:eastAsia="en-US"/>
              </w:rPr>
              <w:t>Pooled ITT</w:t>
            </w:r>
          </w:p>
        </w:tc>
        <w:tc>
          <w:tcPr>
            <w:tcW w:w="550" w:type="pct"/>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45/217 (20.7)</w:t>
            </w:r>
          </w:p>
        </w:tc>
        <w:tc>
          <w:tcPr>
            <w:tcW w:w="629" w:type="pct"/>
            <w:tcBorders>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21/224 (9.4)</w:t>
            </w:r>
          </w:p>
        </w:tc>
        <w:tc>
          <w:tcPr>
            <w:tcW w:w="708"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2.16 (1.34, 3.50)</w:t>
            </w:r>
          </w:p>
        </w:tc>
        <w:tc>
          <w:tcPr>
            <w:tcW w:w="701"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0.11 (0.05, 0.18)</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9 (6, 20)</w:t>
            </w:r>
          </w:p>
        </w:tc>
      </w:tr>
      <w:tr w:rsidR="0020268E" w:rsidRPr="002D4988" w:rsidTr="0020268E">
        <w:trPr>
          <w:trHeight w:val="170"/>
        </w:trPr>
        <w:tc>
          <w:tcPr>
            <w:tcW w:w="1019" w:type="pct"/>
            <w:shd w:val="clear" w:color="auto" w:fill="auto"/>
            <w:vAlign w:val="center"/>
          </w:tcPr>
          <w:p w:rsidR="0020268E" w:rsidRPr="002D4988" w:rsidRDefault="0020268E" w:rsidP="0020268E">
            <w:pPr>
              <w:jc w:val="right"/>
              <w:rPr>
                <w:rFonts w:ascii="Arial Narrow" w:eastAsiaTheme="minorEastAsia" w:hAnsi="Arial Narrow"/>
                <w:iCs/>
                <w:snapToGrid w:val="0"/>
                <w:sz w:val="18"/>
                <w:szCs w:val="18"/>
                <w:lang w:eastAsia="en-US"/>
              </w:rPr>
            </w:pPr>
            <w:r w:rsidRPr="002D4988">
              <w:rPr>
                <w:rFonts w:ascii="Arial Narrow" w:eastAsiaTheme="minorEastAsia" w:hAnsi="Arial Narrow"/>
                <w:snapToGrid w:val="0"/>
                <w:sz w:val="18"/>
                <w:szCs w:val="18"/>
                <w:lang w:eastAsia="en-US"/>
              </w:rPr>
              <w:t>Pooled TNFi-n</w:t>
            </w:r>
          </w:p>
        </w:tc>
        <w:tc>
          <w:tcPr>
            <w:tcW w:w="550" w:type="pct"/>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24/96 (25.0)</w:t>
            </w:r>
          </w:p>
        </w:tc>
        <w:tc>
          <w:tcPr>
            <w:tcW w:w="629" w:type="pct"/>
            <w:tcBorders>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16/107 (15.0)</w:t>
            </w:r>
          </w:p>
        </w:tc>
        <w:tc>
          <w:tcPr>
            <w:tcW w:w="708"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Cs/>
                <w:i/>
                <w:snapToGrid w:val="0"/>
                <w:sz w:val="18"/>
                <w:szCs w:val="18"/>
                <w:lang w:eastAsia="en-US"/>
              </w:rPr>
            </w:pPr>
            <w:r w:rsidRPr="002D4988">
              <w:rPr>
                <w:rFonts w:ascii="Arial Narrow" w:eastAsiaTheme="minorEastAsia" w:hAnsi="Arial Narrow"/>
                <w:bCs/>
                <w:i/>
                <w:snapToGrid w:val="0"/>
                <w:sz w:val="18"/>
                <w:szCs w:val="18"/>
                <w:lang w:eastAsia="en-US"/>
              </w:rPr>
              <w:t>1.68 (0.95, 2.95)</w:t>
            </w:r>
          </w:p>
        </w:tc>
        <w:tc>
          <w:tcPr>
            <w:tcW w:w="701"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Cs/>
                <w:i/>
                <w:snapToGrid w:val="0"/>
                <w:sz w:val="18"/>
                <w:szCs w:val="18"/>
                <w:lang w:eastAsia="en-US"/>
              </w:rPr>
            </w:pPr>
            <w:r w:rsidRPr="002D4988">
              <w:rPr>
                <w:rFonts w:ascii="Arial Narrow" w:eastAsiaTheme="minorEastAsia" w:hAnsi="Arial Narrow"/>
                <w:bCs/>
                <w:i/>
                <w:snapToGrid w:val="0"/>
                <w:sz w:val="18"/>
                <w:szCs w:val="18"/>
                <w:lang w:eastAsia="en-US"/>
              </w:rPr>
              <w:t>0.10 (-0.01, 0.21)</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NS</w:t>
            </w:r>
          </w:p>
        </w:tc>
      </w:tr>
      <w:tr w:rsidR="0020268E" w:rsidRPr="002D4988" w:rsidTr="0020268E">
        <w:trPr>
          <w:trHeight w:val="170"/>
        </w:trPr>
        <w:tc>
          <w:tcPr>
            <w:tcW w:w="1019" w:type="pct"/>
            <w:shd w:val="clear" w:color="auto" w:fill="auto"/>
            <w:vAlign w:val="center"/>
          </w:tcPr>
          <w:p w:rsidR="0020268E" w:rsidRPr="002D4988" w:rsidRDefault="0020268E" w:rsidP="0020268E">
            <w:pPr>
              <w:jc w:val="right"/>
              <w:rPr>
                <w:rFonts w:ascii="Arial Narrow" w:eastAsiaTheme="minorEastAsia" w:hAnsi="Arial Narrow"/>
                <w:iCs/>
                <w:snapToGrid w:val="0"/>
                <w:sz w:val="18"/>
                <w:szCs w:val="18"/>
                <w:lang w:eastAsia="en-US"/>
              </w:rPr>
            </w:pPr>
            <w:r w:rsidRPr="002D4988">
              <w:rPr>
                <w:rFonts w:ascii="Arial Narrow" w:eastAsiaTheme="minorEastAsia" w:hAnsi="Arial Narrow"/>
                <w:snapToGrid w:val="0"/>
                <w:sz w:val="18"/>
                <w:szCs w:val="18"/>
                <w:lang w:eastAsia="en-US"/>
              </w:rPr>
              <w:t>Pooled TNFi-e</w:t>
            </w:r>
          </w:p>
        </w:tc>
        <w:tc>
          <w:tcPr>
            <w:tcW w:w="550" w:type="pct"/>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12/60 (20.0)</w:t>
            </w:r>
          </w:p>
        </w:tc>
        <w:tc>
          <w:tcPr>
            <w:tcW w:w="629" w:type="pct"/>
            <w:tcBorders>
              <w:right w:val="single" w:sz="4" w:space="0" w:color="auto"/>
            </w:tcBorders>
            <w:shd w:val="clear" w:color="auto" w:fill="auto"/>
          </w:tcPr>
          <w:p w:rsidR="0020268E" w:rsidRPr="002D4988" w:rsidRDefault="0020268E" w:rsidP="0020268E">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2/52 (3.8)</w:t>
            </w:r>
          </w:p>
        </w:tc>
        <w:tc>
          <w:tcPr>
            <w:tcW w:w="708"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4.60 (1.06, 20.03)</w:t>
            </w:r>
          </w:p>
        </w:tc>
        <w:tc>
          <w:tcPr>
            <w:tcW w:w="701"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0.16 (0.05, 0.28)</w:t>
            </w: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6 (4, 20)</w:t>
            </w:r>
          </w:p>
        </w:tc>
      </w:tr>
      <w:tr w:rsidR="0020268E" w:rsidRPr="002D4988" w:rsidTr="0020268E">
        <w:trPr>
          <w:trHeight w:val="70"/>
        </w:trPr>
        <w:tc>
          <w:tcPr>
            <w:tcW w:w="2198" w:type="pct"/>
            <w:gridSpan w:val="3"/>
            <w:tcBorders>
              <w:right w:val="single" w:sz="4" w:space="0" w:color="auto"/>
            </w:tcBorders>
            <w:shd w:val="clear" w:color="auto" w:fill="auto"/>
            <w:vAlign w:val="center"/>
          </w:tcPr>
          <w:p w:rsidR="0020268E" w:rsidRPr="002D4988" w:rsidRDefault="0020268E" w:rsidP="0020268E">
            <w:pPr>
              <w:jc w:val="right"/>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Indirect comparisons ITT</w:t>
            </w:r>
          </w:p>
        </w:tc>
        <w:tc>
          <w:tcPr>
            <w:tcW w:w="708"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8"/>
                <w:szCs w:val="18"/>
                <w:lang w:eastAsia="en-US"/>
              </w:rPr>
            </w:pPr>
          </w:p>
        </w:tc>
        <w:tc>
          <w:tcPr>
            <w:tcW w:w="701" w:type="pct"/>
            <w:tcBorders>
              <w:top w:val="nil"/>
              <w:left w:val="single" w:sz="4" w:space="0" w:color="auto"/>
              <w:bottom w:val="nil"/>
              <w:right w:val="nil"/>
            </w:tcBorders>
            <w:shd w:val="clear" w:color="auto" w:fill="auto"/>
            <w:vAlign w:val="center"/>
          </w:tcPr>
          <w:p w:rsidR="0020268E" w:rsidRPr="002D4988" w:rsidRDefault="0020268E" w:rsidP="0020268E">
            <w:pPr>
              <w:jc w:val="center"/>
              <w:rPr>
                <w:rFonts w:ascii="Arial Narrow" w:eastAsiaTheme="minorEastAsia" w:hAnsi="Arial Narrow"/>
                <w:i/>
                <w:snapToGrid w:val="0"/>
                <w:sz w:val="18"/>
                <w:szCs w:val="18"/>
                <w:lang w:eastAsia="en-US"/>
              </w:rPr>
            </w:pPr>
          </w:p>
        </w:tc>
        <w:tc>
          <w:tcPr>
            <w:tcW w:w="950" w:type="pct"/>
            <w:vMerge/>
            <w:tcBorders>
              <w:left w:val="nil"/>
              <w:right w:val="single" w:sz="4" w:space="0" w:color="auto"/>
            </w:tcBorders>
          </w:tcPr>
          <w:p w:rsidR="0020268E" w:rsidRPr="002D4988"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vAlign w:val="center"/>
          </w:tcPr>
          <w:p w:rsidR="0020268E" w:rsidRPr="002D4988" w:rsidRDefault="0020268E" w:rsidP="0020268E">
            <w:pPr>
              <w:jc w:val="center"/>
              <w:rPr>
                <w:rFonts w:ascii="Arial Narrow" w:eastAsiaTheme="minorEastAsia" w:hAnsi="Arial Narrow"/>
                <w:i/>
                <w:snapToGrid w:val="0"/>
                <w:sz w:val="16"/>
                <w:szCs w:val="16"/>
                <w:lang w:eastAsia="en-US"/>
              </w:rPr>
            </w:pP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5mg v GOL (Meta)</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1.37 (0.28, 6.67)</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-0.10 (-0.41, 0.21)</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10mg v GOL (Meta)</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1.56 (0.32, 7.61)</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-0.07 (-0.38, 0.24)</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 5/10mg (Pooled) v GOL (Meta)</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1.46 (0.30, 7.06)</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-0.08 (-0.39, 0.23)</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5mg v VDZ (ITT)</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iCs/>
                <w:snapToGrid w:val="0"/>
                <w:sz w:val="18"/>
                <w:szCs w:val="18"/>
                <w:lang w:eastAsia="en-US"/>
              </w:rPr>
            </w:pPr>
            <w:r w:rsidRPr="00E91861">
              <w:rPr>
                <w:rFonts w:ascii="Arial Narrow" w:eastAsiaTheme="minorEastAsia" w:hAnsi="Arial Narrow"/>
                <w:i/>
                <w:iCs/>
                <w:snapToGrid w:val="0"/>
                <w:sz w:val="18"/>
                <w:szCs w:val="18"/>
                <w:lang w:eastAsia="en-US"/>
              </w:rPr>
              <w:t>2.04 (0.90, 4.60)</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iCs/>
                <w:snapToGrid w:val="0"/>
                <w:sz w:val="18"/>
                <w:szCs w:val="18"/>
                <w:lang w:eastAsia="en-US"/>
              </w:rPr>
            </w:pPr>
            <w:r w:rsidRPr="00E91861">
              <w:rPr>
                <w:rFonts w:ascii="Arial Narrow" w:eastAsiaTheme="minorEastAsia" w:hAnsi="Arial Narrow"/>
                <w:i/>
                <w:iCs/>
                <w:snapToGrid w:val="0"/>
                <w:sz w:val="18"/>
                <w:szCs w:val="18"/>
                <w:lang w:eastAsia="en-US"/>
              </w:rPr>
              <w:t>0.06 (-0.04, 0.15)</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10mg v VDZ (ITT)</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b/>
                <w:i/>
                <w:iCs/>
                <w:snapToGrid w:val="0"/>
                <w:sz w:val="18"/>
                <w:szCs w:val="18"/>
                <w:lang w:eastAsia="en-US"/>
              </w:rPr>
            </w:pPr>
            <w:r w:rsidRPr="00E91861">
              <w:rPr>
                <w:rFonts w:ascii="Arial Narrow" w:eastAsiaTheme="minorEastAsia" w:hAnsi="Arial Narrow"/>
                <w:b/>
                <w:i/>
                <w:iCs/>
                <w:snapToGrid w:val="0"/>
                <w:sz w:val="18"/>
                <w:szCs w:val="18"/>
                <w:lang w:eastAsia="en-US"/>
              </w:rPr>
              <w:t>2.33 (1.04, 5.23)</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iCs/>
                <w:snapToGrid w:val="0"/>
                <w:sz w:val="18"/>
                <w:szCs w:val="18"/>
                <w:lang w:eastAsia="en-US"/>
              </w:rPr>
            </w:pPr>
            <w:r w:rsidRPr="00E91861">
              <w:rPr>
                <w:rFonts w:ascii="Arial Narrow" w:eastAsiaTheme="minorEastAsia" w:hAnsi="Arial Narrow"/>
                <w:i/>
                <w:iCs/>
                <w:snapToGrid w:val="0"/>
                <w:sz w:val="18"/>
                <w:szCs w:val="18"/>
                <w:lang w:eastAsia="en-US"/>
              </w:rPr>
              <w:t>0.09 (-0.00, 0.18)</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243"/>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 5/10mg (Pooled) v VDZ (ITT)</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2.18 (0.99, 4.81)</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0.08 (-0.00, 0.16)</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b/>
                <w:bCs/>
                <w:iCs/>
                <w:snapToGrid w:val="0"/>
                <w:sz w:val="18"/>
                <w:szCs w:val="18"/>
                <w:lang w:eastAsia="en-US"/>
              </w:rPr>
              <w:t>Indirect comparisons, TNFi-n</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 5mg v GOL (Meta)</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1.98 (0.34, 11.58)</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-0.07 (-0.39, 0.25)</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 10mg v GOL (Meta)</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2.74 (0.47, 15.90)</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0.03 (-0.29, 0.35)</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w:t>
            </w:r>
            <w:r w:rsidR="0098240F" w:rsidRPr="00E91861">
              <w:rPr>
                <w:rFonts w:ascii="Arial Narrow" w:eastAsiaTheme="minorEastAsia" w:hAnsi="Arial Narrow"/>
                <w:i/>
                <w:snapToGrid w:val="0"/>
                <w:sz w:val="18"/>
                <w:szCs w:val="18"/>
                <w:lang w:eastAsia="en-US"/>
              </w:rPr>
              <w:t xml:space="preserve"> </w:t>
            </w:r>
            <w:r w:rsidRPr="00E91861">
              <w:rPr>
                <w:rFonts w:ascii="Arial Narrow" w:eastAsiaTheme="minorEastAsia" w:hAnsi="Arial Narrow"/>
                <w:i/>
                <w:snapToGrid w:val="0"/>
                <w:sz w:val="18"/>
                <w:szCs w:val="18"/>
                <w:lang w:eastAsia="en-US"/>
              </w:rPr>
              <w:t>5/10mg (Pooled) v GOL (Meta)</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2.34 (0.41, 13.43)</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-0.02 (-0.33, 0.29)</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 5mg v VDZ (Pooled)</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
                <w:bCs/>
                <w:i/>
                <w:snapToGrid w:val="0"/>
                <w:sz w:val="18"/>
                <w:szCs w:val="18"/>
                <w:lang w:eastAsia="en-US"/>
              </w:rPr>
              <w:t>3.80 (1.19, 12.17)</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0.10 (-0.04, 0.24)</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 10mg v VDZ (Pooled)</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b/>
                <w:bCs/>
                <w:i/>
                <w:snapToGrid w:val="0"/>
                <w:sz w:val="18"/>
                <w:szCs w:val="18"/>
                <w:lang w:eastAsia="en-US"/>
              </w:rPr>
            </w:pPr>
            <w:r w:rsidRPr="00E91861">
              <w:rPr>
                <w:rFonts w:ascii="Arial Narrow" w:eastAsiaTheme="minorEastAsia" w:hAnsi="Arial Narrow"/>
                <w:b/>
                <w:bCs/>
                <w:i/>
                <w:snapToGrid w:val="0"/>
                <w:sz w:val="18"/>
                <w:szCs w:val="18"/>
                <w:lang w:eastAsia="en-US"/>
              </w:rPr>
              <w:t>5.26 (1.66, 16.62)</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b/>
                <w:bCs/>
                <w:i/>
                <w:snapToGrid w:val="0"/>
                <w:sz w:val="18"/>
                <w:szCs w:val="18"/>
                <w:lang w:eastAsia="en-US"/>
              </w:rPr>
            </w:pPr>
            <w:r w:rsidRPr="00E91861">
              <w:rPr>
                <w:rFonts w:ascii="Arial Narrow" w:eastAsiaTheme="minorEastAsia" w:hAnsi="Arial Narrow"/>
                <w:b/>
                <w:bCs/>
                <w:i/>
                <w:snapToGrid w:val="0"/>
                <w:sz w:val="18"/>
                <w:szCs w:val="18"/>
                <w:lang w:eastAsia="en-US"/>
              </w:rPr>
              <w:t>0.20 (0.05, 0.35)</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5 (3, 20)</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 5/10mg (Pooled) v VDZ (Pooled)</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b/>
                <w:bCs/>
                <w:i/>
                <w:snapToGrid w:val="0"/>
                <w:sz w:val="18"/>
                <w:szCs w:val="18"/>
                <w:lang w:eastAsia="en-US"/>
              </w:rPr>
            </w:pPr>
            <w:r w:rsidRPr="00E91861">
              <w:rPr>
                <w:rFonts w:ascii="Arial Narrow" w:eastAsiaTheme="minorEastAsia" w:hAnsi="Arial Narrow"/>
                <w:b/>
                <w:bCs/>
                <w:i/>
                <w:snapToGrid w:val="0"/>
                <w:sz w:val="18"/>
                <w:szCs w:val="18"/>
                <w:lang w:eastAsia="en-US"/>
              </w:rPr>
              <w:t>4.48 (1.44, 13.98)</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b/>
                <w:bCs/>
                <w:i/>
                <w:snapToGrid w:val="0"/>
                <w:sz w:val="18"/>
                <w:szCs w:val="18"/>
                <w:lang w:eastAsia="en-US"/>
              </w:rPr>
            </w:pPr>
            <w:r w:rsidRPr="00E91861">
              <w:rPr>
                <w:rFonts w:ascii="Arial Narrow" w:eastAsiaTheme="minorEastAsia" w:hAnsi="Arial Narrow"/>
                <w:b/>
                <w:bCs/>
                <w:i/>
                <w:snapToGrid w:val="0"/>
                <w:sz w:val="18"/>
                <w:szCs w:val="18"/>
                <w:lang w:eastAsia="en-US"/>
              </w:rPr>
              <w:t>0.15 (0.02, 0.28)</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7 (4, 50)</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iCs/>
                <w:snapToGrid w:val="0"/>
                <w:sz w:val="18"/>
                <w:szCs w:val="18"/>
                <w:lang w:eastAsia="en-US"/>
              </w:rPr>
            </w:pPr>
            <w:r w:rsidRPr="00E91861">
              <w:rPr>
                <w:rFonts w:ascii="Arial Narrow" w:eastAsiaTheme="minorEastAsia" w:hAnsi="Arial Narrow"/>
                <w:b/>
                <w:bCs/>
                <w:iCs/>
                <w:snapToGrid w:val="0"/>
                <w:sz w:val="18"/>
                <w:szCs w:val="18"/>
                <w:lang w:eastAsia="en-US"/>
              </w:rPr>
              <w:t>Indirect comparisons, TNFi-e</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b/>
                <w:bCs/>
                <w:i/>
                <w:snapToGrid w:val="0"/>
                <w:sz w:val="18"/>
                <w:szCs w:val="18"/>
                <w:lang w:eastAsia="en-US"/>
              </w:rPr>
            </w:pPr>
            <w:r w:rsidRPr="00E91861">
              <w:rPr>
                <w:rFonts w:ascii="Arial Narrow" w:eastAsiaTheme="minorEastAsia" w:hAnsi="Arial Narrow"/>
                <w:i/>
                <w:snapToGrid w:val="0"/>
                <w:sz w:val="18"/>
                <w:szCs w:val="18"/>
                <w:lang w:eastAsia="en-US"/>
              </w:rPr>
              <w:t>TOF/TNF-e-n 5mg v VDZ (Pooled)</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0.67 (0.12, 3.69)</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-0.03 (-0.18, 0.12)</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20268E">
        <w:trPr>
          <w:trHeight w:val="170"/>
        </w:trPr>
        <w:tc>
          <w:tcPr>
            <w:tcW w:w="2198" w:type="pct"/>
            <w:gridSpan w:val="3"/>
            <w:tcBorders>
              <w:right w:val="single" w:sz="4" w:space="0" w:color="auto"/>
            </w:tcBorders>
            <w:shd w:val="clear" w:color="auto" w:fill="auto"/>
            <w:vAlign w:val="center"/>
          </w:tcPr>
          <w:p w:rsidR="0020268E" w:rsidRPr="00E91861" w:rsidRDefault="0020268E" w:rsidP="0020268E">
            <w:pPr>
              <w:jc w:val="right"/>
              <w:rPr>
                <w:rFonts w:ascii="Arial Narrow" w:eastAsiaTheme="minorEastAsia" w:hAnsi="Arial Narrow"/>
                <w:b/>
                <w:bCs/>
                <w:i/>
                <w:snapToGrid w:val="0"/>
                <w:sz w:val="18"/>
                <w:szCs w:val="18"/>
                <w:lang w:eastAsia="en-US"/>
              </w:rPr>
            </w:pPr>
            <w:r w:rsidRPr="00E91861">
              <w:rPr>
                <w:rFonts w:ascii="Arial Narrow" w:eastAsiaTheme="minorEastAsia" w:hAnsi="Arial Narrow"/>
                <w:i/>
                <w:snapToGrid w:val="0"/>
                <w:sz w:val="18"/>
                <w:szCs w:val="18"/>
                <w:lang w:eastAsia="en-US"/>
              </w:rPr>
              <w:t>TOF/TNFi-e 10mg v VDZ (Pooled)</w:t>
            </w:r>
          </w:p>
        </w:tc>
        <w:tc>
          <w:tcPr>
            <w:tcW w:w="708" w:type="pct"/>
            <w:tcBorders>
              <w:top w:val="nil"/>
              <w:left w:val="single" w:sz="4" w:space="0" w:color="auto"/>
              <w:bottom w:val="nil"/>
              <w:right w:val="single" w:sz="4" w:space="0" w:color="auto"/>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0.59 (0.11, 3.29)</w:t>
            </w:r>
          </w:p>
        </w:tc>
        <w:tc>
          <w:tcPr>
            <w:tcW w:w="701" w:type="pct"/>
            <w:tcBorders>
              <w:top w:val="nil"/>
              <w:left w:val="single" w:sz="4" w:space="0" w:color="auto"/>
              <w:bottom w:val="nil"/>
              <w:right w:val="nil"/>
            </w:tcBorders>
            <w:shd w:val="clear" w:color="auto" w:fill="auto"/>
            <w:vAlign w:val="center"/>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-0.05 (-0.20, 0.10)</w:t>
            </w:r>
          </w:p>
        </w:tc>
        <w:tc>
          <w:tcPr>
            <w:tcW w:w="950" w:type="pct"/>
            <w:vMerge/>
            <w:tcBorders>
              <w:left w:val="nil"/>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0268E" w:rsidRPr="002D4988" w:rsidTr="00CE03B4">
        <w:trPr>
          <w:trHeight w:val="170"/>
        </w:trPr>
        <w:tc>
          <w:tcPr>
            <w:tcW w:w="2198" w:type="pct"/>
            <w:gridSpan w:val="3"/>
            <w:tcBorders>
              <w:right w:val="single" w:sz="4" w:space="0" w:color="auto"/>
            </w:tcBorders>
            <w:shd w:val="clear" w:color="auto" w:fill="auto"/>
          </w:tcPr>
          <w:p w:rsidR="0020268E" w:rsidRPr="00E91861" w:rsidRDefault="0020268E" w:rsidP="0020268E">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TOF/TNFi-e 5/10mg (Pooled) v VDZ (Pooled)</w:t>
            </w:r>
          </w:p>
        </w:tc>
        <w:tc>
          <w:tcPr>
            <w:tcW w:w="708" w:type="pct"/>
            <w:tcBorders>
              <w:top w:val="nil"/>
              <w:left w:val="single" w:sz="4" w:space="0" w:color="auto"/>
              <w:bottom w:val="single" w:sz="4" w:space="0" w:color="auto"/>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0.63 (0.12, 3.40)</w:t>
            </w:r>
          </w:p>
        </w:tc>
        <w:tc>
          <w:tcPr>
            <w:tcW w:w="701" w:type="pct"/>
            <w:tcBorders>
              <w:top w:val="nil"/>
              <w:left w:val="single" w:sz="4" w:space="0" w:color="auto"/>
              <w:bottom w:val="single" w:sz="4" w:space="0" w:color="auto"/>
              <w:right w:val="nil"/>
            </w:tcBorders>
            <w:shd w:val="clear" w:color="auto" w:fill="auto"/>
          </w:tcPr>
          <w:p w:rsidR="0020268E" w:rsidRPr="00E91861" w:rsidRDefault="0020268E" w:rsidP="0020268E">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-0.04 (-0.18, 0.10)</w:t>
            </w:r>
          </w:p>
        </w:tc>
        <w:tc>
          <w:tcPr>
            <w:tcW w:w="950" w:type="pct"/>
            <w:vMerge/>
            <w:tcBorders>
              <w:left w:val="nil"/>
              <w:bottom w:val="single" w:sz="4" w:space="0" w:color="auto"/>
              <w:right w:val="single" w:sz="4" w:space="0" w:color="auto"/>
            </w:tcBorders>
          </w:tcPr>
          <w:p w:rsidR="0020268E" w:rsidRPr="00E91861" w:rsidRDefault="0020268E" w:rsidP="0020268E">
            <w:pPr>
              <w:jc w:val="center"/>
              <w:rPr>
                <w:rFonts w:ascii="Arial Narrow" w:eastAsiaTheme="minorEastAsia" w:hAnsi="Arial Narrow"/>
                <w:i/>
                <w:snapToGrid w:val="0"/>
                <w:sz w:val="16"/>
                <w:szCs w:val="16"/>
                <w:lang w:eastAsia="en-US"/>
              </w:rPr>
            </w:pPr>
          </w:p>
        </w:tc>
        <w:tc>
          <w:tcPr>
            <w:tcW w:w="443" w:type="pct"/>
            <w:tcBorders>
              <w:top w:val="nil"/>
              <w:left w:val="single" w:sz="4" w:space="0" w:color="auto"/>
              <w:bottom w:val="nil"/>
              <w:right w:val="single" w:sz="4" w:space="0" w:color="auto"/>
            </w:tcBorders>
            <w:shd w:val="clear" w:color="auto" w:fill="auto"/>
          </w:tcPr>
          <w:p w:rsidR="0020268E" w:rsidRPr="00E91861" w:rsidRDefault="0020268E" w:rsidP="0020268E">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bl>
    <w:p w:rsidR="0020268E" w:rsidRPr="002D4988" w:rsidRDefault="0020268E" w:rsidP="0020268E">
      <w:pPr>
        <w:rPr>
          <w:rFonts w:ascii="Arial Narrow" w:eastAsiaTheme="minorEastAsia" w:hAnsi="Arial Narrow"/>
          <w:bCs/>
          <w:snapToGrid w:val="0"/>
          <w:sz w:val="16"/>
          <w:szCs w:val="16"/>
          <w:lang w:eastAsia="en-US"/>
        </w:rPr>
      </w:pPr>
      <w:r w:rsidRPr="002D4988">
        <w:rPr>
          <w:rFonts w:ascii="Arial Narrow" w:eastAsiaTheme="minorEastAsia" w:hAnsi="Arial Narrow"/>
          <w:snapToGrid w:val="0"/>
          <w:sz w:val="16"/>
          <w:szCs w:val="16"/>
          <w:lang w:eastAsia="en-US"/>
        </w:rPr>
        <w:t>Source: Table 2.5.3 of March 2019 Commentary; Sandborn 2020 publication.</w:t>
      </w:r>
      <w:r w:rsidRPr="002D4988">
        <w:rPr>
          <w:rFonts w:ascii="Arial Narrow" w:eastAsiaTheme="minorEastAsia" w:hAnsi="Arial Narrow"/>
          <w:bCs/>
          <w:snapToGrid w:val="0"/>
          <w:sz w:val="16"/>
          <w:szCs w:val="16"/>
          <w:lang w:eastAsia="en-US"/>
        </w:rPr>
        <w:t xml:space="preserve"> </w:t>
      </w:r>
      <w:r w:rsidRPr="002D4988">
        <w:rPr>
          <w:rFonts w:ascii="Arial Narrow" w:eastAsiaTheme="minorEastAsia" w:hAnsi="Arial Narrow"/>
          <w:bCs/>
          <w:snapToGrid w:val="0"/>
          <w:sz w:val="16"/>
          <w:szCs w:val="18"/>
          <w:shd w:val="clear" w:color="auto" w:fill="DBE5F1" w:themeFill="accent1" w:themeFillTint="33"/>
          <w:lang w:eastAsia="en-US"/>
        </w:rPr>
        <w:t xml:space="preserve">Shaded </w:t>
      </w:r>
      <w:r w:rsidRPr="002D4988">
        <w:rPr>
          <w:rFonts w:ascii="Arial Narrow" w:eastAsiaTheme="minorEastAsia" w:hAnsi="Arial Narrow"/>
          <w:bCs/>
          <w:snapToGrid w:val="0"/>
          <w:sz w:val="16"/>
          <w:szCs w:val="18"/>
          <w:lang w:eastAsia="en-US"/>
        </w:rPr>
        <w:t xml:space="preserve">areas: data previously seen by the PBAC. </w:t>
      </w:r>
      <w:r w:rsidRPr="002D4988">
        <w:rPr>
          <w:rFonts w:ascii="Arial Narrow" w:eastAsiaTheme="minorEastAsia" w:hAnsi="Arial Narrow"/>
          <w:bCs/>
          <w:snapToGrid w:val="0"/>
          <w:sz w:val="16"/>
          <w:szCs w:val="16"/>
          <w:lang w:eastAsia="en-US"/>
        </w:rPr>
        <w:t xml:space="preserve">Italics: results estimated during the evaluation. Bold typography indicate statistically significant differences. Blue line crossing zero. </w:t>
      </w:r>
    </w:p>
    <w:p w:rsidR="00565033" w:rsidRPr="002D4988" w:rsidRDefault="0020268E" w:rsidP="0020268E">
      <w:pPr>
        <w:spacing w:after="160"/>
        <w:rPr>
          <w:rFonts w:ascii="Arial Narrow" w:hAnsi="Arial Narrow" w:cs="Calibri"/>
          <w:b/>
          <w:color w:val="000000" w:themeColor="text1"/>
          <w:sz w:val="20"/>
          <w:szCs w:val="20"/>
        </w:rPr>
      </w:pPr>
      <w:r w:rsidRPr="002D4988">
        <w:rPr>
          <w:rFonts w:ascii="Arial Narrow" w:eastAsiaTheme="minorEastAsia" w:hAnsi="Arial Narrow"/>
          <w:bCs/>
          <w:snapToGrid w:val="0"/>
          <w:sz w:val="16"/>
          <w:szCs w:val="16"/>
          <w:lang w:eastAsia="en-US"/>
        </w:rPr>
        <w:t xml:space="preserve">CI=confidence interval, GOL=golimumab, ITT=intention to treat, NNT=number needed to treat, NS=not significant, RD=risk difference, RR=risk ratio, TOF=tofacitinib, TNFi=tumour necrosis factor inhibitor, TNFi-n=TNFi naïve, VDZ=vedolizumab. </w:t>
      </w:r>
      <w:r w:rsidRPr="002D4988">
        <w:rPr>
          <w:rFonts w:ascii="Arial Narrow" w:eastAsiaTheme="minorEastAsia" w:hAnsi="Arial Narrow"/>
          <w:snapToGrid w:val="0"/>
          <w:sz w:val="16"/>
          <w:szCs w:val="18"/>
          <w:lang w:eastAsia="en-US"/>
        </w:rPr>
        <w:t>*TNFi</w:t>
      </w:r>
      <w:r w:rsidR="009979F5" w:rsidRPr="002D4988">
        <w:rPr>
          <w:rFonts w:ascii="Arial Narrow" w:eastAsiaTheme="minorEastAsia" w:hAnsi="Arial Narrow"/>
          <w:snapToGrid w:val="0"/>
          <w:sz w:val="16"/>
          <w:szCs w:val="18"/>
          <w:lang w:eastAsia="en-US"/>
        </w:rPr>
        <w:t xml:space="preserve"> </w:t>
      </w:r>
      <w:r w:rsidRPr="002D4988">
        <w:rPr>
          <w:rFonts w:ascii="Arial Narrow" w:eastAsiaTheme="minorEastAsia" w:hAnsi="Arial Narrow"/>
          <w:snapToGrid w:val="0"/>
          <w:sz w:val="16"/>
          <w:szCs w:val="18"/>
          <w:lang w:eastAsia="en-US"/>
        </w:rPr>
        <w:t>exposed+failure, TNF</w:t>
      </w:r>
      <w:r w:rsidR="009979F5" w:rsidRPr="002D4988">
        <w:rPr>
          <w:rFonts w:ascii="Arial Narrow" w:eastAsiaTheme="minorEastAsia" w:hAnsi="Arial Narrow"/>
          <w:snapToGrid w:val="0"/>
          <w:sz w:val="16"/>
          <w:szCs w:val="18"/>
          <w:lang w:eastAsia="en-US"/>
        </w:rPr>
        <w:t xml:space="preserve">i </w:t>
      </w:r>
      <w:r w:rsidRPr="002D4988">
        <w:rPr>
          <w:rFonts w:ascii="Arial Narrow" w:eastAsiaTheme="minorEastAsia" w:hAnsi="Arial Narrow"/>
          <w:snapToGrid w:val="0"/>
          <w:sz w:val="16"/>
          <w:szCs w:val="18"/>
          <w:lang w:eastAsia="en-US"/>
        </w:rPr>
        <w:t xml:space="preserve">exposed without failure were excluded. </w:t>
      </w:r>
      <w:r w:rsidRPr="002D4988">
        <w:rPr>
          <w:rFonts w:ascii="Arial Narrow" w:eastAsiaTheme="minorEastAsia" w:hAnsi="Arial Narrow"/>
          <w:b/>
          <w:bCs/>
          <w:snapToGrid w:val="0"/>
          <w:sz w:val="16"/>
          <w:szCs w:val="16"/>
          <w:lang w:eastAsia="en-US"/>
        </w:rPr>
        <w:t>*</w:t>
      </w:r>
      <w:r w:rsidRPr="002D4988">
        <w:rPr>
          <w:rFonts w:ascii="Arial Narrow" w:eastAsiaTheme="minorEastAsia" w:hAnsi="Arial Narrow"/>
          <w:bCs/>
          <w:snapToGrid w:val="0"/>
          <w:sz w:val="16"/>
          <w:szCs w:val="16"/>
          <w:lang w:eastAsia="en-US"/>
        </w:rPr>
        <w:t xml:space="preserve"> Sustained remission, as reported in the submission and OCTAVE </w:t>
      </w:r>
      <w:r w:rsidR="009979F5" w:rsidRPr="002D4988">
        <w:rPr>
          <w:rFonts w:ascii="Arial Narrow" w:eastAsiaTheme="minorEastAsia" w:hAnsi="Arial Narrow"/>
          <w:bCs/>
          <w:snapToGrid w:val="0"/>
          <w:sz w:val="16"/>
          <w:szCs w:val="16"/>
          <w:lang w:eastAsia="en-US"/>
        </w:rPr>
        <w:t>S</w:t>
      </w:r>
      <w:r w:rsidRPr="002D4988">
        <w:rPr>
          <w:rFonts w:ascii="Arial Narrow" w:eastAsiaTheme="minorEastAsia" w:hAnsi="Arial Narrow"/>
          <w:bCs/>
          <w:snapToGrid w:val="0"/>
          <w:sz w:val="16"/>
          <w:szCs w:val="16"/>
          <w:lang w:eastAsia="en-US"/>
        </w:rPr>
        <w:t xml:space="preserve">ustain </w:t>
      </w:r>
      <w:r w:rsidRPr="002D4988">
        <w:rPr>
          <w:rFonts w:ascii="Arial Narrow" w:eastAsiaTheme="minorEastAsia" w:hAnsi="Arial Narrow"/>
          <w:b/>
          <w:bCs/>
          <w:snapToGrid w:val="0"/>
          <w:sz w:val="16"/>
          <w:szCs w:val="18"/>
          <w:lang w:eastAsia="en-US"/>
        </w:rPr>
        <w:t>^</w:t>
      </w:r>
      <w:r w:rsidRPr="002D4988">
        <w:rPr>
          <w:rFonts w:ascii="Arial Narrow" w:eastAsiaTheme="minorEastAsia" w:hAnsi="Arial Narrow"/>
          <w:snapToGrid w:val="0"/>
          <w:sz w:val="16"/>
          <w:szCs w:val="18"/>
          <w:lang w:eastAsia="en-US"/>
        </w:rPr>
        <w:t xml:space="preserve">estimated during the evaluation using random effects meta-analysis using RevMan Version 5.4. </w:t>
      </w:r>
      <w:r w:rsidRPr="002D4988">
        <w:rPr>
          <w:rFonts w:ascii="Arial Narrow" w:eastAsiaTheme="minorEastAsia" w:hAnsi="Arial Narrow"/>
          <w:b/>
          <w:snapToGrid w:val="0"/>
          <w:sz w:val="18"/>
          <w:szCs w:val="18"/>
          <w:vertAlign w:val="superscript"/>
          <w:lang w:eastAsia="en-US"/>
        </w:rPr>
        <w:t xml:space="preserve">a </w:t>
      </w:r>
      <w:r w:rsidRPr="002D4988">
        <w:rPr>
          <w:rFonts w:ascii="Arial Narrow" w:eastAsiaTheme="minorEastAsia" w:hAnsi="Arial Narrow"/>
          <w:snapToGrid w:val="0"/>
          <w:sz w:val="16"/>
          <w:szCs w:val="18"/>
          <w:lang w:eastAsia="en-US"/>
        </w:rPr>
        <w:t>GEMINI measured outcomes at Week 6 for induction and Week 52 for maintenance; Motoya 2019 measured outcomes at Week 10 for induction and Week 60 for maintenance.</w:t>
      </w:r>
      <w:r w:rsidR="00D6581F" w:rsidRPr="00D6581F">
        <w:rPr>
          <w:rFonts w:ascii="Arial Narrow" w:eastAsiaTheme="minorEastAsia" w:hAnsi="Arial Narrow"/>
          <w:snapToGrid w:val="0"/>
          <w:sz w:val="15"/>
          <w:szCs w:val="15"/>
          <w:lang w:eastAsia="en-US"/>
        </w:rPr>
        <w:t xml:space="preserve"> </w:t>
      </w:r>
      <w:r w:rsidR="00D6581F" w:rsidRPr="00F655C0">
        <w:rPr>
          <w:rFonts w:ascii="Arial Narrow" w:eastAsiaTheme="minorEastAsia" w:hAnsi="Arial Narrow"/>
          <w:snapToGrid w:val="0"/>
          <w:sz w:val="15"/>
          <w:szCs w:val="15"/>
          <w:lang w:eastAsia="en-US"/>
        </w:rPr>
        <w:t># Note that the redac</w:t>
      </w:r>
      <w:r w:rsidR="00D6581F">
        <w:rPr>
          <w:rFonts w:ascii="Arial Narrow" w:eastAsiaTheme="minorEastAsia" w:hAnsi="Arial Narrow"/>
          <w:snapToGrid w:val="0"/>
          <w:sz w:val="15"/>
          <w:szCs w:val="15"/>
          <w:lang w:eastAsia="en-US"/>
        </w:rPr>
        <w:t>ted results presented in Table 7</w:t>
      </w:r>
      <w:r w:rsidR="00D6581F" w:rsidRPr="00F655C0">
        <w:rPr>
          <w:rFonts w:ascii="Arial Narrow" w:eastAsiaTheme="minorEastAsia" w:hAnsi="Arial Narrow"/>
          <w:snapToGrid w:val="0"/>
          <w:sz w:val="15"/>
          <w:szCs w:val="15"/>
          <w:lang w:eastAsia="en-US"/>
        </w:rPr>
        <w:t xml:space="preserve"> were conducted during the evaluation specifically for the purposes of informing the PBAC consideration at the March 2019 PBAC meeting.  Interpretation of the results and their application should therefore be limited to seeking to understand the basis for the PBAC outcome and should not be used for any other purpose.</w:t>
      </w:r>
    </w:p>
    <w:p w:rsidR="0082097A" w:rsidRPr="002D4988" w:rsidRDefault="0082097A">
      <w:pPr>
        <w:jc w:val="left"/>
        <w:rPr>
          <w:rFonts w:ascii="Arial Narrow" w:eastAsiaTheme="minorEastAsia" w:hAnsi="Arial Narrow"/>
          <w:b/>
          <w:snapToGrid w:val="0"/>
          <w:sz w:val="20"/>
          <w:szCs w:val="16"/>
          <w:lang w:eastAsia="en-US"/>
        </w:rPr>
      </w:pPr>
      <w:r w:rsidRPr="002D4988">
        <w:rPr>
          <w:rFonts w:ascii="Arial Narrow" w:eastAsiaTheme="minorEastAsia" w:hAnsi="Arial Narrow"/>
          <w:b/>
          <w:snapToGrid w:val="0"/>
          <w:sz w:val="20"/>
          <w:szCs w:val="16"/>
          <w:lang w:eastAsia="en-US"/>
        </w:rPr>
        <w:br w:type="page"/>
      </w:r>
    </w:p>
    <w:p w:rsidR="00565033" w:rsidRPr="002D4988" w:rsidRDefault="00565033" w:rsidP="00565033">
      <w:pPr>
        <w:rPr>
          <w:rFonts w:ascii="Arial Narrow" w:eastAsiaTheme="minorEastAsia" w:hAnsi="Arial Narrow"/>
          <w:b/>
          <w:snapToGrid w:val="0"/>
          <w:sz w:val="20"/>
          <w:szCs w:val="16"/>
          <w:lang w:eastAsia="en-US"/>
        </w:rPr>
      </w:pPr>
      <w:bookmarkStart w:id="22" w:name="_Ref53405237"/>
      <w:r w:rsidRPr="002D4988">
        <w:rPr>
          <w:rFonts w:ascii="Arial Narrow" w:eastAsiaTheme="minorEastAsia" w:hAnsi="Arial Narrow"/>
          <w:b/>
          <w:snapToGrid w:val="0"/>
          <w:sz w:val="20"/>
          <w:szCs w:val="16"/>
          <w:lang w:eastAsia="en-US"/>
        </w:rPr>
        <w:lastRenderedPageBreak/>
        <w:t xml:space="preserve">Table </w:t>
      </w:r>
      <w:r w:rsidR="00BC0889" w:rsidRPr="002D4988">
        <w:rPr>
          <w:rFonts w:ascii="Arial Narrow" w:eastAsiaTheme="minorEastAsia" w:hAnsi="Arial Narrow"/>
          <w:b/>
          <w:snapToGrid w:val="0"/>
          <w:sz w:val="20"/>
          <w:szCs w:val="16"/>
          <w:lang w:eastAsia="en-US"/>
        </w:rPr>
        <w:t>8</w:t>
      </w:r>
      <w:bookmarkEnd w:id="22"/>
      <w:r w:rsidRPr="002D4988">
        <w:rPr>
          <w:rFonts w:ascii="Arial Narrow" w:eastAsiaTheme="minorEastAsia" w:hAnsi="Arial Narrow"/>
          <w:b/>
          <w:snapToGrid w:val="0"/>
          <w:sz w:val="20"/>
          <w:szCs w:val="16"/>
          <w:lang w:eastAsia="en-US"/>
        </w:rPr>
        <w:t>: Sustained Clinical response at 52/54/60 Weeks – maintenance therapy (relevant arms only)</w:t>
      </w:r>
      <w:r w:rsidR="00D6581F">
        <w:rPr>
          <w:rFonts w:ascii="Arial Narrow" w:eastAsiaTheme="minorEastAsia" w:hAnsi="Arial Narrow"/>
          <w:b/>
          <w:snapToGrid w:val="0"/>
          <w:sz w:val="20"/>
          <w:szCs w:val="16"/>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0A0" w:firstRow="1" w:lastRow="0" w:firstColumn="1" w:lastColumn="0" w:noHBand="0" w:noVBand="0"/>
      </w:tblPr>
      <w:tblGrid>
        <w:gridCol w:w="1812"/>
        <w:gridCol w:w="1392"/>
        <w:gridCol w:w="1392"/>
        <w:gridCol w:w="1252"/>
        <w:gridCol w:w="1252"/>
        <w:gridCol w:w="1286"/>
        <w:gridCol w:w="631"/>
      </w:tblGrid>
      <w:tr w:rsidR="006E1995" w:rsidRPr="002D4988" w:rsidTr="006E1995">
        <w:trPr>
          <w:trHeight w:val="112"/>
        </w:trPr>
        <w:tc>
          <w:tcPr>
            <w:tcW w:w="1005" w:type="pct"/>
            <w:tcBorders>
              <w:bottom w:val="single" w:sz="4" w:space="0" w:color="auto"/>
              <w:right w:val="single" w:sz="4" w:space="0" w:color="auto"/>
            </w:tcBorders>
            <w:shd w:val="clear" w:color="auto" w:fill="auto"/>
            <w:vAlign w:val="center"/>
          </w:tcPr>
          <w:p w:rsidR="006E1995" w:rsidRPr="002D4988" w:rsidRDefault="006E1995" w:rsidP="00FD3FB1">
            <w:pPr>
              <w:jc w:val="left"/>
              <w:rPr>
                <w:rFonts w:ascii="Arial Narrow" w:eastAsiaTheme="minorEastAsia" w:hAnsi="Arial Narrow"/>
                <w:b/>
                <w:snapToGrid w:val="0"/>
                <w:sz w:val="18"/>
                <w:szCs w:val="18"/>
                <w:lang w:eastAsia="en-US"/>
              </w:rPr>
            </w:pPr>
            <w:r w:rsidRPr="002D4988">
              <w:rPr>
                <w:rFonts w:ascii="Arial Narrow" w:eastAsiaTheme="minorEastAsia" w:hAnsi="Arial Narrow"/>
                <w:b/>
                <w:bCs/>
                <w:iCs/>
                <w:snapToGrid w:val="0"/>
                <w:sz w:val="18"/>
                <w:szCs w:val="18"/>
                <w:lang w:eastAsia="en-US"/>
              </w:rPr>
              <w:t>Trial</w:t>
            </w:r>
          </w:p>
        </w:tc>
        <w:tc>
          <w:tcPr>
            <w:tcW w:w="772" w:type="pct"/>
            <w:tcBorders>
              <w:bottom w:val="single" w:sz="4" w:space="0" w:color="auto"/>
              <w:right w:val="single" w:sz="4" w:space="0" w:color="auto"/>
            </w:tcBorders>
            <w:shd w:val="clear" w:color="auto" w:fill="auto"/>
            <w:vAlign w:val="center"/>
          </w:tcPr>
          <w:p w:rsidR="006E1995" w:rsidRPr="002D4988" w:rsidRDefault="006E1995" w:rsidP="00FD3FB1">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Drug</w:t>
            </w:r>
          </w:p>
          <w:p w:rsidR="006E1995" w:rsidRPr="002D4988" w:rsidRDefault="006E1995" w:rsidP="00FD3FB1">
            <w:pPr>
              <w:jc w:val="center"/>
              <w:rPr>
                <w:rFonts w:ascii="Arial Narrow" w:eastAsiaTheme="minorEastAsia" w:hAnsi="Arial Narrow"/>
                <w:b/>
                <w:snapToGrid w:val="0"/>
                <w:sz w:val="18"/>
                <w:szCs w:val="18"/>
                <w:lang w:eastAsia="en-US"/>
              </w:rPr>
            </w:pPr>
            <w:r w:rsidRPr="002D4988">
              <w:rPr>
                <w:rFonts w:ascii="Arial Narrow" w:eastAsiaTheme="minorEastAsia" w:hAnsi="Arial Narrow"/>
                <w:b/>
                <w:bCs/>
                <w:iCs/>
                <w:snapToGrid w:val="0"/>
                <w:sz w:val="18"/>
                <w:szCs w:val="18"/>
                <w:lang w:eastAsia="en-US"/>
              </w:rPr>
              <w:t>n/N (%)</w:t>
            </w:r>
          </w:p>
        </w:tc>
        <w:tc>
          <w:tcPr>
            <w:tcW w:w="772" w:type="pct"/>
            <w:tcBorders>
              <w:bottom w:val="single" w:sz="4" w:space="0" w:color="auto"/>
              <w:right w:val="single" w:sz="4" w:space="0" w:color="auto"/>
            </w:tcBorders>
            <w:shd w:val="clear" w:color="auto" w:fill="auto"/>
            <w:vAlign w:val="center"/>
          </w:tcPr>
          <w:p w:rsidR="006E1995" w:rsidRPr="002D4988" w:rsidRDefault="006E1995" w:rsidP="00FD3FB1">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Control</w:t>
            </w:r>
          </w:p>
          <w:p w:rsidR="006E1995" w:rsidRPr="002D4988" w:rsidRDefault="006E1995" w:rsidP="00FD3FB1">
            <w:pPr>
              <w:jc w:val="center"/>
              <w:rPr>
                <w:rFonts w:ascii="Arial Narrow" w:eastAsiaTheme="minorEastAsia" w:hAnsi="Arial Narrow"/>
                <w:b/>
                <w:snapToGrid w:val="0"/>
                <w:sz w:val="18"/>
                <w:szCs w:val="18"/>
                <w:lang w:eastAsia="en-US"/>
              </w:rPr>
            </w:pPr>
            <w:r w:rsidRPr="002D4988">
              <w:rPr>
                <w:rFonts w:ascii="Arial Narrow" w:eastAsiaTheme="minorEastAsia" w:hAnsi="Arial Narrow"/>
                <w:b/>
                <w:bCs/>
                <w:iCs/>
                <w:snapToGrid w:val="0"/>
                <w:sz w:val="18"/>
                <w:szCs w:val="18"/>
                <w:lang w:eastAsia="en-US"/>
              </w:rPr>
              <w:t>n/N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6E1995" w:rsidRPr="002D4988" w:rsidRDefault="006E1995" w:rsidP="00FD3FB1">
            <w:pPr>
              <w:jc w:val="center"/>
              <w:rPr>
                <w:rFonts w:ascii="Arial Narrow" w:eastAsiaTheme="minorEastAsia" w:hAnsi="Arial Narrow"/>
                <w:i/>
                <w:iCs/>
                <w:snapToGrid w:val="0"/>
                <w:sz w:val="18"/>
                <w:szCs w:val="18"/>
                <w:lang w:eastAsia="en-US"/>
              </w:rPr>
            </w:pPr>
            <w:r w:rsidRPr="002D4988">
              <w:rPr>
                <w:rFonts w:ascii="Arial Narrow" w:eastAsiaTheme="minorEastAsia" w:hAnsi="Arial Narrow"/>
                <w:b/>
                <w:bCs/>
                <w:iCs/>
                <w:snapToGrid w:val="0"/>
                <w:sz w:val="18"/>
                <w:szCs w:val="18"/>
                <w:lang w:eastAsia="en-US"/>
              </w:rPr>
              <w:t>RR (95% CI)^</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1995" w:rsidRPr="002D4988" w:rsidRDefault="006E1995" w:rsidP="00FD3FB1">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RD [95% CI]^</w:t>
            </w:r>
          </w:p>
        </w:tc>
        <w:tc>
          <w:tcPr>
            <w:tcW w:w="350" w:type="pct"/>
            <w:tcBorders>
              <w:left w:val="single" w:sz="4" w:space="0" w:color="auto"/>
              <w:bottom w:val="single" w:sz="4" w:space="0" w:color="auto"/>
            </w:tcBorders>
            <w:shd w:val="clear" w:color="auto" w:fill="auto"/>
            <w:vAlign w:val="center"/>
          </w:tcPr>
          <w:p w:rsidR="006E1995" w:rsidRPr="002D4988" w:rsidRDefault="006E1995" w:rsidP="00FD3FB1">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NNT</w:t>
            </w:r>
          </w:p>
          <w:p w:rsidR="006E1995" w:rsidRPr="002D4988" w:rsidRDefault="006E1995" w:rsidP="00FD3FB1">
            <w:pPr>
              <w:jc w:val="center"/>
              <w:rPr>
                <w:rFonts w:ascii="Arial Narrow" w:eastAsiaTheme="minorEastAsia" w:hAnsi="Arial Narrow"/>
                <w:i/>
                <w:iCs/>
                <w:snapToGrid w:val="0"/>
                <w:sz w:val="18"/>
                <w:szCs w:val="18"/>
                <w:lang w:eastAsia="en-US"/>
              </w:rPr>
            </w:pPr>
            <w:r w:rsidRPr="002D4988">
              <w:rPr>
                <w:rFonts w:ascii="Arial Narrow" w:eastAsiaTheme="minorEastAsia" w:hAnsi="Arial Narrow"/>
                <w:b/>
                <w:bCs/>
                <w:iCs/>
                <w:snapToGrid w:val="0"/>
                <w:sz w:val="18"/>
                <w:szCs w:val="18"/>
                <w:lang w:eastAsia="en-US"/>
              </w:rPr>
              <w:t>(95%CI)</w:t>
            </w:r>
          </w:p>
        </w:tc>
      </w:tr>
      <w:tr w:rsidR="002D7B7A" w:rsidRPr="002D4988" w:rsidTr="006E1995">
        <w:trPr>
          <w:trHeight w:val="112"/>
        </w:trPr>
        <w:tc>
          <w:tcPr>
            <w:tcW w:w="2549" w:type="pct"/>
            <w:gridSpan w:val="3"/>
            <w:tcBorders>
              <w:bottom w:val="single" w:sz="4" w:space="0" w:color="auto"/>
              <w:right w:val="single" w:sz="4" w:space="0" w:color="auto"/>
            </w:tcBorders>
            <w:shd w:val="clear" w:color="auto" w:fill="DBE5F1" w:themeFill="accent1" w:themeFillTint="33"/>
            <w:vAlign w:val="center"/>
          </w:tcPr>
          <w:p w:rsidR="002D7B7A" w:rsidRPr="002D4988" w:rsidRDefault="002D7B7A" w:rsidP="00FD3FB1">
            <w:pPr>
              <w:jc w:val="left"/>
              <w:rPr>
                <w:rFonts w:ascii="Arial Narrow" w:eastAsiaTheme="minorEastAsia" w:hAnsi="Arial Narrow"/>
                <w:b/>
                <w:bCs/>
                <w:i/>
                <w:iCs/>
                <w:snapToGrid w:val="0"/>
                <w:sz w:val="18"/>
                <w:szCs w:val="18"/>
                <w:lang w:eastAsia="en-US"/>
              </w:rPr>
            </w:pPr>
            <w:r w:rsidRPr="002D4988">
              <w:rPr>
                <w:rFonts w:ascii="Arial Narrow" w:eastAsiaTheme="minorEastAsia" w:hAnsi="Arial Narrow"/>
                <w:b/>
                <w:snapToGrid w:val="0"/>
                <w:sz w:val="18"/>
                <w:szCs w:val="18"/>
                <w:lang w:eastAsia="en-US"/>
              </w:rPr>
              <w:t>TOF v PBO (Wk 24&amp;52)</w:t>
            </w:r>
          </w:p>
        </w:tc>
        <w:tc>
          <w:tcPr>
            <w:tcW w:w="694" w:type="pct"/>
            <w:tcBorders>
              <w:top w:val="single" w:sz="4" w:space="0" w:color="auto"/>
              <w:left w:val="single" w:sz="4" w:space="0" w:color="auto"/>
              <w:bottom w:val="nil"/>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i/>
                <w:iCs/>
                <w:snapToGrid w:val="0"/>
                <w:sz w:val="18"/>
                <w:szCs w:val="18"/>
                <w:lang w:eastAsia="en-US"/>
              </w:rPr>
            </w:pPr>
          </w:p>
        </w:tc>
        <w:tc>
          <w:tcPr>
            <w:tcW w:w="694" w:type="pct"/>
            <w:tcBorders>
              <w:top w:val="single" w:sz="4" w:space="0" w:color="auto"/>
              <w:left w:val="single" w:sz="4" w:space="0" w:color="auto"/>
              <w:bottom w:val="nil"/>
              <w:right w:val="nil"/>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i/>
                <w:iCs/>
                <w:snapToGrid w:val="0"/>
                <w:sz w:val="18"/>
                <w:szCs w:val="18"/>
                <w:lang w:eastAsia="en-US"/>
              </w:rPr>
            </w:pPr>
          </w:p>
        </w:tc>
        <w:tc>
          <w:tcPr>
            <w:tcW w:w="713" w:type="pct"/>
            <w:tcBorders>
              <w:top w:val="single" w:sz="4" w:space="0" w:color="auto"/>
              <w:left w:val="nil"/>
              <w:bottom w:val="nil"/>
              <w:right w:val="single" w:sz="4" w:space="0" w:color="auto"/>
            </w:tcBorders>
          </w:tcPr>
          <w:p w:rsidR="002D7B7A" w:rsidRPr="002D4988" w:rsidRDefault="002D7B7A" w:rsidP="00FD3FB1">
            <w:pPr>
              <w:jc w:val="center"/>
              <w:rPr>
                <w:rFonts w:ascii="Arial Narrow" w:eastAsiaTheme="minorEastAsia" w:hAnsi="Arial Narrow"/>
                <w:i/>
                <w:iCs/>
                <w:snapToGrid w:val="0"/>
                <w:sz w:val="18"/>
                <w:szCs w:val="18"/>
                <w:lang w:eastAsia="en-US"/>
              </w:rPr>
            </w:pPr>
          </w:p>
        </w:tc>
        <w:tc>
          <w:tcPr>
            <w:tcW w:w="350" w:type="pct"/>
            <w:tcBorders>
              <w:top w:val="single" w:sz="4" w:space="0" w:color="auto"/>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iCs/>
                <w:snapToGrid w:val="0"/>
                <w:sz w:val="18"/>
                <w:szCs w:val="18"/>
                <w:lang w:eastAsia="en-US"/>
              </w:rPr>
            </w:pPr>
          </w:p>
        </w:tc>
      </w:tr>
      <w:tr w:rsidR="002D7B7A" w:rsidRPr="002D4988" w:rsidTr="006E1995">
        <w:trPr>
          <w:trHeight w:val="112"/>
        </w:trPr>
        <w:tc>
          <w:tcPr>
            <w:tcW w:w="1005" w:type="pct"/>
            <w:shd w:val="clear" w:color="auto" w:fill="DBE5F1" w:themeFill="accent1" w:themeFillTint="33"/>
          </w:tcPr>
          <w:p w:rsidR="002D7B7A" w:rsidRPr="002D4988" w:rsidRDefault="002D7B7A" w:rsidP="00FD3FB1">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OCTAVE S, 5mg ITT</w:t>
            </w:r>
          </w:p>
        </w:tc>
        <w:tc>
          <w:tcPr>
            <w:tcW w:w="772" w:type="pct"/>
            <w:shd w:val="clear" w:color="auto" w:fill="DBE5F1" w:themeFill="accent1" w:themeFillTint="33"/>
            <w:vAlign w:val="center"/>
          </w:tcPr>
          <w:p w:rsidR="002D7B7A" w:rsidRPr="002D4988" w:rsidRDefault="002D7B7A" w:rsidP="00FD3FB1">
            <w:pPr>
              <w:jc w:val="center"/>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97/198 (49.0)</w:t>
            </w:r>
          </w:p>
        </w:tc>
        <w:tc>
          <w:tcPr>
            <w:tcW w:w="772" w:type="pct"/>
            <w:tcBorders>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38/198 (19.2)</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2.55 (1.86, 3.51)</w:t>
            </w:r>
          </w:p>
        </w:tc>
        <w:tc>
          <w:tcPr>
            <w:tcW w:w="694" w:type="pct"/>
            <w:tcBorders>
              <w:top w:val="nil"/>
              <w:left w:val="single" w:sz="4" w:space="0" w:color="auto"/>
              <w:bottom w:val="nil"/>
              <w:right w:val="nil"/>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0.30 (0.21, 0.39)</w:t>
            </w:r>
          </w:p>
        </w:tc>
        <w:tc>
          <w:tcPr>
            <w:tcW w:w="713" w:type="pct"/>
            <w:vMerge w:val="restart"/>
            <w:tcBorders>
              <w:top w:val="nil"/>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r w:rsidRPr="002D4988">
              <w:rPr>
                <w:noProof/>
              </w:rPr>
              <w:drawing>
                <wp:inline distT="0" distB="0" distL="0" distR="0" wp14:anchorId="54579A3C" wp14:editId="3FC4D420">
                  <wp:extent cx="777240" cy="5981457"/>
                  <wp:effectExtent l="0" t="0" r="3810" b="635"/>
                  <wp:docPr id="14" name="Picture 14" title="Table 8: Sustained Clinical response at 52/54/60 Weeks – maintenance therapy (relevant arm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62" r="59564" b="1892"/>
                          <a:stretch/>
                        </pic:blipFill>
                        <pic:spPr bwMode="auto">
                          <a:xfrm>
                            <a:off x="0" y="0"/>
                            <a:ext cx="783825" cy="60321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3 (3, 5)</w:t>
            </w:r>
          </w:p>
        </w:tc>
      </w:tr>
      <w:tr w:rsidR="002D7B7A" w:rsidRPr="002D4988" w:rsidTr="006E1995">
        <w:trPr>
          <w:trHeight w:val="112"/>
        </w:trPr>
        <w:tc>
          <w:tcPr>
            <w:tcW w:w="1005" w:type="pct"/>
            <w:shd w:val="clear" w:color="auto" w:fill="DBE5F1" w:themeFill="accent1" w:themeFillTint="33"/>
          </w:tcPr>
          <w:p w:rsidR="002D7B7A" w:rsidRPr="002D4988" w:rsidRDefault="002D7B7A" w:rsidP="00FD3FB1">
            <w:pPr>
              <w:jc w:val="left"/>
              <w:rPr>
                <w:rFonts w:ascii="Arial Narrow" w:eastAsiaTheme="minorEastAsia" w:hAnsi="Arial Narrow"/>
                <w:b/>
                <w:snapToGrid w:val="0"/>
                <w:sz w:val="18"/>
                <w:szCs w:val="18"/>
                <w:lang w:eastAsia="en-US"/>
              </w:rPr>
            </w:pPr>
            <w:r w:rsidRPr="002D4988">
              <w:rPr>
                <w:rFonts w:ascii="Arial Narrow" w:eastAsiaTheme="minorEastAsia" w:hAnsi="Arial Narrow"/>
                <w:iCs/>
                <w:snapToGrid w:val="0"/>
                <w:sz w:val="18"/>
                <w:szCs w:val="18"/>
                <w:lang w:eastAsia="en-US"/>
              </w:rPr>
              <w:t>OCTAVE S, 10mg ITT</w:t>
            </w:r>
          </w:p>
        </w:tc>
        <w:tc>
          <w:tcPr>
            <w:tcW w:w="772" w:type="pct"/>
            <w:shd w:val="clear" w:color="auto" w:fill="DBE5F1" w:themeFill="accent1" w:themeFillTint="33"/>
            <w:vAlign w:val="center"/>
          </w:tcPr>
          <w:p w:rsidR="002D7B7A" w:rsidRPr="00E91861" w:rsidRDefault="002D7B7A" w:rsidP="00FD3FB1">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117/197 (59.4)</w:t>
            </w:r>
          </w:p>
        </w:tc>
        <w:tc>
          <w:tcPr>
            <w:tcW w:w="772" w:type="pct"/>
            <w:tcBorders>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38/198 (19.2)</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iCs/>
                <w:snapToGrid w:val="0"/>
                <w:sz w:val="18"/>
                <w:szCs w:val="18"/>
                <w:lang w:eastAsia="en-US"/>
              </w:rPr>
              <w:t>3.09 (2.27, 4.21)</w:t>
            </w:r>
          </w:p>
        </w:tc>
        <w:tc>
          <w:tcPr>
            <w:tcW w:w="694" w:type="pct"/>
            <w:tcBorders>
              <w:top w:val="nil"/>
              <w:left w:val="single" w:sz="4" w:space="0" w:color="auto"/>
              <w:bottom w:val="nil"/>
              <w:right w:val="nil"/>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b/>
                <w:bCs/>
                <w:iCs/>
                <w:snapToGrid w:val="0"/>
                <w:sz w:val="18"/>
                <w:szCs w:val="18"/>
                <w:lang w:eastAsia="en-US"/>
              </w:rPr>
            </w:pPr>
            <w:r w:rsidRPr="00E91861">
              <w:rPr>
                <w:rFonts w:ascii="Arial Narrow" w:eastAsiaTheme="minorEastAsia" w:hAnsi="Arial Narrow"/>
                <w:b/>
                <w:bCs/>
                <w:iCs/>
                <w:snapToGrid w:val="0"/>
                <w:sz w:val="18"/>
                <w:szCs w:val="18"/>
                <w:lang w:eastAsia="en-US"/>
              </w:rPr>
              <w:t>0.40 (0.31, 0.49)</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2.5 (2, 3)</w:t>
            </w:r>
          </w:p>
        </w:tc>
      </w:tr>
      <w:tr w:rsidR="002D7B7A" w:rsidRPr="002D4988" w:rsidTr="006E1995">
        <w:trPr>
          <w:trHeight w:val="112"/>
        </w:trPr>
        <w:tc>
          <w:tcPr>
            <w:tcW w:w="1005" w:type="pct"/>
            <w:shd w:val="clear" w:color="auto" w:fill="DBE5F1" w:themeFill="accent1" w:themeFillTint="33"/>
            <w:vAlign w:val="center"/>
          </w:tcPr>
          <w:p w:rsidR="002D7B7A" w:rsidRPr="002D4988" w:rsidRDefault="002D7B7A" w:rsidP="00FD3FB1">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OCTAVE S, 5mg TNFi-n</w:t>
            </w:r>
          </w:p>
        </w:tc>
        <w:tc>
          <w:tcPr>
            <w:tcW w:w="772" w:type="pct"/>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sz w:val="18"/>
                <w:szCs w:val="22"/>
                <w:lang w:eastAsia="en-US"/>
              </w:rPr>
            </w:pPr>
            <w:r w:rsidRPr="00E91861">
              <w:rPr>
                <w:rFonts w:ascii="Arial Narrow" w:eastAsiaTheme="minorEastAsia" w:hAnsi="Arial Narrow" w:cs="Times New Roman"/>
                <w:sz w:val="18"/>
                <w:szCs w:val="22"/>
                <w:lang w:eastAsia="en-US"/>
              </w:rPr>
              <w:t>57/108 (52.8)</w:t>
            </w:r>
          </w:p>
        </w:tc>
        <w:tc>
          <w:tcPr>
            <w:tcW w:w="772" w:type="pct"/>
            <w:tcBorders>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sz w:val="18"/>
                <w:szCs w:val="22"/>
                <w:lang w:eastAsia="en-US"/>
              </w:rPr>
            </w:pPr>
            <w:r w:rsidRPr="00E91861">
              <w:rPr>
                <w:rFonts w:ascii="Arial Narrow" w:eastAsiaTheme="minorEastAsia" w:hAnsi="Arial Narrow" w:cs="Times New Roman"/>
                <w:color w:val="000000"/>
                <w:sz w:val="18"/>
                <w:szCs w:val="22"/>
                <w:lang w:eastAsia="en-US"/>
              </w:rPr>
              <w:t>25/106 (23.6)</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b/>
                <w:bCs/>
                <w:i/>
                <w:sz w:val="18"/>
                <w:szCs w:val="22"/>
                <w:lang w:eastAsia="en-US"/>
              </w:rPr>
            </w:pPr>
            <w:r w:rsidRPr="00E91861">
              <w:rPr>
                <w:rFonts w:ascii="Arial Narrow" w:eastAsiaTheme="minorEastAsia" w:hAnsi="Arial Narrow" w:cs="Times New Roman"/>
                <w:b/>
                <w:bCs/>
                <w:sz w:val="18"/>
                <w:szCs w:val="22"/>
                <w:lang w:eastAsia="en-US"/>
              </w:rPr>
              <w:t>2.24 (1.52, 3.29)</w:t>
            </w:r>
          </w:p>
        </w:tc>
        <w:tc>
          <w:tcPr>
            <w:tcW w:w="694" w:type="pct"/>
            <w:tcBorders>
              <w:top w:val="nil"/>
              <w:left w:val="single" w:sz="4" w:space="0" w:color="auto"/>
              <w:bottom w:val="nil"/>
              <w:right w:val="nil"/>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b/>
                <w:bCs/>
                <w:i/>
                <w:sz w:val="18"/>
                <w:szCs w:val="22"/>
                <w:lang w:eastAsia="en-US"/>
              </w:rPr>
            </w:pPr>
            <w:r w:rsidRPr="00E91861">
              <w:rPr>
                <w:rFonts w:ascii="Arial Narrow" w:eastAsiaTheme="minorEastAsia" w:hAnsi="Arial Narrow" w:cs="Times New Roman"/>
                <w:b/>
                <w:bCs/>
                <w:sz w:val="18"/>
                <w:szCs w:val="22"/>
                <w:lang w:eastAsia="en-US"/>
              </w:rPr>
              <w:t>0.29 (0.17, 0.42)</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3 (2, 6)</w:t>
            </w:r>
          </w:p>
        </w:tc>
      </w:tr>
      <w:tr w:rsidR="002D7B7A" w:rsidRPr="002D4988" w:rsidTr="006E1995">
        <w:trPr>
          <w:trHeight w:val="112"/>
        </w:trPr>
        <w:tc>
          <w:tcPr>
            <w:tcW w:w="1005" w:type="pct"/>
            <w:shd w:val="clear" w:color="auto" w:fill="DBE5F1" w:themeFill="accent1" w:themeFillTint="33"/>
            <w:vAlign w:val="center"/>
          </w:tcPr>
          <w:p w:rsidR="002D7B7A" w:rsidRPr="002D4988" w:rsidRDefault="002D7B7A" w:rsidP="00FD3FB1">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OCTAVE S, 5mg TNFi-e</w:t>
            </w:r>
          </w:p>
        </w:tc>
        <w:tc>
          <w:tcPr>
            <w:tcW w:w="772" w:type="pct"/>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sz w:val="18"/>
                <w:szCs w:val="22"/>
                <w:lang w:eastAsia="en-US"/>
              </w:rPr>
            </w:pPr>
            <w:r w:rsidRPr="00E91861">
              <w:rPr>
                <w:rFonts w:ascii="Arial Narrow" w:eastAsiaTheme="minorEastAsia" w:hAnsi="Arial Narrow" w:cs="Times New Roman"/>
                <w:sz w:val="18"/>
                <w:szCs w:val="18"/>
                <w:lang w:eastAsia="en-US"/>
              </w:rPr>
              <w:t>40/90 (44.4)</w:t>
            </w:r>
          </w:p>
        </w:tc>
        <w:tc>
          <w:tcPr>
            <w:tcW w:w="772" w:type="pct"/>
            <w:tcBorders>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sz w:val="18"/>
                <w:szCs w:val="22"/>
                <w:lang w:eastAsia="en-US"/>
              </w:rPr>
            </w:pPr>
            <w:r w:rsidRPr="00E91861">
              <w:rPr>
                <w:rFonts w:ascii="Arial Narrow" w:eastAsiaTheme="minorEastAsia" w:hAnsi="Arial Narrow" w:cs="Times New Roman"/>
                <w:color w:val="000000"/>
                <w:sz w:val="18"/>
                <w:szCs w:val="18"/>
                <w:lang w:eastAsia="en-US"/>
              </w:rPr>
              <w:t>13/92 (14.1)</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b/>
                <w:bCs/>
                <w:i/>
                <w:sz w:val="18"/>
                <w:szCs w:val="22"/>
                <w:lang w:eastAsia="en-US"/>
              </w:rPr>
            </w:pPr>
            <w:r w:rsidRPr="00E91861">
              <w:rPr>
                <w:rFonts w:ascii="Arial Narrow" w:eastAsiaTheme="minorEastAsia" w:hAnsi="Arial Narrow" w:cs="Times New Roman"/>
                <w:b/>
                <w:bCs/>
                <w:sz w:val="18"/>
                <w:szCs w:val="22"/>
                <w:lang w:eastAsia="en-US"/>
              </w:rPr>
              <w:t>3.15 (1.81, 5.47)</w:t>
            </w:r>
          </w:p>
        </w:tc>
        <w:tc>
          <w:tcPr>
            <w:tcW w:w="694" w:type="pct"/>
            <w:tcBorders>
              <w:top w:val="nil"/>
              <w:left w:val="single" w:sz="4" w:space="0" w:color="auto"/>
              <w:bottom w:val="nil"/>
              <w:right w:val="nil"/>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b/>
                <w:bCs/>
                <w:i/>
                <w:sz w:val="18"/>
                <w:szCs w:val="22"/>
                <w:lang w:eastAsia="en-US"/>
              </w:rPr>
            </w:pPr>
            <w:r w:rsidRPr="00E91861">
              <w:rPr>
                <w:rFonts w:ascii="Arial Narrow" w:eastAsiaTheme="minorEastAsia" w:hAnsi="Arial Narrow" w:cs="Times New Roman"/>
                <w:b/>
                <w:bCs/>
                <w:sz w:val="18"/>
                <w:szCs w:val="22"/>
                <w:lang w:eastAsia="en-US"/>
              </w:rPr>
              <w:t>0.30 (0.18, 0.43)</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cs="Times New Roman"/>
                <w:i/>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cs="Times New Roman"/>
                <w:i/>
                <w:sz w:val="16"/>
                <w:szCs w:val="16"/>
                <w:lang w:eastAsia="en-US"/>
              </w:rPr>
            </w:pPr>
            <w:r w:rsidRPr="00E91861">
              <w:rPr>
                <w:rFonts w:ascii="Arial Narrow" w:eastAsiaTheme="minorEastAsia" w:hAnsi="Arial Narrow" w:cs="Times New Roman"/>
                <w:i/>
                <w:sz w:val="16"/>
                <w:szCs w:val="16"/>
                <w:lang w:eastAsia="en-US"/>
              </w:rPr>
              <w:t>3 (3, 4)</w:t>
            </w:r>
          </w:p>
        </w:tc>
      </w:tr>
      <w:tr w:rsidR="002D7B7A" w:rsidRPr="002D4988" w:rsidTr="006E1995">
        <w:trPr>
          <w:trHeight w:val="112"/>
        </w:trPr>
        <w:tc>
          <w:tcPr>
            <w:tcW w:w="1005" w:type="pct"/>
            <w:shd w:val="clear" w:color="auto" w:fill="DBE5F1" w:themeFill="accent1" w:themeFillTint="33"/>
            <w:vAlign w:val="center"/>
          </w:tcPr>
          <w:p w:rsidR="002D7B7A" w:rsidRPr="002D4988" w:rsidRDefault="002D7B7A" w:rsidP="00FD3FB1">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OCTAVE S, 10mg TNFi-n</w:t>
            </w:r>
          </w:p>
        </w:tc>
        <w:tc>
          <w:tcPr>
            <w:tcW w:w="772" w:type="pct"/>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sz w:val="18"/>
                <w:szCs w:val="22"/>
                <w:lang w:eastAsia="en-US"/>
              </w:rPr>
            </w:pPr>
            <w:r w:rsidRPr="00E91861">
              <w:rPr>
                <w:rFonts w:ascii="Arial Narrow" w:eastAsiaTheme="minorEastAsia" w:hAnsi="Arial Narrow" w:cs="Times New Roman"/>
                <w:sz w:val="18"/>
                <w:szCs w:val="22"/>
                <w:lang w:eastAsia="en-US"/>
              </w:rPr>
              <w:t>60/96 (62.5)</w:t>
            </w:r>
          </w:p>
        </w:tc>
        <w:tc>
          <w:tcPr>
            <w:tcW w:w="772" w:type="pct"/>
            <w:tcBorders>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sz w:val="18"/>
                <w:szCs w:val="22"/>
                <w:lang w:eastAsia="en-US"/>
              </w:rPr>
            </w:pPr>
            <w:r w:rsidRPr="00E91861">
              <w:rPr>
                <w:rFonts w:ascii="Arial Narrow" w:eastAsiaTheme="minorEastAsia" w:hAnsi="Arial Narrow" w:cs="Times New Roman"/>
                <w:color w:val="000000"/>
                <w:sz w:val="18"/>
                <w:szCs w:val="18"/>
                <w:lang w:eastAsia="en-US"/>
              </w:rPr>
              <w:t>25/106 (23.6)</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b/>
                <w:bCs/>
                <w:i/>
                <w:sz w:val="18"/>
                <w:szCs w:val="22"/>
                <w:lang w:eastAsia="en-US"/>
              </w:rPr>
            </w:pPr>
            <w:r w:rsidRPr="00E91861">
              <w:rPr>
                <w:rFonts w:ascii="Arial Narrow" w:eastAsiaTheme="minorEastAsia" w:hAnsi="Arial Narrow" w:cs="Times New Roman"/>
                <w:b/>
                <w:bCs/>
                <w:sz w:val="18"/>
                <w:szCs w:val="22"/>
                <w:lang w:eastAsia="en-US"/>
              </w:rPr>
              <w:t>2.65 (1.82, 3.86)</w:t>
            </w:r>
          </w:p>
        </w:tc>
        <w:tc>
          <w:tcPr>
            <w:tcW w:w="694" w:type="pct"/>
            <w:tcBorders>
              <w:top w:val="nil"/>
              <w:left w:val="single" w:sz="4" w:space="0" w:color="auto"/>
              <w:bottom w:val="nil"/>
              <w:right w:val="nil"/>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b/>
                <w:bCs/>
                <w:i/>
                <w:sz w:val="18"/>
                <w:szCs w:val="22"/>
                <w:lang w:eastAsia="en-US"/>
              </w:rPr>
            </w:pPr>
            <w:r w:rsidRPr="00E91861">
              <w:rPr>
                <w:rFonts w:ascii="Arial Narrow" w:eastAsiaTheme="minorEastAsia" w:hAnsi="Arial Narrow" w:cs="Times New Roman"/>
                <w:b/>
                <w:bCs/>
                <w:sz w:val="18"/>
                <w:szCs w:val="22"/>
                <w:lang w:eastAsia="en-US"/>
              </w:rPr>
              <w:t>0.39 (0.26, 0.52)</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cs="Times New Roman"/>
                <w:i/>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cs="Times New Roman"/>
                <w:i/>
                <w:sz w:val="16"/>
                <w:szCs w:val="16"/>
                <w:lang w:eastAsia="en-US"/>
              </w:rPr>
            </w:pPr>
            <w:r w:rsidRPr="00E91861">
              <w:rPr>
                <w:rFonts w:ascii="Arial Narrow" w:eastAsiaTheme="minorEastAsia" w:hAnsi="Arial Narrow" w:cs="Times New Roman"/>
                <w:i/>
                <w:sz w:val="16"/>
                <w:szCs w:val="16"/>
                <w:lang w:eastAsia="en-US"/>
              </w:rPr>
              <w:t>3 (2, 4)</w:t>
            </w:r>
          </w:p>
        </w:tc>
      </w:tr>
      <w:tr w:rsidR="002D7B7A" w:rsidRPr="002D4988" w:rsidTr="006E1995">
        <w:trPr>
          <w:trHeight w:val="112"/>
        </w:trPr>
        <w:tc>
          <w:tcPr>
            <w:tcW w:w="1005" w:type="pct"/>
            <w:shd w:val="clear" w:color="auto" w:fill="DBE5F1" w:themeFill="accent1" w:themeFillTint="33"/>
            <w:vAlign w:val="center"/>
          </w:tcPr>
          <w:p w:rsidR="002D7B7A" w:rsidRPr="002D4988" w:rsidRDefault="002D7B7A" w:rsidP="00FD3FB1">
            <w:pPr>
              <w:jc w:val="left"/>
              <w:rPr>
                <w:rFonts w:ascii="Arial Narrow" w:eastAsiaTheme="minorEastAsia" w:hAnsi="Arial Narrow" w:cs="Times New Roman"/>
                <w:sz w:val="18"/>
                <w:szCs w:val="22"/>
                <w:lang w:eastAsia="en-US"/>
              </w:rPr>
            </w:pPr>
            <w:r w:rsidRPr="002D4988">
              <w:rPr>
                <w:rFonts w:ascii="Arial Narrow" w:eastAsiaTheme="minorEastAsia" w:hAnsi="Arial Narrow" w:cs="Times New Roman"/>
                <w:sz w:val="18"/>
                <w:szCs w:val="22"/>
                <w:lang w:eastAsia="en-US"/>
              </w:rPr>
              <w:t>OCTAVE S, 10mg TNFi-e</w:t>
            </w:r>
          </w:p>
        </w:tc>
        <w:tc>
          <w:tcPr>
            <w:tcW w:w="772" w:type="pct"/>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sz w:val="18"/>
                <w:szCs w:val="22"/>
                <w:lang w:eastAsia="en-US"/>
              </w:rPr>
            </w:pPr>
            <w:r w:rsidRPr="00E91861">
              <w:rPr>
                <w:rFonts w:ascii="Arial Narrow" w:eastAsiaTheme="minorEastAsia" w:hAnsi="Arial Narrow" w:cs="Times New Roman"/>
                <w:color w:val="000000"/>
                <w:sz w:val="18"/>
                <w:szCs w:val="18"/>
                <w:lang w:eastAsia="en-US"/>
              </w:rPr>
              <w:t>57/101 (56.4)</w:t>
            </w:r>
          </w:p>
        </w:tc>
        <w:tc>
          <w:tcPr>
            <w:tcW w:w="772" w:type="pct"/>
            <w:tcBorders>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sz w:val="18"/>
                <w:szCs w:val="22"/>
                <w:lang w:eastAsia="en-US"/>
              </w:rPr>
            </w:pPr>
            <w:r w:rsidRPr="00E91861">
              <w:rPr>
                <w:rFonts w:ascii="Arial Narrow" w:eastAsiaTheme="minorEastAsia" w:hAnsi="Arial Narrow" w:cs="Times New Roman"/>
                <w:color w:val="000000"/>
                <w:sz w:val="18"/>
                <w:szCs w:val="18"/>
                <w:lang w:eastAsia="en-US"/>
              </w:rPr>
              <w:t>13/92 (14.1)</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b/>
                <w:bCs/>
                <w:i/>
                <w:sz w:val="18"/>
                <w:szCs w:val="22"/>
                <w:lang w:eastAsia="en-US"/>
              </w:rPr>
            </w:pPr>
            <w:r w:rsidRPr="00E91861">
              <w:rPr>
                <w:rFonts w:ascii="Arial Narrow" w:eastAsiaTheme="minorEastAsia" w:hAnsi="Arial Narrow" w:cs="Times New Roman"/>
                <w:b/>
                <w:bCs/>
                <w:sz w:val="18"/>
                <w:szCs w:val="22"/>
                <w:lang w:eastAsia="en-US"/>
              </w:rPr>
              <w:t>3.99 (2.35, 6.80)</w:t>
            </w:r>
          </w:p>
        </w:tc>
        <w:tc>
          <w:tcPr>
            <w:tcW w:w="694" w:type="pct"/>
            <w:tcBorders>
              <w:top w:val="nil"/>
              <w:left w:val="single" w:sz="4" w:space="0" w:color="auto"/>
              <w:bottom w:val="nil"/>
              <w:right w:val="nil"/>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cs="Times New Roman"/>
                <w:b/>
                <w:bCs/>
                <w:i/>
                <w:sz w:val="18"/>
                <w:szCs w:val="22"/>
                <w:lang w:eastAsia="en-US"/>
              </w:rPr>
            </w:pPr>
            <w:r w:rsidRPr="00E91861">
              <w:rPr>
                <w:rFonts w:ascii="Arial Narrow" w:eastAsiaTheme="minorEastAsia" w:hAnsi="Arial Narrow" w:cs="Times New Roman"/>
                <w:b/>
                <w:bCs/>
                <w:sz w:val="18"/>
                <w:szCs w:val="22"/>
                <w:lang w:eastAsia="en-US"/>
              </w:rPr>
              <w:t>0.42 (0.30, 0.54)</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cs="Times New Roman"/>
                <w:i/>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cs="Times New Roman"/>
                <w:i/>
                <w:sz w:val="16"/>
                <w:szCs w:val="16"/>
                <w:lang w:eastAsia="en-US"/>
              </w:rPr>
            </w:pPr>
            <w:r w:rsidRPr="00E91861">
              <w:rPr>
                <w:rFonts w:ascii="Arial Narrow" w:eastAsiaTheme="minorEastAsia" w:hAnsi="Arial Narrow" w:cs="Times New Roman"/>
                <w:i/>
                <w:sz w:val="16"/>
                <w:szCs w:val="16"/>
                <w:lang w:eastAsia="en-US"/>
              </w:rPr>
              <w:t>2 (2, 3)</w:t>
            </w:r>
          </w:p>
        </w:tc>
      </w:tr>
      <w:tr w:rsidR="002D7B7A" w:rsidRPr="002D4988" w:rsidTr="006E1995">
        <w:trPr>
          <w:trHeight w:val="112"/>
        </w:trPr>
        <w:tc>
          <w:tcPr>
            <w:tcW w:w="1005" w:type="pct"/>
            <w:shd w:val="clear" w:color="auto" w:fill="DBE5F1" w:themeFill="accent1" w:themeFillTint="33"/>
            <w:vAlign w:val="center"/>
          </w:tcPr>
          <w:p w:rsidR="002D7B7A" w:rsidRPr="002D4988" w:rsidRDefault="002D7B7A" w:rsidP="00FD3FB1">
            <w:pPr>
              <w:jc w:val="right"/>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Pooled 5/10mg ITT</w:t>
            </w:r>
          </w:p>
        </w:tc>
        <w:tc>
          <w:tcPr>
            <w:tcW w:w="772" w:type="pct"/>
            <w:shd w:val="clear" w:color="auto" w:fill="DBE5F1" w:themeFill="accent1" w:themeFillTint="33"/>
            <w:vAlign w:val="center"/>
          </w:tcPr>
          <w:p w:rsidR="002D7B7A" w:rsidRPr="00E91861" w:rsidRDefault="002D7B7A" w:rsidP="00FD3FB1">
            <w:pPr>
              <w:jc w:val="center"/>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214/395 (54.2)</w:t>
            </w:r>
          </w:p>
        </w:tc>
        <w:tc>
          <w:tcPr>
            <w:tcW w:w="772" w:type="pct"/>
            <w:tcBorders>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snapToGrid w:val="0"/>
                <w:sz w:val="18"/>
                <w:szCs w:val="18"/>
                <w:lang w:eastAsia="en-US"/>
              </w:rPr>
            </w:pPr>
            <w:r w:rsidRPr="00E91861">
              <w:rPr>
                <w:rFonts w:ascii="Arial Narrow" w:eastAsiaTheme="minorEastAsia" w:hAnsi="Arial Narrow"/>
                <w:iCs/>
                <w:snapToGrid w:val="0"/>
                <w:sz w:val="18"/>
                <w:szCs w:val="18"/>
                <w:lang w:eastAsia="en-US"/>
              </w:rPr>
              <w:t>38/198 (19.2)</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2.82 (2.09, 3.81)</w:t>
            </w:r>
          </w:p>
        </w:tc>
        <w:tc>
          <w:tcPr>
            <w:tcW w:w="694" w:type="pct"/>
            <w:tcBorders>
              <w:top w:val="nil"/>
              <w:left w:val="single" w:sz="4" w:space="0" w:color="auto"/>
              <w:bottom w:val="nil"/>
              <w:right w:val="nil"/>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0.35 (0.28, 0.42)</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3 (2, 4)</w:t>
            </w:r>
          </w:p>
        </w:tc>
      </w:tr>
      <w:tr w:rsidR="002D7B7A" w:rsidRPr="002D4988" w:rsidTr="006E1995">
        <w:trPr>
          <w:trHeight w:val="112"/>
        </w:trPr>
        <w:tc>
          <w:tcPr>
            <w:tcW w:w="1005" w:type="pct"/>
            <w:shd w:val="clear" w:color="auto" w:fill="DBE5F1" w:themeFill="accent1" w:themeFillTint="33"/>
            <w:vAlign w:val="center"/>
          </w:tcPr>
          <w:p w:rsidR="002D7B7A" w:rsidRPr="002D4988" w:rsidRDefault="002D7B7A" w:rsidP="00FD3FB1">
            <w:pPr>
              <w:jc w:val="right"/>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Pooled 5/10mg TNFi-n</w:t>
            </w:r>
          </w:p>
        </w:tc>
        <w:tc>
          <w:tcPr>
            <w:tcW w:w="772" w:type="pct"/>
            <w:shd w:val="clear" w:color="auto" w:fill="DBE5F1" w:themeFill="accent1" w:themeFillTint="33"/>
            <w:vAlign w:val="center"/>
          </w:tcPr>
          <w:p w:rsidR="002D7B7A" w:rsidRPr="00E91861" w:rsidRDefault="002D7B7A" w:rsidP="00FD3FB1">
            <w:pPr>
              <w:jc w:val="center"/>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117/204 (57.3)</w:t>
            </w:r>
          </w:p>
        </w:tc>
        <w:tc>
          <w:tcPr>
            <w:tcW w:w="772" w:type="pct"/>
            <w:tcBorders>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25/106 (23.6)</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2.43 (1.69, 3.49)</w:t>
            </w:r>
          </w:p>
        </w:tc>
        <w:tc>
          <w:tcPr>
            <w:tcW w:w="694" w:type="pct"/>
            <w:tcBorders>
              <w:top w:val="nil"/>
              <w:left w:val="single" w:sz="4" w:space="0" w:color="auto"/>
              <w:bottom w:val="nil"/>
              <w:right w:val="nil"/>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0.34 (0.23, 0.44)</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FFFFFF" w:themeFill="background1"/>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3 (2, 4)</w:t>
            </w:r>
          </w:p>
        </w:tc>
      </w:tr>
      <w:tr w:rsidR="002D7B7A" w:rsidRPr="002D4988" w:rsidTr="006E1995">
        <w:trPr>
          <w:trHeight w:val="112"/>
        </w:trPr>
        <w:tc>
          <w:tcPr>
            <w:tcW w:w="1005" w:type="pct"/>
            <w:shd w:val="clear" w:color="auto" w:fill="DBE5F1" w:themeFill="accent1" w:themeFillTint="33"/>
            <w:vAlign w:val="center"/>
          </w:tcPr>
          <w:p w:rsidR="002D7B7A" w:rsidRPr="002D4988" w:rsidRDefault="002D7B7A" w:rsidP="00FD3FB1">
            <w:pPr>
              <w:jc w:val="right"/>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Pooled 5/10mg TNFi-e</w:t>
            </w:r>
          </w:p>
        </w:tc>
        <w:tc>
          <w:tcPr>
            <w:tcW w:w="772" w:type="pct"/>
            <w:shd w:val="clear" w:color="auto" w:fill="DBE5F1" w:themeFill="accent1" w:themeFillTint="33"/>
            <w:vAlign w:val="center"/>
          </w:tcPr>
          <w:p w:rsidR="002D7B7A" w:rsidRPr="00E91861" w:rsidRDefault="002D7B7A" w:rsidP="00FD3FB1">
            <w:pPr>
              <w:jc w:val="center"/>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97/191 (50.8)</w:t>
            </w:r>
          </w:p>
        </w:tc>
        <w:tc>
          <w:tcPr>
            <w:tcW w:w="772" w:type="pct"/>
            <w:tcBorders>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snapToGrid w:val="0"/>
                <w:sz w:val="18"/>
                <w:szCs w:val="18"/>
                <w:lang w:eastAsia="en-US"/>
              </w:rPr>
            </w:pPr>
            <w:r w:rsidRPr="00E91861">
              <w:rPr>
                <w:rFonts w:ascii="Arial Narrow" w:eastAsiaTheme="minorEastAsia" w:hAnsi="Arial Narrow"/>
                <w:snapToGrid w:val="0"/>
                <w:sz w:val="18"/>
                <w:szCs w:val="18"/>
                <w:lang w:eastAsia="en-US"/>
              </w:rPr>
              <w:t>13/92 (14.1)</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3.59 (2.13, 6.06)</w:t>
            </w:r>
          </w:p>
        </w:tc>
        <w:tc>
          <w:tcPr>
            <w:tcW w:w="694" w:type="pct"/>
            <w:tcBorders>
              <w:top w:val="nil"/>
              <w:left w:val="single" w:sz="4" w:space="0" w:color="auto"/>
              <w:bottom w:val="nil"/>
              <w:right w:val="nil"/>
            </w:tcBorders>
            <w:shd w:val="clear" w:color="auto" w:fill="DBE5F1" w:themeFill="accent1" w:themeFillTint="33"/>
            <w:vAlign w:val="center"/>
          </w:tcPr>
          <w:p w:rsidR="002D7B7A" w:rsidRPr="00E91861" w:rsidRDefault="002D7B7A" w:rsidP="00FD3FB1">
            <w:pPr>
              <w:jc w:val="center"/>
              <w:rPr>
                <w:rFonts w:ascii="Arial Narrow" w:eastAsiaTheme="minorEastAsia" w:hAnsi="Arial Narrow"/>
                <w:b/>
                <w:bCs/>
                <w:snapToGrid w:val="0"/>
                <w:sz w:val="18"/>
                <w:szCs w:val="18"/>
                <w:lang w:eastAsia="en-US"/>
              </w:rPr>
            </w:pPr>
            <w:r w:rsidRPr="00E91861">
              <w:rPr>
                <w:rFonts w:ascii="Arial Narrow" w:eastAsiaTheme="minorEastAsia" w:hAnsi="Arial Narrow"/>
                <w:b/>
                <w:bCs/>
                <w:snapToGrid w:val="0"/>
                <w:sz w:val="18"/>
                <w:szCs w:val="18"/>
                <w:lang w:eastAsia="en-US"/>
              </w:rPr>
              <w:t>0.37 (0.27, 0.47)</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3 (2, 4)</w:t>
            </w:r>
          </w:p>
        </w:tc>
      </w:tr>
      <w:tr w:rsidR="002D7B7A" w:rsidRPr="002D4988" w:rsidTr="006E1995">
        <w:trPr>
          <w:trHeight w:val="170"/>
        </w:trPr>
        <w:tc>
          <w:tcPr>
            <w:tcW w:w="2549" w:type="pct"/>
            <w:gridSpan w:val="3"/>
            <w:tcBorders>
              <w:right w:val="single" w:sz="4" w:space="0" w:color="auto"/>
            </w:tcBorders>
            <w:shd w:val="clear" w:color="auto" w:fill="DBE5F1" w:themeFill="accent1" w:themeFillTint="33"/>
            <w:vAlign w:val="center"/>
          </w:tcPr>
          <w:p w:rsidR="002D7B7A" w:rsidRPr="002D4988" w:rsidRDefault="002D7B7A" w:rsidP="00FD3FB1">
            <w:pP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GOL v PBO (Wk 30&amp;54)</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iCs/>
                <w:snapToGrid w:val="0"/>
                <w:sz w:val="18"/>
                <w:szCs w:val="18"/>
                <w:lang w:eastAsia="en-US"/>
              </w:rPr>
            </w:pPr>
          </w:p>
        </w:tc>
        <w:tc>
          <w:tcPr>
            <w:tcW w:w="694" w:type="pct"/>
            <w:tcBorders>
              <w:top w:val="nil"/>
              <w:left w:val="single" w:sz="4" w:space="0" w:color="auto"/>
              <w:bottom w:val="nil"/>
              <w:right w:val="nil"/>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iCs/>
                <w:snapToGrid w:val="0"/>
                <w:sz w:val="18"/>
                <w:szCs w:val="18"/>
                <w:lang w:eastAsia="en-US"/>
              </w:rPr>
            </w:pP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p>
        </w:tc>
      </w:tr>
      <w:tr w:rsidR="002D7B7A" w:rsidRPr="002D4988" w:rsidTr="006E1995">
        <w:trPr>
          <w:trHeight w:val="329"/>
        </w:trPr>
        <w:tc>
          <w:tcPr>
            <w:tcW w:w="1005" w:type="pct"/>
            <w:shd w:val="clear" w:color="auto" w:fill="DBE5F1" w:themeFill="accent1" w:themeFillTint="33"/>
          </w:tcPr>
          <w:p w:rsidR="002D7B7A" w:rsidRPr="002D4988" w:rsidRDefault="002D7B7A" w:rsidP="00FD3FB1">
            <w:pPr>
              <w:jc w:val="left"/>
              <w:rPr>
                <w:rFonts w:ascii="Arial Narrow" w:eastAsiaTheme="minorEastAsia" w:hAnsi="Arial Narrow"/>
                <w:b/>
                <w:bCs/>
                <w:iCs/>
                <w:snapToGrid w:val="0"/>
                <w:sz w:val="18"/>
                <w:szCs w:val="18"/>
                <w:lang w:eastAsia="en-US"/>
              </w:rPr>
            </w:pPr>
            <w:r w:rsidRPr="002D4988">
              <w:rPr>
                <w:rFonts w:ascii="Arial Narrow" w:eastAsiaTheme="minorEastAsia" w:hAnsi="Arial Narrow"/>
                <w:iCs/>
                <w:snapToGrid w:val="0"/>
                <w:sz w:val="18"/>
                <w:szCs w:val="18"/>
                <w:lang w:eastAsia="en-US"/>
              </w:rPr>
              <w:t>PURSUIT-M, ITT/TNFi-n</w:t>
            </w:r>
          </w:p>
        </w:tc>
        <w:tc>
          <w:tcPr>
            <w:tcW w:w="772" w:type="pct"/>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75/151 (49.7)</w:t>
            </w:r>
          </w:p>
        </w:tc>
        <w:tc>
          <w:tcPr>
            <w:tcW w:w="772" w:type="pct"/>
            <w:tcBorders>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48/154 (31.2)</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1.59 (1.20, 2.12)</w:t>
            </w:r>
          </w:p>
        </w:tc>
        <w:tc>
          <w:tcPr>
            <w:tcW w:w="694" w:type="pct"/>
            <w:tcBorders>
              <w:top w:val="nil"/>
              <w:left w:val="single" w:sz="4" w:space="0" w:color="auto"/>
              <w:bottom w:val="nil"/>
              <w:right w:val="nil"/>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0.19 (0.08, 0.29)</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5 (3, 12.5)</w:t>
            </w:r>
          </w:p>
        </w:tc>
      </w:tr>
      <w:tr w:rsidR="002D7B7A" w:rsidRPr="002D4988" w:rsidTr="006E1995">
        <w:trPr>
          <w:trHeight w:val="170"/>
        </w:trPr>
        <w:tc>
          <w:tcPr>
            <w:tcW w:w="1005" w:type="pct"/>
            <w:shd w:val="clear" w:color="auto" w:fill="DBE5F1" w:themeFill="accent1" w:themeFillTint="33"/>
          </w:tcPr>
          <w:p w:rsidR="002D7B7A" w:rsidRPr="002D4988" w:rsidRDefault="002D7B7A" w:rsidP="00FD3FB1">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PURSUIT-J ITT/TNFi-n</w:t>
            </w:r>
          </w:p>
        </w:tc>
        <w:tc>
          <w:tcPr>
            <w:tcW w:w="772" w:type="pct"/>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18/32 (56.3)</w:t>
            </w:r>
          </w:p>
        </w:tc>
        <w:tc>
          <w:tcPr>
            <w:tcW w:w="772" w:type="pct"/>
            <w:tcBorders>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6/31 (19.4)</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2.91 (1.33, 6.35)</w:t>
            </w:r>
          </w:p>
        </w:tc>
        <w:tc>
          <w:tcPr>
            <w:tcW w:w="694" w:type="pct"/>
            <w:tcBorders>
              <w:top w:val="nil"/>
              <w:left w:val="single" w:sz="4" w:space="0" w:color="auto"/>
              <w:bottom w:val="nil"/>
              <w:right w:val="nil"/>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0.37 (0.15, 0.59)</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4 (2, 50)</w:t>
            </w:r>
          </w:p>
        </w:tc>
      </w:tr>
      <w:tr w:rsidR="002D7B7A" w:rsidRPr="002D4988" w:rsidTr="006E1995">
        <w:trPr>
          <w:trHeight w:val="170"/>
        </w:trPr>
        <w:tc>
          <w:tcPr>
            <w:tcW w:w="1005" w:type="pct"/>
            <w:shd w:val="clear" w:color="auto" w:fill="DBE5F1" w:themeFill="accent1" w:themeFillTint="33"/>
          </w:tcPr>
          <w:p w:rsidR="002D7B7A" w:rsidRPr="002D4988" w:rsidRDefault="002D7B7A" w:rsidP="00FD3FB1">
            <w:pPr>
              <w:jc w:val="right"/>
              <w:rPr>
                <w:rFonts w:ascii="Arial Narrow" w:eastAsiaTheme="minorEastAsia" w:hAnsi="Arial Narrow"/>
                <w:i/>
                <w:snapToGrid w:val="0"/>
                <w:sz w:val="18"/>
                <w:szCs w:val="18"/>
                <w:lang w:eastAsia="en-US"/>
              </w:rPr>
            </w:pPr>
            <w:r w:rsidRPr="002D4988">
              <w:rPr>
                <w:rFonts w:ascii="Arial Narrow" w:eastAsiaTheme="minorEastAsia" w:hAnsi="Arial Narrow"/>
                <w:i/>
                <w:snapToGrid w:val="0"/>
                <w:sz w:val="18"/>
                <w:szCs w:val="18"/>
                <w:lang w:eastAsia="en-US"/>
              </w:rPr>
              <w:t>Meta</w:t>
            </w:r>
          </w:p>
        </w:tc>
        <w:tc>
          <w:tcPr>
            <w:tcW w:w="772" w:type="pct"/>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93/183 (50.8)</w:t>
            </w:r>
          </w:p>
        </w:tc>
        <w:tc>
          <w:tcPr>
            <w:tcW w:w="772" w:type="pct"/>
            <w:tcBorders>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54/185 (29.2)</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1.92 (1.11, 3.32)</w:t>
            </w:r>
          </w:p>
        </w:tc>
        <w:tc>
          <w:tcPr>
            <w:tcW w:w="694" w:type="pct"/>
            <w:tcBorders>
              <w:top w:val="nil"/>
              <w:left w:val="single" w:sz="4" w:space="0" w:color="auto"/>
              <w:bottom w:val="nil"/>
              <w:right w:val="nil"/>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0.25 (0.08, 0.42)</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4.5 (3, 8)</w:t>
            </w:r>
          </w:p>
        </w:tc>
      </w:tr>
      <w:tr w:rsidR="002D7B7A" w:rsidRPr="002D4988" w:rsidTr="006E1995">
        <w:trPr>
          <w:trHeight w:val="70"/>
        </w:trPr>
        <w:tc>
          <w:tcPr>
            <w:tcW w:w="2549" w:type="pct"/>
            <w:gridSpan w:val="3"/>
            <w:tcBorders>
              <w:right w:val="single" w:sz="4" w:space="0" w:color="auto"/>
            </w:tcBorders>
            <w:shd w:val="clear" w:color="auto" w:fill="auto"/>
            <w:vAlign w:val="center"/>
          </w:tcPr>
          <w:p w:rsidR="002D7B7A" w:rsidRPr="002D4988" w:rsidRDefault="002D7B7A" w:rsidP="00FD3FB1">
            <w:pPr>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VDZ v PBO (Wk 6/10&amp;52/60</w:t>
            </w:r>
            <w:r w:rsidRPr="002D4988">
              <w:rPr>
                <w:rFonts w:ascii="Arial Narrow" w:eastAsiaTheme="minorEastAsia" w:hAnsi="Arial Narrow"/>
                <w:b/>
                <w:bCs/>
                <w:iCs/>
                <w:snapToGrid w:val="0"/>
                <w:sz w:val="18"/>
                <w:szCs w:val="18"/>
                <w:vertAlign w:val="superscript"/>
                <w:lang w:eastAsia="en-US"/>
              </w:rPr>
              <w:t>a</w:t>
            </w:r>
            <w:r w:rsidRPr="002D4988">
              <w:rPr>
                <w:rFonts w:ascii="Arial Narrow" w:eastAsiaTheme="minorEastAsia" w:hAnsi="Arial Narrow"/>
                <w:b/>
                <w:bCs/>
                <w:iCs/>
                <w:snapToGrid w:val="0"/>
                <w:sz w:val="18"/>
                <w:szCs w:val="18"/>
                <w:lang w:eastAsia="en-US"/>
              </w:rPr>
              <w:t>)</w:t>
            </w:r>
          </w:p>
        </w:tc>
        <w:tc>
          <w:tcPr>
            <w:tcW w:w="694"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b/>
                <w:bCs/>
                <w:iCs/>
                <w:snapToGrid w:val="0"/>
                <w:sz w:val="18"/>
                <w:szCs w:val="18"/>
                <w:lang w:eastAsia="en-US"/>
              </w:rPr>
            </w:pPr>
          </w:p>
        </w:tc>
        <w:tc>
          <w:tcPr>
            <w:tcW w:w="694" w:type="pct"/>
            <w:tcBorders>
              <w:top w:val="nil"/>
              <w:left w:val="single" w:sz="4" w:space="0" w:color="auto"/>
              <w:bottom w:val="nil"/>
              <w:right w:val="nil"/>
            </w:tcBorders>
            <w:shd w:val="clear" w:color="auto" w:fill="auto"/>
            <w:vAlign w:val="center"/>
          </w:tcPr>
          <w:p w:rsidR="002D7B7A" w:rsidRPr="002D4988" w:rsidRDefault="002D7B7A" w:rsidP="00FD3FB1">
            <w:pPr>
              <w:jc w:val="center"/>
              <w:rPr>
                <w:rFonts w:ascii="Arial Narrow" w:eastAsiaTheme="minorEastAsia" w:hAnsi="Arial Narrow"/>
                <w:b/>
                <w:bCs/>
                <w:iCs/>
                <w:snapToGrid w:val="0"/>
                <w:sz w:val="18"/>
                <w:szCs w:val="18"/>
                <w:lang w:eastAsia="en-US"/>
              </w:rPr>
            </w:pP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p>
        </w:tc>
      </w:tr>
      <w:tr w:rsidR="002D7B7A" w:rsidRPr="002D4988" w:rsidTr="006E1995">
        <w:trPr>
          <w:trHeight w:val="170"/>
        </w:trPr>
        <w:tc>
          <w:tcPr>
            <w:tcW w:w="1005" w:type="pct"/>
            <w:shd w:val="clear" w:color="auto" w:fill="DBE5F1" w:themeFill="accent1" w:themeFillTint="33"/>
            <w:vAlign w:val="center"/>
          </w:tcPr>
          <w:p w:rsidR="002D7B7A" w:rsidRPr="002D4988" w:rsidRDefault="002D7B7A" w:rsidP="00FD3FB1">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GEMINI 1, ITT</w:t>
            </w:r>
          </w:p>
        </w:tc>
        <w:tc>
          <w:tcPr>
            <w:tcW w:w="772" w:type="pct"/>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69/122 (56.6)</w:t>
            </w:r>
          </w:p>
        </w:tc>
        <w:tc>
          <w:tcPr>
            <w:tcW w:w="772" w:type="pct"/>
            <w:tcBorders>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30/126 (23.8)</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2.38 (1.68, 3.37)</w:t>
            </w:r>
          </w:p>
        </w:tc>
        <w:tc>
          <w:tcPr>
            <w:tcW w:w="694" w:type="pct"/>
            <w:tcBorders>
              <w:top w:val="nil"/>
              <w:left w:val="single" w:sz="4" w:space="0" w:color="auto"/>
              <w:bottom w:val="nil"/>
              <w:right w:val="nil"/>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0.33 (0.21, 0.44)</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3 (2, 5)</w:t>
            </w:r>
          </w:p>
        </w:tc>
      </w:tr>
      <w:tr w:rsidR="002D7B7A" w:rsidRPr="002D4988" w:rsidTr="006E1995">
        <w:trPr>
          <w:trHeight w:val="170"/>
        </w:trPr>
        <w:tc>
          <w:tcPr>
            <w:tcW w:w="1005" w:type="pct"/>
            <w:shd w:val="clear" w:color="auto" w:fill="DBE5F1" w:themeFill="accent1" w:themeFillTint="33"/>
          </w:tcPr>
          <w:p w:rsidR="002D7B7A" w:rsidRPr="002D4988" w:rsidRDefault="002D7B7A" w:rsidP="00FD3FB1">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 xml:space="preserve">GEMINI 1, </w:t>
            </w:r>
            <w:r w:rsidRPr="002D4988">
              <w:rPr>
                <w:rFonts w:ascii="Arial Narrow" w:eastAsiaTheme="minorEastAsia" w:hAnsi="Arial Narrow"/>
                <w:i/>
                <w:snapToGrid w:val="0"/>
                <w:sz w:val="18"/>
                <w:szCs w:val="18"/>
                <w:lang w:eastAsia="en-US"/>
              </w:rPr>
              <w:t>TNFi-n</w:t>
            </w:r>
          </w:p>
        </w:tc>
        <w:tc>
          <w:tcPr>
            <w:tcW w:w="772" w:type="pct"/>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47/72 (65.3)</w:t>
            </w:r>
          </w:p>
        </w:tc>
        <w:tc>
          <w:tcPr>
            <w:tcW w:w="772" w:type="pct"/>
            <w:tcBorders>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21/79 (26.6)</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2.46 (1.64, 3.68)</w:t>
            </w:r>
          </w:p>
        </w:tc>
        <w:tc>
          <w:tcPr>
            <w:tcW w:w="694" w:type="pct"/>
            <w:tcBorders>
              <w:top w:val="nil"/>
              <w:left w:val="single" w:sz="4" w:space="0" w:color="auto"/>
              <w:bottom w:val="nil"/>
              <w:right w:val="nil"/>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0.39 (0.24, 0.53)</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3 (2, 4)</w:t>
            </w:r>
          </w:p>
        </w:tc>
      </w:tr>
      <w:tr w:rsidR="002D7B7A" w:rsidRPr="002D4988" w:rsidTr="006E1995">
        <w:trPr>
          <w:trHeight w:val="170"/>
        </w:trPr>
        <w:tc>
          <w:tcPr>
            <w:tcW w:w="1005" w:type="pct"/>
            <w:shd w:val="clear" w:color="auto" w:fill="DBE5F1" w:themeFill="accent1" w:themeFillTint="33"/>
          </w:tcPr>
          <w:p w:rsidR="002D7B7A" w:rsidRPr="002D4988" w:rsidRDefault="002D7B7A" w:rsidP="00FD3FB1">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 xml:space="preserve">GEMINI 1, </w:t>
            </w:r>
            <w:r w:rsidRPr="002D4988">
              <w:rPr>
                <w:rFonts w:ascii="Arial Narrow" w:eastAsiaTheme="minorEastAsia" w:hAnsi="Arial Narrow"/>
                <w:i/>
                <w:snapToGrid w:val="0"/>
                <w:sz w:val="18"/>
                <w:szCs w:val="18"/>
                <w:lang w:eastAsia="en-US"/>
              </w:rPr>
              <w:t>TNFi-e*</w:t>
            </w:r>
          </w:p>
        </w:tc>
        <w:tc>
          <w:tcPr>
            <w:tcW w:w="772" w:type="pct"/>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20/43 (46.5)</w:t>
            </w:r>
          </w:p>
        </w:tc>
        <w:tc>
          <w:tcPr>
            <w:tcW w:w="772" w:type="pct"/>
            <w:tcBorders>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6/38 (15.8)</w:t>
            </w:r>
          </w:p>
        </w:tc>
        <w:tc>
          <w:tcPr>
            <w:tcW w:w="694" w:type="pct"/>
            <w:tcBorders>
              <w:top w:val="nil"/>
              <w:left w:val="single" w:sz="4" w:space="0" w:color="auto"/>
              <w:bottom w:val="nil"/>
              <w:right w:val="single" w:sz="4" w:space="0" w:color="auto"/>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2.95 (1.32, 6.56)</w:t>
            </w:r>
          </w:p>
        </w:tc>
        <w:tc>
          <w:tcPr>
            <w:tcW w:w="694" w:type="pct"/>
            <w:tcBorders>
              <w:top w:val="nil"/>
              <w:left w:val="single" w:sz="4" w:space="0" w:color="auto"/>
              <w:bottom w:val="nil"/>
              <w:right w:val="nil"/>
            </w:tcBorders>
            <w:shd w:val="clear" w:color="auto" w:fill="DBE5F1" w:themeFill="accent1" w:themeFillTint="33"/>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0.31 (0.12, 0.50)</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1 (1, 2)</w:t>
            </w:r>
          </w:p>
        </w:tc>
      </w:tr>
      <w:tr w:rsidR="002D7B7A" w:rsidRPr="002D4988" w:rsidTr="006E1995">
        <w:trPr>
          <w:trHeight w:val="170"/>
        </w:trPr>
        <w:tc>
          <w:tcPr>
            <w:tcW w:w="1005" w:type="pct"/>
            <w:shd w:val="clear" w:color="auto" w:fill="auto"/>
          </w:tcPr>
          <w:p w:rsidR="002D7B7A" w:rsidRPr="002D4988" w:rsidRDefault="002D7B7A" w:rsidP="00FD3FB1">
            <w:pPr>
              <w:jc w:val="left"/>
              <w:rPr>
                <w:rFonts w:ascii="Arial Narrow" w:eastAsiaTheme="minorEastAsia" w:hAnsi="Arial Narrow"/>
                <w:i/>
                <w:iCs/>
                <w:snapToGrid w:val="0"/>
                <w:sz w:val="18"/>
                <w:szCs w:val="18"/>
                <w:lang w:eastAsia="en-US"/>
              </w:rPr>
            </w:pPr>
            <w:r w:rsidRPr="002D4988">
              <w:rPr>
                <w:rFonts w:ascii="Arial Narrow" w:eastAsiaTheme="minorEastAsia" w:hAnsi="Arial Narrow"/>
                <w:i/>
                <w:iCs/>
                <w:snapToGrid w:val="0"/>
                <w:sz w:val="18"/>
                <w:szCs w:val="18"/>
                <w:lang w:eastAsia="en-US"/>
              </w:rPr>
              <w:t>Sandborn 2020, ITT</w:t>
            </w:r>
          </w:p>
        </w:tc>
        <w:tc>
          <w:tcPr>
            <w:tcW w:w="772" w:type="pct"/>
            <w:shd w:val="clear" w:color="auto" w:fill="auto"/>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39/54 (72.2)</w:t>
            </w:r>
          </w:p>
        </w:tc>
        <w:tc>
          <w:tcPr>
            <w:tcW w:w="772" w:type="pct"/>
            <w:tcBorders>
              <w:right w:val="single" w:sz="4" w:space="0" w:color="auto"/>
            </w:tcBorders>
            <w:shd w:val="clear" w:color="auto" w:fill="auto"/>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16/56 (28.6)</w:t>
            </w:r>
          </w:p>
        </w:tc>
        <w:tc>
          <w:tcPr>
            <w:tcW w:w="694"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2.53 (1.62, 3.95)</w:t>
            </w:r>
          </w:p>
        </w:tc>
        <w:tc>
          <w:tcPr>
            <w:tcW w:w="694" w:type="pct"/>
            <w:tcBorders>
              <w:top w:val="nil"/>
              <w:left w:val="single" w:sz="4" w:space="0" w:color="auto"/>
              <w:bottom w:val="nil"/>
              <w:right w:val="nil"/>
            </w:tcBorders>
            <w:shd w:val="clear" w:color="auto" w:fill="auto"/>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0.44 (0.27, 0.60)</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2 (2, 4)</w:t>
            </w:r>
          </w:p>
        </w:tc>
      </w:tr>
      <w:tr w:rsidR="002D7B7A" w:rsidRPr="002D4988" w:rsidTr="006E1995">
        <w:trPr>
          <w:trHeight w:val="170"/>
        </w:trPr>
        <w:tc>
          <w:tcPr>
            <w:tcW w:w="1005" w:type="pct"/>
            <w:shd w:val="clear" w:color="auto" w:fill="auto"/>
            <w:vAlign w:val="center"/>
          </w:tcPr>
          <w:p w:rsidR="002D7B7A" w:rsidRPr="002D4988" w:rsidRDefault="002D7B7A" w:rsidP="00FD3FB1">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Motoya 2019, ITT</w:t>
            </w:r>
          </w:p>
        </w:tc>
        <w:tc>
          <w:tcPr>
            <w:tcW w:w="772" w:type="pct"/>
            <w:shd w:val="clear" w:color="auto" w:fill="auto"/>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27/41 (65.9)</w:t>
            </w:r>
          </w:p>
        </w:tc>
        <w:tc>
          <w:tcPr>
            <w:tcW w:w="772" w:type="pct"/>
            <w:tcBorders>
              <w:right w:val="single" w:sz="4" w:space="0" w:color="auto"/>
            </w:tcBorders>
            <w:shd w:val="clear" w:color="auto" w:fill="auto"/>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15/42 (35.7)</w:t>
            </w:r>
          </w:p>
        </w:tc>
        <w:tc>
          <w:tcPr>
            <w:tcW w:w="694"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1.84 (1.16, 2.93)</w:t>
            </w:r>
          </w:p>
        </w:tc>
        <w:tc>
          <w:tcPr>
            <w:tcW w:w="694" w:type="pct"/>
            <w:tcBorders>
              <w:top w:val="nil"/>
              <w:left w:val="single" w:sz="4" w:space="0" w:color="auto"/>
              <w:bottom w:val="nil"/>
              <w:right w:val="nil"/>
            </w:tcBorders>
            <w:shd w:val="clear" w:color="auto" w:fill="auto"/>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0.30 (0.10, 0.51)</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3 (2, 10)</w:t>
            </w:r>
          </w:p>
        </w:tc>
      </w:tr>
      <w:tr w:rsidR="002D7B7A" w:rsidRPr="002D4988" w:rsidTr="006E1995">
        <w:trPr>
          <w:trHeight w:val="170"/>
        </w:trPr>
        <w:tc>
          <w:tcPr>
            <w:tcW w:w="1005" w:type="pct"/>
            <w:shd w:val="clear" w:color="auto" w:fill="auto"/>
            <w:vAlign w:val="center"/>
          </w:tcPr>
          <w:p w:rsidR="002D7B7A" w:rsidRPr="002D4988" w:rsidRDefault="002D7B7A" w:rsidP="00FD3FB1">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 xml:space="preserve">Motoya 2019, </w:t>
            </w:r>
            <w:r w:rsidRPr="002D4988">
              <w:rPr>
                <w:rFonts w:ascii="Arial Narrow" w:eastAsiaTheme="minorEastAsia" w:hAnsi="Arial Narrow"/>
                <w:snapToGrid w:val="0"/>
                <w:sz w:val="18"/>
                <w:szCs w:val="18"/>
                <w:lang w:eastAsia="en-US"/>
              </w:rPr>
              <w:t>TNFi-n</w:t>
            </w:r>
          </w:p>
        </w:tc>
        <w:tc>
          <w:tcPr>
            <w:tcW w:w="772" w:type="pct"/>
            <w:shd w:val="clear" w:color="auto" w:fill="auto"/>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16/24 (66.7)</w:t>
            </w:r>
          </w:p>
        </w:tc>
        <w:tc>
          <w:tcPr>
            <w:tcW w:w="772" w:type="pct"/>
            <w:tcBorders>
              <w:right w:val="single" w:sz="4" w:space="0" w:color="auto"/>
            </w:tcBorders>
            <w:shd w:val="clear" w:color="auto" w:fill="auto"/>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10/28 (35.7)</w:t>
            </w:r>
          </w:p>
        </w:tc>
        <w:tc>
          <w:tcPr>
            <w:tcW w:w="694"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1.87 (1.05, 3.31)</w:t>
            </w:r>
          </w:p>
        </w:tc>
        <w:tc>
          <w:tcPr>
            <w:tcW w:w="694" w:type="pct"/>
            <w:tcBorders>
              <w:top w:val="nil"/>
              <w:left w:val="single" w:sz="4" w:space="0" w:color="auto"/>
              <w:bottom w:val="nil"/>
              <w:right w:val="nil"/>
            </w:tcBorders>
            <w:shd w:val="clear" w:color="auto" w:fill="auto"/>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0.31 (0.05, 0.57)</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3 (2, 20)</w:t>
            </w:r>
          </w:p>
        </w:tc>
      </w:tr>
      <w:tr w:rsidR="002D7B7A" w:rsidRPr="002D4988" w:rsidTr="006E1995">
        <w:trPr>
          <w:trHeight w:val="170"/>
        </w:trPr>
        <w:tc>
          <w:tcPr>
            <w:tcW w:w="1005" w:type="pct"/>
            <w:tcBorders>
              <w:top w:val="single" w:sz="4" w:space="0" w:color="auto"/>
            </w:tcBorders>
            <w:shd w:val="clear" w:color="auto" w:fill="auto"/>
            <w:vAlign w:val="center"/>
          </w:tcPr>
          <w:p w:rsidR="002D7B7A" w:rsidRPr="002D4988" w:rsidRDefault="002D7B7A" w:rsidP="00FD3FB1">
            <w:pPr>
              <w:jc w:val="left"/>
              <w:rPr>
                <w:rFonts w:ascii="Arial Narrow" w:eastAsiaTheme="minorEastAsia" w:hAnsi="Arial Narrow"/>
                <w:iCs/>
                <w:snapToGrid w:val="0"/>
                <w:sz w:val="18"/>
                <w:szCs w:val="18"/>
                <w:lang w:eastAsia="en-US"/>
              </w:rPr>
            </w:pPr>
            <w:r w:rsidRPr="002D4988">
              <w:rPr>
                <w:rFonts w:ascii="Arial Narrow" w:eastAsiaTheme="minorEastAsia" w:hAnsi="Arial Narrow"/>
                <w:iCs/>
                <w:snapToGrid w:val="0"/>
                <w:sz w:val="18"/>
                <w:szCs w:val="18"/>
                <w:lang w:eastAsia="en-US"/>
              </w:rPr>
              <w:t xml:space="preserve">Motoya 2019, </w:t>
            </w:r>
            <w:r w:rsidRPr="002D4988">
              <w:rPr>
                <w:rFonts w:ascii="Arial Narrow" w:eastAsiaTheme="minorEastAsia" w:hAnsi="Arial Narrow"/>
                <w:snapToGrid w:val="0"/>
                <w:sz w:val="18"/>
                <w:szCs w:val="18"/>
                <w:lang w:eastAsia="en-US"/>
              </w:rPr>
              <w:t>TNFi-e</w:t>
            </w:r>
          </w:p>
        </w:tc>
        <w:tc>
          <w:tcPr>
            <w:tcW w:w="772" w:type="pct"/>
            <w:shd w:val="clear" w:color="auto" w:fill="auto"/>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11/17 (64.7)</w:t>
            </w:r>
          </w:p>
        </w:tc>
        <w:tc>
          <w:tcPr>
            <w:tcW w:w="772" w:type="pct"/>
            <w:tcBorders>
              <w:right w:val="single" w:sz="4" w:space="0" w:color="auto"/>
            </w:tcBorders>
            <w:shd w:val="clear" w:color="auto" w:fill="auto"/>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5/14 (35.7)</w:t>
            </w:r>
          </w:p>
        </w:tc>
        <w:tc>
          <w:tcPr>
            <w:tcW w:w="694"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1.81 (0.83 3.97)</w:t>
            </w:r>
          </w:p>
        </w:tc>
        <w:tc>
          <w:tcPr>
            <w:tcW w:w="694" w:type="pct"/>
            <w:tcBorders>
              <w:top w:val="nil"/>
              <w:left w:val="single" w:sz="4" w:space="0" w:color="auto"/>
              <w:bottom w:val="nil"/>
              <w:right w:val="nil"/>
            </w:tcBorders>
            <w:shd w:val="clear" w:color="auto" w:fill="auto"/>
            <w:vAlign w:val="center"/>
          </w:tcPr>
          <w:p w:rsidR="002D7B7A" w:rsidRPr="002D4988" w:rsidRDefault="002D7B7A" w:rsidP="00FD3FB1">
            <w:pPr>
              <w:jc w:val="center"/>
              <w:rPr>
                <w:rFonts w:ascii="Arial Narrow" w:eastAsiaTheme="minorEastAsia" w:hAnsi="Arial Narrow"/>
                <w:bCs/>
                <w:snapToGrid w:val="0"/>
                <w:sz w:val="18"/>
                <w:szCs w:val="18"/>
                <w:lang w:eastAsia="en-US"/>
              </w:rPr>
            </w:pPr>
            <w:r w:rsidRPr="002D4988">
              <w:rPr>
                <w:rFonts w:ascii="Arial Narrow" w:eastAsiaTheme="minorEastAsia" w:hAnsi="Arial Narrow"/>
                <w:bCs/>
                <w:snapToGrid w:val="0"/>
                <w:sz w:val="18"/>
                <w:szCs w:val="18"/>
                <w:lang w:eastAsia="en-US"/>
              </w:rPr>
              <w:t>0.29 (-0.05, 0.63)</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NS</w:t>
            </w:r>
          </w:p>
        </w:tc>
      </w:tr>
      <w:tr w:rsidR="002D7B7A" w:rsidRPr="002D4988" w:rsidTr="006E1995">
        <w:trPr>
          <w:trHeight w:val="170"/>
        </w:trPr>
        <w:tc>
          <w:tcPr>
            <w:tcW w:w="1005" w:type="pct"/>
            <w:shd w:val="clear" w:color="auto" w:fill="auto"/>
            <w:vAlign w:val="center"/>
          </w:tcPr>
          <w:p w:rsidR="002D7B7A" w:rsidRPr="002D4988" w:rsidRDefault="002D7B7A" w:rsidP="00FD3FB1">
            <w:pPr>
              <w:jc w:val="right"/>
              <w:rPr>
                <w:rFonts w:ascii="Arial Narrow" w:eastAsiaTheme="minorEastAsia" w:hAnsi="Arial Narrow"/>
                <w:iCs/>
                <w:snapToGrid w:val="0"/>
                <w:sz w:val="18"/>
                <w:szCs w:val="18"/>
                <w:lang w:eastAsia="en-US"/>
              </w:rPr>
            </w:pPr>
            <w:r w:rsidRPr="002D4988">
              <w:rPr>
                <w:rFonts w:ascii="Arial Narrow" w:eastAsiaTheme="minorEastAsia" w:hAnsi="Arial Narrow"/>
                <w:snapToGrid w:val="0"/>
                <w:sz w:val="18"/>
                <w:szCs w:val="18"/>
                <w:lang w:eastAsia="en-US"/>
              </w:rPr>
              <w:t>Pooled ITT</w:t>
            </w:r>
          </w:p>
        </w:tc>
        <w:tc>
          <w:tcPr>
            <w:tcW w:w="772" w:type="pct"/>
            <w:shd w:val="clear" w:color="auto" w:fill="auto"/>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135/217 (62.2)</w:t>
            </w:r>
          </w:p>
        </w:tc>
        <w:tc>
          <w:tcPr>
            <w:tcW w:w="772" w:type="pct"/>
            <w:tcBorders>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snapToGrid w:val="0"/>
                <w:sz w:val="18"/>
                <w:szCs w:val="18"/>
                <w:lang w:eastAsia="en-US"/>
              </w:rPr>
            </w:pPr>
            <w:r w:rsidRPr="002D4988">
              <w:rPr>
                <w:rFonts w:ascii="Arial Narrow" w:eastAsiaTheme="minorEastAsia" w:hAnsi="Arial Narrow"/>
                <w:snapToGrid w:val="0"/>
                <w:sz w:val="18"/>
                <w:szCs w:val="18"/>
                <w:lang w:eastAsia="en-US"/>
              </w:rPr>
              <w:t>61/224 (27.2)</w:t>
            </w:r>
          </w:p>
        </w:tc>
        <w:tc>
          <w:tcPr>
            <w:tcW w:w="694"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2.26 (1.79, 2.86)</w:t>
            </w:r>
          </w:p>
        </w:tc>
        <w:tc>
          <w:tcPr>
            <w:tcW w:w="694" w:type="pct"/>
            <w:tcBorders>
              <w:top w:val="nil"/>
              <w:left w:val="single" w:sz="4" w:space="0" w:color="auto"/>
              <w:bottom w:val="nil"/>
              <w:right w:val="nil"/>
            </w:tcBorders>
            <w:shd w:val="clear" w:color="auto" w:fill="auto"/>
            <w:vAlign w:val="center"/>
          </w:tcPr>
          <w:p w:rsidR="002D7B7A" w:rsidRPr="002D4988" w:rsidRDefault="002D7B7A" w:rsidP="00FD3FB1">
            <w:pPr>
              <w:jc w:val="center"/>
              <w:rPr>
                <w:rFonts w:ascii="Arial Narrow" w:eastAsiaTheme="minorEastAsia" w:hAnsi="Arial Narrow"/>
                <w:b/>
                <w:bCs/>
                <w:snapToGrid w:val="0"/>
                <w:sz w:val="18"/>
                <w:szCs w:val="18"/>
                <w:lang w:eastAsia="en-US"/>
              </w:rPr>
            </w:pPr>
            <w:r w:rsidRPr="002D4988">
              <w:rPr>
                <w:rFonts w:ascii="Arial Narrow" w:eastAsiaTheme="minorEastAsia" w:hAnsi="Arial Narrow"/>
                <w:b/>
                <w:bCs/>
                <w:snapToGrid w:val="0"/>
                <w:sz w:val="18"/>
                <w:szCs w:val="18"/>
                <w:lang w:eastAsia="en-US"/>
              </w:rPr>
              <w:t>0.35 (0.27, 0.44)</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3 (2, 4)</w:t>
            </w:r>
          </w:p>
        </w:tc>
      </w:tr>
      <w:tr w:rsidR="002D7B7A" w:rsidRPr="002D4988" w:rsidTr="006E1995">
        <w:trPr>
          <w:trHeight w:val="170"/>
        </w:trPr>
        <w:tc>
          <w:tcPr>
            <w:tcW w:w="1005" w:type="pct"/>
            <w:shd w:val="clear" w:color="auto" w:fill="auto"/>
            <w:vAlign w:val="center"/>
          </w:tcPr>
          <w:p w:rsidR="002D7B7A" w:rsidRPr="002D4988" w:rsidRDefault="002D7B7A" w:rsidP="00FD3FB1">
            <w:pPr>
              <w:jc w:val="right"/>
              <w:rPr>
                <w:rFonts w:ascii="Arial Narrow" w:eastAsiaTheme="minorEastAsia" w:hAnsi="Arial Narrow"/>
                <w:iCs/>
                <w:snapToGrid w:val="0"/>
                <w:sz w:val="18"/>
                <w:szCs w:val="18"/>
                <w:lang w:eastAsia="en-US"/>
              </w:rPr>
            </w:pPr>
            <w:r w:rsidRPr="002D4988">
              <w:rPr>
                <w:rFonts w:ascii="Arial Narrow" w:eastAsiaTheme="minorEastAsia" w:hAnsi="Arial Narrow"/>
                <w:snapToGrid w:val="0"/>
                <w:sz w:val="18"/>
                <w:szCs w:val="18"/>
                <w:lang w:eastAsia="en-US"/>
              </w:rPr>
              <w:t>Pooled TNFi-n</w:t>
            </w:r>
          </w:p>
        </w:tc>
        <w:tc>
          <w:tcPr>
            <w:tcW w:w="772" w:type="pct"/>
            <w:shd w:val="clear" w:color="auto" w:fill="auto"/>
            <w:vAlign w:val="center"/>
          </w:tcPr>
          <w:p w:rsidR="002D7B7A" w:rsidRPr="002D4988" w:rsidRDefault="002D7B7A" w:rsidP="00FD3FB1">
            <w:pPr>
              <w:jc w:val="center"/>
              <w:rPr>
                <w:rFonts w:ascii="Arial Narrow" w:eastAsiaTheme="minorEastAsia" w:hAnsi="Arial Narrow"/>
                <w:i/>
                <w:snapToGrid w:val="0"/>
                <w:sz w:val="18"/>
                <w:szCs w:val="18"/>
                <w:lang w:eastAsia="en-US"/>
              </w:rPr>
            </w:pPr>
            <w:r w:rsidRPr="002D4988">
              <w:rPr>
                <w:rFonts w:ascii="Arial Narrow" w:eastAsiaTheme="minorEastAsia" w:hAnsi="Arial Narrow"/>
                <w:i/>
                <w:snapToGrid w:val="0"/>
                <w:sz w:val="18"/>
                <w:szCs w:val="18"/>
                <w:lang w:eastAsia="en-US"/>
              </w:rPr>
              <w:t>63/96 (65.6)</w:t>
            </w:r>
          </w:p>
        </w:tc>
        <w:tc>
          <w:tcPr>
            <w:tcW w:w="772" w:type="pct"/>
            <w:tcBorders>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8"/>
                <w:szCs w:val="18"/>
                <w:lang w:eastAsia="en-US"/>
              </w:rPr>
            </w:pPr>
            <w:r w:rsidRPr="002D4988">
              <w:rPr>
                <w:rFonts w:ascii="Arial Narrow" w:eastAsiaTheme="minorEastAsia" w:hAnsi="Arial Narrow"/>
                <w:i/>
                <w:snapToGrid w:val="0"/>
                <w:sz w:val="18"/>
                <w:szCs w:val="18"/>
                <w:lang w:eastAsia="en-US"/>
              </w:rPr>
              <w:t>31/107 (29.0)</w:t>
            </w:r>
          </w:p>
        </w:tc>
        <w:tc>
          <w:tcPr>
            <w:tcW w:w="694"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2.24 (1.61, 3.12)</w:t>
            </w:r>
          </w:p>
        </w:tc>
        <w:tc>
          <w:tcPr>
            <w:tcW w:w="694" w:type="pct"/>
            <w:tcBorders>
              <w:top w:val="nil"/>
              <w:left w:val="single" w:sz="4" w:space="0" w:color="auto"/>
              <w:bottom w:val="nil"/>
              <w:right w:val="nil"/>
            </w:tcBorders>
            <w:shd w:val="clear" w:color="auto" w:fill="auto"/>
            <w:vAlign w:val="center"/>
          </w:tcPr>
          <w:p w:rsidR="002D7B7A" w:rsidRPr="002D4988" w:rsidRDefault="002D7B7A" w:rsidP="00FD3FB1">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0.37 (0.24, 0.50)</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3 (2, 4)</w:t>
            </w:r>
          </w:p>
        </w:tc>
      </w:tr>
      <w:tr w:rsidR="002D7B7A" w:rsidRPr="002D4988" w:rsidTr="006E1995">
        <w:trPr>
          <w:trHeight w:val="170"/>
        </w:trPr>
        <w:tc>
          <w:tcPr>
            <w:tcW w:w="1005" w:type="pct"/>
            <w:shd w:val="clear" w:color="auto" w:fill="auto"/>
            <w:vAlign w:val="center"/>
          </w:tcPr>
          <w:p w:rsidR="002D7B7A" w:rsidRPr="002D4988" w:rsidRDefault="002D7B7A" w:rsidP="00FD3FB1">
            <w:pPr>
              <w:jc w:val="right"/>
              <w:rPr>
                <w:rFonts w:ascii="Arial Narrow" w:eastAsiaTheme="minorEastAsia" w:hAnsi="Arial Narrow"/>
                <w:iCs/>
                <w:snapToGrid w:val="0"/>
                <w:sz w:val="18"/>
                <w:szCs w:val="18"/>
                <w:lang w:eastAsia="en-US"/>
              </w:rPr>
            </w:pPr>
            <w:r w:rsidRPr="002D4988">
              <w:rPr>
                <w:rFonts w:ascii="Arial Narrow" w:eastAsiaTheme="minorEastAsia" w:hAnsi="Arial Narrow"/>
                <w:snapToGrid w:val="0"/>
                <w:sz w:val="18"/>
                <w:szCs w:val="18"/>
                <w:lang w:eastAsia="en-US"/>
              </w:rPr>
              <w:t>Pooled TNFi-e</w:t>
            </w:r>
          </w:p>
        </w:tc>
        <w:tc>
          <w:tcPr>
            <w:tcW w:w="772" w:type="pct"/>
            <w:shd w:val="clear" w:color="auto" w:fill="auto"/>
            <w:vAlign w:val="center"/>
          </w:tcPr>
          <w:p w:rsidR="002D7B7A" w:rsidRPr="002D4988" w:rsidRDefault="002D7B7A" w:rsidP="00FD3FB1">
            <w:pPr>
              <w:jc w:val="center"/>
              <w:rPr>
                <w:rFonts w:ascii="Arial Narrow" w:eastAsiaTheme="minorEastAsia" w:hAnsi="Arial Narrow"/>
                <w:i/>
                <w:snapToGrid w:val="0"/>
                <w:sz w:val="18"/>
                <w:szCs w:val="18"/>
                <w:lang w:eastAsia="en-US"/>
              </w:rPr>
            </w:pPr>
            <w:r w:rsidRPr="002D4988">
              <w:rPr>
                <w:rFonts w:ascii="Arial Narrow" w:eastAsiaTheme="minorEastAsia" w:hAnsi="Arial Narrow"/>
                <w:i/>
                <w:snapToGrid w:val="0"/>
                <w:sz w:val="18"/>
                <w:szCs w:val="18"/>
                <w:lang w:eastAsia="en-US"/>
              </w:rPr>
              <w:t>31/60 (51.7)</w:t>
            </w:r>
          </w:p>
        </w:tc>
        <w:tc>
          <w:tcPr>
            <w:tcW w:w="772" w:type="pct"/>
            <w:tcBorders>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8"/>
                <w:szCs w:val="18"/>
                <w:lang w:eastAsia="en-US"/>
              </w:rPr>
            </w:pPr>
            <w:r w:rsidRPr="002D4988">
              <w:rPr>
                <w:rFonts w:ascii="Arial Narrow" w:eastAsiaTheme="minorEastAsia" w:hAnsi="Arial Narrow"/>
                <w:i/>
                <w:snapToGrid w:val="0"/>
                <w:sz w:val="18"/>
                <w:szCs w:val="18"/>
                <w:lang w:eastAsia="en-US"/>
              </w:rPr>
              <w:t>11/52 (21.2)</w:t>
            </w:r>
          </w:p>
        </w:tc>
        <w:tc>
          <w:tcPr>
            <w:tcW w:w="694"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2.30 (1.31, 4.03)</w:t>
            </w:r>
          </w:p>
        </w:tc>
        <w:tc>
          <w:tcPr>
            <w:tcW w:w="694" w:type="pct"/>
            <w:tcBorders>
              <w:top w:val="nil"/>
              <w:left w:val="single" w:sz="4" w:space="0" w:color="auto"/>
              <w:bottom w:val="nil"/>
              <w:right w:val="nil"/>
            </w:tcBorders>
            <w:shd w:val="clear" w:color="auto" w:fill="auto"/>
            <w:vAlign w:val="center"/>
          </w:tcPr>
          <w:p w:rsidR="002D7B7A" w:rsidRPr="002D4988" w:rsidRDefault="002D7B7A" w:rsidP="00FD3FB1">
            <w:pPr>
              <w:jc w:val="center"/>
              <w:rPr>
                <w:rFonts w:ascii="Arial Narrow" w:eastAsiaTheme="minorEastAsia" w:hAnsi="Arial Narrow"/>
                <w:b/>
                <w:bCs/>
                <w:i/>
                <w:snapToGrid w:val="0"/>
                <w:sz w:val="18"/>
                <w:szCs w:val="18"/>
                <w:lang w:eastAsia="en-US"/>
              </w:rPr>
            </w:pPr>
            <w:r w:rsidRPr="002D4988">
              <w:rPr>
                <w:rFonts w:ascii="Arial Narrow" w:eastAsiaTheme="minorEastAsia" w:hAnsi="Arial Narrow"/>
                <w:b/>
                <w:bCs/>
                <w:i/>
                <w:snapToGrid w:val="0"/>
                <w:sz w:val="18"/>
                <w:szCs w:val="18"/>
                <w:lang w:eastAsia="en-US"/>
              </w:rPr>
              <w:t>0.30 (0.14, 0.47)</w:t>
            </w: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r w:rsidRPr="002D4988">
              <w:rPr>
                <w:rFonts w:ascii="Arial Narrow" w:eastAsiaTheme="minorEastAsia" w:hAnsi="Arial Narrow"/>
                <w:i/>
                <w:snapToGrid w:val="0"/>
                <w:sz w:val="16"/>
                <w:szCs w:val="16"/>
                <w:lang w:eastAsia="en-US"/>
              </w:rPr>
              <w:t>3 (2, 7)</w:t>
            </w:r>
          </w:p>
        </w:tc>
      </w:tr>
      <w:tr w:rsidR="002D7B7A" w:rsidRPr="002D4988" w:rsidTr="006E1995">
        <w:trPr>
          <w:trHeight w:val="70"/>
        </w:trPr>
        <w:tc>
          <w:tcPr>
            <w:tcW w:w="2549" w:type="pct"/>
            <w:gridSpan w:val="3"/>
            <w:tcBorders>
              <w:right w:val="single" w:sz="4" w:space="0" w:color="auto"/>
            </w:tcBorders>
            <w:shd w:val="clear" w:color="auto" w:fill="auto"/>
            <w:vAlign w:val="center"/>
          </w:tcPr>
          <w:p w:rsidR="002D7B7A" w:rsidRPr="002D4988" w:rsidRDefault="002D7B7A" w:rsidP="00FD3FB1">
            <w:pPr>
              <w:jc w:val="right"/>
              <w:rPr>
                <w:rFonts w:ascii="Arial Narrow" w:eastAsiaTheme="minorEastAsia" w:hAnsi="Arial Narrow"/>
                <w:b/>
                <w:bCs/>
                <w:iCs/>
                <w:snapToGrid w:val="0"/>
                <w:sz w:val="18"/>
                <w:szCs w:val="18"/>
                <w:lang w:eastAsia="en-US"/>
              </w:rPr>
            </w:pPr>
            <w:r w:rsidRPr="002D4988">
              <w:rPr>
                <w:rFonts w:ascii="Arial Narrow" w:eastAsiaTheme="minorEastAsia" w:hAnsi="Arial Narrow"/>
                <w:b/>
                <w:bCs/>
                <w:iCs/>
                <w:snapToGrid w:val="0"/>
                <w:sz w:val="18"/>
                <w:szCs w:val="18"/>
                <w:lang w:eastAsia="en-US"/>
              </w:rPr>
              <w:t>Indirect comparisons ITT</w:t>
            </w:r>
          </w:p>
        </w:tc>
        <w:tc>
          <w:tcPr>
            <w:tcW w:w="694"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8"/>
                <w:szCs w:val="18"/>
                <w:lang w:eastAsia="en-US"/>
              </w:rPr>
            </w:pPr>
          </w:p>
        </w:tc>
        <w:tc>
          <w:tcPr>
            <w:tcW w:w="694" w:type="pct"/>
            <w:tcBorders>
              <w:top w:val="nil"/>
              <w:left w:val="single" w:sz="4" w:space="0" w:color="auto"/>
              <w:bottom w:val="nil"/>
              <w:right w:val="nil"/>
            </w:tcBorders>
            <w:shd w:val="clear" w:color="auto" w:fill="auto"/>
            <w:vAlign w:val="center"/>
          </w:tcPr>
          <w:p w:rsidR="002D7B7A" w:rsidRPr="002D4988" w:rsidRDefault="002D7B7A" w:rsidP="00FD3FB1">
            <w:pPr>
              <w:jc w:val="center"/>
              <w:rPr>
                <w:rFonts w:ascii="Arial Narrow" w:eastAsiaTheme="minorEastAsia" w:hAnsi="Arial Narrow"/>
                <w:i/>
                <w:snapToGrid w:val="0"/>
                <w:sz w:val="18"/>
                <w:szCs w:val="18"/>
                <w:lang w:eastAsia="en-US"/>
              </w:rPr>
            </w:pPr>
          </w:p>
        </w:tc>
        <w:tc>
          <w:tcPr>
            <w:tcW w:w="713" w:type="pct"/>
            <w:vMerge/>
            <w:tcBorders>
              <w:left w:val="nil"/>
              <w:right w:val="single" w:sz="4" w:space="0" w:color="auto"/>
            </w:tcBorders>
          </w:tcPr>
          <w:p w:rsidR="002D7B7A" w:rsidRPr="002D4988"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2D4988" w:rsidRDefault="002D7B7A" w:rsidP="00FD3FB1">
            <w:pPr>
              <w:jc w:val="center"/>
              <w:rPr>
                <w:rFonts w:ascii="Arial Narrow" w:eastAsiaTheme="minorEastAsia" w:hAnsi="Arial Narrow"/>
                <w:i/>
                <w:snapToGrid w:val="0"/>
                <w:sz w:val="16"/>
                <w:szCs w:val="16"/>
                <w:lang w:eastAsia="en-US"/>
              </w:rPr>
            </w:pP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5mg v GOL (Meta)</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1.33 (0.71, 2.50)</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0.05 (-0.14, 0.24)</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10mg v GOL (Meta)</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1.61 (0.86, 3.02)</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0.15 (-0.04, 0.34)</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5/10mg (Pooled) v GOL (Meta)</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1.47 (0.79, 2.74)</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0.10 (-0.08, 0.28)</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5mg v VDZ (ITT)</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1.13 (0.76, 1.67)</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-0.05 (-0.17, 0.07)</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10mg v VDZ (ITT)</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1.37 (0.93, 2.02)</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0.05 (-0.07, 0.17)</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Cs/>
                <w:snapToGrid w:val="0"/>
                <w:sz w:val="18"/>
                <w:szCs w:val="18"/>
                <w:lang w:eastAsia="en-US"/>
              </w:rPr>
            </w:pPr>
            <w:r w:rsidRPr="00E91861">
              <w:rPr>
                <w:rFonts w:ascii="Arial Narrow" w:eastAsiaTheme="minorEastAsia" w:hAnsi="Arial Narrow"/>
                <w:iCs/>
                <w:snapToGrid w:val="0"/>
                <w:sz w:val="18"/>
                <w:szCs w:val="18"/>
                <w:lang w:eastAsia="en-US"/>
              </w:rPr>
              <w:t>TOF 5/10mg (Pooled) v VDZ (ITT)</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1.25 (0.85 1.83)</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0.00 (-0.11, 0.11)</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Cs/>
                <w:snapToGrid w:val="0"/>
                <w:sz w:val="18"/>
                <w:szCs w:val="18"/>
                <w:lang w:eastAsia="en-US"/>
              </w:rPr>
            </w:pPr>
            <w:r w:rsidRPr="00E91861">
              <w:rPr>
                <w:rFonts w:ascii="Arial Narrow" w:eastAsiaTheme="minorEastAsia" w:hAnsi="Arial Narrow"/>
                <w:b/>
                <w:bCs/>
                <w:iCs/>
                <w:snapToGrid w:val="0"/>
                <w:sz w:val="18"/>
                <w:szCs w:val="18"/>
                <w:lang w:eastAsia="en-US"/>
              </w:rPr>
              <w:t>Indirect comparisons, TNFi-n</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b/>
                <w:bCs/>
                <w:iCs/>
                <w:snapToGrid w:val="0"/>
                <w:sz w:val="18"/>
                <w:szCs w:val="18"/>
                <w:lang w:eastAsia="en-US"/>
              </w:rPr>
            </w:pPr>
            <w:r w:rsidRPr="00E91861">
              <w:rPr>
                <w:rFonts w:ascii="Arial Narrow" w:eastAsiaTheme="minorEastAsia" w:hAnsi="Arial Narrow"/>
                <w:i/>
                <w:snapToGrid w:val="0"/>
                <w:sz w:val="18"/>
                <w:szCs w:val="18"/>
                <w:lang w:eastAsia="en-US"/>
              </w:rPr>
              <w:t>TOF/TNFi-n 5mg v GOL (Meta)</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1.17 (0.60, 2.28)</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0.04 (-0.17, 0.25)</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 10mg v GOL (Meta)</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1.38 (0.71, 2.68)</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0.14 (-0.07, 0.35)</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 5/10mg (Pooled) v GOL (Meta)</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1.27 (0.66, 2.44)</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bCs/>
                <w:i/>
                <w:snapToGrid w:val="0"/>
                <w:sz w:val="18"/>
                <w:szCs w:val="18"/>
                <w:lang w:eastAsia="en-US"/>
              </w:rPr>
            </w:pPr>
            <w:r w:rsidRPr="00E91861">
              <w:rPr>
                <w:rFonts w:ascii="Arial Narrow" w:eastAsiaTheme="minorEastAsia" w:hAnsi="Arial Narrow"/>
                <w:bCs/>
                <w:i/>
                <w:snapToGrid w:val="0"/>
                <w:sz w:val="18"/>
                <w:szCs w:val="18"/>
                <w:lang w:eastAsia="en-US"/>
              </w:rPr>
              <w:t>0.09 (-0.11, 0.29)</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 xml:space="preserve">TOF/TNFi-n 5mg v VDZ (Pooled) </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1.00 (0.60, 1.66)</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-0.10 (-0.29, 0.09)</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 10mg v VDZ (Pooled)</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1.18 (0.72, 1.95)</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0.00 (-0.19, 0.19)</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TOF/TNFi-n 5/10mg (Pooled) v VDZ (Pooled)</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1.09 (0.66, 1.77)</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-0.03 (-0.20, 0.14)</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
                <w:snapToGrid w:val="0"/>
                <w:sz w:val="18"/>
                <w:szCs w:val="18"/>
                <w:lang w:eastAsia="en-US"/>
              </w:rPr>
            </w:pPr>
            <w:r w:rsidRPr="00E91861">
              <w:rPr>
                <w:rFonts w:ascii="Arial Narrow" w:eastAsiaTheme="minorEastAsia" w:hAnsi="Arial Narrow"/>
                <w:b/>
                <w:bCs/>
                <w:iCs/>
                <w:snapToGrid w:val="0"/>
                <w:sz w:val="18"/>
                <w:szCs w:val="18"/>
                <w:lang w:eastAsia="en-US"/>
              </w:rPr>
              <w:t>Indirect comparisons, TNFi-e</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b/>
                <w:bCs/>
                <w:i/>
                <w:snapToGrid w:val="0"/>
                <w:sz w:val="18"/>
                <w:szCs w:val="18"/>
                <w:lang w:eastAsia="en-US"/>
              </w:rPr>
            </w:pP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b/>
                <w:bCs/>
                <w:i/>
                <w:snapToGrid w:val="0"/>
                <w:sz w:val="18"/>
                <w:szCs w:val="18"/>
                <w:lang w:eastAsia="en-US"/>
              </w:rPr>
            </w:pP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b/>
                <w:bCs/>
                <w:iCs/>
                <w:snapToGrid w:val="0"/>
                <w:sz w:val="18"/>
                <w:szCs w:val="18"/>
                <w:lang w:eastAsia="en-US"/>
              </w:rPr>
            </w:pPr>
            <w:r w:rsidRPr="00E91861">
              <w:rPr>
                <w:rFonts w:ascii="Arial Narrow" w:eastAsiaTheme="minorEastAsia" w:hAnsi="Arial Narrow"/>
                <w:i/>
                <w:snapToGrid w:val="0"/>
                <w:sz w:val="18"/>
                <w:szCs w:val="18"/>
                <w:lang w:eastAsia="en-US"/>
              </w:rPr>
              <w:t>TOF/TNF-e-n 5mg v VDZ (Pooled)</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1.37 (0.62, 3.01)</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0.00 (-0.21, 0.21)</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vAlign w:val="center"/>
          </w:tcPr>
          <w:p w:rsidR="002D7B7A" w:rsidRPr="00E91861" w:rsidRDefault="002D7B7A" w:rsidP="00FD3FB1">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TOF/TNFi-e 10mg v VDZ (Pooled)</w:t>
            </w:r>
          </w:p>
        </w:tc>
        <w:tc>
          <w:tcPr>
            <w:tcW w:w="694"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1.74 (0.80, 3.76)</w:t>
            </w:r>
          </w:p>
        </w:tc>
        <w:tc>
          <w:tcPr>
            <w:tcW w:w="694" w:type="pct"/>
            <w:tcBorders>
              <w:top w:val="nil"/>
              <w:left w:val="single" w:sz="4" w:space="0" w:color="auto"/>
              <w:bottom w:val="nil"/>
              <w:right w:val="nil"/>
            </w:tcBorders>
            <w:shd w:val="clear" w:color="auto" w:fill="auto"/>
            <w:vAlign w:val="center"/>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0.12 (-0.08, 0.32)</w:t>
            </w:r>
          </w:p>
        </w:tc>
        <w:tc>
          <w:tcPr>
            <w:tcW w:w="713" w:type="pct"/>
            <w:vMerge/>
            <w:tcBorders>
              <w:left w:val="nil"/>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nil"/>
              <w:right w:val="single" w:sz="4" w:space="0" w:color="auto"/>
            </w:tcBorders>
            <w:shd w:val="clear" w:color="auto" w:fill="auto"/>
            <w:vAlign w:val="center"/>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tc>
      </w:tr>
      <w:tr w:rsidR="002D7B7A" w:rsidRPr="002D4988" w:rsidTr="006E1995">
        <w:trPr>
          <w:trHeight w:val="170"/>
        </w:trPr>
        <w:tc>
          <w:tcPr>
            <w:tcW w:w="2549" w:type="pct"/>
            <w:gridSpan w:val="3"/>
            <w:tcBorders>
              <w:right w:val="single" w:sz="4" w:space="0" w:color="auto"/>
            </w:tcBorders>
            <w:shd w:val="clear" w:color="auto" w:fill="auto"/>
          </w:tcPr>
          <w:p w:rsidR="002D7B7A" w:rsidRPr="00E91861" w:rsidRDefault="002D7B7A" w:rsidP="00FD3FB1">
            <w:pPr>
              <w:jc w:val="right"/>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TOF/TNFi-e 5/10mg (Pooled) v VDZ (Pooled)</w:t>
            </w:r>
          </w:p>
        </w:tc>
        <w:tc>
          <w:tcPr>
            <w:tcW w:w="694" w:type="pct"/>
            <w:tcBorders>
              <w:top w:val="nil"/>
              <w:left w:val="single" w:sz="4" w:space="0" w:color="auto"/>
              <w:bottom w:val="single" w:sz="4" w:space="0" w:color="auto"/>
              <w:right w:val="single" w:sz="4" w:space="0" w:color="auto"/>
            </w:tcBorders>
            <w:shd w:val="clear" w:color="auto" w:fill="auto"/>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1.56 (0.73, 3.36)</w:t>
            </w:r>
          </w:p>
        </w:tc>
        <w:tc>
          <w:tcPr>
            <w:tcW w:w="694" w:type="pct"/>
            <w:tcBorders>
              <w:top w:val="nil"/>
              <w:left w:val="single" w:sz="4" w:space="0" w:color="auto"/>
              <w:bottom w:val="single" w:sz="4" w:space="0" w:color="auto"/>
              <w:right w:val="nil"/>
            </w:tcBorders>
            <w:shd w:val="clear" w:color="auto" w:fill="auto"/>
          </w:tcPr>
          <w:p w:rsidR="002D7B7A" w:rsidRPr="00E91861" w:rsidRDefault="002D7B7A" w:rsidP="00FD3FB1">
            <w:pPr>
              <w:jc w:val="center"/>
              <w:rPr>
                <w:rFonts w:ascii="Arial Narrow" w:eastAsiaTheme="minorEastAsia" w:hAnsi="Arial Narrow"/>
                <w:i/>
                <w:snapToGrid w:val="0"/>
                <w:sz w:val="18"/>
                <w:szCs w:val="18"/>
                <w:lang w:eastAsia="en-US"/>
              </w:rPr>
            </w:pPr>
            <w:r w:rsidRPr="00E91861">
              <w:rPr>
                <w:rFonts w:ascii="Arial Narrow" w:eastAsiaTheme="minorEastAsia" w:hAnsi="Arial Narrow"/>
                <w:i/>
                <w:snapToGrid w:val="0"/>
                <w:sz w:val="18"/>
                <w:szCs w:val="18"/>
                <w:lang w:eastAsia="en-US"/>
              </w:rPr>
              <w:t>0.07 (-0.12, 0.26)</w:t>
            </w:r>
          </w:p>
        </w:tc>
        <w:tc>
          <w:tcPr>
            <w:tcW w:w="713" w:type="pct"/>
            <w:vMerge/>
            <w:tcBorders>
              <w:left w:val="nil"/>
              <w:bottom w:val="single" w:sz="4" w:space="0" w:color="auto"/>
              <w:right w:val="single" w:sz="4" w:space="0" w:color="auto"/>
            </w:tcBorders>
          </w:tcPr>
          <w:p w:rsidR="002D7B7A" w:rsidRPr="00E91861" w:rsidRDefault="002D7B7A" w:rsidP="00FD3FB1">
            <w:pPr>
              <w:jc w:val="center"/>
              <w:rPr>
                <w:rFonts w:ascii="Arial Narrow" w:eastAsiaTheme="minorEastAsia" w:hAnsi="Arial Narrow"/>
                <w:i/>
                <w:snapToGrid w:val="0"/>
                <w:sz w:val="16"/>
                <w:szCs w:val="16"/>
                <w:lang w:eastAsia="en-US"/>
              </w:rPr>
            </w:pPr>
          </w:p>
        </w:tc>
        <w:tc>
          <w:tcPr>
            <w:tcW w:w="350" w:type="pct"/>
            <w:tcBorders>
              <w:top w:val="nil"/>
              <w:left w:val="single" w:sz="4" w:space="0" w:color="auto"/>
              <w:bottom w:val="single" w:sz="4" w:space="0" w:color="auto"/>
              <w:right w:val="single" w:sz="4" w:space="0" w:color="auto"/>
            </w:tcBorders>
            <w:shd w:val="clear" w:color="auto" w:fill="auto"/>
          </w:tcPr>
          <w:p w:rsidR="002D7B7A" w:rsidRPr="00E91861" w:rsidRDefault="002D7B7A" w:rsidP="00FD3FB1">
            <w:pPr>
              <w:jc w:val="center"/>
              <w:rPr>
                <w:rFonts w:ascii="Arial Narrow" w:eastAsiaTheme="minorEastAsia" w:hAnsi="Arial Narrow"/>
                <w:i/>
                <w:snapToGrid w:val="0"/>
                <w:sz w:val="16"/>
                <w:szCs w:val="16"/>
                <w:lang w:eastAsia="en-US"/>
              </w:rPr>
            </w:pPr>
            <w:r w:rsidRPr="00E91861">
              <w:rPr>
                <w:rFonts w:ascii="Arial Narrow" w:eastAsiaTheme="minorEastAsia" w:hAnsi="Arial Narrow"/>
                <w:i/>
                <w:snapToGrid w:val="0"/>
                <w:sz w:val="16"/>
                <w:szCs w:val="16"/>
                <w:lang w:eastAsia="en-US"/>
              </w:rPr>
              <w:t>NS</w:t>
            </w:r>
          </w:p>
          <w:p w:rsidR="002D7B7A" w:rsidRPr="00E91861" w:rsidRDefault="002D7B7A" w:rsidP="00FD3FB1">
            <w:pPr>
              <w:jc w:val="center"/>
              <w:rPr>
                <w:rFonts w:ascii="Arial Narrow" w:eastAsiaTheme="minorEastAsia" w:hAnsi="Arial Narrow"/>
                <w:i/>
                <w:snapToGrid w:val="0"/>
                <w:sz w:val="16"/>
                <w:szCs w:val="16"/>
                <w:lang w:eastAsia="en-US"/>
              </w:rPr>
            </w:pPr>
          </w:p>
        </w:tc>
      </w:tr>
    </w:tbl>
    <w:p w:rsidR="002D7B7A" w:rsidRPr="002D4988" w:rsidRDefault="002D7B7A" w:rsidP="002D7B7A">
      <w:pPr>
        <w:contextualSpacing/>
        <w:rPr>
          <w:rFonts w:ascii="Arial Narrow" w:eastAsiaTheme="minorEastAsia" w:hAnsi="Arial Narrow"/>
          <w:bCs/>
          <w:snapToGrid w:val="0"/>
          <w:sz w:val="16"/>
          <w:szCs w:val="16"/>
          <w:lang w:eastAsia="en-US"/>
        </w:rPr>
      </w:pPr>
      <w:r w:rsidRPr="002D4988">
        <w:rPr>
          <w:rFonts w:ascii="Arial Narrow" w:eastAsiaTheme="minorEastAsia" w:hAnsi="Arial Narrow"/>
          <w:snapToGrid w:val="0"/>
          <w:sz w:val="16"/>
          <w:szCs w:val="16"/>
          <w:lang w:eastAsia="en-US"/>
        </w:rPr>
        <w:t>Source: Table 2.5.4 of March 2019 Commentary; Sandborn 2020 publication.</w:t>
      </w:r>
      <w:r w:rsidRPr="002D4988">
        <w:rPr>
          <w:rFonts w:ascii="Arial Narrow" w:eastAsiaTheme="minorEastAsia" w:hAnsi="Arial Narrow"/>
          <w:bCs/>
          <w:snapToGrid w:val="0"/>
          <w:sz w:val="16"/>
          <w:szCs w:val="16"/>
          <w:lang w:eastAsia="en-US"/>
        </w:rPr>
        <w:t xml:space="preserve"> </w:t>
      </w:r>
      <w:r w:rsidRPr="002D4988">
        <w:rPr>
          <w:rFonts w:ascii="Arial Narrow" w:eastAsiaTheme="minorEastAsia" w:hAnsi="Arial Narrow"/>
          <w:bCs/>
          <w:snapToGrid w:val="0"/>
          <w:sz w:val="16"/>
          <w:szCs w:val="18"/>
          <w:shd w:val="clear" w:color="auto" w:fill="DBE5F1" w:themeFill="accent1" w:themeFillTint="33"/>
          <w:lang w:eastAsia="en-US"/>
        </w:rPr>
        <w:t xml:space="preserve">Shaded </w:t>
      </w:r>
      <w:r w:rsidRPr="002D4988">
        <w:rPr>
          <w:rFonts w:ascii="Arial Narrow" w:eastAsiaTheme="minorEastAsia" w:hAnsi="Arial Narrow"/>
          <w:bCs/>
          <w:snapToGrid w:val="0"/>
          <w:sz w:val="16"/>
          <w:szCs w:val="18"/>
          <w:lang w:eastAsia="en-US"/>
        </w:rPr>
        <w:t>areas: data previously seen by the PBAC</w:t>
      </w:r>
      <w:r w:rsidR="009979F5" w:rsidRPr="002D4988">
        <w:rPr>
          <w:rFonts w:ascii="Arial Narrow" w:eastAsiaTheme="minorEastAsia" w:hAnsi="Arial Narrow"/>
          <w:bCs/>
          <w:snapToGrid w:val="0"/>
          <w:sz w:val="16"/>
          <w:szCs w:val="18"/>
          <w:lang w:eastAsia="en-US"/>
        </w:rPr>
        <w:t>.</w:t>
      </w:r>
      <w:r w:rsidRPr="002D4988">
        <w:rPr>
          <w:rFonts w:ascii="Arial Narrow" w:eastAsiaTheme="minorEastAsia" w:hAnsi="Arial Narrow"/>
          <w:snapToGrid w:val="0"/>
          <w:sz w:val="16"/>
          <w:szCs w:val="16"/>
          <w:lang w:eastAsia="en-US"/>
        </w:rPr>
        <w:t xml:space="preserve"> </w:t>
      </w:r>
      <w:r w:rsidRPr="002D4988">
        <w:rPr>
          <w:rFonts w:ascii="Arial Narrow" w:eastAsiaTheme="minorEastAsia" w:hAnsi="Arial Narrow"/>
          <w:bCs/>
          <w:snapToGrid w:val="0"/>
          <w:sz w:val="16"/>
          <w:szCs w:val="16"/>
          <w:lang w:eastAsia="en-US"/>
        </w:rPr>
        <w:t>Italics: results estimated during the evaluation. Bold typography indicate statistically significant differences. Blue line crossing zero.</w:t>
      </w:r>
    </w:p>
    <w:p w:rsidR="002D7B7A" w:rsidRPr="002D4988" w:rsidRDefault="002D7B7A" w:rsidP="002D7B7A">
      <w:pPr>
        <w:tabs>
          <w:tab w:val="left" w:pos="142"/>
        </w:tabs>
        <w:rPr>
          <w:rFonts w:ascii="Arial Narrow" w:eastAsiaTheme="minorEastAsia" w:hAnsi="Arial Narrow"/>
          <w:snapToGrid w:val="0"/>
          <w:sz w:val="16"/>
          <w:szCs w:val="18"/>
          <w:lang w:eastAsia="en-US"/>
        </w:rPr>
      </w:pPr>
      <w:r w:rsidRPr="002D4988">
        <w:rPr>
          <w:rFonts w:ascii="Arial Narrow" w:eastAsiaTheme="minorEastAsia" w:hAnsi="Arial Narrow"/>
          <w:b/>
          <w:bCs/>
          <w:snapToGrid w:val="0"/>
          <w:sz w:val="16"/>
          <w:szCs w:val="18"/>
          <w:lang w:eastAsia="en-US"/>
        </w:rPr>
        <w:t>^</w:t>
      </w:r>
      <w:r w:rsidRPr="002D4988">
        <w:rPr>
          <w:rFonts w:ascii="Arial Narrow" w:eastAsiaTheme="minorEastAsia" w:hAnsi="Arial Narrow"/>
          <w:b/>
          <w:bCs/>
          <w:snapToGrid w:val="0"/>
          <w:sz w:val="16"/>
          <w:szCs w:val="18"/>
          <w:lang w:eastAsia="en-US"/>
        </w:rPr>
        <w:tab/>
      </w:r>
      <w:r w:rsidRPr="002D4988">
        <w:rPr>
          <w:rFonts w:ascii="Arial Narrow" w:eastAsiaTheme="minorEastAsia" w:hAnsi="Arial Narrow"/>
          <w:snapToGrid w:val="0"/>
          <w:sz w:val="16"/>
          <w:szCs w:val="18"/>
          <w:lang w:eastAsia="en-US"/>
        </w:rPr>
        <w:t>estimated during the evaluation using random effects meta-analysis using RevMan Version 5.4.</w:t>
      </w:r>
    </w:p>
    <w:p w:rsidR="0073678E" w:rsidRPr="00C9724B" w:rsidRDefault="002D7B7A" w:rsidP="00C9724B">
      <w:pPr>
        <w:tabs>
          <w:tab w:val="left" w:pos="142"/>
        </w:tabs>
        <w:ind w:left="142" w:hanging="142"/>
        <w:contextualSpacing/>
        <w:rPr>
          <w:rFonts w:ascii="Arial Narrow" w:eastAsiaTheme="minorEastAsia" w:hAnsi="Arial Narrow"/>
          <w:snapToGrid w:val="0"/>
          <w:sz w:val="16"/>
          <w:szCs w:val="18"/>
          <w:lang w:eastAsia="en-US"/>
        </w:rPr>
      </w:pPr>
      <w:r w:rsidRPr="002D4988">
        <w:rPr>
          <w:rFonts w:ascii="Arial Narrow" w:eastAsiaTheme="minorEastAsia" w:hAnsi="Arial Narrow"/>
          <w:b/>
          <w:snapToGrid w:val="0"/>
          <w:sz w:val="18"/>
          <w:szCs w:val="18"/>
          <w:vertAlign w:val="superscript"/>
          <w:lang w:eastAsia="en-US"/>
        </w:rPr>
        <w:t>a</w:t>
      </w:r>
      <w:r w:rsidRPr="002D4988">
        <w:rPr>
          <w:rFonts w:ascii="Arial Narrow" w:eastAsiaTheme="minorEastAsia" w:hAnsi="Arial Narrow"/>
          <w:b/>
          <w:snapToGrid w:val="0"/>
          <w:sz w:val="18"/>
          <w:szCs w:val="18"/>
          <w:vertAlign w:val="superscript"/>
          <w:lang w:eastAsia="en-US"/>
        </w:rPr>
        <w:tab/>
        <w:t xml:space="preserve"> </w:t>
      </w:r>
      <w:r w:rsidRPr="002D4988">
        <w:rPr>
          <w:rFonts w:ascii="Arial Narrow" w:eastAsiaTheme="minorEastAsia" w:hAnsi="Arial Narrow"/>
          <w:snapToGrid w:val="0"/>
          <w:sz w:val="16"/>
          <w:szCs w:val="18"/>
          <w:lang w:eastAsia="en-US"/>
        </w:rPr>
        <w:t>GEMINI measured outcomes at Week 6 for induction and Week 52 for maintenance; Motoya 2019 measured outcomes at Week 10 for induction and Week 60 for maintenance.</w:t>
      </w:r>
    </w:p>
    <w:p w:rsidR="0073678E" w:rsidRPr="002D4988" w:rsidRDefault="00D6581F" w:rsidP="00E143D9">
      <w:pPr>
        <w:pStyle w:val="3-BodyText"/>
        <w:numPr>
          <w:ilvl w:val="0"/>
          <w:numId w:val="0"/>
        </w:numPr>
        <w:rPr>
          <w:snapToGrid/>
          <w:u w:val="single"/>
        </w:rPr>
      </w:pPr>
      <w:r w:rsidRPr="00F655C0">
        <w:rPr>
          <w:rFonts w:ascii="Arial Narrow" w:eastAsiaTheme="minorEastAsia" w:hAnsi="Arial Narrow"/>
          <w:sz w:val="15"/>
          <w:szCs w:val="15"/>
          <w:lang w:eastAsia="en-US"/>
        </w:rPr>
        <w:t xml:space="preserve"># Note that the redacted results presented in Table </w:t>
      </w:r>
      <w:r>
        <w:rPr>
          <w:rFonts w:ascii="Arial Narrow" w:eastAsiaTheme="minorEastAsia" w:hAnsi="Arial Narrow"/>
          <w:sz w:val="15"/>
          <w:szCs w:val="15"/>
          <w:lang w:eastAsia="en-US"/>
        </w:rPr>
        <w:t>8</w:t>
      </w:r>
      <w:bookmarkStart w:id="23" w:name="_GoBack"/>
      <w:bookmarkEnd w:id="23"/>
      <w:r w:rsidRPr="00F655C0">
        <w:rPr>
          <w:rFonts w:ascii="Arial Narrow" w:eastAsiaTheme="minorEastAsia" w:hAnsi="Arial Narrow"/>
          <w:sz w:val="15"/>
          <w:szCs w:val="15"/>
          <w:lang w:eastAsia="en-US"/>
        </w:rPr>
        <w:t xml:space="preserve"> were conducted during the evaluation specifically for the purposes of informing the PBAC consideration at the March 2019 PBAC meeting.  Interpretation of the results and their application should therefore be limited to seeking to understand the basis for the PBAC outcome and should not be used for any other purpose.</w:t>
      </w:r>
      <w:r w:rsidRPr="002D4988">
        <w:rPr>
          <w:rFonts w:ascii="Arial Narrow" w:eastAsiaTheme="minorEastAsia" w:hAnsi="Arial Narrow"/>
          <w:b/>
          <w:sz w:val="18"/>
          <w:szCs w:val="18"/>
          <w:lang w:eastAsia="en-US"/>
        </w:rPr>
        <w:br w:type="page"/>
      </w:r>
    </w:p>
    <w:p w:rsidR="0073678E" w:rsidRPr="002D4988" w:rsidRDefault="0073678E" w:rsidP="00E143D9">
      <w:pPr>
        <w:pStyle w:val="3-BodyText"/>
        <w:numPr>
          <w:ilvl w:val="0"/>
          <w:numId w:val="0"/>
        </w:numPr>
        <w:rPr>
          <w:snapToGrid/>
          <w:u w:val="single"/>
        </w:rPr>
      </w:pPr>
    </w:p>
    <w:p w:rsidR="00756104" w:rsidRPr="002D4988" w:rsidRDefault="00756104" w:rsidP="005E7FEB">
      <w:pPr>
        <w:pStyle w:val="3-BodyText"/>
        <w:keepNext/>
        <w:keepLines/>
      </w:pPr>
      <w:r w:rsidRPr="002D4988">
        <w:rPr>
          <w:rFonts w:eastAsiaTheme="minorHAnsi"/>
        </w:rPr>
        <w:t xml:space="preserve">The </w:t>
      </w:r>
      <w:r w:rsidR="00436A71" w:rsidRPr="002D4988">
        <w:rPr>
          <w:rFonts w:eastAsiaTheme="minorHAnsi"/>
        </w:rPr>
        <w:t>PSCR</w:t>
      </w:r>
      <w:r w:rsidR="00CB1024">
        <w:rPr>
          <w:rFonts w:eastAsiaTheme="minorHAnsi"/>
        </w:rPr>
        <w:t xml:space="preserve"> </w:t>
      </w:r>
      <w:r w:rsidR="00436A71" w:rsidRPr="002D4988">
        <w:rPr>
          <w:rFonts w:eastAsiaTheme="minorHAnsi"/>
        </w:rPr>
        <w:t>argued the TNFi naïve and experienced subgroup analyses were relevant to meeting the requirement of the Act to establish a population for whom TOF provides a significant improvement in efficacy or reduction in toxicity over the alternative therapies; specifically that TOF is more effective than ADA in TNFi experienced patients</w:t>
      </w:r>
      <w:r w:rsidR="00EF1F79" w:rsidRPr="002D4988">
        <w:rPr>
          <w:rFonts w:eastAsiaTheme="minorHAnsi"/>
        </w:rPr>
        <w:t xml:space="preserve"> in achieving remission</w:t>
      </w:r>
      <w:r w:rsidR="00436A71" w:rsidRPr="002D4988">
        <w:rPr>
          <w:rFonts w:eastAsiaTheme="minorHAnsi"/>
        </w:rPr>
        <w:t>. The p</w:t>
      </w:r>
      <w:r w:rsidRPr="002D4988">
        <w:rPr>
          <w:rFonts w:eastAsiaTheme="minorHAnsi"/>
        </w:rPr>
        <w:t xml:space="preserve">re-PBAC Response </w:t>
      </w:r>
      <w:r w:rsidR="00EF1F79" w:rsidRPr="002D4988">
        <w:rPr>
          <w:rFonts w:eastAsiaTheme="minorHAnsi"/>
        </w:rPr>
        <w:t xml:space="preserve">also </w:t>
      </w:r>
      <w:r w:rsidRPr="002D4988">
        <w:rPr>
          <w:rFonts w:eastAsiaTheme="minorHAnsi"/>
        </w:rPr>
        <w:t>argued that as the evidence support</w:t>
      </w:r>
      <w:r w:rsidR="00A71C02" w:rsidRPr="002D4988">
        <w:rPr>
          <w:rFonts w:eastAsiaTheme="minorHAnsi"/>
        </w:rPr>
        <w:t>ed</w:t>
      </w:r>
      <w:r w:rsidRPr="002D4988">
        <w:rPr>
          <w:rFonts w:eastAsiaTheme="minorHAnsi"/>
        </w:rPr>
        <w:t xml:space="preserve"> a conclusion that TOF is of non-inferior comparative efficacy to IFX in induction, it should follow that as ADA and GOL have previously been considered inferior to IFX in this treatment phase, TOF is also of superior comparative efficacy to these agents. </w:t>
      </w:r>
    </w:p>
    <w:p w:rsidR="00A46679" w:rsidRPr="002D4988" w:rsidRDefault="00A46679" w:rsidP="00A46679">
      <w:pPr>
        <w:pStyle w:val="3-BodyText"/>
        <w:rPr>
          <w:rFonts w:ascii="Times New Roman" w:hAnsi="Times New Roman" w:cs="Times New Roman"/>
        </w:rPr>
      </w:pPr>
      <w:r w:rsidRPr="002D4988">
        <w:t xml:space="preserve">The PBAC considered the more appropriate analyses </w:t>
      </w:r>
      <w:r w:rsidR="001C2333" w:rsidRPr="002D4988">
        <w:t>were</w:t>
      </w:r>
      <w:r w:rsidRPr="002D4988">
        <w:t xml:space="preserve"> those presented for the ITT population given both the requested listing for TOF and the current biologic therapy listings for MSUC are line-agnostic and allow for any sequence of therapies within a treatment cycle. </w:t>
      </w:r>
    </w:p>
    <w:p w:rsidR="008547DB" w:rsidRPr="002D4988" w:rsidRDefault="008547DB" w:rsidP="008547DB">
      <w:pPr>
        <w:widowControl w:val="0"/>
        <w:tabs>
          <w:tab w:val="num" w:pos="284"/>
        </w:tabs>
        <w:spacing w:after="160"/>
        <w:ind w:left="709"/>
        <w:rPr>
          <w:i/>
        </w:rPr>
      </w:pPr>
      <w:r w:rsidRPr="002D4988">
        <w:rPr>
          <w:i/>
        </w:rPr>
        <w:t>For more detail on PBAC’s view, see section 7 PBAC outcome.</w:t>
      </w:r>
    </w:p>
    <w:p w:rsidR="00B60939" w:rsidRPr="002D4988" w:rsidRDefault="00B60939" w:rsidP="00D86231">
      <w:pPr>
        <w:pStyle w:val="4-SubsectionHeading"/>
      </w:pPr>
      <w:bookmarkStart w:id="24" w:name="_Toc22897642"/>
      <w:bookmarkStart w:id="25" w:name="_Toc51163588"/>
      <w:r w:rsidRPr="002D4988">
        <w:t>Comparative harms</w:t>
      </w:r>
      <w:bookmarkEnd w:id="24"/>
      <w:bookmarkEnd w:id="25"/>
    </w:p>
    <w:p w:rsidR="00BC0889" w:rsidRPr="002D4988" w:rsidRDefault="008968CE" w:rsidP="00E143D9">
      <w:pPr>
        <w:pStyle w:val="3-BodyText"/>
      </w:pPr>
      <w:r w:rsidRPr="002D4988">
        <w:rPr>
          <w:rFonts w:eastAsiaTheme="minorEastAsia"/>
          <w:lang w:eastAsia="en-US"/>
        </w:rPr>
        <w:t xml:space="preserve">The resubmission did not present a formal indirect comparison between TOF and any of the relevant </w:t>
      </w:r>
      <w:r w:rsidR="003A1C1E" w:rsidRPr="002D4988">
        <w:rPr>
          <w:rFonts w:eastAsiaTheme="minorEastAsia"/>
          <w:lang w:eastAsia="en-US"/>
        </w:rPr>
        <w:t xml:space="preserve">alternative therapies </w:t>
      </w:r>
      <w:r w:rsidRPr="002D4988">
        <w:rPr>
          <w:rFonts w:eastAsiaTheme="minorEastAsia"/>
          <w:lang w:eastAsia="en-US"/>
        </w:rPr>
        <w:t>for safety outcomes, due to differences in trial methodologies.</w:t>
      </w:r>
      <w:r w:rsidR="0098240F" w:rsidRPr="002D4988">
        <w:rPr>
          <w:rFonts w:eastAsiaTheme="minorEastAsia"/>
          <w:lang w:eastAsia="en-US"/>
        </w:rPr>
        <w:t xml:space="preserve"> </w:t>
      </w:r>
      <w:r w:rsidR="00250D12" w:rsidRPr="002D4988">
        <w:rPr>
          <w:rFonts w:eastAsiaTheme="minorEastAsia"/>
          <w:lang w:eastAsia="en-US"/>
        </w:rPr>
        <w:t>T</w:t>
      </w:r>
      <w:r w:rsidRPr="002D4988">
        <w:rPr>
          <w:rFonts w:eastAsiaTheme="minorEastAsia"/>
          <w:lang w:eastAsia="en-US"/>
        </w:rPr>
        <w:t xml:space="preserve">he </w:t>
      </w:r>
      <w:r w:rsidRPr="002D4988">
        <w:rPr>
          <w:rFonts w:ascii="Calibri" w:hAnsi="Calibri" w:cs="Calibri"/>
        </w:rPr>
        <w:t>PBAC</w:t>
      </w:r>
      <w:r w:rsidR="00250D12" w:rsidRPr="002D4988">
        <w:rPr>
          <w:rFonts w:ascii="Calibri" w:hAnsi="Calibri" w:cs="Calibri"/>
        </w:rPr>
        <w:t xml:space="preserve"> previously</w:t>
      </w:r>
      <w:r w:rsidRPr="002D4988">
        <w:rPr>
          <w:rFonts w:ascii="Calibri" w:hAnsi="Calibri" w:cs="Calibri"/>
        </w:rPr>
        <w:t xml:space="preserve"> considered the claim of non-inferior comparative safety to IFX was uncertain but may be reasonable. The PBAC also</w:t>
      </w:r>
      <w:r w:rsidR="00250D12" w:rsidRPr="002D4988">
        <w:rPr>
          <w:rFonts w:ascii="Calibri" w:hAnsi="Calibri" w:cs="Calibri"/>
        </w:rPr>
        <w:t xml:space="preserve"> previously</w:t>
      </w:r>
      <w:r w:rsidRPr="002D4988">
        <w:rPr>
          <w:rFonts w:ascii="Calibri" w:hAnsi="Calibri" w:cs="Calibri"/>
        </w:rPr>
        <w:t xml:space="preserve"> considered the evidence presented did not support a conclusion that TOF provided a significant reduction in toxicity compared to any of the currently listed biologics for MSUC (paragraph 7.6, </w:t>
      </w:r>
      <w:r w:rsidR="00250D12" w:rsidRPr="002D4988">
        <w:rPr>
          <w:rFonts w:ascii="Calibri" w:hAnsi="Calibri" w:cs="Calibri"/>
        </w:rPr>
        <w:t xml:space="preserve">TOF PSD, </w:t>
      </w:r>
      <w:r w:rsidRPr="002D4988">
        <w:rPr>
          <w:rFonts w:ascii="Calibri" w:hAnsi="Calibri" w:cs="Calibri"/>
        </w:rPr>
        <w:t xml:space="preserve">March 2019 </w:t>
      </w:r>
      <w:r w:rsidR="00250D12" w:rsidRPr="002D4988">
        <w:rPr>
          <w:rFonts w:ascii="Calibri" w:hAnsi="Calibri" w:cs="Calibri"/>
        </w:rPr>
        <w:t>PBAC meeting</w:t>
      </w:r>
      <w:r w:rsidRPr="002D4988">
        <w:rPr>
          <w:rFonts w:ascii="Calibri" w:hAnsi="Calibri" w:cs="Calibri"/>
        </w:rPr>
        <w:t>).</w:t>
      </w:r>
      <w:r w:rsidR="0098240F" w:rsidRPr="002D4988">
        <w:rPr>
          <w:rFonts w:ascii="Calibri" w:hAnsi="Calibri" w:cs="Calibri"/>
        </w:rPr>
        <w:t xml:space="preserve"> </w:t>
      </w:r>
    </w:p>
    <w:p w:rsidR="005904D9" w:rsidRPr="002D4988" w:rsidRDefault="008968CE" w:rsidP="00E143D9">
      <w:pPr>
        <w:pStyle w:val="3-BodyText"/>
      </w:pPr>
      <w:r w:rsidRPr="002D4988">
        <w:rPr>
          <w:rFonts w:ascii="Calibri" w:hAnsi="Calibri" w:cs="Calibri"/>
        </w:rPr>
        <w:t>Finally, the PBAC noted the 10mg strength of TOF was associated with more infections tha</w:t>
      </w:r>
      <w:r w:rsidR="0056740C" w:rsidRPr="002D4988">
        <w:rPr>
          <w:rFonts w:ascii="Calibri" w:hAnsi="Calibri" w:cs="Calibri"/>
        </w:rPr>
        <w:t>n the</w:t>
      </w:r>
      <w:r w:rsidRPr="002D4988">
        <w:rPr>
          <w:rFonts w:ascii="Calibri" w:hAnsi="Calibri" w:cs="Calibri"/>
        </w:rPr>
        <w:t xml:space="preserve"> 5mg strength of TOF (paragraph 6.40, </w:t>
      </w:r>
      <w:r w:rsidR="00250D12" w:rsidRPr="002D4988">
        <w:rPr>
          <w:rFonts w:ascii="Calibri" w:hAnsi="Calibri" w:cs="Calibri"/>
        </w:rPr>
        <w:t>TOF PSD, March 2019 PBAC meeting</w:t>
      </w:r>
      <w:r w:rsidRPr="002D4988">
        <w:rPr>
          <w:rFonts w:ascii="Calibri" w:hAnsi="Calibri" w:cs="Calibri"/>
        </w:rPr>
        <w:t>).</w:t>
      </w:r>
      <w:r w:rsidR="0098240F" w:rsidRPr="002D4988">
        <w:rPr>
          <w:rFonts w:ascii="Calibri" w:hAnsi="Calibri" w:cs="Calibri"/>
        </w:rPr>
        <w:t xml:space="preserve"> </w:t>
      </w:r>
      <w:r w:rsidRPr="002D4988">
        <w:rPr>
          <w:rFonts w:ascii="Calibri" w:hAnsi="Calibri" w:cs="Calibri"/>
        </w:rPr>
        <w:t xml:space="preserve">Results provided in </w:t>
      </w:r>
      <w:r w:rsidRPr="002D4988">
        <w:rPr>
          <w:rFonts w:eastAsiaTheme="minorEastAsia"/>
          <w:lang w:eastAsia="en-US"/>
        </w:rPr>
        <w:t xml:space="preserve">the March 2019 submission provided an indirect comparison between TOF and IFX for safety outcomes, </w:t>
      </w:r>
      <w:r w:rsidR="00250D12" w:rsidRPr="002D4988">
        <w:rPr>
          <w:rFonts w:eastAsiaTheme="minorEastAsia"/>
          <w:lang w:eastAsia="en-US"/>
        </w:rPr>
        <w:t xml:space="preserve">which </w:t>
      </w:r>
      <w:r w:rsidRPr="002D4988">
        <w:rPr>
          <w:rFonts w:eastAsiaTheme="minorEastAsia"/>
          <w:lang w:eastAsia="en-US"/>
        </w:rPr>
        <w:t>showed significantly greater risk of infections with TOF compared to IFX.</w:t>
      </w:r>
      <w:r w:rsidR="0098240F" w:rsidRPr="002D4988">
        <w:rPr>
          <w:rFonts w:eastAsiaTheme="minorEastAsia"/>
          <w:lang w:eastAsia="en-US"/>
        </w:rPr>
        <w:t xml:space="preserve"> </w:t>
      </w:r>
      <w:r w:rsidRPr="002D4988">
        <w:rPr>
          <w:rFonts w:eastAsiaTheme="minorEastAsia"/>
          <w:lang w:eastAsia="en-US"/>
        </w:rPr>
        <w:t>Given the above points, no new safety information has been provided to inform the comparison of TOF to IFX, ADA, GOL and VDZ</w:t>
      </w:r>
      <w:r w:rsidR="00BA531C" w:rsidRPr="002D4988">
        <w:rPr>
          <w:rFonts w:eastAsiaTheme="minorEastAsia"/>
          <w:lang w:eastAsia="en-US"/>
        </w:rPr>
        <w:t>.</w:t>
      </w:r>
    </w:p>
    <w:p w:rsidR="00DC7941" w:rsidRPr="002D4988" w:rsidRDefault="00DC7941" w:rsidP="00DC7941">
      <w:pPr>
        <w:pStyle w:val="4-SubsectionHeading"/>
        <w:rPr>
          <w:i w:val="0"/>
        </w:rPr>
      </w:pPr>
      <w:bookmarkStart w:id="26" w:name="_Toc51163589"/>
      <w:r w:rsidRPr="002D4988">
        <w:rPr>
          <w:i w:val="0"/>
        </w:rPr>
        <w:t>Benefits/harms</w:t>
      </w:r>
      <w:bookmarkEnd w:id="26"/>
      <w:r w:rsidR="0098240F" w:rsidRPr="002D4988">
        <w:rPr>
          <w:i w:val="0"/>
        </w:rPr>
        <w:t xml:space="preserve"> </w:t>
      </w:r>
    </w:p>
    <w:p w:rsidR="001C7EF5" w:rsidRPr="002D4988" w:rsidRDefault="00DC7941" w:rsidP="00E143D9">
      <w:pPr>
        <w:pStyle w:val="3-BodyText"/>
      </w:pPr>
      <w:r w:rsidRPr="002D4988">
        <w:t xml:space="preserve">Based on the non-inferiority results presented in the resubmission, no benefits and harms table </w:t>
      </w:r>
      <w:r w:rsidR="00E24E4B" w:rsidRPr="002D4988">
        <w:t>was</w:t>
      </w:r>
      <w:r w:rsidRPr="002D4988">
        <w:t xml:space="preserve"> compiled</w:t>
      </w:r>
      <w:r w:rsidR="001C7EF5" w:rsidRPr="002D4988">
        <w:t>.</w:t>
      </w:r>
    </w:p>
    <w:p w:rsidR="000E1FCE" w:rsidRPr="002D4988" w:rsidRDefault="000E1FCE" w:rsidP="000E1FCE">
      <w:pPr>
        <w:pStyle w:val="4-SubsectionHeading"/>
      </w:pPr>
      <w:bookmarkStart w:id="27" w:name="_Toc22897644"/>
      <w:bookmarkStart w:id="28" w:name="_Toc51163590"/>
      <w:bookmarkStart w:id="29" w:name="_Toc22897645"/>
      <w:bookmarkStart w:id="30" w:name="_Toc51163591"/>
      <w:r w:rsidRPr="002D4988">
        <w:t>Clinical claim</w:t>
      </w:r>
      <w:bookmarkEnd w:id="27"/>
      <w:bookmarkEnd w:id="28"/>
    </w:p>
    <w:p w:rsidR="00EF1F79" w:rsidRPr="002D4988" w:rsidRDefault="00EF1F79" w:rsidP="00EF1F79">
      <w:pPr>
        <w:pStyle w:val="3-BodyText"/>
        <w:numPr>
          <w:ilvl w:val="0"/>
          <w:numId w:val="0"/>
        </w:numPr>
        <w:ind w:left="720" w:hanging="720"/>
        <w:rPr>
          <w:i/>
        </w:rPr>
      </w:pPr>
      <w:r w:rsidRPr="002D4988">
        <w:rPr>
          <w:i/>
        </w:rPr>
        <w:t>Sub-group analyses</w:t>
      </w:r>
    </w:p>
    <w:p w:rsidR="00BC0889" w:rsidRPr="002D4988" w:rsidRDefault="00EF1F79" w:rsidP="00E143D9">
      <w:pPr>
        <w:pStyle w:val="3-BodyText"/>
        <w:rPr>
          <w:rFonts w:eastAsia="Calibri"/>
        </w:rPr>
      </w:pPr>
      <w:r w:rsidRPr="002D4988">
        <w:rPr>
          <w:rFonts w:eastAsia="Calibri"/>
        </w:rPr>
        <w:t>Based on the results of the sub-group analysis undertaken f</w:t>
      </w:r>
      <w:r w:rsidR="000E1FCE" w:rsidRPr="002D4988">
        <w:rPr>
          <w:rFonts w:eastAsia="Calibri"/>
        </w:rPr>
        <w:t>or TNFi naïve patients, the resubmission described TOF as non-inferior in terms of effectiveness compared with IFX, VDZ, ADA and GOL.</w:t>
      </w:r>
      <w:r w:rsidR="0098240F" w:rsidRPr="002D4988">
        <w:rPr>
          <w:rFonts w:eastAsia="Calibri"/>
        </w:rPr>
        <w:t xml:space="preserve"> </w:t>
      </w:r>
      <w:r w:rsidR="000E1FCE" w:rsidRPr="002D4988">
        <w:rPr>
          <w:rFonts w:eastAsia="Calibri"/>
        </w:rPr>
        <w:t xml:space="preserve">For TNFi experienced patients, the resubmission described </w:t>
      </w:r>
      <w:r w:rsidR="000E1FCE" w:rsidRPr="002D4988">
        <w:rPr>
          <w:rFonts w:eastAsia="Calibri"/>
        </w:rPr>
        <w:lastRenderedPageBreak/>
        <w:t xml:space="preserve">TOF as superior in terms of effectiveness compared with ADA </w:t>
      </w:r>
      <w:r w:rsidRPr="002D4988">
        <w:rPr>
          <w:rFonts w:eastAsia="Calibri"/>
        </w:rPr>
        <w:t xml:space="preserve">and, by extension </w:t>
      </w:r>
      <w:r w:rsidR="00285D5F" w:rsidRPr="002D4988">
        <w:rPr>
          <w:rFonts w:eastAsia="Calibri"/>
        </w:rPr>
        <w:t>with GOL</w:t>
      </w:r>
      <w:r w:rsidR="000E1FCE" w:rsidRPr="002D4988">
        <w:rPr>
          <w:rFonts w:eastAsia="Calibri"/>
        </w:rPr>
        <w:t xml:space="preserve">, and non-inferior in terms of effectiveness compared with VDZ. </w:t>
      </w:r>
      <w:r w:rsidR="000E1FCE" w:rsidRPr="002D4988">
        <w:t xml:space="preserve">The resubmission did not make a claim in terms of effectiveness versus IFX for this sub-group of patients. </w:t>
      </w:r>
    </w:p>
    <w:p w:rsidR="000E1FCE" w:rsidRPr="002D4988" w:rsidRDefault="000E1FCE" w:rsidP="00E143D9">
      <w:pPr>
        <w:pStyle w:val="3-BodyText"/>
        <w:rPr>
          <w:rFonts w:eastAsia="Calibri"/>
        </w:rPr>
      </w:pPr>
      <w:r w:rsidRPr="002D4988">
        <w:t xml:space="preserve">The resubmission described TOF as non-inferior </w:t>
      </w:r>
      <w:r w:rsidRPr="002D4988">
        <w:rPr>
          <w:rStyle w:val="CommentReference"/>
          <w:rFonts w:ascii="Calibri" w:hAnsi="Calibri" w:cs="Calibri"/>
          <w:b w:val="0"/>
          <w:sz w:val="24"/>
          <w:szCs w:val="24"/>
        </w:rPr>
        <w:t>in terms of safety compared to IFX, VDZ, ADA and GOL</w:t>
      </w:r>
      <w:r w:rsidR="00D22E63" w:rsidRPr="002D4988">
        <w:rPr>
          <w:rStyle w:val="CommentReference"/>
          <w:rFonts w:ascii="Calibri" w:hAnsi="Calibri" w:cs="Calibri"/>
          <w:b w:val="0"/>
          <w:sz w:val="24"/>
          <w:szCs w:val="24"/>
        </w:rPr>
        <w:t>.</w:t>
      </w:r>
      <w:r w:rsidRPr="002D4988">
        <w:t xml:space="preserve"> </w:t>
      </w:r>
    </w:p>
    <w:p w:rsidR="00EF1F79" w:rsidRPr="002D4988" w:rsidRDefault="00EF1F79" w:rsidP="00EF1F79">
      <w:pPr>
        <w:pStyle w:val="3-BodyText"/>
        <w:numPr>
          <w:ilvl w:val="0"/>
          <w:numId w:val="0"/>
        </w:numPr>
        <w:rPr>
          <w:rFonts w:eastAsia="Calibri"/>
          <w:i/>
        </w:rPr>
      </w:pPr>
      <w:r w:rsidRPr="002D4988">
        <w:rPr>
          <w:rFonts w:eastAsia="Calibri"/>
          <w:i/>
        </w:rPr>
        <w:t>Intention to treat (ITT) analyses</w:t>
      </w:r>
    </w:p>
    <w:p w:rsidR="000E1FCE" w:rsidRPr="002D4988" w:rsidRDefault="00EF1F79" w:rsidP="00E143D9">
      <w:pPr>
        <w:pStyle w:val="3-BodyText"/>
        <w:rPr>
          <w:rFonts w:eastAsia="Calibri"/>
        </w:rPr>
      </w:pPr>
      <w:r w:rsidRPr="002D4988">
        <w:t>U</w:t>
      </w:r>
      <w:r w:rsidR="000E1FCE" w:rsidRPr="002D4988">
        <w:t xml:space="preserve">sing results for the ITT populations </w:t>
      </w:r>
      <w:r w:rsidRPr="002D4988">
        <w:t xml:space="preserve">on the basis that </w:t>
      </w:r>
      <w:r w:rsidR="000E1FCE" w:rsidRPr="002D4988">
        <w:t xml:space="preserve">this </w:t>
      </w:r>
      <w:r w:rsidR="00BC0889" w:rsidRPr="002D4988">
        <w:t xml:space="preserve">may be </w:t>
      </w:r>
      <w:r w:rsidR="000E1FCE" w:rsidRPr="002D4988">
        <w:t>the most relevant population to consider given TOF and any other biologic can be used in any order on the PBS</w:t>
      </w:r>
      <w:r w:rsidRPr="002D4988">
        <w:t>, the evaluation considered that:</w:t>
      </w:r>
    </w:p>
    <w:p w:rsidR="000E1FCE" w:rsidRPr="002D4988" w:rsidRDefault="000E1FCE" w:rsidP="00D22E63">
      <w:pPr>
        <w:pStyle w:val="ListParagraph"/>
        <w:rPr>
          <w:rFonts w:eastAsia="Calibri"/>
        </w:rPr>
      </w:pPr>
      <w:r w:rsidRPr="002D4988">
        <w:t xml:space="preserve">TOF may be non-inferior to IFX: While TOF in induction was statistically significantly less effective than IFX for the outcome of clinical remission, it was only when the IFX trials were limited to ACT 1 and 2 and only using </w:t>
      </w:r>
      <w:r w:rsidR="00D22E63" w:rsidRPr="002D4988">
        <w:t xml:space="preserve">the </w:t>
      </w:r>
      <w:r w:rsidR="00C05D9A" w:rsidRPr="002D4988">
        <w:t>RD</w:t>
      </w:r>
      <w:r w:rsidR="00D22E63" w:rsidRPr="002D4988">
        <w:t xml:space="preserve"> statistic. </w:t>
      </w:r>
      <w:r w:rsidRPr="002D4988">
        <w:t>There were no significant differences between TOF and IFX for the</w:t>
      </w:r>
      <w:r w:rsidR="00D22E63" w:rsidRPr="002D4988">
        <w:t xml:space="preserve"> outcome of clinical response. </w:t>
      </w:r>
      <w:r w:rsidRPr="002D4988">
        <w:t>Efficacy in maintenance treatment between TOF and IFX was however not able to be indirectly compared due to significant differences in trial designs.</w:t>
      </w:r>
    </w:p>
    <w:p w:rsidR="000E1FCE" w:rsidRPr="002D4988" w:rsidRDefault="000E1FCE" w:rsidP="00D22E63">
      <w:pPr>
        <w:pStyle w:val="ListParagraph"/>
        <w:rPr>
          <w:rFonts w:eastAsia="Calibri"/>
        </w:rPr>
      </w:pPr>
      <w:r w:rsidRPr="002D4988">
        <w:t xml:space="preserve">TOF may be non-inferior to VDZ: There were no significant differences between TOF and VDZ for induction, but in maintenance for sustained clinical remission the indirect comparison found TOF 10 mg, but not TOF 5 mg, was more effective than VDZ, using the </w:t>
      </w:r>
      <w:r w:rsidR="00D22E63" w:rsidRPr="002D4988">
        <w:t>RR</w:t>
      </w:r>
      <w:r w:rsidRPr="002D4988">
        <w:t xml:space="preserve"> statistic (RR=2.33, 95% CI: 1.04, 5.23) but the</w:t>
      </w:r>
      <w:r w:rsidR="00D22E63" w:rsidRPr="002D4988">
        <w:t xml:space="preserve"> lower 95% CI was nearing one. </w:t>
      </w:r>
      <w:r w:rsidRPr="002D4988">
        <w:t>However, there were no significant differences between TOF and VDZ on sustained clinical response.</w:t>
      </w:r>
    </w:p>
    <w:p w:rsidR="000E1FCE" w:rsidRPr="002D4988" w:rsidRDefault="000E1FCE" w:rsidP="00D22E63">
      <w:pPr>
        <w:pStyle w:val="ListParagraph"/>
        <w:rPr>
          <w:rFonts w:eastAsia="Calibri"/>
        </w:rPr>
      </w:pPr>
      <w:r w:rsidRPr="002D4988">
        <w:t>TOF may be non-inferior to GOL: There were no significant differences between the two drugs for any outcome in either induction or maintenance.</w:t>
      </w:r>
    </w:p>
    <w:p w:rsidR="000E1FCE" w:rsidRPr="002D4988" w:rsidRDefault="000E1FCE" w:rsidP="00D22E63">
      <w:pPr>
        <w:pStyle w:val="ListParagraph"/>
        <w:rPr>
          <w:rFonts w:eastAsia="Calibri"/>
        </w:rPr>
      </w:pPr>
      <w:r w:rsidRPr="002D4988">
        <w:t>TOF may be superior to ADA: TOF was significantly more effective than ADA for induction for the outcome of clinical respo</w:t>
      </w:r>
      <w:r w:rsidR="00D22E63" w:rsidRPr="002D4988">
        <w:t>nse but not clinical remission.</w:t>
      </w:r>
      <w:r w:rsidRPr="002D4988">
        <w:t xml:space="preserve"> </w:t>
      </w:r>
      <w:r w:rsidRPr="002D4988">
        <w:rPr>
          <w:rStyle w:val="CommentReference"/>
          <w:rFonts w:ascii="Calibri" w:hAnsi="Calibri" w:cs="Calibri"/>
          <w:b w:val="0"/>
          <w:iCs w:val="0"/>
          <w:sz w:val="24"/>
          <w:szCs w:val="24"/>
        </w:rPr>
        <w:t>However, the result should be interpreted with caution</w:t>
      </w:r>
      <w:r w:rsidR="00B931B5" w:rsidRPr="002D4988">
        <w:rPr>
          <w:rStyle w:val="CommentReference"/>
          <w:rFonts w:ascii="Calibri" w:hAnsi="Calibri" w:cs="Calibri"/>
          <w:b w:val="0"/>
          <w:iCs w:val="0"/>
          <w:sz w:val="24"/>
          <w:szCs w:val="24"/>
        </w:rPr>
        <w:t>:</w:t>
      </w:r>
      <w:r w:rsidRPr="002D4988">
        <w:rPr>
          <w:rStyle w:val="CommentReference"/>
          <w:rFonts w:ascii="Calibri" w:hAnsi="Calibri" w:cs="Calibri"/>
          <w:b w:val="0"/>
          <w:iCs w:val="0"/>
          <w:sz w:val="24"/>
          <w:szCs w:val="24"/>
        </w:rPr>
        <w:t xml:space="preserve"> the ADA trials used a more </w:t>
      </w:r>
      <w:r w:rsidR="00D22E63" w:rsidRPr="002D4988">
        <w:rPr>
          <w:rStyle w:val="CommentReference"/>
          <w:rFonts w:ascii="Calibri" w:hAnsi="Calibri" w:cs="Calibri"/>
          <w:b w:val="0"/>
          <w:iCs w:val="0"/>
          <w:sz w:val="24"/>
          <w:szCs w:val="24"/>
        </w:rPr>
        <w:t xml:space="preserve">conservative </w:t>
      </w:r>
      <w:r w:rsidRPr="002D4988">
        <w:rPr>
          <w:rStyle w:val="CommentReference"/>
          <w:rFonts w:ascii="Calibri" w:hAnsi="Calibri" w:cs="Calibri"/>
          <w:b w:val="0"/>
          <w:iCs w:val="0"/>
          <w:sz w:val="24"/>
          <w:szCs w:val="24"/>
        </w:rPr>
        <w:t xml:space="preserve">method to calculate Mayo </w:t>
      </w:r>
      <w:r w:rsidR="007F7239" w:rsidRPr="002D4988">
        <w:rPr>
          <w:rStyle w:val="CommentReference"/>
          <w:rFonts w:ascii="Calibri" w:hAnsi="Calibri" w:cs="Calibri"/>
          <w:b w:val="0"/>
          <w:iCs w:val="0"/>
          <w:sz w:val="24"/>
          <w:szCs w:val="24"/>
        </w:rPr>
        <w:t>subscores</w:t>
      </w:r>
      <w:r w:rsidR="007F7239" w:rsidRPr="002D4988">
        <w:rPr>
          <w:rStyle w:val="CommentReference"/>
          <w:rFonts w:ascii="Calibri" w:hAnsi="Calibri" w:cs="Calibri"/>
          <w:b w:val="0"/>
          <w:i/>
          <w:iCs w:val="0"/>
          <w:sz w:val="24"/>
          <w:szCs w:val="24"/>
        </w:rPr>
        <w:t xml:space="preserve"> </w:t>
      </w:r>
      <w:r w:rsidR="007F7239" w:rsidRPr="002D4988">
        <w:rPr>
          <w:rStyle w:val="CommentReference"/>
          <w:rFonts w:ascii="Calibri" w:hAnsi="Calibri" w:cs="Calibri"/>
          <w:b w:val="0"/>
          <w:iCs w:val="0"/>
          <w:sz w:val="24"/>
          <w:szCs w:val="24"/>
        </w:rPr>
        <w:t>(</w:t>
      </w:r>
      <w:r w:rsidR="00B931B5" w:rsidRPr="002D4988">
        <w:rPr>
          <w:rStyle w:val="CommentReference"/>
          <w:rFonts w:ascii="Calibri" w:hAnsi="Calibri" w:cs="Calibri"/>
          <w:b w:val="0"/>
          <w:iCs w:val="0"/>
          <w:sz w:val="24"/>
          <w:szCs w:val="24"/>
        </w:rPr>
        <w:t xml:space="preserve">using the worst score on any day in the measurement period vs. an average used in the TOF trials); but the TOF trials required a rectal bleeding subscore of 0, irrespective of other measurements, whilst the ADA trials did not. There may be biasing factors in both directions and their overall impact was </w:t>
      </w:r>
      <w:r w:rsidR="007F7239" w:rsidRPr="002D4988">
        <w:rPr>
          <w:rStyle w:val="CommentReference"/>
          <w:rFonts w:ascii="Calibri" w:hAnsi="Calibri" w:cs="Calibri"/>
          <w:b w:val="0"/>
          <w:iCs w:val="0"/>
          <w:sz w:val="24"/>
          <w:szCs w:val="24"/>
        </w:rPr>
        <w:t>uncertain.</w:t>
      </w:r>
      <w:r w:rsidR="007F7239" w:rsidRPr="002D4988">
        <w:t xml:space="preserve"> Efficacy</w:t>
      </w:r>
      <w:r w:rsidRPr="002D4988">
        <w:t xml:space="preserve"> in maintenance between TOF and ADA was not able to be indirectly compared due to significant differences in trial designs.</w:t>
      </w:r>
      <w:r w:rsidR="006A5B5B" w:rsidRPr="002D4988">
        <w:t xml:space="preserve"> Furthermore, the use of indirect comparisons to support this claim and the fact comparative outcomes results were mixed (i.e. statistically superior for response but not for remission) further highlights the uncertainty as to whether </w:t>
      </w:r>
      <w:r w:rsidR="00B47482" w:rsidRPr="002D4988">
        <w:t>a claim of superior comparative efficacy to ADA is adequately supported</w:t>
      </w:r>
      <w:r w:rsidR="006A5B5B" w:rsidRPr="002D4988">
        <w:t>.</w:t>
      </w:r>
    </w:p>
    <w:p w:rsidR="00BC0889" w:rsidRPr="002D4988" w:rsidRDefault="00D22E63" w:rsidP="00E143D9">
      <w:pPr>
        <w:pStyle w:val="3-BodyText"/>
        <w:rPr>
          <w:rFonts w:eastAsia="Calibri"/>
        </w:rPr>
      </w:pPr>
      <w:r w:rsidRPr="002D4988">
        <w:t>C</w:t>
      </w:r>
      <w:r w:rsidR="000E1FCE" w:rsidRPr="002D4988">
        <w:t>omparative evidence</w:t>
      </w:r>
      <w:r w:rsidRPr="002D4988">
        <w:t xml:space="preserve"> </w:t>
      </w:r>
      <w:r w:rsidR="00EF1F79" w:rsidRPr="002D4988">
        <w:t xml:space="preserve">for safety </w:t>
      </w:r>
      <w:r w:rsidRPr="002D4988">
        <w:t>was</w:t>
      </w:r>
      <w:r w:rsidR="000E1FCE" w:rsidRPr="002D4988">
        <w:t xml:space="preserve"> </w:t>
      </w:r>
      <w:r w:rsidR="00EF1F79" w:rsidRPr="002D4988">
        <w:t xml:space="preserve">as </w:t>
      </w:r>
      <w:r w:rsidR="000E1FCE" w:rsidRPr="002D4988">
        <w:t xml:space="preserve">previously seen by the PBAC, including demonstration of more infections observed with TOF compared to IFX, as well as </w:t>
      </w:r>
      <w:r w:rsidR="000E1FCE" w:rsidRPr="002D4988">
        <w:rPr>
          <w:rFonts w:ascii="Calibri" w:hAnsi="Calibri" w:cs="Calibri"/>
        </w:rPr>
        <w:t xml:space="preserve">the </w:t>
      </w:r>
      <w:r w:rsidR="000E1FCE" w:rsidRPr="002D4988">
        <w:rPr>
          <w:rFonts w:ascii="Calibri" w:hAnsi="Calibri" w:cs="Calibri"/>
        </w:rPr>
        <w:lastRenderedPageBreak/>
        <w:t>10 mg strength of TOF being associated with more infections tha</w:t>
      </w:r>
      <w:r w:rsidRPr="002D4988">
        <w:rPr>
          <w:rFonts w:ascii="Calibri" w:hAnsi="Calibri" w:cs="Calibri"/>
        </w:rPr>
        <w:t>n</w:t>
      </w:r>
      <w:r w:rsidR="000E1FCE" w:rsidRPr="002D4988">
        <w:rPr>
          <w:rFonts w:ascii="Calibri" w:hAnsi="Calibri" w:cs="Calibri"/>
        </w:rPr>
        <w:t xml:space="preserve"> 5 mg strength of TOF (paragraph 6.40, TOF PSD March 2019)</w:t>
      </w:r>
      <w:r w:rsidRPr="002D4988">
        <w:rPr>
          <w:rFonts w:ascii="Calibri" w:hAnsi="Calibri" w:cs="Calibri"/>
        </w:rPr>
        <w:t>.</w:t>
      </w:r>
      <w:r w:rsidR="000E1FCE" w:rsidRPr="002D4988">
        <w:rPr>
          <w:rFonts w:ascii="Calibri" w:hAnsi="Calibri" w:cs="Calibri"/>
        </w:rPr>
        <w:t xml:space="preserve"> </w:t>
      </w:r>
    </w:p>
    <w:p w:rsidR="00BC0889" w:rsidRPr="002D4988" w:rsidRDefault="00BC0889" w:rsidP="00BC0889">
      <w:pPr>
        <w:pStyle w:val="3-BodyText"/>
      </w:pPr>
      <w:r w:rsidRPr="002D4988">
        <w:rPr>
          <w:rFonts w:eastAsiaTheme="minorHAnsi"/>
        </w:rPr>
        <w:t>The ESC considered that while there were limitations with the indirect comparisons due to exchangeability issues with the trials, the presented analyses may support a conclusion that TOF has superior efficacy to ADA and is non-inferior to IFX for induction (noting TOF could not be reliably compared to these therapies in the maintenance phase due to differences in trial designs); and may be non-inferior in terms of efficacy to GOL and VDZ for both induction and maintenance in MSUC. The ESC noted the indirect comparison with GOL had the least exchangeability issues.</w:t>
      </w:r>
    </w:p>
    <w:p w:rsidR="008547DB" w:rsidRPr="002D4988" w:rsidRDefault="000E1FCE" w:rsidP="00BC0889">
      <w:pPr>
        <w:pStyle w:val="3-BodyText"/>
        <w:rPr>
          <w:rFonts w:eastAsiaTheme="minorEastAsia"/>
        </w:rPr>
      </w:pPr>
      <w:r w:rsidRPr="002D4988">
        <w:rPr>
          <w:rFonts w:eastAsiaTheme="minorHAnsi"/>
        </w:rPr>
        <w:t xml:space="preserve">The tables below provide a summary of the </w:t>
      </w:r>
      <w:r w:rsidR="00EF1F79" w:rsidRPr="002D4988">
        <w:rPr>
          <w:rFonts w:eastAsiaTheme="minorHAnsi"/>
        </w:rPr>
        <w:t>PBAC’s previous conclusions</w:t>
      </w:r>
      <w:r w:rsidRPr="002D4988">
        <w:rPr>
          <w:rFonts w:eastAsiaTheme="minorHAnsi"/>
        </w:rPr>
        <w:t xml:space="preserve"> for each </w:t>
      </w:r>
      <w:r w:rsidR="00EF1F79" w:rsidRPr="002D4988">
        <w:rPr>
          <w:rFonts w:eastAsiaTheme="minorHAnsi"/>
        </w:rPr>
        <w:t>VDZ, ADA</w:t>
      </w:r>
      <w:r w:rsidR="00EF1F79" w:rsidRPr="002D4988">
        <w:rPr>
          <w:rFonts w:eastAsiaTheme="minorEastAsia"/>
        </w:rPr>
        <w:t xml:space="preserve"> and GOL versus INF (the first biological therapy PBS listed by MSUC) and </w:t>
      </w:r>
      <w:r w:rsidR="00BC0889" w:rsidRPr="002D4988">
        <w:rPr>
          <w:rFonts w:eastAsiaTheme="minorEastAsia"/>
        </w:rPr>
        <w:t xml:space="preserve">with </w:t>
      </w:r>
      <w:r w:rsidR="00EF1F79" w:rsidRPr="002D4988">
        <w:rPr>
          <w:rFonts w:eastAsiaTheme="minorEastAsia"/>
        </w:rPr>
        <w:t>each other. The TOF comparisons were added during the evaluation</w:t>
      </w:r>
      <w:r w:rsidR="00BC0889" w:rsidRPr="002D4988">
        <w:rPr>
          <w:rFonts w:eastAsiaTheme="minorEastAsia"/>
        </w:rPr>
        <w:t xml:space="preserve"> of the resubmission</w:t>
      </w:r>
      <w:r w:rsidR="00EF1F79" w:rsidRPr="002D4988">
        <w:rPr>
          <w:rFonts w:eastAsiaTheme="minorEastAsia"/>
        </w:rPr>
        <w:t xml:space="preserve">. </w:t>
      </w:r>
    </w:p>
    <w:p w:rsidR="000E1FCE" w:rsidRPr="002D4988" w:rsidRDefault="000E1FCE" w:rsidP="00863D64">
      <w:pPr>
        <w:pStyle w:val="3-BodyText"/>
        <w:keepNext/>
        <w:numPr>
          <w:ilvl w:val="0"/>
          <w:numId w:val="0"/>
        </w:numPr>
        <w:rPr>
          <w:rStyle w:val="CommentReference"/>
          <w:rFonts w:eastAsiaTheme="minorEastAsia"/>
        </w:rPr>
      </w:pPr>
      <w:r w:rsidRPr="002D4988">
        <w:rPr>
          <w:rStyle w:val="CommentReference"/>
          <w:rFonts w:eastAsiaTheme="minorEastAsia"/>
        </w:rPr>
        <w:t xml:space="preserve">Table </w:t>
      </w:r>
      <w:r w:rsidR="00BC0889" w:rsidRPr="002D4988">
        <w:rPr>
          <w:rStyle w:val="CommentReference"/>
          <w:rFonts w:eastAsiaTheme="minorEastAsia"/>
        </w:rPr>
        <w:t>9</w:t>
      </w:r>
      <w:r w:rsidRPr="002D4988">
        <w:rPr>
          <w:rStyle w:val="CommentReference"/>
          <w:rFonts w:eastAsiaTheme="minorEastAsia"/>
        </w:rPr>
        <w:t xml:space="preserve">: Summary of clinical claims across the </w:t>
      </w:r>
      <w:r w:rsidR="00EF1F79" w:rsidRPr="002D4988">
        <w:rPr>
          <w:rStyle w:val="CommentReference"/>
          <w:rFonts w:eastAsiaTheme="minorEastAsia"/>
        </w:rPr>
        <w:t xml:space="preserve">biologic therapies for MSUC </w:t>
      </w:r>
      <w:r w:rsidRPr="002D4988">
        <w:rPr>
          <w:rStyle w:val="CommentReference"/>
          <w:rFonts w:eastAsiaTheme="minorEastAsia"/>
        </w:rPr>
        <w:t>for induction phase</w:t>
      </w:r>
    </w:p>
    <w:tbl>
      <w:tblPr>
        <w:tblW w:w="5000" w:type="pct"/>
        <w:tblCellMar>
          <w:left w:w="0" w:type="dxa"/>
          <w:right w:w="0" w:type="dxa"/>
        </w:tblCellMar>
        <w:tblLook w:val="04A0" w:firstRow="1" w:lastRow="0" w:firstColumn="1" w:lastColumn="0" w:noHBand="0" w:noVBand="1"/>
      </w:tblPr>
      <w:tblGrid>
        <w:gridCol w:w="1393"/>
        <w:gridCol w:w="1985"/>
        <w:gridCol w:w="1376"/>
        <w:gridCol w:w="1304"/>
        <w:gridCol w:w="1304"/>
        <w:gridCol w:w="1645"/>
      </w:tblGrid>
      <w:tr w:rsidR="000E1FCE" w:rsidRPr="002D4988" w:rsidTr="000E1FCE">
        <w:tc>
          <w:tcPr>
            <w:tcW w:w="7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rPr>
                <w:rFonts w:ascii="Arial Narrow" w:hAnsi="Arial Narrow"/>
                <w:b/>
                <w:sz w:val="20"/>
              </w:rPr>
            </w:pPr>
            <w:r w:rsidRPr="002D4988">
              <w:rPr>
                <w:rFonts w:ascii="Arial Narrow" w:hAnsi="Arial Narrow"/>
                <w:b/>
                <w:sz w:val="20"/>
              </w:rPr>
              <w:t> Drug versus</w:t>
            </w:r>
          </w:p>
        </w:tc>
        <w:tc>
          <w:tcPr>
            <w:tcW w:w="11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IFX</w:t>
            </w:r>
          </w:p>
        </w:tc>
        <w:tc>
          <w:tcPr>
            <w:tcW w:w="7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VDZ</w:t>
            </w:r>
          </w:p>
        </w:tc>
        <w:tc>
          <w:tcPr>
            <w:tcW w:w="7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ADA</w:t>
            </w:r>
          </w:p>
        </w:tc>
        <w:tc>
          <w:tcPr>
            <w:tcW w:w="7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GOL</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TOF</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rPr>
                <w:rFonts w:ascii="Arial Narrow" w:hAnsi="Arial Narrow"/>
                <w:b/>
                <w:sz w:val="20"/>
              </w:rPr>
            </w:pPr>
            <w:r w:rsidRPr="002D4988">
              <w:rPr>
                <w:rFonts w:ascii="Arial Narrow" w:hAnsi="Arial Narrow"/>
                <w:b/>
                <w:sz w:val="20"/>
              </w:rPr>
              <w:t>IFX</w:t>
            </w:r>
          </w:p>
        </w:tc>
        <w:tc>
          <w:tcPr>
            <w:tcW w:w="1102"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Superior</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Superior</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r w:rsidRPr="002D4988">
              <w:rPr>
                <w:rFonts w:ascii="Arial Narrow" w:hAnsi="Arial Narrow" w:cs="Calibri"/>
                <w:sz w:val="20"/>
                <w:szCs w:val="20"/>
                <w:vertAlign w:val="superscript"/>
                <w:lang w:eastAsia="en-GB"/>
              </w:rPr>
              <w:t>a</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rPr>
                <w:rFonts w:ascii="Arial Narrow" w:hAnsi="Arial Narrow"/>
                <w:b/>
                <w:sz w:val="20"/>
              </w:rPr>
            </w:pPr>
            <w:r w:rsidRPr="002D4988">
              <w:rPr>
                <w:rFonts w:ascii="Arial Narrow" w:hAnsi="Arial Narrow"/>
                <w:b/>
                <w:sz w:val="20"/>
              </w:rPr>
              <w:t>VDZ</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94220">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w:t>
            </w:r>
            <w:r w:rsidRPr="00794220">
              <w:rPr>
                <w:rFonts w:ascii="Arial Narrow" w:hAnsi="Arial Narrow" w:cs="Calibri"/>
                <w:sz w:val="20"/>
                <w:szCs w:val="20"/>
                <w:lang w:eastAsia="en-GB"/>
              </w:rPr>
              <w:t>inferior</w:t>
            </w:r>
          </w:p>
        </w:tc>
        <w:tc>
          <w:tcPr>
            <w:tcW w:w="764"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Superior</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r w:rsidRPr="002D4988">
              <w:rPr>
                <w:rFonts w:ascii="Arial Narrow" w:hAnsi="Arial Narrow" w:cs="Calibri"/>
                <w:sz w:val="20"/>
                <w:szCs w:val="20"/>
                <w:vertAlign w:val="superscript"/>
                <w:lang w:eastAsia="en-GB"/>
              </w:rPr>
              <w:t>b</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rPr>
                <w:rFonts w:ascii="Arial Narrow" w:hAnsi="Arial Narrow"/>
                <w:b/>
                <w:sz w:val="20"/>
              </w:rPr>
            </w:pPr>
            <w:r w:rsidRPr="002D4988">
              <w:rPr>
                <w:rFonts w:ascii="Arial Narrow" w:hAnsi="Arial Narrow"/>
                <w:b/>
                <w:sz w:val="20"/>
              </w:rPr>
              <w:t>ADA</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Inferior</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Inferior</w:t>
            </w:r>
          </w:p>
        </w:tc>
        <w:tc>
          <w:tcPr>
            <w:tcW w:w="724"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May be inferior</w:t>
            </w:r>
            <w:r w:rsidRPr="002D4988">
              <w:rPr>
                <w:rFonts w:ascii="Arial Narrow" w:hAnsi="Arial Narrow" w:cs="Calibri"/>
                <w:sz w:val="20"/>
                <w:szCs w:val="20"/>
                <w:vertAlign w:val="superscript"/>
                <w:lang w:eastAsia="en-GB"/>
              </w:rPr>
              <w:t>c</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rPr>
                <w:rFonts w:ascii="Arial Narrow" w:hAnsi="Arial Narrow"/>
                <w:b/>
                <w:sz w:val="20"/>
              </w:rPr>
            </w:pPr>
            <w:r w:rsidRPr="002D4988">
              <w:rPr>
                <w:rFonts w:ascii="Arial Narrow" w:hAnsi="Arial Narrow"/>
                <w:b/>
                <w:sz w:val="20"/>
              </w:rPr>
              <w:t>GOL</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Inferior</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724"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rPr>
                <w:rFonts w:ascii="Arial Narrow" w:hAnsi="Arial Narrow"/>
                <w:b/>
                <w:sz w:val="20"/>
              </w:rPr>
            </w:pPr>
            <w:r w:rsidRPr="002D4988">
              <w:rPr>
                <w:rFonts w:ascii="Arial Narrow" w:hAnsi="Arial Narrow"/>
                <w:b/>
                <w:sz w:val="20"/>
              </w:rPr>
              <w:t>TOF</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Times New Roman"/>
                <w:sz w:val="20"/>
                <w:szCs w:val="20"/>
                <w:lang w:eastAsia="en-GB"/>
              </w:rPr>
              <w:t>Non-inferior</w:t>
            </w:r>
            <w:r w:rsidRPr="002D4988">
              <w:rPr>
                <w:rFonts w:ascii="Arial Narrow" w:hAnsi="Arial Narrow" w:cs="Times New Roman"/>
                <w:sz w:val="20"/>
                <w:szCs w:val="20"/>
                <w:vertAlign w:val="superscript"/>
                <w:lang w:eastAsia="en-GB"/>
              </w:rPr>
              <w:t>a</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r w:rsidRPr="002D4988">
              <w:rPr>
                <w:rFonts w:ascii="Arial Narrow" w:hAnsi="Arial Narrow" w:cs="Calibri"/>
                <w:sz w:val="20"/>
                <w:szCs w:val="20"/>
                <w:vertAlign w:val="superscript"/>
                <w:lang w:eastAsia="en-GB"/>
              </w:rPr>
              <w:t>b</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Superior</w:t>
            </w:r>
            <w:r w:rsidRPr="002D4988">
              <w:rPr>
                <w:rFonts w:ascii="Arial Narrow" w:hAnsi="Arial Narrow" w:cs="Calibri"/>
                <w:sz w:val="20"/>
                <w:szCs w:val="20"/>
                <w:vertAlign w:val="superscript"/>
                <w:lang w:eastAsia="en-GB"/>
              </w:rPr>
              <w:t>c</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914"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7F7239">
            <w:pPr>
              <w:keepNext/>
              <w:jc w:val="center"/>
              <w:rPr>
                <w:rFonts w:ascii="Arial Narrow" w:hAnsi="Arial Narrow" w:cs="Times New Roman"/>
                <w:sz w:val="20"/>
                <w:szCs w:val="20"/>
                <w:lang w:eastAsia="en-GB"/>
              </w:rPr>
            </w:pPr>
          </w:p>
        </w:tc>
      </w:tr>
    </w:tbl>
    <w:p w:rsidR="000E1FCE" w:rsidRPr="002D4988" w:rsidRDefault="000E1FCE" w:rsidP="007F7239">
      <w:pPr>
        <w:keepNext/>
        <w:tabs>
          <w:tab w:val="left" w:pos="142"/>
        </w:tabs>
        <w:rPr>
          <w:rFonts w:ascii="Arial Narrow" w:hAnsi="Arial Narrow" w:cs="Times New Roman"/>
          <w:sz w:val="18"/>
          <w:szCs w:val="18"/>
          <w:lang w:eastAsia="en-GB"/>
        </w:rPr>
      </w:pPr>
      <w:r w:rsidRPr="002D4988">
        <w:rPr>
          <w:rFonts w:ascii="Arial Narrow" w:hAnsi="Arial Narrow" w:cs="Times New Roman"/>
          <w:sz w:val="18"/>
          <w:szCs w:val="18"/>
          <w:lang w:eastAsia="en-GB"/>
        </w:rPr>
        <w:t>Source:</w:t>
      </w:r>
      <w:r w:rsidR="0098240F" w:rsidRPr="002D4988">
        <w:rPr>
          <w:rFonts w:ascii="Arial Narrow" w:hAnsi="Arial Narrow" w:cs="Times New Roman"/>
          <w:sz w:val="18"/>
          <w:szCs w:val="18"/>
          <w:lang w:eastAsia="en-GB"/>
        </w:rPr>
        <w:t xml:space="preserve"> </w:t>
      </w:r>
      <w:r w:rsidRPr="002D4988">
        <w:rPr>
          <w:rFonts w:ascii="Arial Narrow" w:hAnsi="Arial Narrow" w:cs="Times New Roman"/>
          <w:sz w:val="18"/>
          <w:szCs w:val="18"/>
          <w:lang w:eastAsia="en-GB"/>
        </w:rPr>
        <w:t>Compiled during the evaluation.</w:t>
      </w:r>
    </w:p>
    <w:p w:rsidR="000E1FCE" w:rsidRPr="002D4988" w:rsidRDefault="000E1FCE" w:rsidP="007F7239">
      <w:pPr>
        <w:pStyle w:val="TableFooter"/>
        <w:keepNext/>
        <w:rPr>
          <w:rFonts w:cs="Times New Roman"/>
          <w:szCs w:val="18"/>
          <w:lang w:eastAsia="en-GB"/>
        </w:rPr>
      </w:pPr>
      <w:r w:rsidRPr="002D4988">
        <w:rPr>
          <w:rFonts w:eastAsiaTheme="minorEastAsia"/>
          <w:snapToGrid w:val="0"/>
          <w:lang w:eastAsia="en-US"/>
        </w:rPr>
        <w:t>ADA=adalimumab,</w:t>
      </w:r>
      <w:r w:rsidR="0098240F" w:rsidRPr="002D4988">
        <w:rPr>
          <w:rFonts w:eastAsiaTheme="minorEastAsia"/>
          <w:snapToGrid w:val="0"/>
          <w:lang w:eastAsia="en-US"/>
        </w:rPr>
        <w:t xml:space="preserve"> </w:t>
      </w:r>
      <w:r w:rsidRPr="002D4988">
        <w:rPr>
          <w:rFonts w:eastAsiaTheme="minorEastAsia"/>
          <w:snapToGrid w:val="0"/>
          <w:lang w:eastAsia="en-US"/>
        </w:rPr>
        <w:t>IFX=infliximab, GOL=golimumab, TOF=tofacitinib, VDZ=vedolizumab</w:t>
      </w:r>
    </w:p>
    <w:p w:rsidR="000E1FCE" w:rsidRPr="002D4988" w:rsidRDefault="000E1FCE" w:rsidP="007F7239">
      <w:pPr>
        <w:keepNext/>
        <w:tabs>
          <w:tab w:val="left" w:pos="142"/>
        </w:tabs>
        <w:rPr>
          <w:rFonts w:ascii="Arial Narrow" w:hAnsi="Arial Narrow" w:cs="Times New Roman"/>
          <w:sz w:val="18"/>
          <w:szCs w:val="18"/>
          <w:lang w:eastAsia="en-GB"/>
        </w:rPr>
      </w:pPr>
      <w:r w:rsidRPr="002D4988">
        <w:rPr>
          <w:rFonts w:ascii="Arial Narrow" w:eastAsiaTheme="minorEastAsia" w:hAnsi="Arial Narrow"/>
          <w:b/>
          <w:snapToGrid w:val="0"/>
          <w:sz w:val="18"/>
          <w:szCs w:val="18"/>
          <w:vertAlign w:val="superscript"/>
          <w:lang w:eastAsia="en-US"/>
        </w:rPr>
        <w:t>a</w:t>
      </w:r>
      <w:r w:rsidRPr="002D4988">
        <w:rPr>
          <w:rFonts w:ascii="Arial Narrow" w:eastAsiaTheme="minorEastAsia" w:hAnsi="Arial Narrow"/>
          <w:b/>
          <w:snapToGrid w:val="0"/>
          <w:sz w:val="18"/>
          <w:szCs w:val="18"/>
          <w:vertAlign w:val="superscript"/>
          <w:lang w:eastAsia="en-US"/>
        </w:rPr>
        <w:tab/>
        <w:t xml:space="preserve"> </w:t>
      </w:r>
      <w:r w:rsidRPr="002D4988">
        <w:rPr>
          <w:rFonts w:ascii="Arial Narrow" w:hAnsi="Arial Narrow"/>
          <w:sz w:val="18"/>
          <w:szCs w:val="18"/>
          <w:lang w:eastAsia="en-US"/>
        </w:rPr>
        <w:t>Only when the IFX trials were limited to the ACT 1 and ACT 2 trials, using the clinical remission outcome, and using the RD statistic, was when TOF was found to be statistically significantly inferior to IFX.</w:t>
      </w:r>
    </w:p>
    <w:p w:rsidR="000E1FCE" w:rsidRPr="002D4988" w:rsidRDefault="000E1FCE" w:rsidP="007F7239">
      <w:pPr>
        <w:keepNext/>
        <w:tabs>
          <w:tab w:val="left" w:pos="142"/>
        </w:tabs>
        <w:rPr>
          <w:rFonts w:ascii="Arial Narrow" w:hAnsi="Arial Narrow" w:cs="Times New Roman"/>
          <w:sz w:val="18"/>
          <w:szCs w:val="18"/>
          <w:lang w:eastAsia="en-GB"/>
        </w:rPr>
      </w:pPr>
      <w:r w:rsidRPr="002D4988">
        <w:rPr>
          <w:rFonts w:ascii="Arial Narrow" w:eastAsiaTheme="minorEastAsia" w:hAnsi="Arial Narrow"/>
          <w:b/>
          <w:snapToGrid w:val="0"/>
          <w:sz w:val="18"/>
          <w:szCs w:val="18"/>
          <w:vertAlign w:val="superscript"/>
          <w:lang w:eastAsia="en-US"/>
        </w:rPr>
        <w:t>b</w:t>
      </w:r>
      <w:r w:rsidRPr="002D4988">
        <w:rPr>
          <w:rFonts w:ascii="Arial Narrow" w:eastAsiaTheme="minorEastAsia" w:hAnsi="Arial Narrow"/>
          <w:b/>
          <w:snapToGrid w:val="0"/>
          <w:sz w:val="18"/>
          <w:szCs w:val="18"/>
          <w:vertAlign w:val="superscript"/>
          <w:lang w:eastAsia="en-US"/>
        </w:rPr>
        <w:tab/>
        <w:t xml:space="preserve"> </w:t>
      </w:r>
      <w:r w:rsidRPr="002D4988">
        <w:rPr>
          <w:rFonts w:ascii="Arial Narrow" w:eastAsiaTheme="minorEastAsia" w:hAnsi="Arial Narrow"/>
          <w:snapToGrid w:val="0"/>
          <w:sz w:val="18"/>
          <w:szCs w:val="18"/>
          <w:lang w:eastAsia="en-US"/>
        </w:rPr>
        <w:t xml:space="preserve">Focusing </w:t>
      </w:r>
      <w:r w:rsidRPr="002D4988">
        <w:rPr>
          <w:rFonts w:ascii="Arial Narrow" w:hAnsi="Arial Narrow" w:cs="Times New Roman"/>
          <w:sz w:val="18"/>
          <w:szCs w:val="18"/>
          <w:lang w:eastAsia="en-GB"/>
        </w:rPr>
        <w:t>on the ITT population, TOF was non-inferior to VDZ in the induction phase.</w:t>
      </w:r>
      <w:r w:rsidR="0098240F" w:rsidRPr="002D4988">
        <w:rPr>
          <w:rFonts w:ascii="Arial Narrow" w:hAnsi="Arial Narrow" w:cs="Times New Roman"/>
          <w:sz w:val="18"/>
          <w:szCs w:val="18"/>
          <w:lang w:eastAsia="en-GB"/>
        </w:rPr>
        <w:t xml:space="preserve"> </w:t>
      </w:r>
      <w:r w:rsidRPr="002D4988">
        <w:rPr>
          <w:rFonts w:ascii="Arial Narrow" w:hAnsi="Arial Narrow" w:cs="Times New Roman"/>
          <w:sz w:val="18"/>
          <w:szCs w:val="18"/>
          <w:lang w:eastAsia="en-GB"/>
        </w:rPr>
        <w:t>.</w:t>
      </w:r>
    </w:p>
    <w:p w:rsidR="000E1FCE" w:rsidRPr="002D4988" w:rsidRDefault="000E1FCE" w:rsidP="007F7239">
      <w:pPr>
        <w:keepNext/>
        <w:tabs>
          <w:tab w:val="left" w:pos="142"/>
        </w:tabs>
        <w:spacing w:after="120"/>
        <w:rPr>
          <w:rFonts w:eastAsia="Calibri"/>
        </w:rPr>
      </w:pPr>
      <w:r w:rsidRPr="002D4988">
        <w:rPr>
          <w:rFonts w:ascii="Arial Narrow" w:eastAsiaTheme="minorEastAsia" w:hAnsi="Arial Narrow"/>
          <w:b/>
          <w:snapToGrid w:val="0"/>
          <w:sz w:val="18"/>
          <w:szCs w:val="18"/>
          <w:vertAlign w:val="superscript"/>
          <w:lang w:eastAsia="en-US"/>
        </w:rPr>
        <w:t>c</w:t>
      </w:r>
      <w:r w:rsidRPr="002D4988">
        <w:rPr>
          <w:rFonts w:ascii="Arial Narrow" w:eastAsiaTheme="minorEastAsia" w:hAnsi="Arial Narrow"/>
          <w:b/>
          <w:snapToGrid w:val="0"/>
          <w:sz w:val="18"/>
          <w:szCs w:val="18"/>
          <w:vertAlign w:val="superscript"/>
          <w:lang w:eastAsia="en-US"/>
        </w:rPr>
        <w:tab/>
        <w:t xml:space="preserve"> </w:t>
      </w:r>
      <w:r w:rsidRPr="002D4988">
        <w:rPr>
          <w:rFonts w:ascii="Arial Narrow" w:hAnsi="Arial Narrow"/>
          <w:sz w:val="18"/>
          <w:szCs w:val="18"/>
          <w:lang w:eastAsia="en-US"/>
        </w:rPr>
        <w:t>Focusing on the ITT population in induction, overall TOF appears superior to ADA for the clinical response outcome.</w:t>
      </w:r>
      <w:r w:rsidR="0098240F" w:rsidRPr="002D4988">
        <w:rPr>
          <w:rFonts w:ascii="Arial Narrow" w:hAnsi="Arial Narrow"/>
          <w:sz w:val="18"/>
          <w:szCs w:val="18"/>
          <w:lang w:eastAsia="en-US"/>
        </w:rPr>
        <w:t xml:space="preserve"> </w:t>
      </w:r>
      <w:r w:rsidRPr="002D4988">
        <w:rPr>
          <w:rFonts w:ascii="Arial Narrow" w:hAnsi="Arial Narrow"/>
          <w:sz w:val="18"/>
          <w:szCs w:val="18"/>
          <w:lang w:eastAsia="en-US"/>
        </w:rPr>
        <w:t>For the clinical remission outcome, the RR risk statistic was not significant and the RD risk statistic was marginally significant.</w:t>
      </w:r>
    </w:p>
    <w:p w:rsidR="000E1FCE" w:rsidRPr="002D4988" w:rsidRDefault="00C05D9A" w:rsidP="00E143D9">
      <w:pPr>
        <w:pStyle w:val="3-BodyText"/>
        <w:numPr>
          <w:ilvl w:val="0"/>
          <w:numId w:val="0"/>
        </w:numPr>
        <w:rPr>
          <w:rStyle w:val="CommentReference"/>
          <w:rFonts w:eastAsiaTheme="minorEastAsia"/>
        </w:rPr>
      </w:pPr>
      <w:r w:rsidRPr="002D4988">
        <w:rPr>
          <w:rStyle w:val="CommentReference"/>
          <w:rFonts w:eastAsiaTheme="minorEastAsia"/>
        </w:rPr>
        <w:t xml:space="preserve">Table </w:t>
      </w:r>
      <w:r w:rsidR="00BC0889" w:rsidRPr="002D4988">
        <w:rPr>
          <w:rStyle w:val="CommentReference"/>
          <w:rFonts w:eastAsiaTheme="minorEastAsia"/>
        </w:rPr>
        <w:t>10</w:t>
      </w:r>
      <w:r w:rsidR="000E1FCE" w:rsidRPr="002D4988">
        <w:rPr>
          <w:rStyle w:val="CommentReference"/>
          <w:rFonts w:eastAsiaTheme="minorEastAsia"/>
        </w:rPr>
        <w:t xml:space="preserve">: Summary of clinical claims across the </w:t>
      </w:r>
      <w:r w:rsidR="00EF1F79" w:rsidRPr="002D4988">
        <w:rPr>
          <w:rStyle w:val="CommentReference"/>
          <w:rFonts w:eastAsiaTheme="minorEastAsia"/>
        </w:rPr>
        <w:t xml:space="preserve">biologic therapies for MSUC </w:t>
      </w:r>
      <w:r w:rsidR="000E1FCE" w:rsidRPr="002D4988">
        <w:rPr>
          <w:rStyle w:val="CommentReference"/>
          <w:rFonts w:eastAsiaTheme="minorEastAsia"/>
        </w:rPr>
        <w:t>for maintenance phase</w:t>
      </w:r>
    </w:p>
    <w:tbl>
      <w:tblPr>
        <w:tblW w:w="5000" w:type="pct"/>
        <w:tblCellMar>
          <w:left w:w="0" w:type="dxa"/>
          <w:right w:w="0" w:type="dxa"/>
        </w:tblCellMar>
        <w:tblLook w:val="04A0" w:firstRow="1" w:lastRow="0" w:firstColumn="1" w:lastColumn="0" w:noHBand="0" w:noVBand="1"/>
      </w:tblPr>
      <w:tblGrid>
        <w:gridCol w:w="1393"/>
        <w:gridCol w:w="1985"/>
        <w:gridCol w:w="1376"/>
        <w:gridCol w:w="1304"/>
        <w:gridCol w:w="1304"/>
        <w:gridCol w:w="1645"/>
      </w:tblGrid>
      <w:tr w:rsidR="000E1FCE" w:rsidRPr="002D4988" w:rsidTr="000E1FCE">
        <w:tc>
          <w:tcPr>
            <w:tcW w:w="7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rPr>
                <w:rFonts w:ascii="Arial Narrow" w:hAnsi="Arial Narrow" w:cs="Times New Roman"/>
                <w:b/>
                <w:sz w:val="20"/>
                <w:szCs w:val="20"/>
                <w:lang w:eastAsia="en-GB"/>
              </w:rPr>
            </w:pPr>
            <w:r w:rsidRPr="002D4988">
              <w:rPr>
                <w:rFonts w:ascii="Arial Narrow" w:hAnsi="Arial Narrow" w:cs="Calibri"/>
                <w:b/>
                <w:sz w:val="20"/>
                <w:szCs w:val="20"/>
                <w:lang w:eastAsia="en-GB"/>
              </w:rPr>
              <w:t> Drug versus</w:t>
            </w:r>
          </w:p>
        </w:tc>
        <w:tc>
          <w:tcPr>
            <w:tcW w:w="11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IFX</w:t>
            </w:r>
          </w:p>
        </w:tc>
        <w:tc>
          <w:tcPr>
            <w:tcW w:w="7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VDZ</w:t>
            </w:r>
          </w:p>
        </w:tc>
        <w:tc>
          <w:tcPr>
            <w:tcW w:w="7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ADA</w:t>
            </w:r>
          </w:p>
        </w:tc>
        <w:tc>
          <w:tcPr>
            <w:tcW w:w="7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GOL</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b/>
                <w:bCs/>
                <w:sz w:val="20"/>
                <w:szCs w:val="20"/>
                <w:lang w:eastAsia="en-GB"/>
              </w:rPr>
            </w:pPr>
            <w:r w:rsidRPr="002D4988">
              <w:rPr>
                <w:rFonts w:ascii="Arial Narrow" w:hAnsi="Arial Narrow" w:cs="Calibri"/>
                <w:b/>
                <w:bCs/>
                <w:sz w:val="20"/>
                <w:szCs w:val="20"/>
                <w:lang w:eastAsia="en-GB"/>
              </w:rPr>
              <w:t>TOF</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rPr>
                <w:rFonts w:ascii="Arial Narrow" w:hAnsi="Arial Narrow" w:cs="Times New Roman"/>
                <w:b/>
                <w:sz w:val="20"/>
                <w:szCs w:val="20"/>
                <w:lang w:eastAsia="en-GB"/>
              </w:rPr>
            </w:pPr>
            <w:r w:rsidRPr="002D4988">
              <w:rPr>
                <w:rFonts w:ascii="Arial Narrow" w:hAnsi="Arial Narrow" w:cs="Calibri"/>
                <w:b/>
                <w:sz w:val="20"/>
                <w:szCs w:val="20"/>
                <w:lang w:eastAsia="en-GB"/>
              </w:rPr>
              <w:t>IFX</w:t>
            </w:r>
          </w:p>
        </w:tc>
        <w:tc>
          <w:tcPr>
            <w:tcW w:w="1102"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Superior</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1E4D23" w:rsidP="000E1FCE">
            <w:pPr>
              <w:jc w:val="center"/>
              <w:rPr>
                <w:rFonts w:ascii="Arial Narrow" w:hAnsi="Arial Narrow" w:cs="Times New Roman"/>
                <w:i/>
                <w:sz w:val="20"/>
                <w:szCs w:val="20"/>
                <w:lang w:eastAsia="en-GB"/>
              </w:rPr>
            </w:pPr>
            <w:r w:rsidRPr="002D4988">
              <w:rPr>
                <w:rFonts w:ascii="Arial Narrow" w:hAnsi="Arial Narrow" w:cs="Calibri"/>
                <w:i/>
                <w:sz w:val="20"/>
                <w:szCs w:val="20"/>
                <w:lang w:eastAsia="en-GB"/>
              </w:rPr>
              <w:t>Non-inferior</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Uncertain</w:t>
            </w:r>
            <w:r w:rsidRPr="002D4988">
              <w:rPr>
                <w:rFonts w:ascii="Arial Narrow" w:hAnsi="Arial Narrow" w:cs="Calibri"/>
                <w:sz w:val="20"/>
                <w:szCs w:val="20"/>
                <w:vertAlign w:val="superscript"/>
                <w:lang w:eastAsia="en-GB"/>
              </w:rPr>
              <w:t>a</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rPr>
                <w:rFonts w:ascii="Arial Narrow" w:hAnsi="Arial Narrow" w:cs="Times New Roman"/>
                <w:b/>
                <w:sz w:val="20"/>
                <w:szCs w:val="20"/>
                <w:lang w:eastAsia="en-GB"/>
              </w:rPr>
            </w:pPr>
            <w:r w:rsidRPr="002D4988">
              <w:rPr>
                <w:rFonts w:ascii="Arial Narrow" w:hAnsi="Arial Narrow" w:cs="Calibri"/>
                <w:b/>
                <w:sz w:val="20"/>
                <w:szCs w:val="20"/>
                <w:lang w:eastAsia="en-GB"/>
              </w:rPr>
              <w:t>VDZ</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764"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Superior</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r w:rsidRPr="002D4988">
              <w:rPr>
                <w:rFonts w:ascii="Arial Narrow" w:hAnsi="Arial Narrow" w:cs="Calibri"/>
                <w:sz w:val="20"/>
                <w:szCs w:val="20"/>
                <w:vertAlign w:val="superscript"/>
                <w:lang w:eastAsia="en-GB"/>
              </w:rPr>
              <w:t>b</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rPr>
                <w:rFonts w:ascii="Arial Narrow" w:hAnsi="Arial Narrow" w:cs="Times New Roman"/>
                <w:b/>
                <w:sz w:val="20"/>
                <w:szCs w:val="20"/>
                <w:lang w:eastAsia="en-GB"/>
              </w:rPr>
            </w:pPr>
            <w:r w:rsidRPr="002D4988">
              <w:rPr>
                <w:rFonts w:ascii="Arial Narrow" w:hAnsi="Arial Narrow" w:cs="Calibri"/>
                <w:b/>
                <w:sz w:val="20"/>
                <w:szCs w:val="20"/>
                <w:lang w:eastAsia="en-GB"/>
              </w:rPr>
              <w:t>ADA</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Inferior</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Inferior</w:t>
            </w:r>
          </w:p>
        </w:tc>
        <w:tc>
          <w:tcPr>
            <w:tcW w:w="724"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May be inferior</w:t>
            </w:r>
            <w:r w:rsidRPr="002D4988">
              <w:rPr>
                <w:rFonts w:ascii="Arial Narrow" w:hAnsi="Arial Narrow" w:cs="Calibri"/>
                <w:sz w:val="20"/>
                <w:szCs w:val="20"/>
                <w:vertAlign w:val="superscript"/>
                <w:lang w:eastAsia="en-GB"/>
              </w:rPr>
              <w:t>c</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rPr>
                <w:rFonts w:ascii="Arial Narrow" w:hAnsi="Arial Narrow" w:cs="Times New Roman"/>
                <w:b/>
                <w:sz w:val="20"/>
                <w:szCs w:val="20"/>
                <w:lang w:eastAsia="en-GB"/>
              </w:rPr>
            </w:pPr>
            <w:r w:rsidRPr="002D4988">
              <w:rPr>
                <w:rFonts w:ascii="Arial Narrow" w:hAnsi="Arial Narrow" w:cs="Calibri"/>
                <w:b/>
                <w:sz w:val="20"/>
                <w:szCs w:val="20"/>
                <w:lang w:eastAsia="en-GB"/>
              </w:rPr>
              <w:t>GOL</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1E4D23" w:rsidP="000E1FCE">
            <w:pPr>
              <w:jc w:val="center"/>
              <w:rPr>
                <w:rFonts w:ascii="Arial Narrow" w:hAnsi="Arial Narrow" w:cs="Times New Roman"/>
                <w:i/>
                <w:sz w:val="20"/>
                <w:szCs w:val="20"/>
                <w:lang w:eastAsia="en-GB"/>
              </w:rPr>
            </w:pPr>
            <w:r w:rsidRPr="002D4988">
              <w:rPr>
                <w:rFonts w:ascii="Arial Narrow" w:hAnsi="Arial Narrow" w:cs="Calibri"/>
                <w:i/>
                <w:sz w:val="20"/>
                <w:szCs w:val="20"/>
                <w:lang w:eastAsia="en-GB"/>
              </w:rPr>
              <w:t>Non-inferior</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724"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r>
      <w:tr w:rsidR="000E1FCE" w:rsidRPr="002D4988" w:rsidTr="000E1FCE">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rPr>
                <w:rFonts w:ascii="Arial Narrow" w:hAnsi="Arial Narrow" w:cs="Times New Roman"/>
                <w:b/>
                <w:sz w:val="20"/>
                <w:szCs w:val="20"/>
                <w:lang w:eastAsia="en-GB"/>
              </w:rPr>
            </w:pPr>
            <w:r w:rsidRPr="002D4988">
              <w:rPr>
                <w:rFonts w:ascii="Arial Narrow" w:hAnsi="Arial Narrow" w:cs="Calibri"/>
                <w:b/>
                <w:sz w:val="20"/>
                <w:szCs w:val="20"/>
                <w:lang w:eastAsia="en-GB"/>
              </w:rPr>
              <w:t>TOF</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Times New Roman"/>
                <w:sz w:val="20"/>
                <w:szCs w:val="20"/>
                <w:lang w:eastAsia="en-GB"/>
              </w:rPr>
              <w:t>Uncertain</w:t>
            </w:r>
            <w:r w:rsidRPr="002D4988">
              <w:rPr>
                <w:rFonts w:ascii="Arial Narrow" w:hAnsi="Arial Narrow" w:cs="Times New Roman"/>
                <w:sz w:val="20"/>
                <w:szCs w:val="20"/>
                <w:vertAlign w:val="superscript"/>
                <w:lang w:eastAsia="en-GB"/>
              </w:rPr>
              <w:t>a</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r w:rsidRPr="002D4988">
              <w:rPr>
                <w:rFonts w:ascii="Arial Narrow" w:hAnsi="Arial Narrow" w:cs="Calibri"/>
                <w:sz w:val="20"/>
                <w:szCs w:val="20"/>
                <w:vertAlign w:val="superscript"/>
                <w:lang w:eastAsia="en-GB"/>
              </w:rPr>
              <w:t>b</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Times New Roman"/>
                <w:sz w:val="20"/>
                <w:szCs w:val="20"/>
                <w:lang w:eastAsia="en-GB"/>
              </w:rPr>
              <w:t>Uncertain</w:t>
            </w:r>
            <w:r w:rsidRPr="002D4988">
              <w:rPr>
                <w:rFonts w:ascii="Arial Narrow" w:hAnsi="Arial Narrow" w:cs="Times New Roman"/>
                <w:sz w:val="20"/>
                <w:szCs w:val="20"/>
                <w:vertAlign w:val="superscript"/>
                <w:lang w:eastAsia="en-GB"/>
              </w:rPr>
              <w:t>c</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r w:rsidRPr="002D4988">
              <w:rPr>
                <w:rFonts w:ascii="Arial Narrow" w:hAnsi="Arial Narrow" w:cs="Calibri"/>
                <w:sz w:val="20"/>
                <w:szCs w:val="20"/>
                <w:lang w:eastAsia="en-GB"/>
              </w:rPr>
              <w:t>Non-inferior</w:t>
            </w:r>
          </w:p>
        </w:tc>
        <w:tc>
          <w:tcPr>
            <w:tcW w:w="914" w:type="pct"/>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rsidR="000E1FCE" w:rsidRPr="002D4988" w:rsidRDefault="000E1FCE" w:rsidP="000E1FCE">
            <w:pPr>
              <w:jc w:val="center"/>
              <w:rPr>
                <w:rFonts w:ascii="Arial Narrow" w:hAnsi="Arial Narrow" w:cs="Times New Roman"/>
                <w:sz w:val="20"/>
                <w:szCs w:val="20"/>
                <w:lang w:eastAsia="en-GB"/>
              </w:rPr>
            </w:pPr>
          </w:p>
        </w:tc>
      </w:tr>
    </w:tbl>
    <w:p w:rsidR="000E1FCE" w:rsidRPr="002D4988" w:rsidRDefault="000E1FCE" w:rsidP="000E1FCE">
      <w:pPr>
        <w:tabs>
          <w:tab w:val="left" w:pos="142"/>
        </w:tabs>
        <w:rPr>
          <w:rFonts w:ascii="Arial Narrow" w:hAnsi="Arial Narrow" w:cs="Times New Roman"/>
          <w:sz w:val="18"/>
          <w:szCs w:val="18"/>
          <w:lang w:eastAsia="en-GB"/>
        </w:rPr>
      </w:pPr>
      <w:r w:rsidRPr="002D4988">
        <w:rPr>
          <w:rFonts w:ascii="Arial Narrow" w:hAnsi="Arial Narrow" w:cs="Times New Roman"/>
          <w:sz w:val="18"/>
          <w:szCs w:val="18"/>
          <w:lang w:eastAsia="en-GB"/>
        </w:rPr>
        <w:t>Source:</w:t>
      </w:r>
      <w:r w:rsidR="0098240F" w:rsidRPr="002D4988">
        <w:rPr>
          <w:rFonts w:ascii="Arial Narrow" w:hAnsi="Arial Narrow" w:cs="Times New Roman"/>
          <w:sz w:val="18"/>
          <w:szCs w:val="18"/>
          <w:lang w:eastAsia="en-GB"/>
        </w:rPr>
        <w:t xml:space="preserve"> </w:t>
      </w:r>
      <w:r w:rsidRPr="002D4988">
        <w:rPr>
          <w:rFonts w:ascii="Arial Narrow" w:hAnsi="Arial Narrow" w:cs="Times New Roman"/>
          <w:sz w:val="18"/>
          <w:szCs w:val="18"/>
          <w:lang w:eastAsia="en-GB"/>
        </w:rPr>
        <w:t>Compiled during the evaluation.</w:t>
      </w:r>
    </w:p>
    <w:p w:rsidR="000E1FCE" w:rsidRPr="002D4988" w:rsidRDefault="000E1FCE" w:rsidP="00D22E63">
      <w:pPr>
        <w:pStyle w:val="TableFooter"/>
        <w:rPr>
          <w:rFonts w:cs="Times New Roman"/>
          <w:szCs w:val="18"/>
          <w:lang w:eastAsia="en-GB"/>
        </w:rPr>
      </w:pPr>
      <w:r w:rsidRPr="002D4988">
        <w:rPr>
          <w:rFonts w:eastAsiaTheme="minorEastAsia"/>
          <w:snapToGrid w:val="0"/>
          <w:lang w:eastAsia="en-US"/>
        </w:rPr>
        <w:t>ADA=adalimumab,</w:t>
      </w:r>
      <w:r w:rsidR="0098240F" w:rsidRPr="002D4988">
        <w:rPr>
          <w:rFonts w:eastAsiaTheme="minorEastAsia"/>
          <w:snapToGrid w:val="0"/>
          <w:lang w:eastAsia="en-US"/>
        </w:rPr>
        <w:t xml:space="preserve"> </w:t>
      </w:r>
      <w:r w:rsidRPr="002D4988">
        <w:rPr>
          <w:rFonts w:eastAsiaTheme="minorEastAsia"/>
          <w:snapToGrid w:val="0"/>
          <w:lang w:eastAsia="en-US"/>
        </w:rPr>
        <w:t>IFX=infliximab, GOL=golimumab, TOF=tofacitinib, VDZ=vedolizumab</w:t>
      </w:r>
    </w:p>
    <w:p w:rsidR="000E1FCE" w:rsidRPr="002D4988" w:rsidRDefault="000E1FCE" w:rsidP="000E1FCE">
      <w:pPr>
        <w:tabs>
          <w:tab w:val="left" w:pos="142"/>
        </w:tabs>
        <w:rPr>
          <w:rFonts w:ascii="Arial Narrow" w:hAnsi="Arial Narrow" w:cs="Times New Roman"/>
          <w:sz w:val="18"/>
          <w:szCs w:val="18"/>
          <w:lang w:eastAsia="en-GB"/>
        </w:rPr>
      </w:pPr>
      <w:r w:rsidRPr="002D4988">
        <w:rPr>
          <w:rFonts w:ascii="Arial Narrow" w:eastAsiaTheme="minorEastAsia" w:hAnsi="Arial Narrow"/>
          <w:b/>
          <w:snapToGrid w:val="0"/>
          <w:sz w:val="18"/>
          <w:szCs w:val="18"/>
          <w:vertAlign w:val="superscript"/>
          <w:lang w:eastAsia="en-US"/>
        </w:rPr>
        <w:t>a</w:t>
      </w:r>
      <w:r w:rsidRPr="002D4988">
        <w:rPr>
          <w:rFonts w:ascii="Arial Narrow" w:eastAsiaTheme="minorEastAsia" w:hAnsi="Arial Narrow"/>
          <w:b/>
          <w:snapToGrid w:val="0"/>
          <w:sz w:val="18"/>
          <w:szCs w:val="18"/>
          <w:vertAlign w:val="superscript"/>
          <w:lang w:eastAsia="en-US"/>
        </w:rPr>
        <w:tab/>
        <w:t xml:space="preserve"> </w:t>
      </w:r>
      <w:r w:rsidRPr="002D4988">
        <w:rPr>
          <w:rFonts w:ascii="Arial Narrow" w:eastAsiaTheme="minorEastAsia" w:hAnsi="Arial Narrow"/>
          <w:snapToGrid w:val="0"/>
          <w:sz w:val="18"/>
          <w:szCs w:val="18"/>
          <w:lang w:eastAsia="en-US"/>
        </w:rPr>
        <w:t xml:space="preserve">Formal </w:t>
      </w:r>
      <w:r w:rsidRPr="002D4988">
        <w:rPr>
          <w:rFonts w:ascii="Arial Narrow" w:hAnsi="Arial Narrow"/>
          <w:sz w:val="18"/>
          <w:szCs w:val="18"/>
          <w:lang w:eastAsia="en-US"/>
        </w:rPr>
        <w:t>indirect comparisons of TOF versus IFX in the maintenance phase were unable to be made.</w:t>
      </w:r>
      <w:r w:rsidR="0098240F" w:rsidRPr="002D4988">
        <w:rPr>
          <w:rFonts w:ascii="Arial Narrow" w:hAnsi="Arial Narrow"/>
          <w:sz w:val="18"/>
          <w:szCs w:val="18"/>
          <w:lang w:eastAsia="en-US"/>
        </w:rPr>
        <w:t xml:space="preserve"> </w:t>
      </w:r>
    </w:p>
    <w:p w:rsidR="000E1FCE" w:rsidRPr="002D4988" w:rsidRDefault="000E1FCE" w:rsidP="000E1FCE">
      <w:pPr>
        <w:tabs>
          <w:tab w:val="left" w:pos="142"/>
        </w:tabs>
        <w:rPr>
          <w:rFonts w:ascii="Arial Narrow" w:hAnsi="Arial Narrow" w:cs="Times New Roman"/>
          <w:sz w:val="18"/>
          <w:szCs w:val="18"/>
          <w:lang w:eastAsia="en-GB"/>
        </w:rPr>
      </w:pPr>
      <w:r w:rsidRPr="002D4988">
        <w:rPr>
          <w:rFonts w:ascii="Arial Narrow" w:eastAsiaTheme="minorEastAsia" w:hAnsi="Arial Narrow"/>
          <w:b/>
          <w:snapToGrid w:val="0"/>
          <w:sz w:val="18"/>
          <w:szCs w:val="18"/>
          <w:vertAlign w:val="superscript"/>
          <w:lang w:eastAsia="en-US"/>
        </w:rPr>
        <w:t>b</w:t>
      </w:r>
      <w:r w:rsidRPr="002D4988">
        <w:rPr>
          <w:rFonts w:ascii="Arial Narrow" w:eastAsiaTheme="minorEastAsia" w:hAnsi="Arial Narrow"/>
          <w:b/>
          <w:snapToGrid w:val="0"/>
          <w:sz w:val="18"/>
          <w:szCs w:val="18"/>
          <w:vertAlign w:val="superscript"/>
          <w:lang w:eastAsia="en-US"/>
        </w:rPr>
        <w:tab/>
        <w:t xml:space="preserve"> </w:t>
      </w:r>
      <w:r w:rsidRPr="002D4988">
        <w:rPr>
          <w:rFonts w:ascii="Arial Narrow" w:hAnsi="Arial Narrow" w:cs="Times New Roman"/>
          <w:sz w:val="18"/>
          <w:szCs w:val="18"/>
          <w:lang w:eastAsia="en-GB"/>
        </w:rPr>
        <w:t>In the maintenance phase, overall TOF appears to be non-inferior to VDZ, with the exception of the sustained remission outcome for TOF 10 mg vs VDZ, using the RR risk statistic.</w:t>
      </w:r>
    </w:p>
    <w:p w:rsidR="000E1FCE" w:rsidRPr="002D4988" w:rsidRDefault="000E1FCE" w:rsidP="000E1FCE">
      <w:pPr>
        <w:tabs>
          <w:tab w:val="left" w:pos="142"/>
        </w:tabs>
        <w:spacing w:after="120"/>
        <w:rPr>
          <w:rFonts w:ascii="Arial Narrow" w:hAnsi="Arial Narrow"/>
          <w:sz w:val="18"/>
          <w:szCs w:val="18"/>
          <w:lang w:eastAsia="en-US"/>
        </w:rPr>
      </w:pPr>
      <w:r w:rsidRPr="002D4988">
        <w:rPr>
          <w:rFonts w:ascii="Arial Narrow" w:eastAsiaTheme="minorEastAsia" w:hAnsi="Arial Narrow"/>
          <w:b/>
          <w:snapToGrid w:val="0"/>
          <w:sz w:val="18"/>
          <w:szCs w:val="18"/>
          <w:vertAlign w:val="superscript"/>
          <w:lang w:eastAsia="en-US"/>
        </w:rPr>
        <w:t>c</w:t>
      </w:r>
      <w:r w:rsidRPr="002D4988">
        <w:rPr>
          <w:rFonts w:ascii="Arial Narrow" w:eastAsiaTheme="minorEastAsia" w:hAnsi="Arial Narrow"/>
          <w:b/>
          <w:snapToGrid w:val="0"/>
          <w:sz w:val="18"/>
          <w:szCs w:val="18"/>
          <w:vertAlign w:val="superscript"/>
          <w:lang w:eastAsia="en-US"/>
        </w:rPr>
        <w:tab/>
        <w:t xml:space="preserve"> </w:t>
      </w:r>
      <w:r w:rsidRPr="002D4988">
        <w:rPr>
          <w:rFonts w:ascii="Arial Narrow" w:eastAsiaTheme="minorEastAsia" w:hAnsi="Arial Narrow"/>
          <w:snapToGrid w:val="0"/>
          <w:sz w:val="18"/>
          <w:szCs w:val="18"/>
          <w:lang w:eastAsia="en-US"/>
        </w:rPr>
        <w:t xml:space="preserve">Formal </w:t>
      </w:r>
      <w:r w:rsidRPr="002D4988">
        <w:rPr>
          <w:rFonts w:ascii="Arial Narrow" w:hAnsi="Arial Narrow"/>
          <w:sz w:val="18"/>
          <w:szCs w:val="18"/>
          <w:lang w:eastAsia="en-US"/>
        </w:rPr>
        <w:t xml:space="preserve">indirect comparisons of TOF versus ADA in the maintenance phase were unable to be made. </w:t>
      </w:r>
    </w:p>
    <w:p w:rsidR="008547DB" w:rsidRPr="002D4988" w:rsidRDefault="008547DB" w:rsidP="00BC0889">
      <w:pPr>
        <w:widowControl w:val="0"/>
        <w:tabs>
          <w:tab w:val="num" w:pos="284"/>
        </w:tabs>
        <w:spacing w:after="160"/>
        <w:rPr>
          <w:i/>
        </w:rPr>
      </w:pPr>
      <w:r w:rsidRPr="002D4988">
        <w:rPr>
          <w:i/>
        </w:rPr>
        <w:t>For more detail on PBAC’s view, see section 7 PBAC outcome.</w:t>
      </w:r>
    </w:p>
    <w:p w:rsidR="00275C5A" w:rsidRPr="002D4988" w:rsidRDefault="00B60939" w:rsidP="00384ABC">
      <w:pPr>
        <w:pStyle w:val="4-SubsectionHeading"/>
      </w:pPr>
      <w:r w:rsidRPr="002D4988">
        <w:t>Economic analysis</w:t>
      </w:r>
      <w:bookmarkEnd w:id="29"/>
      <w:bookmarkEnd w:id="30"/>
      <w:r w:rsidR="00491B3A" w:rsidRPr="002D4988">
        <w:t xml:space="preserve"> </w:t>
      </w:r>
    </w:p>
    <w:p w:rsidR="00357EF0" w:rsidRPr="002D4988" w:rsidRDefault="00357EF0" w:rsidP="00E143D9">
      <w:pPr>
        <w:pStyle w:val="3-BodyText"/>
      </w:pPr>
      <w:r w:rsidRPr="002D4988">
        <w:rPr>
          <w:snapToGrid/>
        </w:rPr>
        <w:t>The resubmission presented a cost-minimisation analysis between TOF with a weighted compar</w:t>
      </w:r>
      <w:r w:rsidR="00190CA8" w:rsidRPr="002D4988">
        <w:rPr>
          <w:snapToGrid/>
        </w:rPr>
        <w:t xml:space="preserve">ator of IFX, VDZ, ADA and GOL. </w:t>
      </w:r>
      <w:r w:rsidRPr="002D4988">
        <w:rPr>
          <w:snapToGrid/>
        </w:rPr>
        <w:t>The March 2019 submission presented a cost-minimisation analysis between TOF and IFX.</w:t>
      </w:r>
    </w:p>
    <w:p w:rsidR="00357EF0" w:rsidRPr="002D4988" w:rsidRDefault="00774016" w:rsidP="00534BB8">
      <w:pPr>
        <w:pStyle w:val="3-BodyText"/>
        <w:rPr>
          <w:szCs w:val="20"/>
        </w:rPr>
      </w:pPr>
      <w:r w:rsidRPr="002D4988">
        <w:rPr>
          <w:rFonts w:eastAsiaTheme="minorEastAsia"/>
          <w:lang w:eastAsia="en-US"/>
        </w:rPr>
        <w:lastRenderedPageBreak/>
        <w:t xml:space="preserve">As </w:t>
      </w:r>
      <w:r w:rsidR="00385289" w:rsidRPr="002D4988">
        <w:rPr>
          <w:rFonts w:eastAsiaTheme="minorEastAsia"/>
          <w:lang w:eastAsia="en-US"/>
        </w:rPr>
        <w:t>di</w:t>
      </w:r>
      <w:r w:rsidR="007A1947">
        <w:rPr>
          <w:rFonts w:eastAsiaTheme="minorEastAsia"/>
          <w:lang w:eastAsia="en-US"/>
        </w:rPr>
        <w:t>scussed earlier in this PSD</w:t>
      </w:r>
      <w:r w:rsidR="00F84300">
        <w:rPr>
          <w:rFonts w:eastAsiaTheme="minorEastAsia"/>
          <w:lang w:eastAsia="en-US"/>
        </w:rPr>
        <w:t xml:space="preserve"> (paragraph 5.8)</w:t>
      </w:r>
      <w:r w:rsidRPr="002D4988">
        <w:rPr>
          <w:rFonts w:eastAsiaTheme="minorEastAsia"/>
          <w:lang w:eastAsia="en-US"/>
        </w:rPr>
        <w:t>, t</w:t>
      </w:r>
      <w:r w:rsidR="00357EF0" w:rsidRPr="002D4988">
        <w:rPr>
          <w:rFonts w:eastAsiaTheme="minorEastAsia"/>
          <w:lang w:eastAsia="en-US"/>
        </w:rPr>
        <w:t xml:space="preserve">he </w:t>
      </w:r>
      <w:r w:rsidR="00345926" w:rsidRPr="002D4988">
        <w:rPr>
          <w:rFonts w:eastAsiaTheme="minorEastAsia"/>
          <w:lang w:eastAsia="en-US"/>
        </w:rPr>
        <w:t xml:space="preserve">PBAC considered the weighted comparator approach followed in the resubmission </w:t>
      </w:r>
      <w:r w:rsidR="001C2333" w:rsidRPr="002D4988">
        <w:rPr>
          <w:rFonts w:eastAsiaTheme="minorEastAsia"/>
          <w:lang w:eastAsia="en-US"/>
        </w:rPr>
        <w:t>was</w:t>
      </w:r>
      <w:r w:rsidR="00345926" w:rsidRPr="002D4988">
        <w:rPr>
          <w:rFonts w:eastAsiaTheme="minorEastAsia"/>
          <w:lang w:eastAsia="en-US"/>
        </w:rPr>
        <w:t xml:space="preserve"> not adequately justified.</w:t>
      </w:r>
      <w:r w:rsidR="00357EF0" w:rsidRPr="002D4988">
        <w:rPr>
          <w:rFonts w:eastAsiaTheme="minorEastAsia"/>
          <w:lang w:eastAsia="en-US"/>
        </w:rPr>
        <w:t xml:space="preserve"> </w:t>
      </w:r>
    </w:p>
    <w:p w:rsidR="008547DB" w:rsidRPr="002D4988" w:rsidRDefault="008547DB" w:rsidP="008547DB">
      <w:pPr>
        <w:pStyle w:val="3-BodyText"/>
        <w:numPr>
          <w:ilvl w:val="0"/>
          <w:numId w:val="0"/>
        </w:numPr>
        <w:ind w:left="720"/>
        <w:rPr>
          <w:rFonts w:eastAsiaTheme="minorEastAsia"/>
          <w:i/>
          <w:lang w:eastAsia="en-US"/>
        </w:rPr>
      </w:pPr>
      <w:r w:rsidRPr="002D4988">
        <w:rPr>
          <w:rFonts w:eastAsiaTheme="minorEastAsia"/>
          <w:i/>
          <w:lang w:eastAsia="en-US"/>
        </w:rPr>
        <w:t>For more detail on PBAC’s view, see section 7 PBAC outcome.</w:t>
      </w:r>
    </w:p>
    <w:p w:rsidR="00C25D9C" w:rsidRPr="002D4988" w:rsidRDefault="00C76951" w:rsidP="00BB732D">
      <w:pPr>
        <w:pStyle w:val="4-SubsectionHeading"/>
      </w:pPr>
      <w:bookmarkStart w:id="31" w:name="_Toc22897646"/>
      <w:bookmarkStart w:id="32" w:name="_Toc51163592"/>
      <w:r w:rsidRPr="002D4988">
        <w:t>Tofacitinib</w:t>
      </w:r>
      <w:r w:rsidR="00C25D9C" w:rsidRPr="002D4988">
        <w:t xml:space="preserve"> cost/patient/year</w:t>
      </w:r>
      <w:bookmarkEnd w:id="31"/>
      <w:bookmarkEnd w:id="32"/>
    </w:p>
    <w:p w:rsidR="005D0CAC" w:rsidRPr="002D4988" w:rsidRDefault="00025A2D" w:rsidP="00E143D9">
      <w:pPr>
        <w:pStyle w:val="3-BodyText"/>
      </w:pPr>
      <w:r w:rsidRPr="002D4988">
        <w:rPr>
          <w:snapToGrid/>
        </w:rPr>
        <w:t xml:space="preserve">The submission’s </w:t>
      </w:r>
      <w:r w:rsidR="007F7239" w:rsidRPr="002D4988">
        <w:rPr>
          <w:snapToGrid/>
        </w:rPr>
        <w:t>estimated</w:t>
      </w:r>
      <w:r w:rsidRPr="002D4988">
        <w:rPr>
          <w:snapToGrid/>
        </w:rPr>
        <w:t xml:space="preserve"> cost is </w:t>
      </w:r>
      <w:r w:rsidR="00D3722A" w:rsidRPr="002D4988">
        <w:rPr>
          <w:snapToGrid/>
        </w:rPr>
        <w:t>$</w:t>
      </w:r>
      <w:r w:rsidR="001B7425">
        <w:rPr>
          <w:noProof/>
          <w:snapToGrid/>
          <w:color w:val="000000"/>
          <w:highlight w:val="black"/>
        </w:rPr>
        <w:t>''''''''''''''''''</w:t>
      </w:r>
      <w:r w:rsidR="00D3722A" w:rsidRPr="002D4988">
        <w:rPr>
          <w:snapToGrid/>
        </w:rPr>
        <w:t xml:space="preserve"> </w:t>
      </w:r>
      <w:r w:rsidR="003A43EC" w:rsidRPr="002D4988">
        <w:rPr>
          <w:snapToGrid/>
        </w:rPr>
        <w:t xml:space="preserve">with TOF 10mg for induction and TOF 5mg/10mg in maintenance over 52 weeks </w:t>
      </w:r>
      <w:r w:rsidR="007F7239" w:rsidRPr="002D4988">
        <w:rPr>
          <w:snapToGrid/>
        </w:rPr>
        <w:t>assuming</w:t>
      </w:r>
      <w:r w:rsidR="00FC51B6" w:rsidRPr="002D4988">
        <w:rPr>
          <w:snapToGrid/>
        </w:rPr>
        <w:t xml:space="preserve"> full compliance.</w:t>
      </w:r>
    </w:p>
    <w:p w:rsidR="00B60939" w:rsidRPr="002D4988" w:rsidRDefault="00B60939" w:rsidP="002B05A1">
      <w:pPr>
        <w:pStyle w:val="4-SubsectionHeading"/>
      </w:pPr>
      <w:bookmarkStart w:id="33" w:name="_Toc22897647"/>
      <w:bookmarkStart w:id="34" w:name="_Toc51163593"/>
      <w:r w:rsidRPr="002D4988">
        <w:t>Estimated PBS usage &amp; financial implications</w:t>
      </w:r>
      <w:bookmarkEnd w:id="33"/>
      <w:bookmarkEnd w:id="34"/>
    </w:p>
    <w:p w:rsidR="00CD7A5B" w:rsidRPr="002D4988" w:rsidRDefault="004F7C9F" w:rsidP="00E143D9">
      <w:pPr>
        <w:pStyle w:val="3-BodyText"/>
      </w:pPr>
      <w:bookmarkStart w:id="35" w:name="_Toc22897648"/>
      <w:r w:rsidRPr="002D4988">
        <w:t xml:space="preserve">This resubmission </w:t>
      </w:r>
      <w:r w:rsidR="00735379" w:rsidRPr="002D4988">
        <w:t>was not</w:t>
      </w:r>
      <w:r w:rsidRPr="002D4988">
        <w:t xml:space="preserve"> considered by DUSC.</w:t>
      </w:r>
      <w:r w:rsidRPr="002D4988">
        <w:rPr>
          <w:color w:val="0070C0"/>
        </w:rPr>
        <w:t xml:space="preserve"> </w:t>
      </w:r>
    </w:p>
    <w:p w:rsidR="00B84A26" w:rsidRPr="002D4988" w:rsidRDefault="00B84A26" w:rsidP="002B06BF">
      <w:pPr>
        <w:pStyle w:val="3-BodyText"/>
      </w:pPr>
      <w:r w:rsidRPr="002D4988">
        <w:t xml:space="preserve">The </w:t>
      </w:r>
      <w:r w:rsidR="002B06BF" w:rsidRPr="002D4988">
        <w:t>re</w:t>
      </w:r>
      <w:r w:rsidRPr="002D4988">
        <w:t>submission stated</w:t>
      </w:r>
      <w:r w:rsidR="005E485A" w:rsidRPr="002D4988">
        <w:t xml:space="preserve"> that a </w:t>
      </w:r>
      <w:r w:rsidRPr="002D4988">
        <w:t>market</w:t>
      </w:r>
      <w:r w:rsidR="004F7C9F" w:rsidRPr="002D4988">
        <w:t xml:space="preserve"> share approach was used to estimate the financial implications of the proposed listing to the PBS/RPBS, </w:t>
      </w:r>
      <w:r w:rsidR="00C04573" w:rsidRPr="002D4988">
        <w:t>h</w:t>
      </w:r>
      <w:r w:rsidR="004F7C9F" w:rsidRPr="002D4988">
        <w:t>owever, the analysis indicated that a mixed epidemiological and market share approach was used instead</w:t>
      </w:r>
      <w:r w:rsidRPr="002D4988">
        <w:t xml:space="preserve"> (see </w:t>
      </w:r>
      <w:r w:rsidR="00BC0889" w:rsidRPr="002D4988">
        <w:rPr>
          <w:rStyle w:val="CommentReference"/>
          <w:rFonts w:asciiTheme="minorHAnsi" w:hAnsiTheme="minorHAnsi"/>
          <w:b w:val="0"/>
          <w:sz w:val="24"/>
          <w:szCs w:val="24"/>
        </w:rPr>
        <w:t>Table 11</w:t>
      </w:r>
      <w:r w:rsidRPr="002D4988">
        <w:t>).</w:t>
      </w:r>
    </w:p>
    <w:p w:rsidR="004F7C9F" w:rsidRPr="002D4988" w:rsidRDefault="00B84A26" w:rsidP="004F7C9F">
      <w:pPr>
        <w:pStyle w:val="TableFigureHeading"/>
        <w:rPr>
          <w:rStyle w:val="CommentReference"/>
          <w:b/>
          <w:bCs w:val="0"/>
        </w:rPr>
      </w:pPr>
      <w:bookmarkStart w:id="36" w:name="_Ref53406657"/>
      <w:r w:rsidRPr="002D4988">
        <w:rPr>
          <w:rStyle w:val="CommentReference"/>
          <w:b/>
        </w:rPr>
        <w:t xml:space="preserve">Table </w:t>
      </w:r>
      <w:r w:rsidR="00BC0889" w:rsidRPr="002D4988">
        <w:rPr>
          <w:rStyle w:val="CommentReference"/>
          <w:b/>
        </w:rPr>
        <w:t>11</w:t>
      </w:r>
      <w:bookmarkEnd w:id="36"/>
      <w:r w:rsidR="004F7C9F" w:rsidRPr="002D4988">
        <w:rPr>
          <w:rStyle w:val="CommentReference"/>
          <w:b/>
        </w:rPr>
        <w:t>: Key inputs for financial estimates</w:t>
      </w:r>
    </w:p>
    <w:tbl>
      <w:tblPr>
        <w:tblStyle w:val="TableGridLight"/>
        <w:tblW w:w="93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Caption w:val="Table 11: Key inputs for financial estimates"/>
      </w:tblPr>
      <w:tblGrid>
        <w:gridCol w:w="562"/>
        <w:gridCol w:w="993"/>
        <w:gridCol w:w="2976"/>
        <w:gridCol w:w="4769"/>
      </w:tblGrid>
      <w:tr w:rsidR="003A43EC" w:rsidRPr="002D4988" w:rsidTr="0079076E">
        <w:trPr>
          <w:cantSplit/>
          <w:tblHeader/>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b/>
                <w:sz w:val="18"/>
                <w:szCs w:val="18"/>
              </w:rPr>
              <w:t>Step</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rPr>
                <w:rStyle w:val="CommentReference"/>
                <w:sz w:val="18"/>
                <w:szCs w:val="18"/>
              </w:rPr>
            </w:pPr>
            <w:r w:rsidRPr="002D4988">
              <w:rPr>
                <w:b/>
                <w:bCs/>
              </w:rPr>
              <w:t>Data</w:t>
            </w:r>
          </w:p>
        </w:tc>
        <w:tc>
          <w:tcPr>
            <w:tcW w:w="2976" w:type="dxa"/>
            <w:tcBorders>
              <w:top w:val="single" w:sz="4" w:space="0" w:color="000000"/>
              <w:left w:val="single" w:sz="4" w:space="0" w:color="000000"/>
              <w:bottom w:val="single" w:sz="4" w:space="0" w:color="000000"/>
              <w:right w:val="single" w:sz="4" w:space="0" w:color="000000"/>
            </w:tcBorders>
            <w:hideMark/>
          </w:tcPr>
          <w:p w:rsidR="004F7C9F" w:rsidRPr="00E91861" w:rsidRDefault="004F7C9F" w:rsidP="003A43EC">
            <w:pPr>
              <w:pStyle w:val="Tabletext"/>
              <w:rPr>
                <w:rStyle w:val="CommentReference"/>
                <w:b w:val="0"/>
                <w:bCs/>
                <w:sz w:val="18"/>
                <w:szCs w:val="18"/>
              </w:rPr>
            </w:pPr>
            <w:r w:rsidRPr="00E91861">
              <w:rPr>
                <w:b/>
              </w:rPr>
              <w:t>Values applied in the resubmission</w:t>
            </w: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rPr>
                <w:b/>
              </w:rPr>
            </w:pPr>
            <w:r w:rsidRPr="002D4988">
              <w:rPr>
                <w:b/>
                <w:bCs/>
              </w:rPr>
              <w:t>Comments</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1</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Individual bDMARD annual growth rates</w:t>
            </w:r>
          </w:p>
        </w:tc>
        <w:tc>
          <w:tcPr>
            <w:tcW w:w="2976" w:type="dxa"/>
            <w:tcBorders>
              <w:top w:val="single" w:sz="4" w:space="0" w:color="000000"/>
              <w:left w:val="single" w:sz="4" w:space="0" w:color="000000"/>
              <w:bottom w:val="single" w:sz="4" w:space="0" w:color="000000"/>
              <w:right w:val="single" w:sz="4" w:space="0" w:color="000000"/>
            </w:tcBorders>
            <w:hideMark/>
          </w:tcPr>
          <w:tbl>
            <w:tblPr>
              <w:tblStyle w:val="TableGrid"/>
              <w:tblW w:w="0" w:type="auto"/>
              <w:tblLayout w:type="fixed"/>
              <w:tblCellMar>
                <w:left w:w="28" w:type="dxa"/>
                <w:right w:w="28" w:type="dxa"/>
              </w:tblCellMar>
              <w:tblLook w:val="0620" w:firstRow="1" w:lastRow="0" w:firstColumn="0" w:lastColumn="0" w:noHBand="1" w:noVBand="1"/>
              <w:tblCaption w:val="Individual bDMARD annual growth rates"/>
            </w:tblPr>
            <w:tblGrid>
              <w:gridCol w:w="545"/>
              <w:gridCol w:w="536"/>
              <w:gridCol w:w="536"/>
              <w:gridCol w:w="512"/>
              <w:gridCol w:w="520"/>
            </w:tblGrid>
            <w:tr w:rsidR="004F7C9F" w:rsidRPr="00E91861" w:rsidTr="00C9724B">
              <w:trPr>
                <w:trHeight w:val="165"/>
                <w:tblHeader/>
              </w:trPr>
              <w:tc>
                <w:tcPr>
                  <w:tcW w:w="545"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pPr>
                  <w:r w:rsidRPr="00E91861">
                    <w:t> </w:t>
                  </w:r>
                </w:p>
              </w:tc>
              <w:tc>
                <w:tcPr>
                  <w:tcW w:w="536"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ADA</w:t>
                  </w:r>
                </w:p>
              </w:tc>
              <w:tc>
                <w:tcPr>
                  <w:tcW w:w="536"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GOL</w:t>
                  </w:r>
                </w:p>
              </w:tc>
              <w:tc>
                <w:tcPr>
                  <w:tcW w:w="512"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IFX</w:t>
                  </w:r>
                </w:p>
              </w:tc>
              <w:tc>
                <w:tcPr>
                  <w:tcW w:w="520"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VED</w:t>
                  </w:r>
                </w:p>
              </w:tc>
            </w:tr>
            <w:tr w:rsidR="004F7C9F" w:rsidRPr="00E91861" w:rsidTr="00C9724B">
              <w:trPr>
                <w:trHeight w:val="97"/>
              </w:trPr>
              <w:tc>
                <w:tcPr>
                  <w:tcW w:w="545"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pPr>
                  <w:r w:rsidRPr="00E91861">
                    <w:t>2020</w:t>
                  </w:r>
                </w:p>
              </w:tc>
              <w:tc>
                <w:tcPr>
                  <w:tcW w:w="536" w:type="dxa"/>
                  <w:tcBorders>
                    <w:top w:val="single" w:sz="4" w:space="0" w:color="auto"/>
                    <w:left w:val="single" w:sz="4" w:space="0" w:color="auto"/>
                    <w:bottom w:val="single" w:sz="4" w:space="0" w:color="auto"/>
                    <w:right w:val="single" w:sz="4" w:space="0" w:color="auto"/>
                  </w:tcBorders>
                  <w:hideMark/>
                </w:tcPr>
                <w:p w:rsidR="004F7C9F" w:rsidRPr="00E91861" w:rsidRDefault="006A3F1C" w:rsidP="003A43EC">
                  <w:pPr>
                    <w:pStyle w:val="Tabletext"/>
                  </w:pPr>
                  <w:r>
                    <w:rPr>
                      <w:noProof/>
                      <w:color w:val="000000"/>
                      <w:highlight w:val="black"/>
                    </w:rPr>
                    <w:t>''''''</w:t>
                  </w:r>
                  <w:r w:rsidR="004F7C9F" w:rsidRPr="00E91861">
                    <w:t>%</w:t>
                  </w:r>
                </w:p>
              </w:tc>
              <w:tc>
                <w:tcPr>
                  <w:tcW w:w="536" w:type="dxa"/>
                  <w:tcBorders>
                    <w:top w:val="single" w:sz="4" w:space="0" w:color="auto"/>
                    <w:left w:val="single" w:sz="4" w:space="0" w:color="auto"/>
                    <w:bottom w:val="single" w:sz="4" w:space="0" w:color="auto"/>
                    <w:right w:val="single" w:sz="4" w:space="0" w:color="auto"/>
                  </w:tcBorders>
                  <w:hideMark/>
                </w:tcPr>
                <w:p w:rsidR="004F7C9F" w:rsidRPr="00E91861" w:rsidRDefault="006A3F1C" w:rsidP="003A43EC">
                  <w:pPr>
                    <w:pStyle w:val="Tabletext"/>
                  </w:pPr>
                  <w:r>
                    <w:rPr>
                      <w:noProof/>
                      <w:color w:val="000000"/>
                      <w:highlight w:val="black"/>
                    </w:rPr>
                    <w:t>'''''''</w:t>
                  </w:r>
                  <w:r w:rsidR="004F7C9F" w:rsidRPr="00E91861">
                    <w:t>%</w:t>
                  </w:r>
                </w:p>
              </w:tc>
              <w:tc>
                <w:tcPr>
                  <w:tcW w:w="512" w:type="dxa"/>
                  <w:tcBorders>
                    <w:top w:val="single" w:sz="4" w:space="0" w:color="auto"/>
                    <w:left w:val="single" w:sz="4" w:space="0" w:color="auto"/>
                    <w:bottom w:val="single" w:sz="4" w:space="0" w:color="auto"/>
                    <w:right w:val="single" w:sz="4" w:space="0" w:color="auto"/>
                  </w:tcBorders>
                  <w:hideMark/>
                </w:tcPr>
                <w:p w:rsidR="004F7C9F" w:rsidRPr="00E91861" w:rsidRDefault="006A3F1C" w:rsidP="003A43EC">
                  <w:pPr>
                    <w:pStyle w:val="Tabletext"/>
                  </w:pPr>
                  <w:r>
                    <w:rPr>
                      <w:noProof/>
                      <w:color w:val="000000"/>
                      <w:highlight w:val="black"/>
                    </w:rPr>
                    <w:t>''''''</w:t>
                  </w:r>
                  <w:r w:rsidR="004F7C9F" w:rsidRPr="00E91861">
                    <w:t>%</w:t>
                  </w:r>
                </w:p>
              </w:tc>
              <w:tc>
                <w:tcPr>
                  <w:tcW w:w="520" w:type="dxa"/>
                  <w:tcBorders>
                    <w:top w:val="single" w:sz="4" w:space="0" w:color="auto"/>
                    <w:left w:val="single" w:sz="4" w:space="0" w:color="auto"/>
                    <w:bottom w:val="single" w:sz="4" w:space="0" w:color="auto"/>
                    <w:right w:val="single" w:sz="4" w:space="0" w:color="auto"/>
                  </w:tcBorders>
                  <w:hideMark/>
                </w:tcPr>
                <w:p w:rsidR="004F7C9F" w:rsidRPr="00E91861" w:rsidRDefault="006A3F1C" w:rsidP="003A43EC">
                  <w:pPr>
                    <w:pStyle w:val="Tabletext"/>
                  </w:pPr>
                  <w:r>
                    <w:rPr>
                      <w:noProof/>
                      <w:color w:val="000000"/>
                      <w:highlight w:val="black"/>
                    </w:rPr>
                    <w:t>''''''</w:t>
                  </w:r>
                  <w:r w:rsidR="004F7C9F" w:rsidRPr="00E91861">
                    <w:t>%</w:t>
                  </w:r>
                </w:p>
              </w:tc>
            </w:tr>
            <w:tr w:rsidR="004F7C9F" w:rsidRPr="00E91861" w:rsidTr="00C9724B">
              <w:trPr>
                <w:trHeight w:val="115"/>
              </w:trPr>
              <w:tc>
                <w:tcPr>
                  <w:tcW w:w="545" w:type="dxa"/>
                  <w:tcBorders>
                    <w:top w:val="single" w:sz="4" w:space="0" w:color="auto"/>
                    <w:left w:val="single" w:sz="4" w:space="0" w:color="auto"/>
                    <w:bottom w:val="single" w:sz="4" w:space="0" w:color="auto"/>
                    <w:right w:val="single" w:sz="4" w:space="0" w:color="auto"/>
                  </w:tcBorders>
                  <w:noWrap/>
                  <w:hideMark/>
                </w:tcPr>
                <w:p w:rsidR="004F7C9F" w:rsidRPr="00E91861" w:rsidRDefault="004F7C9F" w:rsidP="003A43EC">
                  <w:pPr>
                    <w:pStyle w:val="Tabletext"/>
                  </w:pPr>
                  <w:r w:rsidRPr="00E91861">
                    <w:t>2021</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12"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20"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r>
            <w:tr w:rsidR="004F7C9F" w:rsidRPr="00E91861" w:rsidTr="00C9724B">
              <w:trPr>
                <w:trHeight w:val="189"/>
              </w:trPr>
              <w:tc>
                <w:tcPr>
                  <w:tcW w:w="545" w:type="dxa"/>
                  <w:tcBorders>
                    <w:top w:val="single" w:sz="4" w:space="0" w:color="auto"/>
                    <w:left w:val="single" w:sz="4" w:space="0" w:color="auto"/>
                    <w:bottom w:val="single" w:sz="4" w:space="0" w:color="auto"/>
                    <w:right w:val="single" w:sz="4" w:space="0" w:color="auto"/>
                  </w:tcBorders>
                  <w:noWrap/>
                  <w:hideMark/>
                </w:tcPr>
                <w:p w:rsidR="004F7C9F" w:rsidRPr="00E91861" w:rsidRDefault="004F7C9F" w:rsidP="003A43EC">
                  <w:pPr>
                    <w:pStyle w:val="Tabletext"/>
                  </w:pPr>
                  <w:r w:rsidRPr="00E91861">
                    <w:t>2022</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12"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20"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r>
            <w:tr w:rsidR="004F7C9F" w:rsidRPr="00E91861" w:rsidTr="00C9724B">
              <w:trPr>
                <w:trHeight w:val="149"/>
              </w:trPr>
              <w:tc>
                <w:tcPr>
                  <w:tcW w:w="545" w:type="dxa"/>
                  <w:tcBorders>
                    <w:top w:val="single" w:sz="4" w:space="0" w:color="auto"/>
                    <w:left w:val="single" w:sz="4" w:space="0" w:color="auto"/>
                    <w:bottom w:val="single" w:sz="4" w:space="0" w:color="auto"/>
                    <w:right w:val="single" w:sz="4" w:space="0" w:color="auto"/>
                  </w:tcBorders>
                  <w:noWrap/>
                  <w:hideMark/>
                </w:tcPr>
                <w:p w:rsidR="004F7C9F" w:rsidRPr="00E91861" w:rsidRDefault="004F7C9F" w:rsidP="003A43EC">
                  <w:pPr>
                    <w:pStyle w:val="Tabletext"/>
                  </w:pPr>
                  <w:r w:rsidRPr="00E91861">
                    <w:t>2023</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12"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20"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r>
            <w:tr w:rsidR="004F7C9F" w:rsidRPr="00E91861" w:rsidTr="00C9724B">
              <w:trPr>
                <w:trHeight w:val="81"/>
              </w:trPr>
              <w:tc>
                <w:tcPr>
                  <w:tcW w:w="545" w:type="dxa"/>
                  <w:tcBorders>
                    <w:top w:val="single" w:sz="4" w:space="0" w:color="auto"/>
                    <w:left w:val="single" w:sz="4" w:space="0" w:color="auto"/>
                    <w:bottom w:val="single" w:sz="4" w:space="0" w:color="auto"/>
                    <w:right w:val="single" w:sz="4" w:space="0" w:color="auto"/>
                  </w:tcBorders>
                  <w:noWrap/>
                  <w:hideMark/>
                </w:tcPr>
                <w:p w:rsidR="004F7C9F" w:rsidRPr="00E91861" w:rsidRDefault="004F7C9F" w:rsidP="003A43EC">
                  <w:pPr>
                    <w:pStyle w:val="Tabletext"/>
                  </w:pPr>
                  <w:r w:rsidRPr="00E91861">
                    <w:t>2024</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12"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20"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r>
            <w:tr w:rsidR="004F7C9F" w:rsidRPr="00E91861" w:rsidTr="00C9724B">
              <w:trPr>
                <w:trHeight w:val="37"/>
              </w:trPr>
              <w:tc>
                <w:tcPr>
                  <w:tcW w:w="545" w:type="dxa"/>
                  <w:tcBorders>
                    <w:top w:val="single" w:sz="4" w:space="0" w:color="auto"/>
                    <w:left w:val="single" w:sz="4" w:space="0" w:color="auto"/>
                    <w:bottom w:val="single" w:sz="4" w:space="0" w:color="auto"/>
                    <w:right w:val="single" w:sz="4" w:space="0" w:color="auto"/>
                  </w:tcBorders>
                  <w:noWrap/>
                  <w:hideMark/>
                </w:tcPr>
                <w:p w:rsidR="004F7C9F" w:rsidRPr="00E91861" w:rsidRDefault="004F7C9F" w:rsidP="003A43EC">
                  <w:pPr>
                    <w:pStyle w:val="Tabletext"/>
                  </w:pPr>
                  <w:r w:rsidRPr="00E91861">
                    <w:t>2025</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12"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20"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r>
            <w:tr w:rsidR="004F7C9F" w:rsidRPr="00E91861" w:rsidTr="00C9724B">
              <w:trPr>
                <w:trHeight w:val="74"/>
              </w:trPr>
              <w:tc>
                <w:tcPr>
                  <w:tcW w:w="545" w:type="dxa"/>
                  <w:tcBorders>
                    <w:top w:val="single" w:sz="4" w:space="0" w:color="auto"/>
                    <w:left w:val="single" w:sz="4" w:space="0" w:color="auto"/>
                    <w:bottom w:val="single" w:sz="4" w:space="0" w:color="auto"/>
                    <w:right w:val="single" w:sz="4" w:space="0" w:color="auto"/>
                  </w:tcBorders>
                  <w:noWrap/>
                  <w:hideMark/>
                </w:tcPr>
                <w:p w:rsidR="004F7C9F" w:rsidRPr="00E91861" w:rsidRDefault="004F7C9F" w:rsidP="003A43EC">
                  <w:pPr>
                    <w:pStyle w:val="Tabletext"/>
                  </w:pPr>
                  <w:r w:rsidRPr="00E91861">
                    <w:t>2026</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36"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12"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c>
                <w:tcPr>
                  <w:tcW w:w="520" w:type="dxa"/>
                  <w:tcBorders>
                    <w:top w:val="single" w:sz="4" w:space="0" w:color="auto"/>
                    <w:left w:val="single" w:sz="4" w:space="0" w:color="auto"/>
                    <w:bottom w:val="single" w:sz="4" w:space="0" w:color="auto"/>
                    <w:right w:val="single" w:sz="4" w:space="0" w:color="auto"/>
                  </w:tcBorders>
                  <w:noWrap/>
                  <w:hideMark/>
                </w:tcPr>
                <w:p w:rsidR="004F7C9F" w:rsidRPr="00E91861" w:rsidRDefault="006A3F1C" w:rsidP="003A43EC">
                  <w:pPr>
                    <w:pStyle w:val="Tabletext"/>
                  </w:pPr>
                  <w:r>
                    <w:rPr>
                      <w:noProof/>
                      <w:color w:val="000000"/>
                      <w:highlight w:val="black"/>
                    </w:rPr>
                    <w:t>''''''</w:t>
                  </w:r>
                  <w:r w:rsidR="004F7C9F" w:rsidRPr="00E91861">
                    <w:t>%</w:t>
                  </w:r>
                </w:p>
              </w:tc>
            </w:tr>
          </w:tbl>
          <w:p w:rsidR="004F7C9F" w:rsidRPr="00E91861" w:rsidRDefault="004F7C9F" w:rsidP="003A43EC">
            <w:pPr>
              <w:pStyle w:val="Tabletext"/>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rPr>
                <w:iCs/>
              </w:rPr>
            </w:pPr>
            <w:r w:rsidRPr="002D4988">
              <w:rPr>
                <w:iCs/>
              </w:rPr>
              <w:t>Uncertain</w:t>
            </w:r>
            <w:r w:rsidRPr="002D4988">
              <w:t>. The source of these rates was reported to be the Pfizer Xeljanz UC patient forecast model</w:t>
            </w:r>
            <w:r w:rsidR="00B84A26" w:rsidRPr="002D4988">
              <w:t xml:space="preserve"> (epidemiological approach),</w:t>
            </w:r>
            <w:r w:rsidRPr="002D4988">
              <w:t xml:space="preserve"> </w:t>
            </w:r>
            <w:r w:rsidRPr="002D4988">
              <w:rPr>
                <w:iCs/>
              </w:rPr>
              <w:t xml:space="preserve">but this was not provided during the evaluation and it is unclear how these were calculated. </w:t>
            </w:r>
          </w:p>
          <w:p w:rsidR="004F7C9F" w:rsidRPr="002D4988" w:rsidRDefault="004F7C9F" w:rsidP="003A43EC">
            <w:pPr>
              <w:pStyle w:val="Tabletext"/>
              <w:rPr>
                <w:bCs/>
              </w:rPr>
            </w:pPr>
            <w:r w:rsidRPr="002D4988">
              <w:rPr>
                <w:iCs/>
              </w:rPr>
              <w:t xml:space="preserve">These growth rates were applied to PBS scripts in 2019 </w:t>
            </w:r>
            <w:r w:rsidR="00B84A26" w:rsidRPr="002D4988">
              <w:rPr>
                <w:iCs/>
              </w:rPr>
              <w:t xml:space="preserve">(market share approach) </w:t>
            </w:r>
            <w:r w:rsidRPr="002D4988">
              <w:rPr>
                <w:iCs/>
              </w:rPr>
              <w:t>to estimate future bDMARD scripts.</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2</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Substitution rates for all bDMARDs</w:t>
            </w:r>
          </w:p>
        </w:tc>
        <w:tc>
          <w:tcPr>
            <w:tcW w:w="2976" w:type="dxa"/>
            <w:tcBorders>
              <w:top w:val="single" w:sz="4" w:space="0" w:color="000000"/>
              <w:left w:val="single" w:sz="4" w:space="0" w:color="000000"/>
              <w:bottom w:val="single" w:sz="4" w:space="0" w:color="000000"/>
              <w:right w:val="single" w:sz="4" w:space="0" w:color="000000"/>
            </w:tcBorders>
            <w:hideMark/>
          </w:tcPr>
          <w:tbl>
            <w:tblPr>
              <w:tblStyle w:val="TableGrid"/>
              <w:tblW w:w="0" w:type="auto"/>
              <w:tblLayout w:type="fixed"/>
              <w:tblCellMar>
                <w:left w:w="28" w:type="dxa"/>
                <w:right w:w="28" w:type="dxa"/>
              </w:tblCellMar>
              <w:tblLook w:val="0620" w:firstRow="1" w:lastRow="0" w:firstColumn="0" w:lastColumn="0" w:noHBand="1" w:noVBand="1"/>
              <w:tblCaption w:val="Substitution rates for all bDMARDs"/>
            </w:tblPr>
            <w:tblGrid>
              <w:gridCol w:w="1798"/>
            </w:tblGrid>
            <w:tr w:rsidR="004F7C9F" w:rsidRPr="002D4988" w:rsidTr="00C9724B">
              <w:trPr>
                <w:tblHeader/>
              </w:trPr>
              <w:tc>
                <w:tcPr>
                  <w:tcW w:w="1798"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Year 1: </w:t>
                  </w:r>
                  <w:r w:rsidR="006A3F1C">
                    <w:rPr>
                      <w:bCs/>
                      <w:noProof/>
                      <w:color w:val="000000"/>
                      <w:highlight w:val="black"/>
                    </w:rPr>
                    <w:t>''''''</w:t>
                  </w:r>
                  <w:r w:rsidRPr="00E91861">
                    <w:rPr>
                      <w:bCs/>
                    </w:rPr>
                    <w:t>%</w:t>
                  </w:r>
                </w:p>
              </w:tc>
            </w:tr>
            <w:tr w:rsidR="004F7C9F" w:rsidRPr="002D4988" w:rsidTr="00C9724B">
              <w:tc>
                <w:tcPr>
                  <w:tcW w:w="1798"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Year 2: </w:t>
                  </w:r>
                  <w:r w:rsidR="006A3F1C">
                    <w:rPr>
                      <w:bCs/>
                      <w:noProof/>
                      <w:color w:val="000000"/>
                      <w:highlight w:val="black"/>
                    </w:rPr>
                    <w:t>''''''</w:t>
                  </w:r>
                  <w:r w:rsidRPr="00E91861">
                    <w:rPr>
                      <w:bCs/>
                    </w:rPr>
                    <w:t>%</w:t>
                  </w:r>
                </w:p>
              </w:tc>
            </w:tr>
            <w:tr w:rsidR="004F7C9F" w:rsidRPr="002D4988" w:rsidTr="00C9724B">
              <w:tc>
                <w:tcPr>
                  <w:tcW w:w="1798"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Year 3: </w:t>
                  </w:r>
                  <w:r w:rsidR="006A3F1C">
                    <w:rPr>
                      <w:bCs/>
                      <w:noProof/>
                      <w:color w:val="000000"/>
                      <w:highlight w:val="black"/>
                    </w:rPr>
                    <w:t>'''''''</w:t>
                  </w:r>
                  <w:r w:rsidRPr="00E91861">
                    <w:rPr>
                      <w:bCs/>
                    </w:rPr>
                    <w:t>%</w:t>
                  </w:r>
                </w:p>
              </w:tc>
            </w:tr>
            <w:tr w:rsidR="004F7C9F" w:rsidRPr="002D4988" w:rsidTr="00C9724B">
              <w:tc>
                <w:tcPr>
                  <w:tcW w:w="1798"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Year 4: </w:t>
                  </w:r>
                  <w:r w:rsidR="006A3F1C">
                    <w:rPr>
                      <w:bCs/>
                      <w:noProof/>
                      <w:color w:val="000000"/>
                      <w:highlight w:val="black"/>
                    </w:rPr>
                    <w:t>''''''</w:t>
                  </w:r>
                  <w:r w:rsidRPr="00E91861">
                    <w:rPr>
                      <w:bCs/>
                    </w:rPr>
                    <w:t>%</w:t>
                  </w:r>
                </w:p>
              </w:tc>
            </w:tr>
            <w:tr w:rsidR="004F7C9F" w:rsidRPr="002D4988" w:rsidTr="00C9724B">
              <w:tc>
                <w:tcPr>
                  <w:tcW w:w="1798"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Year 5: </w:t>
                  </w:r>
                  <w:r w:rsidR="006A3F1C">
                    <w:rPr>
                      <w:bCs/>
                      <w:noProof/>
                      <w:color w:val="000000"/>
                      <w:highlight w:val="black"/>
                    </w:rPr>
                    <w:t>''''''</w:t>
                  </w:r>
                  <w:r w:rsidRPr="00E91861">
                    <w:rPr>
                      <w:bCs/>
                    </w:rPr>
                    <w:t>%</w:t>
                  </w:r>
                </w:p>
              </w:tc>
            </w:tr>
            <w:tr w:rsidR="004F7C9F" w:rsidRPr="002D4988" w:rsidTr="00C9724B">
              <w:tc>
                <w:tcPr>
                  <w:tcW w:w="1798"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Year 6: </w:t>
                  </w:r>
                  <w:r w:rsidR="006A3F1C">
                    <w:rPr>
                      <w:bCs/>
                      <w:noProof/>
                      <w:color w:val="000000"/>
                      <w:highlight w:val="black"/>
                    </w:rPr>
                    <w:t>'''''''</w:t>
                  </w:r>
                  <w:r w:rsidRPr="00E91861">
                    <w:rPr>
                      <w:bCs/>
                    </w:rPr>
                    <w:t>%</w:t>
                  </w:r>
                </w:p>
              </w:tc>
            </w:tr>
          </w:tbl>
          <w:p w:rsidR="004F7C9F" w:rsidRPr="002D4988" w:rsidRDefault="004F7C9F" w:rsidP="003A43EC">
            <w:pPr>
              <w:pStyle w:val="Tabletext"/>
              <w:rPr>
                <w:bCs/>
                <w:iCs/>
              </w:rPr>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rPr>
                <w:bCs/>
              </w:rPr>
            </w:pPr>
            <w:r w:rsidRPr="002D4988">
              <w:rPr>
                <w:iCs/>
              </w:rPr>
              <w:t>Uncertain</w:t>
            </w:r>
            <w:r w:rsidRPr="002D4988">
              <w:t>. Based on sponsor’s assumptions. I</w:t>
            </w:r>
            <w:r w:rsidRPr="002D4988">
              <w:rPr>
                <w:bCs/>
              </w:rPr>
              <w:t xml:space="preserve">t was assumed that </w:t>
            </w:r>
            <w:r w:rsidR="00190CA8" w:rsidRPr="002D4988">
              <w:rPr>
                <w:bCs/>
              </w:rPr>
              <w:t xml:space="preserve">TOF </w:t>
            </w:r>
            <w:r w:rsidRPr="002D4988">
              <w:rPr>
                <w:bCs/>
              </w:rPr>
              <w:t xml:space="preserve">will substitute equally for all PBS listed bDMARDs. Substitution rates did not distinguish the initiation and maintenance treatment phases. </w:t>
            </w:r>
            <w:r w:rsidRPr="002D4988">
              <w:rPr>
                <w:bCs/>
                <w:iCs/>
              </w:rPr>
              <w:t xml:space="preserve">It is highly unlikely that TOF would substitute all listed </w:t>
            </w:r>
            <w:r w:rsidR="002D4988" w:rsidRPr="002D4988">
              <w:rPr>
                <w:bCs/>
                <w:iCs/>
              </w:rPr>
              <w:t>bDMARDs</w:t>
            </w:r>
            <w:r w:rsidRPr="002D4988">
              <w:rPr>
                <w:bCs/>
                <w:iCs/>
              </w:rPr>
              <w:t xml:space="preserve"> equally. </w:t>
            </w:r>
          </w:p>
          <w:p w:rsidR="004F7C9F" w:rsidRPr="002D4988" w:rsidRDefault="004F7C9F" w:rsidP="003A43EC">
            <w:pPr>
              <w:pStyle w:val="Tabletext"/>
              <w:rPr>
                <w:bCs/>
              </w:rPr>
            </w:pPr>
            <w:r w:rsidRPr="002D4988">
              <w:rPr>
                <w:bCs/>
              </w:rPr>
              <w:t xml:space="preserve">These rates were applied to </w:t>
            </w:r>
            <w:r w:rsidRPr="002D4988">
              <w:t>the estimated number of bDMARD scripts (calculated with growth rates in Step 1) to estimate the number of annual TOF scripts.</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3</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Additional market growth due to TOF</w:t>
            </w:r>
          </w:p>
        </w:tc>
        <w:tc>
          <w:tcPr>
            <w:tcW w:w="2976" w:type="dxa"/>
            <w:tcBorders>
              <w:top w:val="single" w:sz="4" w:space="0" w:color="000000"/>
              <w:left w:val="single" w:sz="4" w:space="0" w:color="000000"/>
              <w:bottom w:val="single" w:sz="4" w:space="0" w:color="000000"/>
              <w:right w:val="single" w:sz="4" w:space="0" w:color="000000"/>
            </w:tcBorders>
            <w:hideMark/>
          </w:tcPr>
          <w:tbl>
            <w:tblPr>
              <w:tblStyle w:val="TableGrid"/>
              <w:tblW w:w="0" w:type="auto"/>
              <w:tblLayout w:type="fixed"/>
              <w:tblLook w:val="0620" w:firstRow="1" w:lastRow="0" w:firstColumn="0" w:lastColumn="0" w:noHBand="1" w:noVBand="1"/>
              <w:tblCaption w:val="Additional market growth due to TOF"/>
            </w:tblPr>
            <w:tblGrid>
              <w:gridCol w:w="1199"/>
            </w:tblGrid>
            <w:tr w:rsidR="004F7C9F" w:rsidRPr="002D4988" w:rsidTr="00C9724B">
              <w:trPr>
                <w:tblHeader/>
              </w:trPr>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1: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2: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3: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4: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5: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6: </w:t>
                  </w:r>
                  <w:r w:rsidR="006A3F1C">
                    <w:rPr>
                      <w:bCs/>
                      <w:noProof/>
                      <w:color w:val="000000"/>
                      <w:highlight w:val="black"/>
                    </w:rPr>
                    <w:t>''''''''''</w:t>
                  </w:r>
                  <w:r w:rsidRPr="00E91861">
                    <w:rPr>
                      <w:bCs/>
                    </w:rPr>
                    <w:t>%</w:t>
                  </w:r>
                </w:p>
              </w:tc>
            </w:tr>
          </w:tbl>
          <w:p w:rsidR="004F7C9F" w:rsidRPr="002D4988" w:rsidRDefault="004F7C9F" w:rsidP="003A43EC">
            <w:pPr>
              <w:pStyle w:val="Tabletext"/>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 xml:space="preserve">TOF scripts (Step 2) were then added to the bDMARD scripts (from Step 1), and the resulting percent difference was interpreted as the additional market growth due to TOF listing. </w:t>
            </w:r>
            <w:r w:rsidRPr="002D4988">
              <w:rPr>
                <w:iCs/>
              </w:rPr>
              <w:t xml:space="preserve">This is not reasonable. If the resubmission estimates an increasing number of scripts for patients who are not yet treated with </w:t>
            </w:r>
            <w:r w:rsidR="002D4988" w:rsidRPr="002D4988">
              <w:rPr>
                <w:iCs/>
              </w:rPr>
              <w:t>bDMARDs</w:t>
            </w:r>
            <w:r w:rsidRPr="002D4988">
              <w:rPr>
                <w:iCs/>
              </w:rPr>
              <w:t xml:space="preserve"> and are not accounted for in the annual growth rates, these cannot be derived from current scripts using fixed substitution rates.</w:t>
            </w:r>
            <w:r w:rsidR="00B84A26" w:rsidRPr="002D4988">
              <w:rPr>
                <w:iCs/>
              </w:rPr>
              <w:t xml:space="preserve"> Also, any additional growth due to TOF listing beyond current market trends is uncertain.</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4</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Total bDMARD annual growth rate (including growth due to TOF)</w:t>
            </w:r>
          </w:p>
        </w:tc>
        <w:tc>
          <w:tcPr>
            <w:tcW w:w="2976" w:type="dxa"/>
            <w:tcBorders>
              <w:top w:val="single" w:sz="4" w:space="0" w:color="000000"/>
              <w:left w:val="single" w:sz="4" w:space="0" w:color="000000"/>
              <w:bottom w:val="single" w:sz="4" w:space="0" w:color="000000"/>
              <w:right w:val="single" w:sz="4" w:space="0" w:color="000000"/>
            </w:tcBorders>
            <w:hideMark/>
          </w:tcPr>
          <w:tbl>
            <w:tblPr>
              <w:tblStyle w:val="TableGrid"/>
              <w:tblW w:w="0" w:type="auto"/>
              <w:tblLayout w:type="fixed"/>
              <w:tblLook w:val="0620" w:firstRow="1" w:lastRow="0" w:firstColumn="0" w:lastColumn="0" w:noHBand="1" w:noVBand="1"/>
              <w:tblCaption w:val="Total bDMARD annual growth rate (including growth due to TOF)"/>
            </w:tblPr>
            <w:tblGrid>
              <w:gridCol w:w="1199"/>
            </w:tblGrid>
            <w:tr w:rsidR="004F7C9F" w:rsidRPr="002D4988" w:rsidTr="00C9724B">
              <w:trPr>
                <w:tblHeader/>
              </w:trPr>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1: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2: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3: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4: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5: </w:t>
                  </w:r>
                  <w:r w:rsidR="006A3F1C">
                    <w:rPr>
                      <w:bCs/>
                      <w:noProof/>
                      <w:color w:val="000000"/>
                      <w:highlight w:val="black"/>
                    </w:rPr>
                    <w:t>''''</w:t>
                  </w:r>
                  <w:r w:rsidRPr="00E91861">
                    <w:rPr>
                      <w:bCs/>
                    </w:rPr>
                    <w:t>%</w:t>
                  </w:r>
                </w:p>
              </w:tc>
            </w:tr>
            <w:tr w:rsidR="004F7C9F" w:rsidRPr="002D4988" w:rsidTr="00C9724B">
              <w:tc>
                <w:tcPr>
                  <w:tcW w:w="1199" w:type="dxa"/>
                  <w:tcBorders>
                    <w:top w:val="single" w:sz="4" w:space="0" w:color="auto"/>
                    <w:left w:val="single" w:sz="4" w:space="0" w:color="auto"/>
                    <w:bottom w:val="single" w:sz="4" w:space="0" w:color="auto"/>
                    <w:right w:val="single" w:sz="4" w:space="0" w:color="auto"/>
                  </w:tcBorders>
                  <w:hideMark/>
                </w:tcPr>
                <w:p w:rsidR="004F7C9F" w:rsidRPr="00E91861" w:rsidRDefault="004F7C9F" w:rsidP="003A43EC">
                  <w:pPr>
                    <w:pStyle w:val="Tabletext"/>
                    <w:rPr>
                      <w:bCs/>
                    </w:rPr>
                  </w:pPr>
                  <w:r w:rsidRPr="00E91861">
                    <w:rPr>
                      <w:bCs/>
                    </w:rPr>
                    <w:t xml:space="preserve">Yr 6: </w:t>
                  </w:r>
                  <w:r w:rsidR="006A3F1C">
                    <w:rPr>
                      <w:bCs/>
                      <w:noProof/>
                      <w:color w:val="000000"/>
                      <w:highlight w:val="black"/>
                    </w:rPr>
                    <w:t>''''</w:t>
                  </w:r>
                  <w:r w:rsidRPr="00E91861">
                    <w:rPr>
                      <w:bCs/>
                    </w:rPr>
                    <w:t>%</w:t>
                  </w:r>
                </w:p>
              </w:tc>
            </w:tr>
          </w:tbl>
          <w:p w:rsidR="004F7C9F" w:rsidRPr="002D4988" w:rsidRDefault="004F7C9F" w:rsidP="003A43EC">
            <w:pPr>
              <w:pStyle w:val="Tabletext"/>
              <w:rPr>
                <w:bCs/>
              </w:rPr>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2D4988">
            <w:pPr>
              <w:pStyle w:val="Tabletext"/>
            </w:pPr>
            <w:r w:rsidRPr="002D4988">
              <w:t>The revised annual market growth (including the additional growth due to TOF – Step 3) was derived from the percentage difference between the total scripts (</w:t>
            </w:r>
            <w:r w:rsidR="002D4988" w:rsidRPr="002D4988">
              <w:t>bDMARD</w:t>
            </w:r>
            <w:r w:rsidR="002D4988">
              <w:t>s</w:t>
            </w:r>
            <w:r w:rsidRPr="002D4988">
              <w:t xml:space="preserve">+TOF) and initial bDMARD scripts (calculated in Step 1). </w:t>
            </w:r>
            <w:r w:rsidRPr="002D4988">
              <w:rPr>
                <w:iCs/>
              </w:rPr>
              <w:t xml:space="preserve">These rates are presented in Table 4.1.2, p92 of the resubmission, but are not used in the model. </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lastRenderedPageBreak/>
              <w:t>5</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Individual bDMARD growth (incl.growth due to TOF)</w:t>
            </w:r>
          </w:p>
        </w:tc>
        <w:tc>
          <w:tcPr>
            <w:tcW w:w="2976" w:type="dxa"/>
            <w:tcBorders>
              <w:top w:val="single" w:sz="4" w:space="0" w:color="000000"/>
              <w:left w:val="single" w:sz="4" w:space="0" w:color="000000"/>
              <w:bottom w:val="single" w:sz="4" w:space="0" w:color="000000"/>
              <w:right w:val="single" w:sz="4" w:space="0" w:color="000000"/>
            </w:tcBorders>
            <w:hideMark/>
          </w:tcPr>
          <w:tbl>
            <w:tblPr>
              <w:tblStyle w:val="TableGridLight"/>
              <w:tblW w:w="29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620" w:firstRow="1" w:lastRow="0" w:firstColumn="0" w:lastColumn="0" w:noHBand="1" w:noVBand="1"/>
              <w:tblCaption w:val="Individual bDMARD growth (incl.growth due to TOF)"/>
            </w:tblPr>
            <w:tblGrid>
              <w:gridCol w:w="567"/>
              <w:gridCol w:w="567"/>
              <w:gridCol w:w="567"/>
              <w:gridCol w:w="635"/>
              <w:gridCol w:w="641"/>
            </w:tblGrid>
            <w:tr w:rsidR="004F7C9F" w:rsidRPr="002D4988" w:rsidTr="00C9724B">
              <w:trPr>
                <w:trHeight w:val="89"/>
                <w:tblHeader/>
              </w:trPr>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bCs/>
                    </w:rPr>
                  </w:pPr>
                  <w:r w:rsidRPr="00E91861">
                    <w:rPr>
                      <w:bCs/>
                    </w:rPr>
                    <w:t> </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rFonts w:cs="Calibri"/>
                      <w:bCs/>
                    </w:rPr>
                  </w:pPr>
                  <w:r w:rsidRPr="00E91861">
                    <w:rPr>
                      <w:rFonts w:cs="Calibri"/>
                      <w:bCs/>
                    </w:rPr>
                    <w:t>ADA</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rFonts w:cs="Calibri"/>
                      <w:bCs/>
                    </w:rPr>
                  </w:pPr>
                  <w:r w:rsidRPr="00E91861">
                    <w:rPr>
                      <w:rFonts w:cs="Calibri"/>
                      <w:bCs/>
                    </w:rPr>
                    <w:t>GOL</w:t>
                  </w:r>
                </w:p>
              </w:tc>
              <w:tc>
                <w:tcPr>
                  <w:tcW w:w="635"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rFonts w:cs="Calibri"/>
                      <w:bCs/>
                    </w:rPr>
                  </w:pPr>
                  <w:r w:rsidRPr="00E91861">
                    <w:rPr>
                      <w:rFonts w:cs="Calibri"/>
                      <w:bCs/>
                    </w:rPr>
                    <w:t>IFX</w:t>
                  </w:r>
                </w:p>
              </w:tc>
              <w:tc>
                <w:tcPr>
                  <w:tcW w:w="641"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rFonts w:cs="Calibri"/>
                      <w:bCs/>
                    </w:rPr>
                  </w:pPr>
                  <w:r w:rsidRPr="00E91861">
                    <w:rPr>
                      <w:rFonts w:cs="Calibri"/>
                      <w:bCs/>
                    </w:rPr>
                    <w:t>VED</w:t>
                  </w:r>
                </w:p>
              </w:tc>
            </w:tr>
            <w:tr w:rsidR="004F7C9F" w:rsidRPr="002D4988" w:rsidTr="00C9724B">
              <w:trPr>
                <w:trHeight w:val="300"/>
              </w:trPr>
              <w:tc>
                <w:tcPr>
                  <w:tcW w:w="567" w:type="dxa"/>
                  <w:tcBorders>
                    <w:top w:val="single" w:sz="4" w:space="0" w:color="000000"/>
                    <w:left w:val="single" w:sz="4" w:space="0" w:color="000000"/>
                    <w:bottom w:val="single" w:sz="4" w:space="0" w:color="000000"/>
                    <w:right w:val="single" w:sz="4" w:space="0" w:color="000000"/>
                  </w:tcBorders>
                  <w:hideMark/>
                </w:tcPr>
                <w:p w:rsidR="004F7C9F" w:rsidRPr="00E91861" w:rsidRDefault="004F7C9F" w:rsidP="003A43EC">
                  <w:pPr>
                    <w:pStyle w:val="Tabletext"/>
                    <w:rPr>
                      <w:rFonts w:cs="Calibri"/>
                    </w:rPr>
                  </w:pPr>
                  <w:r w:rsidRPr="00E91861">
                    <w:rPr>
                      <w:rFonts w:cs="Calibri"/>
                    </w:rPr>
                    <w:t>2019-2021</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4F7C9F" w:rsidRPr="00E91861" w:rsidRDefault="006A3F1C" w:rsidP="003A43EC">
                  <w:pPr>
                    <w:pStyle w:val="Tabletext"/>
                  </w:pPr>
                  <w:r>
                    <w:rPr>
                      <w:noProof/>
                      <w:color w:val="000000"/>
                      <w:highlight w:val="black"/>
                    </w:rPr>
                    <w:t>''''''''''</w:t>
                  </w:r>
                  <w:r w:rsidR="004F7C9F" w:rsidRPr="00E91861">
                    <w:t>%</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4F7C9F" w:rsidRPr="00E91861" w:rsidRDefault="006A3F1C" w:rsidP="003A43EC">
                  <w:pPr>
                    <w:pStyle w:val="Tabletext"/>
                  </w:pPr>
                  <w:r>
                    <w:rPr>
                      <w:noProof/>
                      <w:color w:val="000000"/>
                      <w:highlight w:val="black"/>
                    </w:rPr>
                    <w:t>'''''''''''</w:t>
                  </w:r>
                  <w:r w:rsidR="004F7C9F" w:rsidRPr="00E91861">
                    <w:t>%</w:t>
                  </w:r>
                </w:p>
              </w:tc>
              <w:tc>
                <w:tcPr>
                  <w:tcW w:w="635" w:type="dxa"/>
                  <w:tcBorders>
                    <w:top w:val="single" w:sz="4" w:space="0" w:color="000000"/>
                    <w:left w:val="single" w:sz="4" w:space="0" w:color="000000"/>
                    <w:bottom w:val="single" w:sz="4" w:space="0" w:color="000000"/>
                    <w:right w:val="single" w:sz="4" w:space="0" w:color="000000"/>
                  </w:tcBorders>
                  <w:noWrap/>
                  <w:vAlign w:val="center"/>
                  <w:hideMark/>
                </w:tcPr>
                <w:p w:rsidR="004F7C9F" w:rsidRPr="00E91861" w:rsidRDefault="006A3F1C" w:rsidP="003A43EC">
                  <w:pPr>
                    <w:pStyle w:val="Tabletext"/>
                  </w:pPr>
                  <w:r>
                    <w:rPr>
                      <w:noProof/>
                      <w:color w:val="000000"/>
                      <w:highlight w:val="black"/>
                    </w:rPr>
                    <w:t>'''''''''''</w:t>
                  </w:r>
                  <w:r w:rsidR="004F7C9F" w:rsidRPr="00E91861">
                    <w:t>%</w:t>
                  </w:r>
                </w:p>
              </w:tc>
              <w:tc>
                <w:tcPr>
                  <w:tcW w:w="641" w:type="dxa"/>
                  <w:tcBorders>
                    <w:top w:val="single" w:sz="4" w:space="0" w:color="000000"/>
                    <w:left w:val="single" w:sz="4" w:space="0" w:color="000000"/>
                    <w:bottom w:val="single" w:sz="4" w:space="0" w:color="000000"/>
                    <w:right w:val="single" w:sz="4" w:space="0" w:color="000000"/>
                  </w:tcBorders>
                  <w:noWrap/>
                  <w:vAlign w:val="center"/>
                  <w:hideMark/>
                </w:tcPr>
                <w:p w:rsidR="004F7C9F" w:rsidRPr="00E91861" w:rsidRDefault="006A3F1C" w:rsidP="003A43EC">
                  <w:pPr>
                    <w:pStyle w:val="Tabletext"/>
                  </w:pPr>
                  <w:r>
                    <w:rPr>
                      <w:noProof/>
                      <w:color w:val="000000"/>
                      <w:highlight w:val="black"/>
                    </w:rPr>
                    <w:t>'''''''''''</w:t>
                  </w:r>
                  <w:r w:rsidR="004F7C9F" w:rsidRPr="00E91861">
                    <w:t>%</w:t>
                  </w:r>
                </w:p>
              </w:tc>
            </w:tr>
            <w:tr w:rsidR="004F7C9F" w:rsidRPr="002D4988" w:rsidTr="00C9724B">
              <w:trPr>
                <w:trHeight w:val="154"/>
              </w:trPr>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rFonts w:cs="Calibri"/>
                    </w:rPr>
                  </w:pPr>
                  <w:r w:rsidRPr="00E91861">
                    <w:rPr>
                      <w:rFonts w:cs="Calibri"/>
                    </w:rPr>
                    <w:t>2022</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35"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41"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r>
            <w:tr w:rsidR="004F7C9F" w:rsidRPr="002D4988" w:rsidTr="00C9724B">
              <w:trPr>
                <w:trHeight w:val="85"/>
              </w:trPr>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rFonts w:cs="Calibri"/>
                    </w:rPr>
                  </w:pPr>
                  <w:r w:rsidRPr="00E91861">
                    <w:rPr>
                      <w:rFonts w:cs="Calibri"/>
                    </w:rPr>
                    <w:t>2023</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35"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41"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r>
            <w:tr w:rsidR="004F7C9F" w:rsidRPr="002D4988" w:rsidTr="00C9724B">
              <w:trPr>
                <w:trHeight w:val="37"/>
              </w:trPr>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rFonts w:cs="Calibri"/>
                    </w:rPr>
                  </w:pPr>
                  <w:r w:rsidRPr="00E91861">
                    <w:rPr>
                      <w:rFonts w:cs="Calibri"/>
                    </w:rPr>
                    <w:t>2024</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35"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41"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r>
            <w:tr w:rsidR="004F7C9F" w:rsidRPr="002D4988" w:rsidTr="00C9724B">
              <w:trPr>
                <w:trHeight w:val="77"/>
              </w:trPr>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rFonts w:cs="Calibri"/>
                    </w:rPr>
                  </w:pPr>
                  <w:r w:rsidRPr="00E91861">
                    <w:rPr>
                      <w:rFonts w:cs="Calibri"/>
                    </w:rPr>
                    <w:t>2025</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35"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41"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r>
            <w:tr w:rsidR="004F7C9F" w:rsidRPr="002D4988" w:rsidTr="00C9724B">
              <w:trPr>
                <w:trHeight w:val="37"/>
              </w:trPr>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4F7C9F" w:rsidP="003A43EC">
                  <w:pPr>
                    <w:pStyle w:val="Tabletext"/>
                    <w:rPr>
                      <w:rFonts w:cs="Calibri"/>
                    </w:rPr>
                  </w:pPr>
                  <w:r w:rsidRPr="00E91861">
                    <w:rPr>
                      <w:rFonts w:cs="Calibri"/>
                    </w:rPr>
                    <w:t>2026</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567"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35"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c>
                <w:tcPr>
                  <w:tcW w:w="641" w:type="dxa"/>
                  <w:tcBorders>
                    <w:top w:val="single" w:sz="4" w:space="0" w:color="000000"/>
                    <w:left w:val="single" w:sz="4" w:space="0" w:color="000000"/>
                    <w:bottom w:val="single" w:sz="4" w:space="0" w:color="000000"/>
                    <w:right w:val="single" w:sz="4" w:space="0" w:color="000000"/>
                  </w:tcBorders>
                  <w:noWrap/>
                  <w:hideMark/>
                </w:tcPr>
                <w:p w:rsidR="004F7C9F" w:rsidRPr="00E91861" w:rsidRDefault="006A3F1C" w:rsidP="003A43EC">
                  <w:pPr>
                    <w:pStyle w:val="Tabletext"/>
                  </w:pPr>
                  <w:r>
                    <w:rPr>
                      <w:noProof/>
                      <w:color w:val="000000"/>
                      <w:highlight w:val="black"/>
                    </w:rPr>
                    <w:t>''''''''''</w:t>
                  </w:r>
                  <w:r w:rsidR="004F7C9F" w:rsidRPr="00E91861">
                    <w:t>%</w:t>
                  </w:r>
                </w:p>
              </w:tc>
            </w:tr>
          </w:tbl>
          <w:p w:rsidR="004F7C9F" w:rsidRPr="002D4988" w:rsidRDefault="004F7C9F" w:rsidP="003A43EC">
            <w:pPr>
              <w:pStyle w:val="Tabletext"/>
              <w:rPr>
                <w:iCs/>
              </w:rPr>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rPr>
                <w:szCs w:val="18"/>
              </w:rPr>
            </w:pPr>
            <w:r w:rsidRPr="002D4988">
              <w:rPr>
                <w:szCs w:val="18"/>
              </w:rPr>
              <w:t xml:space="preserve">These rates (decimals were rounded) were the result of combining rates in Step 1 with additional growth due to TOF (Step 3). </w:t>
            </w:r>
            <w:r w:rsidRPr="002D4988">
              <w:rPr>
                <w:iCs/>
                <w:szCs w:val="18"/>
              </w:rPr>
              <w:t>In this way, the model includes TOF uptake in the market and th</w:t>
            </w:r>
            <w:r w:rsidR="005F1A39" w:rsidRPr="002D4988">
              <w:rPr>
                <w:iCs/>
                <w:szCs w:val="18"/>
              </w:rPr>
              <w:t>e additional growth due to TOF.</w:t>
            </w:r>
            <w:r w:rsidRPr="002D4988">
              <w:rPr>
                <w:iCs/>
                <w:szCs w:val="18"/>
              </w:rPr>
              <w:t xml:space="preserve"> The estimated growth rates for injectable bDMARDs are high particularly in 2021.</w:t>
            </w:r>
            <w:r w:rsidR="003A43EC" w:rsidRPr="002D4988">
              <w:rPr>
                <w:szCs w:val="18"/>
              </w:rPr>
              <w:t xml:space="preserve"> </w:t>
            </w:r>
            <w:r w:rsidRPr="002D4988">
              <w:rPr>
                <w:szCs w:val="18"/>
              </w:rPr>
              <w:t>These were then applied to the number of PBS scripts in 2019 for each bDMARD, along with the annual substitution rates (Step 2), to estimate the number</w:t>
            </w:r>
            <w:r w:rsidR="00604659" w:rsidRPr="002D4988">
              <w:rPr>
                <w:szCs w:val="18"/>
              </w:rPr>
              <w:t xml:space="preserve"> of</w:t>
            </w:r>
            <w:r w:rsidRPr="002D4988">
              <w:rPr>
                <w:szCs w:val="18"/>
              </w:rPr>
              <w:t xml:space="preserve"> injectable bDMARD scripts that will be replaced by TOF.</w:t>
            </w:r>
          </w:p>
          <w:p w:rsidR="004F7C9F" w:rsidRPr="002D4988" w:rsidRDefault="004F7C9F" w:rsidP="00474ACD">
            <w:pPr>
              <w:pStyle w:val="Tabletext"/>
            </w:pPr>
            <w:r w:rsidRPr="002D4988">
              <w:rPr>
                <w:szCs w:val="18"/>
              </w:rPr>
              <w:t>The number of TOF scripts was derived from each of these multiplied by the conversion factors used for each bDMARD (Step 6 below) and the c</w:t>
            </w:r>
            <w:r w:rsidR="005F1A39" w:rsidRPr="002D4988">
              <w:rPr>
                <w:szCs w:val="18"/>
              </w:rPr>
              <w:t xml:space="preserve">ompliance rate (Step 7 below). </w:t>
            </w:r>
            <w:r w:rsidRPr="002D4988">
              <w:rPr>
                <w:szCs w:val="18"/>
              </w:rPr>
              <w:t xml:space="preserve">The scripts of injectable bDMARDs replaced by TOF were later estimated as cost offsets for </w:t>
            </w:r>
            <w:r w:rsidR="005F1A39" w:rsidRPr="002D4988">
              <w:rPr>
                <w:szCs w:val="18"/>
              </w:rPr>
              <w:t>TOF in the financial estimates.</w:t>
            </w:r>
            <w:r w:rsidRPr="002D4988">
              <w:rPr>
                <w:szCs w:val="18"/>
              </w:rPr>
              <w:t xml:space="preserve"> This was </w:t>
            </w:r>
            <w:r w:rsidR="00B84A26" w:rsidRPr="002D4988">
              <w:rPr>
                <w:szCs w:val="18"/>
              </w:rPr>
              <w:t>inappropriate.</w:t>
            </w:r>
            <w:r w:rsidRPr="002D4988">
              <w:rPr>
                <w:szCs w:val="18"/>
              </w:rPr>
              <w:t xml:space="preserve"> </w:t>
            </w:r>
            <w:r w:rsidR="00604659" w:rsidRPr="002D4988">
              <w:rPr>
                <w:szCs w:val="18"/>
              </w:rPr>
              <w:t>A</w:t>
            </w:r>
            <w:r w:rsidRPr="002D4988">
              <w:rPr>
                <w:szCs w:val="18"/>
              </w:rPr>
              <w:t>ny increased utilisation of injectable bDMARDs as a result of TOF listing should instead be counted as additional cost to government rather than deductions.</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6</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Conversion factors used</w:t>
            </w:r>
          </w:p>
        </w:tc>
        <w:tc>
          <w:tcPr>
            <w:tcW w:w="2976" w:type="dxa"/>
            <w:tcBorders>
              <w:top w:val="single" w:sz="4" w:space="0" w:color="000000"/>
              <w:left w:val="single" w:sz="4" w:space="0" w:color="000000"/>
              <w:bottom w:val="single" w:sz="4" w:space="0" w:color="000000"/>
              <w:right w:val="single" w:sz="4" w:space="0" w:color="000000"/>
            </w:tcBorders>
            <w:hideMark/>
          </w:tcPr>
          <w:tbl>
            <w:tblPr>
              <w:tblW w:w="2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19"/>
              <w:gridCol w:w="755"/>
              <w:gridCol w:w="567"/>
              <w:gridCol w:w="7"/>
            </w:tblGrid>
            <w:tr w:rsidR="004F7C9F" w:rsidRPr="002D4988" w:rsidTr="003A43EC">
              <w:trPr>
                <w:gridAfter w:val="1"/>
                <w:wAfter w:w="7" w:type="dxa"/>
                <w:trHeight w:val="62"/>
              </w:trPr>
              <w:tc>
                <w:tcPr>
                  <w:tcW w:w="2374" w:type="dxa"/>
                  <w:gridSpan w:val="2"/>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Induction scripts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rPr>
                      <w:bCs/>
                    </w:rPr>
                  </w:pPr>
                  <w:r w:rsidRPr="002D4988">
                    <w:rPr>
                      <w:bCs/>
                    </w:rPr>
                    <w:t xml:space="preserve">Factor </w:t>
                  </w:r>
                </w:p>
              </w:tc>
            </w:tr>
            <w:tr w:rsidR="004F7C9F" w:rsidRPr="002D4988" w:rsidTr="003A43EC">
              <w:trPr>
                <w:gridAfter w:val="1"/>
                <w:wAfter w:w="7" w:type="dxa"/>
                <w:trHeight w:val="80"/>
              </w:trPr>
              <w:tc>
                <w:tcPr>
                  <w:tcW w:w="1619"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ADA 80/160mg=2</w:t>
                  </w:r>
                </w:p>
              </w:tc>
              <w:tc>
                <w:tcPr>
                  <w:tcW w:w="755" w:type="dxa"/>
                  <w:vMerge w:val="restart"/>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TOF 10mg =2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1</w:t>
                  </w:r>
                </w:p>
              </w:tc>
            </w:tr>
            <w:tr w:rsidR="004F7C9F" w:rsidRPr="002D4988" w:rsidTr="003A43EC">
              <w:trPr>
                <w:gridAfter w:val="1"/>
                <w:wAfter w:w="7" w:type="dxa"/>
                <w:trHeight w:val="60"/>
              </w:trPr>
              <w:tc>
                <w:tcPr>
                  <w:tcW w:w="1619"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 xml:space="preserve">VDZ 300mg= 3 </w:t>
                  </w: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jc w:val="left"/>
                    <w:rPr>
                      <w:rFonts w:ascii="Arial Narrow" w:hAnsi="Arial Narrow" w:cs="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0.67</w:t>
                  </w:r>
                </w:p>
              </w:tc>
            </w:tr>
            <w:tr w:rsidR="004F7C9F" w:rsidRPr="002D4988" w:rsidTr="003A43EC">
              <w:trPr>
                <w:gridAfter w:val="1"/>
                <w:wAfter w:w="7" w:type="dxa"/>
                <w:trHeight w:val="60"/>
              </w:trPr>
              <w:tc>
                <w:tcPr>
                  <w:tcW w:w="1619"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IFX 400mg= 3</w:t>
                  </w: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jc w:val="left"/>
                    <w:rPr>
                      <w:rFonts w:ascii="Arial Narrow" w:hAnsi="Arial Narrow" w:cs="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0.67</w:t>
                  </w:r>
                </w:p>
              </w:tc>
            </w:tr>
            <w:tr w:rsidR="004F7C9F" w:rsidRPr="002D4988" w:rsidTr="003A43EC">
              <w:trPr>
                <w:gridAfter w:val="1"/>
                <w:wAfter w:w="7" w:type="dxa"/>
                <w:trHeight w:val="60"/>
              </w:trPr>
              <w:tc>
                <w:tcPr>
                  <w:tcW w:w="1619"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GOL 100mg=2</w:t>
                  </w: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jc w:val="left"/>
                    <w:rPr>
                      <w:rFonts w:ascii="Arial Narrow" w:hAnsi="Arial Narrow" w:cs="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1</w:t>
                  </w:r>
                </w:p>
              </w:tc>
            </w:tr>
            <w:tr w:rsidR="004F7C9F" w:rsidRPr="002D4988" w:rsidTr="003A43EC">
              <w:trPr>
                <w:trHeight w:val="60"/>
              </w:trPr>
              <w:tc>
                <w:tcPr>
                  <w:tcW w:w="2948" w:type="dxa"/>
                  <w:gridSpan w:val="4"/>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Maintenance scripts</w:t>
                  </w:r>
                </w:p>
              </w:tc>
            </w:tr>
            <w:tr w:rsidR="004F7C9F" w:rsidRPr="002D4988" w:rsidTr="003A43EC">
              <w:trPr>
                <w:gridAfter w:val="1"/>
                <w:wAfter w:w="7" w:type="dxa"/>
                <w:trHeight w:val="60"/>
              </w:trPr>
              <w:tc>
                <w:tcPr>
                  <w:tcW w:w="1619"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ADA 20/40mg= 13/yr</w:t>
                  </w:r>
                </w:p>
              </w:tc>
              <w:tc>
                <w:tcPr>
                  <w:tcW w:w="755" w:type="dxa"/>
                  <w:vMerge w:val="restart"/>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TOF (5/10mg)= 13/yr</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1</w:t>
                  </w:r>
                </w:p>
              </w:tc>
            </w:tr>
            <w:tr w:rsidR="004F7C9F" w:rsidRPr="002D4988" w:rsidTr="003A43EC">
              <w:trPr>
                <w:gridAfter w:val="1"/>
                <w:wAfter w:w="7" w:type="dxa"/>
                <w:trHeight w:val="60"/>
              </w:trPr>
              <w:tc>
                <w:tcPr>
                  <w:tcW w:w="1619"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 xml:space="preserve">VDZ 300mg= 7.1/yr </w:t>
                  </w: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jc w:val="left"/>
                    <w:rPr>
                      <w:rFonts w:ascii="Arial Narrow" w:hAnsi="Arial Narrow" w:cs="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1.83</w:t>
                  </w:r>
                </w:p>
              </w:tc>
            </w:tr>
            <w:tr w:rsidR="004F7C9F" w:rsidRPr="002D4988" w:rsidTr="003A43EC">
              <w:trPr>
                <w:gridAfter w:val="1"/>
                <w:wAfter w:w="7" w:type="dxa"/>
                <w:trHeight w:val="70"/>
              </w:trPr>
              <w:tc>
                <w:tcPr>
                  <w:tcW w:w="1619"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IFX 400mg= 6.5/yr</w:t>
                  </w: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jc w:val="left"/>
                    <w:rPr>
                      <w:rFonts w:ascii="Arial Narrow" w:hAnsi="Arial Narrow" w:cs="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2</w:t>
                  </w:r>
                </w:p>
              </w:tc>
            </w:tr>
            <w:tr w:rsidR="004F7C9F" w:rsidRPr="002D4988" w:rsidTr="003A43EC">
              <w:trPr>
                <w:gridAfter w:val="1"/>
                <w:wAfter w:w="7" w:type="dxa"/>
                <w:trHeight w:val="70"/>
              </w:trPr>
              <w:tc>
                <w:tcPr>
                  <w:tcW w:w="1619"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GOL 100mg=13/yr</w:t>
                  </w:r>
                </w:p>
              </w:tc>
              <w:tc>
                <w:tcPr>
                  <w:tcW w:w="755" w:type="dxa"/>
                  <w:tcBorders>
                    <w:top w:val="single" w:sz="4" w:space="0" w:color="000000"/>
                    <w:left w:val="single" w:sz="4" w:space="0" w:color="000000"/>
                    <w:bottom w:val="single" w:sz="4" w:space="0" w:color="000000"/>
                    <w:right w:val="single" w:sz="4" w:space="0" w:color="000000"/>
                  </w:tcBorders>
                  <w:vAlign w:val="center"/>
                </w:tcPr>
                <w:p w:rsidR="004F7C9F" w:rsidRPr="002D4988" w:rsidRDefault="004F7C9F" w:rsidP="003A43EC">
                  <w:pPr>
                    <w:pStyle w:val="Tabletext"/>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F7C9F" w:rsidRPr="002D4988" w:rsidRDefault="004F7C9F" w:rsidP="003A43EC">
                  <w:pPr>
                    <w:pStyle w:val="Tabletext"/>
                  </w:pPr>
                  <w:r w:rsidRPr="002D4988">
                    <w:t>1</w:t>
                  </w:r>
                </w:p>
              </w:tc>
            </w:tr>
          </w:tbl>
          <w:p w:rsidR="004F7C9F" w:rsidRPr="002D4988" w:rsidRDefault="004F7C9F" w:rsidP="003A43EC">
            <w:pPr>
              <w:pStyle w:val="Tabletext"/>
              <w:rPr>
                <w:iCs/>
              </w:rPr>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5F1A39">
            <w:pPr>
              <w:pStyle w:val="Tabletext"/>
            </w:pPr>
            <w:r w:rsidRPr="002D4988">
              <w:rPr>
                <w:iCs/>
              </w:rPr>
              <w:t xml:space="preserve">The resubmission used a conversion factor for </w:t>
            </w:r>
            <w:r w:rsidR="00B84A26" w:rsidRPr="002D4988">
              <w:rPr>
                <w:iCs/>
              </w:rPr>
              <w:t>VDZ</w:t>
            </w:r>
            <w:r w:rsidRPr="002D4988">
              <w:rPr>
                <w:iCs/>
              </w:rPr>
              <w:t xml:space="preserve"> of 1.83, instead of 2 in the March 2019 submission. </w:t>
            </w:r>
            <w:r w:rsidRPr="002D4988">
              <w:t xml:space="preserve">The 1.83 conversion factor (13 scripts </w:t>
            </w:r>
            <w:r w:rsidR="00604659" w:rsidRPr="002D4988">
              <w:t xml:space="preserve">TOF </w:t>
            </w:r>
            <w:r w:rsidRPr="002D4988">
              <w:t xml:space="preserve">5 mg: 7.1 scripts </w:t>
            </w:r>
            <w:r w:rsidR="00604659" w:rsidRPr="002D4988">
              <w:t xml:space="preserve">VDZ </w:t>
            </w:r>
            <w:r w:rsidRPr="002D4988">
              <w:t xml:space="preserve">300 mg) was based on average doses in a 24 </w:t>
            </w:r>
            <w:r w:rsidR="00B84A26" w:rsidRPr="002D4988">
              <w:t>month</w:t>
            </w:r>
            <w:r w:rsidRPr="002D4988">
              <w:t xml:space="preserve"> period, given the </w:t>
            </w:r>
            <w:r w:rsidR="00604659" w:rsidRPr="002D4988">
              <w:t xml:space="preserve">VDZ </w:t>
            </w:r>
            <w:r w:rsidRPr="002D4988">
              <w:t xml:space="preserve">PBS item codes do not differentiate between initiation or continuation usage. The resubmission explained this </w:t>
            </w:r>
            <w:r w:rsidR="005F1A39" w:rsidRPr="002D4988">
              <w:t>was</w:t>
            </w:r>
            <w:r w:rsidRPr="002D4988">
              <w:t xml:space="preserve"> because </w:t>
            </w:r>
            <w:r w:rsidR="00604659" w:rsidRPr="002D4988">
              <w:t xml:space="preserve">VDZ </w:t>
            </w:r>
            <w:r w:rsidRPr="002D4988">
              <w:t>scripts could not be</w:t>
            </w:r>
            <w:r w:rsidRPr="002D4988">
              <w:rPr>
                <w:iCs/>
              </w:rPr>
              <w:t xml:space="preserve"> </w:t>
            </w:r>
            <w:r w:rsidRPr="002D4988">
              <w:t>separated into initiation and continuation usage.</w:t>
            </w:r>
            <w:r w:rsidRPr="002D4988">
              <w:rPr>
                <w:iCs/>
              </w:rPr>
              <w:t xml:space="preserve"> </w:t>
            </w:r>
            <w:r w:rsidRPr="002D4988">
              <w:rPr>
                <w:iCs/>
                <w:szCs w:val="18"/>
              </w:rPr>
              <w:t>This was appropriate</w:t>
            </w:r>
            <w:r w:rsidRPr="002D4988">
              <w:rPr>
                <w:iCs/>
              </w:rPr>
              <w:t>.</w:t>
            </w:r>
            <w:r w:rsidR="0098240F" w:rsidRPr="002D4988">
              <w:rPr>
                <w:iCs/>
              </w:rPr>
              <w:t xml:space="preserve"> </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7</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Compliance with TOF</w:t>
            </w:r>
          </w:p>
        </w:tc>
        <w:tc>
          <w:tcPr>
            <w:tcW w:w="2976"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89%</w:t>
            </w: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604659">
            <w:pPr>
              <w:pStyle w:val="Tabletext"/>
              <w:rPr>
                <w:i/>
              </w:rPr>
            </w:pPr>
            <w:r w:rsidRPr="002D4988">
              <w:t xml:space="preserve">Based on the 2019 average of </w:t>
            </w:r>
            <w:r w:rsidR="00604659" w:rsidRPr="002D4988">
              <w:t xml:space="preserve">TOF </w:t>
            </w:r>
            <w:r w:rsidRPr="002D4988">
              <w:t>scripts per patient per month when used for Rheumatoid Arthritis.</w:t>
            </w:r>
            <w:r w:rsidRPr="002D4988">
              <w:rPr>
                <w:iCs/>
              </w:rPr>
              <w:t xml:space="preserve"> Compliance was reduced from 100% </w:t>
            </w:r>
            <w:r w:rsidR="00B84A26" w:rsidRPr="002D4988">
              <w:rPr>
                <w:iCs/>
              </w:rPr>
              <w:t xml:space="preserve">compliance presented </w:t>
            </w:r>
            <w:r w:rsidRPr="002D4988">
              <w:rPr>
                <w:iCs/>
              </w:rPr>
              <w:t xml:space="preserve">in </w:t>
            </w:r>
            <w:r w:rsidR="00B84A26" w:rsidRPr="002D4988">
              <w:rPr>
                <w:iCs/>
              </w:rPr>
              <w:t xml:space="preserve">the March </w:t>
            </w:r>
            <w:r w:rsidRPr="002D4988">
              <w:rPr>
                <w:iCs/>
              </w:rPr>
              <w:t>2019</w:t>
            </w:r>
            <w:r w:rsidR="00B84A26" w:rsidRPr="002D4988">
              <w:rPr>
                <w:iCs/>
              </w:rPr>
              <w:t xml:space="preserve"> submission to 89% in th</w:t>
            </w:r>
            <w:r w:rsidR="00474ACD" w:rsidRPr="002D4988">
              <w:rPr>
                <w:iCs/>
              </w:rPr>
              <w:t>e</w:t>
            </w:r>
            <w:r w:rsidR="00B84A26" w:rsidRPr="002D4988">
              <w:rPr>
                <w:iCs/>
              </w:rPr>
              <w:t xml:space="preserve"> resubmission.</w:t>
            </w:r>
            <w:r w:rsidRPr="002D4988">
              <w:rPr>
                <w:iCs/>
              </w:rPr>
              <w:t xml:space="preserve"> This is uncertain</w:t>
            </w:r>
            <w:r w:rsidR="00B84A26" w:rsidRPr="002D4988">
              <w:rPr>
                <w:iCs/>
              </w:rPr>
              <w:t xml:space="preserve">. As an </w:t>
            </w:r>
            <w:r w:rsidRPr="002D4988">
              <w:rPr>
                <w:iCs/>
              </w:rPr>
              <w:t xml:space="preserve">oral </w:t>
            </w:r>
            <w:r w:rsidR="00B84A26" w:rsidRPr="002D4988">
              <w:rPr>
                <w:iCs/>
              </w:rPr>
              <w:t xml:space="preserve">agent, </w:t>
            </w:r>
            <w:r w:rsidRPr="002D4988">
              <w:rPr>
                <w:iCs/>
              </w:rPr>
              <w:t xml:space="preserve">TOF </w:t>
            </w:r>
            <w:r w:rsidR="00B84A26" w:rsidRPr="002D4988">
              <w:rPr>
                <w:iCs/>
              </w:rPr>
              <w:t>would potentially lead to</w:t>
            </w:r>
            <w:r w:rsidRPr="002D4988">
              <w:rPr>
                <w:iCs/>
              </w:rPr>
              <w:t xml:space="preserve"> higher compliance </w:t>
            </w:r>
            <w:r w:rsidR="00B84A26" w:rsidRPr="002D4988">
              <w:rPr>
                <w:iCs/>
              </w:rPr>
              <w:t>than</w:t>
            </w:r>
            <w:r w:rsidRPr="002D4988">
              <w:rPr>
                <w:iCs/>
              </w:rPr>
              <w:t xml:space="preserve"> ADA (93%) or GOL (91%). </w:t>
            </w:r>
            <w:r w:rsidR="00621C27" w:rsidRPr="002D4988">
              <w:rPr>
                <w:iCs/>
              </w:rPr>
              <w:t>The ESC agreed this change in the re-submission was poorly justified.</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8</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TOF cost (Effective)</w:t>
            </w:r>
          </w:p>
        </w:tc>
        <w:tc>
          <w:tcPr>
            <w:tcW w:w="2976" w:type="dxa"/>
            <w:tcBorders>
              <w:top w:val="single" w:sz="4" w:space="0" w:color="000000"/>
              <w:left w:val="single" w:sz="4" w:space="0" w:color="000000"/>
              <w:bottom w:val="single" w:sz="4" w:space="0" w:color="000000"/>
              <w:right w:val="single" w:sz="4" w:space="0" w:color="000000"/>
            </w:tcBorders>
          </w:tcPr>
          <w:p w:rsidR="004F7C9F" w:rsidRPr="002D4988" w:rsidRDefault="004F7C9F" w:rsidP="003A43EC">
            <w:pPr>
              <w:pStyle w:val="Tabletext"/>
              <w:rPr>
                <w:bCs/>
              </w:rPr>
            </w:pPr>
            <w:r w:rsidRPr="00191C62">
              <w:rPr>
                <w:bCs/>
              </w:rPr>
              <w:t>DPMQ for both TOF 5mg and 10mg=</w:t>
            </w:r>
            <w:r w:rsidRPr="002D4988">
              <w:rPr>
                <w:bCs/>
              </w:rPr>
              <w:t xml:space="preserve"> $</w:t>
            </w:r>
            <w:r w:rsidR="001B7425">
              <w:rPr>
                <w:bCs/>
                <w:noProof/>
                <w:color w:val="000000"/>
                <w:highlight w:val="black"/>
              </w:rPr>
              <w:t>''''''''''''''''''</w:t>
            </w:r>
          </w:p>
          <w:p w:rsidR="004F7C9F" w:rsidRPr="002D4988" w:rsidRDefault="004F7C9F" w:rsidP="003A43EC">
            <w:pPr>
              <w:pStyle w:val="Tabletext"/>
              <w:rPr>
                <w:bCs/>
                <w:iCs/>
              </w:rPr>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rPr>
                <w:bCs/>
              </w:rPr>
            </w:pPr>
            <w:r w:rsidRPr="002D4988">
              <w:rPr>
                <w:bCs/>
              </w:rPr>
              <w:t>There was a reduction in effective price from the March 2019 submission (TOF 10mg= $</w:t>
            </w:r>
            <w:r w:rsidR="001B7425">
              <w:rPr>
                <w:bCs/>
                <w:noProof/>
                <w:color w:val="000000"/>
                <w:highlight w:val="black"/>
              </w:rPr>
              <w:t>'''''''''''''''''''''</w:t>
            </w:r>
            <w:r w:rsidRPr="002D4988">
              <w:rPr>
                <w:bCs/>
              </w:rPr>
              <w:t xml:space="preserve"> and TOF 5mg=$</w:t>
            </w:r>
            <w:r w:rsidR="001B7425">
              <w:rPr>
                <w:bCs/>
                <w:noProof/>
                <w:color w:val="000000"/>
                <w:highlight w:val="black"/>
              </w:rPr>
              <w:t>'''''''''''''''''''</w:t>
            </w:r>
            <w:r w:rsidRPr="002D4988">
              <w:rPr>
                <w:bCs/>
              </w:rPr>
              <w:t xml:space="preserve">). Also, the differential pricing between the two doses was removed. </w:t>
            </w:r>
            <w:r w:rsidRPr="002D4988">
              <w:rPr>
                <w:bCs/>
                <w:iCs/>
              </w:rPr>
              <w:t xml:space="preserve">This was appropriate. </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9</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 xml:space="preserve">IFX cost </w:t>
            </w:r>
          </w:p>
          <w:p w:rsidR="004F7C9F" w:rsidRPr="002D4988" w:rsidRDefault="004F7C9F" w:rsidP="003A43EC">
            <w:pPr>
              <w:pStyle w:val="Tabletext"/>
            </w:pPr>
            <w:r w:rsidRPr="002D4988">
              <w:t>(Effective)</w:t>
            </w:r>
          </w:p>
        </w:tc>
        <w:tc>
          <w:tcPr>
            <w:tcW w:w="2976" w:type="dxa"/>
            <w:tcBorders>
              <w:top w:val="single" w:sz="4" w:space="0" w:color="000000"/>
              <w:left w:val="single" w:sz="4" w:space="0" w:color="000000"/>
              <w:bottom w:val="single" w:sz="4" w:space="0" w:color="000000"/>
              <w:right w:val="single" w:sz="4" w:space="0" w:color="000000"/>
            </w:tcBorders>
            <w:hideMark/>
          </w:tcPr>
          <w:tbl>
            <w:tblPr>
              <w:tblStyle w:val="TableGrid"/>
              <w:tblW w:w="0" w:type="auto"/>
              <w:tblLayout w:type="fixed"/>
              <w:tblCellMar>
                <w:left w:w="28" w:type="dxa"/>
                <w:right w:w="28" w:type="dxa"/>
              </w:tblCellMar>
              <w:tblLook w:val="0620" w:firstRow="1" w:lastRow="0" w:firstColumn="0" w:lastColumn="0" w:noHBand="1" w:noVBand="1"/>
              <w:tblCaption w:val="IFX cost "/>
            </w:tblPr>
            <w:tblGrid>
              <w:gridCol w:w="1448"/>
              <w:gridCol w:w="1128"/>
            </w:tblGrid>
            <w:tr w:rsidR="004F7C9F" w:rsidRPr="002D4988" w:rsidTr="00C9724B">
              <w:trPr>
                <w:tblHeader/>
              </w:trPr>
              <w:tc>
                <w:tcPr>
                  <w:tcW w:w="144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rPr>
                      <w:bCs/>
                    </w:rPr>
                  </w:pPr>
                  <w:r w:rsidRPr="002D4988">
                    <w:rPr>
                      <w:bCs/>
                    </w:rPr>
                    <w:t>PBS items</w:t>
                  </w:r>
                </w:p>
              </w:tc>
              <w:tc>
                <w:tcPr>
                  <w:tcW w:w="112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rPr>
                      <w:bCs/>
                    </w:rPr>
                  </w:pPr>
                  <w:r w:rsidRPr="002D4988">
                    <w:rPr>
                      <w:bCs/>
                    </w:rPr>
                    <w:t>Cost applied</w:t>
                  </w:r>
                </w:p>
              </w:tc>
            </w:tr>
            <w:tr w:rsidR="004F7C9F" w:rsidRPr="002D4988" w:rsidTr="00C9724B">
              <w:tc>
                <w:tcPr>
                  <w:tcW w:w="144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10184B</w:t>
                  </w:r>
                </w:p>
              </w:tc>
              <w:tc>
                <w:tcPr>
                  <w:tcW w:w="112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w:t>
                  </w:r>
                  <w:r w:rsidR="001B7425">
                    <w:rPr>
                      <w:noProof/>
                      <w:color w:val="000000"/>
                      <w:highlight w:val="black"/>
                    </w:rPr>
                    <w:t>'''''''''''''''''''''''</w:t>
                  </w:r>
                </w:p>
              </w:tc>
            </w:tr>
            <w:tr w:rsidR="004F7C9F" w:rsidRPr="002D4988" w:rsidTr="00C9724B">
              <w:tc>
                <w:tcPr>
                  <w:tcW w:w="144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10196P, 11459D</w:t>
                  </w:r>
                </w:p>
              </w:tc>
              <w:tc>
                <w:tcPr>
                  <w:tcW w:w="112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w:t>
                  </w:r>
                  <w:r w:rsidR="001B7425">
                    <w:rPr>
                      <w:noProof/>
                      <w:color w:val="000000"/>
                      <w:highlight w:val="black"/>
                    </w:rPr>
                    <w:t>'''''''''''''''''''</w:t>
                  </w:r>
                </w:p>
              </w:tc>
            </w:tr>
            <w:tr w:rsidR="004F7C9F" w:rsidRPr="002D4988" w:rsidTr="00C9724B">
              <w:tc>
                <w:tcPr>
                  <w:tcW w:w="144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11461F</w:t>
                  </w:r>
                </w:p>
              </w:tc>
              <w:tc>
                <w:tcPr>
                  <w:tcW w:w="112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w:t>
                  </w:r>
                  <w:r w:rsidR="001B7425">
                    <w:rPr>
                      <w:noProof/>
                      <w:color w:val="000000"/>
                      <w:highlight w:val="black"/>
                    </w:rPr>
                    <w:t>'''''''''''''''''''''</w:t>
                  </w:r>
                </w:p>
              </w:tc>
            </w:tr>
            <w:tr w:rsidR="004F7C9F" w:rsidRPr="002D4988" w:rsidTr="00C9724B">
              <w:tc>
                <w:tcPr>
                  <w:tcW w:w="144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11796W</w:t>
                  </w:r>
                </w:p>
              </w:tc>
              <w:tc>
                <w:tcPr>
                  <w:tcW w:w="112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w:t>
                  </w:r>
                  <w:r w:rsidR="001B7425">
                    <w:rPr>
                      <w:noProof/>
                      <w:color w:val="000000"/>
                      <w:highlight w:val="black"/>
                    </w:rPr>
                    <w:t>'''''''''''''''''''''''</w:t>
                  </w:r>
                </w:p>
              </w:tc>
            </w:tr>
            <w:tr w:rsidR="004F7C9F" w:rsidRPr="002D4988" w:rsidTr="00C9724B">
              <w:tc>
                <w:tcPr>
                  <w:tcW w:w="144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11797X</w:t>
                  </w:r>
                </w:p>
              </w:tc>
              <w:tc>
                <w:tcPr>
                  <w:tcW w:w="1128" w:type="dxa"/>
                  <w:tcBorders>
                    <w:top w:val="single" w:sz="4" w:space="0" w:color="auto"/>
                    <w:left w:val="single" w:sz="4" w:space="0" w:color="auto"/>
                    <w:bottom w:val="single" w:sz="4" w:space="0" w:color="auto"/>
                    <w:right w:val="single" w:sz="4" w:space="0" w:color="auto"/>
                  </w:tcBorders>
                  <w:hideMark/>
                </w:tcPr>
                <w:p w:rsidR="004F7C9F" w:rsidRPr="002D4988" w:rsidRDefault="004F7C9F" w:rsidP="003A43EC">
                  <w:pPr>
                    <w:pStyle w:val="Tabletext"/>
                  </w:pPr>
                  <w:r w:rsidRPr="002D4988">
                    <w:t>$</w:t>
                  </w:r>
                  <w:r w:rsidR="001B7425">
                    <w:rPr>
                      <w:noProof/>
                      <w:color w:val="000000"/>
                      <w:highlight w:val="black"/>
                    </w:rPr>
                    <w:t>''''''''''''''''''''</w:t>
                  </w:r>
                </w:p>
              </w:tc>
            </w:tr>
          </w:tbl>
          <w:p w:rsidR="004F7C9F" w:rsidRPr="002D4988" w:rsidRDefault="004F7C9F" w:rsidP="003A43EC">
            <w:pPr>
              <w:pStyle w:val="Tabletext"/>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Costs applied to the corresponding PBS scripts.</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10</w:t>
            </w:r>
          </w:p>
        </w:tc>
        <w:tc>
          <w:tcPr>
            <w:tcW w:w="993" w:type="dxa"/>
            <w:tcBorders>
              <w:top w:val="single" w:sz="4" w:space="0" w:color="000000"/>
              <w:left w:val="single" w:sz="4" w:space="0" w:color="000000"/>
              <w:bottom w:val="single" w:sz="4" w:space="0" w:color="000000"/>
              <w:right w:val="single" w:sz="4" w:space="0" w:color="000000"/>
            </w:tcBorders>
            <w:hideMark/>
          </w:tcPr>
          <w:p w:rsidR="004F7C9F" w:rsidRDefault="004F7C9F" w:rsidP="003A43EC">
            <w:pPr>
              <w:pStyle w:val="Tabletext"/>
            </w:pPr>
            <w:r w:rsidRPr="002D4988">
              <w:t>ADA cost</w:t>
            </w:r>
          </w:p>
          <w:p w:rsidR="00FD77AD" w:rsidRPr="002D4988" w:rsidRDefault="00FD77AD" w:rsidP="003A43EC">
            <w:pPr>
              <w:pStyle w:val="Tabletext"/>
            </w:pPr>
            <w:r>
              <w:t>(effective)</w:t>
            </w:r>
          </w:p>
        </w:tc>
        <w:tc>
          <w:tcPr>
            <w:tcW w:w="2976" w:type="dxa"/>
            <w:tcBorders>
              <w:top w:val="single" w:sz="4" w:space="0" w:color="000000"/>
              <w:left w:val="single" w:sz="4" w:space="0" w:color="000000"/>
              <w:bottom w:val="single" w:sz="4" w:space="0" w:color="000000"/>
              <w:right w:val="single" w:sz="4" w:space="0" w:color="000000"/>
            </w:tcBorders>
            <w:hideMark/>
          </w:tcPr>
          <w:tbl>
            <w:tblPr>
              <w:tblStyle w:val="TableGrid"/>
              <w:tblW w:w="2953" w:type="dxa"/>
              <w:tblLayout w:type="fixed"/>
              <w:tblCellMar>
                <w:left w:w="28" w:type="dxa"/>
                <w:right w:w="28" w:type="dxa"/>
              </w:tblCellMar>
              <w:tblLook w:val="0620" w:firstRow="1" w:lastRow="0" w:firstColumn="0" w:lastColumn="0" w:noHBand="1" w:noVBand="1"/>
              <w:tblCaption w:val="ADA cost"/>
            </w:tblPr>
            <w:tblGrid>
              <w:gridCol w:w="1949"/>
              <w:gridCol w:w="1004"/>
            </w:tblGrid>
            <w:tr w:rsidR="004F7C9F" w:rsidRPr="00C41DCB" w:rsidTr="00C9724B">
              <w:trPr>
                <w:tblHeader/>
              </w:trPr>
              <w:tc>
                <w:tcPr>
                  <w:tcW w:w="1949" w:type="dxa"/>
                  <w:tcBorders>
                    <w:top w:val="single" w:sz="4" w:space="0" w:color="auto"/>
                    <w:left w:val="single" w:sz="4" w:space="0" w:color="auto"/>
                    <w:bottom w:val="single" w:sz="4" w:space="0" w:color="auto"/>
                    <w:right w:val="single" w:sz="4" w:space="0" w:color="auto"/>
                  </w:tcBorders>
                  <w:hideMark/>
                </w:tcPr>
                <w:p w:rsidR="004F7C9F" w:rsidRPr="00191C62" w:rsidRDefault="004F7C9F" w:rsidP="003A43EC">
                  <w:pPr>
                    <w:pStyle w:val="Tabletext"/>
                  </w:pPr>
                  <w:r w:rsidRPr="00191C62">
                    <w:rPr>
                      <w:bCs/>
                    </w:rPr>
                    <w:t>PBS items</w:t>
                  </w:r>
                </w:p>
              </w:tc>
              <w:tc>
                <w:tcPr>
                  <w:tcW w:w="1004" w:type="dxa"/>
                  <w:tcBorders>
                    <w:top w:val="single" w:sz="4" w:space="0" w:color="auto"/>
                    <w:left w:val="single" w:sz="4" w:space="0" w:color="auto"/>
                    <w:bottom w:val="single" w:sz="4" w:space="0" w:color="auto"/>
                    <w:right w:val="single" w:sz="4" w:space="0" w:color="auto"/>
                  </w:tcBorders>
                  <w:hideMark/>
                </w:tcPr>
                <w:p w:rsidR="004F7C9F" w:rsidRPr="00F15734" w:rsidRDefault="004F7C9F" w:rsidP="003A43EC">
                  <w:pPr>
                    <w:pStyle w:val="Tabletext"/>
                  </w:pPr>
                  <w:r w:rsidRPr="00F15734">
                    <w:rPr>
                      <w:bCs/>
                    </w:rPr>
                    <w:t>Cost applied</w:t>
                  </w:r>
                </w:p>
              </w:tc>
            </w:tr>
            <w:tr w:rsidR="004F7C9F" w:rsidRPr="00C41DCB" w:rsidTr="00C9724B">
              <w:tc>
                <w:tcPr>
                  <w:tcW w:w="1949" w:type="dxa"/>
                  <w:tcBorders>
                    <w:top w:val="single" w:sz="4" w:space="0" w:color="auto"/>
                    <w:left w:val="single" w:sz="4" w:space="0" w:color="auto"/>
                    <w:bottom w:val="single" w:sz="4" w:space="0" w:color="auto"/>
                    <w:right w:val="single" w:sz="4" w:space="0" w:color="auto"/>
                  </w:tcBorders>
                  <w:hideMark/>
                </w:tcPr>
                <w:p w:rsidR="004F7C9F" w:rsidRPr="00191C62" w:rsidRDefault="004F7C9F" w:rsidP="003A43EC">
                  <w:pPr>
                    <w:pStyle w:val="Tabletext"/>
                  </w:pPr>
                  <w:r w:rsidRPr="00191C62">
                    <w:t xml:space="preserve">10944B, 11127P, 10955N, 10960W, 11121H, 10961X </w:t>
                  </w:r>
                </w:p>
              </w:tc>
              <w:tc>
                <w:tcPr>
                  <w:tcW w:w="1004" w:type="dxa"/>
                  <w:tcBorders>
                    <w:top w:val="single" w:sz="4" w:space="0" w:color="auto"/>
                    <w:left w:val="single" w:sz="4" w:space="0" w:color="auto"/>
                    <w:bottom w:val="single" w:sz="4" w:space="0" w:color="auto"/>
                    <w:right w:val="single" w:sz="4" w:space="0" w:color="auto"/>
                  </w:tcBorders>
                  <w:vAlign w:val="center"/>
                  <w:hideMark/>
                </w:tcPr>
                <w:p w:rsidR="004F7C9F" w:rsidRPr="00F15734" w:rsidRDefault="004F7C9F" w:rsidP="003A43EC">
                  <w:pPr>
                    <w:pStyle w:val="Tabletext"/>
                  </w:pPr>
                  <w:r w:rsidRPr="00F15734">
                    <w:t>$</w:t>
                  </w:r>
                  <w:r w:rsidR="001B7425">
                    <w:rPr>
                      <w:noProof/>
                      <w:color w:val="000000"/>
                      <w:highlight w:val="black"/>
                    </w:rPr>
                    <w:t>'''''''''''''''''</w:t>
                  </w:r>
                </w:p>
              </w:tc>
            </w:tr>
            <w:tr w:rsidR="004F7C9F" w:rsidRPr="00C41DCB" w:rsidTr="00C9724B">
              <w:tc>
                <w:tcPr>
                  <w:tcW w:w="1949" w:type="dxa"/>
                  <w:tcBorders>
                    <w:top w:val="single" w:sz="4" w:space="0" w:color="auto"/>
                    <w:left w:val="single" w:sz="4" w:space="0" w:color="auto"/>
                    <w:bottom w:val="single" w:sz="4" w:space="0" w:color="auto"/>
                    <w:right w:val="single" w:sz="4" w:space="0" w:color="auto"/>
                  </w:tcBorders>
                  <w:hideMark/>
                </w:tcPr>
                <w:p w:rsidR="004F7C9F" w:rsidRPr="00191C62" w:rsidRDefault="004F7C9F" w:rsidP="003A43EC">
                  <w:pPr>
                    <w:pStyle w:val="Tabletext"/>
                  </w:pPr>
                  <w:r w:rsidRPr="00191C62">
                    <w:t>10972L, 10945C, ‘’</w:t>
                  </w:r>
                </w:p>
              </w:tc>
              <w:tc>
                <w:tcPr>
                  <w:tcW w:w="1004" w:type="dxa"/>
                  <w:tcBorders>
                    <w:top w:val="single" w:sz="4" w:space="0" w:color="auto"/>
                    <w:left w:val="single" w:sz="4" w:space="0" w:color="auto"/>
                    <w:bottom w:val="single" w:sz="4" w:space="0" w:color="auto"/>
                    <w:right w:val="single" w:sz="4" w:space="0" w:color="auto"/>
                  </w:tcBorders>
                  <w:vAlign w:val="center"/>
                  <w:hideMark/>
                </w:tcPr>
                <w:p w:rsidR="004F7C9F" w:rsidRPr="00F15734" w:rsidRDefault="004F7C9F" w:rsidP="003A43EC">
                  <w:pPr>
                    <w:pStyle w:val="Tabletext"/>
                  </w:pPr>
                  <w:r w:rsidRPr="00F15734">
                    <w:t>$</w:t>
                  </w:r>
                  <w:r w:rsidR="001B7425">
                    <w:rPr>
                      <w:noProof/>
                      <w:color w:val="000000"/>
                      <w:highlight w:val="black"/>
                    </w:rPr>
                    <w:t>''''''''''''''''''''''</w:t>
                  </w:r>
                </w:p>
              </w:tc>
            </w:tr>
          </w:tbl>
          <w:p w:rsidR="004F7C9F" w:rsidRPr="00C41DCB" w:rsidRDefault="004F7C9F" w:rsidP="003A43EC">
            <w:pPr>
              <w:pStyle w:val="Tabletext"/>
              <w:rPr>
                <w:highlight w:val="yellow"/>
              </w:rPr>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 xml:space="preserve">Costs applied to the corresponding PBS scripts. </w:t>
            </w:r>
          </w:p>
        </w:tc>
      </w:tr>
      <w:tr w:rsidR="003A43EC" w:rsidRPr="002D4988" w:rsidTr="00191C62">
        <w:trPr>
          <w:cantSplit/>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lastRenderedPageBreak/>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4F7C9F" w:rsidRDefault="004F7C9F" w:rsidP="003A43EC">
            <w:pPr>
              <w:pStyle w:val="Tabletext"/>
            </w:pPr>
            <w:r w:rsidRPr="002D4988">
              <w:t>VDZ cost</w:t>
            </w:r>
          </w:p>
          <w:p w:rsidR="00FD77AD" w:rsidRPr="002D4988" w:rsidRDefault="00FD77AD" w:rsidP="003A43EC">
            <w:pPr>
              <w:pStyle w:val="Tabletext"/>
            </w:pPr>
            <w:r>
              <w:t>(effective)</w:t>
            </w:r>
          </w:p>
        </w:tc>
        <w:tc>
          <w:tcPr>
            <w:tcW w:w="2976" w:type="dxa"/>
            <w:tcBorders>
              <w:top w:val="single" w:sz="4" w:space="0" w:color="000000"/>
              <w:left w:val="single" w:sz="4" w:space="0" w:color="000000"/>
              <w:bottom w:val="single" w:sz="4" w:space="0" w:color="000000"/>
              <w:right w:val="single" w:sz="4" w:space="0" w:color="000000"/>
            </w:tcBorders>
            <w:shd w:val="clear" w:color="auto" w:fill="auto"/>
            <w:hideMark/>
          </w:tcPr>
          <w:tbl>
            <w:tblPr>
              <w:tblStyle w:val="TableGrid"/>
              <w:tblW w:w="0" w:type="auto"/>
              <w:tblLayout w:type="fixed"/>
              <w:tblCellMar>
                <w:left w:w="28" w:type="dxa"/>
                <w:right w:w="28" w:type="dxa"/>
              </w:tblCellMar>
              <w:tblLook w:val="0620" w:firstRow="1" w:lastRow="0" w:firstColumn="0" w:lastColumn="0" w:noHBand="1" w:noVBand="1"/>
              <w:tblCaption w:val="VDZ cost"/>
            </w:tblPr>
            <w:tblGrid>
              <w:gridCol w:w="1584"/>
              <w:gridCol w:w="1584"/>
            </w:tblGrid>
            <w:tr w:rsidR="004F7C9F" w:rsidRPr="00C41DCB" w:rsidTr="00C9724B">
              <w:trPr>
                <w:tblHeader/>
              </w:trPr>
              <w:tc>
                <w:tcPr>
                  <w:tcW w:w="1584" w:type="dxa"/>
                  <w:tcBorders>
                    <w:top w:val="single" w:sz="4" w:space="0" w:color="auto"/>
                    <w:left w:val="single" w:sz="4" w:space="0" w:color="auto"/>
                    <w:bottom w:val="single" w:sz="4" w:space="0" w:color="auto"/>
                    <w:right w:val="single" w:sz="4" w:space="0" w:color="auto"/>
                  </w:tcBorders>
                  <w:hideMark/>
                </w:tcPr>
                <w:p w:rsidR="004F7C9F" w:rsidRPr="00191C62" w:rsidRDefault="004F7C9F" w:rsidP="003A43EC">
                  <w:pPr>
                    <w:pStyle w:val="Tabletext"/>
                  </w:pPr>
                  <w:r w:rsidRPr="00191C62">
                    <w:rPr>
                      <w:bCs/>
                    </w:rPr>
                    <w:t>PBS items</w:t>
                  </w:r>
                </w:p>
              </w:tc>
              <w:tc>
                <w:tcPr>
                  <w:tcW w:w="1584" w:type="dxa"/>
                  <w:tcBorders>
                    <w:top w:val="single" w:sz="4" w:space="0" w:color="auto"/>
                    <w:left w:val="single" w:sz="4" w:space="0" w:color="auto"/>
                    <w:bottom w:val="single" w:sz="4" w:space="0" w:color="auto"/>
                    <w:right w:val="single" w:sz="4" w:space="0" w:color="auto"/>
                  </w:tcBorders>
                  <w:hideMark/>
                </w:tcPr>
                <w:p w:rsidR="004F7C9F" w:rsidRPr="00F15734" w:rsidRDefault="004F7C9F" w:rsidP="003A43EC">
                  <w:pPr>
                    <w:pStyle w:val="Tabletext"/>
                  </w:pPr>
                  <w:r w:rsidRPr="00F15734">
                    <w:rPr>
                      <w:bCs/>
                    </w:rPr>
                    <w:t>Cost applied</w:t>
                  </w:r>
                </w:p>
              </w:tc>
            </w:tr>
            <w:tr w:rsidR="004F7C9F" w:rsidRPr="00C41DCB" w:rsidTr="00C9724B">
              <w:tc>
                <w:tcPr>
                  <w:tcW w:w="1584" w:type="dxa"/>
                  <w:tcBorders>
                    <w:top w:val="single" w:sz="4" w:space="0" w:color="auto"/>
                    <w:left w:val="single" w:sz="4" w:space="0" w:color="auto"/>
                    <w:bottom w:val="single" w:sz="4" w:space="0" w:color="auto"/>
                    <w:right w:val="single" w:sz="4" w:space="0" w:color="auto"/>
                  </w:tcBorders>
                  <w:hideMark/>
                </w:tcPr>
                <w:p w:rsidR="004F7C9F" w:rsidRPr="00191C62" w:rsidRDefault="004F7C9F" w:rsidP="003A43EC">
                  <w:pPr>
                    <w:pStyle w:val="Tabletext"/>
                  </w:pPr>
                  <w:r w:rsidRPr="00191C62">
                    <w:t>10384M</w:t>
                  </w:r>
                </w:p>
              </w:tc>
              <w:tc>
                <w:tcPr>
                  <w:tcW w:w="1584" w:type="dxa"/>
                  <w:tcBorders>
                    <w:top w:val="single" w:sz="4" w:space="0" w:color="auto"/>
                    <w:left w:val="single" w:sz="4" w:space="0" w:color="auto"/>
                    <w:bottom w:val="single" w:sz="4" w:space="0" w:color="auto"/>
                    <w:right w:val="single" w:sz="4" w:space="0" w:color="auto"/>
                  </w:tcBorders>
                  <w:hideMark/>
                </w:tcPr>
                <w:p w:rsidR="004F7C9F" w:rsidRPr="00F15734" w:rsidRDefault="004F7C9F" w:rsidP="003A43EC">
                  <w:pPr>
                    <w:pStyle w:val="Tabletext"/>
                  </w:pPr>
                  <w:r w:rsidRPr="00F15734">
                    <w:t>$</w:t>
                  </w:r>
                  <w:r w:rsidR="001B7425">
                    <w:rPr>
                      <w:noProof/>
                      <w:color w:val="000000"/>
                      <w:highlight w:val="black"/>
                    </w:rPr>
                    <w:t>''''''''''''''''''''''</w:t>
                  </w:r>
                </w:p>
              </w:tc>
            </w:tr>
            <w:tr w:rsidR="004F7C9F" w:rsidRPr="00C41DCB" w:rsidTr="00C9724B">
              <w:tc>
                <w:tcPr>
                  <w:tcW w:w="1584" w:type="dxa"/>
                  <w:tcBorders>
                    <w:top w:val="single" w:sz="4" w:space="0" w:color="auto"/>
                    <w:left w:val="single" w:sz="4" w:space="0" w:color="auto"/>
                    <w:bottom w:val="single" w:sz="4" w:space="0" w:color="auto"/>
                    <w:right w:val="single" w:sz="4" w:space="0" w:color="auto"/>
                  </w:tcBorders>
                  <w:hideMark/>
                </w:tcPr>
                <w:p w:rsidR="004F7C9F" w:rsidRPr="00191C62" w:rsidRDefault="004F7C9F" w:rsidP="003A43EC">
                  <w:pPr>
                    <w:pStyle w:val="Tabletext"/>
                  </w:pPr>
                  <w:r w:rsidRPr="00191C62">
                    <w:t>10398G</w:t>
                  </w:r>
                </w:p>
              </w:tc>
              <w:tc>
                <w:tcPr>
                  <w:tcW w:w="1584" w:type="dxa"/>
                  <w:tcBorders>
                    <w:top w:val="single" w:sz="4" w:space="0" w:color="auto"/>
                    <w:left w:val="single" w:sz="4" w:space="0" w:color="auto"/>
                    <w:bottom w:val="single" w:sz="4" w:space="0" w:color="auto"/>
                    <w:right w:val="single" w:sz="4" w:space="0" w:color="auto"/>
                  </w:tcBorders>
                  <w:hideMark/>
                </w:tcPr>
                <w:p w:rsidR="004F7C9F" w:rsidRPr="00F15734" w:rsidRDefault="004F7C9F" w:rsidP="003A43EC">
                  <w:pPr>
                    <w:pStyle w:val="Tabletext"/>
                  </w:pPr>
                  <w:r w:rsidRPr="00F15734">
                    <w:t>$</w:t>
                  </w:r>
                  <w:r w:rsidR="001B7425">
                    <w:rPr>
                      <w:noProof/>
                      <w:color w:val="000000"/>
                      <w:highlight w:val="black"/>
                    </w:rPr>
                    <w:t>'''''''''''''''''''</w:t>
                  </w:r>
                </w:p>
              </w:tc>
            </w:tr>
          </w:tbl>
          <w:p w:rsidR="004F7C9F" w:rsidRPr="00C41DCB" w:rsidRDefault="004F7C9F" w:rsidP="003A43EC">
            <w:pPr>
              <w:pStyle w:val="Tabletext"/>
              <w:rPr>
                <w:highlight w:val="yellow"/>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hideMark/>
          </w:tcPr>
          <w:p w:rsidR="004F7C9F" w:rsidRPr="002D4988" w:rsidRDefault="00B84A26" w:rsidP="00604659">
            <w:pPr>
              <w:pStyle w:val="Tabletext"/>
              <w:rPr>
                <w:iCs/>
              </w:rPr>
            </w:pPr>
            <w:r w:rsidRPr="002D4988">
              <w:t xml:space="preserve">Estimated effective </w:t>
            </w:r>
            <w:r w:rsidR="00474ACD" w:rsidRPr="002D4988">
              <w:t>c</w:t>
            </w:r>
            <w:r w:rsidR="004F7C9F" w:rsidRPr="002D4988">
              <w:t xml:space="preserve">osts applied to the corresponding PBS scripts. </w:t>
            </w:r>
            <w:r w:rsidR="00604659" w:rsidRPr="002D4988">
              <w:t xml:space="preserve">VDZ </w:t>
            </w:r>
            <w:r w:rsidR="004F7C9F" w:rsidRPr="002D4988">
              <w:t xml:space="preserve">services were not split into initiating or continuing, so the resubmission assumed all substitution of </w:t>
            </w:r>
            <w:r w:rsidR="00604659" w:rsidRPr="002D4988">
              <w:t xml:space="preserve">VDZ </w:t>
            </w:r>
            <w:r w:rsidR="004F7C9F" w:rsidRPr="002D4988">
              <w:t xml:space="preserve">by TOF would be in the continuation phase. </w:t>
            </w:r>
            <w:r w:rsidR="004F7C9F" w:rsidRPr="002D4988">
              <w:rPr>
                <w:iCs/>
              </w:rPr>
              <w:t xml:space="preserve">This was not reasonable, as the conversion factor for </w:t>
            </w:r>
            <w:r w:rsidR="00604659" w:rsidRPr="002D4988">
              <w:rPr>
                <w:iCs/>
              </w:rPr>
              <w:t xml:space="preserve">VDZ </w:t>
            </w:r>
            <w:r w:rsidR="004F7C9F" w:rsidRPr="002D4988">
              <w:rPr>
                <w:iCs/>
              </w:rPr>
              <w:t xml:space="preserve">for maintenance treatment is double that in the initiation phase. </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12</w:t>
            </w:r>
          </w:p>
        </w:tc>
        <w:tc>
          <w:tcPr>
            <w:tcW w:w="993" w:type="dxa"/>
            <w:tcBorders>
              <w:top w:val="single" w:sz="4" w:space="0" w:color="000000"/>
              <w:left w:val="single" w:sz="4" w:space="0" w:color="000000"/>
              <w:bottom w:val="single" w:sz="4" w:space="0" w:color="000000"/>
              <w:right w:val="single" w:sz="4" w:space="0" w:color="000000"/>
            </w:tcBorders>
            <w:hideMark/>
          </w:tcPr>
          <w:p w:rsidR="004F7C9F" w:rsidRDefault="004F7C9F" w:rsidP="003A43EC">
            <w:pPr>
              <w:pStyle w:val="Tabletext"/>
            </w:pPr>
            <w:r w:rsidRPr="002D4988">
              <w:t>GOL cost</w:t>
            </w:r>
          </w:p>
          <w:p w:rsidR="00FD77AD" w:rsidRPr="002D4988" w:rsidRDefault="00FD77AD" w:rsidP="003A43EC">
            <w:pPr>
              <w:pStyle w:val="Tabletext"/>
            </w:pPr>
            <w:r>
              <w:t>(effective)</w:t>
            </w:r>
          </w:p>
        </w:tc>
        <w:tc>
          <w:tcPr>
            <w:tcW w:w="2976" w:type="dxa"/>
            <w:tcBorders>
              <w:top w:val="single" w:sz="4" w:space="0" w:color="000000"/>
              <w:left w:val="single" w:sz="4" w:space="0" w:color="000000"/>
              <w:bottom w:val="single" w:sz="4" w:space="0" w:color="000000"/>
              <w:right w:val="single" w:sz="4" w:space="0" w:color="000000"/>
            </w:tcBorders>
            <w:hideMark/>
          </w:tcPr>
          <w:tbl>
            <w:tblPr>
              <w:tblStyle w:val="TableGrid"/>
              <w:tblW w:w="0" w:type="auto"/>
              <w:tblLayout w:type="fixed"/>
              <w:tblCellMar>
                <w:left w:w="28" w:type="dxa"/>
                <w:right w:w="28" w:type="dxa"/>
              </w:tblCellMar>
              <w:tblLook w:val="0620" w:firstRow="1" w:lastRow="0" w:firstColumn="0" w:lastColumn="0" w:noHBand="1" w:noVBand="1"/>
              <w:tblCaption w:val="GOL cost"/>
            </w:tblPr>
            <w:tblGrid>
              <w:gridCol w:w="1584"/>
              <w:gridCol w:w="1584"/>
            </w:tblGrid>
            <w:tr w:rsidR="004F7C9F" w:rsidRPr="00C41DCB" w:rsidTr="00C9724B">
              <w:trPr>
                <w:tblHeader/>
              </w:trPr>
              <w:tc>
                <w:tcPr>
                  <w:tcW w:w="1584" w:type="dxa"/>
                  <w:tcBorders>
                    <w:top w:val="single" w:sz="4" w:space="0" w:color="auto"/>
                    <w:left w:val="single" w:sz="4" w:space="0" w:color="auto"/>
                    <w:bottom w:val="single" w:sz="4" w:space="0" w:color="auto"/>
                    <w:right w:val="single" w:sz="4" w:space="0" w:color="auto"/>
                  </w:tcBorders>
                  <w:hideMark/>
                </w:tcPr>
                <w:p w:rsidR="004F7C9F" w:rsidRPr="00191C62" w:rsidRDefault="004F7C9F" w:rsidP="003A43EC">
                  <w:pPr>
                    <w:pStyle w:val="Tabletext"/>
                  </w:pPr>
                  <w:r w:rsidRPr="00191C62">
                    <w:rPr>
                      <w:bCs/>
                    </w:rPr>
                    <w:t>PBS items</w:t>
                  </w:r>
                </w:p>
              </w:tc>
              <w:tc>
                <w:tcPr>
                  <w:tcW w:w="1584" w:type="dxa"/>
                  <w:tcBorders>
                    <w:top w:val="single" w:sz="4" w:space="0" w:color="auto"/>
                    <w:left w:val="single" w:sz="4" w:space="0" w:color="auto"/>
                    <w:bottom w:val="single" w:sz="4" w:space="0" w:color="auto"/>
                    <w:right w:val="single" w:sz="4" w:space="0" w:color="auto"/>
                  </w:tcBorders>
                  <w:hideMark/>
                </w:tcPr>
                <w:p w:rsidR="004F7C9F" w:rsidRPr="00F15734" w:rsidRDefault="004F7C9F" w:rsidP="003A43EC">
                  <w:pPr>
                    <w:pStyle w:val="Tabletext"/>
                  </w:pPr>
                  <w:r w:rsidRPr="00F15734">
                    <w:rPr>
                      <w:bCs/>
                    </w:rPr>
                    <w:t>Cost applied</w:t>
                  </w:r>
                </w:p>
              </w:tc>
            </w:tr>
            <w:tr w:rsidR="004F7C9F" w:rsidRPr="00C41DCB" w:rsidTr="00C9724B">
              <w:trPr>
                <w:trHeight w:val="70"/>
              </w:trPr>
              <w:tc>
                <w:tcPr>
                  <w:tcW w:w="1584" w:type="dxa"/>
                  <w:tcBorders>
                    <w:top w:val="single" w:sz="4" w:space="0" w:color="auto"/>
                    <w:left w:val="single" w:sz="4" w:space="0" w:color="auto"/>
                    <w:bottom w:val="single" w:sz="4" w:space="0" w:color="auto"/>
                    <w:right w:val="single" w:sz="4" w:space="0" w:color="auto"/>
                  </w:tcBorders>
                  <w:hideMark/>
                </w:tcPr>
                <w:p w:rsidR="004F7C9F" w:rsidRPr="00191C62" w:rsidRDefault="004F7C9F" w:rsidP="003A43EC">
                  <w:pPr>
                    <w:pStyle w:val="Tabletext"/>
                  </w:pPr>
                  <w:r w:rsidRPr="00191C62">
                    <w:t>11382C</w:t>
                  </w:r>
                </w:p>
              </w:tc>
              <w:tc>
                <w:tcPr>
                  <w:tcW w:w="1584" w:type="dxa"/>
                  <w:tcBorders>
                    <w:top w:val="single" w:sz="4" w:space="0" w:color="auto"/>
                    <w:left w:val="single" w:sz="4" w:space="0" w:color="auto"/>
                    <w:bottom w:val="single" w:sz="4" w:space="0" w:color="auto"/>
                    <w:right w:val="single" w:sz="4" w:space="0" w:color="auto"/>
                  </w:tcBorders>
                  <w:hideMark/>
                </w:tcPr>
                <w:p w:rsidR="004F7C9F" w:rsidRPr="00F15734" w:rsidRDefault="004F7C9F" w:rsidP="003A43EC">
                  <w:pPr>
                    <w:pStyle w:val="Tabletext"/>
                  </w:pPr>
                  <w:r w:rsidRPr="00F15734">
                    <w:t>$</w:t>
                  </w:r>
                  <w:r w:rsidR="001B7425">
                    <w:rPr>
                      <w:noProof/>
                      <w:color w:val="000000"/>
                      <w:highlight w:val="black"/>
                    </w:rPr>
                    <w:t>''''''''''''''''''''</w:t>
                  </w:r>
                </w:p>
              </w:tc>
            </w:tr>
            <w:tr w:rsidR="004F7C9F" w:rsidRPr="00C41DCB" w:rsidTr="00C9724B">
              <w:tc>
                <w:tcPr>
                  <w:tcW w:w="1584" w:type="dxa"/>
                  <w:tcBorders>
                    <w:top w:val="single" w:sz="4" w:space="0" w:color="auto"/>
                    <w:left w:val="single" w:sz="4" w:space="0" w:color="auto"/>
                    <w:bottom w:val="single" w:sz="4" w:space="0" w:color="auto"/>
                    <w:right w:val="single" w:sz="4" w:space="0" w:color="auto"/>
                  </w:tcBorders>
                  <w:hideMark/>
                </w:tcPr>
                <w:p w:rsidR="004F7C9F" w:rsidRPr="00191C62" w:rsidRDefault="004F7C9F" w:rsidP="003A43EC">
                  <w:pPr>
                    <w:pStyle w:val="Tabletext"/>
                  </w:pPr>
                  <w:r w:rsidRPr="00191C62">
                    <w:t>11502J, 11381B</w:t>
                  </w:r>
                </w:p>
              </w:tc>
              <w:tc>
                <w:tcPr>
                  <w:tcW w:w="1584" w:type="dxa"/>
                  <w:tcBorders>
                    <w:top w:val="single" w:sz="4" w:space="0" w:color="auto"/>
                    <w:left w:val="single" w:sz="4" w:space="0" w:color="auto"/>
                    <w:bottom w:val="single" w:sz="4" w:space="0" w:color="auto"/>
                    <w:right w:val="single" w:sz="4" w:space="0" w:color="auto"/>
                  </w:tcBorders>
                  <w:hideMark/>
                </w:tcPr>
                <w:p w:rsidR="004F7C9F" w:rsidRPr="00F15734" w:rsidRDefault="004F7C9F" w:rsidP="003A43EC">
                  <w:pPr>
                    <w:pStyle w:val="Tabletext"/>
                  </w:pPr>
                  <w:r w:rsidRPr="00F15734">
                    <w:t>$</w:t>
                  </w:r>
                  <w:r w:rsidR="001B7425">
                    <w:rPr>
                      <w:noProof/>
                      <w:color w:val="000000"/>
                      <w:highlight w:val="black"/>
                    </w:rPr>
                    <w:t>''''''''''''''''''</w:t>
                  </w:r>
                </w:p>
              </w:tc>
            </w:tr>
          </w:tbl>
          <w:p w:rsidR="004F7C9F" w:rsidRPr="00C41DCB" w:rsidRDefault="004F7C9F" w:rsidP="003A43EC">
            <w:pPr>
              <w:pStyle w:val="Tabletext"/>
              <w:rPr>
                <w:highlight w:val="yellow"/>
              </w:rPr>
            </w:pP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B84A26" w:rsidP="003A43EC">
            <w:pPr>
              <w:pStyle w:val="Tabletext"/>
            </w:pPr>
            <w:r w:rsidRPr="002D4988">
              <w:t xml:space="preserve">Estimated effective </w:t>
            </w:r>
            <w:r w:rsidR="00474ACD" w:rsidRPr="002D4988">
              <w:t>c</w:t>
            </w:r>
            <w:r w:rsidR="004F7C9F" w:rsidRPr="002D4988">
              <w:t xml:space="preserve">osts applied to the corresponding PBS scripts. </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13</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Patient co-payment</w:t>
            </w:r>
          </w:p>
        </w:tc>
        <w:tc>
          <w:tcPr>
            <w:tcW w:w="2976"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pPr>
            <w:r w:rsidRPr="002D4988">
              <w:t>$32.01 PBS; 4.18 RPBS</w:t>
            </w: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604659">
            <w:pPr>
              <w:pStyle w:val="Tabletext"/>
              <w:rPr>
                <w:iCs/>
              </w:rPr>
            </w:pPr>
            <w:r w:rsidRPr="002D4988">
              <w:t xml:space="preserve">Weighted average of ADA and GOL. The resubmission explained these are Section 85 listed medicines, </w:t>
            </w:r>
            <w:r w:rsidR="00604659" w:rsidRPr="002D4988">
              <w:t>the same category as that proposed for PBS listing of TOF</w:t>
            </w:r>
            <w:r w:rsidRPr="002D4988">
              <w:t xml:space="preserve">. </w:t>
            </w:r>
            <w:r w:rsidRPr="002D4988">
              <w:rPr>
                <w:iCs/>
              </w:rPr>
              <w:t>This was appropriate.</w:t>
            </w:r>
          </w:p>
        </w:tc>
      </w:tr>
      <w:tr w:rsidR="003A43EC" w:rsidRPr="002D4988" w:rsidTr="0079076E">
        <w:trPr>
          <w:cantSplit/>
        </w:trPr>
        <w:tc>
          <w:tcPr>
            <w:tcW w:w="562" w:type="dxa"/>
            <w:tcBorders>
              <w:top w:val="single" w:sz="4" w:space="0" w:color="000000"/>
              <w:left w:val="single" w:sz="4" w:space="0" w:color="000000"/>
              <w:bottom w:val="single" w:sz="4" w:space="0" w:color="000000"/>
              <w:right w:val="single" w:sz="4" w:space="0" w:color="000000"/>
            </w:tcBorders>
          </w:tcPr>
          <w:p w:rsidR="004F7C9F" w:rsidRPr="002D4988" w:rsidRDefault="004F7C9F" w:rsidP="003A43EC">
            <w:pPr>
              <w:jc w:val="center"/>
              <w:rPr>
                <w:rFonts w:ascii="Arial Narrow" w:hAnsi="Arial Narrow"/>
                <w:sz w:val="18"/>
                <w:szCs w:val="18"/>
              </w:rPr>
            </w:pPr>
            <w:r w:rsidRPr="002D4988">
              <w:rPr>
                <w:rFonts w:ascii="Arial Narrow" w:hAnsi="Arial Narrow"/>
                <w:sz w:val="18"/>
                <w:szCs w:val="18"/>
              </w:rPr>
              <w:t>14</w:t>
            </w:r>
          </w:p>
        </w:tc>
        <w:tc>
          <w:tcPr>
            <w:tcW w:w="993"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rPr>
                <w:bCs/>
              </w:rPr>
            </w:pPr>
            <w:r w:rsidRPr="002D4988">
              <w:t>MBS costs</w:t>
            </w:r>
          </w:p>
        </w:tc>
        <w:tc>
          <w:tcPr>
            <w:tcW w:w="2976"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3A43EC">
            <w:pPr>
              <w:pStyle w:val="Tabletext"/>
              <w:rPr>
                <w:bCs/>
              </w:rPr>
            </w:pPr>
            <w:r w:rsidRPr="002D4988">
              <w:t>$99.50 MBS item 14245</w:t>
            </w:r>
          </w:p>
        </w:tc>
        <w:tc>
          <w:tcPr>
            <w:tcW w:w="4769" w:type="dxa"/>
            <w:tcBorders>
              <w:top w:val="single" w:sz="4" w:space="0" w:color="000000"/>
              <w:left w:val="single" w:sz="4" w:space="0" w:color="000000"/>
              <w:bottom w:val="single" w:sz="4" w:space="0" w:color="000000"/>
              <w:right w:val="single" w:sz="4" w:space="0" w:color="000000"/>
            </w:tcBorders>
            <w:hideMark/>
          </w:tcPr>
          <w:p w:rsidR="004F7C9F" w:rsidRPr="002D4988" w:rsidRDefault="004F7C9F" w:rsidP="00474ACD">
            <w:pPr>
              <w:pStyle w:val="Tabletext"/>
            </w:pPr>
            <w:r w:rsidRPr="002D4988">
              <w:t xml:space="preserve">Applied to IFX and </w:t>
            </w:r>
            <w:r w:rsidR="00604659" w:rsidRPr="002D4988">
              <w:t xml:space="preserve">VDZ </w:t>
            </w:r>
            <w:r w:rsidRPr="002D4988">
              <w:t>injections</w:t>
            </w:r>
            <w:r w:rsidR="005F39F9" w:rsidRPr="002D4988">
              <w:t xml:space="preserve">. </w:t>
            </w:r>
            <w:r w:rsidR="00CC2F91" w:rsidRPr="002D4988">
              <w:t>MBS cost at 80% rebate would have been more appropriate for the financial estimates as it more accurately reflect</w:t>
            </w:r>
            <w:r w:rsidR="00474ACD" w:rsidRPr="002D4988">
              <w:t>s</w:t>
            </w:r>
            <w:r w:rsidR="00CC2F91" w:rsidRPr="002D4988">
              <w:t xml:space="preserve"> cost to government. </w:t>
            </w:r>
          </w:p>
        </w:tc>
      </w:tr>
    </w:tbl>
    <w:p w:rsidR="004F7C9F" w:rsidRPr="002D4988" w:rsidRDefault="004F7C9F" w:rsidP="004F7C9F">
      <w:pPr>
        <w:pStyle w:val="TableFooter"/>
      </w:pPr>
      <w:r w:rsidRPr="002D4988">
        <w:t xml:space="preserve">Source: Compiled during the evaluation from Section 4 workbook “Utilisation and cost-model” </w:t>
      </w:r>
    </w:p>
    <w:p w:rsidR="004F7C9F" w:rsidRPr="002D4988" w:rsidRDefault="004F7C9F" w:rsidP="005F1A39">
      <w:pPr>
        <w:pStyle w:val="TableFooter"/>
        <w:spacing w:after="120"/>
      </w:pPr>
      <w:r w:rsidRPr="002D4988">
        <w:t>Abbreviations: ADA=adalimumab, bDMARDs=biological disease modifying antirheumatic drug, GOL=golimumab, IFX=infliximab, TO</w:t>
      </w:r>
      <w:r w:rsidR="005F1A39" w:rsidRPr="002D4988">
        <w:t>F=tofacitinib, VDZ=vedolizumab.</w:t>
      </w:r>
    </w:p>
    <w:p w:rsidR="00345926" w:rsidRPr="002D4988" w:rsidRDefault="004F7C9F" w:rsidP="00E143D9">
      <w:pPr>
        <w:pStyle w:val="3-BodyText"/>
      </w:pPr>
      <w:r w:rsidRPr="002D4988">
        <w:t>The resubmission assum</w:t>
      </w:r>
      <w:r w:rsidR="00345926" w:rsidRPr="002D4988">
        <w:t>ed</w:t>
      </w:r>
      <w:r w:rsidRPr="002D4988">
        <w:t xml:space="preserve"> that the listing of TOF </w:t>
      </w:r>
      <w:r w:rsidR="00385289" w:rsidRPr="002D4988">
        <w:t>would</w:t>
      </w:r>
      <w:r w:rsidR="00604659" w:rsidRPr="002D4988">
        <w:t xml:space="preserve"> </w:t>
      </w:r>
      <w:r w:rsidRPr="002D4988">
        <w:t>increase current annual market growth of all bDMARDs for MSUC</w:t>
      </w:r>
      <w:r w:rsidR="005F35E8" w:rsidRPr="002D4988">
        <w:rPr>
          <w:rStyle w:val="BodyTextChar"/>
        </w:rPr>
        <w:t xml:space="preserve">. </w:t>
      </w:r>
      <w:r w:rsidRPr="002D4988">
        <w:t xml:space="preserve">This was a change from the March 2019 submission, which assumed the listing of TOF </w:t>
      </w:r>
      <w:r w:rsidR="00474ACD" w:rsidRPr="002D4988">
        <w:t>would</w:t>
      </w:r>
      <w:r w:rsidRPr="002D4988">
        <w:t xml:space="preserve"> not increase annual market growth. </w:t>
      </w:r>
      <w:r w:rsidR="00A67A6B" w:rsidRPr="002D4988">
        <w:t xml:space="preserve">The resubmission explained that additional growth due to TOF is expected due </w:t>
      </w:r>
      <w:r w:rsidR="00474ACD" w:rsidRPr="002D4988">
        <w:t>to the</w:t>
      </w:r>
      <w:r w:rsidR="00A67A6B" w:rsidRPr="002D4988">
        <w:t xml:space="preserve"> </w:t>
      </w:r>
      <w:r w:rsidR="00A22FCA" w:rsidRPr="002D4988">
        <w:t>lack of alternate options in MSUC, with</w:t>
      </w:r>
      <w:r w:rsidR="00474ACD" w:rsidRPr="002D4988">
        <w:t xml:space="preserve"> the</w:t>
      </w:r>
      <w:r w:rsidR="00A22FCA" w:rsidRPr="002D4988">
        <w:t xml:space="preserve"> majority of patients </w:t>
      </w:r>
      <w:r w:rsidR="005F35E8" w:rsidRPr="002D4988">
        <w:t xml:space="preserve">still being treated with their first biologic </w:t>
      </w:r>
      <w:r w:rsidR="00A22FCA" w:rsidRPr="002D4988">
        <w:t xml:space="preserve">(excluding those who have discontinued treatment </w:t>
      </w:r>
      <w:r w:rsidR="005F35E8" w:rsidRPr="002D4988">
        <w:t>altogether</w:t>
      </w:r>
      <w:r w:rsidR="00A22FCA" w:rsidRPr="002D4988">
        <w:t>)</w:t>
      </w:r>
      <w:r w:rsidR="005E31EB" w:rsidRPr="002D4988">
        <w:t xml:space="preserve">. The resubmission stated (p95) that TOF being the first JAK inhibitor and the first oral therapy for MSUC is likely to be embraced by the gastroenterology community, particularly for patients who may have ceased previous biologic treatment due to an inability to achieve long-term remission or disease control, and/or for whom injectable therapy is inconvenient or undesirable. </w:t>
      </w:r>
    </w:p>
    <w:p w:rsidR="005C5595" w:rsidRPr="002D4988" w:rsidRDefault="00345926" w:rsidP="00E143D9">
      <w:pPr>
        <w:pStyle w:val="3-BodyText"/>
      </w:pPr>
      <w:r w:rsidRPr="002D4988">
        <w:t>The evaluation considered that w</w:t>
      </w:r>
      <w:r w:rsidR="004F7C9F" w:rsidRPr="002D4988">
        <w:t xml:space="preserve">hile the assumption of additional market growth due to the availability of an oral agent for MSUC may be reasonable, the estimates used in the model are high and uncertain. This has downstream impacts in the financial estimates as increased scripts for injectable </w:t>
      </w:r>
      <w:r w:rsidRPr="002D4988">
        <w:t xml:space="preserve">biologic therapies </w:t>
      </w:r>
      <w:r w:rsidR="004F7C9F" w:rsidRPr="002D4988">
        <w:t>due to TOF are then deducted as cost offsets for TOF</w:t>
      </w:r>
      <w:r w:rsidR="00E631E3" w:rsidRPr="002D4988">
        <w:t>.</w:t>
      </w:r>
      <w:r w:rsidR="004F7C9F" w:rsidRPr="002D4988">
        <w:t xml:space="preserve"> </w:t>
      </w:r>
      <w:r w:rsidR="005C5595" w:rsidRPr="002D4988">
        <w:t>The PSCR argued that both the market share and epidemiological approaches predicted sufficiently similar financial implications to the PBS (cost saving in both instances) and were more reliable than the March 2019 estimates due to the availability of additional historical data.</w:t>
      </w:r>
      <w:r w:rsidR="00A44631" w:rsidRPr="002D4988">
        <w:t xml:space="preserve"> The ESC considered the assumption that the listing of TOF would grow the MSUC market was poorly justified and considered </w:t>
      </w:r>
      <w:r w:rsidR="001C23F2" w:rsidRPr="002D4988">
        <w:t>that while an oral agent may grow the market</w:t>
      </w:r>
      <w:r w:rsidR="002B06BF" w:rsidRPr="002D4988">
        <w:t xml:space="preserve">, </w:t>
      </w:r>
      <w:r w:rsidR="001C23F2" w:rsidRPr="002D4988">
        <w:t>the level of growth was uncertain.</w:t>
      </w:r>
    </w:p>
    <w:p w:rsidR="004F7C9F" w:rsidRPr="002D4988" w:rsidRDefault="00BC0889" w:rsidP="002B06BF">
      <w:pPr>
        <w:pStyle w:val="3-BodyText"/>
      </w:pPr>
      <w:r w:rsidRPr="002D4988">
        <w:rPr>
          <w:rStyle w:val="CommentReference"/>
          <w:rFonts w:asciiTheme="minorHAnsi" w:hAnsiTheme="minorHAnsi"/>
          <w:b w:val="0"/>
          <w:sz w:val="24"/>
          <w:szCs w:val="24"/>
        </w:rPr>
        <w:t>Table 12</w:t>
      </w:r>
      <w:r w:rsidR="002B06BF" w:rsidRPr="002D4988">
        <w:t xml:space="preserve"> </w:t>
      </w:r>
      <w:r w:rsidR="004F7C9F" w:rsidRPr="002D4988">
        <w:t xml:space="preserve">presents the estimated net financial implications for the proposed listing of TOF for MSUC over the first 6 years. </w:t>
      </w:r>
    </w:p>
    <w:p w:rsidR="004F7C9F" w:rsidRPr="002D4988" w:rsidRDefault="004F7C9F" w:rsidP="005F35E8">
      <w:pPr>
        <w:pStyle w:val="TableFigureHeading"/>
        <w:keepLines/>
        <w:widowControl w:val="0"/>
        <w:rPr>
          <w:rStyle w:val="CommentReference"/>
          <w:b/>
        </w:rPr>
      </w:pPr>
      <w:bookmarkStart w:id="37" w:name="_Ref53406854"/>
      <w:r w:rsidRPr="002D4988">
        <w:rPr>
          <w:rStyle w:val="CommentReference"/>
          <w:b/>
        </w:rPr>
        <w:lastRenderedPageBreak/>
        <w:t xml:space="preserve">Table </w:t>
      </w:r>
      <w:r w:rsidR="00BC0889" w:rsidRPr="002D4988">
        <w:rPr>
          <w:rStyle w:val="CommentReference"/>
          <w:b/>
        </w:rPr>
        <w:t>12</w:t>
      </w:r>
      <w:bookmarkEnd w:id="37"/>
      <w:r w:rsidRPr="002D4988">
        <w:rPr>
          <w:rStyle w:val="CommentReference"/>
          <w:b/>
        </w:rPr>
        <w:t>: Estimated use and financial implications (based on effective prices)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56"/>
        <w:gridCol w:w="1132"/>
        <w:gridCol w:w="1134"/>
        <w:gridCol w:w="1136"/>
        <w:gridCol w:w="1137"/>
        <w:gridCol w:w="1133"/>
        <w:gridCol w:w="1132"/>
        <w:gridCol w:w="7"/>
      </w:tblGrid>
      <w:tr w:rsidR="004F7C9F" w:rsidRPr="002D4988" w:rsidTr="009874D6">
        <w:trPr>
          <w:gridAfter w:val="1"/>
          <w:wAfter w:w="7" w:type="dxa"/>
          <w:tblHeader/>
        </w:trPr>
        <w:tc>
          <w:tcPr>
            <w:tcW w:w="2256" w:type="dxa"/>
            <w:tcBorders>
              <w:top w:val="single" w:sz="4" w:space="0" w:color="auto"/>
              <w:left w:val="single" w:sz="4" w:space="0" w:color="auto"/>
              <w:bottom w:val="single" w:sz="4" w:space="0" w:color="auto"/>
              <w:right w:val="single" w:sz="4" w:space="0" w:color="auto"/>
            </w:tcBorders>
            <w:vAlign w:val="center"/>
          </w:tcPr>
          <w:p w:rsidR="004F7C9F" w:rsidRPr="002D4988" w:rsidRDefault="004F7C9F" w:rsidP="005F35E8">
            <w:pPr>
              <w:pStyle w:val="Tabletext"/>
              <w:keepNext/>
              <w:keepLines/>
              <w:widowControl w:val="0"/>
              <w:rPr>
                <w:b/>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b/>
                <w:bCs/>
              </w:rPr>
            </w:pPr>
            <w:r w:rsidRPr="002D4988">
              <w:rPr>
                <w:b/>
                <w:bCs/>
              </w:rPr>
              <w:t>Year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b/>
                <w:bCs/>
              </w:rPr>
            </w:pPr>
            <w:r w:rsidRPr="002D4988">
              <w:rPr>
                <w:b/>
                <w:bCs/>
              </w:rPr>
              <w:t>Year 2</w:t>
            </w:r>
          </w:p>
        </w:tc>
        <w:tc>
          <w:tcPr>
            <w:tcW w:w="113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b/>
                <w:bCs/>
              </w:rPr>
            </w:pPr>
            <w:r w:rsidRPr="002D4988">
              <w:rPr>
                <w:b/>
                <w:bCs/>
              </w:rPr>
              <w:t>Year 3</w:t>
            </w:r>
          </w:p>
        </w:tc>
        <w:tc>
          <w:tcPr>
            <w:tcW w:w="1137"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b/>
                <w:bCs/>
              </w:rPr>
            </w:pPr>
            <w:r w:rsidRPr="002D4988">
              <w:rPr>
                <w:b/>
                <w:bCs/>
              </w:rPr>
              <w:t>Year 4</w:t>
            </w:r>
          </w:p>
        </w:tc>
        <w:tc>
          <w:tcPr>
            <w:tcW w:w="1133"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b/>
                <w:bCs/>
              </w:rPr>
            </w:pPr>
            <w:r w:rsidRPr="002D4988">
              <w:rPr>
                <w:b/>
                <w:bCs/>
              </w:rPr>
              <w:t>Year 5</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b/>
                <w:bCs/>
              </w:rPr>
            </w:pPr>
            <w:r w:rsidRPr="002D4988">
              <w:rPr>
                <w:b/>
                <w:bCs/>
              </w:rPr>
              <w:t>Year 6</w:t>
            </w:r>
          </w:p>
        </w:tc>
      </w:tr>
      <w:tr w:rsidR="004F7C9F" w:rsidRPr="002D4988" w:rsidTr="009874D6">
        <w:trPr>
          <w:gridAfter w:val="1"/>
          <w:wAfter w:w="7" w:type="dxa"/>
        </w:trPr>
        <w:tc>
          <w:tcPr>
            <w:tcW w:w="9060" w:type="dxa"/>
            <w:gridSpan w:val="7"/>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rPr>
                <w:b/>
                <w:bCs/>
                <w:color w:val="000000"/>
                <w:szCs w:val="18"/>
              </w:rPr>
            </w:pPr>
            <w:r w:rsidRPr="002D4988">
              <w:rPr>
                <w:b/>
                <w:bCs/>
                <w:color w:val="000000"/>
                <w:szCs w:val="18"/>
              </w:rPr>
              <w:t xml:space="preserve">4.2 Estimation of use and financial impact of the proposed medicine </w:t>
            </w:r>
          </w:p>
        </w:tc>
      </w:tr>
      <w:tr w:rsidR="004F7C9F" w:rsidRPr="002D4988" w:rsidTr="009874D6">
        <w:trPr>
          <w:gridAfter w:val="1"/>
          <w:wAfter w:w="7" w:type="dxa"/>
          <w:trHeight w:val="70"/>
        </w:trPr>
        <w:tc>
          <w:tcPr>
            <w:tcW w:w="2256" w:type="dxa"/>
            <w:tcBorders>
              <w:top w:val="single" w:sz="4" w:space="0" w:color="auto"/>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pPr>
            <w:r w:rsidRPr="002D4988">
              <w:rPr>
                <w:color w:val="000000"/>
                <w:szCs w:val="18"/>
              </w:rPr>
              <w:t>Total scripts PBS/RPBS</w:t>
            </w:r>
          </w:p>
        </w:tc>
        <w:tc>
          <w:tcPr>
            <w:tcW w:w="1132"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79076E" w:rsidRPr="0079076E">
              <w:rPr>
                <w:vertAlign w:val="superscript"/>
              </w:rPr>
              <w:t>1</w:t>
            </w:r>
          </w:p>
        </w:tc>
        <w:tc>
          <w:tcPr>
            <w:tcW w:w="1134"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79076E" w:rsidRPr="0079076E">
              <w:rPr>
                <w:vertAlign w:val="superscript"/>
              </w:rPr>
              <w:t>2</w:t>
            </w:r>
          </w:p>
        </w:tc>
        <w:tc>
          <w:tcPr>
            <w:tcW w:w="1136"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79076E" w:rsidRPr="0079076E">
              <w:rPr>
                <w:vertAlign w:val="superscript"/>
              </w:rPr>
              <w:t>2</w:t>
            </w:r>
          </w:p>
        </w:tc>
        <w:tc>
          <w:tcPr>
            <w:tcW w:w="1137"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79076E" w:rsidRPr="0079076E">
              <w:rPr>
                <w:vertAlign w:val="superscript"/>
              </w:rPr>
              <w:t>3</w:t>
            </w:r>
          </w:p>
        </w:tc>
        <w:tc>
          <w:tcPr>
            <w:tcW w:w="1133"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79076E" w:rsidRPr="0079076E">
              <w:rPr>
                <w:vertAlign w:val="superscript"/>
              </w:rPr>
              <w:t>3</w:t>
            </w:r>
          </w:p>
        </w:tc>
        <w:tc>
          <w:tcPr>
            <w:tcW w:w="1132"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79076E" w:rsidRPr="0079076E">
              <w:rPr>
                <w:vertAlign w:val="superscript"/>
              </w:rPr>
              <w:t>3</w:t>
            </w:r>
          </w:p>
        </w:tc>
      </w:tr>
      <w:tr w:rsidR="004F7C9F" w:rsidRPr="002D4988" w:rsidTr="009874D6">
        <w:trPr>
          <w:gridAfter w:val="1"/>
          <w:wAfter w:w="7" w:type="dxa"/>
          <w:trHeight w:val="70"/>
        </w:trPr>
        <w:tc>
          <w:tcPr>
            <w:tcW w:w="225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ind w:left="112"/>
              <w:rPr>
                <w:color w:val="000000"/>
                <w:szCs w:val="18"/>
              </w:rPr>
            </w:pPr>
            <w:r w:rsidRPr="002D4988">
              <w:rPr>
                <w:color w:val="000000"/>
                <w:szCs w:val="18"/>
              </w:rPr>
              <w:t>TOF 10mg</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4</w:t>
            </w:r>
          </w:p>
        </w:tc>
        <w:tc>
          <w:tcPr>
            <w:tcW w:w="1134"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4</w:t>
            </w:r>
          </w:p>
        </w:tc>
        <w:tc>
          <w:tcPr>
            <w:tcW w:w="1136"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1</w:t>
            </w:r>
          </w:p>
        </w:tc>
        <w:tc>
          <w:tcPr>
            <w:tcW w:w="1137"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1</w:t>
            </w:r>
          </w:p>
        </w:tc>
        <w:tc>
          <w:tcPr>
            <w:tcW w:w="1133"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1</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1</w:t>
            </w:r>
          </w:p>
        </w:tc>
      </w:tr>
      <w:tr w:rsidR="004F7C9F" w:rsidRPr="002D4988" w:rsidTr="009874D6">
        <w:trPr>
          <w:gridAfter w:val="1"/>
          <w:wAfter w:w="7" w:type="dxa"/>
        </w:trPr>
        <w:tc>
          <w:tcPr>
            <w:tcW w:w="2256" w:type="dxa"/>
            <w:tcBorders>
              <w:top w:val="nil"/>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ind w:left="112"/>
            </w:pPr>
            <w:r w:rsidRPr="002D4988">
              <w:rPr>
                <w:color w:val="000000"/>
                <w:szCs w:val="18"/>
              </w:rPr>
              <w:t>TOF 5 mg</w:t>
            </w:r>
          </w:p>
        </w:tc>
        <w:tc>
          <w:tcPr>
            <w:tcW w:w="1132" w:type="dxa"/>
            <w:tcBorders>
              <w:top w:val="nil"/>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4</w:t>
            </w:r>
          </w:p>
        </w:tc>
        <w:tc>
          <w:tcPr>
            <w:tcW w:w="1134" w:type="dxa"/>
            <w:tcBorders>
              <w:top w:val="nil"/>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1</w:t>
            </w:r>
          </w:p>
        </w:tc>
        <w:tc>
          <w:tcPr>
            <w:tcW w:w="1136" w:type="dxa"/>
            <w:tcBorders>
              <w:top w:val="nil"/>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2</w:t>
            </w:r>
          </w:p>
        </w:tc>
        <w:tc>
          <w:tcPr>
            <w:tcW w:w="1137" w:type="dxa"/>
            <w:tcBorders>
              <w:top w:val="nil"/>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2</w:t>
            </w:r>
          </w:p>
        </w:tc>
        <w:tc>
          <w:tcPr>
            <w:tcW w:w="1133" w:type="dxa"/>
            <w:tcBorders>
              <w:top w:val="nil"/>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2</w:t>
            </w:r>
          </w:p>
        </w:tc>
        <w:tc>
          <w:tcPr>
            <w:tcW w:w="1132" w:type="dxa"/>
            <w:tcBorders>
              <w:top w:val="nil"/>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046A2C" w:rsidRPr="00046A2C">
              <w:rPr>
                <w:vertAlign w:val="superscript"/>
              </w:rPr>
              <w:t>2</w:t>
            </w:r>
          </w:p>
        </w:tc>
      </w:tr>
      <w:tr w:rsidR="004F7C9F" w:rsidRPr="002D4988" w:rsidTr="009874D6">
        <w:tc>
          <w:tcPr>
            <w:tcW w:w="2256" w:type="dxa"/>
            <w:tcBorders>
              <w:top w:val="nil"/>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ind w:left="112"/>
              <w:rPr>
                <w:i/>
                <w:iCs/>
                <w:color w:val="000000"/>
                <w:szCs w:val="18"/>
              </w:rPr>
            </w:pPr>
            <w:r w:rsidRPr="002D4988">
              <w:rPr>
                <w:i/>
                <w:iCs/>
                <w:color w:val="000000"/>
                <w:szCs w:val="18"/>
              </w:rPr>
              <w:t>Total scripts PBS/RPBS March 2019 submission</w:t>
            </w:r>
          </w:p>
        </w:tc>
        <w:tc>
          <w:tcPr>
            <w:tcW w:w="1132" w:type="dxa"/>
            <w:tcBorders>
              <w:top w:val="nil"/>
              <w:left w:val="single" w:sz="4" w:space="0" w:color="auto"/>
            </w:tcBorders>
            <w:shd w:val="clear" w:color="auto" w:fill="C6D9F1" w:themeFill="text2" w:themeFillTint="33"/>
            <w:vAlign w:val="center"/>
          </w:tcPr>
          <w:p w:rsidR="004F7C9F" w:rsidRPr="002D4988" w:rsidRDefault="001B7425" w:rsidP="005F35E8">
            <w:pPr>
              <w:pStyle w:val="Tabletext"/>
              <w:keepNext/>
              <w:keepLines/>
              <w:widowControl w:val="0"/>
              <w:jc w:val="center"/>
            </w:pPr>
            <w:r>
              <w:rPr>
                <w:i/>
                <w:iCs/>
                <w:noProof/>
                <w:color w:val="000000"/>
                <w:highlight w:val="black"/>
              </w:rPr>
              <w:t>'''''''''</w:t>
            </w:r>
            <w:r w:rsidR="00046A2C" w:rsidRPr="00046A2C">
              <w:rPr>
                <w:i/>
                <w:iCs/>
                <w:vertAlign w:val="superscript"/>
              </w:rPr>
              <w:t>5</w:t>
            </w:r>
          </w:p>
        </w:tc>
        <w:tc>
          <w:tcPr>
            <w:tcW w:w="1134" w:type="dxa"/>
            <w:tcBorders>
              <w:top w:val="nil"/>
            </w:tcBorders>
            <w:shd w:val="clear" w:color="auto" w:fill="C6D9F1" w:themeFill="text2" w:themeFillTint="33"/>
            <w:vAlign w:val="center"/>
          </w:tcPr>
          <w:p w:rsidR="004F7C9F" w:rsidRPr="002D4988" w:rsidRDefault="001B7425" w:rsidP="005F35E8">
            <w:pPr>
              <w:pStyle w:val="Tabletext"/>
              <w:keepNext/>
              <w:keepLines/>
              <w:widowControl w:val="0"/>
              <w:jc w:val="center"/>
            </w:pPr>
            <w:r>
              <w:rPr>
                <w:i/>
                <w:iCs/>
                <w:noProof/>
                <w:color w:val="000000"/>
                <w:highlight w:val="black"/>
              </w:rPr>
              <w:t>'''''''''''''</w:t>
            </w:r>
            <w:r w:rsidR="00046A2C" w:rsidRPr="00046A2C">
              <w:rPr>
                <w:i/>
                <w:iCs/>
                <w:vertAlign w:val="superscript"/>
              </w:rPr>
              <w:t>4</w:t>
            </w:r>
          </w:p>
        </w:tc>
        <w:tc>
          <w:tcPr>
            <w:tcW w:w="1136" w:type="dxa"/>
            <w:tcBorders>
              <w:top w:val="nil"/>
            </w:tcBorders>
            <w:shd w:val="clear" w:color="auto" w:fill="C6D9F1" w:themeFill="text2" w:themeFillTint="33"/>
            <w:vAlign w:val="center"/>
          </w:tcPr>
          <w:p w:rsidR="004F7C9F" w:rsidRPr="002D4988" w:rsidRDefault="001B7425" w:rsidP="005F35E8">
            <w:pPr>
              <w:pStyle w:val="Tabletext"/>
              <w:keepNext/>
              <w:keepLines/>
              <w:widowControl w:val="0"/>
              <w:jc w:val="center"/>
            </w:pPr>
            <w:r>
              <w:rPr>
                <w:i/>
                <w:iCs/>
                <w:noProof/>
                <w:color w:val="000000"/>
                <w:highlight w:val="black"/>
              </w:rPr>
              <w:t>''''''''''''''</w:t>
            </w:r>
            <w:r w:rsidR="00046A2C" w:rsidRPr="00046A2C">
              <w:rPr>
                <w:i/>
                <w:iCs/>
                <w:vertAlign w:val="superscript"/>
              </w:rPr>
              <w:t>4</w:t>
            </w:r>
          </w:p>
        </w:tc>
        <w:tc>
          <w:tcPr>
            <w:tcW w:w="1137" w:type="dxa"/>
            <w:tcBorders>
              <w:top w:val="nil"/>
            </w:tcBorders>
            <w:shd w:val="clear" w:color="auto" w:fill="C6D9F1" w:themeFill="text2" w:themeFillTint="33"/>
            <w:vAlign w:val="center"/>
          </w:tcPr>
          <w:p w:rsidR="004F7C9F" w:rsidRPr="002D4988" w:rsidRDefault="001B7425" w:rsidP="005F35E8">
            <w:pPr>
              <w:pStyle w:val="Tabletext"/>
              <w:keepNext/>
              <w:keepLines/>
              <w:widowControl w:val="0"/>
              <w:jc w:val="center"/>
            </w:pPr>
            <w:r>
              <w:rPr>
                <w:i/>
                <w:iCs/>
                <w:noProof/>
                <w:color w:val="000000"/>
                <w:highlight w:val="black"/>
              </w:rPr>
              <w:t>''''''''''''</w:t>
            </w:r>
            <w:r w:rsidR="00046A2C" w:rsidRPr="00046A2C">
              <w:rPr>
                <w:i/>
                <w:iCs/>
                <w:vertAlign w:val="superscript"/>
              </w:rPr>
              <w:t>4</w:t>
            </w:r>
          </w:p>
        </w:tc>
        <w:tc>
          <w:tcPr>
            <w:tcW w:w="1133" w:type="dxa"/>
            <w:tcBorders>
              <w:top w:val="nil"/>
            </w:tcBorders>
            <w:shd w:val="clear" w:color="auto" w:fill="C6D9F1" w:themeFill="text2" w:themeFillTint="33"/>
            <w:vAlign w:val="center"/>
          </w:tcPr>
          <w:p w:rsidR="004F7C9F" w:rsidRPr="002D4988" w:rsidRDefault="001B7425" w:rsidP="005F35E8">
            <w:pPr>
              <w:pStyle w:val="Tabletext"/>
              <w:keepNext/>
              <w:keepLines/>
              <w:widowControl w:val="0"/>
              <w:jc w:val="center"/>
            </w:pPr>
            <w:r>
              <w:rPr>
                <w:i/>
                <w:iCs/>
                <w:noProof/>
                <w:color w:val="000000"/>
                <w:highlight w:val="black"/>
              </w:rPr>
              <w:t>''''''''''''''</w:t>
            </w:r>
            <w:r w:rsidR="00046A2C" w:rsidRPr="00046A2C">
              <w:rPr>
                <w:i/>
                <w:iCs/>
                <w:vertAlign w:val="superscript"/>
              </w:rPr>
              <w:t>4</w:t>
            </w:r>
          </w:p>
        </w:tc>
        <w:tc>
          <w:tcPr>
            <w:tcW w:w="1139" w:type="dxa"/>
            <w:gridSpan w:val="2"/>
            <w:tcBorders>
              <w:top w:val="nil"/>
            </w:tcBorders>
            <w:shd w:val="clear" w:color="auto" w:fill="C6D9F1" w:themeFill="text2" w:themeFillTint="33"/>
            <w:vAlign w:val="center"/>
          </w:tcPr>
          <w:p w:rsidR="004F7C9F" w:rsidRPr="002D4988" w:rsidRDefault="001B7425" w:rsidP="005F35E8">
            <w:pPr>
              <w:pStyle w:val="Tabletext"/>
              <w:keepNext/>
              <w:keepLines/>
              <w:widowControl w:val="0"/>
              <w:jc w:val="center"/>
            </w:pPr>
            <w:r>
              <w:rPr>
                <w:i/>
                <w:iCs/>
                <w:noProof/>
                <w:color w:val="000000"/>
                <w:highlight w:val="black"/>
              </w:rPr>
              <w:t>''''''''''''''</w:t>
            </w:r>
            <w:r w:rsidR="00046A2C" w:rsidRPr="00046A2C">
              <w:rPr>
                <w:i/>
                <w:iCs/>
                <w:vertAlign w:val="superscript"/>
              </w:rPr>
              <w:t>4</w:t>
            </w:r>
          </w:p>
        </w:tc>
      </w:tr>
      <w:tr w:rsidR="004F7C9F" w:rsidRPr="002D4988" w:rsidTr="009874D6">
        <w:trPr>
          <w:gridAfter w:val="1"/>
          <w:wAfter w:w="7" w:type="dxa"/>
        </w:trPr>
        <w:tc>
          <w:tcPr>
            <w:tcW w:w="225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pPr>
            <w:r w:rsidRPr="002D4988">
              <w:t>Net Cost PBS/RPBS (less co-pay), TOF</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B676CB" w:rsidRPr="00B676CB">
              <w:rPr>
                <w:vertAlign w:val="superscript"/>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B676CB" w:rsidRPr="00B676CB">
              <w:rPr>
                <w:vertAlign w:val="superscript"/>
              </w:rPr>
              <w:t>7</w:t>
            </w:r>
          </w:p>
        </w:tc>
        <w:tc>
          <w:tcPr>
            <w:tcW w:w="113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B676CB" w:rsidRPr="00B676CB">
              <w:rPr>
                <w:vertAlign w:val="superscript"/>
              </w:rPr>
              <w:t>7</w:t>
            </w:r>
          </w:p>
        </w:tc>
        <w:tc>
          <w:tcPr>
            <w:tcW w:w="1137"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B676CB" w:rsidRPr="00B676CB">
              <w:rPr>
                <w:vertAlign w:val="superscript"/>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B676CB" w:rsidRPr="00B676CB">
              <w:rPr>
                <w:vertAlign w:val="superscript"/>
              </w:rPr>
              <w:t>8</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B676CB" w:rsidRPr="00B676CB">
              <w:rPr>
                <w:vertAlign w:val="superscript"/>
              </w:rPr>
              <w:t>7</w:t>
            </w:r>
          </w:p>
        </w:tc>
      </w:tr>
      <w:tr w:rsidR="004F7C9F" w:rsidRPr="002D4988" w:rsidTr="009874D6">
        <w:trPr>
          <w:gridAfter w:val="1"/>
          <w:wAfter w:w="7" w:type="dxa"/>
        </w:trPr>
        <w:tc>
          <w:tcPr>
            <w:tcW w:w="9060" w:type="dxa"/>
            <w:gridSpan w:val="7"/>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rPr>
                <w:b/>
                <w:bCs/>
              </w:rPr>
            </w:pPr>
            <w:r w:rsidRPr="002D4988">
              <w:rPr>
                <w:b/>
                <w:bCs/>
              </w:rPr>
              <w:t>4.3 Estimation of changes in use and financial impact of other bDMARDs</w:t>
            </w:r>
          </w:p>
        </w:tc>
      </w:tr>
      <w:tr w:rsidR="004F7C9F" w:rsidRPr="002D4988" w:rsidTr="009874D6">
        <w:trPr>
          <w:gridAfter w:val="1"/>
          <w:wAfter w:w="7" w:type="dxa"/>
        </w:trPr>
        <w:tc>
          <w:tcPr>
            <w:tcW w:w="2256" w:type="dxa"/>
            <w:tcBorders>
              <w:top w:val="single" w:sz="4" w:space="0" w:color="auto"/>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pPr>
            <w:r w:rsidRPr="002D4988">
              <w:t>bDMARD scripts substituted by TOF</w:t>
            </w:r>
          </w:p>
        </w:tc>
        <w:tc>
          <w:tcPr>
            <w:tcW w:w="1132"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4</w:t>
            </w:r>
          </w:p>
        </w:tc>
        <w:tc>
          <w:tcPr>
            <w:tcW w:w="1134"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2</w:t>
            </w:r>
          </w:p>
        </w:tc>
        <w:tc>
          <w:tcPr>
            <w:tcW w:w="1136"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2</w:t>
            </w:r>
          </w:p>
        </w:tc>
        <w:tc>
          <w:tcPr>
            <w:tcW w:w="1137"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2</w:t>
            </w:r>
          </w:p>
        </w:tc>
        <w:tc>
          <w:tcPr>
            <w:tcW w:w="1133"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2</w:t>
            </w:r>
          </w:p>
        </w:tc>
        <w:tc>
          <w:tcPr>
            <w:tcW w:w="1132" w:type="dxa"/>
            <w:tcBorders>
              <w:top w:val="single" w:sz="4" w:space="0" w:color="auto"/>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2</w:t>
            </w:r>
          </w:p>
        </w:tc>
      </w:tr>
      <w:tr w:rsidR="004F7C9F" w:rsidRPr="002D4988" w:rsidTr="009874D6">
        <w:trPr>
          <w:gridAfter w:val="1"/>
          <w:wAfter w:w="7" w:type="dxa"/>
        </w:trPr>
        <w:tc>
          <w:tcPr>
            <w:tcW w:w="225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ind w:left="112"/>
            </w:pPr>
            <w:r w:rsidRPr="002D4988">
              <w:t>ADA</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4"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6"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7"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3"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r>
      <w:tr w:rsidR="004F7C9F" w:rsidRPr="002D4988" w:rsidTr="009874D6">
        <w:trPr>
          <w:gridAfter w:val="1"/>
          <w:wAfter w:w="7" w:type="dxa"/>
        </w:trPr>
        <w:tc>
          <w:tcPr>
            <w:tcW w:w="225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ind w:left="112"/>
            </w:pPr>
            <w:r w:rsidRPr="002D4988">
              <w:t>GOL</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5</w:t>
            </w:r>
          </w:p>
        </w:tc>
        <w:tc>
          <w:tcPr>
            <w:tcW w:w="1134"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6"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7"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3"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r>
      <w:tr w:rsidR="004F7C9F" w:rsidRPr="002D4988" w:rsidTr="009874D6">
        <w:trPr>
          <w:gridAfter w:val="1"/>
          <w:wAfter w:w="7" w:type="dxa"/>
        </w:trPr>
        <w:tc>
          <w:tcPr>
            <w:tcW w:w="225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ind w:left="112"/>
            </w:pPr>
            <w:r w:rsidRPr="002D4988">
              <w:t xml:space="preserve">IFX </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4</w:t>
            </w:r>
          </w:p>
        </w:tc>
        <w:tc>
          <w:tcPr>
            <w:tcW w:w="1134"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4</w:t>
            </w:r>
          </w:p>
        </w:tc>
        <w:tc>
          <w:tcPr>
            <w:tcW w:w="1136"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1</w:t>
            </w:r>
          </w:p>
        </w:tc>
        <w:tc>
          <w:tcPr>
            <w:tcW w:w="1137"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1</w:t>
            </w:r>
          </w:p>
        </w:tc>
        <w:tc>
          <w:tcPr>
            <w:tcW w:w="1133"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1</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highlight w:val="black"/>
              </w:rPr>
              <w:t>'''''''''''''</w:t>
            </w:r>
            <w:r w:rsidR="00485FB1" w:rsidRPr="00485FB1">
              <w:rPr>
                <w:vertAlign w:val="superscript"/>
              </w:rPr>
              <w:t>1</w:t>
            </w:r>
          </w:p>
        </w:tc>
      </w:tr>
      <w:tr w:rsidR="004F7C9F" w:rsidRPr="002D4988" w:rsidTr="009874D6">
        <w:trPr>
          <w:gridAfter w:val="1"/>
          <w:wAfter w:w="7" w:type="dxa"/>
        </w:trPr>
        <w:tc>
          <w:tcPr>
            <w:tcW w:w="225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ind w:left="112"/>
            </w:pPr>
            <w:r w:rsidRPr="002D4988">
              <w:t xml:space="preserve">VDZ </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4"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4</w:t>
            </w:r>
          </w:p>
        </w:tc>
        <w:tc>
          <w:tcPr>
            <w:tcW w:w="1136"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1</w:t>
            </w:r>
          </w:p>
        </w:tc>
        <w:tc>
          <w:tcPr>
            <w:tcW w:w="1137"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1</w:t>
            </w:r>
          </w:p>
        </w:tc>
        <w:tc>
          <w:tcPr>
            <w:tcW w:w="1133"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1</w:t>
            </w:r>
          </w:p>
        </w:tc>
        <w:tc>
          <w:tcPr>
            <w:tcW w:w="1132" w:type="dxa"/>
            <w:tcBorders>
              <w:top w:val="nil"/>
              <w:left w:val="single" w:sz="4" w:space="0" w:color="auto"/>
              <w:bottom w:val="nil"/>
              <w:right w:val="single" w:sz="4" w:space="0" w:color="auto"/>
            </w:tcBorders>
            <w:vAlign w:val="center"/>
            <w:hideMark/>
          </w:tcPr>
          <w:p w:rsidR="004F7C9F" w:rsidRPr="002D4988" w:rsidRDefault="001B7425" w:rsidP="005F35E8">
            <w:pPr>
              <w:pStyle w:val="Tabletext"/>
              <w:keepNext/>
              <w:keepLines/>
              <w:widowControl w:val="0"/>
              <w:jc w:val="center"/>
            </w:pPr>
            <w:r>
              <w:rPr>
                <w:noProof/>
                <w:color w:val="000000"/>
                <w:highlight w:val="black"/>
              </w:rPr>
              <w:t>''''''''''''''</w:t>
            </w:r>
            <w:r w:rsidR="00485FB1" w:rsidRPr="00485FB1">
              <w:rPr>
                <w:vertAlign w:val="superscript"/>
              </w:rPr>
              <w:t>1</w:t>
            </w:r>
          </w:p>
        </w:tc>
      </w:tr>
      <w:tr w:rsidR="004F7C9F" w:rsidRPr="002D4988" w:rsidTr="009874D6">
        <w:trPr>
          <w:gridAfter w:val="1"/>
          <w:wAfter w:w="7" w:type="dxa"/>
        </w:trPr>
        <w:tc>
          <w:tcPr>
            <w:tcW w:w="2256" w:type="dxa"/>
            <w:tcBorders>
              <w:top w:val="single" w:sz="4" w:space="0" w:color="auto"/>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pPr>
            <w:r w:rsidRPr="002D4988">
              <w:t>Net cost PBS/RPBS (less co-pay), bDMARDs</w:t>
            </w:r>
          </w:p>
        </w:tc>
        <w:tc>
          <w:tcPr>
            <w:tcW w:w="1132" w:type="dxa"/>
            <w:tcBorders>
              <w:top w:val="single" w:sz="4" w:space="0" w:color="auto"/>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Pr>
                <w:vertAlign w:val="superscript"/>
              </w:rPr>
              <w:t>6</w:t>
            </w:r>
          </w:p>
        </w:tc>
        <w:tc>
          <w:tcPr>
            <w:tcW w:w="1134" w:type="dxa"/>
            <w:tcBorders>
              <w:top w:val="single" w:sz="4" w:space="0" w:color="auto"/>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sidRPr="00B676CB">
              <w:rPr>
                <w:vertAlign w:val="superscript"/>
              </w:rPr>
              <w:t>7</w:t>
            </w:r>
          </w:p>
        </w:tc>
        <w:tc>
          <w:tcPr>
            <w:tcW w:w="1136" w:type="dxa"/>
            <w:tcBorders>
              <w:top w:val="single" w:sz="4" w:space="0" w:color="auto"/>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sidRPr="00B676CB">
              <w:rPr>
                <w:vertAlign w:val="superscript"/>
              </w:rPr>
              <w:t>7</w:t>
            </w:r>
          </w:p>
        </w:tc>
        <w:tc>
          <w:tcPr>
            <w:tcW w:w="1137" w:type="dxa"/>
            <w:tcBorders>
              <w:top w:val="single" w:sz="4" w:space="0" w:color="auto"/>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sidRPr="00B676CB">
              <w:rPr>
                <w:vertAlign w:val="superscript"/>
              </w:rPr>
              <w:t>8</w:t>
            </w:r>
          </w:p>
        </w:tc>
        <w:tc>
          <w:tcPr>
            <w:tcW w:w="1133" w:type="dxa"/>
            <w:tcBorders>
              <w:top w:val="single" w:sz="4" w:space="0" w:color="auto"/>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sidRPr="00B676CB">
              <w:rPr>
                <w:vertAlign w:val="superscript"/>
              </w:rPr>
              <w:t>8</w:t>
            </w:r>
          </w:p>
        </w:tc>
        <w:tc>
          <w:tcPr>
            <w:tcW w:w="1132" w:type="dxa"/>
            <w:tcBorders>
              <w:top w:val="single" w:sz="4" w:space="0" w:color="auto"/>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sidRPr="00B676CB">
              <w:rPr>
                <w:vertAlign w:val="superscript"/>
              </w:rPr>
              <w:t>8</w:t>
            </w:r>
          </w:p>
        </w:tc>
      </w:tr>
      <w:tr w:rsidR="004F7C9F" w:rsidRPr="002D4988" w:rsidTr="009874D6">
        <w:trPr>
          <w:gridAfter w:val="1"/>
          <w:wAfter w:w="7" w:type="dxa"/>
        </w:trPr>
        <w:tc>
          <w:tcPr>
            <w:tcW w:w="225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ind w:left="112"/>
            </w:pPr>
            <w:r w:rsidRPr="002D4988">
              <w:t>ADA</w:t>
            </w:r>
          </w:p>
        </w:tc>
        <w:tc>
          <w:tcPr>
            <w:tcW w:w="1132"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sidRPr="00B676CB">
              <w:rPr>
                <w:vertAlign w:val="superscript"/>
              </w:rPr>
              <w:t>6</w:t>
            </w:r>
          </w:p>
        </w:tc>
        <w:tc>
          <w:tcPr>
            <w:tcW w:w="1134"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7"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3"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2"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r>
      <w:tr w:rsidR="004F7C9F" w:rsidRPr="002D4988" w:rsidTr="009874D6">
        <w:trPr>
          <w:gridAfter w:val="1"/>
          <w:wAfter w:w="7" w:type="dxa"/>
        </w:trPr>
        <w:tc>
          <w:tcPr>
            <w:tcW w:w="225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ind w:left="112"/>
            </w:pPr>
            <w:r w:rsidRPr="002D4988">
              <w:t>GOL</w:t>
            </w:r>
          </w:p>
        </w:tc>
        <w:tc>
          <w:tcPr>
            <w:tcW w:w="1132"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sidRPr="00B676CB">
              <w:rPr>
                <w:vertAlign w:val="superscript"/>
              </w:rPr>
              <w:t>6</w:t>
            </w:r>
          </w:p>
        </w:tc>
        <w:tc>
          <w:tcPr>
            <w:tcW w:w="1134"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7"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3"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2"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r>
      <w:tr w:rsidR="004F7C9F" w:rsidRPr="002D4988" w:rsidTr="009874D6">
        <w:trPr>
          <w:gridAfter w:val="1"/>
          <w:wAfter w:w="7" w:type="dxa"/>
        </w:trPr>
        <w:tc>
          <w:tcPr>
            <w:tcW w:w="225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ind w:left="112"/>
            </w:pPr>
            <w:r w:rsidRPr="002D4988">
              <w:t xml:space="preserve">IFX </w:t>
            </w:r>
          </w:p>
        </w:tc>
        <w:tc>
          <w:tcPr>
            <w:tcW w:w="1132"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sidRPr="00B676CB">
              <w:rPr>
                <w:vertAlign w:val="superscript"/>
              </w:rPr>
              <w:t>6</w:t>
            </w:r>
          </w:p>
        </w:tc>
        <w:tc>
          <w:tcPr>
            <w:tcW w:w="1134"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7"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3"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2"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r>
      <w:tr w:rsidR="004F7C9F" w:rsidRPr="002D4988" w:rsidTr="009874D6">
        <w:trPr>
          <w:gridAfter w:val="1"/>
          <w:wAfter w:w="7" w:type="dxa"/>
        </w:trPr>
        <w:tc>
          <w:tcPr>
            <w:tcW w:w="225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ind w:left="112"/>
            </w:pPr>
            <w:r w:rsidRPr="002D4988">
              <w:t xml:space="preserve">VDZ </w:t>
            </w:r>
          </w:p>
        </w:tc>
        <w:tc>
          <w:tcPr>
            <w:tcW w:w="1132"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B676CB" w:rsidRPr="00B676CB">
              <w:rPr>
                <w:vertAlign w:val="superscript"/>
              </w:rPr>
              <w:t>6</w:t>
            </w:r>
          </w:p>
        </w:tc>
        <w:tc>
          <w:tcPr>
            <w:tcW w:w="1134"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6"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6</w:t>
            </w:r>
          </w:p>
        </w:tc>
        <w:tc>
          <w:tcPr>
            <w:tcW w:w="1137"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7</w:t>
            </w:r>
          </w:p>
        </w:tc>
        <w:tc>
          <w:tcPr>
            <w:tcW w:w="1133"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7</w:t>
            </w:r>
          </w:p>
        </w:tc>
        <w:tc>
          <w:tcPr>
            <w:tcW w:w="1132" w:type="dxa"/>
            <w:tcBorders>
              <w:top w:val="nil"/>
              <w:left w:val="single" w:sz="4" w:space="0" w:color="auto"/>
              <w:bottom w:val="nil"/>
              <w:right w:val="single" w:sz="4" w:space="0" w:color="auto"/>
            </w:tcBorders>
            <w:vAlign w:val="center"/>
            <w:hideMark/>
          </w:tcPr>
          <w:p w:rsidR="004F7C9F" w:rsidRPr="002D4988" w:rsidRDefault="004F7C9F" w:rsidP="005F35E8">
            <w:pPr>
              <w:pStyle w:val="Tabletext"/>
              <w:keepNext/>
              <w:keepLines/>
              <w:widowControl w:val="0"/>
              <w:jc w:val="center"/>
            </w:pPr>
            <w:r w:rsidRPr="002D4988">
              <w:t>-$</w:t>
            </w:r>
            <w:r w:rsidR="001B7425">
              <w:rPr>
                <w:noProof/>
                <w:color w:val="000000"/>
                <w:highlight w:val="black"/>
              </w:rPr>
              <w:t>'''''''''''''''''''''''''''</w:t>
            </w:r>
            <w:r w:rsidR="005C5708" w:rsidRPr="005C5708">
              <w:rPr>
                <w:vertAlign w:val="superscript"/>
              </w:rPr>
              <w:t>7</w:t>
            </w:r>
          </w:p>
        </w:tc>
      </w:tr>
      <w:tr w:rsidR="004F7C9F" w:rsidRPr="002D4988" w:rsidTr="009874D6">
        <w:trPr>
          <w:gridAfter w:val="1"/>
          <w:wAfter w:w="7" w:type="dxa"/>
        </w:trPr>
        <w:tc>
          <w:tcPr>
            <w:tcW w:w="9060" w:type="dxa"/>
            <w:gridSpan w:val="7"/>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rPr>
                <w:b/>
                <w:bCs/>
              </w:rPr>
            </w:pPr>
            <w:r w:rsidRPr="002D4988">
              <w:rPr>
                <w:b/>
                <w:bCs/>
              </w:rPr>
              <w:t>4.4 Estimated financial implications for the PBS/RPBS</w:t>
            </w:r>
          </w:p>
        </w:tc>
      </w:tr>
      <w:tr w:rsidR="004F7C9F" w:rsidRPr="002D4988" w:rsidTr="009874D6">
        <w:trPr>
          <w:gridAfter w:val="1"/>
          <w:wAfter w:w="7" w:type="dxa"/>
          <w:trHeight w:val="70"/>
        </w:trPr>
        <w:tc>
          <w:tcPr>
            <w:tcW w:w="225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pPr>
            <w:r w:rsidRPr="002D4988">
              <w:t>Net Cost PBS/RPBS (less co-payment)</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7"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r>
      <w:tr w:rsidR="004F7C9F" w:rsidRPr="002D4988" w:rsidTr="009874D6">
        <w:trPr>
          <w:gridAfter w:val="1"/>
          <w:wAfter w:w="7" w:type="dxa"/>
          <w:trHeight w:val="70"/>
        </w:trPr>
        <w:tc>
          <w:tcPr>
            <w:tcW w:w="2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rPr>
                <w:i/>
                <w:iCs/>
              </w:rPr>
            </w:pPr>
            <w:r w:rsidRPr="002D4988">
              <w:rPr>
                <w:i/>
                <w:iCs/>
              </w:rPr>
              <w:t>Net cost PBS/RPBS March 2019 submission</w:t>
            </w:r>
          </w:p>
        </w:tc>
        <w:tc>
          <w:tcPr>
            <w:tcW w:w="11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r>
      <w:tr w:rsidR="004F7C9F" w:rsidRPr="002D4988" w:rsidTr="009874D6">
        <w:trPr>
          <w:gridAfter w:val="1"/>
          <w:wAfter w:w="7" w:type="dxa"/>
        </w:trPr>
        <w:tc>
          <w:tcPr>
            <w:tcW w:w="9060" w:type="dxa"/>
            <w:gridSpan w:val="7"/>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rPr>
                <w:b/>
                <w:bCs/>
              </w:rPr>
            </w:pPr>
            <w:r w:rsidRPr="002D4988">
              <w:rPr>
                <w:b/>
                <w:bCs/>
              </w:rPr>
              <w:t>4.5 Estimated financial implications for the health budget</w:t>
            </w:r>
          </w:p>
        </w:tc>
      </w:tr>
      <w:tr w:rsidR="004F7C9F" w:rsidRPr="002D4988" w:rsidTr="009874D6">
        <w:trPr>
          <w:gridAfter w:val="1"/>
          <w:wAfter w:w="7" w:type="dxa"/>
        </w:trPr>
        <w:tc>
          <w:tcPr>
            <w:tcW w:w="225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0735C" w:rsidP="005F35E8">
            <w:pPr>
              <w:pStyle w:val="Tabletext"/>
              <w:keepNext/>
              <w:keepLines/>
              <w:widowControl w:val="0"/>
            </w:pPr>
            <w:r w:rsidRPr="002D4988">
              <w:t xml:space="preserve">Number of </w:t>
            </w:r>
            <w:r w:rsidR="004F7C9F" w:rsidRPr="002D4988">
              <w:t>IFX infusions</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1</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1</w:t>
            </w:r>
          </w:p>
        </w:tc>
      </w:tr>
      <w:tr w:rsidR="004F7C9F" w:rsidRPr="002D4988" w:rsidTr="009874D6">
        <w:trPr>
          <w:gridAfter w:val="1"/>
          <w:wAfter w:w="7" w:type="dxa"/>
        </w:trPr>
        <w:tc>
          <w:tcPr>
            <w:tcW w:w="225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0735C" w:rsidP="005F35E8">
            <w:pPr>
              <w:pStyle w:val="Tabletext"/>
              <w:keepNext/>
              <w:keepLines/>
              <w:widowControl w:val="0"/>
            </w:pPr>
            <w:r w:rsidRPr="002D4988">
              <w:t xml:space="preserve">Number of </w:t>
            </w:r>
            <w:r w:rsidR="004F7C9F" w:rsidRPr="002D4988">
              <w:t>VDZ infusions</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1</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1B7425" w:rsidP="005F35E8">
            <w:pPr>
              <w:pStyle w:val="Tabletext"/>
              <w:keepNext/>
              <w:keepLines/>
              <w:widowControl w:val="0"/>
              <w:jc w:val="center"/>
              <w:rPr>
                <w:i/>
                <w:iCs/>
              </w:rPr>
            </w:pPr>
            <w:r>
              <w:rPr>
                <w:noProof/>
                <w:color w:val="000000"/>
                <w:szCs w:val="18"/>
                <w:highlight w:val="black"/>
              </w:rPr>
              <w:t>''''''''''''''</w:t>
            </w:r>
            <w:r w:rsidR="00364524" w:rsidRPr="00364524">
              <w:rPr>
                <w:szCs w:val="18"/>
                <w:vertAlign w:val="superscript"/>
              </w:rPr>
              <w:t>1</w:t>
            </w:r>
          </w:p>
        </w:tc>
      </w:tr>
      <w:tr w:rsidR="004F7C9F" w:rsidRPr="002D4988" w:rsidTr="009874D6">
        <w:trPr>
          <w:gridAfter w:val="1"/>
          <w:wAfter w:w="7" w:type="dxa"/>
        </w:trPr>
        <w:tc>
          <w:tcPr>
            <w:tcW w:w="225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pPr>
            <w:r w:rsidRPr="002D4988">
              <w:t>Net cost MBS</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7"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r>
      <w:tr w:rsidR="004F7C9F" w:rsidRPr="002D4988" w:rsidTr="009874D6">
        <w:trPr>
          <w:gridAfter w:val="1"/>
          <w:wAfter w:w="7" w:type="dxa"/>
        </w:trPr>
        <w:tc>
          <w:tcPr>
            <w:tcW w:w="225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pPr>
            <w:r w:rsidRPr="002D4988">
              <w:t>Net cost to health budget (less co-payment)</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6"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7"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c>
          <w:tcPr>
            <w:tcW w:w="1132" w:type="dxa"/>
            <w:tcBorders>
              <w:top w:val="single" w:sz="4" w:space="0" w:color="auto"/>
              <w:left w:val="single" w:sz="4" w:space="0" w:color="auto"/>
              <w:bottom w:val="single" w:sz="4" w:space="0" w:color="auto"/>
              <w:right w:val="single" w:sz="4" w:space="0" w:color="auto"/>
            </w:tcBorders>
            <w:vAlign w:val="center"/>
            <w:hideMark/>
          </w:tcPr>
          <w:p w:rsidR="004F7C9F" w:rsidRPr="002D4988" w:rsidRDefault="004F7C9F" w:rsidP="005F35E8">
            <w:pPr>
              <w:pStyle w:val="Tabletext"/>
              <w:keepNext/>
              <w:keepLines/>
              <w:widowControl w:val="0"/>
              <w:jc w:val="center"/>
              <w:rPr>
                <w:i/>
                <w:iCs/>
              </w:rPr>
            </w:pPr>
            <w:r w:rsidRPr="002D4988">
              <w:t>-$</w:t>
            </w:r>
            <w:r w:rsidR="001B7425">
              <w:rPr>
                <w:noProof/>
                <w:color w:val="000000"/>
                <w:highlight w:val="black"/>
              </w:rPr>
              <w:t>''''''''''''''''''''''''''</w:t>
            </w:r>
            <w:r w:rsidR="0092438D" w:rsidRPr="0092438D">
              <w:rPr>
                <w:vertAlign w:val="superscript"/>
              </w:rPr>
              <w:t>6</w:t>
            </w:r>
          </w:p>
        </w:tc>
      </w:tr>
      <w:tr w:rsidR="004F7C9F" w:rsidRPr="002D4988" w:rsidTr="009874D6">
        <w:trPr>
          <w:gridAfter w:val="1"/>
          <w:wAfter w:w="7" w:type="dxa"/>
        </w:trPr>
        <w:tc>
          <w:tcPr>
            <w:tcW w:w="2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rPr>
                <w:i/>
                <w:iCs/>
              </w:rPr>
            </w:pPr>
            <w:r w:rsidRPr="002D4988">
              <w:rPr>
                <w:i/>
                <w:iCs/>
              </w:rPr>
              <w:t>Net cost to health budget March 2019 submission</w:t>
            </w:r>
          </w:p>
        </w:tc>
        <w:tc>
          <w:tcPr>
            <w:tcW w:w="11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c>
          <w:tcPr>
            <w:tcW w:w="11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C9F" w:rsidRPr="002D4988" w:rsidRDefault="004F7C9F" w:rsidP="005F35E8">
            <w:pPr>
              <w:pStyle w:val="Tabletext"/>
              <w:keepNext/>
              <w:keepLines/>
              <w:widowControl w:val="0"/>
              <w:jc w:val="center"/>
            </w:pPr>
            <w:r w:rsidRPr="002D4988">
              <w:rPr>
                <w:i/>
                <w:iCs/>
              </w:rPr>
              <w:t>-$</w:t>
            </w:r>
            <w:r w:rsidR="001B7425">
              <w:rPr>
                <w:i/>
                <w:iCs/>
                <w:noProof/>
                <w:color w:val="000000"/>
                <w:highlight w:val="black"/>
              </w:rPr>
              <w:t>''''''''''''''''''</w:t>
            </w:r>
            <w:r w:rsidR="0092438D" w:rsidRPr="0092438D">
              <w:rPr>
                <w:i/>
                <w:iCs/>
                <w:vertAlign w:val="superscript"/>
              </w:rPr>
              <w:t>6</w:t>
            </w:r>
          </w:p>
        </w:tc>
      </w:tr>
    </w:tbl>
    <w:p w:rsidR="004F7C9F" w:rsidRPr="002D4988" w:rsidRDefault="004F7C9F" w:rsidP="005F35E8">
      <w:pPr>
        <w:pStyle w:val="TableFooter"/>
        <w:keepNext/>
        <w:keepLines/>
        <w:widowControl w:val="0"/>
      </w:pPr>
      <w:r w:rsidRPr="002D4988">
        <w:t>Source: Compiled during the evaluation from Section 4 workbook “Utilisation and cost-model”; Table 4.2.1, 6.07.COM.42.</w:t>
      </w:r>
    </w:p>
    <w:p w:rsidR="004F7C9F" w:rsidRPr="002D4988" w:rsidRDefault="004F7C9F" w:rsidP="005F35E8">
      <w:pPr>
        <w:pStyle w:val="TableFooter"/>
        <w:keepNext/>
        <w:keepLines/>
        <w:widowControl w:val="0"/>
      </w:pPr>
      <w:r w:rsidRPr="002D4988">
        <w:t>*Estimates presented in the March 2019 Commentary were corrected for errors in the submission model</w:t>
      </w:r>
    </w:p>
    <w:p w:rsidR="00B45B82" w:rsidRDefault="004F7C9F" w:rsidP="00B45B82">
      <w:pPr>
        <w:pStyle w:val="TableFooter"/>
        <w:keepNext/>
        <w:keepLines/>
        <w:widowControl w:val="0"/>
      </w:pPr>
      <w:r w:rsidRPr="002D4988">
        <w:t xml:space="preserve">Abbreviations: ADA=adalimumab, bDMARDs=biological disease modifying antirheumatic drug, GOL=golimumab, IFX=infliximab, TOF=tofacitinib, VDZ=vedolizumab. </w:t>
      </w:r>
    </w:p>
    <w:p w:rsidR="00B45B82" w:rsidRPr="00D23C1E" w:rsidRDefault="00B45B82" w:rsidP="00B45B82">
      <w:pPr>
        <w:pStyle w:val="TableFooter"/>
        <w:keepNext/>
        <w:keepLines/>
        <w:widowControl w:val="0"/>
        <w:rPr>
          <w:i/>
        </w:rPr>
      </w:pPr>
      <w:r w:rsidRPr="00D23C1E">
        <w:rPr>
          <w:i/>
        </w:rPr>
        <w:t>The redacted values correspond to the following ranges:</w:t>
      </w:r>
    </w:p>
    <w:p w:rsidR="00B45B82" w:rsidRPr="00D23C1E" w:rsidRDefault="00B45B82" w:rsidP="00B45B82">
      <w:pPr>
        <w:pStyle w:val="TableFooter"/>
        <w:keepNext/>
        <w:keepLines/>
        <w:widowControl w:val="0"/>
        <w:rPr>
          <w:i/>
        </w:rPr>
      </w:pPr>
      <w:r w:rsidRPr="00D23C1E">
        <w:rPr>
          <w:i/>
          <w:vertAlign w:val="superscript"/>
        </w:rPr>
        <w:t>1</w:t>
      </w:r>
      <w:r w:rsidRPr="00D23C1E">
        <w:rPr>
          <w:i/>
        </w:rPr>
        <w:t>5,000 to &lt;10,000</w:t>
      </w:r>
    </w:p>
    <w:p w:rsidR="00B45B82" w:rsidRPr="00D23C1E" w:rsidRDefault="00B45B82" w:rsidP="00B45B82">
      <w:pPr>
        <w:pStyle w:val="TableFooter"/>
        <w:keepNext/>
        <w:keepLines/>
        <w:widowControl w:val="0"/>
        <w:rPr>
          <w:i/>
        </w:rPr>
      </w:pPr>
      <w:r w:rsidRPr="00D23C1E">
        <w:rPr>
          <w:i/>
          <w:vertAlign w:val="superscript"/>
        </w:rPr>
        <w:t>2</w:t>
      </w:r>
      <w:r w:rsidRPr="00D23C1E">
        <w:rPr>
          <w:i/>
        </w:rPr>
        <w:t>10,000 to &lt;20,000</w:t>
      </w:r>
    </w:p>
    <w:p w:rsidR="00B45B82" w:rsidRPr="00D23C1E" w:rsidRDefault="00B45B82" w:rsidP="00B45B82">
      <w:pPr>
        <w:pStyle w:val="TableFooter"/>
        <w:keepNext/>
        <w:keepLines/>
        <w:widowControl w:val="0"/>
        <w:rPr>
          <w:i/>
        </w:rPr>
      </w:pPr>
      <w:r w:rsidRPr="00D23C1E">
        <w:rPr>
          <w:i/>
          <w:vertAlign w:val="superscript"/>
        </w:rPr>
        <w:t>3</w:t>
      </w:r>
      <w:r w:rsidRPr="00D23C1E">
        <w:rPr>
          <w:i/>
        </w:rPr>
        <w:t>20,000 to &lt;30,000</w:t>
      </w:r>
      <w:r w:rsidRPr="00D23C1E">
        <w:rPr>
          <w:i/>
        </w:rPr>
        <w:tab/>
      </w:r>
    </w:p>
    <w:p w:rsidR="00B45B82" w:rsidRPr="00D23C1E" w:rsidRDefault="00B45B82" w:rsidP="00B45B82">
      <w:pPr>
        <w:pStyle w:val="TableFooter"/>
        <w:keepNext/>
        <w:keepLines/>
        <w:widowControl w:val="0"/>
        <w:rPr>
          <w:i/>
        </w:rPr>
      </w:pPr>
      <w:r w:rsidRPr="00D23C1E">
        <w:rPr>
          <w:i/>
          <w:vertAlign w:val="superscript"/>
        </w:rPr>
        <w:t>4</w:t>
      </w:r>
      <w:r w:rsidRPr="00D23C1E">
        <w:rPr>
          <w:i/>
        </w:rPr>
        <w:t>500 to &lt;5,000</w:t>
      </w:r>
    </w:p>
    <w:p w:rsidR="00B45B82" w:rsidRPr="00D23C1E" w:rsidRDefault="00B45B82" w:rsidP="00B45B82">
      <w:pPr>
        <w:pStyle w:val="TableFooter"/>
        <w:keepNext/>
        <w:keepLines/>
        <w:widowControl w:val="0"/>
        <w:rPr>
          <w:i/>
        </w:rPr>
      </w:pPr>
      <w:r w:rsidRPr="00D23C1E">
        <w:rPr>
          <w:i/>
          <w:vertAlign w:val="superscript"/>
        </w:rPr>
        <w:t>5</w:t>
      </w:r>
      <w:r w:rsidRPr="00D23C1E">
        <w:rPr>
          <w:i/>
        </w:rPr>
        <w:t>&lt;500</w:t>
      </w:r>
    </w:p>
    <w:p w:rsidR="00B45B82" w:rsidRPr="00D23C1E" w:rsidRDefault="00B45B82" w:rsidP="00B45B82">
      <w:pPr>
        <w:pStyle w:val="TableFooter"/>
        <w:keepNext/>
        <w:keepLines/>
        <w:widowControl w:val="0"/>
        <w:rPr>
          <w:i/>
        </w:rPr>
      </w:pPr>
      <w:r w:rsidRPr="00D23C1E">
        <w:rPr>
          <w:i/>
          <w:vertAlign w:val="superscript"/>
        </w:rPr>
        <w:t>6</w:t>
      </w:r>
      <w:r w:rsidRPr="00D23C1E">
        <w:rPr>
          <w:i/>
        </w:rPr>
        <w:t>$0 to &lt;$10 million</w:t>
      </w:r>
    </w:p>
    <w:p w:rsidR="00B45B82" w:rsidRPr="00D23C1E" w:rsidRDefault="00B45B82" w:rsidP="00B45B82">
      <w:pPr>
        <w:pStyle w:val="TableFooter"/>
        <w:keepNext/>
        <w:keepLines/>
        <w:widowControl w:val="0"/>
        <w:rPr>
          <w:i/>
        </w:rPr>
      </w:pPr>
      <w:r w:rsidRPr="00D23C1E">
        <w:rPr>
          <w:i/>
          <w:vertAlign w:val="superscript"/>
        </w:rPr>
        <w:t>7</w:t>
      </w:r>
      <w:r w:rsidRPr="00D23C1E">
        <w:rPr>
          <w:i/>
        </w:rPr>
        <w:t>$10 million to &lt;$20 million</w:t>
      </w:r>
    </w:p>
    <w:p w:rsidR="00B45B82" w:rsidRPr="00D23C1E" w:rsidRDefault="00B45B82" w:rsidP="00B45B82">
      <w:pPr>
        <w:pStyle w:val="TableFooter"/>
        <w:keepNext/>
        <w:keepLines/>
        <w:widowControl w:val="0"/>
        <w:rPr>
          <w:i/>
        </w:rPr>
      </w:pPr>
      <w:r w:rsidRPr="00D23C1E">
        <w:rPr>
          <w:i/>
          <w:vertAlign w:val="superscript"/>
        </w:rPr>
        <w:t>8</w:t>
      </w:r>
      <w:r w:rsidRPr="00D23C1E">
        <w:rPr>
          <w:i/>
        </w:rPr>
        <w:t>$20 million to &lt;$30 million</w:t>
      </w:r>
    </w:p>
    <w:p w:rsidR="00B45B82" w:rsidRPr="002D4988" w:rsidRDefault="00B45B82" w:rsidP="005F35E8">
      <w:pPr>
        <w:pStyle w:val="TableFooter"/>
        <w:keepNext/>
        <w:keepLines/>
        <w:widowControl w:val="0"/>
        <w:spacing w:after="120"/>
        <w:jc w:val="left"/>
      </w:pPr>
    </w:p>
    <w:p w:rsidR="004F7C9F" w:rsidRPr="002D4988" w:rsidRDefault="004F7C9F" w:rsidP="00E143D9">
      <w:pPr>
        <w:pStyle w:val="3-BodyText"/>
      </w:pPr>
      <w:r w:rsidRPr="002D4988">
        <w:t xml:space="preserve">The </w:t>
      </w:r>
      <w:r w:rsidR="002D4988" w:rsidRPr="002D4988">
        <w:t>evaluation</w:t>
      </w:r>
      <w:r w:rsidR="00B8697D" w:rsidRPr="002D4988">
        <w:t xml:space="preserve"> considered the </w:t>
      </w:r>
      <w:r w:rsidRPr="002D4988">
        <w:t>predicted use and financial impacts of the proposed listing are uncertain for the following reasons:</w:t>
      </w:r>
    </w:p>
    <w:p w:rsidR="004F7C9F" w:rsidRPr="002D4988" w:rsidRDefault="004F7C9F" w:rsidP="005F35E8">
      <w:pPr>
        <w:pStyle w:val="ListParagraph"/>
      </w:pPr>
      <w:r w:rsidRPr="002D4988">
        <w:lastRenderedPageBreak/>
        <w:t>The financial estimates model led to cost-savings to the health budget by Year 6 of $</w:t>
      </w:r>
      <w:r w:rsidR="00EB03DE">
        <w:t xml:space="preserve">0 to &lt;$10 </w:t>
      </w:r>
      <w:r w:rsidRPr="002D4988">
        <w:t>million compared to a saving of $</w:t>
      </w:r>
      <w:r w:rsidR="00EB03DE">
        <w:t>0 to &lt;$10 million</w:t>
      </w:r>
      <w:r w:rsidRPr="002D4988">
        <w:t xml:space="preserve"> presented in the March 2019 submission. Compared to the March 2019 submission, the resubmission estimated a higher number of bDMARD scripts substituted by TOF (</w:t>
      </w:r>
      <w:r w:rsidR="00EB03DE">
        <w:t>10,000 to &lt;20,000</w:t>
      </w:r>
      <w:r w:rsidRPr="002D4988">
        <w:t xml:space="preserve"> vs. </w:t>
      </w:r>
      <w:r w:rsidR="00EB03DE">
        <w:t>500 to &lt;5,000</w:t>
      </w:r>
      <w:r w:rsidRPr="002D4988">
        <w:t xml:space="preserve"> by Year 6) and more TOF scripts (</w:t>
      </w:r>
      <w:r w:rsidR="00EB03DE">
        <w:t>20,000 to &lt;30,000</w:t>
      </w:r>
      <w:r w:rsidRPr="002D4988">
        <w:t xml:space="preserve"> vs. </w:t>
      </w:r>
      <w:r w:rsidR="00EB03DE">
        <w:t>500 to &lt;5,000</w:t>
      </w:r>
      <w:r w:rsidRPr="002D4988">
        <w:t xml:space="preserve"> by Year 6). These are large increases, mainly driven by the assumed growth rates and TOF substitution rates for each bDMARD. Both were inadequately justified by the resubmission; for example, a fixed rate of substitution across all listed comparators appear</w:t>
      </w:r>
      <w:r w:rsidR="00345926" w:rsidRPr="002D4988">
        <w:t>s</w:t>
      </w:r>
      <w:r w:rsidRPr="002D4988">
        <w:t xml:space="preserve"> unlikely and justification for this assumption was not provided in the resubmission.</w:t>
      </w:r>
    </w:p>
    <w:p w:rsidR="004F7C9F" w:rsidRPr="002D4988" w:rsidRDefault="004F7C9F" w:rsidP="009642C1">
      <w:pPr>
        <w:pStyle w:val="ListParagraph"/>
      </w:pPr>
      <w:r w:rsidRPr="002D4988">
        <w:t xml:space="preserve">Any additional growth due to TOF listing beyond current market trends is uncertain. Furthermore, the resubmission added the additional growth rate due to TOF to estimate the number of competitor </w:t>
      </w:r>
      <w:r w:rsidR="00345926" w:rsidRPr="002D4988">
        <w:t xml:space="preserve">biologic therapy </w:t>
      </w:r>
      <w:r w:rsidRPr="002D4988">
        <w:t>scripts in future years, thereby incr</w:t>
      </w:r>
      <w:r w:rsidR="00E141B0" w:rsidRPr="002D4988">
        <w:t>easing the cost-offsets. This was</w:t>
      </w:r>
      <w:r w:rsidRPr="002D4988">
        <w:t xml:space="preserve"> inappropriate</w:t>
      </w:r>
      <w:r w:rsidR="00BC325F" w:rsidRPr="002D4988">
        <w:t>;</w:t>
      </w:r>
      <w:r w:rsidRPr="002D4988">
        <w:t xml:space="preserve"> </w:t>
      </w:r>
      <w:r w:rsidRPr="002D4988">
        <w:rPr>
          <w:szCs w:val="18"/>
        </w:rPr>
        <w:t xml:space="preserve">any increased utilisation of injectable </w:t>
      </w:r>
      <w:r w:rsidR="00345926" w:rsidRPr="002D4988">
        <w:rPr>
          <w:szCs w:val="18"/>
        </w:rPr>
        <w:t xml:space="preserve">biologic therapies </w:t>
      </w:r>
      <w:r w:rsidRPr="003C106B">
        <w:rPr>
          <w:b/>
          <w:szCs w:val="18"/>
        </w:rPr>
        <w:t>as a result of TOF listing</w:t>
      </w:r>
      <w:r w:rsidRPr="002D4988">
        <w:rPr>
          <w:szCs w:val="18"/>
        </w:rPr>
        <w:t xml:space="preserve"> should instead be counted as additional cost to government rather than deductions</w:t>
      </w:r>
      <w:r w:rsidRPr="002D4988">
        <w:t xml:space="preserve">, given they would not be there </w:t>
      </w:r>
      <w:r w:rsidR="00F9366D">
        <w:t>if TOF is not listed on the PBS</w:t>
      </w:r>
      <w:r w:rsidR="005C5595" w:rsidRPr="002D4988">
        <w:t>.</w:t>
      </w:r>
      <w:r w:rsidR="00A44631" w:rsidRPr="002D4988">
        <w:t xml:space="preserve"> The ESC agreed with the evaluation</w:t>
      </w:r>
      <w:r w:rsidR="00950528" w:rsidRPr="002D4988">
        <w:t xml:space="preserve"> and considered that any additional use of other bDMARDs should be counted as a cost</w:t>
      </w:r>
      <w:r w:rsidR="002B06BF" w:rsidRPr="002D4988">
        <w:t xml:space="preserve"> to government</w:t>
      </w:r>
      <w:r w:rsidR="00950528" w:rsidRPr="002D4988">
        <w:t>. On balance, the ESC considered that</w:t>
      </w:r>
      <w:r w:rsidR="009642C1" w:rsidRPr="002D4988">
        <w:t xml:space="preserve"> with a more appropriate simplified cost minimisation approach, listing of TOF was unlikely to result in a net save to the PBS.</w:t>
      </w:r>
      <w:r w:rsidR="00950528" w:rsidRPr="002D4988">
        <w:rPr>
          <w:i/>
        </w:rPr>
        <w:t xml:space="preserve"> </w:t>
      </w:r>
    </w:p>
    <w:p w:rsidR="00252B90" w:rsidRPr="002D4988" w:rsidRDefault="004F7C9F" w:rsidP="005F35E8">
      <w:pPr>
        <w:pStyle w:val="ListParagraph"/>
      </w:pPr>
      <w:r w:rsidRPr="002D4988">
        <w:t xml:space="preserve">Compliance was reduced from 100% in </w:t>
      </w:r>
      <w:r w:rsidR="00E45581" w:rsidRPr="002D4988">
        <w:t xml:space="preserve">the </w:t>
      </w:r>
      <w:r w:rsidRPr="002D4988">
        <w:t>March 2019</w:t>
      </w:r>
      <w:r w:rsidR="00E45581" w:rsidRPr="002D4988">
        <w:t xml:space="preserve"> submission</w:t>
      </w:r>
      <w:r w:rsidRPr="002D4988">
        <w:t xml:space="preserve"> to 89% in the current resubmission. As an oral agent, TOF would potentially lead to higher compliance than ADA (93%) or GOL (91%).</w:t>
      </w:r>
      <w:r w:rsidR="002B06BF" w:rsidRPr="002D4988">
        <w:t xml:space="preserve"> The ESC considered this was poorly justified in the resubmission.</w:t>
      </w:r>
    </w:p>
    <w:p w:rsidR="00576972" w:rsidRPr="002D4988" w:rsidRDefault="00576972" w:rsidP="00606FBA">
      <w:pPr>
        <w:pStyle w:val="4-SubsectionHeading"/>
      </w:pPr>
      <w:bookmarkStart w:id="38" w:name="_Toc22897649"/>
      <w:bookmarkStart w:id="39" w:name="_Toc51163595"/>
      <w:bookmarkEnd w:id="35"/>
      <w:r w:rsidRPr="002D4988">
        <w:t xml:space="preserve">Financial Management </w:t>
      </w:r>
      <w:bookmarkEnd w:id="38"/>
      <w:bookmarkEnd w:id="39"/>
    </w:p>
    <w:p w:rsidR="00060A36" w:rsidRPr="002D4988" w:rsidRDefault="00E11A33" w:rsidP="00C52361">
      <w:pPr>
        <w:pStyle w:val="3-BodyText"/>
      </w:pPr>
      <w:r w:rsidRPr="002D4988">
        <w:t>A Special Pricing Arrangement was requested.</w:t>
      </w:r>
      <w:r w:rsidR="0038235B" w:rsidRPr="002D4988">
        <w:t xml:space="preserve"> </w:t>
      </w:r>
    </w:p>
    <w:p w:rsidR="00C52361" w:rsidRPr="002D4988" w:rsidRDefault="00060A36" w:rsidP="00E141B0">
      <w:pPr>
        <w:ind w:left="1080" w:hanging="360"/>
        <w:rPr>
          <w:i/>
        </w:rPr>
      </w:pPr>
      <w:r w:rsidRPr="002D4988">
        <w:rPr>
          <w:i/>
        </w:rPr>
        <w:t>For more detail on PBAC’s vi</w:t>
      </w:r>
      <w:r w:rsidR="00E141B0" w:rsidRPr="002D4988">
        <w:rPr>
          <w:i/>
        </w:rPr>
        <w:t>ew, see section 7 PBAC outcome.</w:t>
      </w:r>
    </w:p>
    <w:p w:rsidR="00C52361" w:rsidRPr="002D4988" w:rsidRDefault="00C52361" w:rsidP="00756B18">
      <w:pPr>
        <w:keepNext/>
        <w:widowControl w:val="0"/>
        <w:numPr>
          <w:ilvl w:val="0"/>
          <w:numId w:val="1"/>
        </w:numPr>
        <w:spacing w:before="240" w:after="120"/>
        <w:outlineLvl w:val="0"/>
        <w:rPr>
          <w:rFonts w:asciiTheme="minorHAnsi" w:hAnsiTheme="minorHAnsi"/>
          <w:b/>
          <w:bCs/>
          <w:snapToGrid w:val="0"/>
          <w:sz w:val="32"/>
        </w:rPr>
      </w:pPr>
      <w:r w:rsidRPr="002D4988">
        <w:rPr>
          <w:rFonts w:asciiTheme="minorHAnsi" w:hAnsiTheme="minorHAnsi"/>
          <w:b/>
          <w:bCs/>
          <w:snapToGrid w:val="0"/>
          <w:sz w:val="32"/>
        </w:rPr>
        <w:t>PBAC Outcome</w:t>
      </w:r>
    </w:p>
    <w:p w:rsidR="00C52361" w:rsidRPr="002D4988" w:rsidRDefault="00756B18" w:rsidP="00C52361">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t xml:space="preserve">The PBAC reaffirmed its recommendation for tofacitinib (TOF) in moderate-to-severe ulcerative colitis (MSUC) and decided to amend the clinical and economic basis of its recommendation. </w:t>
      </w:r>
      <w:r w:rsidR="00CA4FD8" w:rsidRPr="002D4988">
        <w:rPr>
          <w:rFonts w:asciiTheme="minorHAnsi" w:hAnsiTheme="minorHAnsi"/>
          <w:bCs/>
          <w:snapToGrid w:val="0"/>
        </w:rPr>
        <w:t>The PBAC’s revised recommendation for listing was based on, among other matters, its assessment that the cost-effectiveness of TOF</w:t>
      </w:r>
      <w:r w:rsidR="00E141B0" w:rsidRPr="002D4988">
        <w:rPr>
          <w:rFonts w:asciiTheme="minorHAnsi" w:hAnsiTheme="minorHAnsi"/>
          <w:bCs/>
          <w:snapToGrid w:val="0"/>
        </w:rPr>
        <w:t xml:space="preserve"> </w:t>
      </w:r>
      <w:r w:rsidR="00CA4FD8" w:rsidRPr="002D4988">
        <w:rPr>
          <w:rFonts w:asciiTheme="minorHAnsi" w:hAnsiTheme="minorHAnsi"/>
          <w:bCs/>
          <w:snapToGrid w:val="0"/>
        </w:rPr>
        <w:t>would be acceptable if it were</w:t>
      </w:r>
      <w:r w:rsidRPr="002D4988">
        <w:rPr>
          <w:rFonts w:asciiTheme="minorHAnsi" w:hAnsiTheme="minorHAnsi"/>
          <w:bCs/>
          <w:snapToGrid w:val="0"/>
        </w:rPr>
        <w:t xml:space="preserve"> cost minimis</w:t>
      </w:r>
      <w:r w:rsidR="00345926" w:rsidRPr="002D4988">
        <w:rPr>
          <w:rFonts w:asciiTheme="minorHAnsi" w:hAnsiTheme="minorHAnsi"/>
          <w:bCs/>
          <w:snapToGrid w:val="0"/>
        </w:rPr>
        <w:t xml:space="preserve">ed against </w:t>
      </w:r>
      <w:r w:rsidRPr="002D4988">
        <w:rPr>
          <w:rFonts w:asciiTheme="minorHAnsi" w:hAnsiTheme="minorHAnsi"/>
          <w:bCs/>
          <w:snapToGrid w:val="0"/>
        </w:rPr>
        <w:t xml:space="preserve">the least costly </w:t>
      </w:r>
      <w:r w:rsidR="00217EF4" w:rsidRPr="002D4988">
        <w:rPr>
          <w:rFonts w:asciiTheme="minorHAnsi" w:hAnsiTheme="minorHAnsi"/>
          <w:bCs/>
          <w:snapToGrid w:val="0"/>
        </w:rPr>
        <w:t xml:space="preserve">biologic therapy </w:t>
      </w:r>
      <w:r w:rsidR="00A2050E" w:rsidRPr="002D4988">
        <w:rPr>
          <w:rFonts w:asciiTheme="minorHAnsi" w:hAnsiTheme="minorHAnsi"/>
          <w:bCs/>
          <w:snapToGrid w:val="0"/>
        </w:rPr>
        <w:t>of</w:t>
      </w:r>
      <w:r w:rsidRPr="002D4988">
        <w:rPr>
          <w:rFonts w:asciiTheme="minorHAnsi" w:hAnsiTheme="minorHAnsi"/>
          <w:bCs/>
          <w:snapToGrid w:val="0"/>
        </w:rPr>
        <w:t xml:space="preserve"> infliximab (IFX), golimumab (GOL) or vedolizumab (VED)</w:t>
      </w:r>
      <w:r w:rsidR="00217EF4" w:rsidRPr="002D4988">
        <w:rPr>
          <w:rFonts w:asciiTheme="minorHAnsi" w:hAnsiTheme="minorHAnsi"/>
          <w:bCs/>
          <w:snapToGrid w:val="0"/>
        </w:rPr>
        <w:t>.</w:t>
      </w:r>
      <w:r w:rsidR="00B8227B">
        <w:rPr>
          <w:rFonts w:asciiTheme="minorHAnsi" w:hAnsiTheme="minorHAnsi"/>
          <w:bCs/>
          <w:snapToGrid w:val="0"/>
        </w:rPr>
        <w:t xml:space="preserve"> The</w:t>
      </w:r>
      <w:r w:rsidR="00217EF4" w:rsidRPr="002D4988">
        <w:rPr>
          <w:rFonts w:asciiTheme="minorHAnsi" w:hAnsiTheme="minorHAnsi"/>
          <w:bCs/>
          <w:snapToGrid w:val="0"/>
        </w:rPr>
        <w:t xml:space="preserve"> PBAC </w:t>
      </w:r>
      <w:r w:rsidR="003E2854" w:rsidRPr="002D4988">
        <w:rPr>
          <w:rFonts w:asciiTheme="minorHAnsi" w:hAnsiTheme="minorHAnsi"/>
          <w:bCs/>
          <w:snapToGrid w:val="0"/>
        </w:rPr>
        <w:t xml:space="preserve">accepted that </w:t>
      </w:r>
      <w:r w:rsidR="00F67607" w:rsidRPr="002D4988">
        <w:rPr>
          <w:rFonts w:asciiTheme="minorHAnsi" w:hAnsiTheme="minorHAnsi"/>
          <w:bCs/>
          <w:snapToGrid w:val="0"/>
        </w:rPr>
        <w:t xml:space="preserve">TOF </w:t>
      </w:r>
      <w:r w:rsidR="003E2854" w:rsidRPr="002D4988">
        <w:rPr>
          <w:rFonts w:asciiTheme="minorHAnsi" w:hAnsiTheme="minorHAnsi"/>
          <w:bCs/>
          <w:snapToGrid w:val="0"/>
        </w:rPr>
        <w:t>is likely of non-inferi</w:t>
      </w:r>
      <w:r w:rsidR="00CA4FD8" w:rsidRPr="002D4988">
        <w:rPr>
          <w:rFonts w:asciiTheme="minorHAnsi" w:hAnsiTheme="minorHAnsi"/>
          <w:bCs/>
          <w:snapToGrid w:val="0"/>
        </w:rPr>
        <w:t>or safety and efficacy to</w:t>
      </w:r>
      <w:r w:rsidR="003E2854" w:rsidRPr="002D4988">
        <w:rPr>
          <w:rFonts w:asciiTheme="minorHAnsi" w:hAnsiTheme="minorHAnsi"/>
          <w:bCs/>
          <w:snapToGrid w:val="0"/>
        </w:rPr>
        <w:t xml:space="preserve"> these agents</w:t>
      </w:r>
      <w:r w:rsidR="00217EF4" w:rsidRPr="002D4988">
        <w:rPr>
          <w:rFonts w:asciiTheme="minorHAnsi" w:hAnsiTheme="minorHAnsi"/>
          <w:bCs/>
          <w:snapToGrid w:val="0"/>
        </w:rPr>
        <w:t xml:space="preserve"> in MSUC</w:t>
      </w:r>
      <w:r w:rsidR="00A2050E" w:rsidRPr="002D4988">
        <w:rPr>
          <w:rFonts w:asciiTheme="minorHAnsi" w:hAnsiTheme="minorHAnsi"/>
          <w:bCs/>
          <w:snapToGrid w:val="0"/>
        </w:rPr>
        <w:t xml:space="preserve">, and that there </w:t>
      </w:r>
      <w:r w:rsidR="00E505CF">
        <w:rPr>
          <w:rFonts w:asciiTheme="minorHAnsi" w:hAnsiTheme="minorHAnsi"/>
          <w:bCs/>
          <w:snapToGrid w:val="0"/>
        </w:rPr>
        <w:t xml:space="preserve">is sufficient basis to conclude that TOF, for some patients, provides a significant improvement in efficacy in the induction phase compared to ADA, based on the ITT analyses (para 6.21). </w:t>
      </w:r>
    </w:p>
    <w:p w:rsidR="00C52361" w:rsidRPr="002D4988" w:rsidRDefault="00462C49" w:rsidP="00C52361">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lastRenderedPageBreak/>
        <w:t xml:space="preserve">The PBAC reaffirmed its view in March 2019 that TOF should be a General Schedule, </w:t>
      </w:r>
      <w:r w:rsidR="00285D5F" w:rsidRPr="002D4988">
        <w:rPr>
          <w:rFonts w:asciiTheme="minorHAnsi" w:hAnsiTheme="minorHAnsi"/>
          <w:bCs/>
          <w:snapToGrid w:val="0"/>
        </w:rPr>
        <w:t>Authority</w:t>
      </w:r>
      <w:r w:rsidRPr="002D4988">
        <w:rPr>
          <w:rFonts w:asciiTheme="minorHAnsi" w:hAnsiTheme="minorHAnsi"/>
          <w:bCs/>
          <w:snapToGrid w:val="0"/>
        </w:rPr>
        <w:t xml:space="preserve"> Required (</w:t>
      </w:r>
      <w:r w:rsidR="00E141B0" w:rsidRPr="002D4988">
        <w:rPr>
          <w:rFonts w:asciiTheme="minorHAnsi" w:hAnsiTheme="minorHAnsi"/>
          <w:bCs/>
          <w:snapToGrid w:val="0"/>
        </w:rPr>
        <w:t>Written</w:t>
      </w:r>
      <w:r w:rsidRPr="002D4988">
        <w:rPr>
          <w:rFonts w:asciiTheme="minorHAnsi" w:hAnsiTheme="minorHAnsi"/>
          <w:bCs/>
          <w:snapToGrid w:val="0"/>
        </w:rPr>
        <w:t>) listing and agreed the</w:t>
      </w:r>
      <w:r w:rsidR="00325775" w:rsidRPr="002D4988">
        <w:rPr>
          <w:rFonts w:asciiTheme="minorHAnsi" w:hAnsiTheme="minorHAnsi"/>
          <w:bCs/>
          <w:snapToGrid w:val="0"/>
        </w:rPr>
        <w:t xml:space="preserve"> line-agnostic</w:t>
      </w:r>
      <w:r w:rsidRPr="002D4988">
        <w:rPr>
          <w:rFonts w:asciiTheme="minorHAnsi" w:hAnsiTheme="minorHAnsi"/>
          <w:bCs/>
          <w:snapToGrid w:val="0"/>
        </w:rPr>
        <w:t xml:space="preserve"> restriction recommended at that time remained appropriate.</w:t>
      </w:r>
    </w:p>
    <w:p w:rsidR="00C52361" w:rsidRPr="002D4988" w:rsidRDefault="00462C49" w:rsidP="00C52361">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t>The</w:t>
      </w:r>
      <w:r w:rsidR="009F1C7B" w:rsidRPr="002D4988">
        <w:rPr>
          <w:rFonts w:asciiTheme="minorHAnsi" w:hAnsiTheme="minorHAnsi"/>
          <w:bCs/>
          <w:snapToGrid w:val="0"/>
        </w:rPr>
        <w:t xml:space="preserve"> PBAC recommended </w:t>
      </w:r>
      <w:r w:rsidRPr="002D4988">
        <w:rPr>
          <w:rFonts w:asciiTheme="minorHAnsi" w:hAnsiTheme="minorHAnsi"/>
          <w:bCs/>
          <w:snapToGrid w:val="0"/>
        </w:rPr>
        <w:t xml:space="preserve">equi-effective doses are </w:t>
      </w:r>
      <w:r w:rsidR="009F1C7B" w:rsidRPr="002D4988">
        <w:rPr>
          <w:rFonts w:asciiTheme="minorHAnsi" w:hAnsiTheme="minorHAnsi"/>
          <w:bCs/>
          <w:snapToGrid w:val="0"/>
        </w:rPr>
        <w:t>as follows:</w:t>
      </w:r>
    </w:p>
    <w:p w:rsidR="009F1C7B" w:rsidRPr="002D4988" w:rsidRDefault="009F1C7B" w:rsidP="009F1C7B">
      <w:pPr>
        <w:ind w:left="720"/>
      </w:pPr>
      <w:r w:rsidRPr="002D4988">
        <w:t xml:space="preserve">Induction: TOF 10 mg BD orally </w:t>
      </w:r>
    </w:p>
    <w:p w:rsidR="009F1C7B" w:rsidRPr="002D4988" w:rsidRDefault="009F1C7B" w:rsidP="009F1C7B">
      <w:pPr>
        <w:pStyle w:val="ListParagraph"/>
        <w:numPr>
          <w:ilvl w:val="0"/>
          <w:numId w:val="11"/>
        </w:numPr>
        <w:rPr>
          <w:snapToGrid/>
        </w:rPr>
      </w:pPr>
      <w:r w:rsidRPr="002D4988">
        <w:rPr>
          <w:rFonts w:cstheme="minorHAnsi"/>
          <w:snapToGrid/>
        </w:rPr>
        <w:t>≡</w:t>
      </w:r>
      <w:r w:rsidRPr="002D4988">
        <w:rPr>
          <w:snapToGrid/>
        </w:rPr>
        <w:t xml:space="preserve"> IFX 5 mg/kg IV Weeks 0, 2 and 6 </w:t>
      </w:r>
    </w:p>
    <w:p w:rsidR="009F1C7B" w:rsidRPr="002D4988" w:rsidRDefault="009F1C7B" w:rsidP="009F1C7B">
      <w:pPr>
        <w:pStyle w:val="ListParagraph"/>
        <w:numPr>
          <w:ilvl w:val="0"/>
          <w:numId w:val="11"/>
        </w:numPr>
        <w:rPr>
          <w:snapToGrid/>
        </w:rPr>
      </w:pPr>
      <w:r w:rsidRPr="002D4988">
        <w:rPr>
          <w:rFonts w:cstheme="minorHAnsi"/>
          <w:snapToGrid/>
        </w:rPr>
        <w:t>≡</w:t>
      </w:r>
      <w:r w:rsidRPr="002D4988">
        <w:rPr>
          <w:snapToGrid/>
        </w:rPr>
        <w:t xml:space="preserve"> VDZ 300 mg IV Weeks 0, 2 and 6 </w:t>
      </w:r>
    </w:p>
    <w:p w:rsidR="009F1C7B" w:rsidRPr="002D4988" w:rsidRDefault="009F1C7B" w:rsidP="009F1C7B">
      <w:pPr>
        <w:pStyle w:val="ListParagraph"/>
        <w:numPr>
          <w:ilvl w:val="0"/>
          <w:numId w:val="11"/>
        </w:numPr>
        <w:rPr>
          <w:snapToGrid/>
        </w:rPr>
      </w:pPr>
      <w:r w:rsidRPr="002D4988">
        <w:rPr>
          <w:rFonts w:cstheme="minorHAnsi"/>
          <w:snapToGrid/>
        </w:rPr>
        <w:t>≡</w:t>
      </w:r>
      <w:r w:rsidRPr="002D4988">
        <w:rPr>
          <w:snapToGrid/>
        </w:rPr>
        <w:t xml:space="preserve"> GOL 200 mg SC Week 0, 100 mg Week 2. </w:t>
      </w:r>
    </w:p>
    <w:p w:rsidR="009F1C7B" w:rsidRPr="002D4988" w:rsidRDefault="009F1C7B" w:rsidP="009F1C7B">
      <w:pPr>
        <w:ind w:left="720"/>
      </w:pPr>
      <w:r w:rsidRPr="002D4988">
        <w:t xml:space="preserve">Maintenance TOF 5mg or 10mg BD orally </w:t>
      </w:r>
    </w:p>
    <w:p w:rsidR="009F1C7B" w:rsidRPr="002D4988" w:rsidRDefault="009F1C7B" w:rsidP="009F1C7B">
      <w:pPr>
        <w:pStyle w:val="ListParagraph"/>
        <w:numPr>
          <w:ilvl w:val="0"/>
          <w:numId w:val="11"/>
        </w:numPr>
        <w:rPr>
          <w:snapToGrid/>
        </w:rPr>
      </w:pPr>
      <w:r w:rsidRPr="002D4988">
        <w:rPr>
          <w:rFonts w:cstheme="minorHAnsi"/>
          <w:snapToGrid/>
        </w:rPr>
        <w:t>≡</w:t>
      </w:r>
      <w:r w:rsidRPr="002D4988">
        <w:rPr>
          <w:snapToGrid/>
        </w:rPr>
        <w:t xml:space="preserve"> IFX 5 mg/kg IV every 8 weeks from week 14 </w:t>
      </w:r>
    </w:p>
    <w:p w:rsidR="009F1C7B" w:rsidRPr="002D4988" w:rsidRDefault="009F1C7B" w:rsidP="009F1C7B">
      <w:pPr>
        <w:pStyle w:val="ListParagraph"/>
        <w:numPr>
          <w:ilvl w:val="0"/>
          <w:numId w:val="11"/>
        </w:numPr>
        <w:rPr>
          <w:snapToGrid/>
        </w:rPr>
      </w:pPr>
      <w:r w:rsidRPr="002D4988">
        <w:rPr>
          <w:rFonts w:cstheme="minorHAnsi"/>
          <w:snapToGrid/>
        </w:rPr>
        <w:t>≡</w:t>
      </w:r>
      <w:r w:rsidRPr="002D4988">
        <w:rPr>
          <w:snapToGrid/>
        </w:rPr>
        <w:t xml:space="preserve"> VDZ 300 mg IV every 8 weeks from week 14 </w:t>
      </w:r>
    </w:p>
    <w:p w:rsidR="00462C49" w:rsidRPr="002D4988" w:rsidRDefault="009F1C7B" w:rsidP="00E141B0">
      <w:pPr>
        <w:pStyle w:val="ListParagraph"/>
        <w:numPr>
          <w:ilvl w:val="0"/>
          <w:numId w:val="11"/>
        </w:numPr>
        <w:rPr>
          <w:snapToGrid/>
        </w:rPr>
      </w:pPr>
      <w:r w:rsidRPr="002D4988">
        <w:rPr>
          <w:rFonts w:cstheme="minorHAnsi"/>
          <w:snapToGrid/>
        </w:rPr>
        <w:t xml:space="preserve">≡ </w:t>
      </w:r>
      <w:r w:rsidRPr="002D4988">
        <w:rPr>
          <w:snapToGrid/>
        </w:rPr>
        <w:t>GOL 100 mg SC every 4 weeks from week 6.</w:t>
      </w:r>
    </w:p>
    <w:p w:rsidR="00C52361" w:rsidRPr="002D4988" w:rsidRDefault="009F1C7B" w:rsidP="003D628B">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t>The PBAC noted the comments from patients, clinicians and organisations highlighted the need for additional treatments for MSUC</w:t>
      </w:r>
      <w:r w:rsidR="002D4988">
        <w:rPr>
          <w:rFonts w:asciiTheme="minorHAnsi" w:hAnsiTheme="minorHAnsi"/>
          <w:bCs/>
          <w:snapToGrid w:val="0"/>
        </w:rPr>
        <w:t xml:space="preserve">. </w:t>
      </w:r>
      <w:r w:rsidR="003D628B" w:rsidRPr="002D4988">
        <w:rPr>
          <w:rFonts w:asciiTheme="minorHAnsi" w:hAnsiTheme="minorHAnsi"/>
          <w:bCs/>
          <w:snapToGrid w:val="0"/>
        </w:rPr>
        <w:t xml:space="preserve">The PBAC reaffirmed its view expressed at its March 2019 meeting </w:t>
      </w:r>
      <w:r w:rsidR="00217EF4" w:rsidRPr="002D4988">
        <w:rPr>
          <w:rFonts w:asciiTheme="minorHAnsi" w:hAnsiTheme="minorHAnsi"/>
          <w:bCs/>
          <w:snapToGrid w:val="0"/>
        </w:rPr>
        <w:t>that</w:t>
      </w:r>
      <w:r w:rsidR="003D628B" w:rsidRPr="002D4988">
        <w:rPr>
          <w:rFonts w:asciiTheme="minorHAnsi" w:hAnsiTheme="minorHAnsi"/>
          <w:bCs/>
          <w:snapToGrid w:val="0"/>
        </w:rPr>
        <w:t xml:space="preserve"> there was a clinical place for TOF for MSUC and that an oral therapy would provide a new treatment option for some patients, particularly those in rural or remote areas.</w:t>
      </w:r>
    </w:p>
    <w:p w:rsidR="00F84300" w:rsidRPr="002D4988" w:rsidRDefault="00325775" w:rsidP="00F84300">
      <w:pPr>
        <w:pStyle w:val="3-BodyText"/>
        <w:widowControl w:val="0"/>
        <w:numPr>
          <w:ilvl w:val="1"/>
          <w:numId w:val="1"/>
        </w:numPr>
      </w:pPr>
      <w:r w:rsidRPr="002D4988">
        <w:t>T</w:t>
      </w:r>
      <w:r w:rsidR="002F5934" w:rsidRPr="002D4988">
        <w:t>he PBAC agreed</w:t>
      </w:r>
      <w:r w:rsidRPr="002D4988">
        <w:t xml:space="preserve"> the nominated </w:t>
      </w:r>
      <w:r w:rsidR="00217EF4" w:rsidRPr="002D4988">
        <w:t>alternative therapies (</w:t>
      </w:r>
      <w:r w:rsidRPr="002D4988">
        <w:t>comparators</w:t>
      </w:r>
      <w:r w:rsidR="00217EF4" w:rsidRPr="002D4988">
        <w:t>)</w:t>
      </w:r>
      <w:r w:rsidRPr="002D4988">
        <w:t xml:space="preserve"> of IFX,</w:t>
      </w:r>
      <w:r w:rsidR="002F5934" w:rsidRPr="002D4988">
        <w:t xml:space="preserve"> GOL, VED and ADA were reasonable, however did not accept the weighted comparator approach used in the submission</w:t>
      </w:r>
      <w:r w:rsidR="00F84300">
        <w:t>.</w:t>
      </w:r>
      <w:r w:rsidR="00B8227B">
        <w:t xml:space="preserve"> </w:t>
      </w:r>
      <w:r w:rsidR="00F84300" w:rsidRPr="002D4988">
        <w:t>The PBAC noted the approach taken by the submission to separate the MSUC population into TNFi naïve and TNFi experienced patients was inconsistent with both the requested listing and the manner in which other biologic therapies for MSUC are PBS listed. Further, the submission did not identify any specific population(s) that could not use one or more of the potential alternative treatments; therefore, the PBAC considered the submission’s weighted comparator approach was not adequately justified.</w:t>
      </w:r>
    </w:p>
    <w:p w:rsidR="00563A5B" w:rsidRPr="002D4988" w:rsidRDefault="0073678E" w:rsidP="00863D64">
      <w:pPr>
        <w:pStyle w:val="3-BodyText"/>
        <w:widowControl w:val="0"/>
        <w:numPr>
          <w:ilvl w:val="1"/>
          <w:numId w:val="1"/>
        </w:numPr>
        <w:rPr>
          <w:bCs/>
        </w:rPr>
      </w:pPr>
      <w:r w:rsidRPr="002D4988">
        <w:rPr>
          <w:bCs/>
        </w:rPr>
        <w:t xml:space="preserve">The PBAC noted the addition of two </w:t>
      </w:r>
      <w:r w:rsidR="00E141B0" w:rsidRPr="002D4988">
        <w:rPr>
          <w:bCs/>
        </w:rPr>
        <w:t xml:space="preserve">new </w:t>
      </w:r>
      <w:r w:rsidRPr="002D4988">
        <w:rPr>
          <w:bCs/>
        </w:rPr>
        <w:t>VED trials (Motoya 2019 and Sandborn 2020) and further noted the exclusion of three trials included in the original submission (GOL: PURSUIT-J; ADA: Suzuki 2014; IFX: Kobayashi 2016) and considered their exclusion was inadequately justified</w:t>
      </w:r>
      <w:r w:rsidR="008F2216" w:rsidRPr="002D4988">
        <w:rPr>
          <w:bCs/>
        </w:rPr>
        <w:t xml:space="preserve">. </w:t>
      </w:r>
    </w:p>
    <w:p w:rsidR="00C52361" w:rsidRPr="002D4988" w:rsidRDefault="0073678E" w:rsidP="00863D64">
      <w:pPr>
        <w:pStyle w:val="3-BodyText"/>
        <w:widowControl w:val="0"/>
        <w:numPr>
          <w:ilvl w:val="1"/>
          <w:numId w:val="1"/>
        </w:numPr>
        <w:rPr>
          <w:bCs/>
        </w:rPr>
      </w:pPr>
      <w:r w:rsidRPr="002D4988">
        <w:rPr>
          <w:bCs/>
        </w:rPr>
        <w:t xml:space="preserve">The PBAC noted the main differences between the March 2019 submission and </w:t>
      </w:r>
      <w:r w:rsidR="00563A5B" w:rsidRPr="002D4988">
        <w:rPr>
          <w:bCs/>
        </w:rPr>
        <w:t xml:space="preserve">the </w:t>
      </w:r>
      <w:r w:rsidRPr="002D4988">
        <w:rPr>
          <w:bCs/>
        </w:rPr>
        <w:t xml:space="preserve">resubmission was the inclusion of new subgroup analyses based on </w:t>
      </w:r>
      <w:r w:rsidR="00B11928" w:rsidRPr="002D4988">
        <w:rPr>
          <w:bCs/>
        </w:rPr>
        <w:t>TNFi</w:t>
      </w:r>
      <w:r w:rsidRPr="002D4988">
        <w:rPr>
          <w:bCs/>
        </w:rPr>
        <w:t xml:space="preserve"> naïve/experienced status</w:t>
      </w:r>
      <w:r w:rsidR="00F67607" w:rsidRPr="002D4988">
        <w:rPr>
          <w:bCs/>
        </w:rPr>
        <w:t xml:space="preserve">, alongside the previous </w:t>
      </w:r>
      <w:r w:rsidR="00563A5B" w:rsidRPr="002D4988">
        <w:rPr>
          <w:bCs/>
        </w:rPr>
        <w:t>ITT analyses</w:t>
      </w:r>
      <w:r w:rsidR="00F67607" w:rsidRPr="002D4988">
        <w:rPr>
          <w:bCs/>
        </w:rPr>
        <w:t>;</w:t>
      </w:r>
      <w:r w:rsidRPr="002D4988">
        <w:rPr>
          <w:bCs/>
        </w:rPr>
        <w:t xml:space="preserve"> and changes to the statistical approac</w:t>
      </w:r>
      <w:r w:rsidR="008F2216" w:rsidRPr="002D4988">
        <w:rPr>
          <w:bCs/>
        </w:rPr>
        <w:t>h to use a random effects model</w:t>
      </w:r>
      <w:r w:rsidRPr="002D4988">
        <w:rPr>
          <w:bCs/>
        </w:rPr>
        <w:t xml:space="preserve"> rather than a fixed effects model</w:t>
      </w:r>
      <w:r w:rsidR="008F2216" w:rsidRPr="002D4988">
        <w:rPr>
          <w:bCs/>
        </w:rPr>
        <w:t xml:space="preserve"> in the indirect comparisons</w:t>
      </w:r>
      <w:r w:rsidRPr="002D4988">
        <w:rPr>
          <w:bCs/>
        </w:rPr>
        <w:t xml:space="preserve">. The PBAC considered this change in statistical approach likely accounted for the observed differences in the ITT analyses between the March 2019 submission and </w:t>
      </w:r>
      <w:r w:rsidR="00563A5B" w:rsidRPr="002D4988">
        <w:rPr>
          <w:bCs/>
        </w:rPr>
        <w:t xml:space="preserve">the </w:t>
      </w:r>
      <w:r w:rsidRPr="002D4988">
        <w:rPr>
          <w:bCs/>
        </w:rPr>
        <w:t>resubmission.</w:t>
      </w:r>
      <w:r w:rsidR="00563A5B" w:rsidRPr="002D4988">
        <w:rPr>
          <w:bCs/>
        </w:rPr>
        <w:t xml:space="preserve"> T</w:t>
      </w:r>
      <w:r w:rsidR="004A7C6F" w:rsidRPr="002D4988">
        <w:rPr>
          <w:bCs/>
        </w:rPr>
        <w:t xml:space="preserve">he PBAC noted comparisons in the maintenance phase were unable to be undertaken between TOF and IFX or ADA due </w:t>
      </w:r>
      <w:r w:rsidR="004A7C6F" w:rsidRPr="002D4988">
        <w:rPr>
          <w:bCs/>
        </w:rPr>
        <w:lastRenderedPageBreak/>
        <w:t>to substantial differences in the trial designs.</w:t>
      </w:r>
      <w:r w:rsidR="003F3C65" w:rsidRPr="002D4988">
        <w:rPr>
          <w:bCs/>
        </w:rPr>
        <w:t xml:space="preserve"> </w:t>
      </w:r>
    </w:p>
    <w:p w:rsidR="00563A5B" w:rsidRPr="002D4988" w:rsidRDefault="002A310F" w:rsidP="004A1E3F">
      <w:pPr>
        <w:pStyle w:val="3-BodyText"/>
      </w:pPr>
      <w:r w:rsidRPr="002D4988">
        <w:t>The PBAC considered the ITT analyses were the most appropriate basis to consider the comparative effectiveness of TOF</w:t>
      </w:r>
      <w:r w:rsidR="004A1E3F">
        <w:t>,</w:t>
      </w:r>
      <w:r w:rsidR="00580A62" w:rsidRPr="002D4988">
        <w:t xml:space="preserve"> </w:t>
      </w:r>
      <w:r w:rsidR="004A1E3F" w:rsidRPr="002D4988">
        <w:t xml:space="preserve">given both the requested listing for TOF and the current biologic therapy listings for MSUC are line-agnostic and allow for any sequence of therapies within a treatment cycle. </w:t>
      </w:r>
      <w:r w:rsidRPr="002D4988">
        <w:t>.</w:t>
      </w:r>
      <w:r w:rsidR="007D465C" w:rsidRPr="002D4988">
        <w:t xml:space="preserve"> </w:t>
      </w:r>
      <w:r w:rsidR="008F2216" w:rsidRPr="002D4988">
        <w:t>The</w:t>
      </w:r>
      <w:r w:rsidR="007D465C" w:rsidRPr="002D4988">
        <w:t xml:space="preserve"> PBAC</w:t>
      </w:r>
      <w:r w:rsidR="008F2216" w:rsidRPr="002D4988">
        <w:t xml:space="preserve"> also</w:t>
      </w:r>
      <w:r w:rsidR="007D465C" w:rsidRPr="002D4988">
        <w:t xml:space="preserve"> reaffirmed its view expressed at its March 2019 meeting that relative risk (RR) may</w:t>
      </w:r>
      <w:r w:rsidR="008F2216" w:rsidRPr="002D4988">
        <w:t xml:space="preserve"> be a</w:t>
      </w:r>
      <w:r w:rsidR="007D465C" w:rsidRPr="002D4988">
        <w:t xml:space="preserve"> </w:t>
      </w:r>
      <w:r w:rsidR="007D465C" w:rsidRPr="004A1E3F">
        <w:rPr>
          <w:bCs/>
          <w:iCs w:val="0"/>
        </w:rPr>
        <w:t>more appropriate measure than risk difference (RD) because placebo responses differed across the trials</w:t>
      </w:r>
      <w:r w:rsidR="00563A5B" w:rsidRPr="004A1E3F">
        <w:rPr>
          <w:bCs/>
          <w:iCs w:val="0"/>
        </w:rPr>
        <w:t xml:space="preserve">. The PBAC </w:t>
      </w:r>
      <w:r w:rsidR="007D465C" w:rsidRPr="002D4988">
        <w:t xml:space="preserve">considered </w:t>
      </w:r>
      <w:r w:rsidR="00563A5B" w:rsidRPr="002D4988">
        <w:t xml:space="preserve">that </w:t>
      </w:r>
      <w:r w:rsidR="008F2216" w:rsidRPr="002D4988">
        <w:t>the results of</w:t>
      </w:r>
      <w:r w:rsidR="007D465C" w:rsidRPr="002D4988">
        <w:t xml:space="preserve"> </w:t>
      </w:r>
      <w:r w:rsidR="00563A5B" w:rsidRPr="002D4988">
        <w:t xml:space="preserve">the </w:t>
      </w:r>
      <w:r w:rsidR="007D465C" w:rsidRPr="002D4988">
        <w:t xml:space="preserve">analyses which achieved a statistically significant result for RD but not for RR should be interpreted with caution. </w:t>
      </w:r>
    </w:p>
    <w:p w:rsidR="003759A2" w:rsidRPr="002D4988" w:rsidRDefault="00563A5B" w:rsidP="007D465C">
      <w:pPr>
        <w:pStyle w:val="3-BodyText"/>
      </w:pPr>
      <w:r w:rsidRPr="002D4988">
        <w:t>T</w:t>
      </w:r>
      <w:r w:rsidR="002A310F" w:rsidRPr="002D4988">
        <w:t xml:space="preserve">he PBAC considered the </w:t>
      </w:r>
      <w:r w:rsidR="00B11928" w:rsidRPr="002D4988">
        <w:t>TNFi</w:t>
      </w:r>
      <w:r w:rsidR="002A310F" w:rsidRPr="002D4988">
        <w:t xml:space="preserve"> naïve/experienced subpopulation analyses were </w:t>
      </w:r>
      <w:r w:rsidR="003759A2" w:rsidRPr="002D4988">
        <w:t>problematic for a number of reasons, including:</w:t>
      </w:r>
    </w:p>
    <w:p w:rsidR="001A69CF" w:rsidRPr="002D4988" w:rsidRDefault="003759A2" w:rsidP="003759A2">
      <w:pPr>
        <w:pStyle w:val="ListParagraph"/>
        <w:widowControl w:val="0"/>
        <w:numPr>
          <w:ilvl w:val="0"/>
          <w:numId w:val="22"/>
        </w:numPr>
        <w:ind w:left="1134" w:hanging="366"/>
        <w:rPr>
          <w:bCs/>
        </w:rPr>
      </w:pPr>
      <w:r w:rsidRPr="002D4988">
        <w:rPr>
          <w:bCs/>
        </w:rPr>
        <w:t>T</w:t>
      </w:r>
      <w:r w:rsidR="001A69CF" w:rsidRPr="002D4988">
        <w:rPr>
          <w:bCs/>
        </w:rPr>
        <w:t xml:space="preserve">he comparisons may not be a fair representation of comparative efficacy in patients who are TNF naïve or experienced as </w:t>
      </w:r>
      <w:r w:rsidR="001A69CF" w:rsidRPr="002D4988">
        <w:rPr>
          <w:bCs/>
          <w:i/>
        </w:rPr>
        <w:t>a priori</w:t>
      </w:r>
      <w:r w:rsidR="008F2216" w:rsidRPr="002D4988">
        <w:rPr>
          <w:bCs/>
        </w:rPr>
        <w:t xml:space="preserve"> patients </w:t>
      </w:r>
      <w:r w:rsidR="001A69CF" w:rsidRPr="002D4988">
        <w:rPr>
          <w:bCs/>
        </w:rPr>
        <w:t>who</w:t>
      </w:r>
      <w:r w:rsidR="008F2216" w:rsidRPr="002D4988">
        <w:rPr>
          <w:bCs/>
        </w:rPr>
        <w:t xml:space="preserve"> have</w:t>
      </w:r>
      <w:r w:rsidR="001A69CF" w:rsidRPr="002D4988">
        <w:rPr>
          <w:bCs/>
        </w:rPr>
        <w:t xml:space="preserve"> failed a </w:t>
      </w:r>
      <w:r w:rsidR="00B11928" w:rsidRPr="002D4988">
        <w:rPr>
          <w:bCs/>
        </w:rPr>
        <w:t>TNFi</w:t>
      </w:r>
      <w:r w:rsidR="001A69CF" w:rsidRPr="002D4988">
        <w:rPr>
          <w:bCs/>
        </w:rPr>
        <w:t xml:space="preserve"> would be more likely to respond to TOF, and conversely, patients who have failed TOF (or another JAK inhibitor) would be more likely to respond to a </w:t>
      </w:r>
      <w:r w:rsidR="00B11928" w:rsidRPr="002D4988">
        <w:rPr>
          <w:bCs/>
        </w:rPr>
        <w:t>TNFi</w:t>
      </w:r>
      <w:r w:rsidR="001A69CF" w:rsidRPr="002D4988">
        <w:rPr>
          <w:bCs/>
        </w:rPr>
        <w:t>;</w:t>
      </w:r>
      <w:r w:rsidR="007D465C" w:rsidRPr="002D4988">
        <w:rPr>
          <w:bCs/>
        </w:rPr>
        <w:t xml:space="preserve"> and</w:t>
      </w:r>
    </w:p>
    <w:p w:rsidR="00580A62" w:rsidRPr="002D4988" w:rsidRDefault="001A69CF" w:rsidP="007D465C">
      <w:pPr>
        <w:pStyle w:val="ListParagraph"/>
        <w:widowControl w:val="0"/>
        <w:numPr>
          <w:ilvl w:val="0"/>
          <w:numId w:val="22"/>
        </w:numPr>
        <w:ind w:left="1134" w:hanging="366"/>
        <w:rPr>
          <w:bCs/>
        </w:rPr>
      </w:pPr>
      <w:r w:rsidRPr="002D4988">
        <w:rPr>
          <w:bCs/>
        </w:rPr>
        <w:t xml:space="preserve">The subpopulation analyses would have reduced statistical power as there were potential differences between study populations that may be </w:t>
      </w:r>
      <w:r w:rsidR="00285D5F" w:rsidRPr="002D4988">
        <w:rPr>
          <w:bCs/>
        </w:rPr>
        <w:t>diluted</w:t>
      </w:r>
      <w:r w:rsidRPr="002D4988">
        <w:rPr>
          <w:bCs/>
        </w:rPr>
        <w:t xml:space="preserve"> by reduced sample size and would likely have a higher risk of bias due to increased risks </w:t>
      </w:r>
      <w:r w:rsidR="002435FF" w:rsidRPr="002D4988">
        <w:rPr>
          <w:bCs/>
        </w:rPr>
        <w:t xml:space="preserve">of </w:t>
      </w:r>
      <w:r w:rsidR="00285D5F" w:rsidRPr="002D4988">
        <w:rPr>
          <w:bCs/>
        </w:rPr>
        <w:t>confounding</w:t>
      </w:r>
      <w:r w:rsidR="002435FF" w:rsidRPr="002D4988">
        <w:rPr>
          <w:bCs/>
        </w:rPr>
        <w:t xml:space="preserve"> effects. </w:t>
      </w:r>
    </w:p>
    <w:p w:rsidR="00580A62" w:rsidRPr="002D4988" w:rsidRDefault="002435FF" w:rsidP="003C106B">
      <w:pPr>
        <w:pStyle w:val="3-BodyText"/>
      </w:pPr>
      <w:r w:rsidRPr="002D4988">
        <w:t>Further</w:t>
      </w:r>
      <w:r w:rsidR="001A69CF" w:rsidRPr="002D4988">
        <w:t xml:space="preserve">more, the PBAC noted </w:t>
      </w:r>
      <w:r w:rsidRPr="002D4988">
        <w:t>that</w:t>
      </w:r>
      <w:r w:rsidR="001A69CF" w:rsidRPr="002D4988">
        <w:t xml:space="preserve"> each of the analyses represented a snapsh</w:t>
      </w:r>
      <w:r w:rsidR="005B7CDB" w:rsidRPr="002D4988">
        <w:t xml:space="preserve">ot of a single outcome at a single point in time, and given the additional uncertainties introduced </w:t>
      </w:r>
      <w:r w:rsidR="00DE704E" w:rsidRPr="002D4988">
        <w:t>there was a greater c</w:t>
      </w:r>
      <w:r w:rsidR="008F2216" w:rsidRPr="002D4988">
        <w:t>hance that individual analyses c</w:t>
      </w:r>
      <w:r w:rsidR="00DE704E" w:rsidRPr="002D4988">
        <w:t>ould produce spurious results</w:t>
      </w:r>
      <w:r w:rsidR="008F2216" w:rsidRPr="002D4988">
        <w:t xml:space="preserve"> and the totality of available evidence should be considered</w:t>
      </w:r>
      <w:r w:rsidR="007D465C" w:rsidRPr="002D4988">
        <w:t>.</w:t>
      </w:r>
    </w:p>
    <w:p w:rsidR="00C52361" w:rsidRPr="002D4988" w:rsidRDefault="003A51BB" w:rsidP="00C52361">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t>T</w:t>
      </w:r>
      <w:r w:rsidR="00DE704E" w:rsidRPr="002D4988">
        <w:rPr>
          <w:rFonts w:asciiTheme="minorHAnsi" w:hAnsiTheme="minorHAnsi"/>
          <w:bCs/>
          <w:snapToGrid w:val="0"/>
        </w:rPr>
        <w:t>he PBAC con</w:t>
      </w:r>
      <w:r w:rsidRPr="002D4988">
        <w:rPr>
          <w:rFonts w:asciiTheme="minorHAnsi" w:hAnsiTheme="minorHAnsi"/>
          <w:bCs/>
          <w:snapToGrid w:val="0"/>
        </w:rPr>
        <w:t>sidered the</w:t>
      </w:r>
      <w:r w:rsidR="00DE704E" w:rsidRPr="002D4988">
        <w:rPr>
          <w:rFonts w:asciiTheme="minorHAnsi" w:hAnsiTheme="minorHAnsi"/>
          <w:bCs/>
          <w:snapToGrid w:val="0"/>
        </w:rPr>
        <w:t xml:space="preserve"> results of the</w:t>
      </w:r>
      <w:r w:rsidRPr="002D4988">
        <w:rPr>
          <w:rFonts w:asciiTheme="minorHAnsi" w:hAnsiTheme="minorHAnsi"/>
          <w:bCs/>
          <w:snapToGrid w:val="0"/>
        </w:rPr>
        <w:t xml:space="preserve"> ITT</w:t>
      </w:r>
      <w:r w:rsidR="00DE704E" w:rsidRPr="002D4988">
        <w:rPr>
          <w:rFonts w:asciiTheme="minorHAnsi" w:hAnsiTheme="minorHAnsi"/>
          <w:bCs/>
          <w:snapToGrid w:val="0"/>
        </w:rPr>
        <w:t xml:space="preserve"> analyses support </w:t>
      </w:r>
      <w:r w:rsidRPr="002D4988">
        <w:rPr>
          <w:rFonts w:asciiTheme="minorHAnsi" w:hAnsiTheme="minorHAnsi"/>
          <w:bCs/>
          <w:snapToGrid w:val="0"/>
        </w:rPr>
        <w:t>the conclusion t</w:t>
      </w:r>
      <w:r w:rsidR="00DE704E" w:rsidRPr="002D4988">
        <w:rPr>
          <w:rFonts w:asciiTheme="minorHAnsi" w:hAnsiTheme="minorHAnsi"/>
          <w:bCs/>
          <w:snapToGrid w:val="0"/>
        </w:rPr>
        <w:t>hat</w:t>
      </w:r>
      <w:r w:rsidR="00A67FA9" w:rsidRPr="002D4988">
        <w:rPr>
          <w:rFonts w:asciiTheme="minorHAnsi" w:hAnsiTheme="minorHAnsi"/>
          <w:bCs/>
          <w:snapToGrid w:val="0"/>
        </w:rPr>
        <w:t xml:space="preserve"> TOF</w:t>
      </w:r>
      <w:r w:rsidR="00DE704E" w:rsidRPr="002D4988">
        <w:rPr>
          <w:rFonts w:asciiTheme="minorHAnsi" w:hAnsiTheme="minorHAnsi"/>
          <w:bCs/>
          <w:snapToGrid w:val="0"/>
        </w:rPr>
        <w:t xml:space="preserve"> is likely to be </w:t>
      </w:r>
      <w:r w:rsidR="00A67FA9" w:rsidRPr="002D4988">
        <w:rPr>
          <w:rFonts w:asciiTheme="minorHAnsi" w:hAnsiTheme="minorHAnsi"/>
          <w:bCs/>
          <w:snapToGrid w:val="0"/>
        </w:rPr>
        <w:t>of non-inferior comparative efficacy to IFX, GOL and VED for induction and GOL and VED</w:t>
      </w:r>
      <w:r w:rsidR="00580A62" w:rsidRPr="002D4988">
        <w:rPr>
          <w:rFonts w:asciiTheme="minorHAnsi" w:hAnsiTheme="minorHAnsi"/>
          <w:bCs/>
          <w:snapToGrid w:val="0"/>
        </w:rPr>
        <w:t xml:space="preserve"> (and by inference IFX)</w:t>
      </w:r>
      <w:r w:rsidR="00A67FA9" w:rsidRPr="002D4988">
        <w:rPr>
          <w:rFonts w:asciiTheme="minorHAnsi" w:hAnsiTheme="minorHAnsi"/>
          <w:bCs/>
          <w:snapToGrid w:val="0"/>
        </w:rPr>
        <w:t xml:space="preserve"> for maintenance therapy</w:t>
      </w:r>
      <w:r w:rsidR="002E0FCC" w:rsidRPr="002D4988">
        <w:rPr>
          <w:rFonts w:asciiTheme="minorHAnsi" w:hAnsiTheme="minorHAnsi"/>
          <w:bCs/>
          <w:snapToGrid w:val="0"/>
        </w:rPr>
        <w:t xml:space="preserve">. </w:t>
      </w:r>
    </w:p>
    <w:p w:rsidR="00C52361" w:rsidRPr="002D4988" w:rsidRDefault="00964317" w:rsidP="00C52361">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t>The PBAC noted no new safety information was provided and reaffirmed its</w:t>
      </w:r>
      <w:r w:rsidR="003A51BB" w:rsidRPr="002D4988">
        <w:rPr>
          <w:rFonts w:asciiTheme="minorHAnsi" w:hAnsiTheme="minorHAnsi"/>
          <w:bCs/>
          <w:snapToGrid w:val="0"/>
        </w:rPr>
        <w:t xml:space="preserve"> March 201</w:t>
      </w:r>
      <w:r w:rsidR="00F67607" w:rsidRPr="002D4988">
        <w:rPr>
          <w:rFonts w:asciiTheme="minorHAnsi" w:hAnsiTheme="minorHAnsi"/>
          <w:bCs/>
          <w:snapToGrid w:val="0"/>
        </w:rPr>
        <w:t>9</w:t>
      </w:r>
      <w:r w:rsidRPr="002D4988">
        <w:rPr>
          <w:rFonts w:asciiTheme="minorHAnsi" w:hAnsiTheme="minorHAnsi"/>
          <w:bCs/>
          <w:snapToGrid w:val="0"/>
        </w:rPr>
        <w:t xml:space="preserve"> view that the claim of non-inferior comparative safety to IFX may be reasonable.</w:t>
      </w:r>
    </w:p>
    <w:p w:rsidR="00C52361" w:rsidRPr="002D4988" w:rsidRDefault="00B51D17" w:rsidP="00C52361">
      <w:pPr>
        <w:widowControl w:val="0"/>
        <w:numPr>
          <w:ilvl w:val="1"/>
          <w:numId w:val="1"/>
        </w:numPr>
        <w:spacing w:after="120"/>
      </w:pPr>
      <w:r w:rsidRPr="002D4988">
        <w:rPr>
          <w:rFonts w:asciiTheme="minorHAnsi" w:hAnsiTheme="minorHAnsi"/>
          <w:bCs/>
          <w:snapToGrid w:val="0"/>
        </w:rPr>
        <w:t xml:space="preserve">The PBAC considered the </w:t>
      </w:r>
      <w:r w:rsidR="003A51BB" w:rsidRPr="002D4988">
        <w:rPr>
          <w:rFonts w:asciiTheme="minorHAnsi" w:hAnsiTheme="minorHAnsi"/>
          <w:bCs/>
          <w:snapToGrid w:val="0"/>
        </w:rPr>
        <w:t xml:space="preserve">submission’s </w:t>
      </w:r>
      <w:r w:rsidRPr="002D4988">
        <w:rPr>
          <w:rFonts w:asciiTheme="minorHAnsi" w:hAnsiTheme="minorHAnsi"/>
          <w:bCs/>
          <w:snapToGrid w:val="0"/>
        </w:rPr>
        <w:t>argument that the listing of TOF for MSUC would lead to a net save to the PBS w</w:t>
      </w:r>
      <w:r w:rsidR="003A51BB" w:rsidRPr="002D4988">
        <w:rPr>
          <w:rFonts w:asciiTheme="minorHAnsi" w:hAnsiTheme="minorHAnsi"/>
          <w:bCs/>
          <w:snapToGrid w:val="0"/>
        </w:rPr>
        <w:t>as</w:t>
      </w:r>
      <w:r w:rsidRPr="002D4988">
        <w:rPr>
          <w:rFonts w:asciiTheme="minorHAnsi" w:hAnsiTheme="minorHAnsi"/>
          <w:bCs/>
          <w:snapToGrid w:val="0"/>
        </w:rPr>
        <w:t xml:space="preserve"> poorly justified. Specifically, the PBAC did not accept the assumptions in the submission that increased market growth rates due to the listing of TOF should not be counted as additional PBS costs and also did not consider the assumption of reduced compliance in the resubmission (89%, down from 100% in the March 2019 submission) was reasonable. The PBAC considered, however, that under the parameters of its recommended listing on a cost minimisation with the least costly of IFX, GOL and VED that the listing of TOF would likely be cost neutral to the PBS or result in a modest net save as it will predominantly replace therapies that are either of equivalent cost or more expensive.</w:t>
      </w:r>
    </w:p>
    <w:p w:rsidR="00C52361" w:rsidRPr="002D4988" w:rsidRDefault="00C52361" w:rsidP="00C52361">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lastRenderedPageBreak/>
        <w:t xml:space="preserve">The PBAC noted the flow-on </w:t>
      </w:r>
      <w:r w:rsidR="00167E44" w:rsidRPr="002D4988">
        <w:rPr>
          <w:rFonts w:asciiTheme="minorHAnsi" w:hAnsiTheme="minorHAnsi"/>
          <w:bCs/>
          <w:snapToGrid w:val="0"/>
        </w:rPr>
        <w:t xml:space="preserve">restriction changes to the listings of other biologics for MSUC to include TOF in the list of </w:t>
      </w:r>
      <w:r w:rsidR="004B40E2" w:rsidRPr="002D4988">
        <w:rPr>
          <w:rFonts w:asciiTheme="minorHAnsi" w:hAnsiTheme="minorHAnsi"/>
          <w:bCs/>
          <w:snapToGrid w:val="0"/>
        </w:rPr>
        <w:t xml:space="preserve">eligible </w:t>
      </w:r>
      <w:r w:rsidR="003A51BB" w:rsidRPr="002D4988">
        <w:rPr>
          <w:rFonts w:asciiTheme="minorHAnsi" w:hAnsiTheme="minorHAnsi"/>
          <w:bCs/>
          <w:snapToGrid w:val="0"/>
        </w:rPr>
        <w:t xml:space="preserve">biologic therapies </w:t>
      </w:r>
      <w:r w:rsidR="004B40E2" w:rsidRPr="002D4988">
        <w:rPr>
          <w:rFonts w:asciiTheme="minorHAnsi" w:hAnsiTheme="minorHAnsi"/>
          <w:bCs/>
          <w:snapToGrid w:val="0"/>
        </w:rPr>
        <w:t>as part of a treatment cycle</w:t>
      </w:r>
      <w:r w:rsidRPr="002D4988">
        <w:rPr>
          <w:rFonts w:asciiTheme="minorHAnsi" w:hAnsiTheme="minorHAnsi"/>
          <w:bCs/>
          <w:snapToGrid w:val="0"/>
        </w:rPr>
        <w:t xml:space="preserve">. </w:t>
      </w:r>
    </w:p>
    <w:p w:rsidR="00563A5B" w:rsidRPr="002D4988" w:rsidRDefault="00563A5B" w:rsidP="00563A5B">
      <w:pPr>
        <w:widowControl w:val="0"/>
        <w:numPr>
          <w:ilvl w:val="1"/>
          <w:numId w:val="1"/>
        </w:numPr>
        <w:spacing w:after="120"/>
        <w:rPr>
          <w:rFonts w:asciiTheme="minorHAnsi" w:hAnsiTheme="minorHAnsi"/>
          <w:bCs/>
          <w:snapToGrid w:val="0"/>
        </w:rPr>
      </w:pPr>
      <w:r w:rsidRPr="002D4988">
        <w:rPr>
          <w:rFonts w:asciiTheme="minorHAnsi" w:hAnsiTheme="minorHAnsi"/>
          <w:bCs/>
          <w:snapToGrid w:val="0"/>
        </w:rPr>
        <w:t>The PBAC reaffirmed its view expressed at its March 2019 meeting that TOF, as the only oral therapy option for MSUC, has unique characteristics compared to the other available therapies for the purposes of the criterion 2 of the Special Pricing Arrangement (SPA) criteria.</w:t>
      </w:r>
    </w:p>
    <w:p w:rsidR="00C52361" w:rsidRPr="002D4988" w:rsidRDefault="00C52361" w:rsidP="002435FF">
      <w:pPr>
        <w:pStyle w:val="3-BodyText"/>
        <w:rPr>
          <w:rFonts w:cstheme="minorHAnsi"/>
        </w:rPr>
      </w:pPr>
      <w:r w:rsidRPr="002D4988">
        <w:t>The PBAC noted that its recommendation was on a cost-minimisation basis and</w:t>
      </w:r>
      <w:r w:rsidR="00167E44" w:rsidRPr="002D4988">
        <w:t xml:space="preserve"> advised that, because TOF</w:t>
      </w:r>
      <w:r w:rsidRPr="002D4988">
        <w:t xml:space="preserve"> is not expected to provide a substantial and clinically relevant improvement in efficacy, or reduction of toxicity, ove</w:t>
      </w:r>
      <w:r w:rsidR="00167E44" w:rsidRPr="002D4988">
        <w:t>r IFX, GOL or VED</w:t>
      </w:r>
      <w:r w:rsidRPr="002D4988">
        <w:t xml:space="preserve">, or not expected to address a high and urgent unmet clinical need given the presence of an alternative therapy, the criteria prescribed by the </w:t>
      </w:r>
      <w:r w:rsidRPr="00300499">
        <w:rPr>
          <w:i/>
        </w:rPr>
        <w:t>National Health (Pharmaceuticals and Vaccines – Cost Recovery) Regulations 2009</w:t>
      </w:r>
      <w:r w:rsidRPr="002D4988">
        <w:t xml:space="preserve"> for Pricing Pathway A were not met.</w:t>
      </w:r>
    </w:p>
    <w:p w:rsidR="00167E44" w:rsidRPr="002D4988" w:rsidRDefault="00C52361" w:rsidP="002435FF">
      <w:pPr>
        <w:pStyle w:val="3-BodyText"/>
        <w:rPr>
          <w:b/>
        </w:rPr>
      </w:pPr>
      <w:r w:rsidRPr="002D4988">
        <w:t>The PBA</w:t>
      </w:r>
      <w:r w:rsidR="00167E44" w:rsidRPr="002D4988">
        <w:t xml:space="preserve">C noted that this submission </w:t>
      </w:r>
      <w:r w:rsidRPr="002D4988">
        <w:t>is not eligible for an Independent Review</w:t>
      </w:r>
      <w:r w:rsidR="00167E44" w:rsidRPr="002D4988">
        <w:t xml:space="preserve"> as it received a positive recommendation</w:t>
      </w:r>
      <w:r w:rsidRPr="002D4988">
        <w:t xml:space="preserve">. </w:t>
      </w:r>
    </w:p>
    <w:p w:rsidR="00C52361" w:rsidRPr="002D4988" w:rsidRDefault="00C52361" w:rsidP="00052077">
      <w:pPr>
        <w:widowControl w:val="0"/>
        <w:spacing w:after="120"/>
        <w:rPr>
          <w:rFonts w:asciiTheme="minorHAnsi" w:hAnsiTheme="minorHAnsi"/>
          <w:b/>
          <w:bCs/>
          <w:snapToGrid w:val="0"/>
        </w:rPr>
      </w:pPr>
      <w:r w:rsidRPr="002D4988">
        <w:rPr>
          <w:rFonts w:asciiTheme="minorHAnsi" w:hAnsiTheme="minorHAnsi"/>
          <w:b/>
          <w:bCs/>
          <w:snapToGrid w:val="0"/>
        </w:rPr>
        <w:t>Outcome:</w:t>
      </w:r>
      <w:r w:rsidR="00167E44" w:rsidRPr="002D4988">
        <w:rPr>
          <w:rFonts w:asciiTheme="minorHAnsi" w:hAnsiTheme="minorHAnsi"/>
          <w:b/>
          <w:bCs/>
          <w:snapToGrid w:val="0"/>
        </w:rPr>
        <w:t xml:space="preserve"> </w:t>
      </w:r>
      <w:r w:rsidR="00167E44" w:rsidRPr="002D4988">
        <w:rPr>
          <w:rFonts w:asciiTheme="minorHAnsi" w:hAnsiTheme="minorHAnsi"/>
          <w:b/>
          <w:bCs/>
          <w:snapToGrid w:val="0"/>
        </w:rPr>
        <w:br/>
      </w:r>
      <w:r w:rsidRPr="002D4988">
        <w:rPr>
          <w:rFonts w:asciiTheme="minorHAnsi" w:hAnsiTheme="minorHAnsi"/>
          <w:bCs/>
          <w:snapToGrid w:val="0"/>
        </w:rPr>
        <w:t>R</w:t>
      </w:r>
      <w:r w:rsidR="00167E44" w:rsidRPr="002D4988">
        <w:rPr>
          <w:rFonts w:asciiTheme="minorHAnsi" w:hAnsiTheme="minorHAnsi"/>
          <w:bCs/>
          <w:snapToGrid w:val="0"/>
        </w:rPr>
        <w:t>ecommended</w:t>
      </w:r>
    </w:p>
    <w:p w:rsidR="00C52361" w:rsidRPr="002D4988" w:rsidRDefault="00C52361" w:rsidP="002435FF">
      <w:pPr>
        <w:pStyle w:val="2-SectionHeading"/>
        <w:rPr>
          <w:i/>
        </w:rPr>
      </w:pPr>
      <w:r w:rsidRPr="002D4988">
        <w:t>Recommended listing</w:t>
      </w:r>
    </w:p>
    <w:p w:rsidR="006723FD" w:rsidRPr="002D4988" w:rsidRDefault="00C52361" w:rsidP="002435FF">
      <w:pPr>
        <w:widowControl w:val="0"/>
        <w:numPr>
          <w:ilvl w:val="1"/>
          <w:numId w:val="1"/>
        </w:numPr>
        <w:spacing w:after="120"/>
        <w:rPr>
          <w:rFonts w:asciiTheme="minorHAnsi" w:hAnsiTheme="minorHAnsi"/>
          <w:b/>
          <w:bCs/>
          <w:snapToGrid w:val="0"/>
        </w:rPr>
      </w:pPr>
      <w:r w:rsidRPr="002D4988">
        <w:rPr>
          <w:rFonts w:asciiTheme="minorHAnsi" w:hAnsiTheme="minorHAnsi"/>
          <w:bCs/>
          <w:snapToGrid w:val="0"/>
        </w:rPr>
        <w:t xml:space="preserve">Add </w:t>
      </w:r>
      <w:r w:rsidR="00F24E03" w:rsidRPr="002D4988">
        <w:rPr>
          <w:rFonts w:asciiTheme="minorHAnsi" w:hAnsiTheme="minorHAnsi"/>
          <w:bCs/>
          <w:snapToGrid w:val="0"/>
        </w:rPr>
        <w:t xml:space="preserve">indication </w:t>
      </w:r>
      <w:r w:rsidR="006723FD" w:rsidRPr="002D4988">
        <w:rPr>
          <w:rFonts w:asciiTheme="minorHAnsi" w:hAnsiTheme="minorHAnsi"/>
          <w:bCs/>
          <w:snapToGrid w:val="0"/>
        </w:rPr>
        <w:t>(</w:t>
      </w:r>
      <w:r w:rsidR="00F24E03" w:rsidRPr="002D4988">
        <w:rPr>
          <w:rFonts w:asciiTheme="minorHAnsi" w:hAnsiTheme="minorHAnsi"/>
          <w:bCs/>
          <w:snapToGrid w:val="0"/>
        </w:rPr>
        <w:t xml:space="preserve">intent is </w:t>
      </w:r>
      <w:r w:rsidR="006723FD" w:rsidRPr="002D4988">
        <w:rPr>
          <w:rFonts w:asciiTheme="minorHAnsi" w:hAnsiTheme="minorHAnsi"/>
          <w:bCs/>
          <w:snapToGrid w:val="0"/>
        </w:rPr>
        <w:t xml:space="preserve">unchanged from </w:t>
      </w:r>
      <w:r w:rsidR="00F24E03" w:rsidRPr="002D4988">
        <w:rPr>
          <w:rFonts w:asciiTheme="minorHAnsi" w:hAnsiTheme="minorHAnsi"/>
          <w:bCs/>
          <w:snapToGrid w:val="0"/>
        </w:rPr>
        <w:t xml:space="preserve">the </w:t>
      </w:r>
      <w:r w:rsidR="006723FD" w:rsidRPr="002D4988">
        <w:rPr>
          <w:rFonts w:asciiTheme="minorHAnsi" w:hAnsiTheme="minorHAnsi"/>
          <w:bCs/>
          <w:snapToGrid w:val="0"/>
        </w:rPr>
        <w:t>March 2019 recommended listing</w:t>
      </w:r>
      <w:r w:rsidR="00F24E03" w:rsidRPr="002D4988">
        <w:rPr>
          <w:rFonts w:asciiTheme="minorHAnsi" w:hAnsiTheme="minorHAnsi"/>
          <w:bCs/>
          <w:snapToGrid w:val="0"/>
        </w:rPr>
        <w:t>, but is updated for administrative aspects – ‘Services Australia’ in place of ‘Department of Human Services’; inclusion of electronic upload of documents option in addition to postal service</w:t>
      </w:r>
      <w:r w:rsidR="006723FD" w:rsidRPr="002D4988">
        <w:rPr>
          <w:rFonts w:asciiTheme="minorHAnsi" w:hAnsiTheme="minorHAnsi"/>
          <w:bCs/>
          <w:snapToGrid w:val="0"/>
        </w:rPr>
        <w:t>)</w:t>
      </w:r>
      <w:r w:rsidRPr="002D4988">
        <w:rPr>
          <w:rFonts w:asciiTheme="minorHAnsi" w:hAnsiTheme="minorHAnsi"/>
          <w:bCs/>
          <w:snapToGrid w:val="0"/>
        </w:rPr>
        <w:t>:</w:t>
      </w:r>
    </w:p>
    <w:tbl>
      <w:tblPr>
        <w:tblStyle w:val="PlainTabl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330"/>
        <w:gridCol w:w="827"/>
        <w:gridCol w:w="965"/>
        <w:gridCol w:w="742"/>
        <w:gridCol w:w="1216"/>
        <w:gridCol w:w="1937"/>
      </w:tblGrid>
      <w:tr w:rsidR="000104D6" w:rsidRPr="002D4988" w:rsidTr="00C9724B">
        <w:trPr>
          <w:cnfStyle w:val="100000000000" w:firstRow="1" w:lastRow="0" w:firstColumn="0" w:lastColumn="0" w:oddVBand="0" w:evenVBand="0" w:oddHBand="0" w:evenHBand="0" w:firstRowFirstColumn="0" w:firstRowLastColumn="0" w:lastRowFirstColumn="0" w:lastRowLastColumn="0"/>
          <w:tblHeader/>
        </w:trPr>
        <w:tc>
          <w:tcPr>
            <w:tcW w:w="1848" w:type="pct"/>
            <w:tcBorders>
              <w:top w:val="single" w:sz="4" w:space="0" w:color="auto"/>
              <w:left w:val="single" w:sz="4" w:space="0" w:color="auto"/>
              <w:right w:val="single" w:sz="4" w:space="0" w:color="auto"/>
            </w:tcBorders>
            <w:hideMark/>
          </w:tcPr>
          <w:p w:rsidR="000104D6" w:rsidRPr="002D4988" w:rsidRDefault="00F24E03" w:rsidP="00F24E03">
            <w:pPr>
              <w:keepNext/>
              <w:spacing w:before="40" w:after="40"/>
              <w:rPr>
                <w:rFonts w:ascii="Arial Narrow" w:eastAsia="Calibri" w:hAnsi="Arial Narrow"/>
                <w:sz w:val="18"/>
                <w:szCs w:val="18"/>
              </w:rPr>
            </w:pPr>
            <w:r w:rsidRPr="002D4988">
              <w:rPr>
                <w:rFonts w:ascii="Arial Narrow" w:eastAsia="Calibri" w:hAnsi="Arial Narrow"/>
                <w:sz w:val="18"/>
                <w:szCs w:val="18"/>
              </w:rPr>
              <w:t>MEDICINAL PRODUCT</w:t>
            </w:r>
          </w:p>
          <w:p w:rsidR="00F24E03" w:rsidRPr="002D4988" w:rsidRDefault="00F24E03" w:rsidP="00F24E03">
            <w:pPr>
              <w:keepNext/>
              <w:spacing w:before="40" w:after="40"/>
              <w:rPr>
                <w:rFonts w:ascii="Arial Narrow" w:eastAsia="Calibri" w:hAnsi="Arial Narrow"/>
                <w:sz w:val="18"/>
                <w:szCs w:val="18"/>
              </w:rPr>
            </w:pPr>
            <w:r w:rsidRPr="002D4988">
              <w:rPr>
                <w:rFonts w:ascii="Arial Narrow" w:eastAsia="Calibri" w:hAnsi="Arial Narrow"/>
                <w:sz w:val="18"/>
                <w:szCs w:val="18"/>
              </w:rPr>
              <w:t>medicinal product pack</w:t>
            </w:r>
          </w:p>
        </w:tc>
        <w:tc>
          <w:tcPr>
            <w:tcW w:w="460" w:type="pct"/>
            <w:tcBorders>
              <w:top w:val="single" w:sz="4" w:space="0" w:color="auto"/>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 xml:space="preserve">Max. Qty </w:t>
            </w:r>
          </w:p>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(packs)</w:t>
            </w:r>
          </w:p>
        </w:tc>
        <w:tc>
          <w:tcPr>
            <w:tcW w:w="537" w:type="pct"/>
            <w:tcBorders>
              <w:top w:val="single" w:sz="4" w:space="0" w:color="auto"/>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Max. Qty</w:t>
            </w:r>
          </w:p>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(units)</w:t>
            </w:r>
          </w:p>
        </w:tc>
        <w:tc>
          <w:tcPr>
            <w:tcW w:w="403" w:type="pct"/>
            <w:tcBorders>
              <w:top w:val="single" w:sz="4" w:space="0" w:color="auto"/>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No. of repeats</w:t>
            </w:r>
          </w:p>
        </w:tc>
        <w:tc>
          <w:tcPr>
            <w:tcW w:w="676" w:type="pct"/>
            <w:tcBorders>
              <w:top w:val="single" w:sz="4" w:space="0" w:color="auto"/>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 xml:space="preserve">PBS item </w:t>
            </w:r>
          </w:p>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code</w:t>
            </w:r>
          </w:p>
        </w:tc>
        <w:tc>
          <w:tcPr>
            <w:tcW w:w="1076" w:type="pct"/>
            <w:tcBorders>
              <w:top w:val="single" w:sz="4" w:space="0" w:color="auto"/>
              <w:left w:val="single" w:sz="4" w:space="0" w:color="auto"/>
              <w:right w:val="single" w:sz="4" w:space="0" w:color="auto"/>
            </w:tcBorders>
            <w:hideMark/>
          </w:tcPr>
          <w:p w:rsidR="000104D6" w:rsidRPr="002D4988" w:rsidRDefault="00F24E03"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Available brands</w:t>
            </w:r>
          </w:p>
        </w:tc>
      </w:tr>
      <w:tr w:rsidR="000104D6" w:rsidRPr="002D4988" w:rsidTr="00C9724B">
        <w:trPr>
          <w:trHeight w:val="642"/>
        </w:trPr>
        <w:tc>
          <w:tcPr>
            <w:tcW w:w="1848" w:type="pct"/>
            <w:tcBorders>
              <w:left w:val="single" w:sz="4" w:space="0" w:color="auto"/>
              <w:right w:val="single" w:sz="4" w:space="0" w:color="auto"/>
            </w:tcBorders>
            <w:hideMark/>
          </w:tcPr>
          <w:p w:rsidR="000104D6" w:rsidRPr="002D4988" w:rsidRDefault="000104D6" w:rsidP="00F24E03">
            <w:pPr>
              <w:keepNext/>
              <w:spacing w:after="120"/>
              <w:rPr>
                <w:rFonts w:ascii="Arial Narrow" w:eastAsia="Times New Roman" w:hAnsi="Arial Narrow"/>
                <w:b/>
                <w:sz w:val="18"/>
                <w:szCs w:val="18"/>
              </w:rPr>
            </w:pPr>
            <w:r w:rsidRPr="002D4988">
              <w:rPr>
                <w:rFonts w:ascii="Arial Narrow" w:eastAsia="Times New Roman" w:hAnsi="Arial Narrow"/>
                <w:sz w:val="18"/>
                <w:szCs w:val="18"/>
              </w:rPr>
              <w:t>TOFACITINIB</w:t>
            </w:r>
          </w:p>
          <w:p w:rsidR="000104D6" w:rsidRPr="002D4988" w:rsidRDefault="00F24E03" w:rsidP="00F24E03">
            <w:pPr>
              <w:keepNext/>
              <w:spacing w:after="120"/>
              <w:rPr>
                <w:rFonts w:ascii="Arial Narrow" w:eastAsia="Times New Roman" w:hAnsi="Arial Narrow"/>
                <w:b/>
                <w:sz w:val="18"/>
                <w:szCs w:val="18"/>
              </w:rPr>
            </w:pPr>
            <w:r w:rsidRPr="002D4988">
              <w:rPr>
                <w:rFonts w:ascii="Arial Narrow" w:eastAsia="Times New Roman" w:hAnsi="Arial Narrow"/>
                <w:sz w:val="18"/>
                <w:szCs w:val="18"/>
              </w:rPr>
              <w:t>t</w:t>
            </w:r>
            <w:r w:rsidR="000104D6" w:rsidRPr="002D4988">
              <w:rPr>
                <w:rFonts w:ascii="Arial Narrow" w:eastAsia="Times New Roman" w:hAnsi="Arial Narrow"/>
                <w:sz w:val="18"/>
                <w:szCs w:val="18"/>
              </w:rPr>
              <w:t>ofacitinib 5</w:t>
            </w:r>
            <w:r w:rsidRPr="002D4988">
              <w:rPr>
                <w:rFonts w:ascii="Arial Narrow" w:eastAsia="Times New Roman" w:hAnsi="Arial Narrow"/>
                <w:sz w:val="18"/>
                <w:szCs w:val="18"/>
              </w:rPr>
              <w:t xml:space="preserve"> </w:t>
            </w:r>
            <w:r w:rsidR="000104D6" w:rsidRPr="002D4988">
              <w:rPr>
                <w:rFonts w:ascii="Arial Narrow" w:eastAsia="Times New Roman" w:hAnsi="Arial Narrow"/>
                <w:sz w:val="18"/>
                <w:szCs w:val="18"/>
              </w:rPr>
              <w:t>mg, tablet</w:t>
            </w:r>
            <w:r w:rsidRPr="002D4988">
              <w:rPr>
                <w:rFonts w:ascii="Arial Narrow" w:eastAsia="Times New Roman" w:hAnsi="Arial Narrow"/>
                <w:sz w:val="18"/>
                <w:szCs w:val="18"/>
              </w:rPr>
              <w:t>, 56</w:t>
            </w:r>
          </w:p>
        </w:tc>
        <w:tc>
          <w:tcPr>
            <w:tcW w:w="460" w:type="pct"/>
            <w:tcBorders>
              <w:left w:val="single" w:sz="4" w:space="0" w:color="auto"/>
              <w:right w:val="single" w:sz="4" w:space="0" w:color="auto"/>
            </w:tcBorders>
            <w:hideMark/>
          </w:tcPr>
          <w:p w:rsidR="008B61E1" w:rsidRDefault="008B61E1" w:rsidP="00F24E03">
            <w:pPr>
              <w:keepNext/>
              <w:spacing w:before="40" w:after="40"/>
              <w:jc w:val="center"/>
              <w:rPr>
                <w:rFonts w:ascii="Arial Narrow" w:eastAsia="Calibri" w:hAnsi="Arial Narrow"/>
                <w:sz w:val="18"/>
                <w:szCs w:val="18"/>
              </w:rPr>
            </w:pPr>
          </w:p>
          <w:p w:rsidR="000104D6" w:rsidRPr="002D4988" w:rsidRDefault="000104D6" w:rsidP="008B61E1">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1</w:t>
            </w:r>
          </w:p>
        </w:tc>
        <w:tc>
          <w:tcPr>
            <w:tcW w:w="537" w:type="pct"/>
            <w:tcBorders>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56</w:t>
            </w:r>
          </w:p>
        </w:tc>
        <w:tc>
          <w:tcPr>
            <w:tcW w:w="403" w:type="pct"/>
            <w:tcBorders>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3</w:t>
            </w:r>
          </w:p>
        </w:tc>
        <w:tc>
          <w:tcPr>
            <w:tcW w:w="676" w:type="pct"/>
            <w:tcBorders>
              <w:left w:val="single" w:sz="4" w:space="0" w:color="auto"/>
              <w:right w:val="single" w:sz="4" w:space="0" w:color="auto"/>
            </w:tcBorders>
            <w:hideMark/>
          </w:tcPr>
          <w:p w:rsidR="000104D6" w:rsidRPr="002D4988" w:rsidRDefault="000104D6" w:rsidP="00F24E03">
            <w:pPr>
              <w:keepNext/>
              <w:spacing w:before="40" w:after="40"/>
              <w:rPr>
                <w:rFonts w:ascii="Arial Narrow" w:eastAsia="Calibri" w:hAnsi="Arial Narrow"/>
                <w:sz w:val="18"/>
                <w:szCs w:val="18"/>
              </w:rPr>
            </w:pPr>
            <w:r w:rsidRPr="002D4988">
              <w:rPr>
                <w:rFonts w:ascii="Arial Narrow" w:eastAsia="Calibri" w:hAnsi="Arial Narrow"/>
                <w:sz w:val="18"/>
                <w:szCs w:val="18"/>
              </w:rPr>
              <w:t>NEW</w:t>
            </w:r>
          </w:p>
        </w:tc>
        <w:tc>
          <w:tcPr>
            <w:tcW w:w="1076" w:type="pct"/>
            <w:tcBorders>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Xeljanz</w:t>
            </w:r>
            <w:r w:rsidRPr="002D4988">
              <w:rPr>
                <w:rFonts w:ascii="Arial Narrow" w:eastAsia="Calibri" w:hAnsi="Arial Narrow"/>
                <w:sz w:val="18"/>
                <w:szCs w:val="18"/>
                <w:vertAlign w:val="superscript"/>
              </w:rPr>
              <w:t xml:space="preserve"> </w:t>
            </w:r>
            <w:r w:rsidRPr="002D4988">
              <w:rPr>
                <w:rFonts w:ascii="Arial Narrow" w:eastAsia="Calibri" w:hAnsi="Arial Narrow"/>
                <w:sz w:val="18"/>
                <w:szCs w:val="18"/>
              </w:rPr>
              <w:t xml:space="preserve"> </w:t>
            </w:r>
          </w:p>
        </w:tc>
      </w:tr>
      <w:tr w:rsidR="000104D6" w:rsidRPr="002D4988" w:rsidTr="00C9724B">
        <w:trPr>
          <w:trHeight w:val="269"/>
        </w:trPr>
        <w:tc>
          <w:tcPr>
            <w:tcW w:w="1848" w:type="pct"/>
            <w:tcBorders>
              <w:left w:val="single" w:sz="4" w:space="0" w:color="auto"/>
              <w:right w:val="single" w:sz="4" w:space="0" w:color="auto"/>
            </w:tcBorders>
            <w:hideMark/>
          </w:tcPr>
          <w:p w:rsidR="000104D6" w:rsidRPr="002D4988" w:rsidRDefault="00F24E03" w:rsidP="00F24E03">
            <w:pPr>
              <w:keepNext/>
              <w:spacing w:after="120"/>
              <w:rPr>
                <w:rFonts w:ascii="Arial Narrow" w:eastAsia="Times New Roman" w:hAnsi="Arial Narrow"/>
                <w:b/>
                <w:sz w:val="18"/>
                <w:szCs w:val="18"/>
              </w:rPr>
            </w:pPr>
            <w:r w:rsidRPr="002D4988">
              <w:rPr>
                <w:rFonts w:ascii="Arial Narrow" w:eastAsia="Times New Roman" w:hAnsi="Arial Narrow"/>
                <w:sz w:val="18"/>
                <w:szCs w:val="18"/>
              </w:rPr>
              <w:t>t</w:t>
            </w:r>
            <w:r w:rsidR="000104D6" w:rsidRPr="002D4988">
              <w:rPr>
                <w:rFonts w:ascii="Arial Narrow" w:eastAsia="Times New Roman" w:hAnsi="Arial Narrow"/>
                <w:sz w:val="18"/>
                <w:szCs w:val="18"/>
              </w:rPr>
              <w:t>ofacitinib 10</w:t>
            </w:r>
            <w:r w:rsidRPr="002D4988">
              <w:rPr>
                <w:rFonts w:ascii="Arial Narrow" w:eastAsia="Times New Roman" w:hAnsi="Arial Narrow"/>
                <w:sz w:val="18"/>
                <w:szCs w:val="18"/>
              </w:rPr>
              <w:t xml:space="preserve"> </w:t>
            </w:r>
            <w:r w:rsidR="00C042F7" w:rsidRPr="002D4988">
              <w:rPr>
                <w:rFonts w:ascii="Arial Narrow" w:eastAsia="Times New Roman" w:hAnsi="Arial Narrow"/>
                <w:sz w:val="18"/>
                <w:szCs w:val="18"/>
              </w:rPr>
              <w:t>mg, tablet</w:t>
            </w:r>
            <w:r w:rsidRPr="002D4988">
              <w:rPr>
                <w:rFonts w:ascii="Arial Narrow" w:eastAsia="Times New Roman" w:hAnsi="Arial Narrow"/>
                <w:sz w:val="18"/>
                <w:szCs w:val="18"/>
              </w:rPr>
              <w:t>, 56</w:t>
            </w:r>
            <w:r w:rsidR="000104D6" w:rsidRPr="002D4988">
              <w:rPr>
                <w:rFonts w:ascii="Arial Narrow" w:eastAsia="Times New Roman" w:hAnsi="Arial Narrow"/>
                <w:sz w:val="18"/>
                <w:szCs w:val="18"/>
              </w:rPr>
              <w:t xml:space="preserve"> </w:t>
            </w:r>
          </w:p>
        </w:tc>
        <w:tc>
          <w:tcPr>
            <w:tcW w:w="460" w:type="pct"/>
            <w:tcBorders>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1</w:t>
            </w:r>
          </w:p>
        </w:tc>
        <w:tc>
          <w:tcPr>
            <w:tcW w:w="537" w:type="pct"/>
            <w:tcBorders>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56</w:t>
            </w:r>
          </w:p>
        </w:tc>
        <w:tc>
          <w:tcPr>
            <w:tcW w:w="403" w:type="pct"/>
            <w:tcBorders>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3</w:t>
            </w:r>
          </w:p>
        </w:tc>
        <w:tc>
          <w:tcPr>
            <w:tcW w:w="676" w:type="pct"/>
            <w:tcBorders>
              <w:left w:val="single" w:sz="4" w:space="0" w:color="auto"/>
              <w:right w:val="single" w:sz="4" w:space="0" w:color="auto"/>
            </w:tcBorders>
            <w:hideMark/>
          </w:tcPr>
          <w:p w:rsidR="000104D6" w:rsidRPr="002D4988" w:rsidRDefault="000104D6" w:rsidP="00F24E03">
            <w:pPr>
              <w:keepNext/>
              <w:spacing w:before="40" w:after="40"/>
              <w:rPr>
                <w:rFonts w:ascii="Arial Narrow" w:eastAsia="Calibri" w:hAnsi="Arial Narrow"/>
                <w:sz w:val="18"/>
                <w:szCs w:val="18"/>
              </w:rPr>
            </w:pPr>
            <w:r w:rsidRPr="002D4988">
              <w:rPr>
                <w:rFonts w:ascii="Arial Narrow" w:eastAsia="Calibri" w:hAnsi="Arial Narrow"/>
                <w:sz w:val="18"/>
                <w:szCs w:val="18"/>
              </w:rPr>
              <w:t>NEW</w:t>
            </w:r>
          </w:p>
        </w:tc>
        <w:tc>
          <w:tcPr>
            <w:tcW w:w="1076" w:type="pct"/>
            <w:tcBorders>
              <w:left w:val="single" w:sz="4" w:space="0" w:color="auto"/>
              <w:right w:val="single" w:sz="4" w:space="0" w:color="auto"/>
            </w:tcBorders>
            <w:hideMark/>
          </w:tcPr>
          <w:p w:rsidR="000104D6" w:rsidRPr="002D4988" w:rsidRDefault="000104D6" w:rsidP="00F24E03">
            <w:pPr>
              <w:keepNext/>
              <w:spacing w:before="40" w:after="40"/>
              <w:jc w:val="center"/>
              <w:rPr>
                <w:rFonts w:ascii="Arial Narrow" w:eastAsia="Calibri" w:hAnsi="Arial Narrow"/>
                <w:sz w:val="18"/>
                <w:szCs w:val="18"/>
              </w:rPr>
            </w:pPr>
            <w:r w:rsidRPr="002D4988">
              <w:rPr>
                <w:rFonts w:ascii="Arial Narrow" w:eastAsia="Calibri" w:hAnsi="Arial Narrow"/>
                <w:sz w:val="18"/>
                <w:szCs w:val="18"/>
              </w:rPr>
              <w:t>Xeljanz</w:t>
            </w:r>
            <w:r w:rsidRPr="002D4988">
              <w:rPr>
                <w:rFonts w:ascii="Arial Narrow" w:eastAsia="Calibri" w:hAnsi="Arial Narrow"/>
                <w:sz w:val="18"/>
                <w:szCs w:val="18"/>
                <w:vertAlign w:val="superscript"/>
              </w:rPr>
              <w:t xml:space="preserve"> </w:t>
            </w:r>
            <w:r w:rsidRPr="002D4988">
              <w:rPr>
                <w:rFonts w:ascii="Arial Narrow" w:eastAsia="Calibri" w:hAnsi="Arial Narrow"/>
                <w:sz w:val="18"/>
                <w:szCs w:val="18"/>
              </w:rPr>
              <w:t xml:space="preserve"> </w:t>
            </w:r>
          </w:p>
        </w:tc>
      </w:tr>
    </w:tbl>
    <w:p w:rsidR="000079D4" w:rsidRDefault="000079D4" w:rsidP="000079D4">
      <w:pPr>
        <w:textAlignment w:val="baseline"/>
        <w:rPr>
          <w:rFonts w:ascii="Arial Narrow" w:hAnsi="Arial Narrow"/>
          <w:sz w:val="18"/>
          <w:szCs w:val="18"/>
        </w:rPr>
      </w:pPr>
    </w:p>
    <w:p w:rsidR="000104D6" w:rsidRPr="002D4988" w:rsidRDefault="000104D6" w:rsidP="000079D4">
      <w:pPr>
        <w:textAlignment w:val="baseline"/>
        <w:outlineLvl w:val="3"/>
        <w:rPr>
          <w:rFonts w:ascii="Arial Narrow" w:hAnsi="Arial Narrow" w:cstheme="minorHAnsi"/>
          <w:sz w:val="18"/>
          <w:szCs w:val="18"/>
        </w:rPr>
      </w:pPr>
      <w:r w:rsidRPr="002D4988">
        <w:rPr>
          <w:rFonts w:ascii="Arial Narrow" w:hAnsi="Arial Narrow"/>
          <w:sz w:val="18"/>
          <w:szCs w:val="18"/>
        </w:rPr>
        <w:t xml:space="preserve">Restriction Summary NEW / ToC: NEW: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5"/>
        <w:gridCol w:w="7482"/>
      </w:tblGrid>
      <w:tr w:rsidR="000104D6" w:rsidRPr="002D4988" w:rsidTr="00FC3BE5">
        <w:trPr>
          <w:trHeight w:val="442"/>
        </w:trPr>
        <w:tc>
          <w:tcPr>
            <w:tcW w:w="851" w:type="pct"/>
            <w:shd w:val="clear" w:color="auto" w:fill="auto"/>
            <w:tcMar>
              <w:top w:w="120" w:type="dxa"/>
              <w:left w:w="240" w:type="dxa"/>
              <w:bottom w:w="120" w:type="dxa"/>
              <w:right w:w="240" w:type="dxa"/>
            </w:tcMar>
          </w:tcPr>
          <w:p w:rsidR="00F24E03" w:rsidRPr="002D4988" w:rsidRDefault="00F24E03" w:rsidP="000079D4">
            <w:pPr>
              <w:jc w:val="center"/>
              <w:rPr>
                <w:rFonts w:ascii="Arial Narrow" w:hAnsi="Arial Narrow" w:cs="Open Sans"/>
                <w:b/>
                <w:color w:val="333333"/>
                <w:sz w:val="18"/>
                <w:szCs w:val="18"/>
              </w:rPr>
            </w:pPr>
          </w:p>
        </w:tc>
        <w:tc>
          <w:tcPr>
            <w:tcW w:w="4149" w:type="pct"/>
            <w:shd w:val="clear" w:color="auto" w:fill="auto"/>
            <w:tcMar>
              <w:top w:w="120" w:type="dxa"/>
              <w:left w:w="240" w:type="dxa"/>
              <w:bottom w:w="120" w:type="dxa"/>
              <w:right w:w="240" w:type="dxa"/>
            </w:tcMar>
            <w:hideMark/>
          </w:tcPr>
          <w:p w:rsidR="000104D6" w:rsidRPr="002D4988" w:rsidRDefault="000104D6" w:rsidP="000079D4">
            <w:pPr>
              <w:tabs>
                <w:tab w:val="left" w:pos="960"/>
              </w:tabs>
              <w:jc w:val="left"/>
              <w:rPr>
                <w:rFonts w:ascii="Arial Narrow" w:hAnsi="Arial Narrow"/>
                <w:b/>
                <w:sz w:val="18"/>
                <w:szCs w:val="18"/>
              </w:rPr>
            </w:pPr>
            <w:r w:rsidRPr="002D4988">
              <w:rPr>
                <w:rFonts w:ascii="Arial Narrow" w:hAnsi="Arial Narrow"/>
                <w:b/>
                <w:sz w:val="18"/>
                <w:szCs w:val="18"/>
              </w:rPr>
              <w:t>Category / Program:</w:t>
            </w:r>
            <w:r w:rsidRPr="002D4988">
              <w:rPr>
                <w:rFonts w:ascii="Arial Narrow" w:hAnsi="Arial Narrow"/>
                <w:sz w:val="18"/>
                <w:szCs w:val="18"/>
              </w:rPr>
              <w:t xml:space="preserve"> GENERAL – General Schedule (Code GE)</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hideMark/>
          </w:tcPr>
          <w:p w:rsidR="000104D6" w:rsidRPr="002D4988" w:rsidRDefault="000104D6" w:rsidP="000079D4">
            <w:pPr>
              <w:tabs>
                <w:tab w:val="left" w:pos="960"/>
              </w:tabs>
              <w:jc w:val="left"/>
              <w:rPr>
                <w:rFonts w:ascii="Arial Narrow" w:hAnsi="Arial Narrow" w:cs="Times New Roman"/>
                <w:b/>
                <w:sz w:val="18"/>
                <w:szCs w:val="18"/>
              </w:rPr>
            </w:pPr>
            <w:r w:rsidRPr="002D4988">
              <w:rPr>
                <w:rFonts w:ascii="Arial Narrow" w:hAnsi="Arial Narrow"/>
                <w:b/>
                <w:sz w:val="18"/>
                <w:szCs w:val="18"/>
              </w:rPr>
              <w:t xml:space="preserve">Prescriber type:  </w:t>
            </w:r>
            <w:r w:rsidRPr="002D4988">
              <w:rPr>
                <w:rFonts w:ascii="Arial Narrow" w:hAnsi="Arial Narrow"/>
                <w:sz w:val="18"/>
                <w:szCs w:val="18"/>
              </w:rPr>
              <w:fldChar w:fldCharType="begin">
                <w:ffData>
                  <w:name w:val=""/>
                  <w:enabled/>
                  <w:calcOnExit w:val="0"/>
                  <w:checkBox>
                    <w:sizeAuto/>
                    <w:default w:val="1"/>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 xml:space="preserve">Medical Practitioners  </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hideMark/>
          </w:tcPr>
          <w:p w:rsidR="000104D6" w:rsidRPr="002D4988" w:rsidRDefault="00C042F7" w:rsidP="000079D4">
            <w:pPr>
              <w:jc w:val="left"/>
              <w:rPr>
                <w:rFonts w:ascii="Arial Narrow" w:hAnsi="Arial Narrow" w:cs="Times New Roman"/>
                <w:sz w:val="18"/>
                <w:szCs w:val="18"/>
              </w:rPr>
            </w:pPr>
            <w:r w:rsidRPr="002D4988">
              <w:rPr>
                <w:rFonts w:ascii="Arial Narrow" w:hAnsi="Arial Narrow" w:cs="Times New Roman"/>
                <w:b/>
                <w:sz w:val="18"/>
                <w:szCs w:val="18"/>
              </w:rPr>
              <w:t>Restriction type</w:t>
            </w:r>
            <w:r w:rsidR="00F24E03" w:rsidRPr="002D4988">
              <w:rPr>
                <w:rFonts w:ascii="Arial Narrow" w:hAnsi="Arial Narrow" w:cs="Times New Roman"/>
                <w:b/>
                <w:sz w:val="18"/>
                <w:szCs w:val="18"/>
              </w:rPr>
              <w:t xml:space="preserve"> </w:t>
            </w:r>
            <w:r w:rsidR="000104D6" w:rsidRPr="002D4988">
              <w:rPr>
                <w:rFonts w:ascii="Arial Narrow" w:hAnsi="Arial Narrow" w:cs="Times New Roman"/>
                <w:b/>
                <w:sz w:val="18"/>
                <w:szCs w:val="18"/>
              </w:rPr>
              <w:t xml:space="preserve"> / Method: </w:t>
            </w:r>
            <w:r w:rsidR="000104D6" w:rsidRPr="002D4988">
              <w:rPr>
                <w:rFonts w:ascii="Arial Narrow" w:hAnsi="Arial Narrow" w:cs="Times New Roman"/>
                <w:sz w:val="18"/>
                <w:szCs w:val="18"/>
              </w:rPr>
              <w:fldChar w:fldCharType="begin">
                <w:ffData>
                  <w:name w:val=""/>
                  <w:enabled/>
                  <w:calcOnExit w:val="0"/>
                  <w:checkBox>
                    <w:sizeAuto/>
                    <w:default w:val="1"/>
                  </w:checkBox>
                </w:ffData>
              </w:fldChar>
            </w:r>
            <w:r w:rsidR="000104D6" w:rsidRPr="002D4988">
              <w:rPr>
                <w:rFonts w:ascii="Arial Narrow" w:hAnsi="Arial Narrow" w:cs="Times New Roman"/>
                <w:sz w:val="18"/>
                <w:szCs w:val="18"/>
              </w:rPr>
              <w:instrText xml:space="preserve"> FORMCHECKBOX </w:instrText>
            </w:r>
            <w:r w:rsidR="00D6581F">
              <w:rPr>
                <w:rFonts w:ascii="Arial Narrow" w:hAnsi="Arial Narrow" w:cs="Times New Roman"/>
                <w:sz w:val="18"/>
                <w:szCs w:val="18"/>
              </w:rPr>
            </w:r>
            <w:r w:rsidR="00D6581F">
              <w:rPr>
                <w:rFonts w:ascii="Arial Narrow" w:hAnsi="Arial Narrow" w:cs="Times New Roman"/>
                <w:sz w:val="18"/>
                <w:szCs w:val="18"/>
              </w:rPr>
              <w:fldChar w:fldCharType="separate"/>
            </w:r>
            <w:r w:rsidR="000104D6" w:rsidRPr="002D4988">
              <w:rPr>
                <w:rFonts w:ascii="Arial Narrow" w:hAnsi="Arial Narrow" w:cs="Times New Roman"/>
                <w:sz w:val="18"/>
                <w:szCs w:val="18"/>
              </w:rPr>
              <w:fldChar w:fldCharType="end"/>
            </w:r>
            <w:r w:rsidR="000104D6" w:rsidRPr="002D4988">
              <w:rPr>
                <w:rFonts w:ascii="Arial Narrow" w:hAnsi="Arial Narrow" w:cs="Times New Roman"/>
                <w:sz w:val="18"/>
                <w:szCs w:val="18"/>
              </w:rPr>
              <w:t xml:space="preserve">Authority Required - </w:t>
            </w:r>
            <w:r w:rsidR="00F24E03" w:rsidRPr="002D4988">
              <w:rPr>
                <w:rFonts w:ascii="Arial Narrow" w:hAnsi="Arial Narrow" w:cs="Times New Roman"/>
                <w:sz w:val="18"/>
                <w:szCs w:val="18"/>
              </w:rPr>
              <w:t>delayed/non-immediate assessment by Services Australia (lodgement via postal service or electronic upload)</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C042F7"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jc w:val="left"/>
              <w:textAlignment w:val="baseline"/>
              <w:rPr>
                <w:rFonts w:ascii="Arial Narrow" w:hAnsi="Arial Narrow" w:cs="Open Sans"/>
                <w:b/>
                <w:bCs/>
                <w:sz w:val="18"/>
                <w:szCs w:val="18"/>
                <w:bdr w:val="none" w:sz="0" w:space="0" w:color="auto" w:frame="1"/>
              </w:rPr>
            </w:pPr>
            <w:r w:rsidRPr="00C042F7">
              <w:rPr>
                <w:rFonts w:ascii="Arial Narrow" w:hAnsi="Arial Narrow" w:cs="Open Sans"/>
                <w:b/>
                <w:bCs/>
                <w:sz w:val="18"/>
                <w:szCs w:val="18"/>
                <w:bdr w:val="none" w:sz="0" w:space="0" w:color="auto" w:frame="1"/>
              </w:rPr>
              <w:t xml:space="preserve">Administrative Advice: TREATMENT OF ADULT PATIENTS WITH MODERATE TO SEVERE ULCERATIVE COLITIS </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C042F7"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jc w:val="left"/>
              <w:textAlignment w:val="baseline"/>
              <w:rPr>
                <w:rFonts w:ascii="Arial Narrow" w:hAnsi="Arial Narrow" w:cs="Open Sans"/>
                <w:b/>
                <w:bCs/>
                <w:sz w:val="18"/>
                <w:szCs w:val="18"/>
                <w:bdr w:val="none" w:sz="0" w:space="0" w:color="auto" w:frame="1"/>
              </w:rPr>
            </w:pPr>
            <w:r w:rsidRPr="00C042F7">
              <w:rPr>
                <w:rFonts w:ascii="Arial Narrow" w:hAnsi="Arial Narrow" w:cs="Open Sans"/>
                <w:b/>
                <w:bCs/>
                <w:sz w:val="18"/>
                <w:szCs w:val="18"/>
                <w:bdr w:val="none" w:sz="0" w:space="0" w:color="auto" w:frame="1"/>
              </w:rPr>
              <w:t xml:space="preserve">Administrative Advice: </w:t>
            </w:r>
            <w:r w:rsidRPr="00C042F7">
              <w:rPr>
                <w:rFonts w:ascii="Arial Narrow" w:hAnsi="Arial Narrow" w:cs="Open Sans"/>
                <w:bCs/>
                <w:sz w:val="18"/>
                <w:szCs w:val="18"/>
                <w:bdr w:val="none" w:sz="0" w:space="0" w:color="auto" w:frame="1"/>
              </w:rPr>
              <w:t>No increase in the maximum quantity or number of units may be authorised.</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C042F7"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jc w:val="left"/>
              <w:textAlignment w:val="baseline"/>
              <w:rPr>
                <w:rFonts w:ascii="Arial Narrow" w:hAnsi="Arial Narrow" w:cs="Open Sans"/>
                <w:b/>
                <w:bCs/>
                <w:sz w:val="18"/>
                <w:szCs w:val="18"/>
                <w:bdr w:val="none" w:sz="0" w:space="0" w:color="auto" w:frame="1"/>
              </w:rPr>
            </w:pPr>
            <w:r w:rsidRPr="00C042F7">
              <w:rPr>
                <w:rFonts w:ascii="Arial Narrow" w:hAnsi="Arial Narrow" w:cs="Open Sans"/>
                <w:b/>
                <w:bCs/>
                <w:sz w:val="18"/>
                <w:szCs w:val="18"/>
                <w:bdr w:val="none" w:sz="0" w:space="0" w:color="auto" w:frame="1"/>
              </w:rPr>
              <w:t xml:space="preserve">Administrative Advice: </w:t>
            </w:r>
            <w:r w:rsidRPr="00C042F7">
              <w:rPr>
                <w:rFonts w:ascii="Arial Narrow" w:hAnsi="Arial Narrow" w:cs="Open Sans"/>
                <w:bCs/>
                <w:sz w:val="18"/>
                <w:szCs w:val="18"/>
                <w:bdr w:val="none" w:sz="0" w:space="0" w:color="auto" w:frame="1"/>
              </w:rPr>
              <w:t>No increase in the maximum number of repeats may be authorised.</w:t>
            </w:r>
          </w:p>
        </w:tc>
      </w:tr>
      <w:tr w:rsidR="000104D6" w:rsidRPr="002D4988" w:rsidTr="000367ED">
        <w:trPr>
          <w:trHeight w:val="442"/>
        </w:trPr>
        <w:tc>
          <w:tcPr>
            <w:tcW w:w="851" w:type="pct"/>
            <w:shd w:val="clear" w:color="auto" w:fill="auto"/>
            <w:tcMar>
              <w:top w:w="120" w:type="dxa"/>
              <w:left w:w="240" w:type="dxa"/>
              <w:bottom w:w="120" w:type="dxa"/>
              <w:right w:w="240" w:type="dxa"/>
            </w:tcMar>
          </w:tcPr>
          <w:p w:rsidR="000104D6" w:rsidRPr="00C042F7"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jc w:val="left"/>
              <w:textAlignment w:val="baseline"/>
              <w:rPr>
                <w:rFonts w:ascii="Arial Narrow" w:hAnsi="Arial Narrow" w:cs="Open Sans"/>
                <w:b/>
                <w:bCs/>
                <w:sz w:val="18"/>
                <w:szCs w:val="18"/>
                <w:bdr w:val="none" w:sz="0" w:space="0" w:color="auto" w:frame="1"/>
              </w:rPr>
            </w:pPr>
            <w:r w:rsidRPr="00C042F7">
              <w:rPr>
                <w:rFonts w:ascii="Arial Narrow" w:hAnsi="Arial Narrow" w:cs="Open Sans"/>
                <w:b/>
                <w:bCs/>
                <w:sz w:val="18"/>
                <w:szCs w:val="18"/>
                <w:bdr w:val="none" w:sz="0" w:space="0" w:color="auto" w:frame="1"/>
              </w:rPr>
              <w:t>Administrative Advice:</w:t>
            </w:r>
            <w:r w:rsidRPr="00C042F7">
              <w:rPr>
                <w:rFonts w:ascii="Arial Narrow" w:hAnsi="Arial Narrow"/>
                <w:sz w:val="18"/>
                <w:szCs w:val="18"/>
              </w:rPr>
              <w:t xml:space="preserve"> </w:t>
            </w:r>
            <w:r w:rsidRPr="00C042F7">
              <w:rPr>
                <w:rFonts w:ascii="Arial Narrow" w:hAnsi="Arial Narrow" w:cs="Open Sans"/>
                <w:bCs/>
                <w:sz w:val="18"/>
                <w:szCs w:val="18"/>
                <w:bdr w:val="none" w:sz="0" w:space="0" w:color="auto" w:frame="1"/>
              </w:rPr>
              <w:t>Special Pricing Arrangements apply.</w:t>
            </w:r>
          </w:p>
        </w:tc>
      </w:tr>
      <w:tr w:rsidR="000104D6" w:rsidRPr="002D4988" w:rsidTr="000367ED">
        <w:trPr>
          <w:trHeight w:val="442"/>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Open Sans"/>
                <w:b/>
                <w:bCs/>
                <w:sz w:val="18"/>
                <w:szCs w:val="18"/>
                <w:bdr w:val="none" w:sz="0" w:space="0" w:color="auto" w:frame="1"/>
              </w:rPr>
            </w:pPr>
            <w:r w:rsidRPr="002D4988">
              <w:rPr>
                <w:rFonts w:ascii="Arial Narrow" w:hAnsi="Arial Narrow" w:cstheme="minorHAnsi"/>
                <w:b/>
                <w:sz w:val="18"/>
                <w:szCs w:val="18"/>
              </w:rPr>
              <w:t>Severity:</w:t>
            </w:r>
            <w:r w:rsidRPr="002D4988">
              <w:rPr>
                <w:rFonts w:ascii="Arial Narrow" w:hAnsi="Arial Narrow" w:cstheme="minorHAnsi"/>
                <w:sz w:val="18"/>
                <w:szCs w:val="18"/>
              </w:rPr>
              <w:t xml:space="preserve"> Moderate to severe</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theme="minorHAnsi"/>
                <w:b/>
                <w:sz w:val="18"/>
                <w:szCs w:val="18"/>
              </w:rPr>
            </w:pPr>
            <w:r w:rsidRPr="002D4988">
              <w:rPr>
                <w:rFonts w:ascii="Arial Narrow" w:hAnsi="Arial Narrow" w:cstheme="minorHAnsi"/>
                <w:b/>
                <w:sz w:val="18"/>
                <w:szCs w:val="18"/>
              </w:rPr>
              <w:t>Condition:</w:t>
            </w:r>
            <w:r w:rsidRPr="002D4988">
              <w:rPr>
                <w:rFonts w:ascii="Arial Narrow" w:hAnsi="Arial Narrow" w:cstheme="minorHAnsi"/>
                <w:sz w:val="18"/>
                <w:szCs w:val="18"/>
              </w:rPr>
              <w:t xml:space="preserve"> Ulcerative colitis</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theme="minorHAnsi"/>
                <w:b/>
                <w:sz w:val="18"/>
                <w:szCs w:val="18"/>
              </w:rPr>
            </w:pPr>
            <w:r w:rsidRPr="002D4988">
              <w:rPr>
                <w:rFonts w:ascii="Arial Narrow" w:hAnsi="Arial Narrow" w:cstheme="minorHAnsi"/>
                <w:b/>
                <w:sz w:val="18"/>
                <w:szCs w:val="18"/>
              </w:rPr>
              <w:t>Indication:</w:t>
            </w:r>
            <w:r w:rsidRPr="002D4988">
              <w:rPr>
                <w:rFonts w:ascii="Arial Narrow" w:hAnsi="Arial Narrow" w:cstheme="minorHAnsi"/>
                <w:sz w:val="18"/>
                <w:szCs w:val="18"/>
              </w:rPr>
              <w:t xml:space="preserve"> Moderate to severe ulcerative colitis</w:t>
            </w:r>
          </w:p>
        </w:tc>
      </w:tr>
      <w:tr w:rsidR="000104D6" w:rsidRPr="002D4988" w:rsidTr="000367ED">
        <w:trPr>
          <w:trHeight w:val="197"/>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i/>
                <w:color w:val="0070C0"/>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theme="minorHAnsi"/>
                <w:b/>
                <w:i/>
                <w:color w:val="0070C0"/>
                <w:sz w:val="18"/>
                <w:szCs w:val="18"/>
              </w:rPr>
            </w:pPr>
            <w:r w:rsidRPr="002D4988">
              <w:rPr>
                <w:rFonts w:ascii="Arial Narrow" w:hAnsi="Arial Narrow" w:cstheme="minorHAnsi"/>
                <w:b/>
                <w:sz w:val="18"/>
                <w:szCs w:val="18"/>
              </w:rPr>
              <w:t>Treatment phase:</w:t>
            </w:r>
            <w:r w:rsidRPr="002D4988">
              <w:rPr>
                <w:rFonts w:ascii="Arial Narrow" w:hAnsi="Arial Narrow" w:cstheme="minorHAnsi"/>
                <w:sz w:val="18"/>
                <w:szCs w:val="18"/>
              </w:rPr>
              <w:t xml:space="preserve"> </w:t>
            </w:r>
            <w:r w:rsidR="00F057DC" w:rsidRPr="00283EA0">
              <w:rPr>
                <w:rFonts w:ascii="Arial Narrow" w:hAnsi="Arial Narrow" w:cstheme="minorHAnsi"/>
                <w:b/>
                <w:sz w:val="18"/>
                <w:szCs w:val="18"/>
              </w:rPr>
              <w:t xml:space="preserve">: </w:t>
            </w:r>
            <w:r w:rsidR="00F057DC" w:rsidRPr="00283EA0">
              <w:rPr>
                <w:rFonts w:ascii="Arial Narrow" w:hAnsi="Arial Narrow" w:cstheme="minorHAnsi"/>
                <w:sz w:val="18"/>
                <w:szCs w:val="18"/>
              </w:rPr>
              <w:t xml:space="preserve">Initial treatment - Initial </w:t>
            </w:r>
            <w:r w:rsidR="00F057DC">
              <w:rPr>
                <w:rFonts w:ascii="Arial Narrow" w:hAnsi="Arial Narrow" w:cstheme="minorHAnsi"/>
                <w:sz w:val="18"/>
                <w:szCs w:val="18"/>
              </w:rPr>
              <w:t>1</w:t>
            </w:r>
            <w:r w:rsidR="00F057DC" w:rsidRPr="00283EA0">
              <w:rPr>
                <w:rFonts w:ascii="Arial Narrow" w:hAnsi="Arial Narrow" w:cstheme="minorHAnsi"/>
                <w:sz w:val="18"/>
                <w:szCs w:val="18"/>
              </w:rPr>
              <w:t xml:space="preserve"> </w:t>
            </w:r>
            <w:r w:rsidRPr="00C042F7">
              <w:rPr>
                <w:rFonts w:ascii="Arial Narrow" w:hAnsi="Arial Narrow" w:cstheme="minorHAnsi"/>
                <w:sz w:val="18"/>
                <w:szCs w:val="18"/>
              </w:rPr>
              <w:t>(new patient)</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theme="minorHAnsi"/>
                <w:b/>
                <w:sz w:val="18"/>
                <w:szCs w:val="18"/>
              </w:rPr>
            </w:pPr>
            <w:r w:rsidRPr="002D4988">
              <w:rPr>
                <w:rFonts w:ascii="Arial Narrow" w:hAnsi="Arial Narrow" w:cs="Open Sans"/>
                <w:b/>
                <w:bCs/>
                <w:color w:val="333333"/>
                <w:sz w:val="18"/>
                <w:szCs w:val="18"/>
                <w:bdr w:val="none" w:sz="0" w:space="0" w:color="auto" w:frame="1"/>
              </w:rPr>
              <w:t>Treatment criteria:</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i/>
                <w:color w:val="0070C0"/>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Open Sans"/>
                <w:b/>
                <w:bCs/>
                <w:color w:val="333333"/>
                <w:sz w:val="18"/>
                <w:szCs w:val="18"/>
                <w:bdr w:val="none" w:sz="0" w:space="0" w:color="auto" w:frame="1"/>
              </w:rPr>
            </w:pPr>
            <w:r w:rsidRPr="002D4988">
              <w:rPr>
                <w:rFonts w:ascii="Arial Narrow" w:hAnsi="Arial Narrow" w:cs="Open Sans"/>
                <w:color w:val="333333"/>
                <w:sz w:val="18"/>
                <w:szCs w:val="18"/>
              </w:rPr>
              <w:t>Must be treated by a gastroenterologist (code 87); or</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Must be treated by a consultant physician [internal medicine specialising in gastroenterology (code 81)]; or</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Must be treated by a consultant physician [general medicine specialising in gastroenterology (code 82)]; or</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b/>
                <w:bCs/>
                <w:color w:val="333333"/>
                <w:sz w:val="18"/>
                <w:szCs w:val="18"/>
                <w:bdr w:val="none" w:sz="0" w:space="0" w:color="auto" w:frame="1"/>
              </w:rPr>
              <w:t>AND</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Clinical criteria:</w:t>
            </w:r>
          </w:p>
        </w:tc>
      </w:tr>
      <w:tr w:rsidR="000104D6" w:rsidRPr="002D4988" w:rsidTr="000367ED">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Patient must have failed to achieve an adequate response to a 5-aminosalicylate oral preparation in a standard dose for induction of remission for 3 or more consecutive months or have intolerance necessitating permanent treatment withdrawal</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AND</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Clinical criteria:</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Patient must have failed to achieve an adequate response to azathioprine at a dose of at least 2 mg per kg daily for 3 or more consecutive months or have intolerance necessitating permanent treatment withdrawal; or</w:t>
            </w:r>
          </w:p>
        </w:tc>
      </w:tr>
      <w:tr w:rsidR="000104D6" w:rsidRPr="002D4988" w:rsidTr="000367ED">
        <w:trPr>
          <w:trHeight w:val="220"/>
        </w:trPr>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Patient must have failed to achieve an adequate response to 6-mercaptopurine at a dose of at least 1 mg per kg daily for 3 or more consecutive months or have intolerance necessitating permanent treatment withdrawal; or</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b/>
                <w:bCs/>
                <w:color w:val="333333"/>
                <w:sz w:val="18"/>
                <w:szCs w:val="18"/>
                <w:bdr w:val="none" w:sz="0" w:space="0" w:color="auto" w:frame="1"/>
              </w:rPr>
              <w:t>AND</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Clinical criteria:</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Cs/>
                <w:color w:val="333333"/>
                <w:sz w:val="18"/>
                <w:szCs w:val="18"/>
                <w:bdr w:val="none" w:sz="0" w:space="0" w:color="auto" w:frame="1"/>
              </w:rPr>
            </w:pPr>
            <w:r w:rsidRPr="002D4988">
              <w:rPr>
                <w:rFonts w:ascii="Arial Narrow" w:hAnsi="Arial Narrow" w:cs="Open Sans"/>
                <w:bCs/>
                <w:color w:val="333333"/>
                <w:sz w:val="18"/>
                <w:szCs w:val="18"/>
                <w:bdr w:val="none" w:sz="0" w:space="0" w:color="auto" w:frame="1"/>
              </w:rPr>
              <w:t>Patient must have a Mayo clinic score greater than or equal to 6; OR</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Cs/>
                <w:color w:val="333333"/>
                <w:sz w:val="18"/>
                <w:szCs w:val="18"/>
                <w:bdr w:val="none" w:sz="0" w:space="0" w:color="auto" w:frame="1"/>
              </w:rPr>
            </w:pPr>
            <w:r w:rsidRPr="002D4988">
              <w:rPr>
                <w:rFonts w:ascii="Arial Narrow" w:hAnsi="Arial Narrow" w:cs="Open Sans"/>
                <w:bCs/>
                <w:color w:val="333333"/>
                <w:sz w:val="18"/>
                <w:szCs w:val="18"/>
                <w:bdr w:val="none" w:sz="0" w:space="0" w:color="auto" w:frame="1"/>
              </w:rPr>
              <w:t>Patient must have a partial Mayo clinic score greater than or equal to 6, provided the rectal bleeding and stool frequency subscores are both greater than or equal to 2 (endoscopy subscore is not required for a partial Mayo clinic score).</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AND</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Population criteria:</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Patient must be aged 18 years or older.</w:t>
            </w:r>
          </w:p>
        </w:tc>
      </w:tr>
      <w:tr w:rsidR="000104D6" w:rsidRPr="002D4988" w:rsidTr="00FC3BE5">
        <w:trPr>
          <w:trHeight w:val="1390"/>
        </w:trPr>
        <w:tc>
          <w:tcPr>
            <w:tcW w:w="851" w:type="pct"/>
            <w:shd w:val="clear" w:color="auto" w:fill="auto"/>
            <w:tcMar>
              <w:top w:w="120" w:type="dxa"/>
              <w:left w:w="240" w:type="dxa"/>
              <w:bottom w:w="120" w:type="dxa"/>
              <w:right w:w="240" w:type="dxa"/>
            </w:tcMar>
          </w:tcPr>
          <w:p w:rsidR="00F24E03" w:rsidRPr="00C042F7" w:rsidRDefault="00F24E03"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rPr>
                <w:rFonts w:ascii="Arial Narrow" w:hAnsi="Arial Narrow" w:cs="Open Sans"/>
                <w:sz w:val="18"/>
                <w:szCs w:val="18"/>
              </w:rPr>
            </w:pPr>
            <w:r w:rsidRPr="00C042F7">
              <w:rPr>
                <w:rFonts w:ascii="Arial Narrow" w:hAnsi="Arial Narrow" w:cs="Open Sans"/>
                <w:b/>
                <w:bCs/>
                <w:sz w:val="18"/>
                <w:szCs w:val="18"/>
              </w:rPr>
              <w:t>Prescribing Instructions:</w:t>
            </w:r>
          </w:p>
          <w:p w:rsidR="000104D6" w:rsidRPr="00C042F7" w:rsidRDefault="000104D6" w:rsidP="000079D4">
            <w:pPr>
              <w:rPr>
                <w:rFonts w:ascii="Arial Narrow" w:hAnsi="Arial Narrow" w:cs="Open Sans"/>
                <w:sz w:val="18"/>
                <w:szCs w:val="18"/>
              </w:rPr>
            </w:pPr>
            <w:r w:rsidRPr="00C042F7">
              <w:rPr>
                <w:rFonts w:ascii="Arial Narrow" w:hAnsi="Arial Narrow" w:cs="Open Sans"/>
                <w:sz w:val="18"/>
                <w:szCs w:val="18"/>
              </w:rPr>
              <w:t>Application for authorisation of initial treatment must be in writing and must include:</w:t>
            </w:r>
          </w:p>
          <w:p w:rsidR="000104D6" w:rsidRPr="00C042F7" w:rsidRDefault="000104D6" w:rsidP="000079D4">
            <w:pPr>
              <w:rPr>
                <w:rFonts w:ascii="Arial Narrow" w:hAnsi="Arial Narrow" w:cs="Open Sans"/>
                <w:sz w:val="18"/>
                <w:szCs w:val="18"/>
              </w:rPr>
            </w:pPr>
            <w:r w:rsidRPr="00C042F7">
              <w:rPr>
                <w:rFonts w:ascii="Arial Narrow" w:hAnsi="Arial Narrow" w:cs="Open Sans"/>
                <w:sz w:val="18"/>
                <w:szCs w:val="18"/>
              </w:rPr>
              <w:t>(a) a completed authority prescription form; and</w:t>
            </w:r>
          </w:p>
          <w:p w:rsidR="000104D6" w:rsidRPr="00C042F7" w:rsidRDefault="000104D6" w:rsidP="000079D4">
            <w:pPr>
              <w:rPr>
                <w:rFonts w:ascii="Arial Narrow" w:hAnsi="Arial Narrow" w:cs="Open Sans"/>
                <w:sz w:val="18"/>
                <w:szCs w:val="18"/>
              </w:rPr>
            </w:pPr>
            <w:r w:rsidRPr="00C042F7">
              <w:rPr>
                <w:rFonts w:ascii="Arial Narrow" w:hAnsi="Arial Narrow" w:cs="Open Sans"/>
                <w:sz w:val="18"/>
                <w:szCs w:val="18"/>
              </w:rPr>
              <w:t>(b) a completed Ulcerative Colitis PBS Authority Application - Supporting Information Form which includes the following:</w:t>
            </w:r>
          </w:p>
          <w:p w:rsidR="000104D6" w:rsidRPr="00C042F7" w:rsidRDefault="000104D6" w:rsidP="000079D4">
            <w:pPr>
              <w:rPr>
                <w:rFonts w:ascii="Arial Narrow" w:hAnsi="Arial Narrow" w:cs="Open Sans"/>
                <w:sz w:val="18"/>
                <w:szCs w:val="18"/>
              </w:rPr>
            </w:pPr>
            <w:r w:rsidRPr="00C042F7">
              <w:rPr>
                <w:rFonts w:ascii="Arial Narrow" w:hAnsi="Arial Narrow" w:cs="Open Sans"/>
                <w:sz w:val="18"/>
                <w:szCs w:val="18"/>
              </w:rPr>
              <w:t>(i) the completed current Mayo clinic or partial Mayo clinic calculation sheet including the date of assessment of the patient's condition; and</w:t>
            </w:r>
          </w:p>
          <w:p w:rsidR="000104D6" w:rsidRPr="00C042F7" w:rsidRDefault="000104D6" w:rsidP="000079D4">
            <w:pPr>
              <w:rPr>
                <w:rFonts w:ascii="Arial Narrow" w:hAnsi="Arial Narrow" w:cs="Open Sans"/>
                <w:sz w:val="18"/>
                <w:szCs w:val="18"/>
              </w:rPr>
            </w:pPr>
            <w:r w:rsidRPr="00C042F7">
              <w:rPr>
                <w:rFonts w:ascii="Arial Narrow" w:hAnsi="Arial Narrow" w:cs="Open Sans"/>
                <w:sz w:val="18"/>
                <w:szCs w:val="18"/>
              </w:rPr>
              <w:t>(ii) details of prior systemic drug therapy [dosage, date of commenceme</w:t>
            </w:r>
            <w:r w:rsidR="00C042F7" w:rsidRPr="00C042F7">
              <w:rPr>
                <w:rFonts w:ascii="Arial Narrow" w:hAnsi="Arial Narrow" w:cs="Open Sans"/>
                <w:sz w:val="18"/>
                <w:szCs w:val="18"/>
              </w:rPr>
              <w:t>nt and duration of therapy].</w:t>
            </w:r>
          </w:p>
        </w:tc>
      </w:tr>
      <w:tr w:rsidR="000104D6" w:rsidRPr="002D4988" w:rsidTr="000367ED">
        <w:tc>
          <w:tcPr>
            <w:tcW w:w="851" w:type="pct"/>
            <w:shd w:val="clear" w:color="auto" w:fill="auto"/>
            <w:tcMar>
              <w:top w:w="120" w:type="dxa"/>
              <w:left w:w="240" w:type="dxa"/>
              <w:bottom w:w="120" w:type="dxa"/>
              <w:right w:w="240" w:type="dxa"/>
            </w:tcMar>
          </w:tcPr>
          <w:p w:rsidR="000104D6" w:rsidRPr="00C042F7" w:rsidRDefault="000104D6" w:rsidP="000079D4">
            <w:pPr>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rPr>
                <w:rFonts w:ascii="Arial Narrow" w:hAnsi="Arial Narrow" w:cs="Open Sans"/>
                <w:sz w:val="18"/>
                <w:szCs w:val="18"/>
              </w:rPr>
            </w:pPr>
            <w:r w:rsidRPr="00C042F7">
              <w:rPr>
                <w:rFonts w:ascii="Arial Narrow" w:hAnsi="Arial Narrow" w:cs="Open Sans"/>
                <w:b/>
                <w:bCs/>
                <w:sz w:val="18"/>
                <w:szCs w:val="18"/>
              </w:rPr>
              <w:t>Prescribing Instructions:</w:t>
            </w:r>
          </w:p>
          <w:p w:rsidR="000104D6" w:rsidRPr="00C042F7" w:rsidRDefault="000104D6" w:rsidP="000079D4">
            <w:pPr>
              <w:rPr>
                <w:rFonts w:ascii="Arial Narrow" w:hAnsi="Arial Narrow" w:cs="Open Sans"/>
                <w:bCs/>
                <w:sz w:val="18"/>
                <w:szCs w:val="18"/>
              </w:rPr>
            </w:pPr>
            <w:r w:rsidRPr="00C042F7">
              <w:rPr>
                <w:rFonts w:ascii="Arial Narrow" w:hAnsi="Arial Narrow" w:cs="Open Sans"/>
                <w:bCs/>
                <w:sz w:val="18"/>
                <w:szCs w:val="18"/>
              </w:rPr>
              <w:t>All tests and assessments should be performed preferably whilst still on treatment, but no longer than 4 weeks following cessation of the most recent prior conventional treatment.</w:t>
            </w:r>
          </w:p>
        </w:tc>
      </w:tr>
      <w:tr w:rsidR="000104D6" w:rsidRPr="002D4988" w:rsidTr="000367ED">
        <w:tc>
          <w:tcPr>
            <w:tcW w:w="851" w:type="pct"/>
            <w:shd w:val="clear" w:color="auto" w:fill="auto"/>
            <w:tcMar>
              <w:top w:w="120" w:type="dxa"/>
              <w:left w:w="240" w:type="dxa"/>
              <w:bottom w:w="120" w:type="dxa"/>
              <w:right w:w="240" w:type="dxa"/>
            </w:tcMar>
          </w:tcPr>
          <w:p w:rsidR="000104D6" w:rsidRPr="00C042F7" w:rsidRDefault="000104D6"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rPr>
                <w:rFonts w:ascii="Arial Narrow" w:hAnsi="Arial Narrow" w:cs="Open Sans"/>
                <w:sz w:val="18"/>
                <w:szCs w:val="18"/>
              </w:rPr>
            </w:pPr>
            <w:r w:rsidRPr="00C042F7">
              <w:rPr>
                <w:rFonts w:ascii="Arial Narrow" w:hAnsi="Arial Narrow" w:cs="Open Sans"/>
                <w:b/>
                <w:bCs/>
                <w:sz w:val="18"/>
                <w:szCs w:val="18"/>
              </w:rPr>
              <w:t>Prescribing Instructions:</w:t>
            </w:r>
          </w:p>
          <w:p w:rsidR="000104D6" w:rsidRPr="00C042F7" w:rsidRDefault="000104D6" w:rsidP="000079D4">
            <w:pPr>
              <w:rPr>
                <w:rFonts w:ascii="Arial Narrow" w:hAnsi="Arial Narrow" w:cs="Open Sans"/>
                <w:bCs/>
                <w:sz w:val="18"/>
                <w:szCs w:val="18"/>
              </w:rPr>
            </w:pPr>
            <w:r w:rsidRPr="00C042F7">
              <w:rPr>
                <w:rFonts w:ascii="Arial Narrow" w:hAnsi="Arial Narrow" w:cs="Open Sans"/>
                <w:bCs/>
                <w:sz w:val="18"/>
                <w:szCs w:val="18"/>
              </w:rPr>
              <w:t>The most recent Mayo clinic or partial Mayo clinic score must be no more than 4 weeks old at the time of application.</w:t>
            </w:r>
          </w:p>
        </w:tc>
      </w:tr>
      <w:tr w:rsidR="000104D6" w:rsidRPr="002D4988" w:rsidTr="000367ED">
        <w:tc>
          <w:tcPr>
            <w:tcW w:w="851" w:type="pct"/>
            <w:shd w:val="clear" w:color="auto" w:fill="auto"/>
            <w:tcMar>
              <w:top w:w="120" w:type="dxa"/>
              <w:left w:w="240" w:type="dxa"/>
              <w:bottom w:w="120" w:type="dxa"/>
              <w:right w:w="240" w:type="dxa"/>
            </w:tcMar>
          </w:tcPr>
          <w:p w:rsidR="000104D6" w:rsidRPr="00C042F7" w:rsidRDefault="000104D6" w:rsidP="000079D4">
            <w:pPr>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0104D6" w:rsidRPr="003D1C5B" w:rsidRDefault="000104D6" w:rsidP="000079D4">
            <w:pPr>
              <w:rPr>
                <w:rFonts w:ascii="Arial Narrow" w:hAnsi="Arial Narrow" w:cs="Open Sans"/>
                <w:b/>
                <w:bCs/>
                <w:i/>
                <w:sz w:val="18"/>
                <w:szCs w:val="18"/>
              </w:rPr>
            </w:pPr>
            <w:r w:rsidRPr="003D1C5B">
              <w:rPr>
                <w:rFonts w:ascii="Arial Narrow" w:hAnsi="Arial Narrow" w:cs="Open Sans"/>
                <w:b/>
                <w:bCs/>
                <w:i/>
                <w:sz w:val="18"/>
                <w:szCs w:val="18"/>
              </w:rPr>
              <w:t>Prescribing Instructions:</w:t>
            </w:r>
          </w:p>
          <w:p w:rsidR="000104D6" w:rsidRPr="00C042F7" w:rsidRDefault="000104D6" w:rsidP="000079D4">
            <w:pPr>
              <w:rPr>
                <w:rFonts w:ascii="Arial Narrow" w:hAnsi="Arial Narrow" w:cs="Open Sans"/>
                <w:b/>
                <w:bCs/>
                <w:sz w:val="18"/>
                <w:szCs w:val="18"/>
              </w:rPr>
            </w:pPr>
            <w:r w:rsidRPr="003D1C5B">
              <w:rPr>
                <w:rFonts w:ascii="Arial Narrow" w:hAnsi="Arial Narrow" w:cs="Open Sans"/>
                <w:bCs/>
                <w:i/>
                <w:sz w:val="18"/>
                <w:szCs w:val="18"/>
              </w:rPr>
              <w:t>A partial Mayo clinic assessment of the patient's response to this initial course of treatment must be conducted following a minimum of 12 weeks of treatment for adalimumab and up to 12 weeks after the first dose (6 weeks following the third dose) for tofacitinib, golimumab, infliximab and vedolizumab so that there is adequate time for a response to be demonstrated.</w:t>
            </w:r>
          </w:p>
        </w:tc>
      </w:tr>
      <w:tr w:rsidR="000104D6" w:rsidRPr="002D4988" w:rsidTr="000367ED">
        <w:tc>
          <w:tcPr>
            <w:tcW w:w="851" w:type="pct"/>
            <w:shd w:val="clear" w:color="auto" w:fill="auto"/>
            <w:tcMar>
              <w:top w:w="120" w:type="dxa"/>
              <w:left w:w="240" w:type="dxa"/>
              <w:bottom w:w="120" w:type="dxa"/>
              <w:right w:w="240" w:type="dxa"/>
            </w:tcMar>
          </w:tcPr>
          <w:p w:rsidR="000104D6" w:rsidRPr="00C042F7" w:rsidRDefault="000104D6" w:rsidP="000079D4">
            <w:pPr>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textAlignment w:val="baseline"/>
              <w:rPr>
                <w:rFonts w:ascii="Arial Narrow" w:hAnsi="Arial Narrow" w:cs="Open Sans"/>
                <w:b/>
                <w:bCs/>
                <w:iCs/>
                <w:sz w:val="18"/>
                <w:szCs w:val="18"/>
                <w:bdr w:val="none" w:sz="0" w:space="0" w:color="auto" w:frame="1"/>
              </w:rPr>
            </w:pPr>
            <w:r w:rsidRPr="00C042F7">
              <w:rPr>
                <w:rFonts w:ascii="Arial Narrow" w:hAnsi="Arial Narrow" w:cs="Open Sans"/>
                <w:b/>
                <w:bCs/>
                <w:iCs/>
                <w:sz w:val="18"/>
                <w:szCs w:val="18"/>
                <w:bdr w:val="none" w:sz="0" w:space="0" w:color="auto" w:frame="1"/>
              </w:rPr>
              <w:t>Prescribing Instructions:</w:t>
            </w:r>
          </w:p>
          <w:p w:rsidR="000104D6" w:rsidRPr="00C042F7" w:rsidRDefault="000104D6" w:rsidP="000079D4">
            <w:pPr>
              <w:rPr>
                <w:rFonts w:ascii="Arial Narrow" w:hAnsi="Arial Narrow" w:cs="Open Sans"/>
                <w:b/>
                <w:bCs/>
                <w:strike/>
                <w:sz w:val="18"/>
                <w:szCs w:val="18"/>
              </w:rPr>
            </w:pPr>
            <w:r w:rsidRPr="00C042F7">
              <w:rPr>
                <w:rFonts w:ascii="Arial Narrow" w:hAnsi="Arial Narrow" w:cs="Open Sans"/>
                <w:bCs/>
                <w:sz w:val="18"/>
                <w:szCs w:val="18"/>
                <w:bdr w:val="none" w:sz="0" w:space="0" w:color="auto" w:frame="1"/>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0104D6" w:rsidRPr="002D4988" w:rsidTr="000367ED">
        <w:tc>
          <w:tcPr>
            <w:tcW w:w="851" w:type="pct"/>
            <w:shd w:val="clear" w:color="auto" w:fill="auto"/>
            <w:tcMar>
              <w:top w:w="120" w:type="dxa"/>
              <w:left w:w="240" w:type="dxa"/>
              <w:bottom w:w="120" w:type="dxa"/>
              <w:right w:w="240" w:type="dxa"/>
            </w:tcMar>
          </w:tcPr>
          <w:p w:rsidR="000104D6" w:rsidRPr="00C042F7" w:rsidRDefault="000104D6" w:rsidP="000079D4">
            <w:pPr>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textAlignment w:val="baseline"/>
              <w:rPr>
                <w:rFonts w:ascii="Arial Narrow" w:hAnsi="Arial Narrow" w:cs="Open Sans"/>
                <w:sz w:val="18"/>
                <w:szCs w:val="18"/>
              </w:rPr>
            </w:pPr>
            <w:r w:rsidRPr="00C042F7">
              <w:rPr>
                <w:rFonts w:ascii="Arial Narrow" w:hAnsi="Arial Narrow" w:cs="Open Sans"/>
                <w:b/>
                <w:bCs/>
                <w:sz w:val="18"/>
                <w:szCs w:val="18"/>
                <w:bdr w:val="none" w:sz="0" w:space="0" w:color="auto" w:frame="1"/>
              </w:rPr>
              <w:t>Prescribing Instructions:</w:t>
            </w:r>
          </w:p>
          <w:p w:rsidR="000104D6" w:rsidRPr="00C042F7" w:rsidRDefault="000104D6" w:rsidP="000079D4">
            <w:pPr>
              <w:rPr>
                <w:rFonts w:ascii="Arial Narrow" w:hAnsi="Arial Narrow" w:cs="Open Sans"/>
                <w:b/>
                <w:bCs/>
                <w:strike/>
                <w:sz w:val="18"/>
                <w:szCs w:val="18"/>
              </w:rPr>
            </w:pPr>
            <w:r w:rsidRPr="00C042F7">
              <w:rPr>
                <w:rFonts w:ascii="Arial Narrow" w:hAnsi="Arial Narrow" w:cs="Open Sans"/>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0104D6" w:rsidRPr="002D4988" w:rsidTr="000367ED">
        <w:tc>
          <w:tcPr>
            <w:tcW w:w="851" w:type="pct"/>
            <w:shd w:val="clear" w:color="auto" w:fill="auto"/>
            <w:tcMar>
              <w:top w:w="120" w:type="dxa"/>
              <w:left w:w="240" w:type="dxa"/>
              <w:bottom w:w="120" w:type="dxa"/>
              <w:right w:w="240" w:type="dxa"/>
            </w:tcMar>
          </w:tcPr>
          <w:p w:rsidR="000104D6" w:rsidRPr="00C042F7" w:rsidRDefault="000104D6"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C042F7" w:rsidRDefault="000104D6" w:rsidP="000079D4">
            <w:pPr>
              <w:textAlignment w:val="baseline"/>
              <w:rPr>
                <w:rFonts w:ascii="Arial Narrow" w:hAnsi="Arial Narrow" w:cs="Open Sans"/>
                <w:sz w:val="18"/>
                <w:szCs w:val="18"/>
              </w:rPr>
            </w:pPr>
            <w:r w:rsidRPr="00C042F7">
              <w:rPr>
                <w:rFonts w:ascii="Arial Narrow" w:hAnsi="Arial Narrow" w:cs="Open Sans"/>
                <w:b/>
                <w:bCs/>
                <w:sz w:val="18"/>
                <w:szCs w:val="18"/>
                <w:bdr w:val="none" w:sz="0" w:space="0" w:color="auto" w:frame="1"/>
              </w:rPr>
              <w:t>Prescribing Instructions:</w:t>
            </w:r>
          </w:p>
          <w:p w:rsidR="000104D6" w:rsidRPr="00C042F7" w:rsidRDefault="000104D6" w:rsidP="000079D4">
            <w:pPr>
              <w:rPr>
                <w:rFonts w:ascii="Arial Narrow" w:hAnsi="Arial Narrow" w:cs="Open Sans"/>
                <w:bCs/>
                <w:sz w:val="18"/>
                <w:szCs w:val="18"/>
              </w:rPr>
            </w:pPr>
            <w:r w:rsidRPr="00C042F7">
              <w:rPr>
                <w:rFonts w:ascii="Arial Narrow" w:hAnsi="Arial Narrow" w:cs="Open Sans"/>
                <w:sz w:val="18"/>
                <w:szCs w:val="18"/>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0104D6" w:rsidRPr="002D4988" w:rsidTr="000367ED">
        <w:trPr>
          <w:trHeight w:val="586"/>
        </w:trPr>
        <w:tc>
          <w:tcPr>
            <w:tcW w:w="851" w:type="pct"/>
            <w:shd w:val="clear" w:color="auto" w:fill="auto"/>
            <w:tcMar>
              <w:top w:w="120" w:type="dxa"/>
              <w:left w:w="240" w:type="dxa"/>
              <w:bottom w:w="120" w:type="dxa"/>
              <w:right w:w="240" w:type="dxa"/>
            </w:tcMar>
          </w:tcPr>
          <w:p w:rsidR="000104D6" w:rsidRPr="002D19AB" w:rsidRDefault="000104D6" w:rsidP="002D19AB">
            <w:pPr>
              <w:jc w:val="left"/>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
                <w:bCs/>
                <w:color w:val="333333"/>
                <w:sz w:val="18"/>
                <w:szCs w:val="18"/>
              </w:rPr>
            </w:pPr>
            <w:r w:rsidRPr="002D4988">
              <w:rPr>
                <w:rFonts w:ascii="Arial Narrow" w:hAnsi="Arial Narrow" w:cs="Open Sans"/>
                <w:b/>
                <w:bCs/>
                <w:color w:val="333333"/>
                <w:sz w:val="18"/>
                <w:szCs w:val="18"/>
              </w:rPr>
              <w:t>Prescribing Instructions:</w:t>
            </w:r>
          </w:p>
          <w:p w:rsidR="000104D6" w:rsidRPr="002D4988" w:rsidRDefault="000104D6" w:rsidP="000079D4">
            <w:pPr>
              <w:rPr>
                <w:rFonts w:ascii="Arial Narrow" w:hAnsi="Arial Narrow" w:cstheme="minorHAnsi"/>
                <w:sz w:val="18"/>
                <w:szCs w:val="18"/>
              </w:rPr>
            </w:pPr>
            <w:r w:rsidRPr="002D4988">
              <w:rPr>
                <w:rFonts w:ascii="Arial Narrow" w:hAnsi="Arial Narrow" w:cstheme="minorHAnsi"/>
                <w:sz w:val="18"/>
                <w:szCs w:val="18"/>
              </w:rPr>
              <w:t>If treatment with any of the above-mentioned drugs is contraindicated according to the relevant TGA-approved Product Information, details must be provided at the time of application.</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
                <w:bCs/>
                <w:color w:val="333333"/>
                <w:sz w:val="18"/>
                <w:szCs w:val="18"/>
              </w:rPr>
            </w:pPr>
            <w:r w:rsidRPr="002D4988">
              <w:rPr>
                <w:rFonts w:ascii="Arial Narrow" w:hAnsi="Arial Narrow" w:cs="Open Sans"/>
                <w:b/>
                <w:bCs/>
                <w:color w:val="333333"/>
                <w:sz w:val="18"/>
                <w:szCs w:val="18"/>
              </w:rPr>
              <w:t>Prescribing Instructions:</w:t>
            </w:r>
          </w:p>
          <w:p w:rsidR="000104D6" w:rsidRPr="002D4988" w:rsidRDefault="000104D6" w:rsidP="000079D4">
            <w:pPr>
              <w:rPr>
                <w:rFonts w:ascii="Arial Narrow" w:hAnsi="Arial Narrow" w:cs="Open Sans"/>
                <w:b/>
                <w:bCs/>
                <w:color w:val="333333"/>
                <w:sz w:val="18"/>
                <w:szCs w:val="18"/>
              </w:rPr>
            </w:pPr>
            <w:r w:rsidRPr="002D4988">
              <w:rPr>
                <w:rFonts w:ascii="Arial Narrow" w:hAnsi="Arial Narrow" w:cstheme="minorHAnsi"/>
                <w:sz w:val="18"/>
                <w:szCs w:val="18"/>
              </w:rPr>
              <w:t>If intolerance to treatment develops during the relevant period of use, which is of a severity necessitating permanent treatment withdrawal, details of this toxicity must be provided at the time of application.</w:t>
            </w:r>
          </w:p>
        </w:tc>
      </w:tr>
      <w:tr w:rsidR="000104D6" w:rsidRPr="002D4988" w:rsidTr="000367ED">
        <w:tc>
          <w:tcPr>
            <w:tcW w:w="851" w:type="pct"/>
            <w:shd w:val="clear" w:color="auto" w:fill="auto"/>
            <w:tcMar>
              <w:top w:w="120" w:type="dxa"/>
              <w:left w:w="240" w:type="dxa"/>
              <w:bottom w:w="120" w:type="dxa"/>
              <w:right w:w="240" w:type="dxa"/>
            </w:tcMar>
          </w:tcPr>
          <w:p w:rsidR="000104D6" w:rsidRPr="00283EA0" w:rsidRDefault="000104D6" w:rsidP="000079D4">
            <w:pPr>
              <w:jc w:val="left"/>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
                <w:bCs/>
                <w:color w:val="333333"/>
                <w:sz w:val="18"/>
                <w:szCs w:val="18"/>
              </w:rPr>
            </w:pPr>
            <w:r w:rsidRPr="002D4988">
              <w:rPr>
                <w:rFonts w:ascii="Arial Narrow" w:hAnsi="Arial Narrow" w:cs="Open Sans"/>
                <w:b/>
                <w:bCs/>
                <w:color w:val="333333"/>
                <w:sz w:val="18"/>
                <w:szCs w:val="18"/>
              </w:rPr>
              <w:t>Prescribing Instructions:</w:t>
            </w:r>
          </w:p>
          <w:p w:rsidR="000104D6" w:rsidRPr="002D4988" w:rsidRDefault="000104D6" w:rsidP="000079D4">
            <w:pPr>
              <w:rPr>
                <w:rFonts w:ascii="Arial Narrow" w:hAnsi="Arial Narrow" w:cs="Open Sans"/>
                <w:b/>
                <w:bCs/>
                <w:color w:val="333333"/>
                <w:sz w:val="18"/>
                <w:szCs w:val="18"/>
              </w:rPr>
            </w:pPr>
            <w:r w:rsidRPr="002D4988">
              <w:rPr>
                <w:rFonts w:ascii="Arial Narrow" w:hAnsi="Arial Narrow" w:cstheme="minorHAnsi"/>
                <w:sz w:val="18"/>
                <w:szCs w:val="18"/>
              </w:rPr>
              <w:t xml:space="preserve">A maximum of 16 weeks of treatment with this drug will be approved under this criterion. </w:t>
            </w:r>
          </w:p>
        </w:tc>
      </w:tr>
      <w:tr w:rsidR="000104D6" w:rsidRPr="002D4988" w:rsidTr="000367ED">
        <w:tc>
          <w:tcPr>
            <w:tcW w:w="851" w:type="pct"/>
            <w:shd w:val="clear" w:color="auto" w:fill="auto"/>
            <w:tcMar>
              <w:top w:w="120" w:type="dxa"/>
              <w:left w:w="240" w:type="dxa"/>
              <w:bottom w:w="120" w:type="dxa"/>
              <w:right w:w="240" w:type="dxa"/>
            </w:tcMar>
          </w:tcPr>
          <w:p w:rsidR="000104D6" w:rsidRPr="00283EA0" w:rsidRDefault="000104D6" w:rsidP="000079D4">
            <w:pPr>
              <w:jc w:val="left"/>
              <w:textAlignment w:val="baseline"/>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i/>
                <w:sz w:val="18"/>
                <w:szCs w:val="18"/>
              </w:rPr>
            </w:pPr>
            <w:r w:rsidRPr="003D1C5B">
              <w:rPr>
                <w:rFonts w:ascii="Arial Narrow" w:hAnsi="Arial Narrow" w:cs="Open Sans"/>
                <w:b/>
                <w:bCs/>
                <w:i/>
                <w:sz w:val="18"/>
                <w:szCs w:val="18"/>
                <w:bdr w:val="none" w:sz="0" w:space="0" w:color="auto" w:frame="1"/>
              </w:rPr>
              <w:t>Administrative Advice:</w:t>
            </w:r>
          </w:p>
          <w:p w:rsidR="000104D6" w:rsidRPr="003D1C5B" w:rsidRDefault="000104D6" w:rsidP="000079D4">
            <w:pPr>
              <w:rPr>
                <w:rFonts w:ascii="Arial Narrow" w:hAnsi="Arial Narrow" w:cstheme="minorHAnsi"/>
                <w:i/>
                <w:sz w:val="18"/>
                <w:szCs w:val="18"/>
              </w:rPr>
            </w:pPr>
            <w:r w:rsidRPr="003D1C5B">
              <w:rPr>
                <w:rFonts w:ascii="Arial Narrow" w:hAnsi="Arial Narrow" w:cstheme="minorHAnsi"/>
                <w:i/>
                <w:sz w:val="18"/>
                <w:szCs w:val="18"/>
              </w:rPr>
              <w:t>Details of accepted toxicities including severity can be found on the Services Australia website at</w:t>
            </w:r>
            <w:r w:rsidRPr="003D1C5B">
              <w:rPr>
                <w:rFonts w:ascii="Arial Narrow" w:hAnsi="Arial Narrow" w:cstheme="minorHAnsi"/>
                <w:i/>
                <w:strike/>
                <w:sz w:val="18"/>
                <w:szCs w:val="18"/>
              </w:rPr>
              <w:t xml:space="preserve"> </w:t>
            </w:r>
            <w:r w:rsidRPr="003D1C5B">
              <w:rPr>
                <w:rFonts w:ascii="Arial Narrow" w:hAnsi="Arial Narrow" w:cstheme="minorHAnsi"/>
                <w:i/>
                <w:sz w:val="18"/>
                <w:szCs w:val="18"/>
              </w:rPr>
              <w:t>www.servicesaustralia.gov.au.</w:t>
            </w:r>
          </w:p>
          <w:p w:rsidR="000104D6" w:rsidRPr="003D1C5B" w:rsidRDefault="000104D6" w:rsidP="000079D4">
            <w:pPr>
              <w:rPr>
                <w:rFonts w:ascii="Arial Narrow" w:hAnsi="Arial Narrow" w:cs="Open Sans"/>
                <w:b/>
                <w:bCs/>
                <w:i/>
                <w:strike/>
                <w:sz w:val="18"/>
                <w:szCs w:val="18"/>
              </w:rPr>
            </w:pPr>
          </w:p>
        </w:tc>
      </w:tr>
      <w:tr w:rsidR="000104D6" w:rsidRPr="002D4988" w:rsidTr="000367ED">
        <w:tc>
          <w:tcPr>
            <w:tcW w:w="851" w:type="pct"/>
            <w:shd w:val="clear" w:color="auto" w:fill="auto"/>
            <w:tcMar>
              <w:top w:w="120" w:type="dxa"/>
              <w:left w:w="240" w:type="dxa"/>
              <w:bottom w:w="120" w:type="dxa"/>
              <w:right w:w="240" w:type="dxa"/>
            </w:tcMar>
          </w:tcPr>
          <w:p w:rsidR="00F24E03" w:rsidRPr="00283EA0" w:rsidRDefault="00F24E03" w:rsidP="000079D4">
            <w:pPr>
              <w:jc w:val="cente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283EA0" w:rsidRDefault="000104D6" w:rsidP="000079D4">
            <w:pPr>
              <w:textAlignment w:val="baseline"/>
              <w:rPr>
                <w:rFonts w:ascii="Arial Narrow" w:hAnsi="Arial Narrow" w:cs="Open Sans"/>
                <w:sz w:val="18"/>
                <w:szCs w:val="18"/>
              </w:rPr>
            </w:pPr>
            <w:r w:rsidRPr="00283EA0">
              <w:rPr>
                <w:rFonts w:ascii="Arial Narrow" w:hAnsi="Arial Narrow" w:cs="Open Sans"/>
                <w:b/>
                <w:bCs/>
                <w:sz w:val="18"/>
                <w:szCs w:val="18"/>
                <w:bdr w:val="none" w:sz="0" w:space="0" w:color="auto" w:frame="1"/>
              </w:rPr>
              <w:t>Administrative Advice:</w:t>
            </w:r>
          </w:p>
          <w:p w:rsidR="000104D6" w:rsidRPr="00283EA0" w:rsidRDefault="000104D6" w:rsidP="000079D4">
            <w:pPr>
              <w:textAlignment w:val="baseline"/>
              <w:rPr>
                <w:rFonts w:ascii="Arial Narrow" w:hAnsi="Arial Narrow" w:cs="Open Sans"/>
                <w:sz w:val="18"/>
                <w:szCs w:val="18"/>
              </w:rPr>
            </w:pPr>
            <w:r w:rsidRPr="00283EA0">
              <w:rPr>
                <w:rFonts w:ascii="Arial Narrow" w:hAnsi="Arial Narrow" w:cs="Open Sans"/>
                <w:sz w:val="18"/>
                <w:szCs w:val="18"/>
              </w:rPr>
              <w:t>Any queries concerning the arrangements to prescribe may be directed to Services Australia on 1800 700 270 (hours of operation 8 a.m. to 5 p.m. EST Monday to Friday).</w:t>
            </w:r>
          </w:p>
          <w:p w:rsidR="000104D6" w:rsidRPr="00283EA0" w:rsidRDefault="000104D6" w:rsidP="000079D4">
            <w:pPr>
              <w:textAlignment w:val="baseline"/>
              <w:rPr>
                <w:rFonts w:ascii="Arial Narrow" w:hAnsi="Arial Narrow" w:cs="Open Sans"/>
                <w:sz w:val="18"/>
                <w:szCs w:val="18"/>
              </w:rPr>
            </w:pPr>
            <w:r w:rsidRPr="00283EA0">
              <w:rPr>
                <w:rFonts w:ascii="Arial Narrow" w:hAnsi="Arial Narrow" w:cs="Open Sans"/>
                <w:sz w:val="18"/>
                <w:szCs w:val="18"/>
              </w:rPr>
              <w:t>Prescribing information (including Authority Application forms and other relevant documentation as applicable) is available on the Services Australia website at www.servicesaustralia.gov.au</w:t>
            </w:r>
          </w:p>
          <w:p w:rsidR="000104D6" w:rsidRPr="00283EA0" w:rsidRDefault="000104D6" w:rsidP="000079D4">
            <w:pPr>
              <w:textAlignment w:val="baseline"/>
              <w:rPr>
                <w:rFonts w:ascii="Arial Narrow" w:hAnsi="Arial Narrow" w:cs="Open Sans"/>
                <w:sz w:val="18"/>
                <w:szCs w:val="18"/>
              </w:rPr>
            </w:pPr>
            <w:r w:rsidRPr="00283EA0">
              <w:rPr>
                <w:rFonts w:ascii="Arial Narrow" w:hAnsi="Arial Narrow" w:cs="Open Sans"/>
                <w:sz w:val="18"/>
                <w:szCs w:val="18"/>
              </w:rPr>
              <w:t>Applications for authority to prescribe should be submitted online using the form upload facility in Health Professional Online Services (HPOS) at www.servicesaustralia.gov.au/hpos</w:t>
            </w:r>
          </w:p>
          <w:p w:rsidR="000104D6" w:rsidRPr="00283EA0" w:rsidRDefault="000104D6" w:rsidP="000079D4">
            <w:pPr>
              <w:textAlignment w:val="baseline"/>
              <w:rPr>
                <w:rFonts w:ascii="Arial Narrow" w:hAnsi="Arial Narrow" w:cs="Open Sans"/>
                <w:sz w:val="18"/>
                <w:szCs w:val="18"/>
              </w:rPr>
            </w:pPr>
            <w:r w:rsidRPr="00283EA0">
              <w:rPr>
                <w:rFonts w:ascii="Arial Narrow" w:hAnsi="Arial Narrow" w:cs="Open Sans"/>
                <w:sz w:val="18"/>
                <w:szCs w:val="18"/>
              </w:rPr>
              <w:t>Or mailed to:</w:t>
            </w:r>
          </w:p>
          <w:p w:rsidR="000104D6" w:rsidRPr="00283EA0" w:rsidRDefault="000104D6" w:rsidP="000079D4">
            <w:pPr>
              <w:textAlignment w:val="baseline"/>
              <w:rPr>
                <w:rFonts w:ascii="Arial Narrow" w:hAnsi="Arial Narrow" w:cs="Open Sans"/>
                <w:sz w:val="18"/>
                <w:szCs w:val="18"/>
              </w:rPr>
            </w:pPr>
            <w:r w:rsidRPr="00283EA0">
              <w:rPr>
                <w:rFonts w:ascii="Arial Narrow" w:hAnsi="Arial Narrow" w:cs="Open Sans"/>
                <w:sz w:val="18"/>
                <w:szCs w:val="18"/>
              </w:rPr>
              <w:t>Services Australia</w:t>
            </w:r>
          </w:p>
          <w:p w:rsidR="000104D6" w:rsidRPr="00283EA0" w:rsidRDefault="000104D6" w:rsidP="000079D4">
            <w:pPr>
              <w:textAlignment w:val="baseline"/>
              <w:rPr>
                <w:rFonts w:ascii="Arial Narrow" w:hAnsi="Arial Narrow" w:cs="Open Sans"/>
                <w:sz w:val="18"/>
                <w:szCs w:val="18"/>
              </w:rPr>
            </w:pPr>
            <w:r w:rsidRPr="00283EA0">
              <w:rPr>
                <w:rFonts w:ascii="Arial Narrow" w:hAnsi="Arial Narrow" w:cs="Open Sans"/>
                <w:sz w:val="18"/>
                <w:szCs w:val="18"/>
              </w:rPr>
              <w:t>Complex Drugs</w:t>
            </w:r>
          </w:p>
          <w:p w:rsidR="000104D6" w:rsidRPr="00283EA0" w:rsidRDefault="000104D6" w:rsidP="000079D4">
            <w:pPr>
              <w:textAlignment w:val="baseline"/>
              <w:rPr>
                <w:rFonts w:ascii="Arial Narrow" w:hAnsi="Arial Narrow" w:cs="Open Sans"/>
                <w:sz w:val="18"/>
                <w:szCs w:val="18"/>
              </w:rPr>
            </w:pPr>
            <w:r w:rsidRPr="00283EA0">
              <w:rPr>
                <w:rFonts w:ascii="Arial Narrow" w:hAnsi="Arial Narrow" w:cs="Open Sans"/>
                <w:sz w:val="18"/>
                <w:szCs w:val="18"/>
              </w:rPr>
              <w:t>Reply Paid 9826</w:t>
            </w:r>
          </w:p>
          <w:p w:rsidR="000104D6" w:rsidRPr="00283EA0" w:rsidRDefault="000104D6" w:rsidP="000079D4">
            <w:pPr>
              <w:jc w:val="left"/>
              <w:textAlignment w:val="baseline"/>
              <w:rPr>
                <w:rFonts w:ascii="Arial Narrow" w:hAnsi="Arial Narrow" w:cs="Open Sans"/>
                <w:b/>
                <w:bCs/>
                <w:strike/>
                <w:sz w:val="18"/>
                <w:szCs w:val="18"/>
                <w:bdr w:val="none" w:sz="0" w:space="0" w:color="auto" w:frame="1"/>
              </w:rPr>
            </w:pPr>
            <w:r w:rsidRPr="00283EA0">
              <w:rPr>
                <w:rFonts w:ascii="Arial Narrow" w:hAnsi="Arial Narrow" w:cs="Open Sans"/>
                <w:sz w:val="18"/>
                <w:szCs w:val="18"/>
              </w:rPr>
              <w:t>HOBART TAS 7001</w:t>
            </w:r>
          </w:p>
        </w:tc>
      </w:tr>
    </w:tbl>
    <w:p w:rsidR="000104D6" w:rsidRPr="002D4988" w:rsidRDefault="000104D6" w:rsidP="000079D4">
      <w:pPr>
        <w:jc w:val="left"/>
        <w:rPr>
          <w:rFonts w:ascii="Arial Narrow" w:hAnsi="Arial Narrow"/>
          <w:b/>
          <w:i/>
          <w:sz w:val="18"/>
          <w:szCs w:val="18"/>
        </w:rPr>
      </w:pPr>
    </w:p>
    <w:p w:rsidR="000104D6" w:rsidRPr="002D4988" w:rsidRDefault="000104D6" w:rsidP="000079D4">
      <w:pPr>
        <w:textAlignment w:val="baseline"/>
        <w:outlineLvl w:val="3"/>
        <w:rPr>
          <w:rFonts w:ascii="Arial Narrow" w:hAnsi="Arial Narrow" w:cstheme="minorHAnsi"/>
          <w:sz w:val="18"/>
          <w:szCs w:val="18"/>
        </w:rPr>
      </w:pPr>
      <w:r w:rsidRPr="002D4988">
        <w:rPr>
          <w:rFonts w:ascii="Arial Narrow" w:hAnsi="Arial Narrow"/>
          <w:sz w:val="18"/>
          <w:szCs w:val="18"/>
        </w:rPr>
        <w:t>Restriction Summary NEW / ToC: NEW: Authority Required</w:t>
      </w:r>
      <w:r w:rsidRPr="002D4988">
        <w:rPr>
          <w:rFonts w:ascii="Arial Narrow" w:hAnsi="Arial Narrow" w:cstheme="minorHAnsi"/>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5"/>
        <w:gridCol w:w="7482"/>
      </w:tblGrid>
      <w:tr w:rsidR="000104D6" w:rsidRPr="002D4988" w:rsidTr="00FC3BE5">
        <w:tc>
          <w:tcPr>
            <w:tcW w:w="851" w:type="pct"/>
            <w:shd w:val="clear" w:color="auto" w:fill="auto"/>
            <w:tcMar>
              <w:top w:w="120" w:type="dxa"/>
              <w:left w:w="240" w:type="dxa"/>
              <w:bottom w:w="120" w:type="dxa"/>
              <w:right w:w="240" w:type="dxa"/>
            </w:tcMar>
          </w:tcPr>
          <w:p w:rsidR="000104D6" w:rsidRPr="00283EA0" w:rsidRDefault="000104D6" w:rsidP="000079D4">
            <w:pPr>
              <w:jc w:val="left"/>
              <w:rPr>
                <w:rFonts w:ascii="Arial Narrow" w:hAnsi="Arial Narrow" w:cs="Open Sans"/>
                <w:b/>
                <w:sz w:val="18"/>
                <w:szCs w:val="18"/>
              </w:rPr>
            </w:pPr>
          </w:p>
        </w:tc>
        <w:tc>
          <w:tcPr>
            <w:tcW w:w="4149" w:type="pct"/>
            <w:shd w:val="clear" w:color="auto" w:fill="auto"/>
            <w:tcMar>
              <w:top w:w="120" w:type="dxa"/>
              <w:left w:w="240" w:type="dxa"/>
              <w:bottom w:w="120" w:type="dxa"/>
              <w:right w:w="240" w:type="dxa"/>
            </w:tcMar>
            <w:hideMark/>
          </w:tcPr>
          <w:p w:rsidR="000104D6" w:rsidRPr="00283EA0" w:rsidRDefault="000104D6" w:rsidP="000079D4">
            <w:pPr>
              <w:tabs>
                <w:tab w:val="left" w:pos="960"/>
              </w:tabs>
              <w:jc w:val="left"/>
              <w:rPr>
                <w:rFonts w:ascii="Arial Narrow" w:hAnsi="Arial Narrow"/>
                <w:b/>
                <w:sz w:val="18"/>
                <w:szCs w:val="18"/>
              </w:rPr>
            </w:pPr>
            <w:r w:rsidRPr="00283EA0">
              <w:rPr>
                <w:rFonts w:ascii="Arial Narrow" w:hAnsi="Arial Narrow"/>
                <w:b/>
                <w:sz w:val="18"/>
                <w:szCs w:val="18"/>
              </w:rPr>
              <w:t>Category / Program:</w:t>
            </w:r>
            <w:r w:rsidRPr="00283EA0">
              <w:rPr>
                <w:rFonts w:ascii="Arial Narrow" w:hAnsi="Arial Narrow"/>
                <w:sz w:val="18"/>
                <w:szCs w:val="18"/>
              </w:rPr>
              <w:t xml:space="preserve"> GENERAL – General Schedule (Code GE)</w:t>
            </w:r>
          </w:p>
        </w:tc>
      </w:tr>
      <w:tr w:rsidR="000104D6" w:rsidRPr="002D4988" w:rsidTr="000367ED">
        <w:tc>
          <w:tcPr>
            <w:tcW w:w="851" w:type="pct"/>
            <w:shd w:val="clear" w:color="auto" w:fill="auto"/>
            <w:tcMar>
              <w:top w:w="120" w:type="dxa"/>
              <w:left w:w="240" w:type="dxa"/>
              <w:bottom w:w="120" w:type="dxa"/>
              <w:right w:w="240" w:type="dxa"/>
            </w:tcMar>
          </w:tcPr>
          <w:p w:rsidR="000104D6" w:rsidRPr="00283EA0"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hideMark/>
          </w:tcPr>
          <w:p w:rsidR="000104D6" w:rsidRPr="00283EA0" w:rsidRDefault="000104D6" w:rsidP="000079D4">
            <w:pPr>
              <w:tabs>
                <w:tab w:val="left" w:pos="960"/>
              </w:tabs>
              <w:jc w:val="left"/>
              <w:rPr>
                <w:rFonts w:ascii="Arial Narrow" w:hAnsi="Arial Narrow" w:cs="Times New Roman"/>
                <w:b/>
                <w:sz w:val="18"/>
                <w:szCs w:val="18"/>
              </w:rPr>
            </w:pPr>
            <w:r w:rsidRPr="00283EA0">
              <w:rPr>
                <w:rFonts w:ascii="Arial Narrow" w:hAnsi="Arial Narrow"/>
                <w:b/>
                <w:sz w:val="18"/>
                <w:szCs w:val="18"/>
              </w:rPr>
              <w:t xml:space="preserve">Prescriber type:  </w:t>
            </w:r>
            <w:r w:rsidRPr="00283EA0">
              <w:rPr>
                <w:rFonts w:ascii="Arial Narrow" w:hAnsi="Arial Narrow"/>
                <w:sz w:val="18"/>
                <w:szCs w:val="18"/>
              </w:rPr>
              <w:fldChar w:fldCharType="begin">
                <w:ffData>
                  <w:name w:val="Check1"/>
                  <w:enabled/>
                  <w:calcOnExit w:val="0"/>
                  <w:checkBox>
                    <w:sizeAuto/>
                    <w:default w:val="0"/>
                  </w:checkBox>
                </w:ffData>
              </w:fldChar>
            </w:r>
            <w:r w:rsidRPr="00283EA0">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83EA0">
              <w:rPr>
                <w:rFonts w:ascii="Arial Narrow" w:hAnsi="Arial Narrow"/>
                <w:sz w:val="18"/>
                <w:szCs w:val="18"/>
              </w:rPr>
              <w:fldChar w:fldCharType="end"/>
            </w:r>
            <w:r w:rsidRPr="00283EA0">
              <w:rPr>
                <w:rFonts w:ascii="Arial Narrow" w:hAnsi="Arial Narrow"/>
                <w:sz w:val="18"/>
                <w:szCs w:val="18"/>
              </w:rPr>
              <w:t xml:space="preserve">Dental  </w:t>
            </w:r>
            <w:r w:rsidRPr="00283EA0">
              <w:rPr>
                <w:rFonts w:ascii="Arial Narrow" w:hAnsi="Arial Narrow"/>
                <w:sz w:val="18"/>
                <w:szCs w:val="18"/>
              </w:rPr>
              <w:fldChar w:fldCharType="begin">
                <w:ffData>
                  <w:name w:val=""/>
                  <w:enabled/>
                  <w:calcOnExit w:val="0"/>
                  <w:checkBox>
                    <w:sizeAuto/>
                    <w:default w:val="1"/>
                  </w:checkBox>
                </w:ffData>
              </w:fldChar>
            </w:r>
            <w:r w:rsidRPr="00283EA0">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83EA0">
              <w:rPr>
                <w:rFonts w:ascii="Arial Narrow" w:hAnsi="Arial Narrow"/>
                <w:sz w:val="18"/>
                <w:szCs w:val="18"/>
              </w:rPr>
              <w:fldChar w:fldCharType="end"/>
            </w:r>
            <w:r w:rsidRPr="00283EA0">
              <w:rPr>
                <w:rFonts w:ascii="Arial Narrow" w:hAnsi="Arial Narrow"/>
                <w:sz w:val="18"/>
                <w:szCs w:val="18"/>
              </w:rPr>
              <w:t xml:space="preserve">Medical Practitioners  </w:t>
            </w:r>
            <w:r w:rsidRPr="00283EA0">
              <w:rPr>
                <w:rFonts w:ascii="Arial Narrow" w:hAnsi="Arial Narrow"/>
                <w:sz w:val="18"/>
                <w:szCs w:val="18"/>
              </w:rPr>
              <w:fldChar w:fldCharType="begin">
                <w:ffData>
                  <w:name w:val=""/>
                  <w:enabled/>
                  <w:calcOnExit w:val="0"/>
                  <w:checkBox>
                    <w:sizeAuto/>
                    <w:default w:val="0"/>
                  </w:checkBox>
                </w:ffData>
              </w:fldChar>
            </w:r>
            <w:r w:rsidRPr="00283EA0">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83EA0">
              <w:rPr>
                <w:rFonts w:ascii="Arial Narrow" w:hAnsi="Arial Narrow"/>
                <w:sz w:val="18"/>
                <w:szCs w:val="18"/>
              </w:rPr>
              <w:fldChar w:fldCharType="end"/>
            </w:r>
            <w:r w:rsidRPr="00283EA0">
              <w:rPr>
                <w:rFonts w:ascii="Arial Narrow" w:hAnsi="Arial Narrow"/>
                <w:sz w:val="18"/>
                <w:szCs w:val="18"/>
              </w:rPr>
              <w:t xml:space="preserve">Nurse practitioners  </w:t>
            </w:r>
            <w:r w:rsidRPr="00283EA0">
              <w:rPr>
                <w:rFonts w:ascii="Arial Narrow" w:hAnsi="Arial Narrow"/>
                <w:sz w:val="18"/>
                <w:szCs w:val="18"/>
              </w:rPr>
              <w:fldChar w:fldCharType="begin">
                <w:ffData>
                  <w:name w:val=""/>
                  <w:enabled/>
                  <w:calcOnExit w:val="0"/>
                  <w:checkBox>
                    <w:sizeAuto/>
                    <w:default w:val="0"/>
                  </w:checkBox>
                </w:ffData>
              </w:fldChar>
            </w:r>
            <w:r w:rsidRPr="00283EA0">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83EA0">
              <w:rPr>
                <w:rFonts w:ascii="Arial Narrow" w:hAnsi="Arial Narrow"/>
                <w:sz w:val="18"/>
                <w:szCs w:val="18"/>
              </w:rPr>
              <w:fldChar w:fldCharType="end"/>
            </w:r>
            <w:r w:rsidRPr="00283EA0">
              <w:rPr>
                <w:rFonts w:ascii="Arial Narrow" w:hAnsi="Arial Narrow"/>
                <w:sz w:val="18"/>
                <w:szCs w:val="18"/>
              </w:rPr>
              <w:t xml:space="preserve">Optometrists </w:t>
            </w:r>
            <w:r w:rsidRPr="00283EA0">
              <w:rPr>
                <w:rFonts w:ascii="Arial Narrow" w:hAnsi="Arial Narrow"/>
                <w:sz w:val="18"/>
                <w:szCs w:val="18"/>
              </w:rPr>
              <w:fldChar w:fldCharType="begin">
                <w:ffData>
                  <w:name w:val="Check5"/>
                  <w:enabled/>
                  <w:calcOnExit w:val="0"/>
                  <w:checkBox>
                    <w:sizeAuto/>
                    <w:default w:val="0"/>
                  </w:checkBox>
                </w:ffData>
              </w:fldChar>
            </w:r>
            <w:r w:rsidRPr="00283EA0">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83EA0">
              <w:rPr>
                <w:rFonts w:ascii="Arial Narrow" w:hAnsi="Arial Narrow"/>
                <w:sz w:val="18"/>
                <w:szCs w:val="18"/>
              </w:rPr>
              <w:fldChar w:fldCharType="end"/>
            </w:r>
            <w:r w:rsidRPr="00283EA0">
              <w:rPr>
                <w:rFonts w:ascii="Arial Narrow" w:hAnsi="Arial Narrow"/>
                <w:sz w:val="18"/>
                <w:szCs w:val="18"/>
              </w:rPr>
              <w:t>Midwives</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hideMark/>
          </w:tcPr>
          <w:p w:rsidR="003D1C5B" w:rsidRPr="00283EA0" w:rsidRDefault="003D1C5B" w:rsidP="000079D4">
            <w:pPr>
              <w:jc w:val="left"/>
              <w:rPr>
                <w:rFonts w:ascii="Arial Narrow" w:hAnsi="Arial Narrow" w:cs="Times New Roman"/>
                <w:sz w:val="18"/>
                <w:szCs w:val="18"/>
              </w:rPr>
            </w:pPr>
            <w:r w:rsidRPr="002D4988">
              <w:rPr>
                <w:rFonts w:ascii="Arial Narrow" w:hAnsi="Arial Narrow" w:cs="Times New Roman"/>
                <w:b/>
                <w:sz w:val="18"/>
                <w:szCs w:val="18"/>
              </w:rPr>
              <w:t xml:space="preserve">Restriction type  / Method: </w:t>
            </w:r>
            <w:r w:rsidRPr="002D4988">
              <w:rPr>
                <w:rFonts w:ascii="Arial Narrow" w:hAnsi="Arial Narrow" w:cs="Times New Roman"/>
                <w:sz w:val="18"/>
                <w:szCs w:val="18"/>
              </w:rPr>
              <w:fldChar w:fldCharType="begin">
                <w:ffData>
                  <w:name w:val=""/>
                  <w:enabled/>
                  <w:calcOnExit w:val="0"/>
                  <w:checkBox>
                    <w:sizeAuto/>
                    <w:default w:val="1"/>
                  </w:checkBox>
                </w:ffData>
              </w:fldChar>
            </w:r>
            <w:r w:rsidRPr="002D4988">
              <w:rPr>
                <w:rFonts w:ascii="Arial Narrow" w:hAnsi="Arial Narrow" w:cs="Times New Roman"/>
                <w:sz w:val="18"/>
                <w:szCs w:val="18"/>
              </w:rPr>
              <w:instrText xml:space="preserve"> FORMCHECKBOX </w:instrText>
            </w:r>
            <w:r w:rsidR="00D6581F">
              <w:rPr>
                <w:rFonts w:ascii="Arial Narrow" w:hAnsi="Arial Narrow" w:cs="Times New Roman"/>
                <w:sz w:val="18"/>
                <w:szCs w:val="18"/>
              </w:rPr>
            </w:r>
            <w:r w:rsidR="00D6581F">
              <w:rPr>
                <w:rFonts w:ascii="Arial Narrow" w:hAnsi="Arial Narrow" w:cs="Times New Roman"/>
                <w:sz w:val="18"/>
                <w:szCs w:val="18"/>
              </w:rPr>
              <w:fldChar w:fldCharType="separate"/>
            </w:r>
            <w:r w:rsidRPr="002D4988">
              <w:rPr>
                <w:rFonts w:ascii="Arial Narrow" w:hAnsi="Arial Narrow" w:cs="Times New Roman"/>
                <w:sz w:val="18"/>
                <w:szCs w:val="18"/>
              </w:rPr>
              <w:fldChar w:fldCharType="end"/>
            </w:r>
            <w:r w:rsidRPr="002D4988">
              <w:rPr>
                <w:rFonts w:ascii="Arial Narrow" w:hAnsi="Arial Narrow" w:cs="Times New Roman"/>
                <w:sz w:val="18"/>
                <w:szCs w:val="18"/>
              </w:rPr>
              <w:t>Authority Required - delayed/non-immediate assessment by Services Australia (lodgement via postal service or electronic upload)</w:t>
            </w:r>
          </w:p>
        </w:tc>
      </w:tr>
      <w:tr w:rsidR="003D1C5B" w:rsidRPr="002D4988" w:rsidTr="000367ED">
        <w:trPr>
          <w:trHeight w:val="442"/>
        </w:trPr>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jc w:val="left"/>
              <w:textAlignment w:val="baseline"/>
              <w:rPr>
                <w:rFonts w:ascii="Arial Narrow" w:hAnsi="Arial Narrow" w:cs="Open Sans"/>
                <w:b/>
                <w:bCs/>
                <w:sz w:val="18"/>
                <w:szCs w:val="18"/>
                <w:bdr w:val="none" w:sz="0" w:space="0" w:color="auto" w:frame="1"/>
              </w:rPr>
            </w:pPr>
            <w:r w:rsidRPr="00283EA0">
              <w:rPr>
                <w:rFonts w:ascii="Arial Narrow" w:hAnsi="Arial Narrow" w:cs="Open Sans"/>
                <w:b/>
                <w:bCs/>
                <w:sz w:val="18"/>
                <w:szCs w:val="18"/>
                <w:bdr w:val="none" w:sz="0" w:space="0" w:color="auto" w:frame="1"/>
              </w:rPr>
              <w:t xml:space="preserve">Administrative Advice: TREATMENT OF ADULT PATIENTS WITH MODERATE TO SEVERE ULCERATIVE COLITIS </w:t>
            </w:r>
          </w:p>
        </w:tc>
      </w:tr>
      <w:tr w:rsidR="003D1C5B" w:rsidRPr="002D4988" w:rsidTr="000367ED">
        <w:trPr>
          <w:trHeight w:val="25"/>
        </w:trPr>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jc w:val="left"/>
              <w:textAlignment w:val="baseline"/>
              <w:rPr>
                <w:rFonts w:ascii="Arial Narrow" w:hAnsi="Arial Narrow" w:cs="Open Sans"/>
                <w:b/>
                <w:bCs/>
                <w:sz w:val="18"/>
                <w:szCs w:val="18"/>
                <w:bdr w:val="none" w:sz="0" w:space="0" w:color="auto" w:frame="1"/>
              </w:rPr>
            </w:pPr>
            <w:r w:rsidRPr="00283EA0">
              <w:rPr>
                <w:rFonts w:ascii="Arial Narrow" w:hAnsi="Arial Narrow" w:cs="Open Sans"/>
                <w:b/>
                <w:bCs/>
                <w:sz w:val="18"/>
                <w:szCs w:val="18"/>
                <w:bdr w:val="none" w:sz="0" w:space="0" w:color="auto" w:frame="1"/>
              </w:rPr>
              <w:t xml:space="preserve">Administrative Advice: </w:t>
            </w:r>
            <w:r w:rsidRPr="00283EA0">
              <w:rPr>
                <w:rFonts w:ascii="Arial Narrow" w:hAnsi="Arial Narrow" w:cs="Open Sans"/>
                <w:bCs/>
                <w:sz w:val="18"/>
                <w:szCs w:val="18"/>
                <w:bdr w:val="none" w:sz="0" w:space="0" w:color="auto" w:frame="1"/>
              </w:rPr>
              <w:t>No increase in the maximum quantity or number of units may be authorised.</w:t>
            </w:r>
          </w:p>
        </w:tc>
      </w:tr>
      <w:tr w:rsidR="003D1C5B" w:rsidRPr="002D4988" w:rsidTr="000367ED">
        <w:trPr>
          <w:trHeight w:val="61"/>
        </w:trPr>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jc w:val="left"/>
              <w:textAlignment w:val="baseline"/>
              <w:rPr>
                <w:rFonts w:ascii="Arial Narrow" w:hAnsi="Arial Narrow" w:cs="Open Sans"/>
                <w:b/>
                <w:bCs/>
                <w:sz w:val="18"/>
                <w:szCs w:val="18"/>
                <w:bdr w:val="none" w:sz="0" w:space="0" w:color="auto" w:frame="1"/>
              </w:rPr>
            </w:pPr>
            <w:r w:rsidRPr="00283EA0">
              <w:rPr>
                <w:rFonts w:ascii="Arial Narrow" w:hAnsi="Arial Narrow" w:cs="Open Sans"/>
                <w:b/>
                <w:bCs/>
                <w:sz w:val="18"/>
                <w:szCs w:val="18"/>
                <w:bdr w:val="none" w:sz="0" w:space="0" w:color="auto" w:frame="1"/>
              </w:rPr>
              <w:t xml:space="preserve">Administrative Advice: </w:t>
            </w:r>
            <w:r w:rsidRPr="00283EA0">
              <w:rPr>
                <w:rFonts w:ascii="Arial Narrow" w:hAnsi="Arial Narrow" w:cs="Open Sans"/>
                <w:bCs/>
                <w:sz w:val="18"/>
                <w:szCs w:val="18"/>
                <w:bdr w:val="none" w:sz="0" w:space="0" w:color="auto" w:frame="1"/>
              </w:rPr>
              <w:t>No increase in the maximum number of repeats may be authorised.</w:t>
            </w:r>
          </w:p>
        </w:tc>
      </w:tr>
      <w:tr w:rsidR="003D1C5B" w:rsidRPr="002D4988" w:rsidTr="000367ED">
        <w:trPr>
          <w:trHeight w:val="25"/>
        </w:trPr>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jc w:val="left"/>
              <w:textAlignment w:val="baseline"/>
              <w:rPr>
                <w:rFonts w:ascii="Arial Narrow" w:hAnsi="Arial Narrow" w:cs="Open Sans"/>
                <w:b/>
                <w:bCs/>
                <w:sz w:val="18"/>
                <w:szCs w:val="18"/>
                <w:bdr w:val="none" w:sz="0" w:space="0" w:color="auto" w:frame="1"/>
              </w:rPr>
            </w:pPr>
            <w:r w:rsidRPr="00283EA0">
              <w:rPr>
                <w:rFonts w:ascii="Arial Narrow" w:hAnsi="Arial Narrow" w:cs="Open Sans"/>
                <w:b/>
                <w:bCs/>
                <w:sz w:val="18"/>
                <w:szCs w:val="18"/>
                <w:bdr w:val="none" w:sz="0" w:space="0" w:color="auto" w:frame="1"/>
              </w:rPr>
              <w:t>Administrative Advice:</w:t>
            </w:r>
            <w:r w:rsidRPr="00283EA0">
              <w:rPr>
                <w:rFonts w:ascii="Arial Narrow" w:hAnsi="Arial Narrow"/>
                <w:sz w:val="18"/>
                <w:szCs w:val="18"/>
              </w:rPr>
              <w:t xml:space="preserve"> </w:t>
            </w:r>
            <w:r w:rsidRPr="00283EA0">
              <w:rPr>
                <w:rFonts w:ascii="Arial Narrow" w:hAnsi="Arial Narrow" w:cs="Open Sans"/>
                <w:bCs/>
                <w:sz w:val="18"/>
                <w:szCs w:val="18"/>
                <w:bdr w:val="none" w:sz="0" w:space="0" w:color="auto" w:frame="1"/>
              </w:rPr>
              <w:t>Special Pricing Arrangements apply.</w:t>
            </w:r>
          </w:p>
        </w:tc>
      </w:tr>
      <w:tr w:rsidR="003D1C5B" w:rsidRPr="002D4988" w:rsidTr="000367ED">
        <w:trPr>
          <w:trHeight w:val="95"/>
        </w:trPr>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jc w:val="left"/>
              <w:textAlignment w:val="baseline"/>
              <w:rPr>
                <w:rFonts w:ascii="Arial Narrow" w:hAnsi="Arial Narrow" w:cs="Open Sans"/>
                <w:b/>
                <w:bCs/>
                <w:sz w:val="18"/>
                <w:szCs w:val="18"/>
                <w:bdr w:val="none" w:sz="0" w:space="0" w:color="auto" w:frame="1"/>
              </w:rPr>
            </w:pPr>
            <w:r w:rsidRPr="00283EA0">
              <w:rPr>
                <w:rFonts w:ascii="Arial Narrow" w:hAnsi="Arial Narrow" w:cstheme="minorHAnsi"/>
                <w:b/>
                <w:sz w:val="18"/>
                <w:szCs w:val="18"/>
              </w:rPr>
              <w:t>Severity:</w:t>
            </w:r>
            <w:r w:rsidRPr="00283EA0">
              <w:rPr>
                <w:rFonts w:ascii="Arial Narrow" w:hAnsi="Arial Narrow" w:cstheme="minorHAnsi"/>
                <w:sz w:val="18"/>
                <w:szCs w:val="18"/>
              </w:rPr>
              <w:t xml:space="preserve"> Moderate to severe</w:t>
            </w:r>
          </w:p>
        </w:tc>
      </w:tr>
      <w:tr w:rsidR="003D1C5B" w:rsidRPr="002D4988" w:rsidTr="000367ED">
        <w:trPr>
          <w:trHeight w:val="25"/>
        </w:trPr>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jc w:val="left"/>
              <w:textAlignment w:val="baseline"/>
              <w:rPr>
                <w:rFonts w:ascii="Arial Narrow" w:hAnsi="Arial Narrow" w:cstheme="minorHAnsi"/>
                <w:b/>
                <w:sz w:val="18"/>
                <w:szCs w:val="18"/>
              </w:rPr>
            </w:pPr>
            <w:r w:rsidRPr="00283EA0">
              <w:rPr>
                <w:rFonts w:ascii="Arial Narrow" w:hAnsi="Arial Narrow" w:cstheme="minorHAnsi"/>
                <w:b/>
                <w:sz w:val="18"/>
                <w:szCs w:val="18"/>
              </w:rPr>
              <w:t>Condition:</w:t>
            </w:r>
            <w:r w:rsidRPr="00283EA0">
              <w:rPr>
                <w:rFonts w:ascii="Arial Narrow" w:hAnsi="Arial Narrow" w:cstheme="minorHAnsi"/>
                <w:sz w:val="18"/>
                <w:szCs w:val="18"/>
              </w:rPr>
              <w:t xml:space="preserve"> Ulcerative colitis</w:t>
            </w:r>
          </w:p>
        </w:tc>
      </w:tr>
      <w:tr w:rsidR="003D1C5B" w:rsidRPr="002D4988" w:rsidTr="000367ED">
        <w:trPr>
          <w:trHeight w:val="25"/>
        </w:trPr>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jc w:val="left"/>
              <w:textAlignment w:val="baseline"/>
              <w:rPr>
                <w:rFonts w:ascii="Arial Narrow" w:hAnsi="Arial Narrow" w:cstheme="minorHAnsi"/>
                <w:b/>
                <w:sz w:val="18"/>
                <w:szCs w:val="18"/>
              </w:rPr>
            </w:pPr>
            <w:r w:rsidRPr="00283EA0">
              <w:rPr>
                <w:rFonts w:ascii="Arial Narrow" w:hAnsi="Arial Narrow" w:cstheme="minorHAnsi"/>
                <w:b/>
                <w:sz w:val="18"/>
                <w:szCs w:val="18"/>
              </w:rPr>
              <w:t>Indication:</w:t>
            </w:r>
            <w:r w:rsidRPr="00283EA0">
              <w:rPr>
                <w:rFonts w:ascii="Arial Narrow" w:hAnsi="Arial Narrow" w:cstheme="minorHAnsi"/>
                <w:sz w:val="18"/>
                <w:szCs w:val="18"/>
              </w:rPr>
              <w:t xml:space="preserve"> Moderate to severe ulcerative colitis</w:t>
            </w:r>
          </w:p>
        </w:tc>
      </w:tr>
      <w:tr w:rsidR="003D1C5B" w:rsidRPr="002D4988" w:rsidTr="000367ED">
        <w:trPr>
          <w:trHeight w:val="442"/>
        </w:trPr>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jc w:val="left"/>
              <w:textAlignment w:val="baseline"/>
              <w:rPr>
                <w:rFonts w:ascii="Arial Narrow" w:hAnsi="Arial Narrow" w:cstheme="minorHAnsi"/>
                <w:b/>
                <w:sz w:val="18"/>
                <w:szCs w:val="18"/>
              </w:rPr>
            </w:pPr>
            <w:r w:rsidRPr="00283EA0">
              <w:rPr>
                <w:rFonts w:ascii="Arial Narrow" w:hAnsi="Arial Narrow" w:cstheme="minorHAnsi"/>
                <w:b/>
                <w:sz w:val="18"/>
                <w:szCs w:val="18"/>
              </w:rPr>
              <w:t xml:space="preserve">Treatment phase: </w:t>
            </w:r>
            <w:r w:rsidRPr="00283EA0">
              <w:rPr>
                <w:rFonts w:ascii="Arial Narrow" w:hAnsi="Arial Narrow" w:cstheme="minorHAnsi"/>
                <w:sz w:val="18"/>
                <w:szCs w:val="18"/>
              </w:rPr>
              <w:t xml:space="preserve">Initial treatment - Initial 2 (change or re-commencement of treatment after a break in biological medicine of less than 5 years) </w:t>
            </w:r>
          </w:p>
        </w:tc>
      </w:tr>
      <w:tr w:rsidR="003D1C5B" w:rsidRPr="002D4988" w:rsidTr="000367ED">
        <w:trPr>
          <w:trHeight w:val="25"/>
        </w:trPr>
        <w:tc>
          <w:tcPr>
            <w:tcW w:w="851" w:type="pct"/>
            <w:shd w:val="clear" w:color="auto" w:fill="auto"/>
            <w:tcMar>
              <w:top w:w="120" w:type="dxa"/>
              <w:left w:w="240" w:type="dxa"/>
              <w:bottom w:w="120" w:type="dxa"/>
              <w:right w:w="240" w:type="dxa"/>
            </w:tcMar>
          </w:tcPr>
          <w:p w:rsidR="003D1C5B" w:rsidRPr="00283EA0"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jc w:val="left"/>
              <w:textAlignment w:val="baseline"/>
              <w:rPr>
                <w:rFonts w:ascii="Arial Narrow" w:hAnsi="Arial Narrow" w:cstheme="minorHAnsi"/>
                <w:b/>
                <w:sz w:val="18"/>
                <w:szCs w:val="18"/>
              </w:rPr>
            </w:pPr>
            <w:r w:rsidRPr="00283EA0">
              <w:rPr>
                <w:rFonts w:ascii="Arial Narrow" w:hAnsi="Arial Narrow" w:cs="Open Sans"/>
                <w:b/>
                <w:bCs/>
                <w:sz w:val="18"/>
                <w:szCs w:val="18"/>
                <w:bdr w:val="none" w:sz="0" w:space="0" w:color="auto" w:frame="1"/>
              </w:rPr>
              <w:t>Treatment criteria:</w:t>
            </w:r>
          </w:p>
        </w:tc>
      </w:tr>
      <w:tr w:rsidR="003D1C5B" w:rsidRPr="002D4988" w:rsidTr="000367ED">
        <w:trPr>
          <w:trHeight w:val="25"/>
        </w:trPr>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sz w:val="18"/>
                <w:szCs w:val="18"/>
              </w:rPr>
              <w:t>Must be treated by a gastroenterologist (code 87); or</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r w:rsidRPr="00283EA0">
              <w:rPr>
                <w:rFonts w:ascii="Arial Narrow" w:hAnsi="Arial Narrow" w:cs="Open Sans"/>
                <w:sz w:val="18"/>
                <w:szCs w:val="18"/>
              </w:rPr>
              <w:t>Must be treated by a consultant physician [internal medicine specialising in gastroenterology (code 81)]; or</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r w:rsidRPr="00283EA0">
              <w:rPr>
                <w:rFonts w:ascii="Arial Narrow" w:hAnsi="Arial Narrow" w:cs="Open Sans"/>
                <w:sz w:val="18"/>
                <w:szCs w:val="18"/>
              </w:rPr>
              <w:t>Must be treated by a consultant physician [general medicine specialising in gastroenterology (code 82)]; or</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b/>
                <w:bCs/>
                <w:sz w:val="18"/>
                <w:szCs w:val="18"/>
                <w:bdr w:val="none" w:sz="0" w:space="0" w:color="auto" w:frame="1"/>
              </w:rPr>
            </w:pPr>
            <w:r w:rsidRPr="00283EA0">
              <w:rPr>
                <w:rFonts w:ascii="Arial Narrow" w:hAnsi="Arial Narrow" w:cs="Open Sans"/>
                <w:b/>
                <w:bCs/>
                <w:sz w:val="18"/>
                <w:szCs w:val="18"/>
                <w:bdr w:val="none" w:sz="0" w:space="0" w:color="auto" w:frame="1"/>
              </w:rPr>
              <w:t>AND</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b/>
                <w:bCs/>
                <w:sz w:val="18"/>
                <w:szCs w:val="18"/>
                <w:bdr w:val="none" w:sz="0" w:space="0" w:color="auto" w:frame="1"/>
              </w:rPr>
            </w:pPr>
            <w:r w:rsidRPr="00283EA0">
              <w:rPr>
                <w:rFonts w:ascii="Arial Narrow" w:hAnsi="Arial Narrow" w:cs="Open Sans"/>
                <w:b/>
                <w:bCs/>
                <w:sz w:val="18"/>
                <w:szCs w:val="18"/>
                <w:bdr w:val="none" w:sz="0" w:space="0" w:color="auto" w:frame="1"/>
              </w:rPr>
              <w:t>Clinical criteria:</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bCs/>
                <w:sz w:val="18"/>
                <w:szCs w:val="18"/>
                <w:bdr w:val="none" w:sz="0" w:space="0" w:color="auto" w:frame="1"/>
              </w:rPr>
            </w:pPr>
            <w:r w:rsidRPr="00283EA0">
              <w:rPr>
                <w:rFonts w:ascii="Arial Narrow" w:hAnsi="Arial Narrow" w:cs="Open Sans"/>
                <w:bCs/>
                <w:sz w:val="18"/>
                <w:szCs w:val="18"/>
                <w:bdr w:val="none" w:sz="0" w:space="0" w:color="auto" w:frame="1"/>
              </w:rPr>
              <w:t>Patient must have received prior PBS-subsidised treatment with a biological medicine for this condition in this treatment cycle,</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theme="minorHAnsi"/>
                <w:b/>
                <w:sz w:val="18"/>
                <w:szCs w:val="18"/>
              </w:rPr>
            </w:pPr>
            <w:r w:rsidRPr="00283EA0">
              <w:rPr>
                <w:rFonts w:ascii="Arial Narrow" w:hAnsi="Arial Narrow" w:cstheme="minorHAnsi"/>
                <w:b/>
                <w:sz w:val="18"/>
                <w:szCs w:val="18"/>
              </w:rPr>
              <w:t>AND</w:t>
            </w:r>
          </w:p>
        </w:tc>
      </w:tr>
      <w:tr w:rsidR="003D1C5B" w:rsidRPr="002D4988" w:rsidTr="000367ED">
        <w:trPr>
          <w:trHeight w:val="25"/>
        </w:trPr>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theme="minorHAnsi"/>
                <w:b/>
                <w:sz w:val="18"/>
                <w:szCs w:val="18"/>
              </w:rPr>
            </w:pPr>
            <w:r w:rsidRPr="00283EA0">
              <w:rPr>
                <w:rFonts w:ascii="Arial Narrow" w:hAnsi="Arial Narrow" w:cstheme="minorHAnsi"/>
                <w:b/>
                <w:sz w:val="18"/>
                <w:szCs w:val="18"/>
              </w:rPr>
              <w:t>Clinical criteria:</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theme="minorHAnsi"/>
                <w:b/>
                <w:sz w:val="18"/>
                <w:szCs w:val="18"/>
              </w:rPr>
            </w:pPr>
            <w:r w:rsidRPr="00283EA0">
              <w:rPr>
                <w:rFonts w:ascii="Arial Narrow" w:hAnsi="Arial Narrow" w:cstheme="minorHAnsi"/>
                <w:sz w:val="18"/>
                <w:szCs w:val="18"/>
              </w:rPr>
              <w:t>Patient must not have already failed, or ceased to respond to, PBS-subsidised treatment with this drug for this condition during the current treatment cycle.</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theme="minorHAnsi"/>
                <w:sz w:val="18"/>
                <w:szCs w:val="18"/>
              </w:rPr>
            </w:pPr>
            <w:r w:rsidRPr="00283EA0">
              <w:rPr>
                <w:rFonts w:ascii="Arial Narrow" w:hAnsi="Arial Narrow" w:cs="Open Sans"/>
                <w:b/>
                <w:bCs/>
                <w:sz w:val="18"/>
                <w:szCs w:val="18"/>
                <w:bdr w:val="none" w:sz="0" w:space="0" w:color="auto" w:frame="1"/>
              </w:rPr>
              <w:t>Population criteria:</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r w:rsidRPr="00283EA0">
              <w:rPr>
                <w:rFonts w:ascii="Arial Narrow" w:hAnsi="Arial Narrow" w:cs="Open Sans"/>
                <w:sz w:val="18"/>
                <w:szCs w:val="18"/>
              </w:rPr>
              <w:t>Patient must be aged 18 years or older.</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r w:rsidRPr="00283EA0">
              <w:rPr>
                <w:rFonts w:ascii="Arial Narrow" w:hAnsi="Arial Narrow" w:cs="Open Sans"/>
                <w:b/>
                <w:bCs/>
                <w:sz w:val="18"/>
                <w:szCs w:val="18"/>
              </w:rPr>
              <w:t>Prescribing Instructions:</w:t>
            </w:r>
          </w:p>
          <w:p w:rsidR="003D1C5B" w:rsidRPr="00283EA0" w:rsidRDefault="003D1C5B" w:rsidP="000079D4">
            <w:pPr>
              <w:rPr>
                <w:rFonts w:ascii="Arial Narrow" w:hAnsi="Arial Narrow" w:cs="Open Sans"/>
                <w:sz w:val="18"/>
                <w:szCs w:val="18"/>
              </w:rPr>
            </w:pPr>
            <w:r w:rsidRPr="00283EA0">
              <w:rPr>
                <w:rFonts w:ascii="Arial Narrow" w:hAnsi="Arial Narrow" w:cs="Open Sans"/>
                <w:sz w:val="18"/>
                <w:szCs w:val="18"/>
              </w:rPr>
              <w:t>Application for authorisation of change or recommencement treatment must be in writing and must include:</w:t>
            </w:r>
          </w:p>
          <w:p w:rsidR="003D1C5B" w:rsidRPr="00283EA0" w:rsidRDefault="003D1C5B" w:rsidP="000079D4">
            <w:pPr>
              <w:rPr>
                <w:rFonts w:ascii="Arial Narrow" w:hAnsi="Arial Narrow" w:cs="Open Sans"/>
                <w:sz w:val="18"/>
                <w:szCs w:val="18"/>
              </w:rPr>
            </w:pPr>
            <w:r w:rsidRPr="00283EA0">
              <w:rPr>
                <w:rFonts w:ascii="Arial Narrow" w:hAnsi="Arial Narrow" w:cs="Open Sans"/>
                <w:sz w:val="18"/>
                <w:szCs w:val="18"/>
              </w:rPr>
              <w:t>(a) a completed authority prescription form; and</w:t>
            </w:r>
          </w:p>
          <w:p w:rsidR="003D1C5B" w:rsidRPr="00283EA0" w:rsidRDefault="003D1C5B" w:rsidP="000079D4">
            <w:pPr>
              <w:rPr>
                <w:rFonts w:ascii="Arial Narrow" w:hAnsi="Arial Narrow" w:cs="Open Sans"/>
                <w:sz w:val="18"/>
                <w:szCs w:val="18"/>
              </w:rPr>
            </w:pPr>
            <w:r w:rsidRPr="00283EA0">
              <w:rPr>
                <w:rFonts w:ascii="Arial Narrow" w:hAnsi="Arial Narrow" w:cs="Open Sans"/>
                <w:sz w:val="18"/>
                <w:szCs w:val="18"/>
              </w:rPr>
              <w:t>(b) a completed Ulcerative Colitis PBS Authority Application - Supporting Information Form which includes the following:</w:t>
            </w:r>
          </w:p>
          <w:p w:rsidR="003D1C5B" w:rsidRPr="00283EA0" w:rsidRDefault="003D1C5B" w:rsidP="000079D4">
            <w:pPr>
              <w:rPr>
                <w:rFonts w:ascii="Arial Narrow" w:hAnsi="Arial Narrow" w:cs="Open Sans"/>
                <w:sz w:val="18"/>
                <w:szCs w:val="18"/>
              </w:rPr>
            </w:pPr>
            <w:r w:rsidRPr="00283EA0">
              <w:rPr>
                <w:rFonts w:ascii="Arial Narrow" w:hAnsi="Arial Narrow" w:cs="Open Sans"/>
                <w:sz w:val="18"/>
                <w:szCs w:val="18"/>
              </w:rPr>
              <w:t>(i)</w:t>
            </w:r>
            <w:r w:rsidRPr="00283EA0">
              <w:rPr>
                <w:rFonts w:ascii="Arial Narrow" w:hAnsi="Arial Narrow"/>
                <w:sz w:val="18"/>
                <w:szCs w:val="18"/>
              </w:rPr>
              <w:t xml:space="preserve"> </w:t>
            </w:r>
            <w:r w:rsidRPr="00283EA0">
              <w:rPr>
                <w:rFonts w:ascii="Arial Narrow" w:hAnsi="Arial Narrow" w:cs="Open Sans"/>
                <w:sz w:val="18"/>
                <w:szCs w:val="18"/>
              </w:rPr>
              <w:t>the completed current Mayo clinic</w:t>
            </w:r>
            <w:r w:rsidRPr="00283EA0">
              <w:rPr>
                <w:rFonts w:ascii="Arial Narrow" w:hAnsi="Arial Narrow"/>
                <w:sz w:val="18"/>
                <w:szCs w:val="18"/>
              </w:rPr>
              <w:t xml:space="preserve"> </w:t>
            </w:r>
            <w:r w:rsidRPr="00283EA0">
              <w:rPr>
                <w:rFonts w:ascii="Arial Narrow" w:hAnsi="Arial Narrow" w:cs="Open Sans"/>
                <w:sz w:val="18"/>
                <w:szCs w:val="18"/>
              </w:rPr>
              <w:t>or partial Mayo clinic calculation sheet including the date of assessment of the patient's condition if relevant; and</w:t>
            </w:r>
          </w:p>
          <w:p w:rsidR="003D1C5B" w:rsidRPr="00283EA0" w:rsidRDefault="003D1C5B" w:rsidP="000079D4">
            <w:pPr>
              <w:rPr>
                <w:rFonts w:ascii="Arial Narrow" w:hAnsi="Arial Narrow" w:cs="Open Sans"/>
                <w:sz w:val="18"/>
                <w:szCs w:val="18"/>
              </w:rPr>
            </w:pPr>
            <w:r w:rsidRPr="00283EA0">
              <w:rPr>
                <w:rFonts w:ascii="Arial Narrow" w:hAnsi="Arial Narrow" w:cs="Open Sans"/>
                <w:sz w:val="18"/>
                <w:szCs w:val="18"/>
              </w:rPr>
              <w:t>(ii) the details of prior biological medicine treatment including the details of date and duration of treatment</w:t>
            </w:r>
            <w:r w:rsidRPr="00283EA0">
              <w:rPr>
                <w:rFonts w:ascii="Arial Narrow" w:hAnsi="Arial Narrow" w:cs="Open Sans"/>
                <w:strike/>
                <w:sz w:val="18"/>
                <w:szCs w:val="18"/>
              </w:rPr>
              <w:t>.</w:t>
            </w:r>
            <w:r w:rsidRPr="00283EA0">
              <w:rPr>
                <w:rFonts w:ascii="Arial Narrow" w:hAnsi="Arial Narrow" w:cs="Open Sans"/>
                <w:sz w:val="18"/>
                <w:szCs w:val="18"/>
              </w:rPr>
              <w:t>.</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b/>
                <w:bCs/>
                <w:iCs/>
                <w:sz w:val="18"/>
                <w:szCs w:val="18"/>
                <w:bdr w:val="none" w:sz="0" w:space="0" w:color="auto" w:frame="1"/>
              </w:rPr>
            </w:pPr>
            <w:r w:rsidRPr="00283EA0">
              <w:rPr>
                <w:rFonts w:ascii="Arial Narrow" w:hAnsi="Arial Narrow" w:cs="Open Sans"/>
                <w:b/>
                <w:bCs/>
                <w:iCs/>
                <w:sz w:val="18"/>
                <w:szCs w:val="18"/>
                <w:bdr w:val="none" w:sz="0" w:space="0" w:color="auto" w:frame="1"/>
              </w:rPr>
              <w:t>Prescribing Instructions:</w:t>
            </w:r>
          </w:p>
          <w:p w:rsidR="003D1C5B" w:rsidRPr="00283EA0" w:rsidRDefault="003D1C5B" w:rsidP="000079D4">
            <w:pPr>
              <w:rPr>
                <w:rFonts w:ascii="Arial Narrow" w:hAnsi="Arial Narrow" w:cs="Open Sans"/>
                <w:b/>
                <w:bCs/>
                <w:strike/>
                <w:sz w:val="18"/>
                <w:szCs w:val="18"/>
              </w:rPr>
            </w:pPr>
            <w:r w:rsidRPr="00283EA0">
              <w:rPr>
                <w:rFonts w:ascii="Arial Narrow" w:hAnsi="Arial Narrow" w:cs="Open Sans"/>
                <w:bCs/>
                <w:sz w:val="18"/>
                <w:szCs w:val="18"/>
                <w:bdr w:val="none" w:sz="0" w:space="0" w:color="auto" w:frame="1"/>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b/>
                <w:bCs/>
                <w:sz w:val="18"/>
                <w:szCs w:val="18"/>
                <w:bdr w:val="none" w:sz="0" w:space="0" w:color="auto" w:frame="1"/>
              </w:rPr>
              <w:t>Prescribing Instructions:</w:t>
            </w:r>
          </w:p>
          <w:p w:rsidR="003D1C5B" w:rsidRPr="00283EA0" w:rsidRDefault="003D1C5B" w:rsidP="000079D4">
            <w:pPr>
              <w:textAlignment w:val="baseline"/>
              <w:rPr>
                <w:rFonts w:ascii="Arial Narrow" w:hAnsi="Arial Narrow" w:cs="Open Sans"/>
                <w:b/>
                <w:bCs/>
                <w:sz w:val="18"/>
                <w:szCs w:val="18"/>
                <w:bdr w:val="none" w:sz="0" w:space="0" w:color="auto" w:frame="1"/>
              </w:rPr>
            </w:pPr>
            <w:r w:rsidRPr="00283EA0">
              <w:rPr>
                <w:rFonts w:ascii="Arial Narrow" w:hAnsi="Arial Narrow" w:cs="Open Sans"/>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b/>
                <w:bCs/>
                <w:sz w:val="18"/>
                <w:szCs w:val="18"/>
                <w:bdr w:val="none" w:sz="0" w:space="0" w:color="auto" w:frame="1"/>
              </w:rPr>
              <w:t>Prescribing Instructions:</w:t>
            </w:r>
          </w:p>
          <w:p w:rsidR="003D1C5B" w:rsidRPr="00283EA0" w:rsidRDefault="003D1C5B" w:rsidP="000079D4">
            <w:pPr>
              <w:textAlignment w:val="baseline"/>
              <w:rPr>
                <w:rFonts w:ascii="Arial Narrow" w:hAnsi="Arial Narrow" w:cs="Open Sans"/>
                <w:b/>
                <w:bCs/>
                <w:sz w:val="18"/>
                <w:szCs w:val="18"/>
                <w:bdr w:val="none" w:sz="0" w:space="0" w:color="auto" w:frame="1"/>
              </w:rPr>
            </w:pPr>
            <w:r w:rsidRPr="00283EA0">
              <w:rPr>
                <w:rFonts w:ascii="Arial Narrow" w:hAnsi="Arial Narrow" w:cs="Open Sans"/>
                <w:sz w:val="18"/>
                <w:szCs w:val="18"/>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b/>
                <w:bCs/>
                <w:sz w:val="18"/>
                <w:szCs w:val="18"/>
                <w:bdr w:val="none" w:sz="0" w:space="0" w:color="auto" w:frame="1"/>
              </w:rPr>
              <w:t>Prescribing Instructions:</w:t>
            </w:r>
          </w:p>
          <w:p w:rsidR="003D1C5B" w:rsidRPr="00283EA0" w:rsidRDefault="003D1C5B" w:rsidP="000079D4">
            <w:pPr>
              <w:textAlignment w:val="baseline"/>
              <w:rPr>
                <w:rFonts w:ascii="Arial Narrow" w:hAnsi="Arial Narrow" w:cs="Open Sans"/>
                <w:b/>
                <w:bCs/>
                <w:sz w:val="18"/>
                <w:szCs w:val="18"/>
                <w:bdr w:val="none" w:sz="0" w:space="0" w:color="auto" w:frame="1"/>
              </w:rPr>
            </w:pPr>
            <w:r w:rsidRPr="00283EA0">
              <w:rPr>
                <w:rFonts w:ascii="Arial Narrow" w:hAnsi="Arial Narrow" w:cs="Open Sans"/>
                <w:sz w:val="18"/>
                <w:szCs w:val="18"/>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rPr>
                <w:rFonts w:ascii="Arial Narrow" w:hAnsi="Arial Narrow" w:cs="Open Sans"/>
                <w:b/>
                <w:bCs/>
                <w:sz w:val="18"/>
                <w:szCs w:val="18"/>
              </w:rPr>
            </w:pPr>
            <w:r w:rsidRPr="00283EA0">
              <w:rPr>
                <w:rFonts w:ascii="Arial Narrow" w:hAnsi="Arial Narrow" w:cs="Open Sans"/>
                <w:b/>
                <w:bCs/>
                <w:sz w:val="18"/>
                <w:szCs w:val="18"/>
              </w:rPr>
              <w:t>Prescribing Instructions:</w:t>
            </w:r>
          </w:p>
          <w:p w:rsidR="003D1C5B" w:rsidRPr="00283EA0" w:rsidRDefault="003D1C5B" w:rsidP="000079D4">
            <w:pPr>
              <w:rPr>
                <w:rFonts w:ascii="Arial Narrow" w:hAnsi="Arial Narrow" w:cs="Open Sans"/>
                <w:b/>
                <w:bCs/>
                <w:sz w:val="18"/>
                <w:szCs w:val="18"/>
                <w:bdr w:val="none" w:sz="0" w:space="0" w:color="auto" w:frame="1"/>
              </w:rPr>
            </w:pPr>
            <w:r w:rsidRPr="00283EA0">
              <w:rPr>
                <w:rFonts w:ascii="Arial Narrow" w:hAnsi="Arial Narrow" w:cstheme="minorHAnsi"/>
                <w:sz w:val="18"/>
                <w:szCs w:val="18"/>
              </w:rPr>
              <w:t xml:space="preserve">A maximum of 16 weeks of treatment with this drug will be approved under this criterion. </w:t>
            </w:r>
          </w:p>
        </w:tc>
      </w:tr>
      <w:tr w:rsidR="003D1C5B" w:rsidRPr="002D4988" w:rsidTr="000367ED">
        <w:tc>
          <w:tcPr>
            <w:tcW w:w="851"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iCs/>
                <w:sz w:val="18"/>
                <w:szCs w:val="18"/>
              </w:rPr>
            </w:pPr>
          </w:p>
        </w:tc>
        <w:tc>
          <w:tcPr>
            <w:tcW w:w="4149" w:type="pct"/>
            <w:shd w:val="clear" w:color="auto" w:fill="auto"/>
            <w:tcMar>
              <w:top w:w="120" w:type="dxa"/>
              <w:left w:w="240" w:type="dxa"/>
              <w:bottom w:w="120" w:type="dxa"/>
              <w:right w:w="240" w:type="dxa"/>
            </w:tcMar>
          </w:tcPr>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b/>
                <w:bCs/>
                <w:sz w:val="18"/>
                <w:szCs w:val="18"/>
                <w:bdr w:val="none" w:sz="0" w:space="0" w:color="auto" w:frame="1"/>
              </w:rPr>
              <w:t>Administrative Advice:</w:t>
            </w:r>
          </w:p>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sz w:val="18"/>
                <w:szCs w:val="18"/>
              </w:rPr>
              <w:t>Any queries concerning the arrangements to prescribe may be directed to Services Australia on 1800 700 270 (hours of operation 8 a.m. to 5 p.m. EST Monday to Friday).</w:t>
            </w:r>
          </w:p>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sz w:val="18"/>
                <w:szCs w:val="18"/>
              </w:rPr>
              <w:lastRenderedPageBreak/>
              <w:t>Prescribing information (including Authority Application forms and other relevant documentation as applicable) is available on the Services Australia website at www.servicesaustralia.gov.au</w:t>
            </w:r>
          </w:p>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sz w:val="18"/>
                <w:szCs w:val="18"/>
              </w:rPr>
              <w:t>Applications for authority to prescribe should be submitted online using the form upload facility in Health Professional Online Services (HPOS) at www.servicesaustralia.gov.au/hpos</w:t>
            </w:r>
          </w:p>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sz w:val="18"/>
                <w:szCs w:val="18"/>
              </w:rPr>
              <w:t>Or mailed to:</w:t>
            </w:r>
          </w:p>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sz w:val="18"/>
                <w:szCs w:val="18"/>
              </w:rPr>
              <w:t>Services Australia</w:t>
            </w:r>
          </w:p>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sz w:val="18"/>
                <w:szCs w:val="18"/>
              </w:rPr>
              <w:t>Complex Drugs</w:t>
            </w:r>
          </w:p>
          <w:p w:rsidR="003D1C5B" w:rsidRPr="00283EA0" w:rsidRDefault="003D1C5B" w:rsidP="000079D4">
            <w:pPr>
              <w:textAlignment w:val="baseline"/>
              <w:rPr>
                <w:rFonts w:ascii="Arial Narrow" w:hAnsi="Arial Narrow" w:cs="Open Sans"/>
                <w:sz w:val="18"/>
                <w:szCs w:val="18"/>
              </w:rPr>
            </w:pPr>
            <w:r w:rsidRPr="00283EA0">
              <w:rPr>
                <w:rFonts w:ascii="Arial Narrow" w:hAnsi="Arial Narrow" w:cs="Open Sans"/>
                <w:sz w:val="18"/>
                <w:szCs w:val="18"/>
              </w:rPr>
              <w:t>Reply Paid 9826</w:t>
            </w:r>
          </w:p>
          <w:p w:rsidR="003D1C5B" w:rsidRPr="00283EA0" w:rsidRDefault="003D1C5B" w:rsidP="000079D4">
            <w:pPr>
              <w:textAlignment w:val="baseline"/>
              <w:rPr>
                <w:rFonts w:ascii="Arial Narrow" w:hAnsi="Arial Narrow" w:cs="Open Sans"/>
                <w:b/>
                <w:bCs/>
                <w:sz w:val="18"/>
                <w:szCs w:val="18"/>
                <w:bdr w:val="none" w:sz="0" w:space="0" w:color="auto" w:frame="1"/>
              </w:rPr>
            </w:pPr>
            <w:r w:rsidRPr="00283EA0">
              <w:rPr>
                <w:rFonts w:ascii="Arial Narrow" w:hAnsi="Arial Narrow" w:cs="Open Sans"/>
                <w:sz w:val="18"/>
                <w:szCs w:val="18"/>
              </w:rPr>
              <w:t>HOBART TAS 7001</w:t>
            </w:r>
          </w:p>
        </w:tc>
      </w:tr>
    </w:tbl>
    <w:p w:rsidR="000104D6" w:rsidRPr="002D4988" w:rsidRDefault="000104D6" w:rsidP="000079D4">
      <w:pPr>
        <w:rPr>
          <w:rFonts w:ascii="Arial Narrow" w:hAnsi="Arial Narrow"/>
          <w:sz w:val="18"/>
          <w:szCs w:val="18"/>
        </w:rPr>
      </w:pPr>
    </w:p>
    <w:p w:rsidR="000104D6" w:rsidRPr="002D4988" w:rsidRDefault="000104D6" w:rsidP="000079D4">
      <w:pPr>
        <w:rPr>
          <w:rFonts w:ascii="Arial Narrow" w:hAnsi="Arial Narrow"/>
          <w:sz w:val="18"/>
          <w:szCs w:val="18"/>
        </w:rPr>
      </w:pPr>
    </w:p>
    <w:p w:rsidR="000104D6" w:rsidRPr="002D4988" w:rsidRDefault="000104D6" w:rsidP="000079D4">
      <w:pPr>
        <w:rPr>
          <w:rFonts w:ascii="Arial Narrow" w:hAnsi="Arial Narrow"/>
          <w:b/>
          <w:sz w:val="18"/>
          <w:szCs w:val="18"/>
        </w:rPr>
      </w:pPr>
      <w:r w:rsidRPr="002D4988">
        <w:rPr>
          <w:rFonts w:ascii="Arial Narrow" w:hAnsi="Arial Narrow"/>
          <w:b/>
          <w:sz w:val="18"/>
          <w:szCs w:val="18"/>
        </w:rPr>
        <w:t xml:space="preserve">Add initial 3 treatment: </w:t>
      </w:r>
    </w:p>
    <w:p w:rsidR="000104D6" w:rsidRPr="003D1C5B" w:rsidRDefault="000104D6" w:rsidP="000079D4">
      <w:pPr>
        <w:textAlignment w:val="baseline"/>
        <w:outlineLvl w:val="3"/>
        <w:rPr>
          <w:rFonts w:ascii="Arial Narrow" w:hAnsi="Arial Narrow" w:cstheme="minorHAnsi"/>
          <w:sz w:val="18"/>
          <w:szCs w:val="18"/>
        </w:rPr>
      </w:pPr>
      <w:r w:rsidRPr="003D1C5B">
        <w:rPr>
          <w:rFonts w:ascii="Arial Narrow" w:hAnsi="Arial Narrow"/>
          <w:sz w:val="18"/>
          <w:szCs w:val="18"/>
        </w:rPr>
        <w:t>Restriction Summary NEW / ToC: NEW: Authority Required</w:t>
      </w:r>
      <w:r w:rsidRPr="003D1C5B">
        <w:rPr>
          <w:rFonts w:ascii="Arial Narrow" w:hAnsi="Arial Narrow" w:cstheme="minorHAnsi"/>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5"/>
        <w:gridCol w:w="7482"/>
      </w:tblGrid>
      <w:tr w:rsidR="000104D6" w:rsidRPr="003D1C5B" w:rsidTr="00FC3BE5">
        <w:tc>
          <w:tcPr>
            <w:tcW w:w="851"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b/>
                <w:sz w:val="18"/>
                <w:szCs w:val="18"/>
              </w:rPr>
            </w:pPr>
          </w:p>
        </w:tc>
        <w:tc>
          <w:tcPr>
            <w:tcW w:w="4149" w:type="pct"/>
            <w:shd w:val="clear" w:color="auto" w:fill="auto"/>
            <w:tcMar>
              <w:top w:w="120" w:type="dxa"/>
              <w:left w:w="240" w:type="dxa"/>
              <w:bottom w:w="120" w:type="dxa"/>
              <w:right w:w="240" w:type="dxa"/>
            </w:tcMar>
            <w:hideMark/>
          </w:tcPr>
          <w:p w:rsidR="000104D6" w:rsidRPr="003D1C5B" w:rsidRDefault="000104D6" w:rsidP="000079D4">
            <w:pPr>
              <w:tabs>
                <w:tab w:val="left" w:pos="960"/>
              </w:tabs>
              <w:jc w:val="left"/>
              <w:rPr>
                <w:rFonts w:ascii="Arial Narrow" w:hAnsi="Arial Narrow"/>
                <w:b/>
                <w:sz w:val="18"/>
                <w:szCs w:val="18"/>
              </w:rPr>
            </w:pPr>
            <w:r w:rsidRPr="003D1C5B">
              <w:rPr>
                <w:rFonts w:ascii="Arial Narrow" w:hAnsi="Arial Narrow"/>
                <w:b/>
                <w:sz w:val="18"/>
                <w:szCs w:val="18"/>
              </w:rPr>
              <w:t>Category / Program:</w:t>
            </w:r>
            <w:r w:rsidRPr="003D1C5B">
              <w:rPr>
                <w:rFonts w:ascii="Arial Narrow" w:hAnsi="Arial Narrow"/>
                <w:sz w:val="18"/>
                <w:szCs w:val="18"/>
              </w:rPr>
              <w:t xml:space="preserve"> GENERAL – General Schedule (Code GE)</w:t>
            </w:r>
          </w:p>
        </w:tc>
      </w:tr>
      <w:tr w:rsidR="000104D6" w:rsidRPr="003D1C5B" w:rsidTr="000367ED">
        <w:tc>
          <w:tcPr>
            <w:tcW w:w="851"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hideMark/>
          </w:tcPr>
          <w:p w:rsidR="000104D6" w:rsidRPr="003D1C5B" w:rsidRDefault="000104D6" w:rsidP="000079D4">
            <w:pPr>
              <w:tabs>
                <w:tab w:val="left" w:pos="960"/>
              </w:tabs>
              <w:jc w:val="left"/>
              <w:rPr>
                <w:rFonts w:ascii="Arial Narrow" w:hAnsi="Arial Narrow" w:cs="Times New Roman"/>
                <w:b/>
                <w:sz w:val="18"/>
                <w:szCs w:val="18"/>
              </w:rPr>
            </w:pPr>
            <w:r w:rsidRPr="003D1C5B">
              <w:rPr>
                <w:rFonts w:ascii="Arial Narrow" w:hAnsi="Arial Narrow"/>
                <w:b/>
                <w:sz w:val="18"/>
                <w:szCs w:val="18"/>
              </w:rPr>
              <w:t xml:space="preserve">Prescriber type:  </w:t>
            </w:r>
            <w:r w:rsidRPr="003D1C5B">
              <w:rPr>
                <w:rFonts w:ascii="Arial Narrow" w:hAnsi="Arial Narrow"/>
                <w:sz w:val="18"/>
                <w:szCs w:val="18"/>
              </w:rPr>
              <w:fldChar w:fldCharType="begin">
                <w:ffData>
                  <w:name w:val="Check1"/>
                  <w:enabled/>
                  <w:calcOnExit w:val="0"/>
                  <w:checkBox>
                    <w:sizeAuto/>
                    <w:default w:val="0"/>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 xml:space="preserve">Dental  </w:t>
            </w:r>
            <w:r w:rsidRPr="003D1C5B">
              <w:rPr>
                <w:rFonts w:ascii="Arial Narrow" w:hAnsi="Arial Narrow"/>
                <w:sz w:val="18"/>
                <w:szCs w:val="18"/>
              </w:rPr>
              <w:fldChar w:fldCharType="begin">
                <w:ffData>
                  <w:name w:val=""/>
                  <w:enabled/>
                  <w:calcOnExit w:val="0"/>
                  <w:checkBox>
                    <w:sizeAuto/>
                    <w:default w:val="1"/>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 xml:space="preserve">Medical Practitioners  </w:t>
            </w:r>
            <w:r w:rsidRPr="003D1C5B">
              <w:rPr>
                <w:rFonts w:ascii="Arial Narrow" w:hAnsi="Arial Narrow"/>
                <w:sz w:val="18"/>
                <w:szCs w:val="18"/>
              </w:rPr>
              <w:fldChar w:fldCharType="begin">
                <w:ffData>
                  <w:name w:val=""/>
                  <w:enabled/>
                  <w:calcOnExit w:val="0"/>
                  <w:checkBox>
                    <w:sizeAuto/>
                    <w:default w:val="0"/>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 xml:space="preserve">Nurse practitioners  </w:t>
            </w:r>
            <w:r w:rsidRPr="003D1C5B">
              <w:rPr>
                <w:rFonts w:ascii="Arial Narrow" w:hAnsi="Arial Narrow"/>
                <w:sz w:val="18"/>
                <w:szCs w:val="18"/>
              </w:rPr>
              <w:fldChar w:fldCharType="begin">
                <w:ffData>
                  <w:name w:val=""/>
                  <w:enabled/>
                  <w:calcOnExit w:val="0"/>
                  <w:checkBox>
                    <w:sizeAuto/>
                    <w:default w:val="0"/>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 xml:space="preserve">Optometrists </w:t>
            </w:r>
            <w:r w:rsidRPr="003D1C5B">
              <w:rPr>
                <w:rFonts w:ascii="Arial Narrow" w:hAnsi="Arial Narrow"/>
                <w:sz w:val="18"/>
                <w:szCs w:val="18"/>
              </w:rPr>
              <w:fldChar w:fldCharType="begin">
                <w:ffData>
                  <w:name w:val="Check5"/>
                  <w:enabled/>
                  <w:calcOnExit w:val="0"/>
                  <w:checkBox>
                    <w:sizeAuto/>
                    <w:default w:val="0"/>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Midwives</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jc w:val="center"/>
              <w:rPr>
                <w:rFonts w:ascii="Arial Narrow" w:hAnsi="Arial Narrow" w:cs="Open Sans"/>
                <w:sz w:val="18"/>
                <w:szCs w:val="18"/>
              </w:rPr>
            </w:pPr>
          </w:p>
        </w:tc>
        <w:tc>
          <w:tcPr>
            <w:tcW w:w="4149" w:type="pct"/>
            <w:shd w:val="clear" w:color="auto" w:fill="auto"/>
            <w:tcMar>
              <w:top w:w="120" w:type="dxa"/>
              <w:left w:w="240" w:type="dxa"/>
              <w:bottom w:w="120" w:type="dxa"/>
              <w:right w:w="240" w:type="dxa"/>
            </w:tcMar>
            <w:hideMark/>
          </w:tcPr>
          <w:p w:rsidR="003D1C5B" w:rsidRPr="003D1C5B" w:rsidRDefault="003D1C5B" w:rsidP="000079D4">
            <w:pPr>
              <w:jc w:val="left"/>
              <w:rPr>
                <w:rFonts w:ascii="Arial Narrow" w:hAnsi="Arial Narrow" w:cs="Times New Roman"/>
                <w:sz w:val="18"/>
                <w:szCs w:val="18"/>
              </w:rPr>
            </w:pPr>
            <w:r w:rsidRPr="002D4988">
              <w:rPr>
                <w:rFonts w:ascii="Arial Narrow" w:hAnsi="Arial Narrow" w:cs="Times New Roman"/>
                <w:b/>
                <w:sz w:val="18"/>
                <w:szCs w:val="18"/>
              </w:rPr>
              <w:t xml:space="preserve">Restriction type  / Method: </w:t>
            </w:r>
            <w:r w:rsidRPr="002D4988">
              <w:rPr>
                <w:rFonts w:ascii="Arial Narrow" w:hAnsi="Arial Narrow" w:cs="Times New Roman"/>
                <w:sz w:val="18"/>
                <w:szCs w:val="18"/>
              </w:rPr>
              <w:fldChar w:fldCharType="begin">
                <w:ffData>
                  <w:name w:val=""/>
                  <w:enabled/>
                  <w:calcOnExit w:val="0"/>
                  <w:checkBox>
                    <w:sizeAuto/>
                    <w:default w:val="1"/>
                  </w:checkBox>
                </w:ffData>
              </w:fldChar>
            </w:r>
            <w:r w:rsidRPr="002D4988">
              <w:rPr>
                <w:rFonts w:ascii="Arial Narrow" w:hAnsi="Arial Narrow" w:cs="Times New Roman"/>
                <w:sz w:val="18"/>
                <w:szCs w:val="18"/>
              </w:rPr>
              <w:instrText xml:space="preserve"> FORMCHECKBOX </w:instrText>
            </w:r>
            <w:r w:rsidR="00D6581F">
              <w:rPr>
                <w:rFonts w:ascii="Arial Narrow" w:hAnsi="Arial Narrow" w:cs="Times New Roman"/>
                <w:sz w:val="18"/>
                <w:szCs w:val="18"/>
              </w:rPr>
            </w:r>
            <w:r w:rsidR="00D6581F">
              <w:rPr>
                <w:rFonts w:ascii="Arial Narrow" w:hAnsi="Arial Narrow" w:cs="Times New Roman"/>
                <w:sz w:val="18"/>
                <w:szCs w:val="18"/>
              </w:rPr>
              <w:fldChar w:fldCharType="separate"/>
            </w:r>
            <w:r w:rsidRPr="002D4988">
              <w:rPr>
                <w:rFonts w:ascii="Arial Narrow" w:hAnsi="Arial Narrow" w:cs="Times New Roman"/>
                <w:sz w:val="18"/>
                <w:szCs w:val="18"/>
              </w:rPr>
              <w:fldChar w:fldCharType="end"/>
            </w:r>
            <w:r w:rsidRPr="002D4988">
              <w:rPr>
                <w:rFonts w:ascii="Arial Narrow" w:hAnsi="Arial Narrow" w:cs="Times New Roman"/>
                <w:sz w:val="18"/>
                <w:szCs w:val="18"/>
              </w:rPr>
              <w:t>Authority Required - delayed/non-immediate assessment by Services Australia (lodgement via postal service or electronic upload)</w:t>
            </w:r>
          </w:p>
        </w:tc>
      </w:tr>
      <w:tr w:rsidR="003D1C5B" w:rsidRPr="003D1C5B" w:rsidTr="000367ED">
        <w:trPr>
          <w:trHeight w:val="442"/>
        </w:trPr>
        <w:tc>
          <w:tcPr>
            <w:tcW w:w="851" w:type="pct"/>
            <w:shd w:val="clear" w:color="auto" w:fill="auto"/>
            <w:tcMar>
              <w:top w:w="120" w:type="dxa"/>
              <w:left w:w="240" w:type="dxa"/>
              <w:bottom w:w="120" w:type="dxa"/>
              <w:right w:w="240" w:type="dxa"/>
            </w:tcMar>
          </w:tcPr>
          <w:p w:rsidR="003D1C5B" w:rsidRPr="003D1C5B"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 xml:space="preserve">Administrative Advice: TREATMENT OF ADULT PATIENTS WITH MODERATE TO SEVERE ULCERATIVE COLITIS </w:t>
            </w:r>
          </w:p>
        </w:tc>
      </w:tr>
      <w:tr w:rsidR="003D1C5B" w:rsidRPr="003D1C5B" w:rsidTr="000367ED">
        <w:trPr>
          <w:trHeight w:val="25"/>
        </w:trPr>
        <w:tc>
          <w:tcPr>
            <w:tcW w:w="851" w:type="pct"/>
            <w:shd w:val="clear" w:color="auto" w:fill="auto"/>
            <w:tcMar>
              <w:top w:w="120" w:type="dxa"/>
              <w:left w:w="240" w:type="dxa"/>
              <w:bottom w:w="120" w:type="dxa"/>
              <w:right w:w="240" w:type="dxa"/>
            </w:tcMar>
          </w:tcPr>
          <w:p w:rsidR="003D1C5B" w:rsidRPr="003D1C5B"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 xml:space="preserve">Administrative Advice: </w:t>
            </w:r>
            <w:r w:rsidRPr="003D1C5B">
              <w:rPr>
                <w:rFonts w:ascii="Arial Narrow" w:hAnsi="Arial Narrow" w:cs="Open Sans"/>
                <w:bCs/>
                <w:sz w:val="18"/>
                <w:szCs w:val="18"/>
                <w:bdr w:val="none" w:sz="0" w:space="0" w:color="auto" w:frame="1"/>
              </w:rPr>
              <w:t>No increase in the maximum quantity or number of units may be authorised.</w:t>
            </w:r>
          </w:p>
        </w:tc>
      </w:tr>
      <w:tr w:rsidR="003D1C5B" w:rsidRPr="003D1C5B" w:rsidTr="000367ED">
        <w:trPr>
          <w:trHeight w:val="25"/>
        </w:trPr>
        <w:tc>
          <w:tcPr>
            <w:tcW w:w="851" w:type="pct"/>
            <w:shd w:val="clear" w:color="auto" w:fill="auto"/>
            <w:tcMar>
              <w:top w:w="120" w:type="dxa"/>
              <w:left w:w="240" w:type="dxa"/>
              <w:bottom w:w="120" w:type="dxa"/>
              <w:right w:w="240" w:type="dxa"/>
            </w:tcMar>
          </w:tcPr>
          <w:p w:rsidR="003D1C5B" w:rsidRPr="003D1C5B"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 xml:space="preserve">Administrative Advice: </w:t>
            </w:r>
            <w:r w:rsidRPr="003D1C5B">
              <w:rPr>
                <w:rFonts w:ascii="Arial Narrow" w:hAnsi="Arial Narrow" w:cs="Open Sans"/>
                <w:bCs/>
                <w:sz w:val="18"/>
                <w:szCs w:val="18"/>
                <w:bdr w:val="none" w:sz="0" w:space="0" w:color="auto" w:frame="1"/>
              </w:rPr>
              <w:t>No increase in the maximum number of repeats may be authorised.</w:t>
            </w:r>
          </w:p>
        </w:tc>
      </w:tr>
      <w:tr w:rsidR="003D1C5B" w:rsidRPr="003D1C5B" w:rsidTr="000367ED">
        <w:trPr>
          <w:trHeight w:val="25"/>
        </w:trPr>
        <w:tc>
          <w:tcPr>
            <w:tcW w:w="851" w:type="pct"/>
            <w:shd w:val="clear" w:color="auto" w:fill="auto"/>
            <w:tcMar>
              <w:top w:w="120" w:type="dxa"/>
              <w:left w:w="240" w:type="dxa"/>
              <w:bottom w:w="120" w:type="dxa"/>
              <w:right w:w="240" w:type="dxa"/>
            </w:tcMar>
          </w:tcPr>
          <w:p w:rsidR="003D1C5B" w:rsidRPr="003D1C5B"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Administrative Advice:</w:t>
            </w:r>
            <w:r w:rsidRPr="003D1C5B">
              <w:rPr>
                <w:rFonts w:ascii="Arial Narrow" w:hAnsi="Arial Narrow"/>
                <w:sz w:val="18"/>
                <w:szCs w:val="18"/>
              </w:rPr>
              <w:t xml:space="preserve"> </w:t>
            </w:r>
            <w:r w:rsidRPr="003D1C5B">
              <w:rPr>
                <w:rFonts w:ascii="Arial Narrow" w:hAnsi="Arial Narrow" w:cs="Open Sans"/>
                <w:bCs/>
                <w:sz w:val="18"/>
                <w:szCs w:val="18"/>
                <w:bdr w:val="none" w:sz="0" w:space="0" w:color="auto" w:frame="1"/>
              </w:rPr>
              <w:t>Special Pricing Arrangements apply.</w:t>
            </w:r>
          </w:p>
        </w:tc>
      </w:tr>
      <w:tr w:rsidR="003D1C5B" w:rsidRPr="003D1C5B" w:rsidTr="000367ED">
        <w:trPr>
          <w:trHeight w:val="25"/>
        </w:trPr>
        <w:tc>
          <w:tcPr>
            <w:tcW w:w="851" w:type="pct"/>
            <w:shd w:val="clear" w:color="auto" w:fill="auto"/>
            <w:tcMar>
              <w:top w:w="120" w:type="dxa"/>
              <w:left w:w="240" w:type="dxa"/>
              <w:bottom w:w="120" w:type="dxa"/>
              <w:right w:w="240" w:type="dxa"/>
            </w:tcMar>
          </w:tcPr>
          <w:p w:rsidR="003D1C5B" w:rsidRPr="003D1C5B"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Open Sans"/>
                <w:b/>
                <w:bCs/>
                <w:sz w:val="18"/>
                <w:szCs w:val="18"/>
                <w:bdr w:val="none" w:sz="0" w:space="0" w:color="auto" w:frame="1"/>
              </w:rPr>
            </w:pPr>
            <w:r w:rsidRPr="003D1C5B">
              <w:rPr>
                <w:rFonts w:ascii="Arial Narrow" w:hAnsi="Arial Narrow" w:cstheme="minorHAnsi"/>
                <w:b/>
                <w:sz w:val="18"/>
                <w:szCs w:val="18"/>
              </w:rPr>
              <w:t>Severity:</w:t>
            </w:r>
            <w:r w:rsidRPr="003D1C5B">
              <w:rPr>
                <w:rFonts w:ascii="Arial Narrow" w:hAnsi="Arial Narrow" w:cstheme="minorHAnsi"/>
                <w:sz w:val="18"/>
                <w:szCs w:val="18"/>
              </w:rPr>
              <w:t xml:space="preserve"> Moderate to severe</w:t>
            </w:r>
          </w:p>
        </w:tc>
      </w:tr>
      <w:tr w:rsidR="003D1C5B" w:rsidRPr="003D1C5B" w:rsidTr="000367ED">
        <w:trPr>
          <w:trHeight w:val="25"/>
        </w:trPr>
        <w:tc>
          <w:tcPr>
            <w:tcW w:w="851" w:type="pct"/>
            <w:shd w:val="clear" w:color="auto" w:fill="auto"/>
            <w:tcMar>
              <w:top w:w="120" w:type="dxa"/>
              <w:left w:w="240" w:type="dxa"/>
              <w:bottom w:w="120" w:type="dxa"/>
              <w:right w:w="240" w:type="dxa"/>
            </w:tcMar>
          </w:tcPr>
          <w:p w:rsidR="003D1C5B" w:rsidRPr="003D1C5B"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theme="minorHAnsi"/>
                <w:b/>
                <w:sz w:val="18"/>
                <w:szCs w:val="18"/>
              </w:rPr>
            </w:pPr>
            <w:r w:rsidRPr="003D1C5B">
              <w:rPr>
                <w:rFonts w:ascii="Arial Narrow" w:hAnsi="Arial Narrow" w:cstheme="minorHAnsi"/>
                <w:b/>
                <w:sz w:val="18"/>
                <w:szCs w:val="18"/>
              </w:rPr>
              <w:t>Condition:</w:t>
            </w:r>
            <w:r w:rsidRPr="003D1C5B">
              <w:rPr>
                <w:rFonts w:ascii="Arial Narrow" w:hAnsi="Arial Narrow" w:cstheme="minorHAnsi"/>
                <w:sz w:val="18"/>
                <w:szCs w:val="18"/>
              </w:rPr>
              <w:t xml:space="preserve"> Ulcerative colitis</w:t>
            </w:r>
          </w:p>
        </w:tc>
      </w:tr>
      <w:tr w:rsidR="003D1C5B" w:rsidRPr="003D1C5B" w:rsidTr="000367ED">
        <w:trPr>
          <w:trHeight w:val="25"/>
        </w:trPr>
        <w:tc>
          <w:tcPr>
            <w:tcW w:w="851" w:type="pct"/>
            <w:shd w:val="clear" w:color="auto" w:fill="auto"/>
            <w:tcMar>
              <w:top w:w="120" w:type="dxa"/>
              <w:left w:w="240" w:type="dxa"/>
              <w:bottom w:w="120" w:type="dxa"/>
              <w:right w:w="240" w:type="dxa"/>
            </w:tcMar>
          </w:tcPr>
          <w:p w:rsidR="003D1C5B" w:rsidRPr="003D1C5B"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theme="minorHAnsi"/>
                <w:b/>
                <w:sz w:val="18"/>
                <w:szCs w:val="18"/>
              </w:rPr>
            </w:pPr>
            <w:r w:rsidRPr="003D1C5B">
              <w:rPr>
                <w:rFonts w:ascii="Arial Narrow" w:hAnsi="Arial Narrow" w:cstheme="minorHAnsi"/>
                <w:b/>
                <w:sz w:val="18"/>
                <w:szCs w:val="18"/>
              </w:rPr>
              <w:t>Indication:</w:t>
            </w:r>
            <w:r w:rsidRPr="003D1C5B">
              <w:rPr>
                <w:rFonts w:ascii="Arial Narrow" w:hAnsi="Arial Narrow" w:cstheme="minorHAnsi"/>
                <w:sz w:val="18"/>
                <w:szCs w:val="18"/>
              </w:rPr>
              <w:t xml:space="preserve"> Moderate to severe ulcerative colitis</w:t>
            </w:r>
          </w:p>
        </w:tc>
      </w:tr>
      <w:tr w:rsidR="003D1C5B" w:rsidRPr="003D1C5B" w:rsidTr="000367ED">
        <w:trPr>
          <w:trHeight w:val="442"/>
        </w:trPr>
        <w:tc>
          <w:tcPr>
            <w:tcW w:w="851" w:type="pct"/>
            <w:shd w:val="clear" w:color="auto" w:fill="auto"/>
            <w:tcMar>
              <w:top w:w="120" w:type="dxa"/>
              <w:left w:w="240" w:type="dxa"/>
              <w:bottom w:w="120" w:type="dxa"/>
              <w:right w:w="240" w:type="dxa"/>
            </w:tcMar>
          </w:tcPr>
          <w:p w:rsidR="003D1C5B" w:rsidRPr="003D1C5B" w:rsidRDefault="003D1C5B"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theme="minorHAnsi"/>
                <w:b/>
                <w:sz w:val="18"/>
                <w:szCs w:val="18"/>
              </w:rPr>
            </w:pPr>
            <w:r w:rsidRPr="003D1C5B">
              <w:rPr>
                <w:rFonts w:ascii="Arial Narrow" w:hAnsi="Arial Narrow" w:cstheme="minorHAnsi"/>
                <w:b/>
                <w:sz w:val="18"/>
                <w:szCs w:val="18"/>
              </w:rPr>
              <w:t xml:space="preserve">Treatment Phase: </w:t>
            </w:r>
            <w:r w:rsidRPr="003D1C5B">
              <w:rPr>
                <w:rFonts w:ascii="Arial Narrow" w:hAnsi="Arial Narrow" w:cstheme="minorHAnsi"/>
                <w:sz w:val="18"/>
                <w:szCs w:val="18"/>
              </w:rPr>
              <w:t>Initial treatment - Initial 3 (recommencement of treatment after a break in biological medicine of more than 5 years)</w:t>
            </w:r>
          </w:p>
        </w:tc>
      </w:tr>
      <w:tr w:rsidR="003D1C5B" w:rsidRPr="003D1C5B" w:rsidTr="000367ED">
        <w:trPr>
          <w:trHeight w:val="25"/>
        </w:trPr>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theme="minorHAnsi"/>
                <w:b/>
                <w:sz w:val="18"/>
                <w:szCs w:val="18"/>
              </w:rPr>
            </w:pPr>
            <w:r w:rsidRPr="003D1C5B">
              <w:rPr>
                <w:rFonts w:ascii="Arial Narrow" w:hAnsi="Arial Narrow" w:cs="Open Sans"/>
                <w:b/>
                <w:bCs/>
                <w:sz w:val="18"/>
                <w:szCs w:val="18"/>
                <w:bdr w:val="none" w:sz="0" w:space="0" w:color="auto" w:frame="1"/>
              </w:rPr>
              <w:t>Treatment criteria:</w:t>
            </w:r>
          </w:p>
        </w:tc>
      </w:tr>
      <w:tr w:rsidR="003D1C5B" w:rsidRPr="003D1C5B" w:rsidTr="000367ED">
        <w:trPr>
          <w:trHeight w:val="25"/>
        </w:trPr>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sz w:val="18"/>
                <w:szCs w:val="18"/>
              </w:rPr>
              <w:t>Must be treated by a gastroenterologist (code 87); or</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r w:rsidRPr="003D1C5B">
              <w:rPr>
                <w:rFonts w:ascii="Arial Narrow" w:hAnsi="Arial Narrow" w:cs="Open Sans"/>
                <w:sz w:val="18"/>
                <w:szCs w:val="18"/>
              </w:rPr>
              <w:t>Must be treated by a consultant physician [internal medicine specialising in gastroenterology (code 81)]; or</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r w:rsidRPr="003D1C5B">
              <w:rPr>
                <w:rFonts w:ascii="Arial Narrow" w:hAnsi="Arial Narrow" w:cs="Open Sans"/>
                <w:sz w:val="18"/>
                <w:szCs w:val="18"/>
              </w:rPr>
              <w:t>Must be treated by a consultant physician [general medicine specialising in gastroenterology (code 82)]; or</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AND</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Clinical criteria:</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bCs/>
                <w:sz w:val="18"/>
                <w:szCs w:val="18"/>
                <w:bdr w:val="none" w:sz="0" w:space="0" w:color="auto" w:frame="1"/>
              </w:rPr>
            </w:pPr>
            <w:r w:rsidRPr="003D1C5B">
              <w:rPr>
                <w:rFonts w:ascii="Arial Narrow" w:hAnsi="Arial Narrow" w:cs="Open Sans"/>
                <w:bCs/>
                <w:sz w:val="18"/>
                <w:szCs w:val="18"/>
                <w:bdr w:val="none" w:sz="0" w:space="0" w:color="auto" w:frame="1"/>
              </w:rPr>
              <w:t>Patient must have previously received PBS-subsidised treatment with a biological medicine for this condition</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bCs/>
                <w:sz w:val="18"/>
                <w:szCs w:val="18"/>
                <w:bdr w:val="none" w:sz="0" w:space="0" w:color="auto" w:frame="1"/>
              </w:rPr>
            </w:pPr>
            <w:r w:rsidRPr="003D1C5B">
              <w:rPr>
                <w:rFonts w:ascii="Arial Narrow" w:hAnsi="Arial Narrow" w:cs="Open Sans"/>
                <w:b/>
                <w:bCs/>
                <w:sz w:val="18"/>
                <w:szCs w:val="18"/>
                <w:bdr w:val="none" w:sz="0" w:space="0" w:color="auto" w:frame="1"/>
              </w:rPr>
              <w:t>AND</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Clinical criteria:</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bCs/>
                <w:sz w:val="18"/>
                <w:szCs w:val="18"/>
                <w:bdr w:val="none" w:sz="0" w:space="0" w:color="auto" w:frame="1"/>
              </w:rPr>
            </w:pPr>
            <w:r w:rsidRPr="003D1C5B">
              <w:rPr>
                <w:rFonts w:ascii="Arial Narrow" w:hAnsi="Arial Narrow" w:cs="Open Sans"/>
                <w:bCs/>
                <w:sz w:val="18"/>
                <w:szCs w:val="18"/>
                <w:bdr w:val="none" w:sz="0" w:space="0" w:color="auto" w:frame="1"/>
              </w:rPr>
              <w:t>Patient must have had a break in treatment of 5 years or more from the most recently approved PBS-subsidised biological medicine for this condition</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bCs/>
                <w:sz w:val="18"/>
                <w:szCs w:val="18"/>
                <w:bdr w:val="none" w:sz="0" w:space="0" w:color="auto" w:frame="1"/>
              </w:rPr>
            </w:pPr>
            <w:r w:rsidRPr="003D1C5B">
              <w:rPr>
                <w:rFonts w:ascii="Arial Narrow" w:hAnsi="Arial Narrow" w:cs="Open Sans"/>
                <w:b/>
                <w:bCs/>
                <w:sz w:val="18"/>
                <w:szCs w:val="18"/>
                <w:bdr w:val="none" w:sz="0" w:space="0" w:color="auto" w:frame="1"/>
              </w:rPr>
              <w:t>AND</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Clinical criteria:</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bCs/>
                <w:sz w:val="18"/>
                <w:szCs w:val="18"/>
                <w:bdr w:val="none" w:sz="0" w:space="0" w:color="auto" w:frame="1"/>
              </w:rPr>
            </w:pPr>
            <w:r w:rsidRPr="003D1C5B">
              <w:rPr>
                <w:rFonts w:ascii="Arial Narrow" w:hAnsi="Arial Narrow" w:cs="Open Sans"/>
                <w:bCs/>
                <w:sz w:val="18"/>
                <w:szCs w:val="18"/>
                <w:bdr w:val="none" w:sz="0" w:space="0" w:color="auto" w:frame="1"/>
              </w:rPr>
              <w:t>Patient must have a Mayo clinic score greater than or equal to 6; OR</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bCs/>
                <w:sz w:val="18"/>
                <w:szCs w:val="18"/>
                <w:bdr w:val="none" w:sz="0" w:space="0" w:color="auto" w:frame="1"/>
              </w:rPr>
            </w:pPr>
            <w:r w:rsidRPr="003D1C5B">
              <w:rPr>
                <w:rFonts w:ascii="Arial Narrow" w:hAnsi="Arial Narrow" w:cs="Open Sans"/>
                <w:bCs/>
                <w:sz w:val="18"/>
                <w:szCs w:val="18"/>
                <w:bdr w:val="none" w:sz="0" w:space="0" w:color="auto" w:frame="1"/>
              </w:rPr>
              <w:t>Patient must have a partial Mayo clinic score greater than or equal to 6, provided the rectal bleeding and stool frequency subscores are both greater than or equal to 2 (endoscopy subscore is not required for a partial Mayo clinic score).</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AND</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Population criteria:</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r w:rsidRPr="003D1C5B">
              <w:rPr>
                <w:rFonts w:ascii="Arial Narrow" w:hAnsi="Arial Narrow" w:cs="Open Sans"/>
                <w:sz w:val="18"/>
                <w:szCs w:val="18"/>
              </w:rPr>
              <w:t>Patient must be aged 18 years or older.</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b/>
                <w:sz w:val="18"/>
                <w:szCs w:val="18"/>
              </w:rPr>
            </w:pPr>
            <w:r w:rsidRPr="003D1C5B">
              <w:rPr>
                <w:rFonts w:ascii="Arial Narrow" w:hAnsi="Arial Narrow" w:cs="Open Sans"/>
                <w:b/>
                <w:sz w:val="18"/>
                <w:szCs w:val="18"/>
              </w:rPr>
              <w:t>Prescribing Instructions:</w:t>
            </w:r>
          </w:p>
          <w:p w:rsidR="003D1C5B" w:rsidRPr="003D1C5B" w:rsidRDefault="003D1C5B" w:rsidP="000079D4">
            <w:pPr>
              <w:rPr>
                <w:rFonts w:ascii="Arial Narrow" w:hAnsi="Arial Narrow" w:cs="Open Sans"/>
                <w:sz w:val="18"/>
                <w:szCs w:val="18"/>
              </w:rPr>
            </w:pPr>
            <w:r w:rsidRPr="003D1C5B">
              <w:rPr>
                <w:rFonts w:ascii="Arial Narrow" w:hAnsi="Arial Narrow" w:cs="Open Sans"/>
                <w:sz w:val="18"/>
                <w:szCs w:val="18"/>
              </w:rPr>
              <w:t>Application for authorisation must be made in writing and must include:</w:t>
            </w:r>
          </w:p>
          <w:p w:rsidR="003D1C5B" w:rsidRPr="003D1C5B" w:rsidRDefault="003D1C5B" w:rsidP="000079D4">
            <w:pPr>
              <w:rPr>
                <w:rFonts w:ascii="Arial Narrow" w:hAnsi="Arial Narrow" w:cs="Open Sans"/>
                <w:sz w:val="18"/>
                <w:szCs w:val="18"/>
              </w:rPr>
            </w:pPr>
            <w:r w:rsidRPr="003D1C5B">
              <w:rPr>
                <w:rFonts w:ascii="Arial Narrow" w:hAnsi="Arial Narrow" w:cs="Open Sans"/>
                <w:sz w:val="18"/>
                <w:szCs w:val="18"/>
              </w:rPr>
              <w:t>(a) a completed authority prescription form; and</w:t>
            </w:r>
          </w:p>
          <w:p w:rsidR="003D1C5B" w:rsidRPr="003D1C5B" w:rsidRDefault="003D1C5B" w:rsidP="000079D4">
            <w:pPr>
              <w:rPr>
                <w:rFonts w:ascii="Arial Narrow" w:hAnsi="Arial Narrow" w:cs="Open Sans"/>
                <w:sz w:val="18"/>
                <w:szCs w:val="18"/>
              </w:rPr>
            </w:pPr>
            <w:r w:rsidRPr="003D1C5B">
              <w:rPr>
                <w:rFonts w:ascii="Arial Narrow" w:hAnsi="Arial Narrow" w:cs="Open Sans"/>
                <w:sz w:val="18"/>
                <w:szCs w:val="18"/>
              </w:rPr>
              <w:t>(b) a completed Ulcerative Colitis PBS Authority Application - Supporting Information Form which includes the following:</w:t>
            </w:r>
          </w:p>
          <w:p w:rsidR="003D1C5B" w:rsidRPr="003D1C5B" w:rsidRDefault="003D1C5B" w:rsidP="000079D4">
            <w:pPr>
              <w:rPr>
                <w:rFonts w:ascii="Arial Narrow" w:hAnsi="Arial Narrow" w:cs="Open Sans"/>
                <w:sz w:val="18"/>
                <w:szCs w:val="18"/>
              </w:rPr>
            </w:pPr>
            <w:r w:rsidRPr="003D1C5B">
              <w:rPr>
                <w:rFonts w:ascii="Arial Narrow" w:hAnsi="Arial Narrow" w:cs="Open Sans"/>
                <w:sz w:val="18"/>
                <w:szCs w:val="18"/>
              </w:rPr>
              <w:t>(i) the completed current Mayo clinic or partial Mayo clinic calculation sheet including the date of assessment of the patient's condition; and</w:t>
            </w:r>
          </w:p>
          <w:p w:rsidR="003D1C5B" w:rsidRPr="003D1C5B" w:rsidRDefault="003D1C5B" w:rsidP="000079D4">
            <w:pPr>
              <w:rPr>
                <w:rFonts w:ascii="Arial Narrow" w:hAnsi="Arial Narrow" w:cs="Open Sans"/>
                <w:sz w:val="18"/>
                <w:szCs w:val="18"/>
              </w:rPr>
            </w:pPr>
            <w:r w:rsidRPr="003D1C5B">
              <w:rPr>
                <w:rFonts w:ascii="Arial Narrow" w:hAnsi="Arial Narrow" w:cs="Open Sans"/>
                <w:sz w:val="18"/>
                <w:szCs w:val="18"/>
              </w:rPr>
              <w:t>(ii) the details of prior biological medicine treatment including the details of date and duration of treatment.</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r w:rsidRPr="003D1C5B">
              <w:rPr>
                <w:rFonts w:ascii="Arial Narrow" w:hAnsi="Arial Narrow" w:cs="Open Sans"/>
                <w:b/>
                <w:bCs/>
                <w:sz w:val="18"/>
                <w:szCs w:val="18"/>
              </w:rPr>
              <w:t>Prescribing Instructions:</w:t>
            </w:r>
          </w:p>
          <w:p w:rsidR="003D1C5B" w:rsidRPr="003D1C5B" w:rsidRDefault="003D1C5B" w:rsidP="000079D4">
            <w:pPr>
              <w:rPr>
                <w:rFonts w:ascii="Arial Narrow" w:hAnsi="Arial Narrow" w:cs="Open Sans"/>
                <w:b/>
                <w:sz w:val="18"/>
                <w:szCs w:val="18"/>
              </w:rPr>
            </w:pPr>
            <w:r w:rsidRPr="003D1C5B">
              <w:rPr>
                <w:rFonts w:ascii="Arial Narrow" w:hAnsi="Arial Narrow" w:cs="Open Sans"/>
                <w:bCs/>
                <w:sz w:val="18"/>
                <w:szCs w:val="18"/>
              </w:rPr>
              <w:t>All tests and assessments should be performed preferably whilst still on treatment, but no longer than 4 weeks following cessation of the most recent prior conventional treatment.</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r w:rsidRPr="003D1C5B">
              <w:rPr>
                <w:rFonts w:ascii="Arial Narrow" w:hAnsi="Arial Narrow" w:cs="Open Sans"/>
                <w:b/>
                <w:bCs/>
                <w:sz w:val="18"/>
                <w:szCs w:val="18"/>
              </w:rPr>
              <w:t>Prescribing Instructions:</w:t>
            </w:r>
          </w:p>
          <w:p w:rsidR="003D1C5B" w:rsidRPr="003D1C5B" w:rsidRDefault="003D1C5B" w:rsidP="000079D4">
            <w:pPr>
              <w:rPr>
                <w:rFonts w:ascii="Arial Narrow" w:hAnsi="Arial Narrow" w:cs="Open Sans"/>
                <w:b/>
                <w:bCs/>
                <w:sz w:val="18"/>
                <w:szCs w:val="18"/>
              </w:rPr>
            </w:pPr>
            <w:r w:rsidRPr="003D1C5B">
              <w:rPr>
                <w:rFonts w:ascii="Arial Narrow" w:hAnsi="Arial Narrow" w:cs="Open Sans"/>
                <w:bCs/>
                <w:sz w:val="18"/>
                <w:szCs w:val="18"/>
              </w:rPr>
              <w:t>The most recent Mayo clinic or partial Mayo clinic score must be no more than 4 weeks old at the time of application.</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b/>
                <w:bCs/>
                <w:i/>
                <w:sz w:val="18"/>
                <w:szCs w:val="18"/>
              </w:rPr>
            </w:pPr>
            <w:r w:rsidRPr="003D1C5B">
              <w:rPr>
                <w:rFonts w:ascii="Arial Narrow" w:hAnsi="Arial Narrow" w:cs="Open Sans"/>
                <w:b/>
                <w:bCs/>
                <w:i/>
                <w:sz w:val="18"/>
                <w:szCs w:val="18"/>
              </w:rPr>
              <w:t>Prescribing Instructions:</w:t>
            </w:r>
          </w:p>
          <w:p w:rsidR="003D1C5B" w:rsidRPr="003D1C5B" w:rsidRDefault="003D1C5B" w:rsidP="000079D4">
            <w:pPr>
              <w:rPr>
                <w:rFonts w:ascii="Arial Narrow" w:hAnsi="Arial Narrow" w:cs="Open Sans"/>
                <w:b/>
                <w:bCs/>
                <w:sz w:val="18"/>
                <w:szCs w:val="18"/>
              </w:rPr>
            </w:pPr>
            <w:r w:rsidRPr="003D1C5B">
              <w:rPr>
                <w:rFonts w:ascii="Arial Narrow" w:hAnsi="Arial Narrow" w:cs="Open Sans"/>
                <w:bCs/>
                <w:i/>
                <w:sz w:val="18"/>
                <w:szCs w:val="18"/>
              </w:rPr>
              <w:t>A partial Mayo clinic assessment of the patient's response to this initial course of treatment must be conducted following a minimum of 12 weeks of treatment for adalimumab and up to 12 weeks after the first dose (6 weeks following the third dose) for tofacitinib, golimumab, infliximab and vedolizumab so that there is adequate time for a response to be demonstrated.</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b/>
                <w:bCs/>
                <w:iCs/>
                <w:sz w:val="18"/>
                <w:szCs w:val="18"/>
                <w:bdr w:val="none" w:sz="0" w:space="0" w:color="auto" w:frame="1"/>
              </w:rPr>
            </w:pPr>
            <w:r w:rsidRPr="003D1C5B">
              <w:rPr>
                <w:rFonts w:ascii="Arial Narrow" w:hAnsi="Arial Narrow" w:cs="Open Sans"/>
                <w:b/>
                <w:bCs/>
                <w:iCs/>
                <w:sz w:val="18"/>
                <w:szCs w:val="18"/>
                <w:bdr w:val="none" w:sz="0" w:space="0" w:color="auto" w:frame="1"/>
              </w:rPr>
              <w:t>Prescribing Instructions:</w:t>
            </w:r>
          </w:p>
          <w:p w:rsidR="003D1C5B" w:rsidRPr="003D1C5B" w:rsidRDefault="003D1C5B" w:rsidP="000079D4">
            <w:pPr>
              <w:textAlignment w:val="baseline"/>
              <w:rPr>
                <w:rFonts w:ascii="Arial Narrow" w:hAnsi="Arial Narrow" w:cs="Open Sans"/>
                <w:b/>
                <w:bCs/>
                <w:iCs/>
                <w:sz w:val="18"/>
                <w:szCs w:val="18"/>
                <w:bdr w:val="none" w:sz="0" w:space="0" w:color="auto" w:frame="1"/>
              </w:rPr>
            </w:pPr>
            <w:r w:rsidRPr="003D1C5B">
              <w:rPr>
                <w:rFonts w:ascii="Arial Narrow" w:hAnsi="Arial Narrow" w:cs="Open Sans"/>
                <w:bCs/>
                <w:sz w:val="18"/>
                <w:szCs w:val="18"/>
                <w:bdr w:val="none" w:sz="0" w:space="0" w:color="auto" w:frame="1"/>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b/>
                <w:bCs/>
                <w:sz w:val="18"/>
                <w:szCs w:val="18"/>
                <w:bdr w:val="none" w:sz="0" w:space="0" w:color="auto" w:frame="1"/>
              </w:rPr>
              <w:t>Prescribing Instructions:</w:t>
            </w:r>
          </w:p>
          <w:p w:rsidR="003D1C5B" w:rsidRPr="003D1C5B" w:rsidRDefault="003D1C5B" w:rsidP="000079D4">
            <w:pPr>
              <w:textAlignment w:val="baseline"/>
              <w:rPr>
                <w:rFonts w:ascii="Arial Narrow" w:hAnsi="Arial Narrow" w:cs="Open Sans"/>
                <w:b/>
                <w:bCs/>
                <w:sz w:val="18"/>
                <w:szCs w:val="18"/>
                <w:bdr w:val="none" w:sz="0" w:space="0" w:color="auto" w:frame="1"/>
              </w:rPr>
            </w:pPr>
            <w:r w:rsidRPr="003D1C5B">
              <w:rPr>
                <w:rFonts w:ascii="Arial Narrow" w:hAnsi="Arial Narrow" w:cs="Open Sans"/>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b/>
                <w:bCs/>
                <w:sz w:val="18"/>
                <w:szCs w:val="18"/>
                <w:bdr w:val="none" w:sz="0" w:space="0" w:color="auto" w:frame="1"/>
              </w:rPr>
              <w:t>Prescribing Instructions:</w:t>
            </w:r>
          </w:p>
          <w:p w:rsidR="003D1C5B" w:rsidRPr="003D1C5B" w:rsidRDefault="003D1C5B" w:rsidP="000079D4">
            <w:pPr>
              <w:textAlignment w:val="baseline"/>
              <w:rPr>
                <w:rFonts w:ascii="Arial Narrow" w:hAnsi="Arial Narrow" w:cs="Open Sans"/>
                <w:b/>
                <w:bCs/>
                <w:sz w:val="18"/>
                <w:szCs w:val="18"/>
                <w:bdr w:val="none" w:sz="0" w:space="0" w:color="auto" w:frame="1"/>
              </w:rPr>
            </w:pPr>
            <w:r w:rsidRPr="003D1C5B">
              <w:rPr>
                <w:rFonts w:ascii="Arial Narrow" w:hAnsi="Arial Narrow" w:cs="Open Sans"/>
                <w:sz w:val="18"/>
                <w:szCs w:val="18"/>
              </w:rPr>
              <w:lastRenderedPageBreak/>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rPr>
                <w:rFonts w:ascii="Arial Narrow" w:hAnsi="Arial Narrow" w:cs="Open Sans"/>
                <w:b/>
                <w:bCs/>
                <w:sz w:val="18"/>
                <w:szCs w:val="18"/>
              </w:rPr>
            </w:pPr>
            <w:r w:rsidRPr="003D1C5B">
              <w:rPr>
                <w:rFonts w:ascii="Arial Narrow" w:hAnsi="Arial Narrow" w:cs="Open Sans"/>
                <w:b/>
                <w:bCs/>
                <w:sz w:val="18"/>
                <w:szCs w:val="18"/>
              </w:rPr>
              <w:t>Prescribing Instructions:</w:t>
            </w:r>
          </w:p>
          <w:p w:rsidR="003D1C5B" w:rsidRPr="003D1C5B" w:rsidRDefault="003D1C5B" w:rsidP="000079D4">
            <w:pPr>
              <w:rPr>
                <w:rFonts w:ascii="Arial Narrow" w:hAnsi="Arial Narrow" w:cs="Open Sans"/>
                <w:b/>
                <w:bCs/>
                <w:sz w:val="18"/>
                <w:szCs w:val="18"/>
              </w:rPr>
            </w:pPr>
            <w:r w:rsidRPr="003D1C5B">
              <w:rPr>
                <w:rFonts w:ascii="Arial Narrow" w:hAnsi="Arial Narrow" w:cstheme="minorHAnsi"/>
                <w:sz w:val="18"/>
                <w:szCs w:val="18"/>
              </w:rPr>
              <w:t xml:space="preserve">A maximum of 16 weeks of treatment with this drug will be approved under this criterion. </w:t>
            </w:r>
          </w:p>
        </w:tc>
      </w:tr>
      <w:tr w:rsidR="003D1C5B" w:rsidRPr="003D1C5B" w:rsidTr="000367ED">
        <w:trPr>
          <w:trHeight w:val="241"/>
        </w:trPr>
        <w:tc>
          <w:tcPr>
            <w:tcW w:w="851"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trike/>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i/>
                <w:sz w:val="18"/>
                <w:szCs w:val="18"/>
              </w:rPr>
            </w:pPr>
            <w:r w:rsidRPr="003D1C5B">
              <w:rPr>
                <w:rFonts w:ascii="Arial Narrow" w:hAnsi="Arial Narrow" w:cs="Open Sans"/>
                <w:b/>
                <w:bCs/>
                <w:i/>
                <w:sz w:val="18"/>
                <w:szCs w:val="18"/>
                <w:bdr w:val="none" w:sz="0" w:space="0" w:color="auto" w:frame="1"/>
              </w:rPr>
              <w:t>Administrative Advice:</w:t>
            </w:r>
          </w:p>
          <w:p w:rsidR="003D1C5B" w:rsidRPr="002D19AB" w:rsidRDefault="003D1C5B" w:rsidP="002D19AB">
            <w:pPr>
              <w:rPr>
                <w:rFonts w:ascii="Arial Narrow" w:hAnsi="Arial Narrow" w:cstheme="minorHAnsi"/>
                <w:i/>
                <w:sz w:val="18"/>
                <w:szCs w:val="18"/>
              </w:rPr>
            </w:pPr>
            <w:r w:rsidRPr="003D1C5B">
              <w:rPr>
                <w:rFonts w:ascii="Arial Narrow" w:hAnsi="Arial Narrow" w:cstheme="minorHAnsi"/>
                <w:i/>
                <w:sz w:val="18"/>
                <w:szCs w:val="18"/>
              </w:rPr>
              <w:t>Details of accepted toxicities including severity can be found on the Services Australia website at</w:t>
            </w:r>
            <w:r w:rsidRPr="003D1C5B">
              <w:rPr>
                <w:rFonts w:ascii="Arial Narrow" w:hAnsi="Arial Narrow" w:cstheme="minorHAnsi"/>
                <w:i/>
                <w:strike/>
                <w:sz w:val="18"/>
                <w:szCs w:val="18"/>
              </w:rPr>
              <w:t xml:space="preserve"> </w:t>
            </w:r>
            <w:r w:rsidRPr="003D1C5B">
              <w:rPr>
                <w:rFonts w:ascii="Arial Narrow" w:hAnsi="Arial Narrow" w:cstheme="minorHAnsi"/>
                <w:i/>
                <w:sz w:val="18"/>
                <w:szCs w:val="18"/>
              </w:rPr>
              <w:t>www.servicesaustralia.gov.au.</w:t>
            </w:r>
          </w:p>
        </w:tc>
      </w:tr>
      <w:tr w:rsidR="003D1C5B" w:rsidRPr="003D1C5B" w:rsidTr="000367ED">
        <w:tc>
          <w:tcPr>
            <w:tcW w:w="851"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iCs/>
                <w:sz w:val="18"/>
                <w:szCs w:val="18"/>
              </w:rPr>
            </w:pPr>
          </w:p>
        </w:tc>
        <w:tc>
          <w:tcPr>
            <w:tcW w:w="4149" w:type="pct"/>
            <w:shd w:val="clear" w:color="auto" w:fill="auto"/>
            <w:tcMar>
              <w:top w:w="120" w:type="dxa"/>
              <w:left w:w="240" w:type="dxa"/>
              <w:bottom w:w="120" w:type="dxa"/>
              <w:right w:w="240" w:type="dxa"/>
            </w:tcMar>
          </w:tcPr>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b/>
                <w:bCs/>
                <w:sz w:val="18"/>
                <w:szCs w:val="18"/>
                <w:bdr w:val="none" w:sz="0" w:space="0" w:color="auto" w:frame="1"/>
              </w:rPr>
              <w:t>Administrative Advice:</w:t>
            </w:r>
          </w:p>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sz w:val="18"/>
                <w:szCs w:val="18"/>
              </w:rPr>
              <w:t>Any queries concerning the arrangements to prescribe may be directed to Services Australia on 1800 700 270 (hours of operation 8 a.m. to 5 p.m. EST Monday to Friday).</w:t>
            </w:r>
          </w:p>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sz w:val="18"/>
                <w:szCs w:val="18"/>
              </w:rPr>
              <w:t>Prescribing information (including Authority Application forms and other relevant documentation as applicable) is available on the Services Australia website at www.servicesaustralia.gov.au</w:t>
            </w:r>
          </w:p>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sz w:val="18"/>
                <w:szCs w:val="18"/>
              </w:rPr>
              <w:t>Applications for authority to prescribe should be submitted online using the form upload facility in Health Professional Online Services (HPOS) at www.servicesaustralia.gov.au/hpos</w:t>
            </w:r>
          </w:p>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sz w:val="18"/>
                <w:szCs w:val="18"/>
              </w:rPr>
              <w:t>Or mailed to:</w:t>
            </w:r>
          </w:p>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sz w:val="18"/>
                <w:szCs w:val="18"/>
              </w:rPr>
              <w:t>Services Australia</w:t>
            </w:r>
          </w:p>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sz w:val="18"/>
                <w:szCs w:val="18"/>
              </w:rPr>
              <w:t>Complex Drugs</w:t>
            </w:r>
          </w:p>
          <w:p w:rsidR="003D1C5B" w:rsidRPr="003D1C5B" w:rsidRDefault="003D1C5B" w:rsidP="000079D4">
            <w:pPr>
              <w:textAlignment w:val="baseline"/>
              <w:rPr>
                <w:rFonts w:ascii="Arial Narrow" w:hAnsi="Arial Narrow" w:cs="Open Sans"/>
                <w:sz w:val="18"/>
                <w:szCs w:val="18"/>
              </w:rPr>
            </w:pPr>
            <w:r w:rsidRPr="003D1C5B">
              <w:rPr>
                <w:rFonts w:ascii="Arial Narrow" w:hAnsi="Arial Narrow" w:cs="Open Sans"/>
                <w:sz w:val="18"/>
                <w:szCs w:val="18"/>
              </w:rPr>
              <w:t>Reply Paid 9826</w:t>
            </w:r>
          </w:p>
          <w:p w:rsidR="003D1C5B" w:rsidRPr="003D1C5B" w:rsidRDefault="003D1C5B" w:rsidP="000079D4">
            <w:pPr>
              <w:textAlignment w:val="baseline"/>
              <w:rPr>
                <w:rFonts w:ascii="Arial Narrow" w:hAnsi="Arial Narrow" w:cs="Open Sans"/>
                <w:b/>
                <w:bCs/>
                <w:sz w:val="18"/>
                <w:szCs w:val="18"/>
                <w:bdr w:val="none" w:sz="0" w:space="0" w:color="auto" w:frame="1"/>
              </w:rPr>
            </w:pPr>
            <w:r w:rsidRPr="003D1C5B">
              <w:rPr>
                <w:rFonts w:ascii="Arial Narrow" w:hAnsi="Arial Narrow" w:cs="Open Sans"/>
                <w:sz w:val="18"/>
                <w:szCs w:val="18"/>
              </w:rPr>
              <w:t>HOBART TAS 7001</w:t>
            </w:r>
          </w:p>
        </w:tc>
      </w:tr>
    </w:tbl>
    <w:p w:rsidR="000104D6" w:rsidRPr="002D4988" w:rsidRDefault="000104D6" w:rsidP="000079D4">
      <w:pPr>
        <w:rPr>
          <w:rFonts w:ascii="Arial Narrow" w:hAnsi="Arial Narrow"/>
          <w:sz w:val="18"/>
          <w:szCs w:val="18"/>
        </w:rPr>
      </w:pPr>
    </w:p>
    <w:p w:rsidR="000104D6" w:rsidRPr="002D4988" w:rsidRDefault="000104D6" w:rsidP="000079D4">
      <w:pPr>
        <w:rPr>
          <w:rFonts w:ascii="Arial Narrow" w:hAnsi="Arial Narrow"/>
          <w:sz w:val="18"/>
          <w:szCs w:val="18"/>
        </w:rPr>
      </w:pPr>
    </w:p>
    <w:p w:rsidR="000104D6" w:rsidRPr="00D8785A" w:rsidRDefault="000104D6" w:rsidP="000079D4">
      <w:pPr>
        <w:rPr>
          <w:rFonts w:ascii="Arial Narrow" w:hAnsi="Arial Narrow"/>
          <w:b/>
          <w:sz w:val="18"/>
          <w:szCs w:val="18"/>
        </w:rPr>
      </w:pPr>
      <w:r w:rsidRPr="00D8785A">
        <w:rPr>
          <w:rFonts w:ascii="Arial Narrow" w:hAnsi="Arial Narrow"/>
          <w:b/>
          <w:sz w:val="18"/>
          <w:szCs w:val="18"/>
        </w:rPr>
        <w:t xml:space="preserve">Add BOS restriction </w:t>
      </w:r>
    </w:p>
    <w:p w:rsidR="000104D6" w:rsidRPr="002D4988" w:rsidRDefault="000104D6" w:rsidP="000079D4">
      <w:pPr>
        <w:textAlignment w:val="baseline"/>
        <w:outlineLvl w:val="3"/>
        <w:rPr>
          <w:rFonts w:ascii="Arial Narrow" w:hAnsi="Arial Narrow" w:cstheme="minorHAnsi"/>
          <w:sz w:val="18"/>
          <w:szCs w:val="18"/>
        </w:rPr>
      </w:pPr>
      <w:r w:rsidRPr="002D4988">
        <w:rPr>
          <w:rFonts w:ascii="Arial Narrow" w:hAnsi="Arial Narrow"/>
          <w:sz w:val="18"/>
          <w:szCs w:val="18"/>
        </w:rPr>
        <w:t>Restriction Summary NEW / ToC: NEW: Authority Required</w:t>
      </w:r>
      <w:r w:rsidRPr="002D4988">
        <w:rPr>
          <w:rFonts w:ascii="Arial Narrow" w:hAnsi="Arial Narrow" w:cstheme="minorHAnsi"/>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11"/>
        <w:gridCol w:w="7506"/>
      </w:tblGrid>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b/>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tabs>
                <w:tab w:val="left" w:pos="960"/>
              </w:tabs>
              <w:jc w:val="left"/>
              <w:rPr>
                <w:rFonts w:ascii="Arial Narrow" w:hAnsi="Arial Narrow"/>
                <w:b/>
                <w:sz w:val="18"/>
                <w:szCs w:val="18"/>
              </w:rPr>
            </w:pPr>
            <w:r w:rsidRPr="003D1C5B">
              <w:rPr>
                <w:rFonts w:ascii="Arial Narrow" w:hAnsi="Arial Narrow"/>
                <w:b/>
                <w:sz w:val="18"/>
                <w:szCs w:val="18"/>
              </w:rPr>
              <w:t>Category / Program:</w:t>
            </w:r>
            <w:r w:rsidRPr="003D1C5B">
              <w:rPr>
                <w:rFonts w:ascii="Arial Narrow" w:hAnsi="Arial Narrow"/>
                <w:sz w:val="18"/>
                <w:szCs w:val="18"/>
              </w:rPr>
              <w:t xml:space="preserve"> GENERAL – General Schedule (Code GE)</w:t>
            </w:r>
          </w:p>
        </w:tc>
      </w:tr>
      <w:tr w:rsidR="000104D6" w:rsidRPr="003D1C5B" w:rsidTr="000367ED">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tabs>
                <w:tab w:val="left" w:pos="960"/>
              </w:tabs>
              <w:jc w:val="left"/>
              <w:rPr>
                <w:rFonts w:ascii="Arial Narrow" w:hAnsi="Arial Narrow" w:cs="Times New Roman"/>
                <w:b/>
                <w:sz w:val="18"/>
                <w:szCs w:val="18"/>
              </w:rPr>
            </w:pPr>
            <w:r w:rsidRPr="003D1C5B">
              <w:rPr>
                <w:rFonts w:ascii="Arial Narrow" w:hAnsi="Arial Narrow"/>
                <w:b/>
                <w:sz w:val="18"/>
                <w:szCs w:val="18"/>
              </w:rPr>
              <w:t xml:space="preserve">Prescriber type:  </w:t>
            </w:r>
            <w:r w:rsidRPr="003D1C5B">
              <w:rPr>
                <w:rFonts w:ascii="Arial Narrow" w:hAnsi="Arial Narrow"/>
                <w:sz w:val="18"/>
                <w:szCs w:val="18"/>
              </w:rPr>
              <w:fldChar w:fldCharType="begin">
                <w:ffData>
                  <w:name w:val="Check1"/>
                  <w:enabled/>
                  <w:calcOnExit w:val="0"/>
                  <w:checkBox>
                    <w:sizeAuto/>
                    <w:default w:val="0"/>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 xml:space="preserve">Dental  </w:t>
            </w:r>
            <w:r w:rsidRPr="003D1C5B">
              <w:rPr>
                <w:rFonts w:ascii="Arial Narrow" w:hAnsi="Arial Narrow"/>
                <w:sz w:val="18"/>
                <w:szCs w:val="18"/>
              </w:rPr>
              <w:fldChar w:fldCharType="begin">
                <w:ffData>
                  <w:name w:val=""/>
                  <w:enabled/>
                  <w:calcOnExit w:val="0"/>
                  <w:checkBox>
                    <w:sizeAuto/>
                    <w:default w:val="1"/>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 xml:space="preserve">Medical Practitioners  </w:t>
            </w:r>
            <w:r w:rsidRPr="003D1C5B">
              <w:rPr>
                <w:rFonts w:ascii="Arial Narrow" w:hAnsi="Arial Narrow"/>
                <w:sz w:val="18"/>
                <w:szCs w:val="18"/>
              </w:rPr>
              <w:fldChar w:fldCharType="begin">
                <w:ffData>
                  <w:name w:val=""/>
                  <w:enabled/>
                  <w:calcOnExit w:val="0"/>
                  <w:checkBox>
                    <w:sizeAuto/>
                    <w:default w:val="0"/>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 xml:space="preserve">Nurse practitioners  </w:t>
            </w:r>
            <w:r w:rsidRPr="003D1C5B">
              <w:rPr>
                <w:rFonts w:ascii="Arial Narrow" w:hAnsi="Arial Narrow"/>
                <w:sz w:val="18"/>
                <w:szCs w:val="18"/>
              </w:rPr>
              <w:fldChar w:fldCharType="begin">
                <w:ffData>
                  <w:name w:val=""/>
                  <w:enabled/>
                  <w:calcOnExit w:val="0"/>
                  <w:checkBox>
                    <w:sizeAuto/>
                    <w:default w:val="0"/>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 xml:space="preserve">Optometrists </w:t>
            </w:r>
            <w:r w:rsidRPr="003D1C5B">
              <w:rPr>
                <w:rFonts w:ascii="Arial Narrow" w:hAnsi="Arial Narrow"/>
                <w:sz w:val="18"/>
                <w:szCs w:val="18"/>
              </w:rPr>
              <w:fldChar w:fldCharType="begin">
                <w:ffData>
                  <w:name w:val="Check5"/>
                  <w:enabled/>
                  <w:calcOnExit w:val="0"/>
                  <w:checkBox>
                    <w:sizeAuto/>
                    <w:default w:val="0"/>
                  </w:checkBox>
                </w:ffData>
              </w:fldChar>
            </w:r>
            <w:r w:rsidRPr="003D1C5B">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3D1C5B">
              <w:rPr>
                <w:rFonts w:ascii="Arial Narrow" w:hAnsi="Arial Narrow"/>
                <w:sz w:val="18"/>
                <w:szCs w:val="18"/>
              </w:rPr>
              <w:fldChar w:fldCharType="end"/>
            </w:r>
            <w:r w:rsidRPr="003D1C5B">
              <w:rPr>
                <w:rFonts w:ascii="Arial Narrow" w:hAnsi="Arial Narrow"/>
                <w:sz w:val="18"/>
                <w:szCs w:val="18"/>
              </w:rPr>
              <w:t>Midwives</w:t>
            </w:r>
          </w:p>
        </w:tc>
      </w:tr>
      <w:tr w:rsidR="000104D6" w:rsidRPr="003D1C5B" w:rsidTr="000367ED">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Times New Roman"/>
                <w:sz w:val="18"/>
                <w:szCs w:val="18"/>
              </w:rPr>
            </w:pPr>
            <w:r w:rsidRPr="003D1C5B">
              <w:rPr>
                <w:rFonts w:ascii="Arial Narrow" w:hAnsi="Arial Narrow" w:cs="Times New Roman"/>
                <w:b/>
                <w:sz w:val="18"/>
                <w:szCs w:val="18"/>
              </w:rPr>
              <w:t xml:space="preserve">Restriction </w:t>
            </w:r>
            <w:r w:rsidR="00CB34EF">
              <w:rPr>
                <w:rFonts w:ascii="Arial Narrow" w:hAnsi="Arial Narrow" w:cs="Times New Roman"/>
                <w:b/>
                <w:sz w:val="18"/>
                <w:szCs w:val="18"/>
              </w:rPr>
              <w:t>type</w:t>
            </w:r>
            <w:r w:rsidRPr="003D1C5B">
              <w:rPr>
                <w:rFonts w:ascii="Arial Narrow" w:hAnsi="Arial Narrow" w:cs="Times New Roman"/>
                <w:b/>
                <w:sz w:val="18"/>
                <w:szCs w:val="18"/>
              </w:rPr>
              <w:t xml:space="preserve"> / Method: </w:t>
            </w:r>
            <w:r w:rsidRPr="003D1C5B">
              <w:rPr>
                <w:rFonts w:ascii="Arial Narrow" w:hAnsi="Arial Narrow" w:cs="Times New Roman"/>
                <w:sz w:val="18"/>
                <w:szCs w:val="18"/>
              </w:rPr>
              <w:fldChar w:fldCharType="begin">
                <w:ffData>
                  <w:name w:val=""/>
                  <w:enabled/>
                  <w:calcOnExit w:val="0"/>
                  <w:checkBox>
                    <w:sizeAuto/>
                    <w:default w:val="1"/>
                  </w:checkBox>
                </w:ffData>
              </w:fldChar>
            </w:r>
            <w:r w:rsidRPr="003D1C5B">
              <w:rPr>
                <w:rFonts w:ascii="Arial Narrow" w:hAnsi="Arial Narrow" w:cs="Times New Roman"/>
                <w:sz w:val="18"/>
                <w:szCs w:val="18"/>
              </w:rPr>
              <w:instrText xml:space="preserve"> FORMCHECKBOX </w:instrText>
            </w:r>
            <w:r w:rsidR="00D6581F">
              <w:rPr>
                <w:rFonts w:ascii="Arial Narrow" w:hAnsi="Arial Narrow" w:cs="Times New Roman"/>
                <w:sz w:val="18"/>
                <w:szCs w:val="18"/>
              </w:rPr>
            </w:r>
            <w:r w:rsidR="00D6581F">
              <w:rPr>
                <w:rFonts w:ascii="Arial Narrow" w:hAnsi="Arial Narrow" w:cs="Times New Roman"/>
                <w:sz w:val="18"/>
                <w:szCs w:val="18"/>
              </w:rPr>
              <w:fldChar w:fldCharType="separate"/>
            </w:r>
            <w:r w:rsidRPr="003D1C5B">
              <w:rPr>
                <w:rFonts w:ascii="Arial Narrow" w:hAnsi="Arial Narrow" w:cs="Times New Roman"/>
                <w:sz w:val="18"/>
                <w:szCs w:val="18"/>
              </w:rPr>
              <w:fldChar w:fldCharType="end"/>
            </w:r>
            <w:r w:rsidRPr="003D1C5B">
              <w:rPr>
                <w:rFonts w:ascii="Arial Narrow" w:hAnsi="Arial Narrow" w:cs="Times New Roman"/>
                <w:sz w:val="18"/>
                <w:szCs w:val="18"/>
              </w:rPr>
              <w:t xml:space="preserve">Authority Required – Telephone/electronic </w:t>
            </w:r>
          </w:p>
        </w:tc>
      </w:tr>
      <w:tr w:rsidR="000104D6" w:rsidRPr="003D1C5B" w:rsidTr="000367ED">
        <w:trPr>
          <w:trHeight w:val="442"/>
        </w:trPr>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 xml:space="preserve">Administrative Advice: TREATMENT OF ADULT PATIENTS WITH MODERATE TO SEVERE ULCERATIVE COLITIS </w:t>
            </w:r>
          </w:p>
        </w:tc>
      </w:tr>
      <w:tr w:rsidR="000104D6" w:rsidRPr="003D1C5B" w:rsidTr="000367ED">
        <w:trPr>
          <w:trHeight w:val="25"/>
        </w:trPr>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 xml:space="preserve">Administrative Advice: </w:t>
            </w:r>
            <w:r w:rsidRPr="003D1C5B">
              <w:rPr>
                <w:rFonts w:ascii="Arial Narrow" w:hAnsi="Arial Narrow" w:cs="Open Sans"/>
                <w:bCs/>
                <w:sz w:val="18"/>
                <w:szCs w:val="18"/>
                <w:bdr w:val="none" w:sz="0" w:space="0" w:color="auto" w:frame="1"/>
              </w:rPr>
              <w:t>No increase in the maximum quantity or number of units may be authorised.</w:t>
            </w:r>
          </w:p>
        </w:tc>
      </w:tr>
      <w:tr w:rsidR="000104D6" w:rsidRPr="003D1C5B" w:rsidTr="000367ED">
        <w:trPr>
          <w:trHeight w:val="25"/>
        </w:trPr>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 xml:space="preserve">Administrative Advice: </w:t>
            </w:r>
            <w:r w:rsidRPr="003D1C5B">
              <w:rPr>
                <w:rFonts w:ascii="Arial Narrow" w:hAnsi="Arial Narrow" w:cs="Open Sans"/>
                <w:bCs/>
                <w:sz w:val="18"/>
                <w:szCs w:val="18"/>
                <w:bdr w:val="none" w:sz="0" w:space="0" w:color="auto" w:frame="1"/>
              </w:rPr>
              <w:t>No increase in the maximum number of repeats may be authorised.</w:t>
            </w:r>
          </w:p>
        </w:tc>
      </w:tr>
      <w:tr w:rsidR="000104D6" w:rsidRPr="003D1C5B" w:rsidTr="000367ED">
        <w:trPr>
          <w:trHeight w:val="25"/>
        </w:trPr>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Administrative Advice:</w:t>
            </w:r>
            <w:r w:rsidRPr="003D1C5B">
              <w:rPr>
                <w:rFonts w:ascii="Arial Narrow" w:hAnsi="Arial Narrow"/>
                <w:sz w:val="18"/>
                <w:szCs w:val="18"/>
              </w:rPr>
              <w:t xml:space="preserve"> </w:t>
            </w:r>
            <w:r w:rsidRPr="003D1C5B">
              <w:rPr>
                <w:rFonts w:ascii="Arial Narrow" w:hAnsi="Arial Narrow" w:cs="Open Sans"/>
                <w:bCs/>
                <w:sz w:val="18"/>
                <w:szCs w:val="18"/>
                <w:bdr w:val="none" w:sz="0" w:space="0" w:color="auto" w:frame="1"/>
              </w:rPr>
              <w:t>Special Pricing Arrangements apply.</w:t>
            </w:r>
          </w:p>
        </w:tc>
      </w:tr>
      <w:tr w:rsidR="000104D6" w:rsidRPr="003D1C5B" w:rsidTr="00FC3BE5">
        <w:trPr>
          <w:trHeight w:val="25"/>
        </w:trPr>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textAlignment w:val="baseline"/>
              <w:rPr>
                <w:rFonts w:ascii="Arial Narrow" w:hAnsi="Arial Narrow" w:cs="Open Sans"/>
                <w:sz w:val="18"/>
                <w:szCs w:val="18"/>
              </w:rPr>
            </w:pPr>
            <w:r w:rsidRPr="003D1C5B">
              <w:rPr>
                <w:rFonts w:ascii="Arial Narrow" w:hAnsi="Arial Narrow" w:cs="Open Sans"/>
                <w:b/>
                <w:bCs/>
                <w:sz w:val="18"/>
                <w:szCs w:val="18"/>
                <w:bdr w:val="none" w:sz="0" w:space="0" w:color="auto" w:frame="1"/>
              </w:rPr>
              <w:t>Indication:</w:t>
            </w:r>
            <w:r w:rsidRPr="003D1C5B">
              <w:rPr>
                <w:rFonts w:ascii="Arial Narrow" w:hAnsi="Arial Narrow" w:cs="Open Sans"/>
                <w:sz w:val="18"/>
                <w:szCs w:val="18"/>
              </w:rPr>
              <w:t xml:space="preserve"> Moderate to severe ulcerative colitis</w:t>
            </w:r>
          </w:p>
        </w:tc>
      </w:tr>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textAlignment w:val="baseline"/>
              <w:rPr>
                <w:rFonts w:ascii="Arial Narrow" w:hAnsi="Arial Narrow" w:cs="Open Sans"/>
                <w:sz w:val="18"/>
                <w:szCs w:val="18"/>
              </w:rPr>
            </w:pPr>
            <w:r w:rsidRPr="003D1C5B">
              <w:rPr>
                <w:rFonts w:ascii="Arial Narrow" w:hAnsi="Arial Narrow" w:cs="Open Sans"/>
                <w:b/>
                <w:bCs/>
                <w:sz w:val="18"/>
                <w:szCs w:val="18"/>
                <w:bdr w:val="none" w:sz="0" w:space="0" w:color="auto" w:frame="1"/>
              </w:rPr>
              <w:t xml:space="preserve">Treatment Phase: </w:t>
            </w:r>
            <w:r w:rsidRPr="003D1C5B">
              <w:rPr>
                <w:rFonts w:ascii="Arial Narrow" w:hAnsi="Arial Narrow" w:cs="Open Sans"/>
                <w:sz w:val="18"/>
                <w:szCs w:val="18"/>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0104D6" w:rsidRPr="003D1C5B" w:rsidTr="00FC3BE5">
        <w:trPr>
          <w:trHeight w:val="25"/>
        </w:trPr>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textAlignment w:val="baseline"/>
              <w:rPr>
                <w:rFonts w:ascii="Arial Narrow" w:hAnsi="Arial Narrow" w:cs="Open Sans"/>
                <w:sz w:val="18"/>
                <w:szCs w:val="18"/>
              </w:rPr>
            </w:pPr>
            <w:r w:rsidRPr="003D1C5B">
              <w:rPr>
                <w:rFonts w:ascii="Arial Narrow" w:hAnsi="Arial Narrow" w:cs="Open Sans"/>
                <w:b/>
                <w:bCs/>
                <w:sz w:val="18"/>
                <w:szCs w:val="18"/>
                <w:bdr w:val="none" w:sz="0" w:space="0" w:color="auto" w:frame="1"/>
              </w:rPr>
              <w:t>Treatment criteria:</w:t>
            </w:r>
          </w:p>
        </w:tc>
      </w:tr>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Open Sans"/>
                <w:sz w:val="18"/>
                <w:szCs w:val="18"/>
              </w:rPr>
            </w:pPr>
            <w:r w:rsidRPr="003D1C5B">
              <w:rPr>
                <w:rFonts w:ascii="Arial Narrow" w:hAnsi="Arial Narrow" w:cs="Open Sans"/>
                <w:sz w:val="18"/>
                <w:szCs w:val="18"/>
              </w:rPr>
              <w:t>Must be treated by a gastroenterologist (code 87); or</w:t>
            </w:r>
          </w:p>
        </w:tc>
      </w:tr>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Open Sans"/>
                <w:sz w:val="18"/>
                <w:szCs w:val="18"/>
              </w:rPr>
            </w:pPr>
            <w:r w:rsidRPr="003D1C5B">
              <w:rPr>
                <w:rFonts w:ascii="Arial Narrow" w:hAnsi="Arial Narrow" w:cs="Open Sans"/>
                <w:sz w:val="18"/>
                <w:szCs w:val="18"/>
              </w:rPr>
              <w:t>Must be treated by a consultant physician [internal medicine specialising in gastroenterology (code 81)]; or</w:t>
            </w:r>
          </w:p>
        </w:tc>
      </w:tr>
      <w:tr w:rsidR="000104D6" w:rsidRPr="003D1C5B" w:rsidTr="00FC3BE5">
        <w:trPr>
          <w:trHeight w:val="25"/>
        </w:trPr>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Open Sans"/>
                <w:sz w:val="18"/>
                <w:szCs w:val="18"/>
              </w:rPr>
            </w:pPr>
            <w:r w:rsidRPr="003D1C5B">
              <w:rPr>
                <w:rFonts w:ascii="Arial Narrow" w:hAnsi="Arial Narrow" w:cs="Open Sans"/>
                <w:sz w:val="18"/>
                <w:szCs w:val="18"/>
              </w:rPr>
              <w:t>Must be treated by a consultant physician [general medicine specialising in gastroenterology (code 82)]</w:t>
            </w:r>
          </w:p>
        </w:tc>
      </w:tr>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Open Sans"/>
                <w:sz w:val="18"/>
                <w:szCs w:val="18"/>
              </w:rPr>
            </w:pPr>
            <w:r w:rsidRPr="003D1C5B">
              <w:rPr>
                <w:rFonts w:ascii="Arial Narrow" w:hAnsi="Arial Narrow" w:cs="Open Sans"/>
                <w:b/>
                <w:bCs/>
                <w:sz w:val="18"/>
                <w:szCs w:val="18"/>
                <w:bdr w:val="none" w:sz="0" w:space="0" w:color="auto" w:frame="1"/>
              </w:rPr>
              <w:t>AND</w:t>
            </w:r>
          </w:p>
        </w:tc>
      </w:tr>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textAlignment w:val="baseline"/>
              <w:rPr>
                <w:rFonts w:ascii="Arial Narrow" w:hAnsi="Arial Narrow" w:cs="Open Sans"/>
                <w:sz w:val="18"/>
                <w:szCs w:val="18"/>
              </w:rPr>
            </w:pPr>
            <w:r w:rsidRPr="003D1C5B">
              <w:rPr>
                <w:rFonts w:ascii="Arial Narrow" w:hAnsi="Arial Narrow" w:cs="Open Sans"/>
                <w:b/>
                <w:bCs/>
                <w:sz w:val="18"/>
                <w:szCs w:val="18"/>
                <w:bdr w:val="none" w:sz="0" w:space="0" w:color="auto" w:frame="1"/>
              </w:rPr>
              <w:t>Clinical criteria:</w:t>
            </w:r>
          </w:p>
        </w:tc>
      </w:tr>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Open Sans"/>
                <w:sz w:val="18"/>
                <w:szCs w:val="18"/>
              </w:rPr>
            </w:pPr>
            <w:r w:rsidRPr="003D1C5B">
              <w:rPr>
                <w:rFonts w:ascii="Arial Narrow" w:hAnsi="Arial Narrow" w:cs="Open Sans"/>
                <w:sz w:val="18"/>
                <w:szCs w:val="18"/>
              </w:rPr>
              <w:t>Patient must have received insufficient therapy with this drug for this condition under the Initial 1 (new patient) restriction to complete 16 weeks treatment; or</w:t>
            </w:r>
          </w:p>
        </w:tc>
      </w:tr>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Open Sans"/>
                <w:sz w:val="18"/>
                <w:szCs w:val="18"/>
              </w:rPr>
            </w:pPr>
            <w:r w:rsidRPr="003D1C5B">
              <w:rPr>
                <w:rFonts w:ascii="Arial Narrow" w:hAnsi="Arial Narrow" w:cs="Open Sans"/>
                <w:sz w:val="18"/>
                <w:szCs w:val="18"/>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Open Sans"/>
                <w:sz w:val="18"/>
                <w:szCs w:val="18"/>
              </w:rPr>
            </w:pPr>
            <w:r w:rsidRPr="003D1C5B">
              <w:rPr>
                <w:rFonts w:ascii="Arial Narrow" w:hAnsi="Arial Narrow" w:cs="Open Sans"/>
                <w:sz w:val="18"/>
                <w:szCs w:val="18"/>
              </w:rPr>
              <w:t xml:space="preserve">Patient must have received insufficient therapy with this drug for this condition under the Initial 3 (recommencement of treatment after a break in biological medicine of more than 5 years) restriction to complete 16 weeks treatment </w:t>
            </w:r>
          </w:p>
        </w:tc>
      </w:tr>
      <w:tr w:rsidR="000104D6" w:rsidRPr="003D1C5B" w:rsidTr="00FC3BE5">
        <w:trPr>
          <w:trHeight w:val="25"/>
        </w:trPr>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Open Sans"/>
                <w:sz w:val="18"/>
                <w:szCs w:val="18"/>
              </w:rPr>
            </w:pPr>
            <w:r w:rsidRPr="003D1C5B">
              <w:rPr>
                <w:rFonts w:ascii="Arial Narrow" w:hAnsi="Arial Narrow" w:cs="Open Sans"/>
                <w:b/>
                <w:bCs/>
                <w:sz w:val="18"/>
                <w:szCs w:val="18"/>
                <w:bdr w:val="none" w:sz="0" w:space="0" w:color="auto" w:frame="1"/>
              </w:rPr>
              <w:t>AND</w:t>
            </w:r>
          </w:p>
        </w:tc>
      </w:tr>
      <w:tr w:rsidR="000104D6" w:rsidRPr="003D1C5B" w:rsidTr="00FC3BE5">
        <w:trPr>
          <w:trHeight w:val="25"/>
        </w:trPr>
        <w:tc>
          <w:tcPr>
            <w:tcW w:w="838" w:type="pct"/>
            <w:shd w:val="clear" w:color="auto" w:fill="auto"/>
            <w:tcMar>
              <w:top w:w="120" w:type="dxa"/>
              <w:left w:w="240" w:type="dxa"/>
              <w:bottom w:w="120" w:type="dxa"/>
              <w:right w:w="240" w:type="dxa"/>
            </w:tcMar>
          </w:tcPr>
          <w:p w:rsidR="000104D6" w:rsidRPr="003D1C5B"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rPr>
                <w:rFonts w:ascii="Arial Narrow" w:hAnsi="Arial Narrow" w:cs="Open Sans"/>
                <w:sz w:val="18"/>
                <w:szCs w:val="18"/>
              </w:rPr>
            </w:pPr>
            <w:r w:rsidRPr="003D1C5B">
              <w:rPr>
                <w:rFonts w:ascii="Arial Narrow" w:hAnsi="Arial Narrow" w:cs="Open Sans"/>
                <w:b/>
                <w:bCs/>
                <w:sz w:val="18"/>
                <w:szCs w:val="18"/>
                <w:bdr w:val="none" w:sz="0" w:space="0" w:color="auto" w:frame="1"/>
              </w:rPr>
              <w:t>Clinical criteria:</w:t>
            </w:r>
          </w:p>
        </w:tc>
      </w:tr>
      <w:tr w:rsidR="000104D6" w:rsidRPr="003D1C5B" w:rsidTr="00FC3BE5">
        <w:tc>
          <w:tcPr>
            <w:tcW w:w="838" w:type="pct"/>
            <w:shd w:val="clear" w:color="auto" w:fill="auto"/>
            <w:tcMar>
              <w:top w:w="120" w:type="dxa"/>
              <w:left w:w="240" w:type="dxa"/>
              <w:bottom w:w="120" w:type="dxa"/>
              <w:right w:w="240" w:type="dxa"/>
            </w:tcMar>
          </w:tcPr>
          <w:p w:rsidR="000104D6" w:rsidRPr="003D1C5B"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3D1C5B" w:rsidRDefault="000104D6" w:rsidP="000079D4">
            <w:pPr>
              <w:jc w:val="left"/>
              <w:textAlignment w:val="baseline"/>
              <w:rPr>
                <w:rFonts w:ascii="Arial Narrow" w:hAnsi="Arial Narrow" w:cs="Open Sans"/>
                <w:sz w:val="18"/>
                <w:szCs w:val="18"/>
              </w:rPr>
            </w:pPr>
            <w:r w:rsidRPr="003D1C5B">
              <w:rPr>
                <w:rFonts w:ascii="Arial Narrow" w:hAnsi="Arial Narrow" w:cs="Open Sans"/>
                <w:sz w:val="18"/>
                <w:szCs w:val="18"/>
              </w:rPr>
              <w:t xml:space="preserve">The treatment must provide no more than the balance of up to 16 weeks treatment available under the above restrictions </w:t>
            </w:r>
          </w:p>
        </w:tc>
      </w:tr>
      <w:tr w:rsidR="000104D6" w:rsidRPr="003D1C5B" w:rsidTr="00FC3BE5">
        <w:tc>
          <w:tcPr>
            <w:tcW w:w="838" w:type="pct"/>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3D1C5B" w:rsidRPr="003D1C5B" w:rsidRDefault="003D1C5B" w:rsidP="000079D4">
            <w:pPr>
              <w:jc w:val="left"/>
              <w:textAlignment w:val="baseline"/>
              <w:rPr>
                <w:rFonts w:ascii="Arial Narrow" w:hAnsi="Arial Narrow" w:cs="Open Sans"/>
                <w:sz w:val="18"/>
                <w:szCs w:val="18"/>
              </w:rPr>
            </w:pPr>
          </w:p>
        </w:tc>
        <w:tc>
          <w:tcPr>
            <w:tcW w:w="4162" w:type="pct"/>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hideMark/>
          </w:tcPr>
          <w:p w:rsidR="000104D6" w:rsidRPr="003D1C5B" w:rsidRDefault="000104D6" w:rsidP="000079D4">
            <w:pPr>
              <w:textAlignment w:val="baseline"/>
              <w:rPr>
                <w:rFonts w:ascii="Arial Narrow" w:hAnsi="Arial Narrow" w:cs="Open Sans"/>
                <w:b/>
                <w:bCs/>
                <w:sz w:val="18"/>
                <w:szCs w:val="18"/>
                <w:bdr w:val="none" w:sz="0" w:space="0" w:color="auto" w:frame="1"/>
              </w:rPr>
            </w:pPr>
            <w:r w:rsidRPr="003D1C5B">
              <w:rPr>
                <w:rFonts w:ascii="Arial Narrow" w:hAnsi="Arial Narrow" w:cs="Open Sans"/>
                <w:b/>
                <w:bCs/>
                <w:sz w:val="18"/>
                <w:szCs w:val="18"/>
                <w:bdr w:val="none" w:sz="0" w:space="0" w:color="auto" w:frame="1"/>
              </w:rPr>
              <w:t>Administrative Advice:</w:t>
            </w:r>
          </w:p>
          <w:p w:rsidR="000104D6" w:rsidRPr="003D1C5B" w:rsidRDefault="000104D6" w:rsidP="000079D4">
            <w:pPr>
              <w:jc w:val="left"/>
              <w:textAlignment w:val="baseline"/>
              <w:rPr>
                <w:rFonts w:ascii="Arial Narrow" w:hAnsi="Arial Narrow" w:cs="Open Sans"/>
                <w:sz w:val="18"/>
                <w:szCs w:val="18"/>
              </w:rPr>
            </w:pPr>
            <w:r w:rsidRPr="003D1C5B">
              <w:rPr>
                <w:rFonts w:ascii="Arial Narrow" w:hAnsi="Arial Narrow" w:cs="Open Sans"/>
                <w:bCs/>
                <w:sz w:val="18"/>
                <w:szCs w:val="18"/>
                <w:bdr w:val="none" w:sz="0" w:space="0" w:color="auto" w:frame="1"/>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rsidR="000104D6" w:rsidRDefault="000104D6" w:rsidP="000079D4">
      <w:pPr>
        <w:rPr>
          <w:rFonts w:ascii="Arial Narrow" w:hAnsi="Arial Narrow"/>
          <w:sz w:val="18"/>
          <w:szCs w:val="18"/>
        </w:rPr>
      </w:pPr>
    </w:p>
    <w:tbl>
      <w:tblPr>
        <w:tblStyle w:val="PlainTabl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330"/>
        <w:gridCol w:w="827"/>
        <w:gridCol w:w="965"/>
        <w:gridCol w:w="742"/>
        <w:gridCol w:w="1216"/>
        <w:gridCol w:w="1937"/>
      </w:tblGrid>
      <w:tr w:rsidR="00CB34EF" w:rsidRPr="002D4988" w:rsidTr="00C9724B">
        <w:trPr>
          <w:cnfStyle w:val="100000000000" w:firstRow="1" w:lastRow="0" w:firstColumn="0" w:lastColumn="0" w:oddVBand="0" w:evenVBand="0" w:oddHBand="0" w:evenHBand="0" w:firstRowFirstColumn="0" w:firstRowLastColumn="0" w:lastRowFirstColumn="0" w:lastRowLastColumn="0"/>
          <w:tblHeader/>
        </w:trPr>
        <w:tc>
          <w:tcPr>
            <w:tcW w:w="1848" w:type="pct"/>
            <w:tcBorders>
              <w:top w:val="single" w:sz="4" w:space="0" w:color="auto"/>
              <w:left w:val="single" w:sz="4" w:space="0" w:color="auto"/>
              <w:right w:val="single" w:sz="4" w:space="0" w:color="auto"/>
            </w:tcBorders>
            <w:hideMark/>
          </w:tcPr>
          <w:p w:rsidR="00CB34EF" w:rsidRPr="002D4988" w:rsidRDefault="00CB34EF" w:rsidP="000079D4">
            <w:pPr>
              <w:keepNext/>
              <w:rPr>
                <w:rFonts w:ascii="Arial Narrow" w:eastAsia="Calibri" w:hAnsi="Arial Narrow"/>
                <w:sz w:val="18"/>
                <w:szCs w:val="18"/>
              </w:rPr>
            </w:pPr>
            <w:r w:rsidRPr="002D4988">
              <w:rPr>
                <w:rFonts w:ascii="Arial Narrow" w:eastAsia="Calibri" w:hAnsi="Arial Narrow"/>
                <w:sz w:val="18"/>
                <w:szCs w:val="18"/>
              </w:rPr>
              <w:t>MEDICINAL PRODUCT</w:t>
            </w:r>
          </w:p>
          <w:p w:rsidR="00CB34EF" w:rsidRPr="002D4988" w:rsidRDefault="00CB34EF" w:rsidP="000079D4">
            <w:pPr>
              <w:keepNext/>
              <w:rPr>
                <w:rFonts w:ascii="Arial Narrow" w:eastAsia="Calibri" w:hAnsi="Arial Narrow"/>
                <w:sz w:val="18"/>
                <w:szCs w:val="18"/>
              </w:rPr>
            </w:pPr>
            <w:r w:rsidRPr="002D4988">
              <w:rPr>
                <w:rFonts w:ascii="Arial Narrow" w:eastAsia="Calibri" w:hAnsi="Arial Narrow"/>
                <w:sz w:val="18"/>
                <w:szCs w:val="18"/>
              </w:rPr>
              <w:t>medicinal product pack</w:t>
            </w:r>
          </w:p>
        </w:tc>
        <w:tc>
          <w:tcPr>
            <w:tcW w:w="460" w:type="pct"/>
            <w:tcBorders>
              <w:top w:val="single" w:sz="4" w:space="0" w:color="auto"/>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 xml:space="preserve">Max. Qty </w:t>
            </w:r>
          </w:p>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(packs)</w:t>
            </w:r>
          </w:p>
        </w:tc>
        <w:tc>
          <w:tcPr>
            <w:tcW w:w="537" w:type="pct"/>
            <w:tcBorders>
              <w:top w:val="single" w:sz="4" w:space="0" w:color="auto"/>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Max. Qty</w:t>
            </w:r>
          </w:p>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(units)</w:t>
            </w:r>
          </w:p>
        </w:tc>
        <w:tc>
          <w:tcPr>
            <w:tcW w:w="403" w:type="pct"/>
            <w:tcBorders>
              <w:top w:val="single" w:sz="4" w:space="0" w:color="auto"/>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No. of repeats</w:t>
            </w:r>
          </w:p>
        </w:tc>
        <w:tc>
          <w:tcPr>
            <w:tcW w:w="676" w:type="pct"/>
            <w:tcBorders>
              <w:top w:val="single" w:sz="4" w:space="0" w:color="auto"/>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 xml:space="preserve">PBS item </w:t>
            </w:r>
          </w:p>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code</w:t>
            </w:r>
          </w:p>
        </w:tc>
        <w:tc>
          <w:tcPr>
            <w:tcW w:w="1076" w:type="pct"/>
            <w:tcBorders>
              <w:top w:val="single" w:sz="4" w:space="0" w:color="auto"/>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Available brands</w:t>
            </w:r>
          </w:p>
        </w:tc>
      </w:tr>
      <w:tr w:rsidR="00CB34EF" w:rsidRPr="002D4988" w:rsidTr="00C9724B">
        <w:trPr>
          <w:trHeight w:val="790"/>
        </w:trPr>
        <w:tc>
          <w:tcPr>
            <w:tcW w:w="1848" w:type="pct"/>
            <w:tcBorders>
              <w:left w:val="single" w:sz="4" w:space="0" w:color="auto"/>
              <w:right w:val="single" w:sz="4" w:space="0" w:color="auto"/>
            </w:tcBorders>
            <w:hideMark/>
          </w:tcPr>
          <w:p w:rsidR="00CB34EF" w:rsidRPr="002D4988" w:rsidRDefault="00CB34EF" w:rsidP="000079D4">
            <w:pPr>
              <w:keepNext/>
              <w:rPr>
                <w:rFonts w:ascii="Arial Narrow" w:eastAsia="Times New Roman" w:hAnsi="Arial Narrow"/>
                <w:b/>
                <w:sz w:val="18"/>
                <w:szCs w:val="18"/>
              </w:rPr>
            </w:pPr>
            <w:r w:rsidRPr="002D4988">
              <w:rPr>
                <w:rFonts w:ascii="Arial Narrow" w:eastAsia="Times New Roman" w:hAnsi="Arial Narrow"/>
                <w:sz w:val="18"/>
                <w:szCs w:val="18"/>
              </w:rPr>
              <w:t>TOFACITINIB</w:t>
            </w:r>
          </w:p>
          <w:p w:rsidR="00CB34EF" w:rsidRPr="002D4988" w:rsidRDefault="00CB34EF" w:rsidP="000079D4">
            <w:pPr>
              <w:keepNext/>
              <w:rPr>
                <w:rFonts w:ascii="Arial Narrow" w:eastAsia="Times New Roman" w:hAnsi="Arial Narrow"/>
                <w:b/>
                <w:sz w:val="18"/>
                <w:szCs w:val="18"/>
              </w:rPr>
            </w:pPr>
            <w:r w:rsidRPr="002D4988">
              <w:rPr>
                <w:rFonts w:ascii="Arial Narrow" w:eastAsia="Times New Roman" w:hAnsi="Arial Narrow"/>
                <w:sz w:val="18"/>
                <w:szCs w:val="18"/>
              </w:rPr>
              <w:t>tofacitinib 5 mg, tablet, 56</w:t>
            </w:r>
          </w:p>
        </w:tc>
        <w:tc>
          <w:tcPr>
            <w:tcW w:w="460" w:type="pct"/>
            <w:tcBorders>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1</w:t>
            </w:r>
          </w:p>
        </w:tc>
        <w:tc>
          <w:tcPr>
            <w:tcW w:w="537" w:type="pct"/>
            <w:tcBorders>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56</w:t>
            </w:r>
          </w:p>
        </w:tc>
        <w:tc>
          <w:tcPr>
            <w:tcW w:w="403" w:type="pct"/>
            <w:tcBorders>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Pr>
                <w:rFonts w:ascii="Arial Narrow" w:eastAsia="Calibri" w:hAnsi="Arial Narrow"/>
                <w:sz w:val="18"/>
                <w:szCs w:val="18"/>
              </w:rPr>
              <w:t>5</w:t>
            </w:r>
          </w:p>
        </w:tc>
        <w:tc>
          <w:tcPr>
            <w:tcW w:w="676" w:type="pct"/>
            <w:tcBorders>
              <w:left w:val="single" w:sz="4" w:space="0" w:color="auto"/>
              <w:right w:val="single" w:sz="4" w:space="0" w:color="auto"/>
            </w:tcBorders>
            <w:hideMark/>
          </w:tcPr>
          <w:p w:rsidR="00CB34EF" w:rsidRPr="002D4988" w:rsidRDefault="00CB34EF" w:rsidP="000079D4">
            <w:pPr>
              <w:keepNext/>
              <w:rPr>
                <w:rFonts w:ascii="Arial Narrow" w:eastAsia="Calibri" w:hAnsi="Arial Narrow"/>
                <w:sz w:val="18"/>
                <w:szCs w:val="18"/>
              </w:rPr>
            </w:pPr>
            <w:r w:rsidRPr="002D4988">
              <w:rPr>
                <w:rFonts w:ascii="Arial Narrow" w:eastAsia="Calibri" w:hAnsi="Arial Narrow"/>
                <w:sz w:val="18"/>
                <w:szCs w:val="18"/>
              </w:rPr>
              <w:t>NEW</w:t>
            </w:r>
          </w:p>
        </w:tc>
        <w:tc>
          <w:tcPr>
            <w:tcW w:w="1076" w:type="pct"/>
            <w:tcBorders>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Xeljanz</w:t>
            </w:r>
            <w:r w:rsidRPr="002D4988">
              <w:rPr>
                <w:rFonts w:ascii="Arial Narrow" w:eastAsia="Calibri" w:hAnsi="Arial Narrow"/>
                <w:sz w:val="18"/>
                <w:szCs w:val="18"/>
                <w:vertAlign w:val="superscript"/>
              </w:rPr>
              <w:t xml:space="preserve"> </w:t>
            </w:r>
            <w:r w:rsidRPr="002D4988">
              <w:rPr>
                <w:rFonts w:ascii="Arial Narrow" w:eastAsia="Calibri" w:hAnsi="Arial Narrow"/>
                <w:sz w:val="18"/>
                <w:szCs w:val="18"/>
              </w:rPr>
              <w:t xml:space="preserve"> </w:t>
            </w:r>
          </w:p>
        </w:tc>
      </w:tr>
      <w:tr w:rsidR="00CB34EF" w:rsidRPr="002D4988" w:rsidTr="00C9724B">
        <w:trPr>
          <w:trHeight w:val="790"/>
        </w:trPr>
        <w:tc>
          <w:tcPr>
            <w:tcW w:w="1848" w:type="pct"/>
            <w:tcBorders>
              <w:left w:val="single" w:sz="4" w:space="0" w:color="auto"/>
              <w:right w:val="single" w:sz="4" w:space="0" w:color="auto"/>
            </w:tcBorders>
            <w:hideMark/>
          </w:tcPr>
          <w:p w:rsidR="00CB34EF" w:rsidRPr="002D4988" w:rsidRDefault="00CB34EF" w:rsidP="000079D4">
            <w:pPr>
              <w:keepNext/>
              <w:rPr>
                <w:rFonts w:ascii="Arial Narrow" w:eastAsia="Times New Roman" w:hAnsi="Arial Narrow"/>
                <w:b/>
                <w:sz w:val="18"/>
                <w:szCs w:val="18"/>
              </w:rPr>
            </w:pPr>
            <w:r w:rsidRPr="002D4988">
              <w:rPr>
                <w:rFonts w:ascii="Arial Narrow" w:eastAsia="Times New Roman" w:hAnsi="Arial Narrow"/>
                <w:sz w:val="18"/>
                <w:szCs w:val="18"/>
              </w:rPr>
              <w:t>TOFACITINIB</w:t>
            </w:r>
          </w:p>
          <w:p w:rsidR="00CB34EF" w:rsidRPr="002D4988" w:rsidRDefault="00CB34EF" w:rsidP="000079D4">
            <w:pPr>
              <w:keepNext/>
              <w:rPr>
                <w:rFonts w:ascii="Arial Narrow" w:eastAsia="Times New Roman" w:hAnsi="Arial Narrow"/>
                <w:b/>
                <w:sz w:val="18"/>
                <w:szCs w:val="18"/>
              </w:rPr>
            </w:pPr>
            <w:r w:rsidRPr="002D4988">
              <w:rPr>
                <w:rFonts w:ascii="Arial Narrow" w:eastAsia="Times New Roman" w:hAnsi="Arial Narrow"/>
                <w:sz w:val="18"/>
                <w:szCs w:val="18"/>
              </w:rPr>
              <w:t xml:space="preserve">tofacitinib 10 mg, tablet, 56 </w:t>
            </w:r>
          </w:p>
        </w:tc>
        <w:tc>
          <w:tcPr>
            <w:tcW w:w="460" w:type="pct"/>
            <w:tcBorders>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1</w:t>
            </w:r>
          </w:p>
        </w:tc>
        <w:tc>
          <w:tcPr>
            <w:tcW w:w="537" w:type="pct"/>
            <w:tcBorders>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56</w:t>
            </w:r>
          </w:p>
        </w:tc>
        <w:tc>
          <w:tcPr>
            <w:tcW w:w="403" w:type="pct"/>
            <w:tcBorders>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Pr>
                <w:rFonts w:ascii="Arial Narrow" w:eastAsia="Calibri" w:hAnsi="Arial Narrow"/>
                <w:sz w:val="18"/>
                <w:szCs w:val="18"/>
              </w:rPr>
              <w:t>5</w:t>
            </w:r>
          </w:p>
        </w:tc>
        <w:tc>
          <w:tcPr>
            <w:tcW w:w="676" w:type="pct"/>
            <w:tcBorders>
              <w:left w:val="single" w:sz="4" w:space="0" w:color="auto"/>
              <w:right w:val="single" w:sz="4" w:space="0" w:color="auto"/>
            </w:tcBorders>
            <w:hideMark/>
          </w:tcPr>
          <w:p w:rsidR="00CB34EF" w:rsidRPr="002D4988" w:rsidRDefault="00CB34EF" w:rsidP="000079D4">
            <w:pPr>
              <w:keepNext/>
              <w:rPr>
                <w:rFonts w:ascii="Arial Narrow" w:eastAsia="Calibri" w:hAnsi="Arial Narrow"/>
                <w:sz w:val="18"/>
                <w:szCs w:val="18"/>
              </w:rPr>
            </w:pPr>
            <w:r w:rsidRPr="002D4988">
              <w:rPr>
                <w:rFonts w:ascii="Arial Narrow" w:eastAsia="Calibri" w:hAnsi="Arial Narrow"/>
                <w:sz w:val="18"/>
                <w:szCs w:val="18"/>
              </w:rPr>
              <w:t>NEW</w:t>
            </w:r>
          </w:p>
        </w:tc>
        <w:tc>
          <w:tcPr>
            <w:tcW w:w="1076" w:type="pct"/>
            <w:tcBorders>
              <w:left w:val="single" w:sz="4" w:space="0" w:color="auto"/>
              <w:right w:val="single" w:sz="4" w:space="0" w:color="auto"/>
            </w:tcBorders>
            <w:hideMark/>
          </w:tcPr>
          <w:p w:rsidR="00CB34EF" w:rsidRPr="002D4988" w:rsidRDefault="00CB34EF" w:rsidP="000079D4">
            <w:pPr>
              <w:keepNext/>
              <w:jc w:val="center"/>
              <w:rPr>
                <w:rFonts w:ascii="Arial Narrow" w:eastAsia="Calibri" w:hAnsi="Arial Narrow"/>
                <w:sz w:val="18"/>
                <w:szCs w:val="18"/>
              </w:rPr>
            </w:pPr>
            <w:r w:rsidRPr="002D4988">
              <w:rPr>
                <w:rFonts w:ascii="Arial Narrow" w:eastAsia="Calibri" w:hAnsi="Arial Narrow"/>
                <w:sz w:val="18"/>
                <w:szCs w:val="18"/>
              </w:rPr>
              <w:t>Xeljanz</w:t>
            </w:r>
            <w:r w:rsidRPr="002D4988">
              <w:rPr>
                <w:rFonts w:ascii="Arial Narrow" w:eastAsia="Calibri" w:hAnsi="Arial Narrow"/>
                <w:sz w:val="18"/>
                <w:szCs w:val="18"/>
                <w:vertAlign w:val="superscript"/>
              </w:rPr>
              <w:t xml:space="preserve"> </w:t>
            </w:r>
            <w:r w:rsidRPr="002D4988">
              <w:rPr>
                <w:rFonts w:ascii="Arial Narrow" w:eastAsia="Calibri" w:hAnsi="Arial Narrow"/>
                <w:sz w:val="18"/>
                <w:szCs w:val="18"/>
              </w:rPr>
              <w:t xml:space="preserve"> </w:t>
            </w:r>
          </w:p>
        </w:tc>
      </w:tr>
    </w:tbl>
    <w:p w:rsidR="003D1C5B" w:rsidRPr="002D4988" w:rsidRDefault="003D1C5B" w:rsidP="000079D4">
      <w:pPr>
        <w:rPr>
          <w:rFonts w:ascii="Arial Narrow" w:hAnsi="Arial Narrow"/>
          <w:sz w:val="18"/>
          <w:szCs w:val="18"/>
        </w:rPr>
      </w:pPr>
    </w:p>
    <w:p w:rsidR="000104D6" w:rsidRPr="002D4988" w:rsidRDefault="000104D6" w:rsidP="000079D4">
      <w:pPr>
        <w:textAlignment w:val="baseline"/>
        <w:outlineLvl w:val="3"/>
        <w:rPr>
          <w:rFonts w:ascii="Arial Narrow" w:hAnsi="Arial Narrow" w:cstheme="minorHAnsi"/>
          <w:sz w:val="18"/>
          <w:szCs w:val="18"/>
        </w:rPr>
      </w:pPr>
      <w:r w:rsidRPr="002D4988">
        <w:rPr>
          <w:rFonts w:ascii="Arial Narrow" w:hAnsi="Arial Narrow"/>
          <w:sz w:val="18"/>
          <w:szCs w:val="18"/>
        </w:rPr>
        <w:t>Restriction Summary NEW / ToC: NEW: Authority Required</w:t>
      </w:r>
      <w:r w:rsidRPr="002D4988">
        <w:rPr>
          <w:rFonts w:ascii="Arial Narrow" w:hAnsi="Arial Narrow" w:cstheme="minorHAnsi"/>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5"/>
        <w:gridCol w:w="7482"/>
      </w:tblGrid>
      <w:tr w:rsidR="000104D6" w:rsidRPr="002D4988" w:rsidTr="00FC3BE5">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b/>
                <w:color w:val="333333"/>
                <w:sz w:val="18"/>
                <w:szCs w:val="18"/>
              </w:rPr>
            </w:pPr>
          </w:p>
        </w:tc>
        <w:tc>
          <w:tcPr>
            <w:tcW w:w="4149" w:type="pct"/>
            <w:shd w:val="clear" w:color="auto" w:fill="auto"/>
            <w:tcMar>
              <w:top w:w="120" w:type="dxa"/>
              <w:left w:w="240" w:type="dxa"/>
              <w:bottom w:w="120" w:type="dxa"/>
              <w:right w:w="240" w:type="dxa"/>
            </w:tcMar>
            <w:hideMark/>
          </w:tcPr>
          <w:p w:rsidR="000104D6" w:rsidRPr="002D4988" w:rsidRDefault="000104D6" w:rsidP="000079D4">
            <w:pPr>
              <w:tabs>
                <w:tab w:val="left" w:pos="960"/>
              </w:tabs>
              <w:jc w:val="left"/>
              <w:rPr>
                <w:rFonts w:ascii="Arial Narrow" w:hAnsi="Arial Narrow"/>
                <w:b/>
                <w:sz w:val="18"/>
                <w:szCs w:val="18"/>
              </w:rPr>
            </w:pPr>
            <w:r w:rsidRPr="002D4988">
              <w:rPr>
                <w:rFonts w:ascii="Arial Narrow" w:hAnsi="Arial Narrow"/>
                <w:b/>
                <w:sz w:val="18"/>
                <w:szCs w:val="18"/>
              </w:rPr>
              <w:t>Category / Program:</w:t>
            </w:r>
            <w:r w:rsidRPr="002D4988">
              <w:rPr>
                <w:rFonts w:ascii="Arial Narrow" w:hAnsi="Arial Narrow"/>
                <w:sz w:val="18"/>
                <w:szCs w:val="18"/>
              </w:rPr>
              <w:t xml:space="preserve"> GENERAL – General Schedule (Code GE)</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hideMark/>
          </w:tcPr>
          <w:p w:rsidR="000104D6" w:rsidRPr="002D4988" w:rsidRDefault="000104D6" w:rsidP="000079D4">
            <w:pPr>
              <w:tabs>
                <w:tab w:val="left" w:pos="960"/>
              </w:tabs>
              <w:jc w:val="left"/>
              <w:rPr>
                <w:rFonts w:ascii="Arial Narrow" w:hAnsi="Arial Narrow" w:cs="Times New Roman"/>
                <w:b/>
                <w:sz w:val="18"/>
                <w:szCs w:val="18"/>
              </w:rPr>
            </w:pPr>
            <w:r w:rsidRPr="002D4988">
              <w:rPr>
                <w:rFonts w:ascii="Arial Narrow" w:hAnsi="Arial Narrow"/>
                <w:b/>
                <w:sz w:val="18"/>
                <w:szCs w:val="18"/>
              </w:rPr>
              <w:t xml:space="preserve">Prescriber type:  </w:t>
            </w:r>
            <w:r w:rsidRPr="002D4988">
              <w:rPr>
                <w:rFonts w:ascii="Arial Narrow" w:hAnsi="Arial Narrow"/>
                <w:sz w:val="18"/>
                <w:szCs w:val="18"/>
              </w:rPr>
              <w:fldChar w:fldCharType="begin">
                <w:ffData>
                  <w:name w:val="Check1"/>
                  <w:enabled/>
                  <w:calcOnExit w:val="0"/>
                  <w:checkBox>
                    <w:sizeAuto/>
                    <w:default w:val="0"/>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 xml:space="preserve">Dental  </w:t>
            </w:r>
            <w:r w:rsidRPr="002D4988">
              <w:rPr>
                <w:rFonts w:ascii="Arial Narrow" w:hAnsi="Arial Narrow"/>
                <w:sz w:val="18"/>
                <w:szCs w:val="18"/>
              </w:rPr>
              <w:fldChar w:fldCharType="begin">
                <w:ffData>
                  <w:name w:val=""/>
                  <w:enabled/>
                  <w:calcOnExit w:val="0"/>
                  <w:checkBox>
                    <w:sizeAuto/>
                    <w:default w:val="1"/>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 xml:space="preserve">Medical Practitioners  </w:t>
            </w:r>
            <w:r w:rsidRPr="002D4988">
              <w:rPr>
                <w:rFonts w:ascii="Arial Narrow" w:hAnsi="Arial Narrow"/>
                <w:sz w:val="18"/>
                <w:szCs w:val="18"/>
              </w:rPr>
              <w:fldChar w:fldCharType="begin">
                <w:ffData>
                  <w:name w:val=""/>
                  <w:enabled/>
                  <w:calcOnExit w:val="0"/>
                  <w:checkBox>
                    <w:sizeAuto/>
                    <w:default w:val="0"/>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 xml:space="preserve">Nurse practitioners  </w:t>
            </w:r>
            <w:r w:rsidRPr="002D4988">
              <w:rPr>
                <w:rFonts w:ascii="Arial Narrow" w:hAnsi="Arial Narrow"/>
                <w:sz w:val="18"/>
                <w:szCs w:val="18"/>
              </w:rPr>
              <w:fldChar w:fldCharType="begin">
                <w:ffData>
                  <w:name w:val=""/>
                  <w:enabled/>
                  <w:calcOnExit w:val="0"/>
                  <w:checkBox>
                    <w:sizeAuto/>
                    <w:default w:val="0"/>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 xml:space="preserve">Optometrists </w:t>
            </w:r>
            <w:r w:rsidRPr="002D4988">
              <w:rPr>
                <w:rFonts w:ascii="Arial Narrow" w:hAnsi="Arial Narrow"/>
                <w:sz w:val="18"/>
                <w:szCs w:val="18"/>
              </w:rPr>
              <w:fldChar w:fldCharType="begin">
                <w:ffData>
                  <w:name w:val="Check5"/>
                  <w:enabled/>
                  <w:calcOnExit w:val="0"/>
                  <w:checkBox>
                    <w:sizeAuto/>
                    <w:default w:val="0"/>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Midwives</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hideMark/>
          </w:tcPr>
          <w:p w:rsidR="000104D6" w:rsidRPr="002D4988" w:rsidRDefault="00551228" w:rsidP="000079D4">
            <w:pPr>
              <w:rPr>
                <w:rFonts w:ascii="Arial Narrow" w:hAnsi="Arial Narrow" w:cs="Times New Roman"/>
                <w:sz w:val="18"/>
                <w:szCs w:val="18"/>
              </w:rPr>
            </w:pPr>
            <w:r>
              <w:rPr>
                <w:rFonts w:ascii="Arial Narrow" w:hAnsi="Arial Narrow" w:cs="Times New Roman"/>
                <w:b/>
                <w:sz w:val="18"/>
                <w:szCs w:val="18"/>
              </w:rPr>
              <w:t>Restriction type</w:t>
            </w:r>
            <w:r w:rsidR="000104D6" w:rsidRPr="002D4988">
              <w:rPr>
                <w:rFonts w:ascii="Arial Narrow" w:hAnsi="Arial Narrow" w:cs="Times New Roman"/>
                <w:b/>
                <w:sz w:val="18"/>
                <w:szCs w:val="18"/>
              </w:rPr>
              <w:t xml:space="preserve"> / Method: </w:t>
            </w:r>
            <w:r w:rsidR="000104D6" w:rsidRPr="002D4988">
              <w:rPr>
                <w:rFonts w:ascii="Arial Narrow" w:hAnsi="Arial Narrow" w:cs="Times New Roman"/>
                <w:sz w:val="18"/>
                <w:szCs w:val="18"/>
              </w:rPr>
              <w:fldChar w:fldCharType="begin">
                <w:ffData>
                  <w:name w:val=""/>
                  <w:enabled/>
                  <w:calcOnExit w:val="0"/>
                  <w:checkBox>
                    <w:sizeAuto/>
                    <w:default w:val="1"/>
                  </w:checkBox>
                </w:ffData>
              </w:fldChar>
            </w:r>
            <w:r w:rsidR="000104D6" w:rsidRPr="002D4988">
              <w:rPr>
                <w:rFonts w:ascii="Arial Narrow" w:hAnsi="Arial Narrow" w:cs="Times New Roman"/>
                <w:sz w:val="18"/>
                <w:szCs w:val="18"/>
              </w:rPr>
              <w:instrText xml:space="preserve"> FORMCHECKBOX </w:instrText>
            </w:r>
            <w:r w:rsidR="00D6581F">
              <w:rPr>
                <w:rFonts w:ascii="Arial Narrow" w:hAnsi="Arial Narrow" w:cs="Times New Roman"/>
                <w:sz w:val="18"/>
                <w:szCs w:val="18"/>
              </w:rPr>
            </w:r>
            <w:r w:rsidR="00D6581F">
              <w:rPr>
                <w:rFonts w:ascii="Arial Narrow" w:hAnsi="Arial Narrow" w:cs="Times New Roman"/>
                <w:sz w:val="18"/>
                <w:szCs w:val="18"/>
              </w:rPr>
              <w:fldChar w:fldCharType="separate"/>
            </w:r>
            <w:r w:rsidR="000104D6" w:rsidRPr="002D4988">
              <w:rPr>
                <w:rFonts w:ascii="Arial Narrow" w:hAnsi="Arial Narrow" w:cs="Times New Roman"/>
                <w:sz w:val="18"/>
                <w:szCs w:val="18"/>
              </w:rPr>
              <w:fldChar w:fldCharType="end"/>
            </w:r>
            <w:r w:rsidR="000104D6" w:rsidRPr="002D4988">
              <w:rPr>
                <w:rFonts w:ascii="Arial Narrow" w:hAnsi="Arial Narrow" w:cs="Times New Roman"/>
                <w:sz w:val="18"/>
                <w:szCs w:val="18"/>
              </w:rPr>
              <w:t xml:space="preserve">Authority Required </w:t>
            </w:r>
            <w:r>
              <w:rPr>
                <w:rFonts w:ascii="Arial Narrow" w:hAnsi="Arial Narrow" w:cs="Times New Roman"/>
                <w:sz w:val="18"/>
                <w:szCs w:val="18"/>
              </w:rPr>
              <w:t>–</w:t>
            </w:r>
            <w:r w:rsidRPr="00551228">
              <w:rPr>
                <w:rFonts w:ascii="Arial Narrow" w:hAnsi="Arial Narrow" w:cs="Times New Roman"/>
                <w:strike/>
                <w:sz w:val="18"/>
                <w:szCs w:val="18"/>
              </w:rPr>
              <w:t xml:space="preserve"> </w:t>
            </w:r>
            <w:r w:rsidR="000104D6" w:rsidRPr="00551228">
              <w:rPr>
                <w:rFonts w:ascii="Arial Narrow" w:hAnsi="Arial Narrow" w:cs="Times New Roman"/>
                <w:sz w:val="18"/>
                <w:szCs w:val="18"/>
              </w:rPr>
              <w:t>Telephone</w:t>
            </w:r>
            <w:r>
              <w:rPr>
                <w:rFonts w:ascii="Arial Narrow" w:hAnsi="Arial Narrow" w:cs="Times New Roman"/>
                <w:sz w:val="18"/>
                <w:szCs w:val="18"/>
              </w:rPr>
              <w:t xml:space="preserve"> / electronic </w:t>
            </w:r>
          </w:p>
        </w:tc>
      </w:tr>
      <w:tr w:rsidR="000104D6" w:rsidRPr="002D4988" w:rsidTr="002D19AB">
        <w:trPr>
          <w:trHeight w:val="442"/>
        </w:trPr>
        <w:tc>
          <w:tcPr>
            <w:tcW w:w="851"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 xml:space="preserve">Administrative Advice: TREATMENT OF ADULT PATIENTS WITH MODERATE TO SEVERE ULCERATIVE COLITIS </w:t>
            </w:r>
          </w:p>
        </w:tc>
      </w:tr>
      <w:tr w:rsidR="000104D6" w:rsidRPr="002D4988" w:rsidTr="002D19AB">
        <w:trPr>
          <w:trHeight w:val="55"/>
        </w:trPr>
        <w:tc>
          <w:tcPr>
            <w:tcW w:w="851"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 xml:space="preserve">Administrative Advice: </w:t>
            </w:r>
            <w:r w:rsidRPr="00551228">
              <w:rPr>
                <w:rFonts w:ascii="Arial Narrow" w:hAnsi="Arial Narrow" w:cs="Open Sans"/>
                <w:bCs/>
                <w:sz w:val="18"/>
                <w:szCs w:val="18"/>
                <w:bdr w:val="none" w:sz="0" w:space="0" w:color="auto" w:frame="1"/>
              </w:rPr>
              <w:t>No increase in the maximum quantity or number of units may be authorised.</w:t>
            </w:r>
          </w:p>
        </w:tc>
      </w:tr>
      <w:tr w:rsidR="000104D6" w:rsidRPr="002D4988" w:rsidTr="002D19AB">
        <w:trPr>
          <w:trHeight w:val="65"/>
        </w:trPr>
        <w:tc>
          <w:tcPr>
            <w:tcW w:w="851"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 xml:space="preserve">Administrative Advice: </w:t>
            </w:r>
            <w:r w:rsidRPr="00551228">
              <w:rPr>
                <w:rFonts w:ascii="Arial Narrow" w:hAnsi="Arial Narrow" w:cs="Open Sans"/>
                <w:bCs/>
                <w:sz w:val="18"/>
                <w:szCs w:val="18"/>
                <w:bdr w:val="none" w:sz="0" w:space="0" w:color="auto" w:frame="1"/>
              </w:rPr>
              <w:t>No increase in the maximum number of repeats may be authorised.</w:t>
            </w:r>
          </w:p>
        </w:tc>
      </w:tr>
      <w:tr w:rsidR="000104D6" w:rsidRPr="002D4988" w:rsidTr="002D19AB">
        <w:trPr>
          <w:trHeight w:val="25"/>
        </w:trPr>
        <w:tc>
          <w:tcPr>
            <w:tcW w:w="851"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Administrative Advice:</w:t>
            </w:r>
            <w:r w:rsidRPr="00551228">
              <w:rPr>
                <w:rFonts w:ascii="Arial Narrow" w:hAnsi="Arial Narrow"/>
                <w:sz w:val="18"/>
                <w:szCs w:val="18"/>
              </w:rPr>
              <w:t xml:space="preserve"> </w:t>
            </w:r>
            <w:r w:rsidRPr="00551228">
              <w:rPr>
                <w:rFonts w:ascii="Arial Narrow" w:hAnsi="Arial Narrow" w:cs="Open Sans"/>
                <w:bCs/>
                <w:sz w:val="18"/>
                <w:szCs w:val="18"/>
                <w:bdr w:val="none" w:sz="0" w:space="0" w:color="auto" w:frame="1"/>
              </w:rPr>
              <w:t>Special Pricing Arrangements apply.</w:t>
            </w:r>
          </w:p>
        </w:tc>
      </w:tr>
      <w:tr w:rsidR="000104D6" w:rsidRPr="002D4988" w:rsidTr="002D19AB">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Open Sans"/>
                <w:b/>
                <w:bCs/>
                <w:sz w:val="18"/>
                <w:szCs w:val="18"/>
                <w:bdr w:val="none" w:sz="0" w:space="0" w:color="auto" w:frame="1"/>
              </w:rPr>
            </w:pPr>
            <w:r w:rsidRPr="002D4988">
              <w:rPr>
                <w:rFonts w:ascii="Arial Narrow" w:hAnsi="Arial Narrow" w:cstheme="minorHAnsi"/>
                <w:b/>
                <w:sz w:val="18"/>
                <w:szCs w:val="18"/>
              </w:rPr>
              <w:t>Severity:</w:t>
            </w:r>
            <w:r w:rsidRPr="002D4988">
              <w:rPr>
                <w:rFonts w:ascii="Arial Narrow" w:hAnsi="Arial Narrow" w:cstheme="minorHAnsi"/>
                <w:sz w:val="18"/>
                <w:szCs w:val="18"/>
              </w:rPr>
              <w:t xml:space="preserve"> Moderate to severe</w:t>
            </w:r>
          </w:p>
        </w:tc>
      </w:tr>
      <w:tr w:rsidR="000104D6" w:rsidRPr="002D4988" w:rsidTr="002D19AB">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theme="minorHAnsi"/>
                <w:b/>
                <w:sz w:val="18"/>
                <w:szCs w:val="18"/>
              </w:rPr>
            </w:pPr>
            <w:r w:rsidRPr="002D4988">
              <w:rPr>
                <w:rFonts w:ascii="Arial Narrow" w:hAnsi="Arial Narrow" w:cstheme="minorHAnsi"/>
                <w:b/>
                <w:sz w:val="18"/>
                <w:szCs w:val="18"/>
              </w:rPr>
              <w:t>Condition:</w:t>
            </w:r>
            <w:r w:rsidRPr="002D4988">
              <w:rPr>
                <w:rFonts w:ascii="Arial Narrow" w:hAnsi="Arial Narrow" w:cstheme="minorHAnsi"/>
                <w:sz w:val="18"/>
                <w:szCs w:val="18"/>
              </w:rPr>
              <w:t xml:space="preserve"> Ulcerative colitis</w:t>
            </w:r>
          </w:p>
        </w:tc>
      </w:tr>
      <w:tr w:rsidR="000104D6" w:rsidRPr="002D4988" w:rsidTr="002D19AB">
        <w:trPr>
          <w:trHeight w:val="133"/>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theme="minorHAnsi"/>
                <w:b/>
                <w:sz w:val="18"/>
                <w:szCs w:val="18"/>
              </w:rPr>
            </w:pPr>
            <w:r w:rsidRPr="002D4988">
              <w:rPr>
                <w:rFonts w:ascii="Arial Narrow" w:hAnsi="Arial Narrow" w:cstheme="minorHAnsi"/>
                <w:b/>
                <w:sz w:val="18"/>
                <w:szCs w:val="18"/>
              </w:rPr>
              <w:t>Indication:</w:t>
            </w:r>
            <w:r w:rsidRPr="002D4988">
              <w:rPr>
                <w:rFonts w:ascii="Arial Narrow" w:hAnsi="Arial Narrow" w:cstheme="minorHAnsi"/>
                <w:sz w:val="18"/>
                <w:szCs w:val="18"/>
              </w:rPr>
              <w:t xml:space="preserve"> Moderate to severe ulcerative colitis</w:t>
            </w:r>
          </w:p>
        </w:tc>
      </w:tr>
      <w:tr w:rsidR="000104D6" w:rsidRPr="002D4988" w:rsidTr="002D19AB">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theme="minorHAnsi"/>
                <w:b/>
                <w:sz w:val="18"/>
                <w:szCs w:val="18"/>
              </w:rPr>
            </w:pPr>
            <w:r w:rsidRPr="002D4988">
              <w:rPr>
                <w:rFonts w:ascii="Arial Narrow" w:hAnsi="Arial Narrow" w:cstheme="minorHAnsi"/>
                <w:b/>
                <w:sz w:val="18"/>
                <w:szCs w:val="18"/>
              </w:rPr>
              <w:t xml:space="preserve">Treatment phase: </w:t>
            </w:r>
            <w:r w:rsidRPr="002D4988">
              <w:rPr>
                <w:rFonts w:ascii="Arial Narrow" w:hAnsi="Arial Narrow" w:cstheme="minorHAnsi"/>
                <w:sz w:val="18"/>
                <w:szCs w:val="18"/>
              </w:rPr>
              <w:t>Continuing treatment</w:t>
            </w:r>
          </w:p>
        </w:tc>
      </w:tr>
      <w:tr w:rsidR="000104D6" w:rsidRPr="002D4988" w:rsidTr="002D19AB">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0070C0"/>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jc w:val="left"/>
              <w:textAlignment w:val="baseline"/>
              <w:rPr>
                <w:rFonts w:ascii="Arial Narrow" w:hAnsi="Arial Narrow" w:cstheme="minorHAnsi"/>
                <w:b/>
                <w:sz w:val="18"/>
                <w:szCs w:val="18"/>
              </w:rPr>
            </w:pPr>
            <w:r w:rsidRPr="002D4988">
              <w:rPr>
                <w:rFonts w:ascii="Arial Narrow" w:hAnsi="Arial Narrow" w:cs="Open Sans"/>
                <w:b/>
                <w:bCs/>
                <w:color w:val="333333"/>
                <w:sz w:val="18"/>
                <w:szCs w:val="18"/>
                <w:bdr w:val="none" w:sz="0" w:space="0" w:color="auto" w:frame="1"/>
              </w:rPr>
              <w:t>Treatment criteria:</w:t>
            </w:r>
          </w:p>
        </w:tc>
      </w:tr>
      <w:tr w:rsidR="000104D6" w:rsidRPr="002D4988" w:rsidTr="002D19AB">
        <w:trPr>
          <w:trHeight w:val="49"/>
        </w:trPr>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r w:rsidRPr="002D4988">
              <w:rPr>
                <w:rFonts w:ascii="Arial Narrow" w:hAnsi="Arial Narrow" w:cs="Open Sans"/>
                <w:color w:val="333333"/>
                <w:sz w:val="18"/>
                <w:szCs w:val="18"/>
              </w:rPr>
              <w:t>Must be treated by a gastroenterologist (code 87); or</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Must be treated by a consultant physician [internal medicine specialising in gastroenterology (code 81)]; or</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Must be treated by a consultant physician [general medicine specialising in gastroenterology (code 82)]; or</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AND</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Clinical criteria:</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Patient must have previously received PBS-subsidised treatment with this drug for this condition</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AND</w:t>
            </w:r>
          </w:p>
        </w:tc>
      </w:tr>
      <w:tr w:rsidR="000104D6" w:rsidRPr="002D4988" w:rsidTr="002D19AB">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Clinical criteria:</w:t>
            </w:r>
          </w:p>
        </w:tc>
      </w:tr>
      <w:tr w:rsidR="000104D6" w:rsidRPr="002D4988" w:rsidTr="002D19AB">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Patient must have demonstrated or sustained an adequate response to treatment by having a partial Mayo clinic score less than or equal to 2, with no subscore greater than 1 while receiving treatment with this drug</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jc w:val="cente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b/>
                <w:bCs/>
                <w:color w:val="333333"/>
                <w:sz w:val="18"/>
                <w:szCs w:val="18"/>
                <w:bdr w:val="none" w:sz="0" w:space="0" w:color="auto" w:frame="1"/>
              </w:rPr>
              <w:t>AND</w:t>
            </w:r>
          </w:p>
        </w:tc>
      </w:tr>
      <w:tr w:rsidR="000104D6" w:rsidRPr="002D4988" w:rsidTr="002D19AB">
        <w:trPr>
          <w:trHeight w:val="25"/>
        </w:trPr>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Population criteria:</w:t>
            </w:r>
          </w:p>
        </w:tc>
      </w:tr>
      <w:tr w:rsidR="000104D6" w:rsidRPr="002D4988" w:rsidTr="002D19AB">
        <w:trPr>
          <w:trHeight w:val="68"/>
        </w:trPr>
        <w:tc>
          <w:tcPr>
            <w:tcW w:w="851" w:type="pct"/>
            <w:shd w:val="clear" w:color="auto" w:fill="auto"/>
            <w:tcMar>
              <w:top w:w="120" w:type="dxa"/>
              <w:left w:w="240" w:type="dxa"/>
              <w:bottom w:w="120" w:type="dxa"/>
              <w:right w:w="240" w:type="dxa"/>
            </w:tcMar>
          </w:tcPr>
          <w:p w:rsidR="000104D6" w:rsidRPr="002D4988" w:rsidRDefault="000104D6"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color w:val="333333"/>
                <w:sz w:val="18"/>
                <w:szCs w:val="18"/>
              </w:rPr>
              <w:t>Patient must be aged 18 years or older.</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b/>
                <w:bCs/>
                <w:color w:val="333333"/>
                <w:sz w:val="18"/>
                <w:szCs w:val="18"/>
              </w:rPr>
              <w:t>Prescribing Instructions:</w:t>
            </w:r>
          </w:p>
          <w:p w:rsidR="000104D6" w:rsidRPr="002D4988" w:rsidRDefault="000104D6" w:rsidP="000079D4">
            <w:pPr>
              <w:rPr>
                <w:rFonts w:ascii="Arial Narrow" w:hAnsi="Arial Narrow" w:cs="Open Sans"/>
                <w:color w:val="333333"/>
                <w:sz w:val="18"/>
                <w:szCs w:val="18"/>
              </w:rPr>
            </w:pPr>
            <w:r w:rsidRPr="002D4988">
              <w:rPr>
                <w:rFonts w:ascii="Arial Narrow" w:hAnsi="Arial Narrow" w:cs="Open Sans"/>
                <w:bCs/>
                <w:color w:val="333333"/>
                <w:sz w:val="18"/>
                <w:szCs w:val="18"/>
              </w:rPr>
              <w:t>Patients who have failed to maintain a partial Mayo clinic score less than or equal to 2, with no subscore greater than 1 with continuing treatment with this drug, will not be eligible to receive further PBS-subsidised treatment with this drug.</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strike/>
                <w:color w:val="333333"/>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b/>
                <w:bCs/>
                <w:color w:val="333333"/>
                <w:sz w:val="18"/>
                <w:szCs w:val="18"/>
              </w:rPr>
              <w:t>Prescribing Instructions:</w:t>
            </w:r>
          </w:p>
          <w:p w:rsidR="000104D6" w:rsidRPr="002D4988" w:rsidRDefault="000104D6" w:rsidP="000079D4">
            <w:pPr>
              <w:rPr>
                <w:rFonts w:ascii="Arial Narrow" w:hAnsi="Arial Narrow" w:cstheme="minorHAnsi"/>
                <w:sz w:val="18"/>
                <w:szCs w:val="18"/>
              </w:rPr>
            </w:pPr>
            <w:r w:rsidRPr="002D4988">
              <w:rPr>
                <w:rFonts w:ascii="Arial Narrow" w:hAnsi="Arial Narrow" w:cstheme="minorHAnsi"/>
                <w:sz w:val="18"/>
                <w:szCs w:val="18"/>
              </w:rPr>
              <w:t>Patients are eligible to receive continuing treatment with this drug in courses of up to 24 weeks providing they continue to sustain the response.</w:t>
            </w:r>
          </w:p>
        </w:tc>
      </w:tr>
      <w:tr w:rsidR="000104D6" w:rsidRPr="002D4988" w:rsidTr="002D19AB">
        <w:tc>
          <w:tcPr>
            <w:tcW w:w="851"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2D4988" w:rsidRDefault="000104D6" w:rsidP="000079D4">
            <w:pPr>
              <w:rPr>
                <w:rFonts w:ascii="Arial Narrow" w:hAnsi="Arial Narrow" w:cs="Open Sans"/>
                <w:color w:val="333333"/>
                <w:sz w:val="18"/>
                <w:szCs w:val="18"/>
              </w:rPr>
            </w:pPr>
            <w:r w:rsidRPr="002D4988">
              <w:rPr>
                <w:rFonts w:ascii="Arial Narrow" w:hAnsi="Arial Narrow" w:cs="Open Sans"/>
                <w:b/>
                <w:bCs/>
                <w:color w:val="333333"/>
                <w:sz w:val="18"/>
                <w:szCs w:val="18"/>
              </w:rPr>
              <w:t>Prescribing Instructions:</w:t>
            </w:r>
          </w:p>
          <w:p w:rsidR="000104D6" w:rsidRPr="002D4988" w:rsidRDefault="000104D6" w:rsidP="000079D4">
            <w:pPr>
              <w:rPr>
                <w:rFonts w:ascii="Arial Narrow" w:hAnsi="Arial Narrow" w:cs="Open Sans"/>
                <w:b/>
                <w:bCs/>
                <w:color w:val="333333"/>
                <w:sz w:val="18"/>
                <w:szCs w:val="18"/>
              </w:rPr>
            </w:pPr>
            <w:r w:rsidRPr="002D4988">
              <w:rPr>
                <w:rFonts w:ascii="Arial Narrow" w:hAnsi="Arial Narrow" w:cstheme="minorHAnsi"/>
                <w:sz w:val="18"/>
                <w:szCs w:val="18"/>
              </w:rPr>
              <w:t>At the time of the authority application, medical practitioners should request sufficient quantity for up to 24 weeks of treatment under this restriction.</w:t>
            </w:r>
          </w:p>
        </w:tc>
      </w:tr>
      <w:tr w:rsidR="000104D6" w:rsidRPr="002D4988" w:rsidTr="002D19AB">
        <w:tc>
          <w:tcPr>
            <w:tcW w:w="851" w:type="pct"/>
            <w:shd w:val="clear" w:color="auto" w:fill="auto"/>
            <w:tcMar>
              <w:top w:w="120" w:type="dxa"/>
              <w:left w:w="240" w:type="dxa"/>
              <w:bottom w:w="120" w:type="dxa"/>
              <w:right w:w="240" w:type="dxa"/>
            </w:tcMar>
          </w:tcPr>
          <w:p w:rsidR="000104D6" w:rsidRPr="00551228" w:rsidRDefault="000104D6"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551228" w:rsidRDefault="000104D6" w:rsidP="000079D4">
            <w:pPr>
              <w:textAlignment w:val="baseline"/>
              <w:rPr>
                <w:rFonts w:ascii="Arial Narrow" w:hAnsi="Arial Narrow" w:cs="Open Sans"/>
                <w:sz w:val="18"/>
                <w:szCs w:val="18"/>
              </w:rPr>
            </w:pPr>
            <w:r w:rsidRPr="00551228">
              <w:rPr>
                <w:rFonts w:ascii="Arial Narrow" w:hAnsi="Arial Narrow" w:cs="Open Sans"/>
                <w:b/>
                <w:bCs/>
                <w:sz w:val="18"/>
                <w:szCs w:val="18"/>
                <w:bdr w:val="none" w:sz="0" w:space="0" w:color="auto" w:frame="1"/>
              </w:rPr>
              <w:t>Prescribing Instructions:</w:t>
            </w:r>
          </w:p>
          <w:p w:rsidR="000104D6" w:rsidRPr="00551228" w:rsidRDefault="000104D6" w:rsidP="000079D4">
            <w:pPr>
              <w:rPr>
                <w:rFonts w:ascii="Arial Narrow" w:hAnsi="Arial Narrow" w:cs="Open Sans"/>
                <w:b/>
                <w:bCs/>
                <w:sz w:val="18"/>
                <w:szCs w:val="18"/>
              </w:rPr>
            </w:pPr>
            <w:r w:rsidRPr="00551228">
              <w:rPr>
                <w:rFonts w:ascii="Arial Narrow" w:hAnsi="Arial Narrow" w:cs="Open Sans"/>
                <w:bCs/>
                <w:sz w:val="18"/>
                <w:szCs w:val="18"/>
                <w:bdr w:val="none" w:sz="0" w:space="0" w:color="auto" w:frame="1"/>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0104D6" w:rsidRPr="002D4988" w:rsidTr="002D19AB">
        <w:tblPrEx>
          <w:shd w:val="clear" w:color="auto" w:fill="F4F4F4"/>
        </w:tblPrEx>
        <w:tc>
          <w:tcPr>
            <w:tcW w:w="851" w:type="pct"/>
            <w:shd w:val="clear" w:color="auto" w:fill="auto"/>
            <w:tcMar>
              <w:top w:w="120" w:type="dxa"/>
              <w:left w:w="240" w:type="dxa"/>
              <w:bottom w:w="120" w:type="dxa"/>
              <w:right w:w="240" w:type="dxa"/>
            </w:tcMar>
          </w:tcPr>
          <w:p w:rsidR="000104D6" w:rsidRPr="00551228" w:rsidRDefault="000104D6"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551228" w:rsidRDefault="000104D6" w:rsidP="000079D4">
            <w:pPr>
              <w:textAlignment w:val="baseline"/>
              <w:rPr>
                <w:rFonts w:ascii="Arial Narrow" w:hAnsi="Arial Narrow" w:cs="Open Sans"/>
                <w:sz w:val="18"/>
                <w:szCs w:val="18"/>
              </w:rPr>
            </w:pPr>
            <w:r w:rsidRPr="00551228">
              <w:rPr>
                <w:rFonts w:ascii="Arial Narrow" w:hAnsi="Arial Narrow" w:cs="Open Sans"/>
                <w:b/>
                <w:bCs/>
                <w:sz w:val="18"/>
                <w:szCs w:val="18"/>
                <w:bdr w:val="none" w:sz="0" w:space="0" w:color="auto" w:frame="1"/>
              </w:rPr>
              <w:t>Prescribing Instructions:</w:t>
            </w:r>
          </w:p>
          <w:p w:rsidR="000104D6" w:rsidRPr="00551228" w:rsidRDefault="000104D6" w:rsidP="000079D4">
            <w:pPr>
              <w:textAlignment w:val="baseline"/>
              <w:rPr>
                <w:rFonts w:ascii="Arial Narrow" w:hAnsi="Arial Narrow" w:cs="Open Sans"/>
                <w:b/>
                <w:bCs/>
                <w:sz w:val="18"/>
                <w:szCs w:val="18"/>
                <w:bdr w:val="none" w:sz="0" w:space="0" w:color="auto" w:frame="1"/>
              </w:rPr>
            </w:pPr>
            <w:r w:rsidRPr="00551228">
              <w:rPr>
                <w:rFonts w:ascii="Arial Narrow" w:hAnsi="Arial Narrow" w:cs="Open Sans"/>
                <w:sz w:val="18"/>
                <w:szCs w:val="18"/>
              </w:rPr>
              <w:lastRenderedPageBreak/>
              <w:t xml:space="preserve">Where a response assessment is not </w:t>
            </w:r>
            <w:r w:rsidRPr="00551228">
              <w:rPr>
                <w:rFonts w:ascii="Arial Narrow" w:hAnsi="Arial Narrow" w:cs="Open Sans"/>
                <w:bCs/>
                <w:sz w:val="18"/>
                <w:szCs w:val="18"/>
                <w:bdr w:val="none" w:sz="0" w:space="0" w:color="auto" w:frame="1"/>
              </w:rPr>
              <w:t>conducted</w:t>
            </w:r>
            <w:r w:rsidRPr="00551228">
              <w:rPr>
                <w:rFonts w:ascii="Arial Narrow" w:hAnsi="Arial Narrow" w:cs="Open Sans"/>
                <w:sz w:val="18"/>
                <w:szCs w:val="18"/>
              </w:rPr>
              <w:t xml:space="preserve"> within </w:t>
            </w:r>
            <w:r w:rsidRPr="00551228">
              <w:rPr>
                <w:rFonts w:ascii="Arial Narrow" w:hAnsi="Arial Narrow" w:cs="Open Sans"/>
                <w:bCs/>
                <w:sz w:val="18"/>
                <w:szCs w:val="18"/>
                <w:bdr w:val="none" w:sz="0" w:space="0" w:color="auto" w:frame="1"/>
              </w:rPr>
              <w:t>the required</w:t>
            </w:r>
            <w:r w:rsidRPr="00551228">
              <w:rPr>
                <w:rFonts w:ascii="Arial Narrow" w:hAnsi="Arial Narrow" w:cs="Open Sans"/>
                <w:sz w:val="18"/>
                <w:szCs w:val="18"/>
              </w:rPr>
              <w:t xml:space="preserve"> timeframe, the patient will be deemed to have failed to respond to treatment with this drug, unless the patient has experienced a serious adverse reaction of a severity resulting in the necessity for permanent withdrawal of treatment.</w:t>
            </w:r>
          </w:p>
        </w:tc>
      </w:tr>
      <w:tr w:rsidR="000104D6" w:rsidRPr="002D4988" w:rsidTr="002D19AB">
        <w:tblPrEx>
          <w:shd w:val="clear" w:color="auto" w:fill="F4F4F4"/>
        </w:tblPrEx>
        <w:tc>
          <w:tcPr>
            <w:tcW w:w="851" w:type="pct"/>
            <w:shd w:val="clear" w:color="auto" w:fill="auto"/>
            <w:tcMar>
              <w:top w:w="120" w:type="dxa"/>
              <w:left w:w="240" w:type="dxa"/>
              <w:bottom w:w="120" w:type="dxa"/>
              <w:right w:w="240" w:type="dxa"/>
            </w:tcMar>
          </w:tcPr>
          <w:p w:rsidR="000104D6" w:rsidRPr="00551228" w:rsidRDefault="000104D6"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551228" w:rsidRDefault="000104D6" w:rsidP="000079D4">
            <w:pPr>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Prescribing Instructions:</w:t>
            </w:r>
          </w:p>
          <w:p w:rsidR="000104D6" w:rsidRPr="00551228" w:rsidRDefault="000104D6" w:rsidP="000079D4">
            <w:pPr>
              <w:textAlignment w:val="baseline"/>
              <w:rPr>
                <w:rFonts w:ascii="Arial Narrow" w:hAnsi="Arial Narrow" w:cs="Open Sans"/>
                <w:bCs/>
                <w:sz w:val="18"/>
                <w:szCs w:val="18"/>
                <w:bdr w:val="none" w:sz="0" w:space="0" w:color="auto" w:frame="1"/>
              </w:rPr>
            </w:pPr>
            <w:r w:rsidRPr="00551228">
              <w:rPr>
                <w:rFonts w:ascii="Arial Narrow" w:hAnsi="Arial Narrow" w:cs="Open Sans"/>
                <w:bCs/>
                <w:sz w:val="18"/>
                <w:szCs w:val="18"/>
                <w:bdr w:val="none" w:sz="0" w:space="0" w:color="auto" w:frame="1"/>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0104D6" w:rsidRPr="002D4988" w:rsidTr="002D19AB">
        <w:tblPrEx>
          <w:shd w:val="clear" w:color="auto" w:fill="F4F4F4"/>
        </w:tblPrEx>
        <w:tc>
          <w:tcPr>
            <w:tcW w:w="851" w:type="pct"/>
            <w:shd w:val="clear" w:color="auto" w:fill="auto"/>
            <w:tcMar>
              <w:top w:w="120" w:type="dxa"/>
              <w:left w:w="240" w:type="dxa"/>
              <w:bottom w:w="120" w:type="dxa"/>
              <w:right w:w="240" w:type="dxa"/>
            </w:tcMar>
          </w:tcPr>
          <w:p w:rsidR="000104D6" w:rsidRPr="00551228" w:rsidRDefault="000104D6"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0104D6" w:rsidRPr="00551228" w:rsidRDefault="000104D6" w:rsidP="000079D4">
            <w:pPr>
              <w:textAlignment w:val="baseline"/>
              <w:rPr>
                <w:rFonts w:ascii="Arial Narrow" w:hAnsi="Arial Narrow" w:cs="Open Sans"/>
                <w:sz w:val="18"/>
                <w:szCs w:val="18"/>
              </w:rPr>
            </w:pPr>
            <w:r w:rsidRPr="00551228">
              <w:rPr>
                <w:rFonts w:ascii="Arial Narrow" w:hAnsi="Arial Narrow" w:cs="Open Sans"/>
                <w:b/>
                <w:bCs/>
                <w:sz w:val="18"/>
                <w:szCs w:val="18"/>
                <w:bdr w:val="none" w:sz="0" w:space="0" w:color="auto" w:frame="1"/>
              </w:rPr>
              <w:t>Prescribing Instructions:</w:t>
            </w:r>
          </w:p>
          <w:p w:rsidR="000104D6" w:rsidRPr="00551228" w:rsidRDefault="000104D6" w:rsidP="000079D4">
            <w:pPr>
              <w:textAlignment w:val="baseline"/>
              <w:rPr>
                <w:rFonts w:ascii="Arial Narrow" w:hAnsi="Arial Narrow" w:cs="Open Sans"/>
                <w:b/>
                <w:bCs/>
                <w:sz w:val="18"/>
                <w:szCs w:val="18"/>
                <w:bdr w:val="none" w:sz="0" w:space="0" w:color="auto" w:frame="1"/>
              </w:rPr>
            </w:pPr>
            <w:r w:rsidRPr="00551228">
              <w:rPr>
                <w:rFonts w:ascii="Arial Narrow" w:hAnsi="Arial Narrow" w:cs="Open Sans"/>
                <w:sz w:val="18"/>
                <w:szCs w:val="18"/>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104D6" w:rsidRPr="002D4988" w:rsidTr="002D19AB">
        <w:tblPrEx>
          <w:shd w:val="clear" w:color="auto" w:fill="F4F4F4"/>
        </w:tblPrEx>
        <w:trPr>
          <w:trHeight w:val="646"/>
        </w:trPr>
        <w:tc>
          <w:tcPr>
            <w:tcW w:w="851" w:type="pct"/>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0104D6" w:rsidRPr="00551228" w:rsidRDefault="000104D6" w:rsidP="000079D4">
            <w:pPr>
              <w:textAlignment w:val="baseline"/>
              <w:rPr>
                <w:rFonts w:ascii="Arial Narrow" w:hAnsi="Arial Narrow" w:cs="Open Sans"/>
                <w:iCs/>
                <w:strike/>
                <w:sz w:val="18"/>
                <w:szCs w:val="18"/>
              </w:rPr>
            </w:pPr>
          </w:p>
        </w:tc>
        <w:tc>
          <w:tcPr>
            <w:tcW w:w="4149" w:type="pct"/>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0104D6" w:rsidRPr="00551228" w:rsidRDefault="000104D6" w:rsidP="000079D4">
            <w:pPr>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Administrative Advice:</w:t>
            </w:r>
          </w:p>
          <w:p w:rsidR="000104D6" w:rsidRPr="00551228" w:rsidRDefault="000104D6" w:rsidP="000079D4">
            <w:pPr>
              <w:rPr>
                <w:rFonts w:ascii="Arial Narrow" w:hAnsi="Arial Narrow" w:cstheme="minorHAnsi"/>
                <w:b/>
                <w:strike/>
                <w:sz w:val="18"/>
                <w:szCs w:val="18"/>
              </w:rPr>
            </w:pPr>
            <w:r w:rsidRPr="00551228">
              <w:rPr>
                <w:rFonts w:ascii="Arial Narrow" w:hAnsi="Arial Narrow" w:cs="Open Sans"/>
                <w:bCs/>
                <w:sz w:val="18"/>
                <w:szCs w:val="18"/>
                <w:bdr w:val="none" w:sz="0" w:space="0" w:color="auto" w:frame="1"/>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rsidR="002D19AB" w:rsidRDefault="002D19AB" w:rsidP="002D19AB">
      <w:pPr>
        <w:textAlignment w:val="baseline"/>
        <w:rPr>
          <w:rFonts w:ascii="Arial Narrow" w:hAnsi="Arial Narrow"/>
          <w:sz w:val="18"/>
          <w:szCs w:val="18"/>
        </w:rPr>
      </w:pPr>
    </w:p>
    <w:p w:rsidR="000104D6" w:rsidRPr="002D4988" w:rsidRDefault="000104D6" w:rsidP="000079D4">
      <w:pPr>
        <w:textAlignment w:val="baseline"/>
        <w:outlineLvl w:val="3"/>
        <w:rPr>
          <w:rFonts w:ascii="Arial Narrow" w:hAnsi="Arial Narrow" w:cstheme="minorHAnsi"/>
          <w:sz w:val="18"/>
          <w:szCs w:val="18"/>
        </w:rPr>
      </w:pPr>
      <w:r w:rsidRPr="002D4988">
        <w:rPr>
          <w:rFonts w:ascii="Arial Narrow" w:hAnsi="Arial Narrow"/>
          <w:sz w:val="18"/>
          <w:szCs w:val="18"/>
        </w:rPr>
        <w:t>Restriction Summary NEW / ToC: NEW: Authority Required</w:t>
      </w:r>
      <w:r w:rsidRPr="002D4988">
        <w:rPr>
          <w:rFonts w:ascii="Arial Narrow" w:hAnsi="Arial Narrow" w:cstheme="minorHAnsi"/>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5"/>
        <w:gridCol w:w="7482"/>
      </w:tblGrid>
      <w:tr w:rsidR="000104D6" w:rsidRPr="002D4988" w:rsidTr="00FC3BE5">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b/>
                <w:color w:val="333333"/>
                <w:sz w:val="18"/>
                <w:szCs w:val="18"/>
              </w:rPr>
            </w:pPr>
          </w:p>
        </w:tc>
        <w:tc>
          <w:tcPr>
            <w:tcW w:w="4149" w:type="pct"/>
            <w:shd w:val="clear" w:color="auto" w:fill="auto"/>
            <w:tcMar>
              <w:top w:w="120" w:type="dxa"/>
              <w:left w:w="240" w:type="dxa"/>
              <w:bottom w:w="120" w:type="dxa"/>
              <w:right w:w="240" w:type="dxa"/>
            </w:tcMar>
            <w:hideMark/>
          </w:tcPr>
          <w:p w:rsidR="000104D6" w:rsidRPr="002D4988" w:rsidRDefault="000104D6" w:rsidP="000079D4">
            <w:pPr>
              <w:tabs>
                <w:tab w:val="left" w:pos="960"/>
              </w:tabs>
              <w:jc w:val="left"/>
              <w:rPr>
                <w:rFonts w:ascii="Arial Narrow" w:hAnsi="Arial Narrow"/>
                <w:b/>
                <w:sz w:val="18"/>
                <w:szCs w:val="18"/>
              </w:rPr>
            </w:pPr>
            <w:r w:rsidRPr="002D4988">
              <w:rPr>
                <w:rFonts w:ascii="Arial Narrow" w:hAnsi="Arial Narrow"/>
                <w:b/>
                <w:sz w:val="18"/>
                <w:szCs w:val="18"/>
              </w:rPr>
              <w:t>Category / Program:</w:t>
            </w:r>
            <w:r w:rsidRPr="002D4988">
              <w:rPr>
                <w:rFonts w:ascii="Arial Narrow" w:hAnsi="Arial Narrow"/>
                <w:sz w:val="18"/>
                <w:szCs w:val="18"/>
              </w:rPr>
              <w:t xml:space="preserve"> GENERAL – General Schedule (Code GE)</w:t>
            </w:r>
          </w:p>
        </w:tc>
      </w:tr>
      <w:tr w:rsidR="000104D6" w:rsidRPr="002D4988" w:rsidTr="000367ED">
        <w:tc>
          <w:tcPr>
            <w:tcW w:w="851" w:type="pct"/>
            <w:shd w:val="clear" w:color="auto" w:fill="auto"/>
            <w:tcMar>
              <w:top w:w="120" w:type="dxa"/>
              <w:left w:w="240" w:type="dxa"/>
              <w:bottom w:w="120" w:type="dxa"/>
              <w:right w:w="240" w:type="dxa"/>
            </w:tcMar>
          </w:tcPr>
          <w:p w:rsidR="000104D6" w:rsidRPr="002D4988" w:rsidRDefault="000104D6"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hideMark/>
          </w:tcPr>
          <w:p w:rsidR="000104D6" w:rsidRPr="002D4988" w:rsidRDefault="000104D6" w:rsidP="000079D4">
            <w:pPr>
              <w:tabs>
                <w:tab w:val="left" w:pos="960"/>
              </w:tabs>
              <w:jc w:val="left"/>
              <w:rPr>
                <w:rFonts w:ascii="Arial Narrow" w:hAnsi="Arial Narrow" w:cs="Times New Roman"/>
                <w:b/>
                <w:sz w:val="18"/>
                <w:szCs w:val="18"/>
              </w:rPr>
            </w:pPr>
            <w:r w:rsidRPr="002D4988">
              <w:rPr>
                <w:rFonts w:ascii="Arial Narrow" w:hAnsi="Arial Narrow"/>
                <w:b/>
                <w:sz w:val="18"/>
                <w:szCs w:val="18"/>
              </w:rPr>
              <w:t xml:space="preserve">Prescriber type:  </w:t>
            </w:r>
            <w:r w:rsidRPr="002D4988">
              <w:rPr>
                <w:rFonts w:ascii="Arial Narrow" w:hAnsi="Arial Narrow"/>
                <w:sz w:val="18"/>
                <w:szCs w:val="18"/>
              </w:rPr>
              <w:fldChar w:fldCharType="begin">
                <w:ffData>
                  <w:name w:val="Check1"/>
                  <w:enabled/>
                  <w:calcOnExit w:val="0"/>
                  <w:checkBox>
                    <w:sizeAuto/>
                    <w:default w:val="0"/>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 xml:space="preserve">Dental  </w:t>
            </w:r>
            <w:r w:rsidRPr="002D4988">
              <w:rPr>
                <w:rFonts w:ascii="Arial Narrow" w:hAnsi="Arial Narrow"/>
                <w:sz w:val="18"/>
                <w:szCs w:val="18"/>
              </w:rPr>
              <w:fldChar w:fldCharType="begin">
                <w:ffData>
                  <w:name w:val=""/>
                  <w:enabled/>
                  <w:calcOnExit w:val="0"/>
                  <w:checkBox>
                    <w:sizeAuto/>
                    <w:default w:val="1"/>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 xml:space="preserve">Medical Practitioners  </w:t>
            </w:r>
            <w:r w:rsidRPr="002D4988">
              <w:rPr>
                <w:rFonts w:ascii="Arial Narrow" w:hAnsi="Arial Narrow"/>
                <w:sz w:val="18"/>
                <w:szCs w:val="18"/>
              </w:rPr>
              <w:fldChar w:fldCharType="begin">
                <w:ffData>
                  <w:name w:val=""/>
                  <w:enabled/>
                  <w:calcOnExit w:val="0"/>
                  <w:checkBox>
                    <w:sizeAuto/>
                    <w:default w:val="0"/>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 xml:space="preserve">Nurse practitioners  </w:t>
            </w:r>
            <w:r w:rsidRPr="002D4988">
              <w:rPr>
                <w:rFonts w:ascii="Arial Narrow" w:hAnsi="Arial Narrow"/>
                <w:sz w:val="18"/>
                <w:szCs w:val="18"/>
              </w:rPr>
              <w:fldChar w:fldCharType="begin">
                <w:ffData>
                  <w:name w:val=""/>
                  <w:enabled/>
                  <w:calcOnExit w:val="0"/>
                  <w:checkBox>
                    <w:sizeAuto/>
                    <w:default w:val="0"/>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 xml:space="preserve">Optometrists </w:t>
            </w:r>
            <w:r w:rsidRPr="002D4988">
              <w:rPr>
                <w:rFonts w:ascii="Arial Narrow" w:hAnsi="Arial Narrow"/>
                <w:sz w:val="18"/>
                <w:szCs w:val="18"/>
              </w:rPr>
              <w:fldChar w:fldCharType="begin">
                <w:ffData>
                  <w:name w:val="Check5"/>
                  <w:enabled/>
                  <w:calcOnExit w:val="0"/>
                  <w:checkBox>
                    <w:sizeAuto/>
                    <w:default w:val="0"/>
                  </w:checkBox>
                </w:ffData>
              </w:fldChar>
            </w:r>
            <w:r w:rsidRPr="002D498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2D4988">
              <w:rPr>
                <w:rFonts w:ascii="Arial Narrow" w:hAnsi="Arial Narrow"/>
                <w:sz w:val="18"/>
                <w:szCs w:val="18"/>
              </w:rPr>
              <w:fldChar w:fldCharType="end"/>
            </w:r>
            <w:r w:rsidRPr="002D4988">
              <w:rPr>
                <w:rFonts w:ascii="Arial Narrow" w:hAnsi="Arial Narrow"/>
                <w:sz w:val="18"/>
                <w:szCs w:val="18"/>
              </w:rPr>
              <w:t>Midwives</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hideMark/>
          </w:tcPr>
          <w:p w:rsidR="00D8785A" w:rsidRPr="002D4988" w:rsidRDefault="00D8785A" w:rsidP="000079D4">
            <w:pPr>
              <w:jc w:val="left"/>
              <w:rPr>
                <w:rFonts w:ascii="Arial Narrow" w:hAnsi="Arial Narrow" w:cs="Times New Roman"/>
                <w:sz w:val="18"/>
                <w:szCs w:val="18"/>
              </w:rPr>
            </w:pPr>
            <w:r w:rsidRPr="002D4988">
              <w:rPr>
                <w:rFonts w:ascii="Arial Narrow" w:hAnsi="Arial Narrow" w:cs="Times New Roman"/>
                <w:b/>
                <w:sz w:val="18"/>
                <w:szCs w:val="18"/>
              </w:rPr>
              <w:t xml:space="preserve">Restriction type  / Method: </w:t>
            </w:r>
            <w:r w:rsidRPr="002D4988">
              <w:rPr>
                <w:rFonts w:ascii="Arial Narrow" w:hAnsi="Arial Narrow" w:cs="Times New Roman"/>
                <w:sz w:val="18"/>
                <w:szCs w:val="18"/>
              </w:rPr>
              <w:fldChar w:fldCharType="begin">
                <w:ffData>
                  <w:name w:val=""/>
                  <w:enabled/>
                  <w:calcOnExit w:val="0"/>
                  <w:checkBox>
                    <w:sizeAuto/>
                    <w:default w:val="1"/>
                  </w:checkBox>
                </w:ffData>
              </w:fldChar>
            </w:r>
            <w:r w:rsidRPr="002D4988">
              <w:rPr>
                <w:rFonts w:ascii="Arial Narrow" w:hAnsi="Arial Narrow" w:cs="Times New Roman"/>
                <w:sz w:val="18"/>
                <w:szCs w:val="18"/>
              </w:rPr>
              <w:instrText xml:space="preserve"> FORMCHECKBOX </w:instrText>
            </w:r>
            <w:r w:rsidR="00D6581F">
              <w:rPr>
                <w:rFonts w:ascii="Arial Narrow" w:hAnsi="Arial Narrow" w:cs="Times New Roman"/>
                <w:sz w:val="18"/>
                <w:szCs w:val="18"/>
              </w:rPr>
            </w:r>
            <w:r w:rsidR="00D6581F">
              <w:rPr>
                <w:rFonts w:ascii="Arial Narrow" w:hAnsi="Arial Narrow" w:cs="Times New Roman"/>
                <w:sz w:val="18"/>
                <w:szCs w:val="18"/>
              </w:rPr>
              <w:fldChar w:fldCharType="separate"/>
            </w:r>
            <w:r w:rsidRPr="002D4988">
              <w:rPr>
                <w:rFonts w:ascii="Arial Narrow" w:hAnsi="Arial Narrow" w:cs="Times New Roman"/>
                <w:sz w:val="18"/>
                <w:szCs w:val="18"/>
              </w:rPr>
              <w:fldChar w:fldCharType="end"/>
            </w:r>
            <w:r w:rsidRPr="002D4988">
              <w:rPr>
                <w:rFonts w:ascii="Arial Narrow" w:hAnsi="Arial Narrow" w:cs="Times New Roman"/>
                <w:sz w:val="18"/>
                <w:szCs w:val="18"/>
              </w:rPr>
              <w:t>Authority Required - delayed/non-immediate assessment by Services Australia (lodgement via postal service or electronic upload)</w:t>
            </w:r>
          </w:p>
        </w:tc>
      </w:tr>
      <w:tr w:rsidR="00D8785A" w:rsidRPr="002D4988" w:rsidTr="000367ED">
        <w:trPr>
          <w:trHeight w:val="79"/>
        </w:trPr>
        <w:tc>
          <w:tcPr>
            <w:tcW w:w="851" w:type="pct"/>
            <w:shd w:val="clear" w:color="auto" w:fill="auto"/>
            <w:tcMar>
              <w:top w:w="120" w:type="dxa"/>
              <w:left w:w="240" w:type="dxa"/>
              <w:bottom w:w="120" w:type="dxa"/>
              <w:right w:w="240" w:type="dxa"/>
            </w:tcMar>
          </w:tcPr>
          <w:p w:rsidR="00D8785A" w:rsidRPr="00551228" w:rsidRDefault="00D8785A"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 xml:space="preserve">Administrative Advice: TREATMENT OF ADULT PATIENTS WITH MODERATE TO SEVERE ULCERATIVE COLITIS </w:t>
            </w:r>
          </w:p>
        </w:tc>
      </w:tr>
      <w:tr w:rsidR="00D8785A" w:rsidRPr="002D4988" w:rsidTr="000367ED">
        <w:trPr>
          <w:trHeight w:val="105"/>
        </w:trPr>
        <w:tc>
          <w:tcPr>
            <w:tcW w:w="851" w:type="pct"/>
            <w:shd w:val="clear" w:color="auto" w:fill="auto"/>
            <w:tcMar>
              <w:top w:w="120" w:type="dxa"/>
              <w:left w:w="240" w:type="dxa"/>
              <w:bottom w:w="120" w:type="dxa"/>
              <w:right w:w="240" w:type="dxa"/>
            </w:tcMar>
          </w:tcPr>
          <w:p w:rsidR="00D8785A" w:rsidRPr="00551228" w:rsidRDefault="00D8785A"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 xml:space="preserve">Administrative Advice: </w:t>
            </w:r>
            <w:r w:rsidRPr="00551228">
              <w:rPr>
                <w:rFonts w:ascii="Arial Narrow" w:hAnsi="Arial Narrow" w:cs="Open Sans"/>
                <w:bCs/>
                <w:sz w:val="18"/>
                <w:szCs w:val="18"/>
                <w:bdr w:val="none" w:sz="0" w:space="0" w:color="auto" w:frame="1"/>
              </w:rPr>
              <w:t>No increase in the maximum quantity or number of units may be authorised.</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551228" w:rsidRDefault="00D8785A"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 xml:space="preserve">Administrative Advice: </w:t>
            </w:r>
            <w:r w:rsidRPr="00551228">
              <w:rPr>
                <w:rFonts w:ascii="Arial Narrow" w:hAnsi="Arial Narrow" w:cs="Open Sans"/>
                <w:bCs/>
                <w:sz w:val="18"/>
                <w:szCs w:val="18"/>
                <w:bdr w:val="none" w:sz="0" w:space="0" w:color="auto" w:frame="1"/>
              </w:rPr>
              <w:t>No increase in the maximum number of repeats may be authorised.</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551228" w:rsidRDefault="00D8785A" w:rsidP="000079D4">
            <w:pPr>
              <w:jc w:val="left"/>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Administrative Advice:</w:t>
            </w:r>
            <w:r w:rsidRPr="00551228">
              <w:rPr>
                <w:rFonts w:ascii="Arial Narrow" w:hAnsi="Arial Narrow"/>
                <w:sz w:val="18"/>
                <w:szCs w:val="18"/>
              </w:rPr>
              <w:t xml:space="preserve"> </w:t>
            </w:r>
            <w:r w:rsidRPr="00551228">
              <w:rPr>
                <w:rFonts w:ascii="Arial Narrow" w:hAnsi="Arial Narrow" w:cs="Open Sans"/>
                <w:bCs/>
                <w:sz w:val="18"/>
                <w:szCs w:val="18"/>
                <w:bdr w:val="none" w:sz="0" w:space="0" w:color="auto" w:frame="1"/>
              </w:rPr>
              <w:t>Special Pricing Arrangements apply.</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2D4988" w:rsidRDefault="00D8785A"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jc w:val="left"/>
              <w:textAlignment w:val="baseline"/>
              <w:rPr>
                <w:rFonts w:ascii="Arial Narrow" w:hAnsi="Arial Narrow" w:cs="Open Sans"/>
                <w:b/>
                <w:bCs/>
                <w:sz w:val="18"/>
                <w:szCs w:val="18"/>
                <w:bdr w:val="none" w:sz="0" w:space="0" w:color="auto" w:frame="1"/>
              </w:rPr>
            </w:pPr>
            <w:r w:rsidRPr="002D4988">
              <w:rPr>
                <w:rFonts w:ascii="Arial Narrow" w:hAnsi="Arial Narrow" w:cstheme="minorHAnsi"/>
                <w:b/>
                <w:sz w:val="18"/>
                <w:szCs w:val="18"/>
              </w:rPr>
              <w:t>Severity:</w:t>
            </w:r>
            <w:r w:rsidRPr="002D4988">
              <w:rPr>
                <w:rFonts w:ascii="Arial Narrow" w:hAnsi="Arial Narrow" w:cstheme="minorHAnsi"/>
                <w:sz w:val="18"/>
                <w:szCs w:val="18"/>
              </w:rPr>
              <w:t xml:space="preserve"> Moderate to severe</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2D4988" w:rsidRDefault="00D8785A"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jc w:val="left"/>
              <w:textAlignment w:val="baseline"/>
              <w:rPr>
                <w:rFonts w:ascii="Arial Narrow" w:hAnsi="Arial Narrow" w:cstheme="minorHAnsi"/>
                <w:b/>
                <w:sz w:val="18"/>
                <w:szCs w:val="18"/>
              </w:rPr>
            </w:pPr>
            <w:r w:rsidRPr="002D4988">
              <w:rPr>
                <w:rFonts w:ascii="Arial Narrow" w:hAnsi="Arial Narrow" w:cstheme="minorHAnsi"/>
                <w:b/>
                <w:sz w:val="18"/>
                <w:szCs w:val="18"/>
              </w:rPr>
              <w:t>Condition:</w:t>
            </w:r>
            <w:r w:rsidRPr="002D4988">
              <w:rPr>
                <w:rFonts w:ascii="Arial Narrow" w:hAnsi="Arial Narrow" w:cstheme="minorHAnsi"/>
                <w:sz w:val="18"/>
                <w:szCs w:val="18"/>
              </w:rPr>
              <w:t xml:space="preserve"> Ulcerative colitis</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2D4988" w:rsidRDefault="00D8785A"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jc w:val="left"/>
              <w:textAlignment w:val="baseline"/>
              <w:rPr>
                <w:rFonts w:ascii="Arial Narrow" w:hAnsi="Arial Narrow" w:cstheme="minorHAnsi"/>
                <w:b/>
                <w:sz w:val="18"/>
                <w:szCs w:val="18"/>
              </w:rPr>
            </w:pPr>
            <w:r w:rsidRPr="002D4988">
              <w:rPr>
                <w:rFonts w:ascii="Arial Narrow" w:hAnsi="Arial Narrow" w:cstheme="minorHAnsi"/>
                <w:b/>
                <w:sz w:val="18"/>
                <w:szCs w:val="18"/>
              </w:rPr>
              <w:t>Indication:</w:t>
            </w:r>
            <w:r w:rsidRPr="002D4988">
              <w:rPr>
                <w:rFonts w:ascii="Arial Narrow" w:hAnsi="Arial Narrow" w:cstheme="minorHAnsi"/>
                <w:sz w:val="18"/>
                <w:szCs w:val="18"/>
              </w:rPr>
              <w:t xml:space="preserve"> Moderate to severe ulcerative colitis</w:t>
            </w:r>
          </w:p>
        </w:tc>
      </w:tr>
      <w:tr w:rsidR="00D8785A" w:rsidRPr="002D4988" w:rsidTr="000367ED">
        <w:trPr>
          <w:trHeight w:val="49"/>
        </w:trPr>
        <w:tc>
          <w:tcPr>
            <w:tcW w:w="851" w:type="pct"/>
            <w:shd w:val="clear" w:color="auto" w:fill="auto"/>
            <w:tcMar>
              <w:top w:w="120" w:type="dxa"/>
              <w:left w:w="240" w:type="dxa"/>
              <w:bottom w:w="120" w:type="dxa"/>
              <w:right w:w="240" w:type="dxa"/>
            </w:tcMar>
          </w:tcPr>
          <w:p w:rsidR="00D8785A" w:rsidRPr="002D4988" w:rsidRDefault="00D8785A" w:rsidP="000079D4">
            <w:pPr>
              <w:jc w:val="left"/>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jc w:val="left"/>
              <w:textAlignment w:val="baseline"/>
              <w:rPr>
                <w:rFonts w:ascii="Arial Narrow" w:hAnsi="Arial Narrow" w:cstheme="minorHAnsi"/>
                <w:b/>
                <w:sz w:val="18"/>
                <w:szCs w:val="18"/>
              </w:rPr>
            </w:pPr>
            <w:r w:rsidRPr="002D4988">
              <w:rPr>
                <w:rFonts w:ascii="Arial Narrow" w:hAnsi="Arial Narrow" w:cstheme="minorHAnsi"/>
                <w:b/>
                <w:sz w:val="18"/>
                <w:szCs w:val="18"/>
              </w:rPr>
              <w:t>Treatment phase</w:t>
            </w:r>
            <w:r w:rsidRPr="00551228">
              <w:rPr>
                <w:rFonts w:ascii="Arial Narrow" w:hAnsi="Arial Narrow" w:cstheme="minorHAnsi"/>
                <w:b/>
                <w:sz w:val="18"/>
                <w:szCs w:val="18"/>
              </w:rPr>
              <w:t xml:space="preserve">: </w:t>
            </w:r>
            <w:r w:rsidRPr="00551228">
              <w:rPr>
                <w:rFonts w:ascii="Arial Narrow" w:hAnsi="Arial Narrow" w:cstheme="minorHAnsi"/>
                <w:sz w:val="18"/>
                <w:szCs w:val="18"/>
              </w:rPr>
              <w:t>Initial treatment - Grandfather treatment</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2D4988" w:rsidRDefault="00D8785A" w:rsidP="000079D4">
            <w:pPr>
              <w:jc w:val="left"/>
              <w:rPr>
                <w:rFonts w:ascii="Arial Narrow" w:hAnsi="Arial Narrow" w:cs="Open Sans"/>
                <w:color w:val="0070C0"/>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jc w:val="left"/>
              <w:textAlignment w:val="baseline"/>
              <w:rPr>
                <w:rFonts w:ascii="Arial Narrow" w:hAnsi="Arial Narrow" w:cstheme="minorHAnsi"/>
                <w:b/>
                <w:sz w:val="18"/>
                <w:szCs w:val="18"/>
              </w:rPr>
            </w:pPr>
            <w:r w:rsidRPr="002D4988">
              <w:rPr>
                <w:rFonts w:ascii="Arial Narrow" w:hAnsi="Arial Narrow" w:cs="Open Sans"/>
                <w:b/>
                <w:bCs/>
                <w:color w:val="333333"/>
                <w:sz w:val="18"/>
                <w:szCs w:val="18"/>
                <w:bdr w:val="none" w:sz="0" w:space="0" w:color="auto" w:frame="1"/>
              </w:rPr>
              <w:t>Treatment criteria:</w:t>
            </w:r>
          </w:p>
        </w:tc>
      </w:tr>
      <w:tr w:rsidR="00D8785A" w:rsidRPr="002D4988" w:rsidTr="000367ED">
        <w:trPr>
          <w:trHeight w:val="51"/>
        </w:trPr>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color w:val="333333"/>
                <w:sz w:val="18"/>
                <w:szCs w:val="18"/>
              </w:rPr>
            </w:pPr>
            <w:r w:rsidRPr="002D4988">
              <w:rPr>
                <w:rFonts w:ascii="Arial Narrow" w:hAnsi="Arial Narrow" w:cs="Open Sans"/>
                <w:color w:val="333333"/>
                <w:sz w:val="18"/>
                <w:szCs w:val="18"/>
              </w:rPr>
              <w:t>Must be treated by a gastroenterologist (code 87); or</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r w:rsidRPr="002D4988">
              <w:rPr>
                <w:rFonts w:ascii="Arial Narrow" w:hAnsi="Arial Narrow" w:cs="Open Sans"/>
                <w:color w:val="333333"/>
                <w:sz w:val="18"/>
                <w:szCs w:val="18"/>
              </w:rPr>
              <w:t>Must be treated by a consultant physician [internal medicine specialising in gastroenterology (code 81)]; or</w:t>
            </w:r>
          </w:p>
        </w:tc>
      </w:tr>
      <w:tr w:rsidR="00D8785A" w:rsidRPr="002D4988" w:rsidTr="000367ED">
        <w:trPr>
          <w:trHeight w:val="71"/>
        </w:trPr>
        <w:tc>
          <w:tcPr>
            <w:tcW w:w="851"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r w:rsidRPr="002D4988">
              <w:rPr>
                <w:rFonts w:ascii="Arial Narrow" w:hAnsi="Arial Narrow" w:cs="Open Sans"/>
                <w:color w:val="333333"/>
                <w:sz w:val="18"/>
                <w:szCs w:val="18"/>
              </w:rPr>
              <w:t>Must be treated by a consultant physician [general medicine specialising in gastroenterology (code 82)]; or</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AND</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Clinical criteria:</w:t>
            </w:r>
          </w:p>
        </w:tc>
      </w:tr>
      <w:tr w:rsidR="00D8785A" w:rsidRPr="002D4988" w:rsidTr="000367ED">
        <w:trPr>
          <w:trHeight w:val="261"/>
        </w:trPr>
        <w:tc>
          <w:tcPr>
            <w:tcW w:w="851"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D8785A" w:rsidRDefault="00D8785A" w:rsidP="000079D4">
            <w:pPr>
              <w:rPr>
                <w:rFonts w:ascii="Arial Narrow" w:hAnsi="Arial Narrow" w:cstheme="minorHAnsi"/>
                <w:i/>
                <w:sz w:val="18"/>
                <w:szCs w:val="18"/>
              </w:rPr>
            </w:pPr>
            <w:r w:rsidRPr="00D8785A">
              <w:rPr>
                <w:rFonts w:ascii="Arial Narrow" w:hAnsi="Arial Narrow" w:cstheme="minorHAnsi"/>
                <w:i/>
                <w:sz w:val="18"/>
                <w:szCs w:val="18"/>
              </w:rPr>
              <w:t>Patient must have previously received non-PBS-subsidised therapy with this drug for this condition prior to &lt;&lt;listing date&gt;&gt;,</w:t>
            </w:r>
          </w:p>
        </w:tc>
      </w:tr>
      <w:tr w:rsidR="00D8785A" w:rsidRPr="002D4988" w:rsidTr="000367ED">
        <w:tc>
          <w:tcPr>
            <w:tcW w:w="851" w:type="pct"/>
            <w:shd w:val="clear" w:color="auto" w:fill="auto"/>
            <w:tcMar>
              <w:top w:w="120" w:type="dxa"/>
              <w:left w:w="240" w:type="dxa"/>
              <w:bottom w:w="120" w:type="dxa"/>
              <w:right w:w="240" w:type="dxa"/>
            </w:tcMar>
          </w:tcPr>
          <w:p w:rsidR="00D8785A" w:rsidRPr="00551228" w:rsidRDefault="00D8785A"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theme="minorHAnsi"/>
                <w:sz w:val="18"/>
                <w:szCs w:val="18"/>
              </w:rPr>
            </w:pPr>
            <w:r w:rsidRPr="00551228">
              <w:rPr>
                <w:rFonts w:ascii="Arial Narrow" w:hAnsi="Arial Narrow" w:cs="Open Sans"/>
                <w:b/>
                <w:bCs/>
                <w:sz w:val="18"/>
                <w:szCs w:val="18"/>
                <w:bdr w:val="none" w:sz="0" w:space="0" w:color="auto" w:frame="1"/>
              </w:rPr>
              <w:t>AND</w:t>
            </w:r>
          </w:p>
        </w:tc>
      </w:tr>
      <w:tr w:rsidR="00D8785A" w:rsidRPr="002D4988" w:rsidTr="000367ED">
        <w:tc>
          <w:tcPr>
            <w:tcW w:w="851"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theme="minorHAnsi"/>
                <w:sz w:val="18"/>
                <w:szCs w:val="18"/>
              </w:rPr>
            </w:pPr>
            <w:r w:rsidRPr="00551228">
              <w:rPr>
                <w:rFonts w:ascii="Arial Narrow" w:hAnsi="Arial Narrow" w:cs="Open Sans"/>
                <w:b/>
                <w:bCs/>
                <w:sz w:val="18"/>
                <w:szCs w:val="18"/>
                <w:bdr w:val="none" w:sz="0" w:space="0" w:color="auto" w:frame="1"/>
              </w:rPr>
              <w:t>Clinical criteria:</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bCs/>
                <w:sz w:val="18"/>
                <w:szCs w:val="18"/>
                <w:bdr w:val="none" w:sz="0" w:space="0" w:color="auto" w:frame="1"/>
              </w:rPr>
            </w:pPr>
            <w:r w:rsidRPr="00551228">
              <w:rPr>
                <w:rFonts w:ascii="Arial Narrow" w:hAnsi="Arial Narrow" w:cs="Open Sans"/>
                <w:bCs/>
                <w:sz w:val="18"/>
                <w:szCs w:val="18"/>
                <w:bdr w:val="none" w:sz="0" w:space="0" w:color="auto" w:frame="1"/>
              </w:rPr>
              <w:t>Patient must be receiving treatment with this drug for this condition at the time of application</w:t>
            </w:r>
          </w:p>
        </w:tc>
      </w:tr>
      <w:tr w:rsidR="00D8785A" w:rsidRPr="002D4988" w:rsidTr="000367ED">
        <w:trPr>
          <w:trHeight w:val="219"/>
        </w:trPr>
        <w:tc>
          <w:tcPr>
            <w:tcW w:w="851" w:type="pct"/>
            <w:shd w:val="clear" w:color="auto" w:fill="auto"/>
            <w:tcMar>
              <w:top w:w="120" w:type="dxa"/>
              <w:left w:w="240" w:type="dxa"/>
              <w:bottom w:w="120" w:type="dxa"/>
              <w:right w:w="240" w:type="dxa"/>
            </w:tcMar>
          </w:tcPr>
          <w:p w:rsidR="00D8785A" w:rsidRPr="00551228" w:rsidRDefault="00D8785A"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theme="minorHAnsi"/>
                <w:sz w:val="18"/>
                <w:szCs w:val="18"/>
              </w:rPr>
            </w:pPr>
            <w:r w:rsidRPr="00551228">
              <w:rPr>
                <w:rFonts w:ascii="Arial Narrow" w:hAnsi="Arial Narrow" w:cs="Open Sans"/>
                <w:b/>
                <w:bCs/>
                <w:sz w:val="18"/>
                <w:szCs w:val="18"/>
                <w:bdr w:val="none" w:sz="0" w:space="0" w:color="auto" w:frame="1"/>
              </w:rPr>
              <w:t>AND</w:t>
            </w:r>
          </w:p>
        </w:tc>
      </w:tr>
      <w:tr w:rsidR="00D8785A" w:rsidRPr="002D4988" w:rsidTr="000367ED">
        <w:trPr>
          <w:trHeight w:val="41"/>
        </w:trPr>
        <w:tc>
          <w:tcPr>
            <w:tcW w:w="851"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Clinical criteria:</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bCs/>
                <w:i/>
                <w:sz w:val="18"/>
                <w:szCs w:val="18"/>
                <w:bdr w:val="none" w:sz="0" w:space="0" w:color="auto" w:frame="1"/>
              </w:rPr>
            </w:pPr>
            <w:r w:rsidRPr="00551228">
              <w:rPr>
                <w:rFonts w:ascii="Arial Narrow" w:hAnsi="Arial Narrow" w:cs="Open Sans"/>
                <w:bCs/>
                <w:i/>
                <w:sz w:val="18"/>
                <w:szCs w:val="18"/>
                <w:bdr w:val="none" w:sz="0" w:space="0" w:color="auto" w:frame="1"/>
              </w:rPr>
              <w:t>Patient must have had a Mayo clinic score greater than or equal to 6 prior to commencing non-PBS subsidised treatment with this drug for this condition; or</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theme="minorHAnsi"/>
                <w:i/>
                <w:sz w:val="18"/>
                <w:szCs w:val="18"/>
              </w:rPr>
            </w:pPr>
            <w:r w:rsidRPr="00551228">
              <w:rPr>
                <w:rFonts w:ascii="Arial Narrow" w:hAnsi="Arial Narrow" w:cstheme="minorHAnsi"/>
                <w:i/>
                <w:sz w:val="18"/>
                <w:szCs w:val="18"/>
              </w:rPr>
              <w:t>Patient must have had a partial Mayo clinic score greater than or equal to 6, provided the rectal bleeding and stool frequency subscores were both greater than or equal to 2 (endoscopy subscore is not required for a partial Mayo score) prior to commencing</w:t>
            </w:r>
            <w:r w:rsidRPr="00551228">
              <w:rPr>
                <w:rFonts w:ascii="Arial Narrow" w:hAnsi="Arial Narrow" w:cs="Open Sans"/>
                <w:bCs/>
                <w:i/>
                <w:sz w:val="18"/>
                <w:szCs w:val="18"/>
                <w:bdr w:val="none" w:sz="0" w:space="0" w:color="auto" w:frame="1"/>
              </w:rPr>
              <w:t xml:space="preserve"> non-PBS subsidised</w:t>
            </w:r>
            <w:r w:rsidRPr="00551228">
              <w:rPr>
                <w:rFonts w:ascii="Arial Narrow" w:hAnsi="Arial Narrow" w:cstheme="minorHAnsi"/>
                <w:i/>
                <w:sz w:val="18"/>
                <w:szCs w:val="18"/>
              </w:rPr>
              <w:t xml:space="preserve"> treatment with this drug</w:t>
            </w:r>
            <w:r w:rsidRPr="00551228">
              <w:rPr>
                <w:rFonts w:ascii="Arial Narrow" w:hAnsi="Arial Narrow" w:cs="Open Sans"/>
                <w:bCs/>
                <w:i/>
                <w:sz w:val="18"/>
                <w:szCs w:val="18"/>
                <w:bdr w:val="none" w:sz="0" w:space="0" w:color="auto" w:frame="1"/>
              </w:rPr>
              <w:t xml:space="preserve"> for this condition</w:t>
            </w:r>
            <w:r w:rsidRPr="00551228">
              <w:rPr>
                <w:rFonts w:ascii="Arial Narrow" w:hAnsi="Arial Narrow" w:cstheme="minorHAnsi"/>
                <w:i/>
                <w:sz w:val="18"/>
                <w:szCs w:val="18"/>
              </w:rPr>
              <w:t>; or</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bCs/>
                <w:i/>
                <w:color w:val="333333"/>
                <w:sz w:val="18"/>
                <w:szCs w:val="18"/>
                <w:bdr w:val="none" w:sz="0" w:space="0" w:color="auto" w:frame="1"/>
              </w:rPr>
            </w:pPr>
            <w:r w:rsidRPr="00551228">
              <w:rPr>
                <w:rFonts w:ascii="Arial Narrow" w:hAnsi="Arial Narrow" w:cs="Open Sans"/>
                <w:bCs/>
                <w:i/>
                <w:sz w:val="18"/>
                <w:szCs w:val="18"/>
                <w:bdr w:val="none" w:sz="0" w:space="0" w:color="auto" w:frame="1"/>
              </w:rPr>
              <w:t>Patient must have a documented history of moderate to severe refractory ulcerative colitis prior to having commenced non-PBS subsidised treatment with this drug for this condition where a Mayo clinic, partial Mayo clinic baseline assessment is not available,</w:t>
            </w:r>
          </w:p>
        </w:tc>
      </w:tr>
      <w:tr w:rsidR="00D8785A" w:rsidRPr="002D4988" w:rsidTr="000367ED">
        <w:trPr>
          <w:trHeight w:val="57"/>
        </w:trPr>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theme="minorHAnsi"/>
                <w:b/>
                <w:sz w:val="18"/>
                <w:szCs w:val="18"/>
              </w:rPr>
            </w:pPr>
            <w:r w:rsidRPr="002D4988">
              <w:rPr>
                <w:rFonts w:ascii="Arial Narrow" w:hAnsi="Arial Narrow" w:cstheme="minorHAnsi"/>
                <w:b/>
                <w:sz w:val="18"/>
                <w:szCs w:val="18"/>
              </w:rPr>
              <w:t>AND</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theme="minorHAnsi"/>
                <w:b/>
                <w:sz w:val="18"/>
                <w:szCs w:val="18"/>
              </w:rPr>
            </w:pPr>
            <w:r w:rsidRPr="002D4988">
              <w:rPr>
                <w:rFonts w:ascii="Arial Narrow" w:hAnsi="Arial Narrow" w:cstheme="minorHAnsi"/>
                <w:b/>
                <w:sz w:val="18"/>
                <w:szCs w:val="18"/>
              </w:rPr>
              <w:t>Clinical criteria:</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theme="minorHAnsi"/>
                <w:b/>
                <w:i/>
                <w:sz w:val="18"/>
                <w:szCs w:val="18"/>
              </w:rPr>
            </w:pPr>
            <w:r w:rsidRPr="00551228">
              <w:rPr>
                <w:rFonts w:ascii="Arial Narrow" w:hAnsi="Arial Narrow" w:cstheme="minorHAnsi"/>
                <w:i/>
                <w:sz w:val="18"/>
                <w:szCs w:val="18"/>
              </w:rPr>
              <w:t>Patient must have demonstrated or sustained an adequate response to treatment by having a partial Mayo clinic score less than or equal to 2, with no subscore greater than 1 after 16 weeks of non-PBS-subsidised treatment with this drug</w:t>
            </w:r>
            <w:r w:rsidRPr="00551228">
              <w:rPr>
                <w:rFonts w:ascii="Arial Narrow" w:hAnsi="Arial Narrow"/>
                <w:i/>
                <w:sz w:val="18"/>
                <w:szCs w:val="18"/>
              </w:rPr>
              <w:t xml:space="preserve"> </w:t>
            </w:r>
            <w:r w:rsidRPr="00551228">
              <w:rPr>
                <w:rFonts w:ascii="Arial Narrow" w:hAnsi="Arial Narrow" w:cstheme="minorHAnsi"/>
                <w:i/>
                <w:sz w:val="18"/>
                <w:szCs w:val="18"/>
              </w:rPr>
              <w:t>for this condition.</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theme="minorHAnsi"/>
                <w:sz w:val="18"/>
                <w:szCs w:val="18"/>
              </w:rPr>
            </w:pPr>
            <w:r w:rsidRPr="002D4988">
              <w:rPr>
                <w:rFonts w:ascii="Arial Narrow" w:hAnsi="Arial Narrow" w:cs="Open Sans"/>
                <w:b/>
                <w:bCs/>
                <w:color w:val="333333"/>
                <w:sz w:val="18"/>
                <w:szCs w:val="18"/>
                <w:bdr w:val="none" w:sz="0" w:space="0" w:color="auto" w:frame="1"/>
              </w:rPr>
              <w:t>AND</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b/>
                <w:bCs/>
                <w:color w:val="333333"/>
                <w:sz w:val="18"/>
                <w:szCs w:val="18"/>
                <w:bdr w:val="none" w:sz="0" w:space="0" w:color="auto" w:frame="1"/>
              </w:rPr>
            </w:pPr>
            <w:r w:rsidRPr="002D4988">
              <w:rPr>
                <w:rFonts w:ascii="Arial Narrow" w:hAnsi="Arial Narrow" w:cstheme="minorHAnsi"/>
                <w:b/>
                <w:sz w:val="18"/>
                <w:szCs w:val="18"/>
              </w:rPr>
              <w:t>Clinical criteria:</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theme="minorHAnsi"/>
                <w:sz w:val="18"/>
                <w:szCs w:val="18"/>
              </w:rPr>
            </w:pPr>
            <w:r w:rsidRPr="002D4988">
              <w:rPr>
                <w:rFonts w:ascii="Arial Narrow" w:hAnsi="Arial Narrow" w:cstheme="minorHAnsi"/>
                <w:sz w:val="18"/>
                <w:szCs w:val="18"/>
              </w:rPr>
              <w:t>Patient must not receive more than 24 weeks of treatment under this restriction</w:t>
            </w:r>
          </w:p>
        </w:tc>
      </w:tr>
      <w:tr w:rsidR="00D8785A" w:rsidRPr="002D4988" w:rsidTr="000367ED">
        <w:trPr>
          <w:trHeight w:val="25"/>
        </w:trPr>
        <w:tc>
          <w:tcPr>
            <w:tcW w:w="851"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b/>
                <w:bCs/>
                <w:color w:val="333333"/>
                <w:sz w:val="18"/>
                <w:szCs w:val="18"/>
                <w:bdr w:val="none" w:sz="0" w:space="0" w:color="auto" w:frame="1"/>
              </w:rPr>
            </w:pPr>
            <w:r w:rsidRPr="002D4988">
              <w:rPr>
                <w:rFonts w:ascii="Arial Narrow" w:hAnsi="Arial Narrow" w:cs="Open Sans"/>
                <w:b/>
                <w:bCs/>
                <w:color w:val="333333"/>
                <w:sz w:val="18"/>
                <w:szCs w:val="18"/>
                <w:bdr w:val="none" w:sz="0" w:space="0" w:color="auto" w:frame="1"/>
              </w:rPr>
              <w:t>Population criteria:</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r w:rsidRPr="002D4988">
              <w:rPr>
                <w:rFonts w:ascii="Arial Narrow" w:hAnsi="Arial Narrow" w:cs="Open Sans"/>
                <w:color w:val="333333"/>
                <w:sz w:val="18"/>
                <w:szCs w:val="18"/>
              </w:rPr>
              <w:t>Patient must be aged 18 years or older.</w:t>
            </w:r>
          </w:p>
        </w:tc>
      </w:tr>
      <w:tr w:rsidR="00D8785A" w:rsidRPr="002D4988" w:rsidTr="000367ED">
        <w:trPr>
          <w:trHeight w:val="1519"/>
        </w:trPr>
        <w:tc>
          <w:tcPr>
            <w:tcW w:w="851" w:type="pct"/>
            <w:shd w:val="clear" w:color="auto" w:fill="auto"/>
            <w:tcMar>
              <w:top w:w="120" w:type="dxa"/>
              <w:left w:w="240" w:type="dxa"/>
              <w:bottom w:w="120" w:type="dxa"/>
              <w:right w:w="240" w:type="dxa"/>
            </w:tcMar>
          </w:tcPr>
          <w:p w:rsidR="00D8785A" w:rsidRPr="00551228" w:rsidRDefault="00D8785A"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b/>
                <w:i/>
                <w:sz w:val="18"/>
                <w:szCs w:val="18"/>
              </w:rPr>
            </w:pPr>
            <w:r w:rsidRPr="00551228">
              <w:rPr>
                <w:rFonts w:ascii="Arial Narrow" w:hAnsi="Arial Narrow" w:cs="Open Sans"/>
                <w:b/>
                <w:i/>
                <w:sz w:val="18"/>
                <w:szCs w:val="18"/>
              </w:rPr>
              <w:t>Prescribing Instructions:</w:t>
            </w:r>
          </w:p>
          <w:p w:rsidR="00D8785A" w:rsidRPr="00551228" w:rsidRDefault="00D8785A" w:rsidP="000079D4">
            <w:pPr>
              <w:rPr>
                <w:rFonts w:ascii="Arial Narrow" w:hAnsi="Arial Narrow" w:cs="Open Sans"/>
                <w:i/>
                <w:sz w:val="18"/>
                <w:szCs w:val="18"/>
              </w:rPr>
            </w:pPr>
            <w:r w:rsidRPr="00551228">
              <w:rPr>
                <w:rFonts w:ascii="Arial Narrow" w:hAnsi="Arial Narrow" w:cs="Open Sans"/>
                <w:i/>
                <w:sz w:val="18"/>
                <w:szCs w:val="18"/>
              </w:rPr>
              <w:t>Application for authorisation of initial treatment must be in writing and must include:</w:t>
            </w:r>
          </w:p>
          <w:p w:rsidR="00D8785A" w:rsidRPr="00551228" w:rsidRDefault="00D8785A" w:rsidP="000079D4">
            <w:pPr>
              <w:rPr>
                <w:rFonts w:ascii="Arial Narrow" w:hAnsi="Arial Narrow" w:cs="Open Sans"/>
                <w:i/>
                <w:sz w:val="18"/>
                <w:szCs w:val="18"/>
              </w:rPr>
            </w:pPr>
            <w:r w:rsidRPr="00551228">
              <w:rPr>
                <w:rFonts w:ascii="Arial Narrow" w:hAnsi="Arial Narrow" w:cs="Open Sans"/>
                <w:i/>
                <w:sz w:val="18"/>
                <w:szCs w:val="18"/>
              </w:rPr>
              <w:t>(a) a completed authority prescription form; and</w:t>
            </w:r>
          </w:p>
          <w:p w:rsidR="00D8785A" w:rsidRPr="00551228" w:rsidRDefault="00D8785A" w:rsidP="000079D4">
            <w:pPr>
              <w:rPr>
                <w:rFonts w:ascii="Arial Narrow" w:hAnsi="Arial Narrow" w:cs="Open Sans"/>
                <w:i/>
                <w:sz w:val="18"/>
                <w:szCs w:val="18"/>
              </w:rPr>
            </w:pPr>
            <w:r w:rsidRPr="00551228">
              <w:rPr>
                <w:rFonts w:ascii="Arial Narrow" w:hAnsi="Arial Narrow" w:cs="Open Sans"/>
                <w:i/>
                <w:sz w:val="18"/>
                <w:szCs w:val="18"/>
              </w:rPr>
              <w:t xml:space="preserve">(b) a completed Ulcerative Colitis PBS Authority Application - Supporting Information Form which includes the following: </w:t>
            </w:r>
          </w:p>
          <w:p w:rsidR="00D8785A" w:rsidRPr="00551228" w:rsidRDefault="00D8785A" w:rsidP="000079D4">
            <w:pPr>
              <w:rPr>
                <w:rFonts w:ascii="Arial Narrow" w:hAnsi="Arial Narrow" w:cs="Open Sans"/>
                <w:i/>
                <w:sz w:val="18"/>
                <w:szCs w:val="18"/>
              </w:rPr>
            </w:pPr>
            <w:r w:rsidRPr="00551228">
              <w:rPr>
                <w:rFonts w:ascii="Arial Narrow" w:hAnsi="Arial Narrow" w:cs="Open Sans"/>
                <w:i/>
                <w:sz w:val="18"/>
                <w:szCs w:val="18"/>
              </w:rPr>
              <w:t xml:space="preserve">(i) the completed baseline Mayo clinic or partial Mayo clinic calculation sheet prior to initiating treatment (if available) and current Mayo clinic or partial Mayo clinic calculation sheet to demonstrate response, including the date of assessment; </w:t>
            </w:r>
          </w:p>
          <w:p w:rsidR="00D8785A" w:rsidRPr="00551228" w:rsidRDefault="00D8785A" w:rsidP="000079D4">
            <w:pPr>
              <w:rPr>
                <w:rFonts w:ascii="Arial Narrow" w:hAnsi="Arial Narrow" w:cs="Open Sans"/>
                <w:i/>
                <w:sz w:val="18"/>
                <w:szCs w:val="18"/>
              </w:rPr>
            </w:pPr>
            <w:r w:rsidRPr="00551228">
              <w:rPr>
                <w:rFonts w:ascii="Arial Narrow" w:hAnsi="Arial Narrow" w:cs="Open Sans"/>
                <w:i/>
                <w:sz w:val="18"/>
                <w:szCs w:val="18"/>
              </w:rPr>
              <w:t xml:space="preserve">(ii) If the baseline Mayo or partial Mayo clinic calculation is not available, reason must be provided; </w:t>
            </w:r>
          </w:p>
          <w:p w:rsidR="00D8785A" w:rsidRPr="00551228" w:rsidRDefault="00D8785A" w:rsidP="000079D4">
            <w:pPr>
              <w:rPr>
                <w:rFonts w:ascii="Arial Narrow" w:hAnsi="Arial Narrow" w:cs="Open Sans"/>
                <w:i/>
                <w:strike/>
                <w:sz w:val="18"/>
                <w:szCs w:val="18"/>
              </w:rPr>
            </w:pPr>
            <w:r w:rsidRPr="00551228">
              <w:rPr>
                <w:rFonts w:ascii="Arial Narrow" w:hAnsi="Arial Narrow" w:cs="Open Sans"/>
                <w:i/>
                <w:sz w:val="18"/>
                <w:szCs w:val="18"/>
              </w:rPr>
              <w:t>(iii) the date of commencement of this drug</w:t>
            </w:r>
          </w:p>
          <w:p w:rsidR="00D8785A" w:rsidRPr="00551228" w:rsidRDefault="00D8785A" w:rsidP="000079D4">
            <w:pPr>
              <w:rPr>
                <w:rFonts w:ascii="Arial Narrow" w:hAnsi="Arial Narrow" w:cs="Open Sans"/>
                <w:strike/>
                <w:sz w:val="18"/>
                <w:szCs w:val="18"/>
              </w:rPr>
            </w:pPr>
          </w:p>
        </w:tc>
      </w:tr>
      <w:tr w:rsidR="00D8785A" w:rsidRPr="002D4988" w:rsidTr="000367ED">
        <w:tc>
          <w:tcPr>
            <w:tcW w:w="851" w:type="pct"/>
            <w:shd w:val="clear" w:color="auto" w:fill="auto"/>
            <w:tcMar>
              <w:top w:w="120" w:type="dxa"/>
              <w:left w:w="240" w:type="dxa"/>
              <w:bottom w:w="120" w:type="dxa"/>
              <w:right w:w="240" w:type="dxa"/>
            </w:tcMar>
          </w:tcPr>
          <w:p w:rsidR="00D8785A" w:rsidRPr="00551228" w:rsidRDefault="00D8785A" w:rsidP="000079D4">
            <w:pPr>
              <w:textAlignment w:val="baseline"/>
              <w:rPr>
                <w:rFonts w:ascii="Arial Narrow" w:hAnsi="Arial Narrow" w:cs="Open Sans"/>
                <w:color w:val="0070C0"/>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i/>
                <w:sz w:val="18"/>
                <w:szCs w:val="18"/>
              </w:rPr>
            </w:pPr>
            <w:r w:rsidRPr="00551228">
              <w:rPr>
                <w:rFonts w:ascii="Arial Narrow" w:hAnsi="Arial Narrow" w:cs="Open Sans"/>
                <w:b/>
                <w:i/>
                <w:sz w:val="18"/>
                <w:szCs w:val="18"/>
              </w:rPr>
              <w:t>Prescribing Instructions:</w:t>
            </w:r>
            <w:r w:rsidRPr="00551228">
              <w:rPr>
                <w:rFonts w:ascii="Arial Narrow" w:hAnsi="Arial Narrow" w:cs="Open Sans"/>
                <w:i/>
                <w:sz w:val="18"/>
                <w:szCs w:val="18"/>
              </w:rPr>
              <w:t xml:space="preserve"> </w:t>
            </w:r>
          </w:p>
          <w:p w:rsidR="00D8785A" w:rsidRPr="002D4988" w:rsidRDefault="00D8785A" w:rsidP="000079D4">
            <w:pPr>
              <w:rPr>
                <w:rFonts w:ascii="Arial Narrow" w:hAnsi="Arial Narrow" w:cs="Open Sans"/>
                <w:b/>
                <w:i/>
                <w:color w:val="0070C0"/>
                <w:sz w:val="18"/>
                <w:szCs w:val="18"/>
              </w:rPr>
            </w:pPr>
            <w:r w:rsidRPr="00551228">
              <w:rPr>
                <w:rFonts w:ascii="Arial Narrow" w:hAnsi="Arial Narrow" w:cs="Open Sans"/>
                <w:i/>
                <w:sz w:val="18"/>
                <w:szCs w:val="18"/>
              </w:rPr>
              <w:t>The current Mayo clinic or partial Mayo clinic assessment must be no more than 4 weeks old at the time of application.</w:t>
            </w:r>
          </w:p>
        </w:tc>
      </w:tr>
      <w:tr w:rsidR="00D8785A" w:rsidRPr="002D4988" w:rsidTr="000367ED">
        <w:tc>
          <w:tcPr>
            <w:tcW w:w="851"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sz w:val="18"/>
                <w:szCs w:val="18"/>
              </w:rPr>
            </w:pPr>
            <w:r w:rsidRPr="00551228">
              <w:rPr>
                <w:rFonts w:ascii="Arial Narrow" w:hAnsi="Arial Narrow" w:cs="Open Sans"/>
                <w:b/>
                <w:sz w:val="18"/>
                <w:szCs w:val="18"/>
              </w:rPr>
              <w:t>Prescribing Instructions:</w:t>
            </w:r>
            <w:r w:rsidRPr="00551228">
              <w:rPr>
                <w:rFonts w:ascii="Arial Narrow" w:hAnsi="Arial Narrow" w:cs="Open Sans"/>
                <w:sz w:val="18"/>
                <w:szCs w:val="18"/>
              </w:rPr>
              <w:t xml:space="preserve"> </w:t>
            </w:r>
          </w:p>
          <w:p w:rsidR="00D8785A" w:rsidRPr="00551228" w:rsidRDefault="00D8785A" w:rsidP="000079D4">
            <w:pPr>
              <w:rPr>
                <w:rFonts w:ascii="Arial Narrow" w:hAnsi="Arial Narrow" w:cs="Open Sans"/>
                <w:sz w:val="18"/>
                <w:szCs w:val="18"/>
              </w:rPr>
            </w:pPr>
            <w:r w:rsidRPr="00551228">
              <w:rPr>
                <w:rFonts w:ascii="Arial Narrow" w:hAnsi="Arial Narrow" w:cs="Open Sans"/>
                <w:sz w:val="18"/>
                <w:szCs w:val="18"/>
              </w:rPr>
              <w:t>A patient may qualify for PBS-subsidised treatment under this restriction once only.</w:t>
            </w:r>
          </w:p>
        </w:tc>
      </w:tr>
      <w:tr w:rsidR="00D8785A" w:rsidRPr="002D4988" w:rsidTr="000367ED">
        <w:tc>
          <w:tcPr>
            <w:tcW w:w="851"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sz w:val="18"/>
                <w:szCs w:val="18"/>
              </w:rPr>
            </w:pPr>
            <w:r w:rsidRPr="00551228">
              <w:rPr>
                <w:rFonts w:ascii="Arial Narrow" w:hAnsi="Arial Narrow" w:cs="Open Sans"/>
                <w:b/>
                <w:sz w:val="18"/>
                <w:szCs w:val="18"/>
              </w:rPr>
              <w:t>Prescribing Instructions:</w:t>
            </w:r>
            <w:r w:rsidRPr="00551228">
              <w:rPr>
                <w:rFonts w:ascii="Arial Narrow" w:hAnsi="Arial Narrow" w:cs="Open Sans"/>
                <w:sz w:val="18"/>
                <w:szCs w:val="18"/>
              </w:rPr>
              <w:t xml:space="preserve"> </w:t>
            </w:r>
          </w:p>
          <w:p w:rsidR="00D8785A" w:rsidRPr="00551228" w:rsidRDefault="00D8785A" w:rsidP="000079D4">
            <w:pPr>
              <w:rPr>
                <w:rFonts w:ascii="Arial Narrow" w:hAnsi="Arial Narrow" w:cs="Open Sans"/>
                <w:b/>
                <w:sz w:val="18"/>
                <w:szCs w:val="18"/>
              </w:rPr>
            </w:pPr>
            <w:r w:rsidRPr="00551228">
              <w:rPr>
                <w:rFonts w:ascii="Arial Narrow" w:hAnsi="Arial Narrow" w:cs="Open Sans"/>
                <w:sz w:val="18"/>
                <w:szCs w:val="18"/>
              </w:rPr>
              <w:t>For continuing PBS-subsidised treatment, a Grandfathered patient must qualify under the Continuing treatment criteria.</w:t>
            </w:r>
          </w:p>
        </w:tc>
      </w:tr>
      <w:tr w:rsidR="00D8785A" w:rsidRPr="002D4988" w:rsidTr="000367ED">
        <w:tc>
          <w:tcPr>
            <w:tcW w:w="851"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b/>
                <w:sz w:val="18"/>
                <w:szCs w:val="18"/>
              </w:rPr>
            </w:pPr>
            <w:r w:rsidRPr="00551228">
              <w:rPr>
                <w:rFonts w:ascii="Arial Narrow" w:hAnsi="Arial Narrow" w:cs="Open Sans"/>
                <w:b/>
                <w:sz w:val="18"/>
                <w:szCs w:val="18"/>
              </w:rPr>
              <w:t xml:space="preserve">Prescribing Instructions: </w:t>
            </w:r>
          </w:p>
          <w:p w:rsidR="00D8785A" w:rsidRPr="00551228" w:rsidRDefault="00D8785A" w:rsidP="000079D4">
            <w:pPr>
              <w:rPr>
                <w:rFonts w:ascii="Arial Narrow" w:hAnsi="Arial Narrow" w:cs="Open Sans"/>
                <w:sz w:val="18"/>
                <w:szCs w:val="18"/>
              </w:rPr>
            </w:pPr>
            <w:r w:rsidRPr="00551228">
              <w:rPr>
                <w:rFonts w:ascii="Arial Narrow" w:hAnsi="Arial Narrow" w:cs="Open Sans"/>
                <w:sz w:val="18"/>
                <w:szCs w:val="18"/>
              </w:rPr>
              <w:t>The assessment of the patient's response to this PBS-subsidised course of therapy must be conducted no later than 4 weeks from the cessation of the treatment course.</w:t>
            </w:r>
          </w:p>
        </w:tc>
      </w:tr>
      <w:tr w:rsidR="00D8785A" w:rsidRPr="002D4988" w:rsidTr="000367ED">
        <w:tc>
          <w:tcPr>
            <w:tcW w:w="851"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rPr>
                <w:rFonts w:ascii="Arial Narrow" w:hAnsi="Arial Narrow" w:cs="Open Sans"/>
                <w:b/>
                <w:sz w:val="18"/>
                <w:szCs w:val="18"/>
              </w:rPr>
            </w:pPr>
            <w:r w:rsidRPr="00551228">
              <w:rPr>
                <w:rFonts w:ascii="Arial Narrow" w:hAnsi="Arial Narrow" w:cs="Open Sans"/>
                <w:b/>
                <w:sz w:val="18"/>
                <w:szCs w:val="18"/>
              </w:rPr>
              <w:t xml:space="preserve">Prescribing Instructions: </w:t>
            </w:r>
          </w:p>
          <w:p w:rsidR="00D8785A" w:rsidRPr="00551228" w:rsidRDefault="00D8785A" w:rsidP="000079D4">
            <w:pPr>
              <w:rPr>
                <w:rFonts w:ascii="Arial Narrow" w:hAnsi="Arial Narrow" w:cs="Open Sans"/>
                <w:sz w:val="18"/>
                <w:szCs w:val="18"/>
              </w:rPr>
            </w:pPr>
            <w:r w:rsidRPr="00551228">
              <w:rPr>
                <w:rFonts w:ascii="Arial Narrow" w:hAnsi="Arial Narrow" w:cs="Open Sans"/>
                <w:sz w:val="18"/>
                <w:szCs w:val="18"/>
              </w:rPr>
              <w:t>Where the response assessment is not submitted within this timeframe, the patient will be deemed to have failed to respond to treatment with this drug</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textAlignment w:val="baseline"/>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theme="minorHAnsi"/>
                <w:b/>
                <w:sz w:val="18"/>
                <w:szCs w:val="18"/>
              </w:rPr>
            </w:pPr>
            <w:r w:rsidRPr="002D4988">
              <w:rPr>
                <w:rFonts w:ascii="Arial Narrow" w:hAnsi="Arial Narrow" w:cstheme="minorHAnsi"/>
                <w:b/>
                <w:sz w:val="18"/>
                <w:szCs w:val="18"/>
              </w:rPr>
              <w:t>Prescribing Instructions:</w:t>
            </w:r>
          </w:p>
          <w:p w:rsidR="00D8785A" w:rsidRPr="002D4988" w:rsidRDefault="00D8785A" w:rsidP="000079D4">
            <w:pPr>
              <w:rPr>
                <w:rFonts w:ascii="Arial Narrow" w:hAnsi="Arial Narrow" w:cstheme="minorHAnsi"/>
                <w:sz w:val="18"/>
                <w:szCs w:val="18"/>
              </w:rPr>
            </w:pPr>
            <w:r w:rsidRPr="002D4988">
              <w:rPr>
                <w:rFonts w:ascii="Arial Narrow" w:hAnsi="Arial Narrow" w:cstheme="minorHAnsi"/>
                <w:sz w:val="18"/>
                <w:szCs w:val="18"/>
              </w:rPr>
              <w:t>Patients who have failed to maintain a partial Mayo clinic score less than or equal to 2, with no subscore greater than 1 with continuing treatment with this drug, will not be eligible to receive further PBS-subsidised treatment with this drug.</w:t>
            </w:r>
          </w:p>
        </w:tc>
      </w:tr>
      <w:tr w:rsidR="00D8785A" w:rsidRPr="002D4988" w:rsidTr="000367ED">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r w:rsidRPr="002D4988">
              <w:rPr>
                <w:rFonts w:ascii="Arial Narrow" w:hAnsi="Arial Narrow" w:cs="Open Sans"/>
                <w:b/>
                <w:bCs/>
                <w:color w:val="333333"/>
                <w:sz w:val="18"/>
                <w:szCs w:val="18"/>
              </w:rPr>
              <w:t>Prescribing Instructions:</w:t>
            </w:r>
          </w:p>
          <w:p w:rsidR="00D8785A" w:rsidRPr="002D4988" w:rsidRDefault="00D8785A" w:rsidP="000079D4">
            <w:pPr>
              <w:rPr>
                <w:rFonts w:ascii="Arial Narrow" w:hAnsi="Arial Narrow" w:cstheme="minorHAnsi"/>
                <w:b/>
                <w:sz w:val="18"/>
                <w:szCs w:val="18"/>
              </w:rPr>
            </w:pPr>
            <w:r w:rsidRPr="002D4988">
              <w:rPr>
                <w:rFonts w:ascii="Arial Narrow" w:hAnsi="Arial Narrow" w:cstheme="minorHAnsi"/>
                <w:sz w:val="18"/>
                <w:szCs w:val="18"/>
              </w:rPr>
              <w:t>Patients are eligible to receive continuing treatment with this drug in courses of up to 24 weeks providing they continue to sustain the response.</w:t>
            </w:r>
          </w:p>
        </w:tc>
      </w:tr>
      <w:tr w:rsidR="00D8785A" w:rsidRPr="002D4988" w:rsidTr="000367ED">
        <w:trPr>
          <w:trHeight w:val="131"/>
        </w:trPr>
        <w:tc>
          <w:tcPr>
            <w:tcW w:w="851"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p>
        </w:tc>
        <w:tc>
          <w:tcPr>
            <w:tcW w:w="4149" w:type="pct"/>
            <w:shd w:val="clear" w:color="auto" w:fill="auto"/>
            <w:tcMar>
              <w:top w:w="120" w:type="dxa"/>
              <w:left w:w="240" w:type="dxa"/>
              <w:bottom w:w="120" w:type="dxa"/>
              <w:right w:w="240" w:type="dxa"/>
            </w:tcMar>
          </w:tcPr>
          <w:p w:rsidR="00D8785A" w:rsidRPr="002D4988" w:rsidRDefault="00D8785A" w:rsidP="000079D4">
            <w:pPr>
              <w:rPr>
                <w:rFonts w:ascii="Arial Narrow" w:hAnsi="Arial Narrow" w:cs="Open Sans"/>
                <w:color w:val="333333"/>
                <w:sz w:val="18"/>
                <w:szCs w:val="18"/>
              </w:rPr>
            </w:pPr>
            <w:r w:rsidRPr="002D4988">
              <w:rPr>
                <w:rFonts w:ascii="Arial Narrow" w:hAnsi="Arial Narrow" w:cs="Open Sans"/>
                <w:b/>
                <w:bCs/>
                <w:color w:val="333333"/>
                <w:sz w:val="18"/>
                <w:szCs w:val="18"/>
              </w:rPr>
              <w:t>Prescribing Instructions:</w:t>
            </w:r>
          </w:p>
          <w:p w:rsidR="00D8785A" w:rsidRPr="002D4988" w:rsidRDefault="00D8785A" w:rsidP="000079D4">
            <w:pPr>
              <w:rPr>
                <w:rFonts w:ascii="Arial Narrow" w:hAnsi="Arial Narrow" w:cs="Open Sans"/>
                <w:b/>
                <w:bCs/>
                <w:color w:val="333333"/>
                <w:sz w:val="18"/>
                <w:szCs w:val="18"/>
              </w:rPr>
            </w:pPr>
            <w:r w:rsidRPr="002D4988">
              <w:rPr>
                <w:rFonts w:ascii="Arial Narrow" w:hAnsi="Arial Narrow" w:cstheme="minorHAnsi"/>
                <w:sz w:val="18"/>
                <w:szCs w:val="18"/>
              </w:rPr>
              <w:t>At the time of the authority application, medical practitioners should request sufficient quantity for up to 24 weeks of treatment under this restriction.</w:t>
            </w:r>
          </w:p>
        </w:tc>
      </w:tr>
      <w:tr w:rsidR="00D8785A" w:rsidRPr="002D4988" w:rsidTr="000367ED">
        <w:tblPrEx>
          <w:shd w:val="clear" w:color="auto" w:fill="F4F4F4"/>
        </w:tblPrEx>
        <w:trPr>
          <w:trHeight w:val="2100"/>
        </w:trPr>
        <w:tc>
          <w:tcPr>
            <w:tcW w:w="851" w:type="pct"/>
            <w:shd w:val="clear" w:color="auto" w:fill="auto"/>
            <w:tcMar>
              <w:top w:w="120" w:type="dxa"/>
              <w:left w:w="240" w:type="dxa"/>
              <w:bottom w:w="120" w:type="dxa"/>
              <w:right w:w="240" w:type="dxa"/>
            </w:tcMar>
          </w:tcPr>
          <w:p w:rsidR="00D8785A" w:rsidRPr="00551228" w:rsidRDefault="00D8785A" w:rsidP="000079D4">
            <w:pPr>
              <w:textAlignment w:val="baseline"/>
              <w:rPr>
                <w:rFonts w:ascii="Arial Narrow" w:hAnsi="Arial Narrow" w:cs="Open Sans"/>
                <w:sz w:val="18"/>
                <w:szCs w:val="18"/>
              </w:rPr>
            </w:pPr>
          </w:p>
        </w:tc>
        <w:tc>
          <w:tcPr>
            <w:tcW w:w="4149" w:type="pct"/>
            <w:shd w:val="clear" w:color="auto" w:fill="auto"/>
            <w:tcMar>
              <w:top w:w="120" w:type="dxa"/>
              <w:left w:w="240" w:type="dxa"/>
              <w:bottom w:w="120" w:type="dxa"/>
              <w:right w:w="240" w:type="dxa"/>
            </w:tcMar>
          </w:tcPr>
          <w:p w:rsidR="00D8785A" w:rsidRPr="00551228" w:rsidRDefault="00D8785A" w:rsidP="000079D4">
            <w:pPr>
              <w:textAlignment w:val="baseline"/>
              <w:rPr>
                <w:rFonts w:ascii="Arial Narrow" w:hAnsi="Arial Narrow" w:cs="Open Sans"/>
                <w:sz w:val="18"/>
                <w:szCs w:val="18"/>
              </w:rPr>
            </w:pPr>
            <w:r w:rsidRPr="00551228">
              <w:rPr>
                <w:rFonts w:ascii="Arial Narrow" w:hAnsi="Arial Narrow" w:cs="Open Sans"/>
                <w:b/>
                <w:bCs/>
                <w:sz w:val="18"/>
                <w:szCs w:val="18"/>
                <w:bdr w:val="none" w:sz="0" w:space="0" w:color="auto" w:frame="1"/>
              </w:rPr>
              <w:t>Administrative Advice:</w:t>
            </w:r>
          </w:p>
          <w:p w:rsidR="00D8785A" w:rsidRPr="00551228" w:rsidRDefault="00D8785A" w:rsidP="000079D4">
            <w:pPr>
              <w:textAlignment w:val="baseline"/>
              <w:rPr>
                <w:rFonts w:ascii="Arial Narrow" w:hAnsi="Arial Narrow" w:cs="Open Sans"/>
                <w:sz w:val="18"/>
                <w:szCs w:val="18"/>
              </w:rPr>
            </w:pPr>
            <w:r w:rsidRPr="00551228">
              <w:rPr>
                <w:rFonts w:ascii="Arial Narrow" w:hAnsi="Arial Narrow" w:cs="Open Sans"/>
                <w:sz w:val="18"/>
                <w:szCs w:val="18"/>
              </w:rPr>
              <w:t>Any queries concerning the arrangements to prescribe may be directed to Services Australia on 1800 700 270 (hours of operation 8 a.m. to 5 p.m. EST Monday to Friday).</w:t>
            </w:r>
          </w:p>
          <w:p w:rsidR="00D8785A" w:rsidRPr="00551228" w:rsidRDefault="00D8785A" w:rsidP="000079D4">
            <w:pPr>
              <w:textAlignment w:val="baseline"/>
              <w:rPr>
                <w:rFonts w:ascii="Arial Narrow" w:hAnsi="Arial Narrow" w:cs="Open Sans"/>
                <w:sz w:val="18"/>
                <w:szCs w:val="18"/>
              </w:rPr>
            </w:pPr>
            <w:r w:rsidRPr="00551228">
              <w:rPr>
                <w:rFonts w:ascii="Arial Narrow" w:hAnsi="Arial Narrow" w:cs="Open Sans"/>
                <w:sz w:val="18"/>
                <w:szCs w:val="18"/>
              </w:rPr>
              <w:t>Prescribing information (including Authority Application forms and other relevant documentation as applicable) is available on the Services Australia website at www.servicesaustralia.gov.au</w:t>
            </w:r>
          </w:p>
          <w:p w:rsidR="00D8785A" w:rsidRPr="00551228" w:rsidRDefault="00D8785A" w:rsidP="000079D4">
            <w:pPr>
              <w:textAlignment w:val="baseline"/>
              <w:rPr>
                <w:rFonts w:ascii="Arial Narrow" w:hAnsi="Arial Narrow" w:cs="Open Sans"/>
                <w:sz w:val="18"/>
                <w:szCs w:val="18"/>
              </w:rPr>
            </w:pPr>
            <w:r w:rsidRPr="00551228">
              <w:rPr>
                <w:rFonts w:ascii="Arial Narrow" w:hAnsi="Arial Narrow" w:cs="Open Sans"/>
                <w:sz w:val="18"/>
                <w:szCs w:val="18"/>
              </w:rPr>
              <w:t>Applications for authority to prescribe should be submitted online using the form upload facility in Health Professional Online Services (HPOS) at www.servicesaustralia.gov.au/hpos</w:t>
            </w:r>
          </w:p>
          <w:p w:rsidR="00D8785A" w:rsidRPr="00551228" w:rsidRDefault="00D8785A" w:rsidP="000079D4">
            <w:pPr>
              <w:textAlignment w:val="baseline"/>
              <w:rPr>
                <w:rFonts w:ascii="Arial Narrow" w:hAnsi="Arial Narrow" w:cs="Open Sans"/>
                <w:sz w:val="18"/>
                <w:szCs w:val="18"/>
              </w:rPr>
            </w:pPr>
            <w:r w:rsidRPr="00551228">
              <w:rPr>
                <w:rFonts w:ascii="Arial Narrow" w:hAnsi="Arial Narrow" w:cs="Open Sans"/>
                <w:sz w:val="18"/>
                <w:szCs w:val="18"/>
              </w:rPr>
              <w:t>Or mailed to:</w:t>
            </w:r>
          </w:p>
          <w:p w:rsidR="00D8785A" w:rsidRPr="00551228" w:rsidRDefault="00D8785A" w:rsidP="000079D4">
            <w:pPr>
              <w:textAlignment w:val="baseline"/>
              <w:rPr>
                <w:rFonts w:ascii="Arial Narrow" w:hAnsi="Arial Narrow" w:cs="Open Sans"/>
                <w:sz w:val="18"/>
                <w:szCs w:val="18"/>
              </w:rPr>
            </w:pPr>
            <w:r w:rsidRPr="00551228">
              <w:rPr>
                <w:rFonts w:ascii="Arial Narrow" w:hAnsi="Arial Narrow" w:cs="Open Sans"/>
                <w:sz w:val="18"/>
                <w:szCs w:val="18"/>
              </w:rPr>
              <w:t>Services Australia</w:t>
            </w:r>
          </w:p>
          <w:p w:rsidR="00D8785A" w:rsidRPr="00551228" w:rsidRDefault="00D8785A" w:rsidP="000079D4">
            <w:pPr>
              <w:textAlignment w:val="baseline"/>
              <w:rPr>
                <w:rFonts w:ascii="Arial Narrow" w:hAnsi="Arial Narrow" w:cs="Open Sans"/>
                <w:sz w:val="18"/>
                <w:szCs w:val="18"/>
              </w:rPr>
            </w:pPr>
            <w:r w:rsidRPr="00551228">
              <w:rPr>
                <w:rFonts w:ascii="Arial Narrow" w:hAnsi="Arial Narrow" w:cs="Open Sans"/>
                <w:sz w:val="18"/>
                <w:szCs w:val="18"/>
              </w:rPr>
              <w:t>Complex Drugs</w:t>
            </w:r>
          </w:p>
          <w:p w:rsidR="00D8785A" w:rsidRPr="00551228" w:rsidRDefault="00D8785A" w:rsidP="000079D4">
            <w:pPr>
              <w:textAlignment w:val="baseline"/>
              <w:rPr>
                <w:rFonts w:ascii="Arial Narrow" w:hAnsi="Arial Narrow" w:cs="Open Sans"/>
                <w:sz w:val="18"/>
                <w:szCs w:val="18"/>
              </w:rPr>
            </w:pPr>
            <w:r w:rsidRPr="00551228">
              <w:rPr>
                <w:rFonts w:ascii="Arial Narrow" w:hAnsi="Arial Narrow" w:cs="Open Sans"/>
                <w:sz w:val="18"/>
                <w:szCs w:val="18"/>
              </w:rPr>
              <w:t>Reply Paid 9826</w:t>
            </w:r>
          </w:p>
          <w:p w:rsidR="00D8785A" w:rsidRPr="00551228" w:rsidRDefault="00D8785A" w:rsidP="000079D4">
            <w:pPr>
              <w:textAlignment w:val="baseline"/>
              <w:rPr>
                <w:rFonts w:ascii="Arial Narrow" w:hAnsi="Arial Narrow" w:cs="Open Sans"/>
                <w:b/>
                <w:bCs/>
                <w:sz w:val="18"/>
                <w:szCs w:val="18"/>
                <w:bdr w:val="none" w:sz="0" w:space="0" w:color="auto" w:frame="1"/>
              </w:rPr>
            </w:pPr>
            <w:r w:rsidRPr="00551228">
              <w:rPr>
                <w:rFonts w:ascii="Arial Narrow" w:hAnsi="Arial Narrow" w:cs="Open Sans"/>
                <w:sz w:val="18"/>
                <w:szCs w:val="18"/>
              </w:rPr>
              <w:t>HOBART TAS 7001</w:t>
            </w:r>
          </w:p>
        </w:tc>
      </w:tr>
    </w:tbl>
    <w:p w:rsidR="000104D6" w:rsidRPr="002D4988" w:rsidRDefault="000104D6" w:rsidP="000079D4">
      <w:pPr>
        <w:rPr>
          <w:rFonts w:ascii="Arial Narrow" w:hAnsi="Arial Narrow"/>
          <w:sz w:val="18"/>
          <w:szCs w:val="18"/>
        </w:rPr>
      </w:pPr>
    </w:p>
    <w:p w:rsidR="000104D6" w:rsidRPr="002D4988" w:rsidRDefault="000104D6" w:rsidP="000079D4">
      <w:pPr>
        <w:rPr>
          <w:rFonts w:ascii="Arial Narrow" w:hAnsi="Arial Narrow"/>
          <w:sz w:val="18"/>
          <w:szCs w:val="18"/>
        </w:rPr>
      </w:pPr>
    </w:p>
    <w:p w:rsidR="000104D6" w:rsidRPr="002D4988" w:rsidRDefault="000104D6" w:rsidP="000079D4">
      <w:pPr>
        <w:rPr>
          <w:rFonts w:ascii="Arial Narrow" w:hAnsi="Arial Narrow"/>
          <w:b/>
          <w:sz w:val="18"/>
          <w:szCs w:val="18"/>
        </w:rPr>
      </w:pPr>
      <w:r w:rsidRPr="002D4988">
        <w:rPr>
          <w:rFonts w:ascii="Arial Narrow" w:hAnsi="Arial Narrow"/>
          <w:b/>
          <w:sz w:val="18"/>
          <w:szCs w:val="18"/>
        </w:rPr>
        <w:t xml:space="preserve">Add continuing BOS restriction </w:t>
      </w:r>
    </w:p>
    <w:p w:rsidR="000104D6" w:rsidRPr="002D4988" w:rsidRDefault="000104D6" w:rsidP="000079D4">
      <w:pPr>
        <w:rPr>
          <w:rFonts w:ascii="Arial Narrow" w:hAnsi="Arial Narrow"/>
          <w:sz w:val="18"/>
          <w:szCs w:val="18"/>
        </w:rPr>
      </w:pPr>
    </w:p>
    <w:p w:rsidR="000104D6" w:rsidRPr="002D4988" w:rsidRDefault="000104D6" w:rsidP="000079D4">
      <w:pPr>
        <w:textAlignment w:val="baseline"/>
        <w:outlineLvl w:val="3"/>
        <w:rPr>
          <w:rFonts w:ascii="Arial Narrow" w:hAnsi="Arial Narrow" w:cstheme="minorHAnsi"/>
          <w:sz w:val="18"/>
          <w:szCs w:val="18"/>
        </w:rPr>
      </w:pPr>
      <w:r w:rsidRPr="002D4988">
        <w:rPr>
          <w:rFonts w:ascii="Arial Narrow" w:hAnsi="Arial Narrow"/>
          <w:sz w:val="18"/>
          <w:szCs w:val="18"/>
        </w:rPr>
        <w:t>Restriction Summary NEW / ToC: NEW: Authority Required</w:t>
      </w:r>
      <w:r w:rsidRPr="002D4988">
        <w:rPr>
          <w:rFonts w:ascii="Arial Narrow" w:hAnsi="Arial Narrow" w:cstheme="minorHAnsi"/>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11"/>
        <w:gridCol w:w="7506"/>
      </w:tblGrid>
      <w:tr w:rsidR="000104D6" w:rsidRPr="00551228" w:rsidTr="00FC3BE5">
        <w:tc>
          <w:tcPr>
            <w:tcW w:w="838"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b/>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tabs>
                <w:tab w:val="left" w:pos="960"/>
              </w:tabs>
              <w:jc w:val="left"/>
              <w:rPr>
                <w:rFonts w:ascii="Arial Narrow" w:hAnsi="Arial Narrow"/>
                <w:b/>
                <w:sz w:val="18"/>
                <w:szCs w:val="18"/>
              </w:rPr>
            </w:pPr>
            <w:r w:rsidRPr="00551228">
              <w:rPr>
                <w:rFonts w:ascii="Arial Narrow" w:hAnsi="Arial Narrow"/>
                <w:b/>
                <w:sz w:val="18"/>
                <w:szCs w:val="18"/>
              </w:rPr>
              <w:t>Category / Program:</w:t>
            </w:r>
            <w:r w:rsidRPr="00551228">
              <w:rPr>
                <w:rFonts w:ascii="Arial Narrow" w:hAnsi="Arial Narrow"/>
                <w:sz w:val="18"/>
                <w:szCs w:val="18"/>
              </w:rPr>
              <w:t xml:space="preserve"> GENERAL – General Schedule (Code GE)</w:t>
            </w:r>
          </w:p>
        </w:tc>
      </w:tr>
      <w:tr w:rsidR="000104D6" w:rsidRPr="00551228" w:rsidTr="000367ED">
        <w:tc>
          <w:tcPr>
            <w:tcW w:w="838"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tabs>
                <w:tab w:val="left" w:pos="960"/>
              </w:tabs>
              <w:jc w:val="left"/>
              <w:rPr>
                <w:rFonts w:ascii="Arial Narrow" w:hAnsi="Arial Narrow" w:cs="Times New Roman"/>
                <w:b/>
                <w:sz w:val="18"/>
                <w:szCs w:val="18"/>
              </w:rPr>
            </w:pPr>
            <w:r w:rsidRPr="00551228">
              <w:rPr>
                <w:rFonts w:ascii="Arial Narrow" w:hAnsi="Arial Narrow"/>
                <w:b/>
                <w:sz w:val="18"/>
                <w:szCs w:val="18"/>
              </w:rPr>
              <w:t xml:space="preserve">Prescriber type:  </w:t>
            </w:r>
            <w:r w:rsidRPr="00551228">
              <w:rPr>
                <w:rFonts w:ascii="Arial Narrow" w:hAnsi="Arial Narrow"/>
                <w:sz w:val="18"/>
                <w:szCs w:val="18"/>
              </w:rPr>
              <w:fldChar w:fldCharType="begin">
                <w:ffData>
                  <w:name w:val="Check1"/>
                  <w:enabled/>
                  <w:calcOnExit w:val="0"/>
                  <w:checkBox>
                    <w:sizeAuto/>
                    <w:default w:val="0"/>
                  </w:checkBox>
                </w:ffData>
              </w:fldChar>
            </w:r>
            <w:r w:rsidRPr="0055122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551228">
              <w:rPr>
                <w:rFonts w:ascii="Arial Narrow" w:hAnsi="Arial Narrow"/>
                <w:sz w:val="18"/>
                <w:szCs w:val="18"/>
              </w:rPr>
              <w:fldChar w:fldCharType="end"/>
            </w:r>
            <w:r w:rsidRPr="00551228">
              <w:rPr>
                <w:rFonts w:ascii="Arial Narrow" w:hAnsi="Arial Narrow"/>
                <w:sz w:val="18"/>
                <w:szCs w:val="18"/>
              </w:rPr>
              <w:t xml:space="preserve">Dental  </w:t>
            </w:r>
            <w:r w:rsidRPr="00551228">
              <w:rPr>
                <w:rFonts w:ascii="Arial Narrow" w:hAnsi="Arial Narrow"/>
                <w:sz w:val="18"/>
                <w:szCs w:val="18"/>
              </w:rPr>
              <w:fldChar w:fldCharType="begin">
                <w:ffData>
                  <w:name w:val=""/>
                  <w:enabled/>
                  <w:calcOnExit w:val="0"/>
                  <w:checkBox>
                    <w:sizeAuto/>
                    <w:default w:val="1"/>
                  </w:checkBox>
                </w:ffData>
              </w:fldChar>
            </w:r>
            <w:r w:rsidRPr="0055122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551228">
              <w:rPr>
                <w:rFonts w:ascii="Arial Narrow" w:hAnsi="Arial Narrow"/>
                <w:sz w:val="18"/>
                <w:szCs w:val="18"/>
              </w:rPr>
              <w:fldChar w:fldCharType="end"/>
            </w:r>
            <w:r w:rsidRPr="00551228">
              <w:rPr>
                <w:rFonts w:ascii="Arial Narrow" w:hAnsi="Arial Narrow"/>
                <w:sz w:val="18"/>
                <w:szCs w:val="18"/>
              </w:rPr>
              <w:t xml:space="preserve">Medical Practitioners  </w:t>
            </w:r>
            <w:r w:rsidRPr="00551228">
              <w:rPr>
                <w:rFonts w:ascii="Arial Narrow" w:hAnsi="Arial Narrow"/>
                <w:sz w:val="18"/>
                <w:szCs w:val="18"/>
              </w:rPr>
              <w:fldChar w:fldCharType="begin">
                <w:ffData>
                  <w:name w:val=""/>
                  <w:enabled/>
                  <w:calcOnExit w:val="0"/>
                  <w:checkBox>
                    <w:sizeAuto/>
                    <w:default w:val="0"/>
                  </w:checkBox>
                </w:ffData>
              </w:fldChar>
            </w:r>
            <w:r w:rsidRPr="0055122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551228">
              <w:rPr>
                <w:rFonts w:ascii="Arial Narrow" w:hAnsi="Arial Narrow"/>
                <w:sz w:val="18"/>
                <w:szCs w:val="18"/>
              </w:rPr>
              <w:fldChar w:fldCharType="end"/>
            </w:r>
            <w:r w:rsidRPr="00551228">
              <w:rPr>
                <w:rFonts w:ascii="Arial Narrow" w:hAnsi="Arial Narrow"/>
                <w:sz w:val="18"/>
                <w:szCs w:val="18"/>
              </w:rPr>
              <w:t xml:space="preserve">Nurse practitioners  </w:t>
            </w:r>
            <w:r w:rsidRPr="00551228">
              <w:rPr>
                <w:rFonts w:ascii="Arial Narrow" w:hAnsi="Arial Narrow"/>
                <w:sz w:val="18"/>
                <w:szCs w:val="18"/>
              </w:rPr>
              <w:fldChar w:fldCharType="begin">
                <w:ffData>
                  <w:name w:val=""/>
                  <w:enabled/>
                  <w:calcOnExit w:val="0"/>
                  <w:checkBox>
                    <w:sizeAuto/>
                    <w:default w:val="0"/>
                  </w:checkBox>
                </w:ffData>
              </w:fldChar>
            </w:r>
            <w:r w:rsidRPr="0055122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551228">
              <w:rPr>
                <w:rFonts w:ascii="Arial Narrow" w:hAnsi="Arial Narrow"/>
                <w:sz w:val="18"/>
                <w:szCs w:val="18"/>
              </w:rPr>
              <w:fldChar w:fldCharType="end"/>
            </w:r>
            <w:r w:rsidRPr="00551228">
              <w:rPr>
                <w:rFonts w:ascii="Arial Narrow" w:hAnsi="Arial Narrow"/>
                <w:sz w:val="18"/>
                <w:szCs w:val="18"/>
              </w:rPr>
              <w:t xml:space="preserve">Optometrists </w:t>
            </w:r>
            <w:r w:rsidRPr="00551228">
              <w:rPr>
                <w:rFonts w:ascii="Arial Narrow" w:hAnsi="Arial Narrow"/>
                <w:sz w:val="18"/>
                <w:szCs w:val="18"/>
              </w:rPr>
              <w:fldChar w:fldCharType="begin">
                <w:ffData>
                  <w:name w:val="Check5"/>
                  <w:enabled/>
                  <w:calcOnExit w:val="0"/>
                  <w:checkBox>
                    <w:sizeAuto/>
                    <w:default w:val="0"/>
                  </w:checkBox>
                </w:ffData>
              </w:fldChar>
            </w:r>
            <w:r w:rsidRPr="00551228">
              <w:rPr>
                <w:rFonts w:ascii="Arial Narrow" w:hAnsi="Arial Narrow"/>
                <w:sz w:val="18"/>
                <w:szCs w:val="18"/>
              </w:rPr>
              <w:instrText xml:space="preserve"> FORMCHECKBOX </w:instrText>
            </w:r>
            <w:r w:rsidR="00D6581F">
              <w:rPr>
                <w:rFonts w:ascii="Arial Narrow" w:hAnsi="Arial Narrow"/>
                <w:sz w:val="18"/>
                <w:szCs w:val="18"/>
              </w:rPr>
            </w:r>
            <w:r w:rsidR="00D6581F">
              <w:rPr>
                <w:rFonts w:ascii="Arial Narrow" w:hAnsi="Arial Narrow"/>
                <w:sz w:val="18"/>
                <w:szCs w:val="18"/>
              </w:rPr>
              <w:fldChar w:fldCharType="separate"/>
            </w:r>
            <w:r w:rsidRPr="00551228">
              <w:rPr>
                <w:rFonts w:ascii="Arial Narrow" w:hAnsi="Arial Narrow"/>
                <w:sz w:val="18"/>
                <w:szCs w:val="18"/>
              </w:rPr>
              <w:fldChar w:fldCharType="end"/>
            </w:r>
            <w:r w:rsidRPr="00551228">
              <w:rPr>
                <w:rFonts w:ascii="Arial Narrow" w:hAnsi="Arial Narrow"/>
                <w:sz w:val="18"/>
                <w:szCs w:val="18"/>
              </w:rPr>
              <w:t>Midwives</w:t>
            </w:r>
          </w:p>
        </w:tc>
      </w:tr>
      <w:tr w:rsidR="000104D6" w:rsidRPr="00551228" w:rsidTr="000367ED">
        <w:tc>
          <w:tcPr>
            <w:tcW w:w="838"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rPr>
                <w:rFonts w:ascii="Arial Narrow" w:hAnsi="Arial Narrow" w:cs="Times New Roman"/>
                <w:sz w:val="18"/>
                <w:szCs w:val="18"/>
              </w:rPr>
            </w:pPr>
            <w:r w:rsidRPr="00551228">
              <w:rPr>
                <w:rFonts w:ascii="Arial Narrow" w:hAnsi="Arial Narrow" w:cs="Times New Roman"/>
                <w:b/>
                <w:sz w:val="18"/>
                <w:szCs w:val="18"/>
              </w:rPr>
              <w:t xml:space="preserve">Restriction Level / Method: </w:t>
            </w:r>
            <w:r w:rsidRPr="00551228">
              <w:rPr>
                <w:rFonts w:ascii="Arial Narrow" w:hAnsi="Arial Narrow" w:cs="Times New Roman"/>
                <w:sz w:val="18"/>
                <w:szCs w:val="18"/>
              </w:rPr>
              <w:fldChar w:fldCharType="begin">
                <w:ffData>
                  <w:name w:val=""/>
                  <w:enabled/>
                  <w:calcOnExit w:val="0"/>
                  <w:checkBox>
                    <w:sizeAuto/>
                    <w:default w:val="1"/>
                  </w:checkBox>
                </w:ffData>
              </w:fldChar>
            </w:r>
            <w:r w:rsidRPr="00551228">
              <w:rPr>
                <w:rFonts w:ascii="Arial Narrow" w:hAnsi="Arial Narrow" w:cs="Times New Roman"/>
                <w:sz w:val="18"/>
                <w:szCs w:val="18"/>
              </w:rPr>
              <w:instrText xml:space="preserve"> FORMCHECKBOX </w:instrText>
            </w:r>
            <w:r w:rsidR="00D6581F">
              <w:rPr>
                <w:rFonts w:ascii="Arial Narrow" w:hAnsi="Arial Narrow" w:cs="Times New Roman"/>
                <w:sz w:val="18"/>
                <w:szCs w:val="18"/>
              </w:rPr>
            </w:r>
            <w:r w:rsidR="00D6581F">
              <w:rPr>
                <w:rFonts w:ascii="Arial Narrow" w:hAnsi="Arial Narrow" w:cs="Times New Roman"/>
                <w:sz w:val="18"/>
                <w:szCs w:val="18"/>
              </w:rPr>
              <w:fldChar w:fldCharType="separate"/>
            </w:r>
            <w:r w:rsidRPr="00551228">
              <w:rPr>
                <w:rFonts w:ascii="Arial Narrow" w:hAnsi="Arial Narrow" w:cs="Times New Roman"/>
                <w:sz w:val="18"/>
                <w:szCs w:val="18"/>
              </w:rPr>
              <w:fldChar w:fldCharType="end"/>
            </w:r>
            <w:r w:rsidRPr="00551228">
              <w:rPr>
                <w:rFonts w:ascii="Arial Narrow" w:hAnsi="Arial Narrow" w:cs="Times New Roman"/>
                <w:sz w:val="18"/>
                <w:szCs w:val="18"/>
              </w:rPr>
              <w:t xml:space="preserve">Authority Required – Telephone/electronic </w:t>
            </w:r>
          </w:p>
        </w:tc>
      </w:tr>
      <w:tr w:rsidR="000104D6" w:rsidRPr="00551228" w:rsidTr="000367ED">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 xml:space="preserve">Administrative Advice: TREATMENT OF ADULT PATIENTS WITH MODERATE TO SEVERE ULCERATIVE COLITIS </w:t>
            </w:r>
          </w:p>
        </w:tc>
      </w:tr>
      <w:tr w:rsidR="000104D6" w:rsidRPr="00551228" w:rsidTr="000367ED">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 xml:space="preserve">Administrative Advice: </w:t>
            </w:r>
            <w:r w:rsidRPr="00551228">
              <w:rPr>
                <w:rFonts w:ascii="Arial Narrow" w:hAnsi="Arial Narrow" w:cs="Open Sans"/>
                <w:bCs/>
                <w:sz w:val="18"/>
                <w:szCs w:val="18"/>
                <w:bdr w:val="none" w:sz="0" w:space="0" w:color="auto" w:frame="1"/>
              </w:rPr>
              <w:t>No increase in the maximum quantity or number of units may be authorised.</w:t>
            </w:r>
          </w:p>
        </w:tc>
      </w:tr>
      <w:tr w:rsidR="000104D6" w:rsidRPr="00551228" w:rsidTr="000367ED">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 xml:space="preserve">Administrative Advice: </w:t>
            </w:r>
            <w:r w:rsidRPr="00551228">
              <w:rPr>
                <w:rFonts w:ascii="Arial Narrow" w:hAnsi="Arial Narrow" w:cs="Open Sans"/>
                <w:bCs/>
                <w:sz w:val="18"/>
                <w:szCs w:val="18"/>
                <w:bdr w:val="none" w:sz="0" w:space="0" w:color="auto" w:frame="1"/>
              </w:rPr>
              <w:t>No increase in the maximum number of repeats may be authorised.</w:t>
            </w:r>
          </w:p>
        </w:tc>
      </w:tr>
      <w:tr w:rsidR="000104D6" w:rsidRPr="00551228" w:rsidTr="000367ED">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Administrative Advice:</w:t>
            </w:r>
            <w:r w:rsidRPr="00551228">
              <w:rPr>
                <w:rFonts w:ascii="Arial Narrow" w:hAnsi="Arial Narrow"/>
                <w:sz w:val="18"/>
                <w:szCs w:val="18"/>
              </w:rPr>
              <w:t xml:space="preserve"> </w:t>
            </w:r>
            <w:r w:rsidRPr="00551228">
              <w:rPr>
                <w:rFonts w:ascii="Arial Narrow" w:hAnsi="Arial Narrow" w:cs="Open Sans"/>
                <w:bCs/>
                <w:sz w:val="18"/>
                <w:szCs w:val="18"/>
                <w:bdr w:val="none" w:sz="0" w:space="0" w:color="auto" w:frame="1"/>
              </w:rPr>
              <w:t>Special Pricing Arrangements apply.</w:t>
            </w:r>
          </w:p>
        </w:tc>
      </w:tr>
      <w:tr w:rsidR="000104D6" w:rsidRPr="00551228" w:rsidTr="00FC3BE5">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textAlignment w:val="baseline"/>
              <w:rPr>
                <w:rFonts w:ascii="Arial Narrow" w:hAnsi="Arial Narrow" w:cs="Open Sans"/>
                <w:sz w:val="18"/>
                <w:szCs w:val="18"/>
              </w:rPr>
            </w:pPr>
            <w:r w:rsidRPr="00551228">
              <w:rPr>
                <w:rFonts w:ascii="Arial Narrow" w:hAnsi="Arial Narrow" w:cs="Open Sans"/>
                <w:b/>
                <w:bCs/>
                <w:sz w:val="18"/>
                <w:szCs w:val="18"/>
                <w:bdr w:val="none" w:sz="0" w:space="0" w:color="auto" w:frame="1"/>
              </w:rPr>
              <w:t>Indication:</w:t>
            </w:r>
            <w:r w:rsidRPr="00551228">
              <w:rPr>
                <w:rFonts w:ascii="Arial Narrow" w:hAnsi="Arial Narrow" w:cs="Open Sans"/>
                <w:sz w:val="18"/>
                <w:szCs w:val="18"/>
              </w:rPr>
              <w:t xml:space="preserve"> Moderate to severe ulcerative colitis</w:t>
            </w:r>
          </w:p>
        </w:tc>
      </w:tr>
      <w:tr w:rsidR="000104D6" w:rsidRPr="00551228" w:rsidTr="00FC3BE5">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textAlignment w:val="baseline"/>
              <w:rPr>
                <w:rFonts w:ascii="Arial Narrow" w:hAnsi="Arial Narrow" w:cs="Open Sans"/>
                <w:sz w:val="18"/>
                <w:szCs w:val="18"/>
              </w:rPr>
            </w:pPr>
            <w:r w:rsidRPr="00551228">
              <w:rPr>
                <w:rFonts w:ascii="Arial Narrow" w:hAnsi="Arial Narrow" w:cs="Open Sans"/>
                <w:b/>
                <w:bCs/>
                <w:sz w:val="18"/>
                <w:szCs w:val="18"/>
                <w:bdr w:val="none" w:sz="0" w:space="0" w:color="auto" w:frame="1"/>
              </w:rPr>
              <w:t xml:space="preserve">Treatment Phase: </w:t>
            </w:r>
            <w:r w:rsidRPr="00551228">
              <w:rPr>
                <w:rFonts w:ascii="Arial Narrow" w:hAnsi="Arial Narrow" w:cs="Open Sans"/>
                <w:sz w:val="18"/>
                <w:szCs w:val="18"/>
              </w:rPr>
              <w:t>Continuing treatment or Grandfathered patients - balance of supply</w:t>
            </w:r>
          </w:p>
        </w:tc>
      </w:tr>
      <w:tr w:rsidR="000104D6" w:rsidRPr="00551228" w:rsidTr="00FC3BE5">
        <w:tc>
          <w:tcPr>
            <w:tcW w:w="838"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textAlignment w:val="baseline"/>
              <w:rPr>
                <w:rFonts w:ascii="Arial Narrow" w:hAnsi="Arial Narrow" w:cs="Open Sans"/>
                <w:sz w:val="18"/>
                <w:szCs w:val="18"/>
              </w:rPr>
            </w:pPr>
            <w:r w:rsidRPr="00551228">
              <w:rPr>
                <w:rFonts w:ascii="Arial Narrow" w:hAnsi="Arial Narrow" w:cs="Open Sans"/>
                <w:b/>
                <w:bCs/>
                <w:sz w:val="18"/>
                <w:szCs w:val="18"/>
                <w:bdr w:val="none" w:sz="0" w:space="0" w:color="auto" w:frame="1"/>
              </w:rPr>
              <w:t>Treatment criteria:</w:t>
            </w:r>
          </w:p>
        </w:tc>
      </w:tr>
      <w:tr w:rsidR="000104D6" w:rsidRPr="00551228" w:rsidTr="00FC3BE5">
        <w:tc>
          <w:tcPr>
            <w:tcW w:w="838"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rPr>
                <w:rFonts w:ascii="Arial Narrow" w:hAnsi="Arial Narrow" w:cs="Open Sans"/>
                <w:sz w:val="18"/>
                <w:szCs w:val="18"/>
              </w:rPr>
            </w:pPr>
            <w:r w:rsidRPr="00551228">
              <w:rPr>
                <w:rFonts w:ascii="Arial Narrow" w:hAnsi="Arial Narrow" w:cs="Open Sans"/>
                <w:sz w:val="18"/>
                <w:szCs w:val="18"/>
              </w:rPr>
              <w:t>Must be treated by a gastroenterologist (code 87); or</w:t>
            </w:r>
          </w:p>
        </w:tc>
      </w:tr>
      <w:tr w:rsidR="000104D6" w:rsidRPr="00551228" w:rsidTr="00FC3BE5">
        <w:tc>
          <w:tcPr>
            <w:tcW w:w="838"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rPr>
                <w:rFonts w:ascii="Arial Narrow" w:hAnsi="Arial Narrow" w:cs="Open Sans"/>
                <w:sz w:val="18"/>
                <w:szCs w:val="18"/>
              </w:rPr>
            </w:pPr>
            <w:r w:rsidRPr="00551228">
              <w:rPr>
                <w:rFonts w:ascii="Arial Narrow" w:hAnsi="Arial Narrow" w:cs="Open Sans"/>
                <w:sz w:val="18"/>
                <w:szCs w:val="18"/>
              </w:rPr>
              <w:t>Must be treated by a consultant physician [internal medicine specialising in gastroenterology (code 81)]; or</w:t>
            </w:r>
          </w:p>
        </w:tc>
      </w:tr>
      <w:tr w:rsidR="000104D6" w:rsidRPr="00551228" w:rsidTr="00FC3BE5">
        <w:tc>
          <w:tcPr>
            <w:tcW w:w="838"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rPr>
                <w:rFonts w:ascii="Arial Narrow" w:hAnsi="Arial Narrow" w:cs="Open Sans"/>
                <w:sz w:val="18"/>
                <w:szCs w:val="18"/>
              </w:rPr>
            </w:pPr>
            <w:r w:rsidRPr="00551228">
              <w:rPr>
                <w:rFonts w:ascii="Arial Narrow" w:hAnsi="Arial Narrow" w:cs="Open Sans"/>
                <w:sz w:val="18"/>
                <w:szCs w:val="18"/>
              </w:rPr>
              <w:t>Must be treated by a consultant physician [general medicine specialising in gastroenterology (code 82)]</w:t>
            </w:r>
          </w:p>
        </w:tc>
      </w:tr>
      <w:tr w:rsidR="000104D6" w:rsidRPr="00551228" w:rsidTr="00FC3BE5">
        <w:tc>
          <w:tcPr>
            <w:tcW w:w="838" w:type="pct"/>
            <w:shd w:val="clear" w:color="auto" w:fill="auto"/>
            <w:tcMar>
              <w:top w:w="120" w:type="dxa"/>
              <w:left w:w="240" w:type="dxa"/>
              <w:bottom w:w="120" w:type="dxa"/>
              <w:right w:w="240" w:type="dxa"/>
            </w:tcMar>
          </w:tcPr>
          <w:p w:rsidR="000104D6" w:rsidRPr="00551228" w:rsidRDefault="000104D6" w:rsidP="000079D4">
            <w:pPr>
              <w:jc w:val="left"/>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rPr>
                <w:rFonts w:ascii="Arial Narrow" w:hAnsi="Arial Narrow" w:cs="Open Sans"/>
                <w:sz w:val="18"/>
                <w:szCs w:val="18"/>
              </w:rPr>
            </w:pPr>
            <w:r w:rsidRPr="00551228">
              <w:rPr>
                <w:rFonts w:ascii="Arial Narrow" w:hAnsi="Arial Narrow" w:cs="Open Sans"/>
                <w:b/>
                <w:bCs/>
                <w:sz w:val="18"/>
                <w:szCs w:val="18"/>
                <w:bdr w:val="none" w:sz="0" w:space="0" w:color="auto" w:frame="1"/>
              </w:rPr>
              <w:t>AND</w:t>
            </w:r>
          </w:p>
        </w:tc>
      </w:tr>
      <w:tr w:rsidR="000104D6" w:rsidRPr="00551228" w:rsidTr="00FC3BE5">
        <w:tc>
          <w:tcPr>
            <w:tcW w:w="838" w:type="pct"/>
            <w:shd w:val="clear" w:color="auto" w:fill="auto"/>
            <w:tcMar>
              <w:top w:w="120" w:type="dxa"/>
              <w:left w:w="240" w:type="dxa"/>
              <w:bottom w:w="120" w:type="dxa"/>
              <w:right w:w="240" w:type="dxa"/>
            </w:tcMar>
          </w:tcPr>
          <w:p w:rsidR="000104D6" w:rsidRPr="00551228" w:rsidRDefault="000104D6" w:rsidP="000079D4">
            <w:pPr>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textAlignment w:val="baseline"/>
              <w:rPr>
                <w:rFonts w:ascii="Arial Narrow" w:hAnsi="Arial Narrow" w:cs="Open Sans"/>
                <w:sz w:val="18"/>
                <w:szCs w:val="18"/>
              </w:rPr>
            </w:pPr>
            <w:r w:rsidRPr="00551228">
              <w:rPr>
                <w:rFonts w:ascii="Arial Narrow" w:hAnsi="Arial Narrow" w:cs="Open Sans"/>
                <w:b/>
                <w:bCs/>
                <w:sz w:val="18"/>
                <w:szCs w:val="18"/>
                <w:bdr w:val="none" w:sz="0" w:space="0" w:color="auto" w:frame="1"/>
              </w:rPr>
              <w:t>Clinical criteria:</w:t>
            </w:r>
          </w:p>
        </w:tc>
      </w:tr>
      <w:tr w:rsidR="000104D6" w:rsidRPr="00551228" w:rsidTr="00FC3BE5">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rPr>
                <w:rFonts w:ascii="Arial Narrow" w:hAnsi="Arial Narrow" w:cs="Open Sans"/>
                <w:sz w:val="18"/>
                <w:szCs w:val="18"/>
              </w:rPr>
            </w:pPr>
            <w:r w:rsidRPr="00551228">
              <w:rPr>
                <w:rFonts w:ascii="Arial Narrow" w:hAnsi="Arial Narrow" w:cs="Open Sans"/>
                <w:sz w:val="18"/>
                <w:szCs w:val="18"/>
              </w:rPr>
              <w:t>Patient must have received insufficient therapy with this drug for this condition under the Continuing treatment restriction to complete 24 weeks treatment; or</w:t>
            </w:r>
          </w:p>
        </w:tc>
      </w:tr>
      <w:tr w:rsidR="000104D6" w:rsidRPr="00551228" w:rsidTr="00FC3BE5">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rPr>
                <w:rFonts w:ascii="Arial Narrow" w:hAnsi="Arial Narrow" w:cs="Open Sans"/>
                <w:sz w:val="18"/>
                <w:szCs w:val="18"/>
              </w:rPr>
            </w:pPr>
            <w:r w:rsidRPr="00551228">
              <w:rPr>
                <w:rFonts w:ascii="Arial Narrow" w:hAnsi="Arial Narrow" w:cs="Open Sans"/>
                <w:sz w:val="18"/>
                <w:szCs w:val="18"/>
              </w:rPr>
              <w:t>Patient must have received insufficient therapy with this drug for this condition under the Grandfathered treatment restriction to complete 24 weeks treatment</w:t>
            </w:r>
          </w:p>
        </w:tc>
      </w:tr>
      <w:tr w:rsidR="000104D6" w:rsidRPr="00551228" w:rsidTr="00FC3BE5">
        <w:tc>
          <w:tcPr>
            <w:tcW w:w="838" w:type="pct"/>
            <w:shd w:val="clear" w:color="auto" w:fill="auto"/>
            <w:tcMar>
              <w:top w:w="120" w:type="dxa"/>
              <w:left w:w="240" w:type="dxa"/>
              <w:bottom w:w="120" w:type="dxa"/>
              <w:right w:w="240" w:type="dxa"/>
            </w:tcMar>
          </w:tcPr>
          <w:p w:rsidR="000104D6" w:rsidRPr="00551228" w:rsidRDefault="000104D6" w:rsidP="000079D4">
            <w:pPr>
              <w:jc w:val="left"/>
              <w:textAlignment w:val="baseline"/>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rPr>
                <w:rFonts w:ascii="Arial Narrow" w:hAnsi="Arial Narrow" w:cs="Open Sans"/>
                <w:sz w:val="18"/>
                <w:szCs w:val="18"/>
              </w:rPr>
            </w:pPr>
            <w:r w:rsidRPr="00551228">
              <w:rPr>
                <w:rFonts w:ascii="Arial Narrow" w:hAnsi="Arial Narrow" w:cs="Open Sans"/>
                <w:b/>
                <w:bCs/>
                <w:sz w:val="18"/>
                <w:szCs w:val="18"/>
                <w:bdr w:val="none" w:sz="0" w:space="0" w:color="auto" w:frame="1"/>
              </w:rPr>
              <w:t>AND</w:t>
            </w:r>
          </w:p>
        </w:tc>
      </w:tr>
      <w:tr w:rsidR="000104D6" w:rsidRPr="00551228" w:rsidTr="00FC3BE5">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rPr>
                <w:rFonts w:ascii="Arial Narrow" w:hAnsi="Arial Narrow" w:cs="Open Sans"/>
                <w:sz w:val="18"/>
                <w:szCs w:val="18"/>
              </w:rPr>
            </w:pPr>
            <w:r w:rsidRPr="00551228">
              <w:rPr>
                <w:rFonts w:ascii="Arial Narrow" w:hAnsi="Arial Narrow" w:cs="Open Sans"/>
                <w:b/>
                <w:bCs/>
                <w:sz w:val="18"/>
                <w:szCs w:val="18"/>
                <w:bdr w:val="none" w:sz="0" w:space="0" w:color="auto" w:frame="1"/>
              </w:rPr>
              <w:t>Clinical criteria:</w:t>
            </w:r>
          </w:p>
        </w:tc>
      </w:tr>
      <w:tr w:rsidR="000104D6" w:rsidRPr="00551228" w:rsidTr="00FC3BE5">
        <w:trPr>
          <w:trHeight w:val="25"/>
        </w:trPr>
        <w:tc>
          <w:tcPr>
            <w:tcW w:w="838" w:type="pct"/>
            <w:shd w:val="clear" w:color="auto" w:fill="auto"/>
            <w:tcMar>
              <w:top w:w="120" w:type="dxa"/>
              <w:left w:w="240" w:type="dxa"/>
              <w:bottom w:w="120" w:type="dxa"/>
              <w:right w:w="240" w:type="dxa"/>
            </w:tcMar>
          </w:tcPr>
          <w:p w:rsidR="000104D6" w:rsidRPr="00551228" w:rsidRDefault="000104D6" w:rsidP="000079D4">
            <w:pPr>
              <w:rPr>
                <w:rFonts w:ascii="Arial Narrow" w:hAnsi="Arial Narrow" w:cs="Open Sans"/>
                <w:sz w:val="18"/>
                <w:szCs w:val="18"/>
              </w:rPr>
            </w:pPr>
          </w:p>
        </w:tc>
        <w:tc>
          <w:tcPr>
            <w:tcW w:w="4162" w:type="pct"/>
            <w:shd w:val="clear" w:color="auto" w:fill="auto"/>
            <w:tcMar>
              <w:top w:w="120" w:type="dxa"/>
              <w:left w:w="240" w:type="dxa"/>
              <w:bottom w:w="120" w:type="dxa"/>
              <w:right w:w="240" w:type="dxa"/>
            </w:tcMar>
            <w:hideMark/>
          </w:tcPr>
          <w:p w:rsidR="000104D6" w:rsidRPr="00551228" w:rsidRDefault="000104D6" w:rsidP="000079D4">
            <w:pPr>
              <w:jc w:val="left"/>
              <w:textAlignment w:val="baseline"/>
              <w:rPr>
                <w:rFonts w:ascii="Arial Narrow" w:hAnsi="Arial Narrow" w:cs="Open Sans"/>
                <w:sz w:val="18"/>
                <w:szCs w:val="18"/>
              </w:rPr>
            </w:pPr>
            <w:r w:rsidRPr="00551228">
              <w:rPr>
                <w:rFonts w:ascii="Arial Narrow" w:hAnsi="Arial Narrow" w:cs="Open Sans"/>
                <w:sz w:val="18"/>
                <w:szCs w:val="18"/>
              </w:rPr>
              <w:t>The treatment must provide no more than the balance of up to 24 weeks treatment available under the above restriction</w:t>
            </w:r>
          </w:p>
        </w:tc>
      </w:tr>
      <w:tr w:rsidR="000104D6" w:rsidRPr="00551228" w:rsidTr="00FC3BE5">
        <w:trPr>
          <w:trHeight w:val="291"/>
        </w:trPr>
        <w:tc>
          <w:tcPr>
            <w:tcW w:w="838" w:type="pct"/>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51228" w:rsidRPr="00551228" w:rsidRDefault="00551228" w:rsidP="000079D4">
            <w:pPr>
              <w:jc w:val="left"/>
              <w:textAlignment w:val="baseline"/>
              <w:rPr>
                <w:rFonts w:ascii="Arial Narrow" w:hAnsi="Arial Narrow" w:cs="Open Sans"/>
                <w:sz w:val="18"/>
                <w:szCs w:val="18"/>
              </w:rPr>
            </w:pPr>
          </w:p>
        </w:tc>
        <w:tc>
          <w:tcPr>
            <w:tcW w:w="4162" w:type="pct"/>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hideMark/>
          </w:tcPr>
          <w:p w:rsidR="000104D6" w:rsidRPr="00551228" w:rsidRDefault="000104D6" w:rsidP="000079D4">
            <w:pPr>
              <w:textAlignment w:val="baseline"/>
              <w:rPr>
                <w:rFonts w:ascii="Arial Narrow" w:hAnsi="Arial Narrow" w:cs="Open Sans"/>
                <w:b/>
                <w:bCs/>
                <w:sz w:val="18"/>
                <w:szCs w:val="18"/>
                <w:bdr w:val="none" w:sz="0" w:space="0" w:color="auto" w:frame="1"/>
              </w:rPr>
            </w:pPr>
            <w:r w:rsidRPr="00551228">
              <w:rPr>
                <w:rFonts w:ascii="Arial Narrow" w:hAnsi="Arial Narrow" w:cs="Open Sans"/>
                <w:b/>
                <w:bCs/>
                <w:sz w:val="18"/>
                <w:szCs w:val="18"/>
                <w:bdr w:val="none" w:sz="0" w:space="0" w:color="auto" w:frame="1"/>
              </w:rPr>
              <w:t>Administrative Advice:</w:t>
            </w:r>
          </w:p>
          <w:p w:rsidR="000104D6" w:rsidRPr="00551228" w:rsidRDefault="000104D6" w:rsidP="000079D4">
            <w:pPr>
              <w:jc w:val="left"/>
              <w:textAlignment w:val="baseline"/>
              <w:rPr>
                <w:rFonts w:ascii="Arial Narrow" w:hAnsi="Arial Narrow" w:cs="Open Sans"/>
                <w:sz w:val="18"/>
                <w:szCs w:val="18"/>
              </w:rPr>
            </w:pPr>
            <w:r w:rsidRPr="00551228">
              <w:rPr>
                <w:rFonts w:ascii="Arial Narrow" w:hAnsi="Arial Narrow" w:cs="Open Sans"/>
                <w:bCs/>
                <w:sz w:val="18"/>
                <w:szCs w:val="18"/>
                <w:bdr w:val="none" w:sz="0" w:space="0" w:color="auto" w:frame="1"/>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rsidR="000104D6" w:rsidRPr="002D4988" w:rsidRDefault="000104D6" w:rsidP="000104D6">
      <w:pPr>
        <w:jc w:val="left"/>
        <w:rPr>
          <w:rFonts w:ascii="Arial Narrow" w:hAnsi="Arial Narrow"/>
          <w:i/>
          <w:sz w:val="18"/>
          <w:szCs w:val="18"/>
        </w:rPr>
      </w:pPr>
    </w:p>
    <w:p w:rsidR="000104D6" w:rsidRPr="002D4988" w:rsidRDefault="000104D6" w:rsidP="000104D6">
      <w:pPr>
        <w:jc w:val="left"/>
        <w:rPr>
          <w:rFonts w:ascii="Arial Narrow" w:hAnsi="Arial Narrow"/>
          <w:sz w:val="18"/>
          <w:szCs w:val="18"/>
        </w:rPr>
      </w:pPr>
      <w:r w:rsidRPr="002D4988">
        <w:rPr>
          <w:rFonts w:ascii="Arial Narrow" w:hAnsi="Arial Narrow"/>
          <w:sz w:val="18"/>
          <w:szCs w:val="18"/>
        </w:rPr>
        <w:t xml:space="preserve">Amend overarching note Admin advice </w:t>
      </w:r>
      <w:r w:rsidRPr="002D4988">
        <w:rPr>
          <w:rFonts w:ascii="Arial Narrow" w:hAnsi="Arial Narrow" w:cs="Open Sans"/>
          <w:color w:val="333333"/>
          <w:sz w:val="18"/>
          <w:szCs w:val="18"/>
        </w:rPr>
        <w:t xml:space="preserve">[24855]: </w:t>
      </w:r>
    </w:p>
    <w:p w:rsidR="000104D6" w:rsidRPr="002D4988" w:rsidRDefault="000104D6" w:rsidP="000104D6">
      <w:pPr>
        <w:jc w:val="left"/>
        <w:rPr>
          <w:rFonts w:ascii="Arial Narrow" w:hAnsi="Arial Narrow"/>
          <w: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TREATMENT OF ADULT PATIENTS WITH MODERATE TO SEVERE ULCERATIVE COLITIS</w:t>
      </w:r>
    </w:p>
    <w:p w:rsidR="000104D6" w:rsidRPr="002D4988" w:rsidRDefault="000104D6" w:rsidP="000104D6">
      <w:pPr>
        <w:rPr>
          <w:rFonts w:ascii="Arial Narrow" w:hAnsi="Arial Narrow" w:cstheme="minorHAnsi"/>
          <w:sz w:val="18"/>
          <w:szCs w:val="18"/>
        </w:rPr>
      </w:pPr>
    </w:p>
    <w:p w:rsidR="000104D6" w:rsidRPr="00F057DC" w:rsidRDefault="000104D6" w:rsidP="000104D6">
      <w:pPr>
        <w:rPr>
          <w:rFonts w:ascii="Arial Narrow" w:hAnsi="Arial Narrow" w:cstheme="minorHAnsi"/>
          <w:sz w:val="18"/>
          <w:szCs w:val="18"/>
        </w:rPr>
      </w:pPr>
      <w:r w:rsidRPr="00F057DC">
        <w:rPr>
          <w:rFonts w:ascii="Arial Narrow" w:hAnsi="Arial Narrow" w:cstheme="minorHAnsi"/>
          <w:sz w:val="18"/>
          <w:szCs w:val="18"/>
        </w:rPr>
        <w:t xml:space="preserve">The following information applies to the prescribing under the Pharmaceutical Benefits Scheme (PBS) of adalimumab, golimumab, infliximab, </w:t>
      </w:r>
      <w:r w:rsidRPr="00F057DC">
        <w:rPr>
          <w:rFonts w:ascii="Arial Narrow" w:hAnsi="Arial Narrow" w:cstheme="minorHAnsi"/>
          <w:i/>
          <w:sz w:val="18"/>
          <w:szCs w:val="18"/>
        </w:rPr>
        <w:t>tofacitinib</w:t>
      </w:r>
      <w:r w:rsidRPr="00F057DC">
        <w:rPr>
          <w:rFonts w:ascii="Arial Narrow" w:hAnsi="Arial Narrow" w:cstheme="minorHAnsi"/>
          <w:sz w:val="18"/>
          <w:szCs w:val="18"/>
        </w:rPr>
        <w:t xml:space="preserve"> and vedolizumab for adult patients with ulcerative colitis. Patients are eligible for PBS-subsidised treatment with either adalimumab, golimumab, infliximab</w:t>
      </w:r>
      <w:r w:rsidRPr="00F057DC">
        <w:rPr>
          <w:rFonts w:ascii="Arial Narrow" w:hAnsi="Arial Narrow" w:cstheme="minorHAnsi"/>
          <w:i/>
          <w:sz w:val="18"/>
          <w:szCs w:val="18"/>
        </w:rPr>
        <w:t>, tofacitinib</w:t>
      </w:r>
      <w:r w:rsidRPr="00F057DC">
        <w:rPr>
          <w:rFonts w:ascii="Arial Narrow" w:hAnsi="Arial Narrow" w:cstheme="minorHAnsi"/>
          <w:sz w:val="18"/>
          <w:szCs w:val="18"/>
        </w:rPr>
        <w:t xml:space="preserve"> or vedolizumab at any one time.</w:t>
      </w:r>
    </w:p>
    <w:p w:rsidR="000104D6" w:rsidRPr="00F057DC" w:rsidRDefault="000104D6" w:rsidP="000104D6">
      <w:pPr>
        <w:rPr>
          <w:rFonts w:ascii="Arial Narrow" w:hAnsi="Arial Narrow" w:cstheme="minorHAnsi"/>
          <w:sz w:val="18"/>
          <w:szCs w:val="18"/>
        </w:rPr>
      </w:pPr>
    </w:p>
    <w:p w:rsidR="000104D6" w:rsidRPr="00F057DC" w:rsidRDefault="000104D6" w:rsidP="000104D6">
      <w:pPr>
        <w:rPr>
          <w:rFonts w:ascii="Arial Narrow" w:hAnsi="Arial Narrow" w:cstheme="minorHAnsi"/>
          <w:sz w:val="18"/>
          <w:szCs w:val="18"/>
        </w:rPr>
      </w:pPr>
      <w:r w:rsidRPr="00F057DC">
        <w:rPr>
          <w:rFonts w:ascii="Arial Narrow" w:hAnsi="Arial Narrow" w:cstheme="minorHAnsi"/>
          <w:sz w:val="18"/>
          <w:szCs w:val="18"/>
        </w:rPr>
        <w:t>Where the term 'biological medicine' appears in notes and restrictions, it refers to adalimumab, golimumab, infliximab</w:t>
      </w:r>
      <w:r w:rsidRPr="00F057DC">
        <w:rPr>
          <w:rFonts w:ascii="Arial Narrow" w:hAnsi="Arial Narrow" w:cstheme="minorHAnsi"/>
          <w:i/>
          <w:sz w:val="18"/>
          <w:szCs w:val="18"/>
        </w:rPr>
        <w:t>, tofacitinib</w:t>
      </w:r>
      <w:r w:rsidRPr="00F057DC">
        <w:rPr>
          <w:rFonts w:ascii="Arial Narrow" w:hAnsi="Arial Narrow" w:cstheme="minorHAnsi"/>
          <w:sz w:val="18"/>
          <w:szCs w:val="18"/>
        </w:rPr>
        <w:t xml:space="preserve"> and vedolizumab only.</w:t>
      </w:r>
    </w:p>
    <w:p w:rsidR="000104D6" w:rsidRPr="00F057DC"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F057DC">
        <w:rPr>
          <w:rFonts w:ascii="Arial Narrow" w:hAnsi="Arial Narrow" w:cstheme="minorHAnsi"/>
          <w:sz w:val="18"/>
          <w:szCs w:val="18"/>
        </w:rPr>
        <w:t xml:space="preserve">From </w:t>
      </w:r>
      <w:r w:rsidRPr="00F057DC">
        <w:rPr>
          <w:rFonts w:ascii="Arial Narrow" w:hAnsi="Arial Narrow" w:cstheme="minorHAnsi"/>
          <w:strike/>
          <w:sz w:val="18"/>
          <w:szCs w:val="18"/>
        </w:rPr>
        <w:t xml:space="preserve">1 June 2018 </w:t>
      </w:r>
      <w:r w:rsidRPr="00F057DC">
        <w:rPr>
          <w:rFonts w:ascii="Arial Narrow" w:hAnsi="Arial Narrow" w:cstheme="minorHAnsi"/>
          <w:i/>
          <w:sz w:val="18"/>
          <w:szCs w:val="18"/>
        </w:rPr>
        <w:t>[listing date]</w:t>
      </w:r>
      <w:r w:rsidRPr="00F057DC">
        <w:rPr>
          <w:rFonts w:ascii="Arial Narrow" w:hAnsi="Arial Narrow" w:cstheme="minorHAnsi"/>
          <w:sz w:val="18"/>
          <w:szCs w:val="18"/>
        </w:rPr>
        <w:t xml:space="preserve">, under the PBS, all adult patients will be able </w:t>
      </w:r>
      <w:r w:rsidRPr="002D4988">
        <w:rPr>
          <w:rFonts w:ascii="Arial Narrow" w:hAnsi="Arial Narrow" w:cstheme="minorHAnsi"/>
          <w:sz w:val="18"/>
          <w:szCs w:val="18"/>
        </w:rPr>
        <w:t xml:space="preserve">to commence a treatment cycle where they may trial PBS-subsidised </w:t>
      </w:r>
      <w:r w:rsidRPr="002D4988">
        <w:rPr>
          <w:rFonts w:ascii="Arial Narrow" w:hAnsi="Arial Narrow" w:cstheme="minorHAnsi"/>
          <w:strike/>
          <w:sz w:val="18"/>
          <w:szCs w:val="18"/>
        </w:rPr>
        <w:t>adalimumab, golimumab, infliximab, tofacitinib or vedolizumab</w:t>
      </w:r>
      <w:r w:rsidRPr="002D4988">
        <w:rPr>
          <w:rFonts w:ascii="Arial Narrow" w:hAnsi="Arial Narrow" w:cstheme="minorHAnsi"/>
          <w:sz w:val="18"/>
          <w:szCs w:val="18"/>
        </w:rPr>
        <w:t xml:space="preserve"> biological medicine without having to experience a disease flare when swapping to one of the alternate agents. Under these arrangements, within a single treatment cycle, a patient may continue to receive long-term treatment with </w:t>
      </w:r>
      <w:r w:rsidRPr="002D4988">
        <w:rPr>
          <w:rFonts w:ascii="Arial Narrow" w:hAnsi="Arial Narrow" w:cstheme="minorHAnsi"/>
          <w:strike/>
          <w:sz w:val="18"/>
          <w:szCs w:val="18"/>
        </w:rPr>
        <w:t>adalimumab, golimumab, infliximab or vedolizumab</w:t>
      </w:r>
      <w:r w:rsidRPr="002D4988">
        <w:rPr>
          <w:rFonts w:ascii="Arial Narrow" w:hAnsi="Arial Narrow" w:cstheme="minorHAnsi"/>
          <w:sz w:val="18"/>
          <w:szCs w:val="18"/>
        </w:rPr>
        <w:t xml:space="preserve"> a PBS-subsidised biological medicine while they continue to show a response to therapy.</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F057DC">
        <w:rPr>
          <w:rFonts w:ascii="Arial Narrow" w:hAnsi="Arial Narrow" w:cstheme="minorHAnsi"/>
          <w:sz w:val="18"/>
          <w:szCs w:val="18"/>
        </w:rPr>
        <w:lastRenderedPageBreak/>
        <w:t xml:space="preserve">A patient who received PBS-subsidised </w:t>
      </w:r>
      <w:r w:rsidRPr="00F057DC">
        <w:rPr>
          <w:rFonts w:ascii="Arial Narrow" w:hAnsi="Arial Narrow" w:cstheme="minorHAnsi"/>
          <w:strike/>
          <w:sz w:val="18"/>
          <w:szCs w:val="18"/>
        </w:rPr>
        <w:t>adalimumab, infliximab, vedolizumab</w:t>
      </w:r>
      <w:r w:rsidRPr="00F057DC">
        <w:rPr>
          <w:rFonts w:ascii="Arial Narrow" w:hAnsi="Arial Narrow" w:cstheme="minorHAnsi"/>
          <w:sz w:val="18"/>
          <w:szCs w:val="18"/>
        </w:rPr>
        <w:t xml:space="preserve"> biological medicine treatment prior to </w:t>
      </w:r>
      <w:r w:rsidRPr="00F057DC">
        <w:rPr>
          <w:rFonts w:ascii="Arial Narrow" w:hAnsi="Arial Narrow" w:cstheme="minorHAnsi"/>
          <w:strike/>
          <w:sz w:val="18"/>
          <w:szCs w:val="18"/>
        </w:rPr>
        <w:t xml:space="preserve">1 June 2018 </w:t>
      </w:r>
      <w:r w:rsidRPr="00F057DC">
        <w:rPr>
          <w:rFonts w:ascii="Arial Narrow" w:hAnsi="Arial Narrow" w:cstheme="minorHAnsi"/>
          <w:i/>
          <w:sz w:val="18"/>
          <w:szCs w:val="18"/>
        </w:rPr>
        <w:t>[listing date]</w:t>
      </w:r>
      <w:r w:rsidRPr="00F057DC">
        <w:rPr>
          <w:rFonts w:ascii="Arial Narrow" w:hAnsi="Arial Narrow" w:cstheme="minorHAnsi"/>
          <w:sz w:val="18"/>
          <w:szCs w:val="18"/>
        </w:rPr>
        <w:t xml:space="preserve"> is considered to start their first cycle as of </w:t>
      </w:r>
      <w:r w:rsidRPr="00F057DC">
        <w:rPr>
          <w:rFonts w:ascii="Arial Narrow" w:hAnsi="Arial Narrow" w:cstheme="minorHAnsi"/>
          <w:strike/>
          <w:sz w:val="18"/>
          <w:szCs w:val="18"/>
        </w:rPr>
        <w:t>1 June 2018</w:t>
      </w:r>
      <w:r w:rsidRPr="00F057DC">
        <w:rPr>
          <w:rFonts w:ascii="Arial Narrow" w:hAnsi="Arial Narrow" w:cstheme="minorHAnsi"/>
          <w:i/>
          <w:sz w:val="18"/>
          <w:szCs w:val="18"/>
        </w:rPr>
        <w:t>[listing date]</w:t>
      </w:r>
      <w:r w:rsidRPr="00F057DC">
        <w:rPr>
          <w:rFonts w:ascii="Arial Narrow" w:hAnsi="Arial Narrow" w:cstheme="minorHAnsi"/>
          <w:sz w:val="18"/>
          <w:szCs w:val="18"/>
        </w:rPr>
        <w:t xml:space="preserve">. Within the same treatment cycle, a patient cannot trial and fail, or cease to respond to, the same PBS-subsidised </w:t>
      </w:r>
      <w:r w:rsidRPr="00F057DC">
        <w:rPr>
          <w:rFonts w:ascii="Arial Narrow" w:hAnsi="Arial Narrow" w:cstheme="minorHAnsi"/>
          <w:strike/>
          <w:sz w:val="18"/>
          <w:szCs w:val="18"/>
        </w:rPr>
        <w:t>adalimumab, golimumab, infliximab, tofacitinib or vedolizumab</w:t>
      </w:r>
      <w:r w:rsidRPr="00F057DC">
        <w:rPr>
          <w:rFonts w:ascii="Arial Narrow" w:hAnsi="Arial Narrow" w:cstheme="minorHAnsi"/>
          <w:sz w:val="18"/>
          <w:szCs w:val="18"/>
        </w:rPr>
        <w:t xml:space="preserve"> biological medicine more than once. Once a patient has either failed or ceased to respond to treatment 3 times, they are deemed to have completed a treatment cycle and they must have, at a minimum, a 5-year break in PBS-subsidised therapy before they are eligible to commence the next cycle. The 5-year break is measured from the date of the last approval for PBS-subsidised </w:t>
      </w:r>
      <w:r w:rsidRPr="00F057DC">
        <w:rPr>
          <w:rFonts w:ascii="Arial Narrow" w:hAnsi="Arial Narrow" w:cstheme="minorHAnsi"/>
          <w:strike/>
          <w:sz w:val="18"/>
          <w:szCs w:val="18"/>
        </w:rPr>
        <w:t>adalimumab, golimumab, infliximab</w:t>
      </w:r>
      <w:r w:rsidRPr="002D4988">
        <w:rPr>
          <w:rFonts w:ascii="Arial Narrow" w:hAnsi="Arial Narrow" w:cstheme="minorHAnsi"/>
          <w:strike/>
          <w:sz w:val="18"/>
          <w:szCs w:val="18"/>
        </w:rPr>
        <w:t>, tofacitinib or vedolizumab</w:t>
      </w:r>
      <w:r w:rsidRPr="002D4988">
        <w:rPr>
          <w:rFonts w:ascii="Arial Narrow" w:hAnsi="Arial Narrow" w:cstheme="minorHAnsi"/>
          <w:sz w:val="18"/>
          <w:szCs w:val="18"/>
        </w:rPr>
        <w:t xml:space="preserve"> biological medicine treatment in the most recent cycle to the date of the first application for initial treatment with </w:t>
      </w:r>
      <w:r w:rsidRPr="002D4988">
        <w:rPr>
          <w:rFonts w:ascii="Arial Narrow" w:hAnsi="Arial Narrow" w:cstheme="minorHAnsi"/>
          <w:strike/>
          <w:sz w:val="18"/>
          <w:szCs w:val="18"/>
        </w:rPr>
        <w:t>adalimumab, golimumab, infliximab, tofacitinib or vedolizumab</w:t>
      </w:r>
      <w:r w:rsidRPr="002D4988">
        <w:rPr>
          <w:rFonts w:ascii="Arial Narrow" w:hAnsi="Arial Narrow" w:cstheme="minorHAnsi"/>
          <w:sz w:val="18"/>
          <w:szCs w:val="18"/>
        </w:rPr>
        <w:t xml:space="preserve"> a</w:t>
      </w:r>
      <w:r w:rsidRPr="002D4988">
        <w:t xml:space="preserve"> </w:t>
      </w:r>
      <w:r w:rsidRPr="002D4988">
        <w:rPr>
          <w:rFonts w:ascii="Arial Narrow" w:hAnsi="Arial Narrow" w:cstheme="minorHAnsi"/>
          <w:sz w:val="18"/>
          <w:szCs w:val="18"/>
        </w:rPr>
        <w:t>PBS-subsidised biological medicine under the new treatment cycle.</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i/>
          <w:sz w:val="18"/>
          <w:szCs w:val="18"/>
        </w:rPr>
      </w:pPr>
      <w:r w:rsidRPr="002D4988">
        <w:rPr>
          <w:rFonts w:ascii="Arial Narrow" w:hAnsi="Arial Narrow" w:cstheme="minorHAnsi"/>
          <w:i/>
          <w:sz w:val="18"/>
          <w:szCs w:val="18"/>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rsidR="000104D6" w:rsidRPr="002D4988" w:rsidRDefault="000104D6" w:rsidP="000104D6">
      <w:pPr>
        <w:rPr>
          <w:rFonts w:ascii="Arial Narrow" w:hAnsi="Arial Narrow" w:cstheme="minorHAnsi"/>
          <w: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 xml:space="preserve">A patient who has failed fewer than 3 trials of </w:t>
      </w:r>
      <w:r w:rsidRPr="002D4988">
        <w:rPr>
          <w:rFonts w:ascii="Arial Narrow" w:hAnsi="Arial Narrow" w:cstheme="minorHAnsi"/>
          <w:strike/>
          <w:sz w:val="18"/>
          <w:szCs w:val="18"/>
        </w:rPr>
        <w:t>either adalimumab, golimumab, infliximab, tofacitinib or vedolizumab</w:t>
      </w:r>
      <w:r w:rsidRPr="002D4988">
        <w:rPr>
          <w:rFonts w:ascii="Arial Narrow" w:hAnsi="Arial Narrow" w:cstheme="minorHAnsi"/>
          <w:sz w:val="18"/>
          <w:szCs w:val="18"/>
        </w:rPr>
        <w:t xml:space="preserve"> a biological medicine in a treatment cycle and who has a break in therapy of more than 5 years, may commence a new treatment cycle</w:t>
      </w:r>
      <w:r w:rsidRPr="002D4988">
        <w:t xml:space="preserve"> </w:t>
      </w:r>
      <w:r w:rsidRPr="002D4988">
        <w:rPr>
          <w:rFonts w:ascii="Arial Narrow" w:hAnsi="Arial Narrow" w:cstheme="minorHAnsi"/>
          <w:i/>
          <w:sz w:val="18"/>
          <w:szCs w:val="18"/>
        </w:rPr>
        <w:t>under the Initial 3 treatment restrictions</w:t>
      </w:r>
      <w:r w:rsidRPr="002D4988">
        <w:rPr>
          <w:rFonts w:ascii="Arial Narrow" w:hAnsi="Arial Narrow" w:cstheme="minorHAnsi"/>
          <w:sz w:val="18"/>
          <w:szCs w:val="18"/>
        </w:rPr>
        <w:t>.</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i/>
          <w:sz w:val="18"/>
          <w:szCs w:val="18"/>
        </w:rPr>
      </w:pPr>
      <w:r w:rsidRPr="002D4988">
        <w:rPr>
          <w:rFonts w:ascii="Arial Narrow" w:hAnsi="Arial Narrow" w:cstheme="minorHAnsi"/>
          <w:i/>
          <w:sz w:val="18"/>
          <w:szCs w:val="18"/>
        </w:rPr>
        <w:t>There is no limit to the number of treatment cycles a patient may undertake in their lifetime.</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trike/>
          <w:sz w:val="18"/>
          <w:szCs w:val="18"/>
        </w:rPr>
        <w:t>(1)</w:t>
      </w:r>
      <w:r w:rsidRPr="002D4988">
        <w:rPr>
          <w:rFonts w:ascii="Arial Narrow" w:hAnsi="Arial Narrow" w:cstheme="minorHAnsi"/>
          <w:sz w:val="18"/>
          <w:szCs w:val="18"/>
        </w:rPr>
        <w:t xml:space="preserve"> How to prescribe PBS-subsidised </w:t>
      </w:r>
      <w:r w:rsidRPr="002D4988">
        <w:rPr>
          <w:rFonts w:ascii="Arial Narrow" w:hAnsi="Arial Narrow" w:cstheme="minorHAnsi"/>
          <w:i/>
          <w:sz w:val="18"/>
          <w:szCs w:val="18"/>
        </w:rPr>
        <w:t>biological</w:t>
      </w:r>
      <w:r w:rsidRPr="002D4988">
        <w:rPr>
          <w:rFonts w:ascii="Arial Narrow" w:hAnsi="Arial Narrow" w:cstheme="minorHAnsi"/>
          <w:sz w:val="18"/>
          <w:szCs w:val="18"/>
        </w:rPr>
        <w:t xml:space="preserve"> </w:t>
      </w:r>
      <w:r w:rsidRPr="002D4988">
        <w:rPr>
          <w:rFonts w:ascii="Arial Narrow" w:hAnsi="Arial Narrow" w:cstheme="minorHAnsi"/>
          <w:i/>
          <w:sz w:val="18"/>
          <w:szCs w:val="18"/>
        </w:rPr>
        <w:t>medicine</w:t>
      </w:r>
      <w:r w:rsidRPr="002D4988">
        <w:rPr>
          <w:rFonts w:ascii="Arial Narrow" w:hAnsi="Arial Narrow" w:cstheme="minorHAnsi"/>
          <w:sz w:val="18"/>
          <w:szCs w:val="18"/>
        </w:rPr>
        <w:t xml:space="preserve"> treatment </w:t>
      </w:r>
      <w:r w:rsidRPr="002D4988">
        <w:rPr>
          <w:rFonts w:ascii="Arial Narrow" w:hAnsi="Arial Narrow" w:cstheme="minorHAnsi"/>
          <w:strike/>
          <w:sz w:val="18"/>
          <w:szCs w:val="18"/>
        </w:rPr>
        <w:t>with adalimumab, golimumab, infliximab, tofacitinib and vedolizumab</w:t>
      </w:r>
      <w:r w:rsidRPr="002D4988">
        <w:rPr>
          <w:rFonts w:ascii="Arial Narrow" w:hAnsi="Arial Narrow" w:cstheme="minorHAnsi"/>
          <w:sz w:val="18"/>
          <w:szCs w:val="18"/>
        </w:rPr>
        <w:t xml:space="preserve"> after </w:t>
      </w:r>
      <w:r w:rsidRPr="002D4988">
        <w:rPr>
          <w:rFonts w:ascii="Arial Narrow" w:hAnsi="Arial Narrow" w:cstheme="minorHAnsi"/>
          <w:strike/>
          <w:sz w:val="18"/>
          <w:szCs w:val="18"/>
        </w:rPr>
        <w:t xml:space="preserve">1 June </w:t>
      </w:r>
      <w:r w:rsidRPr="00F057DC">
        <w:rPr>
          <w:rFonts w:ascii="Arial Narrow" w:hAnsi="Arial Narrow" w:cstheme="minorHAnsi"/>
          <w:strike/>
          <w:sz w:val="18"/>
          <w:szCs w:val="18"/>
        </w:rPr>
        <w:t>2018</w:t>
      </w:r>
      <w:r w:rsidRPr="00F057DC">
        <w:rPr>
          <w:rFonts w:ascii="Arial Narrow" w:hAnsi="Arial Narrow" w:cstheme="minorHAnsi"/>
          <w:i/>
          <w:sz w:val="18"/>
          <w:szCs w:val="18"/>
        </w:rPr>
        <w:t>[listing date]</w:t>
      </w:r>
      <w:r w:rsidRPr="00F057DC">
        <w:rPr>
          <w:rFonts w:ascii="Arial Narrow" w:hAnsi="Arial Narrow" w:cstheme="minorHAnsi"/>
          <w:sz w:val="18"/>
          <w:szCs w:val="18"/>
        </w:rPr>
        <w:t>.</w:t>
      </w:r>
    </w:p>
    <w:p w:rsidR="000104D6" w:rsidRPr="002D4988" w:rsidRDefault="000104D6" w:rsidP="000104D6">
      <w:pPr>
        <w:rPr>
          <w:rFonts w:ascii="Arial Narrow" w:hAnsi="Arial Narrow" w:cstheme="minorHAnsi"/>
          <w:sz w:val="18"/>
          <w:szCs w:val="18"/>
        </w:rPr>
      </w:pPr>
    </w:p>
    <w:p w:rsidR="000104D6" w:rsidRPr="002D4988" w:rsidRDefault="000104D6" w:rsidP="000104D6">
      <w:pPr>
        <w:pStyle w:val="ListParagraph"/>
        <w:widowControl w:val="0"/>
        <w:numPr>
          <w:ilvl w:val="0"/>
          <w:numId w:val="28"/>
        </w:numPr>
        <w:spacing w:after="0"/>
        <w:contextualSpacing/>
        <w:rPr>
          <w:rFonts w:ascii="Arial Narrow" w:hAnsi="Arial Narrow" w:cstheme="minorHAnsi"/>
          <w:sz w:val="18"/>
          <w:szCs w:val="18"/>
        </w:rPr>
      </w:pPr>
      <w:r w:rsidRPr="002D4988">
        <w:rPr>
          <w:rFonts w:ascii="Arial Narrow" w:hAnsi="Arial Narrow" w:cstheme="minorHAnsi"/>
          <w:sz w:val="18"/>
          <w:szCs w:val="18"/>
        </w:rPr>
        <w:t>Initial treatment.</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Applications for initial treatment should be made where:</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 xml:space="preserve">(i) an adult patient has not received </w:t>
      </w:r>
      <w:r w:rsidRPr="002D4988">
        <w:rPr>
          <w:rFonts w:ascii="Arial Narrow" w:hAnsi="Arial Narrow" w:cstheme="minorHAnsi"/>
          <w:strike/>
          <w:sz w:val="18"/>
          <w:szCs w:val="18"/>
        </w:rPr>
        <w:t>no</w:t>
      </w:r>
      <w:r w:rsidRPr="002D4988">
        <w:rPr>
          <w:rFonts w:ascii="Arial Narrow" w:hAnsi="Arial Narrow" w:cstheme="minorHAnsi"/>
          <w:sz w:val="18"/>
          <w:szCs w:val="18"/>
        </w:rPr>
        <w:t xml:space="preserve"> prior PBS-subsidised biological medicine treatment </w:t>
      </w:r>
      <w:r w:rsidRPr="002D4988">
        <w:rPr>
          <w:rFonts w:ascii="Arial Narrow" w:hAnsi="Arial Narrow" w:cstheme="minorHAnsi"/>
          <w:strike/>
          <w:sz w:val="18"/>
          <w:szCs w:val="18"/>
        </w:rPr>
        <w:t>with adalimumab, golimumab, infliximab, tofacitinib or vedolizumab in this treatment cycle</w:t>
      </w:r>
      <w:r w:rsidRPr="002D4988">
        <w:rPr>
          <w:rFonts w:ascii="Arial Narrow" w:hAnsi="Arial Narrow" w:cstheme="minorHAnsi"/>
          <w:sz w:val="18"/>
          <w:szCs w:val="18"/>
        </w:rPr>
        <w:t xml:space="preserve"> and wishes to commence such therapy (Initial 1 - New patient </w:t>
      </w:r>
      <w:r w:rsidRPr="002D4988">
        <w:rPr>
          <w:rFonts w:ascii="Arial Narrow" w:hAnsi="Arial Narrow" w:cstheme="minorHAnsi"/>
          <w:strike/>
          <w:sz w:val="18"/>
          <w:szCs w:val="18"/>
        </w:rPr>
        <w:t>or recommencement of treatment after more than 5 years break in therapy</w:t>
      </w:r>
      <w:r w:rsidRPr="002D4988">
        <w:rPr>
          <w:rFonts w:ascii="Arial Narrow" w:hAnsi="Arial Narrow" w:cstheme="minorHAnsi"/>
          <w:sz w:val="18"/>
          <w:szCs w:val="18"/>
        </w:rPr>
        <w:t>); or</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 xml:space="preserve">(ii) an adult patient has received prior PBS-subsidised </w:t>
      </w:r>
      <w:r w:rsidRPr="002D4988">
        <w:rPr>
          <w:rFonts w:ascii="Arial Narrow" w:hAnsi="Arial Narrow" w:cstheme="minorHAnsi"/>
          <w:i/>
          <w:sz w:val="18"/>
          <w:szCs w:val="18"/>
        </w:rPr>
        <w:t>biological medicine therapy</w:t>
      </w:r>
      <w:r w:rsidRPr="002D4988">
        <w:rPr>
          <w:rFonts w:ascii="Arial Narrow" w:hAnsi="Arial Narrow" w:cstheme="minorHAnsi"/>
          <w:sz w:val="18"/>
          <w:szCs w:val="18"/>
        </w:rPr>
        <w:t xml:space="preserve"> (initial or continuing) </w:t>
      </w:r>
      <w:r w:rsidRPr="002D4988">
        <w:rPr>
          <w:rFonts w:ascii="Arial Narrow" w:hAnsi="Arial Narrow" w:cstheme="minorHAnsi"/>
          <w:strike/>
          <w:sz w:val="18"/>
          <w:szCs w:val="18"/>
        </w:rPr>
        <w:t>adalimumab, golimumab, infliximab, tofacitinib or vedolizumab</w:t>
      </w:r>
      <w:r w:rsidRPr="002D4988">
        <w:rPr>
          <w:rFonts w:ascii="Arial Narrow" w:hAnsi="Arial Narrow" w:cstheme="minorHAnsi"/>
          <w:sz w:val="18"/>
          <w:szCs w:val="18"/>
        </w:rPr>
        <w:t xml:space="preserve"> </w:t>
      </w:r>
      <w:r w:rsidRPr="002D4988">
        <w:rPr>
          <w:rFonts w:ascii="Arial Narrow" w:hAnsi="Arial Narrow" w:cstheme="minorHAnsi"/>
          <w:strike/>
          <w:sz w:val="18"/>
          <w:szCs w:val="18"/>
        </w:rPr>
        <w:t xml:space="preserve">therapy </w:t>
      </w:r>
      <w:r w:rsidRPr="002D4988">
        <w:rPr>
          <w:rFonts w:ascii="Arial Narrow" w:hAnsi="Arial Narrow" w:cstheme="minorHAnsi"/>
          <w:sz w:val="18"/>
          <w:szCs w:val="18"/>
        </w:rPr>
        <w:t xml:space="preserve">and wishes to trial an alternate </w:t>
      </w:r>
      <w:r w:rsidRPr="002D4988">
        <w:rPr>
          <w:rFonts w:ascii="Arial Narrow" w:hAnsi="Arial Narrow" w:cstheme="minorHAnsi"/>
          <w:strike/>
          <w:sz w:val="18"/>
          <w:szCs w:val="18"/>
        </w:rPr>
        <w:t>agent</w:t>
      </w:r>
      <w:r w:rsidRPr="002D4988">
        <w:rPr>
          <w:rFonts w:ascii="Arial Narrow" w:hAnsi="Arial Narrow" w:cstheme="minorHAnsi"/>
          <w:sz w:val="18"/>
          <w:szCs w:val="18"/>
        </w:rPr>
        <w:t xml:space="preserve"> </w:t>
      </w:r>
      <w:r w:rsidRPr="002D4988">
        <w:rPr>
          <w:rFonts w:ascii="Arial Narrow" w:hAnsi="Arial Narrow" w:cstheme="minorHAnsi"/>
          <w:i/>
          <w:sz w:val="18"/>
          <w:szCs w:val="18"/>
        </w:rPr>
        <w:t>medicine</w:t>
      </w:r>
      <w:r w:rsidRPr="002D4988">
        <w:rPr>
          <w:rFonts w:ascii="Arial Narrow" w:hAnsi="Arial Narrow" w:cstheme="minorHAnsi"/>
          <w:sz w:val="18"/>
          <w:szCs w:val="18"/>
        </w:rPr>
        <w:t xml:space="preserve"> (Initial 2 - Change or Re-commencement of treatment after a break in </w:t>
      </w:r>
      <w:r w:rsidRPr="002D4988">
        <w:rPr>
          <w:rFonts w:ascii="Arial Narrow" w:hAnsi="Arial Narrow" w:cstheme="minorHAnsi"/>
          <w:i/>
          <w:sz w:val="18"/>
          <w:szCs w:val="18"/>
        </w:rPr>
        <w:t>biological medicine</w:t>
      </w:r>
      <w:r w:rsidRPr="002D4988">
        <w:rPr>
          <w:rFonts w:ascii="Arial Narrow" w:hAnsi="Arial Narrow" w:cstheme="minorHAnsi"/>
          <w:sz w:val="18"/>
          <w:szCs w:val="18"/>
        </w:rPr>
        <w:t xml:space="preserve"> therapy of less than 5 years) [further details are under 'Swapping therapy' below]; or</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 xml:space="preserve">(iii) an adult patient wishes to re-commence treatment with </w:t>
      </w:r>
      <w:r w:rsidRPr="002D4988">
        <w:rPr>
          <w:rFonts w:ascii="Arial Narrow" w:hAnsi="Arial Narrow" w:cstheme="minorHAnsi"/>
          <w:strike/>
          <w:sz w:val="18"/>
          <w:szCs w:val="18"/>
        </w:rPr>
        <w:t>adalimumab, golimumab, infliximab, tofacitinib or vedolizumab</w:t>
      </w:r>
      <w:r w:rsidRPr="002D4988">
        <w:rPr>
          <w:rFonts w:ascii="Arial Narrow" w:hAnsi="Arial Narrow" w:cstheme="minorHAnsi"/>
          <w:sz w:val="18"/>
          <w:szCs w:val="18"/>
        </w:rPr>
        <w:t xml:space="preserve"> </w:t>
      </w:r>
      <w:r w:rsidRPr="002D4988">
        <w:rPr>
          <w:rFonts w:ascii="Arial Narrow" w:hAnsi="Arial Narrow" w:cstheme="minorHAnsi"/>
          <w:i/>
          <w:sz w:val="18"/>
          <w:szCs w:val="18"/>
        </w:rPr>
        <w:t>a specific biological medicine</w:t>
      </w:r>
      <w:r w:rsidRPr="002D4988">
        <w:rPr>
          <w:rFonts w:ascii="Arial Narrow" w:hAnsi="Arial Narrow" w:cstheme="minorHAnsi"/>
          <w:sz w:val="18"/>
          <w:szCs w:val="18"/>
        </w:rPr>
        <w:t xml:space="preserve"> following a break in PBS-subsidised therapy </w:t>
      </w:r>
      <w:r w:rsidRPr="002D4988">
        <w:rPr>
          <w:rFonts w:ascii="Arial Narrow" w:hAnsi="Arial Narrow" w:cstheme="minorHAnsi"/>
          <w:i/>
          <w:sz w:val="18"/>
          <w:szCs w:val="18"/>
        </w:rPr>
        <w:t>of less than 5 years</w:t>
      </w:r>
      <w:r w:rsidRPr="002D4988">
        <w:rPr>
          <w:rFonts w:ascii="Arial Narrow" w:hAnsi="Arial Narrow" w:cstheme="minorHAnsi"/>
          <w:sz w:val="18"/>
          <w:szCs w:val="18"/>
        </w:rPr>
        <w:t xml:space="preserve"> with the same agent (Initial 2 - Change or Re-commencement of treatment after a break in </w:t>
      </w:r>
      <w:r w:rsidRPr="002D4988">
        <w:rPr>
          <w:rFonts w:ascii="Arial Narrow" w:hAnsi="Arial Narrow" w:cstheme="minorHAnsi"/>
          <w:i/>
          <w:sz w:val="18"/>
          <w:szCs w:val="18"/>
        </w:rPr>
        <w:t>biological medicine</w:t>
      </w:r>
      <w:r w:rsidRPr="002D4988">
        <w:rPr>
          <w:rFonts w:ascii="Arial Narrow" w:hAnsi="Arial Narrow" w:cstheme="minorHAnsi"/>
          <w:sz w:val="18"/>
          <w:szCs w:val="18"/>
        </w:rPr>
        <w:t xml:space="preserve"> therapy of less than 5 years)</w:t>
      </w:r>
      <w:r w:rsidRPr="002D4988">
        <w:rPr>
          <w:rFonts w:ascii="Arial Narrow" w:hAnsi="Arial Narrow" w:cstheme="minorHAnsi"/>
          <w:strike/>
          <w:sz w:val="18"/>
          <w:szCs w:val="18"/>
        </w:rPr>
        <w:t>.</w:t>
      </w:r>
      <w:r w:rsidRPr="002D4988">
        <w:t xml:space="preserve"> </w:t>
      </w:r>
      <w:r w:rsidRPr="002D4988">
        <w:rPr>
          <w:rFonts w:ascii="Arial Narrow" w:hAnsi="Arial Narrow" w:cstheme="minorHAnsi"/>
          <w:i/>
          <w:sz w:val="18"/>
          <w:szCs w:val="18"/>
        </w:rPr>
        <w:t>; or</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i/>
          <w:sz w:val="18"/>
          <w:szCs w:val="18"/>
        </w:rPr>
      </w:pPr>
      <w:r w:rsidRPr="002D4988">
        <w:rPr>
          <w:rFonts w:ascii="Arial Narrow" w:hAnsi="Arial Narrow" w:cstheme="minorHAnsi"/>
          <w:i/>
          <w:sz w:val="18"/>
          <w:szCs w:val="18"/>
        </w:rPr>
        <w:t>(iv) an adult patient wishes to recommence treatment with a biological medicine following a break in PBS-subsidised therapy of more than 5 years (Initial 3 - recommencement of treatment after a break in biological medicine of more than 5 years).</w:t>
      </w:r>
    </w:p>
    <w:p w:rsidR="000104D6" w:rsidRPr="002D4988" w:rsidRDefault="000104D6" w:rsidP="000104D6">
      <w:pPr>
        <w:rPr>
          <w:rFonts w:ascii="Arial Narrow" w:hAnsi="Arial Narrow" w:cstheme="minorHAnsi"/>
          <w:sz w:val="18"/>
          <w:szCs w:val="18"/>
        </w:rPr>
      </w:pPr>
    </w:p>
    <w:p w:rsidR="000104D6" w:rsidRPr="00F057DC" w:rsidRDefault="000104D6" w:rsidP="000104D6">
      <w:pPr>
        <w:rPr>
          <w:rFonts w:ascii="Arial Narrow" w:hAnsi="Arial Narrow" w:cstheme="minorHAnsi"/>
          <w:sz w:val="18"/>
          <w:szCs w:val="18"/>
        </w:rPr>
      </w:pPr>
      <w:r w:rsidRPr="00F057DC">
        <w:rPr>
          <w:rFonts w:ascii="Arial Narrow" w:hAnsi="Arial Narrow" w:cstheme="minorHAnsi"/>
          <w:sz w:val="18"/>
          <w:szCs w:val="18"/>
        </w:rPr>
        <w:t>Treatment authorisations under Initial 1</w:t>
      </w:r>
      <w:r w:rsidRPr="00F057DC">
        <w:rPr>
          <w:rFonts w:ascii="Arial Narrow" w:hAnsi="Arial Narrow" w:cstheme="minorHAnsi"/>
          <w:i/>
          <w:sz w:val="18"/>
          <w:szCs w:val="18"/>
        </w:rPr>
        <w:t>,</w:t>
      </w:r>
      <w:r w:rsidRPr="00F057DC">
        <w:rPr>
          <w:rFonts w:ascii="Arial Narrow" w:hAnsi="Arial Narrow" w:cstheme="minorHAnsi"/>
          <w:sz w:val="18"/>
          <w:szCs w:val="18"/>
        </w:rPr>
        <w:t xml:space="preserve"> </w:t>
      </w:r>
      <w:r w:rsidRPr="00F057DC">
        <w:rPr>
          <w:rFonts w:ascii="Arial Narrow" w:hAnsi="Arial Narrow" w:cstheme="minorHAnsi"/>
          <w:strike/>
          <w:sz w:val="18"/>
          <w:szCs w:val="18"/>
        </w:rPr>
        <w:t>and</w:t>
      </w:r>
      <w:r w:rsidRPr="00F057DC">
        <w:rPr>
          <w:rFonts w:ascii="Arial Narrow" w:hAnsi="Arial Narrow" w:cstheme="minorHAnsi"/>
          <w:sz w:val="18"/>
          <w:szCs w:val="18"/>
        </w:rPr>
        <w:t xml:space="preserve"> Initial 2 </w:t>
      </w:r>
      <w:r w:rsidRPr="00F057DC">
        <w:rPr>
          <w:rFonts w:ascii="Arial Narrow" w:hAnsi="Arial Narrow" w:cstheme="minorHAnsi"/>
          <w:i/>
          <w:sz w:val="18"/>
          <w:szCs w:val="18"/>
        </w:rPr>
        <w:t>and Initial 3</w:t>
      </w:r>
      <w:r w:rsidRPr="00F057DC">
        <w:rPr>
          <w:rFonts w:ascii="Arial Narrow" w:hAnsi="Arial Narrow" w:cstheme="minorHAnsi"/>
          <w:sz w:val="18"/>
          <w:szCs w:val="18"/>
        </w:rPr>
        <w:t xml:space="preserve"> will be limited to provide for a maximum of 16 weeks of therapy for adalimumab </w:t>
      </w:r>
      <w:r w:rsidRPr="00F057DC">
        <w:rPr>
          <w:rFonts w:ascii="Arial Narrow" w:hAnsi="Arial Narrow" w:cstheme="minorHAnsi"/>
          <w:i/>
          <w:sz w:val="18"/>
          <w:szCs w:val="18"/>
        </w:rPr>
        <w:t>and tofacitinib</w:t>
      </w:r>
      <w:r w:rsidRPr="00F057DC">
        <w:rPr>
          <w:rFonts w:ascii="Arial Narrow" w:hAnsi="Arial Narrow" w:cstheme="minorHAnsi"/>
          <w:sz w:val="18"/>
          <w:szCs w:val="18"/>
        </w:rPr>
        <w:t>, 14 weeks of therapy for golimumab, infliximab and vedolizumab.</w:t>
      </w:r>
    </w:p>
    <w:p w:rsidR="000104D6" w:rsidRPr="00F057DC" w:rsidRDefault="000104D6" w:rsidP="000104D6">
      <w:pPr>
        <w:rPr>
          <w:rFonts w:ascii="Arial Narrow" w:hAnsi="Arial Narrow" w:cstheme="minorHAnsi"/>
          <w:sz w:val="18"/>
          <w:szCs w:val="18"/>
        </w:rPr>
      </w:pPr>
    </w:p>
    <w:p w:rsidR="000104D6" w:rsidRPr="00F057DC" w:rsidRDefault="000104D6" w:rsidP="000104D6">
      <w:pPr>
        <w:rPr>
          <w:rFonts w:ascii="Arial Narrow" w:hAnsi="Arial Narrow" w:cstheme="minorHAnsi"/>
          <w:sz w:val="18"/>
          <w:szCs w:val="18"/>
        </w:rPr>
      </w:pPr>
      <w:r w:rsidRPr="00F057DC">
        <w:rPr>
          <w:rFonts w:ascii="Arial Narrow" w:hAnsi="Arial Narrow" w:cstheme="minorHAnsi"/>
          <w:sz w:val="18"/>
          <w:szCs w:val="18"/>
        </w:rPr>
        <w:t>A patient must be assessed for response to a course of initial PBS-subsidised treatment following a minimum of 12 weeks of treatment for adalimumab and up to 12 weeks after the first dose (6 weeks following the third dose) for golimumab, infliximab</w:t>
      </w:r>
      <w:r w:rsidRPr="00F057DC">
        <w:rPr>
          <w:rFonts w:ascii="Arial Narrow" w:hAnsi="Arial Narrow" w:cstheme="minorHAnsi"/>
          <w:i/>
          <w:sz w:val="18"/>
          <w:szCs w:val="18"/>
        </w:rPr>
        <w:t>, tofacitinib</w:t>
      </w:r>
      <w:r w:rsidRPr="00F057DC">
        <w:rPr>
          <w:rFonts w:ascii="Arial Narrow" w:hAnsi="Arial Narrow" w:cstheme="minorHAnsi"/>
          <w:sz w:val="18"/>
          <w:szCs w:val="18"/>
        </w:rPr>
        <w:t xml:space="preserve"> and vedolizumab. For second and subsequent courses of PBS-subsidised biological medicine treatment, it is recommended that a patient is reviewed in the </w:t>
      </w:r>
      <w:r w:rsidRPr="00F057DC">
        <w:rPr>
          <w:rFonts w:ascii="Arial Narrow" w:hAnsi="Arial Narrow" w:cstheme="minorHAnsi"/>
          <w:strike/>
          <w:sz w:val="18"/>
          <w:szCs w:val="18"/>
        </w:rPr>
        <w:t>month</w:t>
      </w:r>
      <w:r w:rsidRPr="00F057DC">
        <w:rPr>
          <w:rFonts w:ascii="Arial Narrow" w:hAnsi="Arial Narrow" w:cstheme="minorHAnsi"/>
          <w:sz w:val="18"/>
          <w:szCs w:val="18"/>
        </w:rPr>
        <w:t xml:space="preserve"> </w:t>
      </w:r>
      <w:r w:rsidRPr="00F057DC">
        <w:rPr>
          <w:rFonts w:ascii="Arial Narrow" w:hAnsi="Arial Narrow" w:cstheme="minorHAnsi"/>
          <w:i/>
          <w:sz w:val="18"/>
          <w:szCs w:val="18"/>
        </w:rPr>
        <w:t>4 weeks</w:t>
      </w:r>
      <w:r w:rsidRPr="00F057DC">
        <w:rPr>
          <w:rFonts w:ascii="Arial Narrow" w:hAnsi="Arial Narrow" w:cstheme="minorHAnsi"/>
          <w:sz w:val="18"/>
          <w:szCs w:val="18"/>
        </w:rPr>
        <w:t xml:space="preserve"> prior to completing their current course of treatment.</w:t>
      </w:r>
    </w:p>
    <w:p w:rsidR="000104D6" w:rsidRPr="00F057DC"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trike/>
          <w:sz w:val="18"/>
          <w:szCs w:val="18"/>
        </w:rPr>
        <w:t>(b)</w:t>
      </w:r>
      <w:r w:rsidRPr="002D4988">
        <w:rPr>
          <w:rFonts w:ascii="Arial Narrow" w:hAnsi="Arial Narrow" w:cstheme="minorHAnsi"/>
          <w:sz w:val="18"/>
          <w:szCs w:val="18"/>
        </w:rPr>
        <w:t xml:space="preserve"> </w:t>
      </w:r>
      <w:r w:rsidRPr="002D4988">
        <w:rPr>
          <w:rFonts w:ascii="Arial Narrow" w:hAnsi="Arial Narrow" w:cstheme="minorHAnsi"/>
          <w:i/>
          <w:sz w:val="18"/>
          <w:szCs w:val="18"/>
        </w:rPr>
        <w:t>(2)</w:t>
      </w:r>
      <w:r w:rsidRPr="002D4988">
        <w:rPr>
          <w:rFonts w:ascii="Arial Narrow" w:hAnsi="Arial Narrow" w:cstheme="minorHAnsi"/>
          <w:sz w:val="18"/>
          <w:szCs w:val="18"/>
        </w:rPr>
        <w:t xml:space="preserve"> Continuing treatment.</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 xml:space="preserve">Following the completion of an initial treatment course with </w:t>
      </w:r>
      <w:r w:rsidRPr="002D4988">
        <w:rPr>
          <w:rFonts w:ascii="Arial Narrow" w:hAnsi="Arial Narrow" w:cstheme="minorHAnsi"/>
          <w:strike/>
          <w:sz w:val="18"/>
          <w:szCs w:val="18"/>
        </w:rPr>
        <w:t>adalimumab, golimumab, infliximab, tofacitinib or vedolizumab</w:t>
      </w:r>
      <w:r w:rsidRPr="002D4988">
        <w:rPr>
          <w:rFonts w:ascii="Arial Narrow" w:hAnsi="Arial Narrow" w:cstheme="minorHAnsi"/>
          <w:sz w:val="18"/>
          <w:szCs w:val="18"/>
        </w:rPr>
        <w:t xml:space="preserve"> </w:t>
      </w:r>
      <w:r w:rsidRPr="002D4988">
        <w:rPr>
          <w:rFonts w:ascii="Arial Narrow" w:hAnsi="Arial Narrow" w:cstheme="minorHAnsi"/>
          <w:i/>
          <w:sz w:val="18"/>
          <w:szCs w:val="18"/>
        </w:rPr>
        <w:t>a specific biological medicine,</w:t>
      </w:r>
      <w:r w:rsidRPr="002D4988">
        <w:rPr>
          <w:rFonts w:ascii="Arial Narrow" w:hAnsi="Arial Narrow" w:cstheme="minorHAnsi"/>
          <w:sz w:val="18"/>
          <w:szCs w:val="18"/>
        </w:rPr>
        <w:t xml:space="preserve"> a patient may qualify to receive up to 24 weeks of continuing treatment with that drug providing they have demonstrated an adequate response to treatment. The patient remains eligible to receive continuing treatment with the same drug in courses of up to 24 weeks providing they continue to sustain the response. </w:t>
      </w:r>
    </w:p>
    <w:p w:rsidR="000104D6" w:rsidRPr="002D4988" w:rsidRDefault="000104D6" w:rsidP="000104D6">
      <w:pPr>
        <w:rPr>
          <w:rFonts w:ascii="Arial Narrow" w:hAnsi="Arial Narrow" w:cstheme="minorHAnsi"/>
          <w:sz w:val="18"/>
          <w:szCs w:val="18"/>
        </w:rPr>
      </w:pPr>
    </w:p>
    <w:p w:rsidR="000104D6" w:rsidRPr="00F057DC" w:rsidRDefault="000104D6" w:rsidP="000104D6">
      <w:pPr>
        <w:rPr>
          <w:rFonts w:ascii="Arial Narrow" w:hAnsi="Arial Narrow" w:cstheme="minorHAnsi"/>
          <w:i/>
          <w:sz w:val="18"/>
          <w:szCs w:val="18"/>
        </w:rPr>
      </w:pPr>
      <w:r w:rsidRPr="00F057DC">
        <w:rPr>
          <w:rFonts w:ascii="Arial Narrow" w:hAnsi="Arial Narrow" w:cstheme="minorHAnsi"/>
          <w:sz w:val="18"/>
          <w:szCs w:val="18"/>
        </w:rPr>
        <w:t xml:space="preserve">It is recommended that a patient be reviewed in the </w:t>
      </w:r>
      <w:r w:rsidRPr="00F057DC">
        <w:rPr>
          <w:rFonts w:ascii="Arial Narrow" w:hAnsi="Arial Narrow" w:cstheme="minorHAnsi"/>
          <w:strike/>
          <w:sz w:val="18"/>
          <w:szCs w:val="18"/>
        </w:rPr>
        <w:t>month</w:t>
      </w:r>
      <w:r w:rsidRPr="00F057DC">
        <w:rPr>
          <w:rFonts w:ascii="Arial Narrow" w:hAnsi="Arial Narrow" w:cstheme="minorHAnsi"/>
          <w:sz w:val="18"/>
          <w:szCs w:val="18"/>
        </w:rPr>
        <w:t xml:space="preserve"> </w:t>
      </w:r>
      <w:r w:rsidRPr="00F057DC">
        <w:rPr>
          <w:rFonts w:ascii="Arial Narrow" w:hAnsi="Arial Narrow" w:cstheme="minorHAnsi"/>
          <w:i/>
          <w:sz w:val="18"/>
          <w:szCs w:val="18"/>
        </w:rPr>
        <w:t>4 weeks</w:t>
      </w:r>
      <w:r w:rsidRPr="00F057DC">
        <w:rPr>
          <w:rFonts w:ascii="Arial Narrow" w:hAnsi="Arial Narrow" w:cstheme="minorHAnsi"/>
          <w:sz w:val="18"/>
          <w:szCs w:val="18"/>
        </w:rPr>
        <w:t xml:space="preserve"> prior to completing their current course of treatment</w:t>
      </w:r>
      <w:r w:rsidRPr="00F057DC">
        <w:t xml:space="preserve"> </w:t>
      </w:r>
      <w:r w:rsidRPr="00F057DC">
        <w:rPr>
          <w:rFonts w:ascii="Arial Narrow" w:hAnsi="Arial Narrow" w:cstheme="minorHAnsi"/>
          <w:i/>
          <w:sz w:val="18"/>
          <w:szCs w:val="18"/>
        </w:rPr>
        <w:t>to ensure uninterrupted biological medicine supply.</w:t>
      </w:r>
    </w:p>
    <w:p w:rsidR="000104D6" w:rsidRPr="00F057DC" w:rsidRDefault="000104D6" w:rsidP="000104D6">
      <w:pPr>
        <w:rPr>
          <w:rFonts w:ascii="Arial Narrow" w:hAnsi="Arial Narrow" w:cstheme="minorHAnsi"/>
          <w:i/>
          <w:sz w:val="18"/>
          <w:szCs w:val="18"/>
        </w:rPr>
      </w:pPr>
    </w:p>
    <w:p w:rsidR="000104D6" w:rsidRPr="00F057DC" w:rsidRDefault="000104D6" w:rsidP="000104D6">
      <w:pPr>
        <w:rPr>
          <w:rFonts w:ascii="Arial Narrow" w:hAnsi="Arial Narrow" w:cstheme="minorHAnsi"/>
          <w:i/>
          <w:iCs/>
          <w:sz w:val="18"/>
          <w:szCs w:val="18"/>
        </w:rPr>
      </w:pPr>
      <w:r w:rsidRPr="00F057DC">
        <w:rPr>
          <w:rFonts w:ascii="Arial Narrow" w:hAnsi="Arial Narrow" w:cstheme="minorHAnsi"/>
          <w:i/>
          <w:iCs/>
          <w:sz w:val="18"/>
          <w:szCs w:val="18"/>
        </w:rPr>
        <w:t>Infliximab only:</w:t>
      </w:r>
    </w:p>
    <w:p w:rsidR="000104D6" w:rsidRPr="00F057DC" w:rsidRDefault="000104D6" w:rsidP="000104D6">
      <w:pPr>
        <w:rPr>
          <w:rFonts w:ascii="Arial Narrow" w:hAnsi="Arial Narrow" w:cstheme="minorHAnsi"/>
          <w:i/>
          <w:iCs/>
          <w:sz w:val="18"/>
          <w:szCs w:val="18"/>
        </w:rPr>
      </w:pPr>
      <w:r w:rsidRPr="00F057DC">
        <w:rPr>
          <w:rFonts w:ascii="Arial Narrow" w:hAnsi="Arial Narrow" w:cstheme="minorHAnsi"/>
          <w:i/>
          <w:iCs/>
          <w:sz w:val="18"/>
          <w:szCs w:val="18"/>
        </w:rPr>
        <w:lastRenderedPageBreak/>
        <w:t xml:space="preserve">For the first continuing treatment course of PBS-subsidised biological medicine treatment, it is recommended that a patient is reviewed for response following a minimum of 12 weeks of therapy and no later than 4 weeks from the completion of the most recent course of treatment under the Initial 1, Initial 2 or Initial 3 treatment restrictions. </w:t>
      </w:r>
    </w:p>
    <w:p w:rsidR="000104D6" w:rsidRPr="00F057DC" w:rsidRDefault="000104D6" w:rsidP="000104D6">
      <w:pPr>
        <w:rPr>
          <w:rFonts w:ascii="Arial Narrow" w:hAnsi="Arial Narrow" w:cstheme="minorHAnsi"/>
          <w:i/>
          <w:iCs/>
          <w:sz w:val="18"/>
          <w:szCs w:val="18"/>
        </w:rPr>
      </w:pPr>
    </w:p>
    <w:p w:rsidR="000104D6" w:rsidRPr="00F057DC" w:rsidRDefault="000104D6" w:rsidP="000104D6">
      <w:pPr>
        <w:rPr>
          <w:rFonts w:ascii="Arial Narrow" w:hAnsi="Arial Narrow" w:cstheme="minorHAnsi"/>
          <w:i/>
          <w:iCs/>
          <w:sz w:val="18"/>
          <w:szCs w:val="18"/>
        </w:rPr>
      </w:pPr>
      <w:r w:rsidRPr="00F057DC">
        <w:rPr>
          <w:rFonts w:ascii="Arial Narrow" w:hAnsi="Arial Narrow" w:cstheme="minorHAnsi"/>
          <w:i/>
          <w:iCs/>
          <w:sz w:val="18"/>
          <w:szCs w:val="18"/>
        </w:rPr>
        <w:t xml:space="preserve">For the second and subsequent continuing courses of PBS-subsidised biological medicine treatment, it is recommended that an assessment of a patient's response is conducted following a minimum of 12 weeks of therapy and no later than 4 weeks from the completion of the most recent course of treatment. </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trike/>
          <w:sz w:val="18"/>
          <w:szCs w:val="18"/>
        </w:rPr>
        <w:t>(2)</w:t>
      </w:r>
      <w:r w:rsidRPr="002D4988">
        <w:rPr>
          <w:rFonts w:ascii="Arial Narrow" w:hAnsi="Arial Narrow" w:cstheme="minorHAnsi"/>
          <w:sz w:val="18"/>
          <w:szCs w:val="18"/>
        </w:rPr>
        <w:t xml:space="preserve"> </w:t>
      </w:r>
      <w:r w:rsidRPr="002D4988">
        <w:rPr>
          <w:rFonts w:ascii="Arial Narrow" w:hAnsi="Arial Narrow" w:cstheme="minorHAnsi"/>
          <w:i/>
          <w:sz w:val="18"/>
          <w:szCs w:val="18"/>
        </w:rPr>
        <w:t>(3)</w:t>
      </w:r>
      <w:r w:rsidRPr="002D4988">
        <w:rPr>
          <w:rFonts w:ascii="Arial Narrow" w:hAnsi="Arial Narrow" w:cstheme="minorHAnsi"/>
          <w:sz w:val="18"/>
          <w:szCs w:val="18"/>
        </w:rPr>
        <w:t xml:space="preserve"> Swapping therapy.</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 xml:space="preserve">Once initial treatment with the first PBS-subsidised </w:t>
      </w:r>
      <w:r w:rsidRPr="002D4988">
        <w:rPr>
          <w:rFonts w:ascii="Arial Narrow" w:hAnsi="Arial Narrow" w:cstheme="minorHAnsi"/>
          <w:i/>
          <w:sz w:val="18"/>
          <w:szCs w:val="18"/>
        </w:rPr>
        <w:t>biological medicine</w:t>
      </w:r>
      <w:r w:rsidRPr="002D4988">
        <w:rPr>
          <w:rFonts w:ascii="Arial Narrow" w:hAnsi="Arial Narrow" w:cstheme="minorHAnsi"/>
          <w:sz w:val="18"/>
          <w:szCs w:val="18"/>
        </w:rPr>
        <w:t xml:space="preserve"> treatment is approved, a patient may swap </w:t>
      </w:r>
      <w:r w:rsidRPr="002D4988">
        <w:rPr>
          <w:rFonts w:ascii="Arial Narrow" w:hAnsi="Arial Narrow" w:cstheme="minorHAnsi"/>
          <w:strike/>
          <w:sz w:val="18"/>
          <w:szCs w:val="18"/>
        </w:rPr>
        <w:t>if eligible</w:t>
      </w:r>
      <w:r w:rsidRPr="002D4988">
        <w:rPr>
          <w:rFonts w:ascii="Arial Narrow" w:hAnsi="Arial Narrow" w:cstheme="minorHAnsi"/>
          <w:sz w:val="18"/>
          <w:szCs w:val="18"/>
        </w:rPr>
        <w:t xml:space="preserve"> to </w:t>
      </w:r>
      <w:r w:rsidRPr="002D4988">
        <w:rPr>
          <w:rFonts w:ascii="Arial Narrow" w:hAnsi="Arial Narrow" w:cstheme="minorHAnsi"/>
          <w:strike/>
          <w:sz w:val="18"/>
          <w:szCs w:val="18"/>
        </w:rPr>
        <w:t>the</w:t>
      </w:r>
      <w:r w:rsidRPr="002D4988">
        <w:rPr>
          <w:rFonts w:ascii="Arial Narrow" w:hAnsi="Arial Narrow" w:cstheme="minorHAnsi"/>
          <w:sz w:val="18"/>
          <w:szCs w:val="18"/>
        </w:rPr>
        <w:t xml:space="preserve"> an alternate </w:t>
      </w:r>
      <w:r w:rsidRPr="002D4988">
        <w:rPr>
          <w:rFonts w:ascii="Arial Narrow" w:hAnsi="Arial Narrow" w:cstheme="minorHAnsi"/>
          <w:strike/>
          <w:sz w:val="18"/>
          <w:szCs w:val="18"/>
        </w:rPr>
        <w:t>adalimumab, golimumab, infliximab, tofacitinib or vedolizumab</w:t>
      </w:r>
      <w:r w:rsidRPr="002D4988">
        <w:rPr>
          <w:rFonts w:ascii="Arial Narrow" w:hAnsi="Arial Narrow" w:cstheme="minorHAnsi"/>
          <w:sz w:val="18"/>
          <w:szCs w:val="18"/>
        </w:rPr>
        <w:t xml:space="preserve"> </w:t>
      </w:r>
      <w:r w:rsidRPr="002D4988">
        <w:rPr>
          <w:rFonts w:ascii="Arial Narrow" w:hAnsi="Arial Narrow" w:cstheme="minorHAnsi"/>
          <w:i/>
          <w:sz w:val="18"/>
          <w:szCs w:val="18"/>
        </w:rPr>
        <w:t>biological medicine</w:t>
      </w:r>
      <w:r w:rsidRPr="002D4988">
        <w:rPr>
          <w:rFonts w:ascii="Arial Narrow" w:hAnsi="Arial Narrow" w:cstheme="minorHAnsi"/>
          <w:sz w:val="18"/>
          <w:szCs w:val="18"/>
        </w:rPr>
        <w:t xml:space="preserve"> treatment within the same treatment cycle without having to requalify with respect to the indices of disease severity (i.e. Mayo clinic score or partial Mayo clinic score), or the prior corticosteroid therapy and immunosuppressive therapy. </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 xml:space="preserve">A patient may trial an alternate </w:t>
      </w:r>
      <w:r w:rsidRPr="002D4988">
        <w:rPr>
          <w:rFonts w:ascii="Arial Narrow" w:hAnsi="Arial Narrow" w:cstheme="minorHAnsi"/>
          <w:i/>
          <w:sz w:val="18"/>
          <w:szCs w:val="18"/>
        </w:rPr>
        <w:t>biological medicine</w:t>
      </w:r>
      <w:r w:rsidRPr="002D4988">
        <w:rPr>
          <w:rFonts w:ascii="Arial Narrow" w:hAnsi="Arial Narrow" w:cstheme="minorHAnsi"/>
          <w:sz w:val="18"/>
          <w:szCs w:val="18"/>
        </w:rPr>
        <w:t xml:space="preserve"> treatment at any time, regardless of whether they are receiving therapy (initial or continuing) </w:t>
      </w:r>
      <w:r w:rsidRPr="002D4988">
        <w:rPr>
          <w:rFonts w:ascii="Arial Narrow" w:hAnsi="Arial Narrow" w:cstheme="minorHAnsi"/>
          <w:strike/>
          <w:sz w:val="18"/>
          <w:szCs w:val="18"/>
        </w:rPr>
        <w:t>with adalimumab, golimumab, infliximab, tofacitinib or vedolizumab</w:t>
      </w:r>
      <w:r w:rsidRPr="002D4988">
        <w:rPr>
          <w:rFonts w:ascii="Arial Narrow" w:hAnsi="Arial Narrow" w:cstheme="minorHAnsi"/>
          <w:sz w:val="18"/>
          <w:szCs w:val="18"/>
        </w:rPr>
        <w:t xml:space="preserve"> at the time of the application. </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 xml:space="preserve">However, they cannot swap to a particular </w:t>
      </w:r>
      <w:r w:rsidRPr="002D4988">
        <w:rPr>
          <w:rFonts w:ascii="Arial Narrow" w:hAnsi="Arial Narrow" w:cstheme="minorHAnsi"/>
          <w:i/>
          <w:sz w:val="18"/>
          <w:szCs w:val="18"/>
        </w:rPr>
        <w:t>biological medicine</w:t>
      </w:r>
      <w:r w:rsidRPr="002D4988">
        <w:rPr>
          <w:rFonts w:ascii="Arial Narrow" w:hAnsi="Arial Narrow" w:cstheme="minorHAnsi"/>
          <w:sz w:val="18"/>
          <w:szCs w:val="18"/>
        </w:rPr>
        <w:t xml:space="preserve"> </w:t>
      </w:r>
      <w:r w:rsidRPr="002D4988">
        <w:rPr>
          <w:rFonts w:ascii="Arial Narrow" w:hAnsi="Arial Narrow" w:cstheme="minorHAnsi"/>
          <w:strike/>
          <w:sz w:val="18"/>
          <w:szCs w:val="18"/>
        </w:rPr>
        <w:t>therapy</w:t>
      </w:r>
      <w:r w:rsidRPr="002D4988">
        <w:rPr>
          <w:rFonts w:ascii="Arial Narrow" w:hAnsi="Arial Narrow" w:cstheme="minorHAnsi"/>
          <w:sz w:val="18"/>
          <w:szCs w:val="18"/>
        </w:rPr>
        <w:t xml:space="preserve"> if they have failed to respond to prior treatment with that drug once within the same treatment cycle. </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z w:val="18"/>
          <w:szCs w:val="18"/>
        </w:rPr>
        <w:t>To ensure a patient receives the maximum treatment opportunities allowed under these arrangements, it is important that they are assessed for response to every course of treatment.</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z w:val="18"/>
          <w:szCs w:val="18"/>
        </w:rPr>
      </w:pPr>
      <w:r w:rsidRPr="002D4988">
        <w:rPr>
          <w:rFonts w:ascii="Arial Narrow" w:hAnsi="Arial Narrow" w:cstheme="minorHAnsi"/>
          <w:strike/>
          <w:sz w:val="18"/>
          <w:szCs w:val="18"/>
        </w:rPr>
        <w:t>(3)</w:t>
      </w:r>
      <w:r w:rsidRPr="002D4988">
        <w:rPr>
          <w:rFonts w:ascii="Arial Narrow" w:hAnsi="Arial Narrow" w:cstheme="minorHAnsi"/>
          <w:sz w:val="18"/>
          <w:szCs w:val="18"/>
        </w:rPr>
        <w:t xml:space="preserve"> </w:t>
      </w:r>
      <w:r w:rsidRPr="002D4988">
        <w:rPr>
          <w:rFonts w:ascii="Arial Narrow" w:hAnsi="Arial Narrow" w:cstheme="minorHAnsi"/>
          <w:i/>
          <w:sz w:val="18"/>
          <w:szCs w:val="18"/>
        </w:rPr>
        <w:t>(4)</w:t>
      </w:r>
      <w:r w:rsidRPr="002D4988">
        <w:rPr>
          <w:rFonts w:ascii="Arial Narrow" w:hAnsi="Arial Narrow" w:cstheme="minorHAnsi"/>
          <w:sz w:val="18"/>
          <w:szCs w:val="18"/>
        </w:rPr>
        <w:t xml:space="preserve"> Re-commencement of treatment after a 5-year break in PBS-subsidised therapy.</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trike/>
          <w:sz w:val="18"/>
          <w:szCs w:val="18"/>
        </w:rPr>
      </w:pPr>
      <w:r w:rsidRPr="002D4988">
        <w:rPr>
          <w:rFonts w:ascii="Arial Narrow" w:hAnsi="Arial Narrow" w:cstheme="minorHAnsi"/>
          <w:sz w:val="18"/>
          <w:szCs w:val="18"/>
        </w:rPr>
        <w:t xml:space="preserve">A patient who wishes to trial a second or subsequent </w:t>
      </w:r>
      <w:r w:rsidRPr="002D4988">
        <w:rPr>
          <w:rFonts w:ascii="Arial Narrow" w:hAnsi="Arial Narrow" w:cstheme="minorHAnsi"/>
          <w:strike/>
          <w:sz w:val="18"/>
          <w:szCs w:val="18"/>
        </w:rPr>
        <w:t>course of</w:t>
      </w:r>
      <w:r w:rsidRPr="002D4988">
        <w:rPr>
          <w:rFonts w:ascii="Arial Narrow" w:hAnsi="Arial Narrow" w:cstheme="minorHAnsi"/>
          <w:sz w:val="18"/>
          <w:szCs w:val="18"/>
        </w:rPr>
        <w:t xml:space="preserve"> treatment </w:t>
      </w:r>
      <w:r w:rsidRPr="002D4988">
        <w:rPr>
          <w:rFonts w:ascii="Arial Narrow" w:hAnsi="Arial Narrow" w:cstheme="minorHAnsi"/>
          <w:i/>
          <w:sz w:val="18"/>
          <w:szCs w:val="18"/>
        </w:rPr>
        <w:t>cycle</w:t>
      </w:r>
      <w:r w:rsidRPr="002D4988">
        <w:rPr>
          <w:rFonts w:ascii="Arial Narrow" w:hAnsi="Arial Narrow" w:cstheme="minorHAnsi"/>
          <w:sz w:val="18"/>
          <w:szCs w:val="18"/>
        </w:rPr>
        <w:t xml:space="preserve"> following a break in PBS-subsidised </w:t>
      </w:r>
      <w:r w:rsidRPr="002D4988">
        <w:rPr>
          <w:rFonts w:ascii="Arial Narrow" w:hAnsi="Arial Narrow" w:cstheme="minorHAnsi"/>
          <w:strike/>
          <w:sz w:val="18"/>
          <w:szCs w:val="18"/>
        </w:rPr>
        <w:t>adalimumab, golimumab, infliximab, tofacitinib or vedolizumab therapy</w:t>
      </w:r>
      <w:r w:rsidRPr="002D4988">
        <w:rPr>
          <w:rFonts w:ascii="Arial Narrow" w:hAnsi="Arial Narrow" w:cstheme="minorHAnsi"/>
          <w:sz w:val="18"/>
          <w:szCs w:val="18"/>
        </w:rPr>
        <w:t xml:space="preserve"> </w:t>
      </w:r>
      <w:r w:rsidRPr="002D4988">
        <w:rPr>
          <w:rFonts w:ascii="Arial Narrow" w:hAnsi="Arial Narrow" w:cstheme="minorHAnsi"/>
          <w:i/>
          <w:sz w:val="18"/>
          <w:szCs w:val="18"/>
        </w:rPr>
        <w:t>biological medicine therapy</w:t>
      </w:r>
      <w:r w:rsidRPr="002D4988">
        <w:rPr>
          <w:rFonts w:ascii="Arial Narrow" w:hAnsi="Arial Narrow" w:cstheme="minorHAnsi"/>
          <w:sz w:val="18"/>
          <w:szCs w:val="18"/>
        </w:rPr>
        <w:t xml:space="preserve"> of at least 5 years, must requalify </w:t>
      </w:r>
      <w:r w:rsidRPr="002D4988">
        <w:rPr>
          <w:rFonts w:ascii="Arial Narrow" w:hAnsi="Arial Narrow" w:cstheme="minorHAnsi"/>
          <w:strike/>
          <w:sz w:val="18"/>
          <w:szCs w:val="18"/>
        </w:rPr>
        <w:t>for</w:t>
      </w:r>
      <w:r w:rsidRPr="002D4988">
        <w:rPr>
          <w:rFonts w:ascii="Arial Narrow" w:hAnsi="Arial Narrow" w:cstheme="minorHAnsi"/>
          <w:sz w:val="18"/>
          <w:szCs w:val="18"/>
        </w:rPr>
        <w:t xml:space="preserve"> under </w:t>
      </w:r>
      <w:r w:rsidRPr="002D4988">
        <w:rPr>
          <w:rFonts w:ascii="Arial Narrow" w:hAnsi="Arial Narrow" w:cstheme="minorHAnsi"/>
          <w:strike/>
          <w:sz w:val="18"/>
          <w:szCs w:val="18"/>
        </w:rPr>
        <w:t>initial 1</w:t>
      </w:r>
      <w:r w:rsidRPr="002D4988">
        <w:rPr>
          <w:rFonts w:ascii="Arial Narrow" w:hAnsi="Arial Narrow" w:cstheme="minorHAnsi"/>
          <w:sz w:val="18"/>
          <w:szCs w:val="18"/>
        </w:rPr>
        <w:t xml:space="preserve"> </w:t>
      </w:r>
      <w:r w:rsidRPr="002D4988">
        <w:rPr>
          <w:rFonts w:ascii="Arial Narrow" w:hAnsi="Arial Narrow" w:cstheme="minorHAnsi"/>
          <w:i/>
          <w:sz w:val="18"/>
          <w:szCs w:val="18"/>
        </w:rPr>
        <w:t>Initial 3</w:t>
      </w:r>
      <w:r w:rsidRPr="002D4988">
        <w:rPr>
          <w:rFonts w:ascii="Arial Narrow" w:hAnsi="Arial Narrow" w:cstheme="minorHAnsi"/>
          <w:sz w:val="18"/>
          <w:szCs w:val="18"/>
        </w:rPr>
        <w:t xml:space="preserve"> treatment </w:t>
      </w:r>
      <w:r w:rsidRPr="002D4988">
        <w:rPr>
          <w:rFonts w:ascii="Arial Narrow" w:hAnsi="Arial Narrow" w:cstheme="minorHAnsi"/>
          <w:i/>
          <w:sz w:val="18"/>
          <w:szCs w:val="18"/>
        </w:rPr>
        <w:t>restriction and meet the relevant criteria</w:t>
      </w:r>
      <w:r w:rsidRPr="002D4988">
        <w:rPr>
          <w:rFonts w:ascii="Arial Narrow" w:hAnsi="Arial Narrow" w:cstheme="minorHAnsi"/>
          <w:sz w:val="18"/>
          <w:szCs w:val="18"/>
        </w:rPr>
        <w:t xml:space="preserve"> with respect to the scores of disease severity. </w:t>
      </w:r>
      <w:r w:rsidRPr="002D4988">
        <w:rPr>
          <w:rFonts w:ascii="Arial Narrow" w:hAnsi="Arial Narrow" w:cstheme="minorHAnsi"/>
          <w:strike/>
          <w:sz w:val="18"/>
          <w:szCs w:val="18"/>
        </w:rPr>
        <w:t>A patient must have received treatment with a 5-aminosalicylate oral preparation in a standard dose for induction of remission for a minimum of 3 consecutive months, and, either azathioprine or 6-mercaptopurine for a minimum of 3 consecutive months or a tapered course of oral steroids over a 6 week period followed by an appropriately dosed thiopurine agent for a minimum of 3 consecutive months (unless intolerance develops necessitating permanent treatment withdrawal to these agents). These above prior treatments must have been received immediately prior to the time the scores of disease severity being used to trial a second or subsequent course are measured.</w:t>
      </w:r>
    </w:p>
    <w:p w:rsidR="000104D6" w:rsidRPr="002D4988" w:rsidRDefault="000104D6" w:rsidP="000104D6">
      <w:pPr>
        <w:rPr>
          <w:rFonts w:ascii="Arial Narrow" w:hAnsi="Arial Narrow" w:cstheme="minorHAnsi"/>
          <w:sz w:val="18"/>
          <w:szCs w:val="18"/>
        </w:rPr>
      </w:pPr>
    </w:p>
    <w:p w:rsidR="000104D6" w:rsidRPr="002D4988" w:rsidRDefault="000104D6" w:rsidP="000104D6">
      <w:pPr>
        <w:rPr>
          <w:rFonts w:ascii="Arial Narrow" w:hAnsi="Arial Narrow" w:cstheme="minorHAnsi"/>
          <w:strike/>
          <w:sz w:val="18"/>
          <w:szCs w:val="18"/>
        </w:rPr>
      </w:pPr>
      <w:r w:rsidRPr="002D4988">
        <w:rPr>
          <w:rFonts w:ascii="Arial Narrow" w:hAnsi="Arial Narrow" w:cstheme="minorHAnsi"/>
          <w:strike/>
          <w:sz w:val="18"/>
          <w:szCs w:val="18"/>
        </w:rPr>
        <w:t>(4) Patients 'grandfathered' onto PBS-subsidised treatment with golimumab.</w:t>
      </w:r>
    </w:p>
    <w:p w:rsidR="000104D6" w:rsidRPr="002D4988" w:rsidRDefault="000104D6" w:rsidP="000104D6">
      <w:pPr>
        <w:rPr>
          <w:rFonts w:ascii="Arial Narrow" w:hAnsi="Arial Narrow" w:cstheme="minorHAnsi"/>
          <w:strike/>
          <w:sz w:val="18"/>
          <w:szCs w:val="18"/>
        </w:rPr>
      </w:pPr>
    </w:p>
    <w:p w:rsidR="000104D6" w:rsidRPr="002D4988" w:rsidRDefault="000104D6" w:rsidP="000104D6">
      <w:pPr>
        <w:rPr>
          <w:rFonts w:ascii="Arial Narrow" w:hAnsi="Arial Narrow" w:cstheme="minorHAnsi"/>
          <w:strike/>
          <w:sz w:val="18"/>
          <w:szCs w:val="18"/>
        </w:rPr>
      </w:pPr>
      <w:r w:rsidRPr="002D4988">
        <w:rPr>
          <w:rFonts w:ascii="Arial Narrow" w:hAnsi="Arial Narrow" w:cstheme="minorHAnsi"/>
          <w:strike/>
          <w:sz w:val="18"/>
          <w:szCs w:val="18"/>
        </w:rPr>
        <w:t>A patient who commenced treatment with golimumab for moderate to severe ulcerative colitis prior to 1 June 2018 and who continues to receive treatment at the time of application, may qualify for treatment under the initial 3 'grandfather' treatment restriction.</w:t>
      </w:r>
    </w:p>
    <w:p w:rsidR="000104D6" w:rsidRPr="002D4988" w:rsidRDefault="000104D6" w:rsidP="000104D6">
      <w:pPr>
        <w:rPr>
          <w:rFonts w:ascii="Arial Narrow" w:hAnsi="Arial Narrow" w:cstheme="minorHAnsi"/>
          <w:strike/>
          <w:sz w:val="18"/>
          <w:szCs w:val="18"/>
        </w:rPr>
      </w:pPr>
    </w:p>
    <w:p w:rsidR="000104D6" w:rsidRPr="002D4988" w:rsidRDefault="000104D6" w:rsidP="000104D6">
      <w:pPr>
        <w:rPr>
          <w:rFonts w:ascii="Arial Narrow" w:hAnsi="Arial Narrow" w:cstheme="minorHAnsi"/>
          <w:strike/>
          <w:sz w:val="18"/>
          <w:szCs w:val="18"/>
        </w:rPr>
      </w:pPr>
      <w:r w:rsidRPr="002D4988">
        <w:rPr>
          <w:rFonts w:ascii="Arial Narrow" w:hAnsi="Arial Narrow" w:cstheme="minorHAnsi"/>
          <w:strike/>
          <w:sz w:val="18"/>
          <w:szCs w:val="18"/>
        </w:rPr>
        <w:t>A patient may only qualify for PBS-subsidised treatment under this criterion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0104D6" w:rsidRPr="002D4988" w:rsidRDefault="000104D6" w:rsidP="000104D6">
      <w:pPr>
        <w:rPr>
          <w:rFonts w:ascii="Arial Narrow" w:hAnsi="Arial Narrow" w:cstheme="minorHAnsi"/>
          <w:strike/>
          <w:sz w:val="18"/>
          <w:szCs w:val="18"/>
        </w:rPr>
      </w:pPr>
    </w:p>
    <w:p w:rsidR="000104D6" w:rsidRPr="002D4988" w:rsidRDefault="000104D6" w:rsidP="000104D6">
      <w:pPr>
        <w:rPr>
          <w:rFonts w:ascii="Arial Narrow" w:hAnsi="Arial Narrow" w:cstheme="minorHAnsi"/>
          <w:strike/>
          <w:sz w:val="18"/>
          <w:szCs w:val="18"/>
        </w:rPr>
      </w:pPr>
      <w:r w:rsidRPr="002D4988">
        <w:rPr>
          <w:rFonts w:ascii="Arial Narrow" w:hAnsi="Arial Narrow" w:cstheme="minorHAnsi"/>
          <w:strike/>
          <w:sz w:val="18"/>
          <w:szCs w:val="18"/>
        </w:rPr>
        <w:t>For the second and subsequent cycles, a 'grandfather' patient must qualify for continuing treatment under the criteria that apply to a continuing patient.</w:t>
      </w:r>
    </w:p>
    <w:p w:rsidR="000104D6" w:rsidRPr="002D4988" w:rsidRDefault="000104D6" w:rsidP="000104D6">
      <w:pPr>
        <w:jc w:val="left"/>
        <w:rPr>
          <w:rFonts w:ascii="Arial Narrow" w:hAnsi="Arial Narrow"/>
          <w:i/>
          <w:sz w:val="18"/>
          <w:szCs w:val="18"/>
        </w:rPr>
      </w:pPr>
    </w:p>
    <w:p w:rsidR="000104D6" w:rsidRPr="00F057DC" w:rsidRDefault="000104D6" w:rsidP="000104D6">
      <w:pPr>
        <w:jc w:val="left"/>
        <w:rPr>
          <w:rFonts w:ascii="Arial Narrow" w:hAnsi="Arial Narrow"/>
          <w:i/>
          <w:sz w:val="18"/>
          <w:szCs w:val="18"/>
        </w:rPr>
      </w:pPr>
      <w:r w:rsidRPr="00F057DC">
        <w:rPr>
          <w:rFonts w:ascii="Arial Narrow" w:hAnsi="Arial Narrow"/>
          <w:i/>
          <w:sz w:val="18"/>
          <w:szCs w:val="18"/>
        </w:rPr>
        <w:t>(5) Grandfather patients (tofacitinib only):</w:t>
      </w:r>
    </w:p>
    <w:p w:rsidR="000104D6" w:rsidRPr="00F057DC" w:rsidRDefault="000104D6" w:rsidP="000104D6">
      <w:pPr>
        <w:jc w:val="left"/>
        <w:rPr>
          <w:rFonts w:ascii="Arial Narrow" w:hAnsi="Arial Narrow"/>
          <w:i/>
          <w:sz w:val="18"/>
          <w:szCs w:val="18"/>
        </w:rPr>
      </w:pPr>
    </w:p>
    <w:p w:rsidR="000104D6" w:rsidRPr="00F057DC" w:rsidRDefault="000104D6" w:rsidP="000104D6">
      <w:pPr>
        <w:jc w:val="left"/>
        <w:rPr>
          <w:rFonts w:ascii="Arial Narrow" w:hAnsi="Arial Narrow"/>
          <w:i/>
          <w:sz w:val="18"/>
          <w:szCs w:val="18"/>
        </w:rPr>
      </w:pPr>
      <w:r w:rsidRPr="00F057DC">
        <w:rPr>
          <w:rFonts w:ascii="Arial Narrow" w:hAnsi="Arial Narrow"/>
          <w:i/>
          <w:sz w:val="18"/>
          <w:szCs w:val="18"/>
        </w:rPr>
        <w:t>A patient who commenced treatment with tofacitinib for moderate to severe ulcerative colitis prior to [listing date] and who continues to receive treatment at the time of application, may qualify for treatment under the 'Grandfather' treatment restriction.</w:t>
      </w:r>
    </w:p>
    <w:p w:rsidR="000104D6" w:rsidRPr="00F057DC" w:rsidRDefault="000104D6" w:rsidP="000104D6">
      <w:pPr>
        <w:jc w:val="left"/>
        <w:rPr>
          <w:rFonts w:ascii="Arial Narrow" w:hAnsi="Arial Narrow"/>
          <w:i/>
          <w:sz w:val="18"/>
          <w:szCs w:val="18"/>
        </w:rPr>
      </w:pPr>
    </w:p>
    <w:p w:rsidR="000104D6" w:rsidRPr="00F057DC" w:rsidRDefault="000104D6" w:rsidP="000104D6">
      <w:pPr>
        <w:jc w:val="left"/>
        <w:rPr>
          <w:rFonts w:ascii="Arial Narrow" w:hAnsi="Arial Narrow"/>
          <w:i/>
          <w:sz w:val="18"/>
          <w:szCs w:val="18"/>
        </w:rPr>
      </w:pPr>
      <w:r w:rsidRPr="00F057DC">
        <w:rPr>
          <w:rFonts w:ascii="Arial Narrow" w:hAnsi="Arial Narrow"/>
          <w:i/>
          <w:sz w:val="18"/>
          <w:szCs w:val="18"/>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0104D6" w:rsidRPr="00F057DC" w:rsidRDefault="000104D6" w:rsidP="000104D6">
      <w:pPr>
        <w:jc w:val="left"/>
        <w:rPr>
          <w:rFonts w:ascii="Arial Narrow" w:hAnsi="Arial Narrow"/>
          <w:i/>
          <w:sz w:val="18"/>
          <w:szCs w:val="18"/>
        </w:rPr>
      </w:pPr>
    </w:p>
    <w:p w:rsidR="000104D6" w:rsidRPr="00F057DC" w:rsidRDefault="000104D6" w:rsidP="000104D6">
      <w:pPr>
        <w:jc w:val="left"/>
        <w:rPr>
          <w:rFonts w:ascii="Arial Narrow" w:hAnsi="Arial Narrow"/>
          <w:i/>
          <w:sz w:val="18"/>
          <w:szCs w:val="18"/>
        </w:rPr>
      </w:pPr>
      <w:r w:rsidRPr="00F057DC">
        <w:rPr>
          <w:rFonts w:ascii="Arial Narrow" w:hAnsi="Arial Narrow"/>
          <w:i/>
          <w:sz w:val="18"/>
          <w:szCs w:val="18"/>
        </w:rPr>
        <w:t>For the second and subsequent cycles, a 'grandfather' patient must qualify for continuing treatment under the criteria that apply to a continuing patient.</w:t>
      </w:r>
    </w:p>
    <w:p w:rsidR="0018331C" w:rsidRPr="00F057DC" w:rsidRDefault="0018331C" w:rsidP="0018331C">
      <w:pPr>
        <w:pStyle w:val="CommentText"/>
        <w:rPr>
          <w:szCs w:val="20"/>
        </w:rPr>
      </w:pPr>
    </w:p>
    <w:p w:rsidR="0018331C" w:rsidRPr="00F057DC" w:rsidRDefault="0018331C" w:rsidP="0018331C">
      <w:pPr>
        <w:pStyle w:val="CommentText"/>
        <w:rPr>
          <w:szCs w:val="20"/>
        </w:rPr>
      </w:pPr>
    </w:p>
    <w:p w:rsidR="0018331C" w:rsidRPr="00682B7C" w:rsidRDefault="0018331C" w:rsidP="0018331C">
      <w:pPr>
        <w:pStyle w:val="CommentText"/>
        <w:rPr>
          <w:rFonts w:ascii="Arial Narrow" w:hAnsi="Arial Narrow" w:cstheme="minorHAnsi"/>
          <w:b/>
        </w:rPr>
      </w:pPr>
      <w:r w:rsidRPr="00682B7C">
        <w:rPr>
          <w:rFonts w:ascii="Arial Narrow" w:hAnsi="Arial Narrow" w:cstheme="minorHAnsi"/>
          <w:b/>
        </w:rPr>
        <w:t xml:space="preserve">Flow Admin advice [24855]: onto: </w:t>
      </w:r>
    </w:p>
    <w:p w:rsidR="0018331C" w:rsidRPr="00682B7C" w:rsidRDefault="0018331C" w:rsidP="0018331C">
      <w:pPr>
        <w:pStyle w:val="CommentText"/>
        <w:rPr>
          <w:rFonts w:ascii="Arial Narrow" w:hAnsi="Arial Narrow" w:cstheme="minorHAnsi"/>
        </w:rPr>
      </w:pPr>
    </w:p>
    <w:p w:rsidR="0018331C" w:rsidRPr="00682B7C" w:rsidRDefault="0018331C" w:rsidP="0018331C">
      <w:pPr>
        <w:pStyle w:val="CommentText"/>
        <w:rPr>
          <w:rFonts w:ascii="Arial Narrow" w:hAnsi="Arial Narrow" w:cstheme="minorHAnsi"/>
        </w:rPr>
      </w:pPr>
      <w:r w:rsidRPr="00682B7C">
        <w:rPr>
          <w:rFonts w:ascii="Arial Narrow" w:hAnsi="Arial Narrow" w:cstheme="minorHAnsi"/>
        </w:rPr>
        <w:t>Adalimumab: 10955N, 10944B, 10945C, 10972L, 10960W, 10961X, 11127P, 11121H</w:t>
      </w:r>
    </w:p>
    <w:p w:rsidR="0018331C" w:rsidRPr="00682B7C" w:rsidRDefault="0018331C" w:rsidP="0018331C">
      <w:pPr>
        <w:pStyle w:val="CommentText"/>
        <w:rPr>
          <w:rFonts w:ascii="Arial Narrow" w:hAnsi="Arial Narrow" w:cstheme="minorHAnsi"/>
        </w:rPr>
      </w:pPr>
    </w:p>
    <w:p w:rsidR="0018331C" w:rsidRPr="00682B7C" w:rsidRDefault="0018331C" w:rsidP="0018331C">
      <w:pPr>
        <w:pStyle w:val="CommentText"/>
        <w:rPr>
          <w:rFonts w:ascii="Arial Narrow" w:hAnsi="Arial Narrow" w:cstheme="minorHAnsi"/>
        </w:rPr>
      </w:pPr>
      <w:r w:rsidRPr="00682B7C">
        <w:rPr>
          <w:rFonts w:ascii="Arial Narrow" w:hAnsi="Arial Narrow" w:cstheme="minorHAnsi"/>
        </w:rPr>
        <w:t>Infliximab: 10196P, 10184B, 11461F, 11459D, 11796W, 11797X</w:t>
      </w:r>
    </w:p>
    <w:p w:rsidR="0018331C" w:rsidRPr="00682B7C" w:rsidRDefault="0018331C" w:rsidP="0018331C">
      <w:pPr>
        <w:pStyle w:val="CommentText"/>
        <w:rPr>
          <w:rFonts w:ascii="Arial Narrow" w:hAnsi="Arial Narrow" w:cstheme="minorHAnsi"/>
        </w:rPr>
      </w:pPr>
    </w:p>
    <w:p w:rsidR="0018331C" w:rsidRPr="00682B7C" w:rsidRDefault="0018331C" w:rsidP="0018331C">
      <w:pPr>
        <w:pStyle w:val="CommentText"/>
        <w:rPr>
          <w:rFonts w:ascii="Arial Narrow" w:hAnsi="Arial Narrow" w:cstheme="minorHAnsi"/>
        </w:rPr>
      </w:pPr>
      <w:r w:rsidRPr="00682B7C">
        <w:rPr>
          <w:rFonts w:ascii="Arial Narrow" w:hAnsi="Arial Narrow" w:cstheme="minorHAnsi"/>
        </w:rPr>
        <w:t>Vedolizumab: 10384M, 10398G</w:t>
      </w:r>
    </w:p>
    <w:p w:rsidR="0018331C" w:rsidRPr="00682B7C" w:rsidRDefault="0018331C" w:rsidP="0018331C">
      <w:pPr>
        <w:pStyle w:val="CommentText"/>
        <w:rPr>
          <w:rFonts w:ascii="Arial Narrow" w:hAnsi="Arial Narrow" w:cstheme="minorHAnsi"/>
        </w:rPr>
      </w:pPr>
    </w:p>
    <w:p w:rsidR="0018331C" w:rsidRPr="00682B7C" w:rsidRDefault="0018331C" w:rsidP="0018331C">
      <w:pPr>
        <w:pStyle w:val="CommentText"/>
        <w:rPr>
          <w:rFonts w:ascii="Arial Narrow" w:hAnsi="Arial Narrow" w:cstheme="minorHAnsi"/>
        </w:rPr>
      </w:pPr>
      <w:r w:rsidRPr="00682B7C">
        <w:rPr>
          <w:rFonts w:ascii="Arial Narrow" w:hAnsi="Arial Narrow" w:cstheme="minorHAnsi"/>
        </w:rPr>
        <w:t>Golimumab: 11382C, 11381B, 11502J</w:t>
      </w:r>
    </w:p>
    <w:p w:rsidR="008B61E1" w:rsidRDefault="00332F09" w:rsidP="00332F09">
      <w:pPr>
        <w:pStyle w:val="2-SectionHeading"/>
        <w:numPr>
          <w:ilvl w:val="0"/>
          <w:numId w:val="0"/>
        </w:numPr>
        <w:rPr>
          <w:rFonts w:cstheme="minorHAnsi"/>
          <w:i/>
          <w:sz w:val="24"/>
          <w:szCs w:val="24"/>
        </w:rPr>
      </w:pPr>
      <w:r w:rsidRPr="00332F09">
        <w:rPr>
          <w:rFonts w:cstheme="minorHAnsi"/>
          <w:i/>
          <w:sz w:val="24"/>
          <w:szCs w:val="24"/>
        </w:rPr>
        <w:t>This restriction may be subject to further review. Should there be any changes made to the restriction the Sponsor will be informed.</w:t>
      </w:r>
    </w:p>
    <w:p w:rsidR="00C46C1E" w:rsidRDefault="00C46C1E" w:rsidP="00332F09">
      <w:pPr>
        <w:pStyle w:val="2-SectionHeading"/>
        <w:numPr>
          <w:ilvl w:val="0"/>
          <w:numId w:val="0"/>
        </w:numPr>
        <w:rPr>
          <w:rFonts w:cstheme="minorHAnsi"/>
          <w:i/>
          <w:sz w:val="24"/>
          <w:szCs w:val="24"/>
        </w:rPr>
      </w:pPr>
    </w:p>
    <w:p w:rsidR="00C46C1E" w:rsidRPr="00AA5027" w:rsidRDefault="00C46C1E" w:rsidP="00B25D7D">
      <w:pPr>
        <w:pStyle w:val="2-SectionHeading"/>
      </w:pPr>
      <w:r>
        <w:t>Co</w:t>
      </w:r>
      <w:r w:rsidRPr="00C07617">
        <w:t>ntext for Decision</w:t>
      </w:r>
    </w:p>
    <w:p w:rsidR="00C46C1E" w:rsidRPr="00B25D7D" w:rsidRDefault="00C46C1E" w:rsidP="004A4C43">
      <w:pPr>
        <w:widowControl w:val="0"/>
        <w:spacing w:after="120"/>
        <w:ind w:left="720"/>
        <w:rPr>
          <w:rFonts w:asciiTheme="minorHAnsi" w:hAnsiTheme="minorHAnsi"/>
          <w:bCs/>
          <w:snapToGrid w:val="0"/>
        </w:rPr>
      </w:pPr>
      <w:r w:rsidRPr="00B25D7D">
        <w:rPr>
          <w:rFonts w:asciiTheme="minorHAnsi" w:hAnsiTheme="minorHAnsi"/>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46C1E" w:rsidRPr="00AA5027" w:rsidRDefault="00C46C1E" w:rsidP="00AA5027">
      <w:pPr>
        <w:pStyle w:val="2-SectionHeading"/>
      </w:pPr>
      <w:r>
        <w:t>Sponsor’s Comment</w:t>
      </w:r>
    </w:p>
    <w:p w:rsidR="00C41DCB" w:rsidRPr="001179AC" w:rsidRDefault="00C41DCB" w:rsidP="00C41DCB">
      <w:pPr>
        <w:spacing w:after="120"/>
        <w:ind w:left="426"/>
        <w:rPr>
          <w:rFonts w:asciiTheme="minorHAnsi" w:hAnsiTheme="minorHAnsi"/>
          <w:bCs/>
        </w:rPr>
      </w:pPr>
      <w:r>
        <w:t>Pfizer Australia welcomes the PBAC’s revised recommendation to list tofacitinib (</w:t>
      </w:r>
      <w:r>
        <w:rPr>
          <w:rFonts w:asciiTheme="minorHAnsi" w:hAnsiTheme="minorHAnsi"/>
          <w:bCs/>
        </w:rPr>
        <w:t xml:space="preserve">Xeljanz®) on the PBS for the treatment of moderate to severe ulcerative colitis, offering these patients an effective and convenient oral alternative with a different mechanism of action to the bDMARDs currently available. Pfizer is pleased that the PBAC has appropriately recognised that </w:t>
      </w:r>
      <w:r w:rsidRPr="002D4988">
        <w:rPr>
          <w:rFonts w:asciiTheme="minorHAnsi" w:hAnsiTheme="minorHAnsi"/>
          <w:bCs/>
          <w:snapToGrid w:val="0"/>
        </w:rPr>
        <w:t xml:space="preserve">there </w:t>
      </w:r>
      <w:r>
        <w:rPr>
          <w:rFonts w:asciiTheme="minorHAnsi" w:hAnsiTheme="minorHAnsi"/>
          <w:bCs/>
          <w:snapToGrid w:val="0"/>
        </w:rPr>
        <w:t>is sufficient basis to conclude that tofacitinib, provides a significant improvement in efficacy in the induction phase compared to adalimumab based on the available clinical evidence. Pfizer notes that the Outcome does not include advice from the PBAC on  interchangability.</w:t>
      </w:r>
    </w:p>
    <w:p w:rsidR="00C46C1E" w:rsidRPr="00332F09" w:rsidRDefault="00C46C1E" w:rsidP="00332F09">
      <w:pPr>
        <w:pStyle w:val="2-SectionHeading"/>
        <w:numPr>
          <w:ilvl w:val="0"/>
          <w:numId w:val="0"/>
        </w:numPr>
        <w:rPr>
          <w:rFonts w:cstheme="minorHAnsi"/>
          <w:sz w:val="24"/>
          <w:szCs w:val="24"/>
        </w:rPr>
      </w:pPr>
    </w:p>
    <w:sectPr w:rsidR="00C46C1E" w:rsidRPr="00332F09" w:rsidSect="00A46679">
      <w:headerReference w:type="default" r:id="rId12"/>
      <w:footerReference w:type="default" r:id="rId13"/>
      <w:pgSz w:w="11907" w:h="16840" w:code="9"/>
      <w:pgMar w:top="1418" w:right="1440" w:bottom="1418"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042E" w16cex:dateUtc="2020-10-22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90A31" w16cid:durableId="233C0339"/>
  <w16cid:commentId w16cid:paraId="54DD5FA8" w16cid:durableId="233C042E"/>
  <w16cid:commentId w16cid:paraId="23CB8860" w16cid:durableId="2332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FB2" w:rsidRDefault="001F4FB2" w:rsidP="00124A51">
      <w:r>
        <w:separator/>
      </w:r>
    </w:p>
    <w:p w:rsidR="001F4FB2" w:rsidRDefault="001F4FB2"/>
  </w:endnote>
  <w:endnote w:type="continuationSeparator" w:id="0">
    <w:p w:rsidR="001F4FB2" w:rsidRDefault="001F4FB2" w:rsidP="00124A51">
      <w:r>
        <w:continuationSeparator/>
      </w:r>
    </w:p>
    <w:p w:rsidR="001F4FB2" w:rsidRDefault="001F4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薠ී怀"/>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2" w:rsidRDefault="001F4FB2" w:rsidP="000F0D89">
    <w:pPr>
      <w:pStyle w:val="Footer"/>
      <w:keepNext/>
      <w:ind w:left="360"/>
      <w:jc w:val="center"/>
      <w:rPr>
        <w:b/>
      </w:rPr>
    </w:pPr>
  </w:p>
  <w:p w:rsidR="001F4FB2" w:rsidRPr="000F0D89" w:rsidRDefault="001F4FB2" w:rsidP="000F0D89">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D6581F">
      <w:rPr>
        <w:b/>
        <w:noProof/>
      </w:rPr>
      <w:t>27</w:t>
    </w:r>
    <w:r w:rsidRPr="00836F75">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FB2" w:rsidRDefault="001F4FB2" w:rsidP="00124A51">
      <w:r>
        <w:separator/>
      </w:r>
    </w:p>
    <w:p w:rsidR="001F4FB2" w:rsidRDefault="001F4FB2"/>
  </w:footnote>
  <w:footnote w:type="continuationSeparator" w:id="0">
    <w:p w:rsidR="001F4FB2" w:rsidRDefault="001F4FB2" w:rsidP="00124A51">
      <w:r>
        <w:continuationSeparator/>
      </w:r>
    </w:p>
    <w:p w:rsidR="001F4FB2" w:rsidRDefault="001F4FB2"/>
  </w:footnote>
  <w:footnote w:id="1">
    <w:p w:rsidR="001F4FB2" w:rsidRPr="003B52C4" w:rsidRDefault="001F4FB2" w:rsidP="00E80F71">
      <w:pPr>
        <w:pStyle w:val="FootnoteText"/>
        <w:rPr>
          <w:rFonts w:ascii="Arial Narrow" w:hAnsi="Arial Narrow"/>
        </w:rPr>
      </w:pPr>
      <w:r w:rsidRPr="003B52C4">
        <w:rPr>
          <w:rStyle w:val="FootnoteReference"/>
          <w:rFonts w:ascii="Arial Narrow" w:hAnsi="Arial Narrow"/>
        </w:rPr>
        <w:footnoteRef/>
      </w:r>
      <w:r w:rsidRPr="003B52C4">
        <w:rPr>
          <w:rFonts w:ascii="Arial Narrow" w:hAnsi="Arial Narrow"/>
        </w:rPr>
        <w:t xml:space="preserve"> </w:t>
      </w:r>
      <w:hyperlink r:id="rId1" w:history="1">
        <w:r w:rsidRPr="003B52C4">
          <w:rPr>
            <w:rFonts w:ascii="Arial Narrow" w:eastAsia="Times New Roman" w:hAnsi="Arial Narrow" w:cs="Arial"/>
            <w:color w:val="0000FF"/>
            <w:u w:val="single"/>
            <w:lang w:eastAsia="en-AU"/>
          </w:rPr>
          <w:t>https://www.tga.gov.au/alert/tofacitinib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2" w:rsidRPr="00056684" w:rsidRDefault="001F4FB2" w:rsidP="000F0D89">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 xml:space="preserve">November 2020 </w:t>
    </w:r>
    <w:r w:rsidRPr="00056684">
      <w:rPr>
        <w:rFonts w:asciiTheme="minorHAnsi" w:hAnsiTheme="minorHAnsi"/>
        <w:i/>
        <w:color w:val="808080"/>
      </w:rPr>
      <w:t>PBAC Meeting</w:t>
    </w:r>
  </w:p>
  <w:p w:rsidR="001F4FB2" w:rsidRPr="008C7ECB" w:rsidRDefault="001F4FB2" w:rsidP="00AB3D33">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8C4166"/>
    <w:lvl w:ilvl="0">
      <w:start w:val="1"/>
      <w:numFmt w:val="bullet"/>
      <w:pStyle w:val="ListBullet"/>
      <w:lvlText w:val=""/>
      <w:lvlJc w:val="left"/>
      <w:pPr>
        <w:tabs>
          <w:tab w:val="num" w:pos="786"/>
        </w:tabs>
        <w:ind w:left="786"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68363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57B7A"/>
    <w:multiLevelType w:val="hybridMultilevel"/>
    <w:tmpl w:val="85FC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EC76E4"/>
    <w:multiLevelType w:val="hybridMultilevel"/>
    <w:tmpl w:val="F740E8D6"/>
    <w:lvl w:ilvl="0" w:tplc="F844EFB8">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11B36"/>
    <w:multiLevelType w:val="hybridMultilevel"/>
    <w:tmpl w:val="5E8EFAF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52780BC3"/>
    <w:multiLevelType w:val="hybridMultilevel"/>
    <w:tmpl w:val="D0F28EEE"/>
    <w:lvl w:ilvl="0" w:tplc="E4CAD7A4">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7E0EF4"/>
    <w:multiLevelType w:val="hybridMultilevel"/>
    <w:tmpl w:val="ABD8FA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BB43F66"/>
    <w:multiLevelType w:val="hybridMultilevel"/>
    <w:tmpl w:val="EED400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C305519"/>
    <w:multiLevelType w:val="hybridMultilevel"/>
    <w:tmpl w:val="8CA2B7F8"/>
    <w:lvl w:ilvl="0" w:tplc="54826B52">
      <w:start w:val="1"/>
      <w:numFmt w:val="decimal"/>
      <w:lvlText w:val="(%1)"/>
      <w:lvlJc w:val="left"/>
      <w:pPr>
        <w:ind w:left="720" w:hanging="360"/>
      </w:pPr>
      <w:rPr>
        <w:rFonts w:ascii="Arial Narrow" w:eastAsiaTheme="minorEastAsia" w:hAnsi="Arial Narrow"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162153"/>
    <w:multiLevelType w:val="hybridMultilevel"/>
    <w:tmpl w:val="415261F6"/>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9" w15:restartNumberingAfterBreak="0">
    <w:nsid w:val="715460AD"/>
    <w:multiLevelType w:val="hybridMultilevel"/>
    <w:tmpl w:val="ADCE2B02"/>
    <w:lvl w:ilvl="0" w:tplc="631E0E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D262F"/>
    <w:multiLevelType w:val="hybridMultilevel"/>
    <w:tmpl w:val="703AEA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E0B4E3F4"/>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8E7731"/>
    <w:multiLevelType w:val="hybridMultilevel"/>
    <w:tmpl w:val="3A52EA10"/>
    <w:lvl w:ilvl="0" w:tplc="090EC3B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0"/>
  </w:num>
  <w:num w:numId="4">
    <w:abstractNumId w:val="4"/>
  </w:num>
  <w:num w:numId="5">
    <w:abstractNumId w:val="11"/>
  </w:num>
  <w:num w:numId="6">
    <w:abstractNumId w:val="8"/>
  </w:num>
  <w:num w:numId="7">
    <w:abstractNumId w:val="9"/>
  </w:num>
  <w:num w:numId="8">
    <w:abstractNumId w:val="21"/>
  </w:num>
  <w:num w:numId="9">
    <w:abstractNumId w:val="19"/>
  </w:num>
  <w:num w:numId="10">
    <w:abstractNumId w:val="2"/>
  </w:num>
  <w:num w:numId="11">
    <w:abstractNumId w:val="16"/>
  </w:num>
  <w:num w:numId="12">
    <w:abstractNumId w:val="12"/>
  </w:num>
  <w:num w:numId="13">
    <w:abstractNumId w:val="22"/>
  </w:num>
  <w:num w:numId="14">
    <w:abstractNumId w:val="13"/>
  </w:num>
  <w:num w:numId="15">
    <w:abstractNumId w:val="14"/>
  </w:num>
  <w:num w:numId="16">
    <w:abstractNumId w:val="3"/>
  </w:num>
  <w:num w:numId="17">
    <w:abstractNumId w:val="1"/>
  </w:num>
  <w:num w:numId="18">
    <w:abstractNumId w:val="6"/>
  </w:num>
  <w:num w:numId="19">
    <w:abstractNumId w:val="7"/>
  </w:num>
  <w:num w:numId="20">
    <w:abstractNumId w:val="5"/>
  </w:num>
  <w:num w:numId="21">
    <w:abstractNumId w:val="15"/>
  </w:num>
  <w:num w:numId="22">
    <w:abstractNumId w:val="18"/>
  </w:num>
  <w:num w:numId="23">
    <w:abstractNumId w:val="12"/>
  </w:num>
  <w:num w:numId="24">
    <w:abstractNumId w:val="21"/>
  </w:num>
  <w:num w:numId="25">
    <w:abstractNumId w:val="21"/>
  </w:num>
  <w:num w:numId="26">
    <w:abstractNumId w:val="21"/>
  </w:num>
  <w:num w:numId="27">
    <w:abstractNumId w:val="21"/>
  </w:num>
  <w:num w:numId="28">
    <w:abstractNumId w:val="17"/>
  </w:num>
  <w:num w:numId="29">
    <w:abstractNumId w:val="21"/>
  </w:num>
  <w:num w:numId="30">
    <w:abstractNumId w:val="21"/>
  </w:num>
  <w:num w:numId="31">
    <w:abstractNumId w:val="21"/>
  </w:num>
  <w:num w:numId="3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0FE"/>
    <w:rsid w:val="00000439"/>
    <w:rsid w:val="00000790"/>
    <w:rsid w:val="00000C1E"/>
    <w:rsid w:val="0000110B"/>
    <w:rsid w:val="000015BE"/>
    <w:rsid w:val="000017B1"/>
    <w:rsid w:val="00003063"/>
    <w:rsid w:val="00003499"/>
    <w:rsid w:val="000035F0"/>
    <w:rsid w:val="000039B7"/>
    <w:rsid w:val="00003FA7"/>
    <w:rsid w:val="0000494F"/>
    <w:rsid w:val="00005F42"/>
    <w:rsid w:val="0000639A"/>
    <w:rsid w:val="000064D3"/>
    <w:rsid w:val="000078B3"/>
    <w:rsid w:val="000079D4"/>
    <w:rsid w:val="00007F6C"/>
    <w:rsid w:val="000104D6"/>
    <w:rsid w:val="00011DE3"/>
    <w:rsid w:val="00011ED8"/>
    <w:rsid w:val="000125C7"/>
    <w:rsid w:val="0001261C"/>
    <w:rsid w:val="000130F3"/>
    <w:rsid w:val="00013247"/>
    <w:rsid w:val="00014A0F"/>
    <w:rsid w:val="00015317"/>
    <w:rsid w:val="00015886"/>
    <w:rsid w:val="0001592E"/>
    <w:rsid w:val="00016203"/>
    <w:rsid w:val="000162EF"/>
    <w:rsid w:val="00016BA0"/>
    <w:rsid w:val="00016BF4"/>
    <w:rsid w:val="000176EB"/>
    <w:rsid w:val="000207C9"/>
    <w:rsid w:val="00020EAD"/>
    <w:rsid w:val="0002225F"/>
    <w:rsid w:val="00022AC2"/>
    <w:rsid w:val="00023663"/>
    <w:rsid w:val="00023763"/>
    <w:rsid w:val="00024118"/>
    <w:rsid w:val="000244E2"/>
    <w:rsid w:val="00025A2D"/>
    <w:rsid w:val="00025D72"/>
    <w:rsid w:val="00026184"/>
    <w:rsid w:val="000274B8"/>
    <w:rsid w:val="000308B3"/>
    <w:rsid w:val="00032495"/>
    <w:rsid w:val="00032AED"/>
    <w:rsid w:val="00033364"/>
    <w:rsid w:val="000337EB"/>
    <w:rsid w:val="00033863"/>
    <w:rsid w:val="00035B1A"/>
    <w:rsid w:val="00035DC0"/>
    <w:rsid w:val="000367ED"/>
    <w:rsid w:val="00036829"/>
    <w:rsid w:val="000369B9"/>
    <w:rsid w:val="00037F69"/>
    <w:rsid w:val="00040895"/>
    <w:rsid w:val="00041627"/>
    <w:rsid w:val="0004259D"/>
    <w:rsid w:val="0004292F"/>
    <w:rsid w:val="00043103"/>
    <w:rsid w:val="0004341D"/>
    <w:rsid w:val="000435EE"/>
    <w:rsid w:val="00043C37"/>
    <w:rsid w:val="00044A5F"/>
    <w:rsid w:val="00045017"/>
    <w:rsid w:val="00045A2B"/>
    <w:rsid w:val="0004698F"/>
    <w:rsid w:val="00046A2C"/>
    <w:rsid w:val="00047D9C"/>
    <w:rsid w:val="000503AD"/>
    <w:rsid w:val="000514B3"/>
    <w:rsid w:val="000515F3"/>
    <w:rsid w:val="00052077"/>
    <w:rsid w:val="000523ED"/>
    <w:rsid w:val="00052A12"/>
    <w:rsid w:val="000539D0"/>
    <w:rsid w:val="00053B01"/>
    <w:rsid w:val="00054621"/>
    <w:rsid w:val="000546D7"/>
    <w:rsid w:val="0005545C"/>
    <w:rsid w:val="00055CDC"/>
    <w:rsid w:val="00055DEF"/>
    <w:rsid w:val="00056D67"/>
    <w:rsid w:val="00056ECF"/>
    <w:rsid w:val="00057245"/>
    <w:rsid w:val="00057667"/>
    <w:rsid w:val="00057D94"/>
    <w:rsid w:val="000604DF"/>
    <w:rsid w:val="00060A36"/>
    <w:rsid w:val="00060A6F"/>
    <w:rsid w:val="0006156B"/>
    <w:rsid w:val="00063BC8"/>
    <w:rsid w:val="00064BBC"/>
    <w:rsid w:val="000653B5"/>
    <w:rsid w:val="00065CB5"/>
    <w:rsid w:val="00066360"/>
    <w:rsid w:val="0006681C"/>
    <w:rsid w:val="00066AF8"/>
    <w:rsid w:val="00071078"/>
    <w:rsid w:val="00071248"/>
    <w:rsid w:val="000720B9"/>
    <w:rsid w:val="000725A5"/>
    <w:rsid w:val="000737F7"/>
    <w:rsid w:val="0007383E"/>
    <w:rsid w:val="00073D01"/>
    <w:rsid w:val="0007475C"/>
    <w:rsid w:val="00074B8E"/>
    <w:rsid w:val="0007672F"/>
    <w:rsid w:val="00076B54"/>
    <w:rsid w:val="00076C43"/>
    <w:rsid w:val="00076CEA"/>
    <w:rsid w:val="000774F0"/>
    <w:rsid w:val="000776E9"/>
    <w:rsid w:val="00077B3E"/>
    <w:rsid w:val="0008019D"/>
    <w:rsid w:val="00080504"/>
    <w:rsid w:val="00080909"/>
    <w:rsid w:val="000811FF"/>
    <w:rsid w:val="000812CA"/>
    <w:rsid w:val="00081DBB"/>
    <w:rsid w:val="00081E63"/>
    <w:rsid w:val="00081E9C"/>
    <w:rsid w:val="0008258D"/>
    <w:rsid w:val="00083E99"/>
    <w:rsid w:val="00084FA8"/>
    <w:rsid w:val="000856C5"/>
    <w:rsid w:val="00085C31"/>
    <w:rsid w:val="0008629F"/>
    <w:rsid w:val="00086B3D"/>
    <w:rsid w:val="0009024D"/>
    <w:rsid w:val="00090295"/>
    <w:rsid w:val="000902D9"/>
    <w:rsid w:val="00090C7E"/>
    <w:rsid w:val="0009174A"/>
    <w:rsid w:val="00092600"/>
    <w:rsid w:val="0009262B"/>
    <w:rsid w:val="00093310"/>
    <w:rsid w:val="00094092"/>
    <w:rsid w:val="0009445C"/>
    <w:rsid w:val="000944AE"/>
    <w:rsid w:val="00094C66"/>
    <w:rsid w:val="00095200"/>
    <w:rsid w:val="0009580B"/>
    <w:rsid w:val="00095C70"/>
    <w:rsid w:val="00095E31"/>
    <w:rsid w:val="00095FE5"/>
    <w:rsid w:val="00096284"/>
    <w:rsid w:val="00096AA2"/>
    <w:rsid w:val="0009787F"/>
    <w:rsid w:val="000A1BC0"/>
    <w:rsid w:val="000A31B6"/>
    <w:rsid w:val="000A33F4"/>
    <w:rsid w:val="000A3501"/>
    <w:rsid w:val="000A38AF"/>
    <w:rsid w:val="000A444C"/>
    <w:rsid w:val="000A53D1"/>
    <w:rsid w:val="000A5C01"/>
    <w:rsid w:val="000A6039"/>
    <w:rsid w:val="000A6D68"/>
    <w:rsid w:val="000A7453"/>
    <w:rsid w:val="000A7D08"/>
    <w:rsid w:val="000B0121"/>
    <w:rsid w:val="000B0670"/>
    <w:rsid w:val="000B0B2F"/>
    <w:rsid w:val="000B0E75"/>
    <w:rsid w:val="000B17D8"/>
    <w:rsid w:val="000B189F"/>
    <w:rsid w:val="000B1F16"/>
    <w:rsid w:val="000B268B"/>
    <w:rsid w:val="000B2DCB"/>
    <w:rsid w:val="000B30FF"/>
    <w:rsid w:val="000B41F9"/>
    <w:rsid w:val="000B4C7D"/>
    <w:rsid w:val="000B58B2"/>
    <w:rsid w:val="000B5CE0"/>
    <w:rsid w:val="000B5D3F"/>
    <w:rsid w:val="000B6708"/>
    <w:rsid w:val="000B6CAC"/>
    <w:rsid w:val="000B7250"/>
    <w:rsid w:val="000B7612"/>
    <w:rsid w:val="000B78AE"/>
    <w:rsid w:val="000C0201"/>
    <w:rsid w:val="000C320D"/>
    <w:rsid w:val="000C344C"/>
    <w:rsid w:val="000C3DF9"/>
    <w:rsid w:val="000C5B88"/>
    <w:rsid w:val="000C641F"/>
    <w:rsid w:val="000C6713"/>
    <w:rsid w:val="000D05CD"/>
    <w:rsid w:val="000D11C1"/>
    <w:rsid w:val="000D1BFC"/>
    <w:rsid w:val="000D1D5D"/>
    <w:rsid w:val="000D281A"/>
    <w:rsid w:val="000D2848"/>
    <w:rsid w:val="000D2AAF"/>
    <w:rsid w:val="000D326A"/>
    <w:rsid w:val="000D45A5"/>
    <w:rsid w:val="000D51FB"/>
    <w:rsid w:val="000D5A50"/>
    <w:rsid w:val="000D6C27"/>
    <w:rsid w:val="000D7C19"/>
    <w:rsid w:val="000E0640"/>
    <w:rsid w:val="000E0C4D"/>
    <w:rsid w:val="000E0CF6"/>
    <w:rsid w:val="000E0ECE"/>
    <w:rsid w:val="000E1207"/>
    <w:rsid w:val="000E1344"/>
    <w:rsid w:val="000E135D"/>
    <w:rsid w:val="000E1FCE"/>
    <w:rsid w:val="000E3675"/>
    <w:rsid w:val="000E61FB"/>
    <w:rsid w:val="000E6EC8"/>
    <w:rsid w:val="000E6F5C"/>
    <w:rsid w:val="000F00BA"/>
    <w:rsid w:val="000F0948"/>
    <w:rsid w:val="000F0C2A"/>
    <w:rsid w:val="000F0D89"/>
    <w:rsid w:val="000F22D4"/>
    <w:rsid w:val="000F241E"/>
    <w:rsid w:val="000F316A"/>
    <w:rsid w:val="000F3AB3"/>
    <w:rsid w:val="000F3C74"/>
    <w:rsid w:val="000F4BB8"/>
    <w:rsid w:val="000F4FA9"/>
    <w:rsid w:val="000F53FB"/>
    <w:rsid w:val="000F623B"/>
    <w:rsid w:val="000F6BB4"/>
    <w:rsid w:val="000F7127"/>
    <w:rsid w:val="000F74C2"/>
    <w:rsid w:val="000F7B54"/>
    <w:rsid w:val="00100F8A"/>
    <w:rsid w:val="00101098"/>
    <w:rsid w:val="00102748"/>
    <w:rsid w:val="001029AB"/>
    <w:rsid w:val="00102AD1"/>
    <w:rsid w:val="0010452E"/>
    <w:rsid w:val="0010501E"/>
    <w:rsid w:val="00105AE2"/>
    <w:rsid w:val="001060C6"/>
    <w:rsid w:val="00106B80"/>
    <w:rsid w:val="00107A5D"/>
    <w:rsid w:val="0011032E"/>
    <w:rsid w:val="0011348B"/>
    <w:rsid w:val="0011366C"/>
    <w:rsid w:val="0011451D"/>
    <w:rsid w:val="00115367"/>
    <w:rsid w:val="00115982"/>
    <w:rsid w:val="00116AFC"/>
    <w:rsid w:val="00116C53"/>
    <w:rsid w:val="001179D6"/>
    <w:rsid w:val="001203E9"/>
    <w:rsid w:val="00121301"/>
    <w:rsid w:val="00121799"/>
    <w:rsid w:val="001222FC"/>
    <w:rsid w:val="0012297C"/>
    <w:rsid w:val="00123902"/>
    <w:rsid w:val="00124A51"/>
    <w:rsid w:val="00125E45"/>
    <w:rsid w:val="00125FE5"/>
    <w:rsid w:val="00126621"/>
    <w:rsid w:val="00126666"/>
    <w:rsid w:val="00126B1D"/>
    <w:rsid w:val="001301E9"/>
    <w:rsid w:val="001302C4"/>
    <w:rsid w:val="00130D86"/>
    <w:rsid w:val="00131D82"/>
    <w:rsid w:val="001320C5"/>
    <w:rsid w:val="00132242"/>
    <w:rsid w:val="00132B22"/>
    <w:rsid w:val="001339BF"/>
    <w:rsid w:val="00133D36"/>
    <w:rsid w:val="00136B98"/>
    <w:rsid w:val="00136ED6"/>
    <w:rsid w:val="00137645"/>
    <w:rsid w:val="00137932"/>
    <w:rsid w:val="0014015A"/>
    <w:rsid w:val="00140A58"/>
    <w:rsid w:val="00140E99"/>
    <w:rsid w:val="00141B55"/>
    <w:rsid w:val="00142B6C"/>
    <w:rsid w:val="00143F67"/>
    <w:rsid w:val="00144B94"/>
    <w:rsid w:val="00145540"/>
    <w:rsid w:val="001456B0"/>
    <w:rsid w:val="00145B88"/>
    <w:rsid w:val="00146774"/>
    <w:rsid w:val="00146D11"/>
    <w:rsid w:val="001502B5"/>
    <w:rsid w:val="00150F50"/>
    <w:rsid w:val="0015185A"/>
    <w:rsid w:val="00151DE9"/>
    <w:rsid w:val="00151F37"/>
    <w:rsid w:val="00152558"/>
    <w:rsid w:val="0015304B"/>
    <w:rsid w:val="00153909"/>
    <w:rsid w:val="001551CD"/>
    <w:rsid w:val="00156A01"/>
    <w:rsid w:val="00156F8F"/>
    <w:rsid w:val="00157130"/>
    <w:rsid w:val="001576B1"/>
    <w:rsid w:val="00157E95"/>
    <w:rsid w:val="00157F0A"/>
    <w:rsid w:val="0016047B"/>
    <w:rsid w:val="00160A4C"/>
    <w:rsid w:val="00161017"/>
    <w:rsid w:val="001627B1"/>
    <w:rsid w:val="00162913"/>
    <w:rsid w:val="00162B0D"/>
    <w:rsid w:val="0016367C"/>
    <w:rsid w:val="00163E39"/>
    <w:rsid w:val="00163EFF"/>
    <w:rsid w:val="00163F66"/>
    <w:rsid w:val="00164DC2"/>
    <w:rsid w:val="00165B1E"/>
    <w:rsid w:val="001661FB"/>
    <w:rsid w:val="00166C44"/>
    <w:rsid w:val="001671A0"/>
    <w:rsid w:val="0016767F"/>
    <w:rsid w:val="00167E44"/>
    <w:rsid w:val="001702C2"/>
    <w:rsid w:val="00170AF1"/>
    <w:rsid w:val="00172895"/>
    <w:rsid w:val="00173124"/>
    <w:rsid w:val="00173565"/>
    <w:rsid w:val="00173B07"/>
    <w:rsid w:val="00173DBF"/>
    <w:rsid w:val="001740F3"/>
    <w:rsid w:val="001751FA"/>
    <w:rsid w:val="00175671"/>
    <w:rsid w:val="00176171"/>
    <w:rsid w:val="00176180"/>
    <w:rsid w:val="00176BA6"/>
    <w:rsid w:val="00181D9C"/>
    <w:rsid w:val="00182B64"/>
    <w:rsid w:val="0018331C"/>
    <w:rsid w:val="00183B44"/>
    <w:rsid w:val="001847A1"/>
    <w:rsid w:val="00184B0E"/>
    <w:rsid w:val="0018515A"/>
    <w:rsid w:val="00185747"/>
    <w:rsid w:val="00185A40"/>
    <w:rsid w:val="00185A63"/>
    <w:rsid w:val="0018752F"/>
    <w:rsid w:val="00190CA8"/>
    <w:rsid w:val="00191C62"/>
    <w:rsid w:val="00193838"/>
    <w:rsid w:val="0019467D"/>
    <w:rsid w:val="00194AD8"/>
    <w:rsid w:val="00195222"/>
    <w:rsid w:val="001958B2"/>
    <w:rsid w:val="00195B86"/>
    <w:rsid w:val="00196BDD"/>
    <w:rsid w:val="00196C7B"/>
    <w:rsid w:val="001975D8"/>
    <w:rsid w:val="001A1361"/>
    <w:rsid w:val="001A178E"/>
    <w:rsid w:val="001A188A"/>
    <w:rsid w:val="001A18F6"/>
    <w:rsid w:val="001A32E0"/>
    <w:rsid w:val="001A43FA"/>
    <w:rsid w:val="001A45CB"/>
    <w:rsid w:val="001A47C5"/>
    <w:rsid w:val="001A4ACF"/>
    <w:rsid w:val="001A56DC"/>
    <w:rsid w:val="001A59FB"/>
    <w:rsid w:val="001A5E9E"/>
    <w:rsid w:val="001A6354"/>
    <w:rsid w:val="001A6366"/>
    <w:rsid w:val="001A69CF"/>
    <w:rsid w:val="001A748C"/>
    <w:rsid w:val="001A7AE8"/>
    <w:rsid w:val="001B149D"/>
    <w:rsid w:val="001B14AC"/>
    <w:rsid w:val="001B1FB2"/>
    <w:rsid w:val="001B204E"/>
    <w:rsid w:val="001B2066"/>
    <w:rsid w:val="001B2372"/>
    <w:rsid w:val="001B25B0"/>
    <w:rsid w:val="001B3443"/>
    <w:rsid w:val="001B4D17"/>
    <w:rsid w:val="001B4D20"/>
    <w:rsid w:val="001B5075"/>
    <w:rsid w:val="001B528A"/>
    <w:rsid w:val="001B6A5E"/>
    <w:rsid w:val="001B717B"/>
    <w:rsid w:val="001B7425"/>
    <w:rsid w:val="001B7FAE"/>
    <w:rsid w:val="001C038A"/>
    <w:rsid w:val="001C17F6"/>
    <w:rsid w:val="001C2333"/>
    <w:rsid w:val="001C23F2"/>
    <w:rsid w:val="001C2A9B"/>
    <w:rsid w:val="001C2AA3"/>
    <w:rsid w:val="001C32FE"/>
    <w:rsid w:val="001C4299"/>
    <w:rsid w:val="001C4679"/>
    <w:rsid w:val="001C4874"/>
    <w:rsid w:val="001C4FE2"/>
    <w:rsid w:val="001C5F94"/>
    <w:rsid w:val="001C6426"/>
    <w:rsid w:val="001C6518"/>
    <w:rsid w:val="001C6E66"/>
    <w:rsid w:val="001C7EF5"/>
    <w:rsid w:val="001D00A6"/>
    <w:rsid w:val="001D04D6"/>
    <w:rsid w:val="001D050D"/>
    <w:rsid w:val="001D0CF4"/>
    <w:rsid w:val="001D1100"/>
    <w:rsid w:val="001D1391"/>
    <w:rsid w:val="001D18C6"/>
    <w:rsid w:val="001D2361"/>
    <w:rsid w:val="001D25D7"/>
    <w:rsid w:val="001D2C07"/>
    <w:rsid w:val="001D2E66"/>
    <w:rsid w:val="001D31B2"/>
    <w:rsid w:val="001D47F5"/>
    <w:rsid w:val="001D499A"/>
    <w:rsid w:val="001D50B2"/>
    <w:rsid w:val="001D529F"/>
    <w:rsid w:val="001D6601"/>
    <w:rsid w:val="001D7645"/>
    <w:rsid w:val="001E1E86"/>
    <w:rsid w:val="001E238E"/>
    <w:rsid w:val="001E2483"/>
    <w:rsid w:val="001E2B1E"/>
    <w:rsid w:val="001E2CFF"/>
    <w:rsid w:val="001E2F24"/>
    <w:rsid w:val="001E30D4"/>
    <w:rsid w:val="001E34DF"/>
    <w:rsid w:val="001E3639"/>
    <w:rsid w:val="001E364F"/>
    <w:rsid w:val="001E378C"/>
    <w:rsid w:val="001E4D23"/>
    <w:rsid w:val="001E52EB"/>
    <w:rsid w:val="001E61D2"/>
    <w:rsid w:val="001E6834"/>
    <w:rsid w:val="001E7282"/>
    <w:rsid w:val="001E740C"/>
    <w:rsid w:val="001E7FAB"/>
    <w:rsid w:val="001F0872"/>
    <w:rsid w:val="001F0933"/>
    <w:rsid w:val="001F1235"/>
    <w:rsid w:val="001F1CB3"/>
    <w:rsid w:val="001F2574"/>
    <w:rsid w:val="001F38B5"/>
    <w:rsid w:val="001F4081"/>
    <w:rsid w:val="001F498C"/>
    <w:rsid w:val="001F4CBD"/>
    <w:rsid w:val="001F4FB2"/>
    <w:rsid w:val="001F5ABF"/>
    <w:rsid w:val="001F5FEB"/>
    <w:rsid w:val="001F6BDC"/>
    <w:rsid w:val="001F7361"/>
    <w:rsid w:val="002011B0"/>
    <w:rsid w:val="00201FF9"/>
    <w:rsid w:val="00202385"/>
    <w:rsid w:val="0020268E"/>
    <w:rsid w:val="00203181"/>
    <w:rsid w:val="00203783"/>
    <w:rsid w:val="0020385F"/>
    <w:rsid w:val="0020451D"/>
    <w:rsid w:val="00206208"/>
    <w:rsid w:val="002065A1"/>
    <w:rsid w:val="00206617"/>
    <w:rsid w:val="002068A0"/>
    <w:rsid w:val="00207021"/>
    <w:rsid w:val="0020732F"/>
    <w:rsid w:val="00207D00"/>
    <w:rsid w:val="002105C1"/>
    <w:rsid w:val="00210EF7"/>
    <w:rsid w:val="00213069"/>
    <w:rsid w:val="00213AB3"/>
    <w:rsid w:val="00213EF5"/>
    <w:rsid w:val="00214A33"/>
    <w:rsid w:val="00214D7A"/>
    <w:rsid w:val="002151A4"/>
    <w:rsid w:val="002155F5"/>
    <w:rsid w:val="00215F72"/>
    <w:rsid w:val="00215FB6"/>
    <w:rsid w:val="00216BF5"/>
    <w:rsid w:val="00217EF4"/>
    <w:rsid w:val="0022008D"/>
    <w:rsid w:val="0022049F"/>
    <w:rsid w:val="00221DA5"/>
    <w:rsid w:val="00221EF1"/>
    <w:rsid w:val="00223B49"/>
    <w:rsid w:val="00223D5A"/>
    <w:rsid w:val="00224DD4"/>
    <w:rsid w:val="002275A0"/>
    <w:rsid w:val="002278A0"/>
    <w:rsid w:val="002303BA"/>
    <w:rsid w:val="002309CC"/>
    <w:rsid w:val="00230E13"/>
    <w:rsid w:val="0023209F"/>
    <w:rsid w:val="00233637"/>
    <w:rsid w:val="00233C01"/>
    <w:rsid w:val="0023413C"/>
    <w:rsid w:val="002346F0"/>
    <w:rsid w:val="00234AD4"/>
    <w:rsid w:val="00235FFB"/>
    <w:rsid w:val="0023629D"/>
    <w:rsid w:val="00236A52"/>
    <w:rsid w:val="00237255"/>
    <w:rsid w:val="00237D3F"/>
    <w:rsid w:val="00237F8B"/>
    <w:rsid w:val="002400C3"/>
    <w:rsid w:val="00240244"/>
    <w:rsid w:val="002424AF"/>
    <w:rsid w:val="002435FF"/>
    <w:rsid w:val="002439A2"/>
    <w:rsid w:val="002439DC"/>
    <w:rsid w:val="002441D2"/>
    <w:rsid w:val="00244DC8"/>
    <w:rsid w:val="00245378"/>
    <w:rsid w:val="002458BA"/>
    <w:rsid w:val="00245CE9"/>
    <w:rsid w:val="00245D04"/>
    <w:rsid w:val="0024636C"/>
    <w:rsid w:val="00246646"/>
    <w:rsid w:val="00246748"/>
    <w:rsid w:val="002474AB"/>
    <w:rsid w:val="00247925"/>
    <w:rsid w:val="00247EF2"/>
    <w:rsid w:val="00250140"/>
    <w:rsid w:val="00250D12"/>
    <w:rsid w:val="00251006"/>
    <w:rsid w:val="002524D5"/>
    <w:rsid w:val="00252B90"/>
    <w:rsid w:val="00253B1D"/>
    <w:rsid w:val="00253CDD"/>
    <w:rsid w:val="00254358"/>
    <w:rsid w:val="002547D2"/>
    <w:rsid w:val="00254DCF"/>
    <w:rsid w:val="0025534B"/>
    <w:rsid w:val="00255724"/>
    <w:rsid w:val="00255BB7"/>
    <w:rsid w:val="00256EF5"/>
    <w:rsid w:val="002574C7"/>
    <w:rsid w:val="00257541"/>
    <w:rsid w:val="00257A39"/>
    <w:rsid w:val="00257AC4"/>
    <w:rsid w:val="00260080"/>
    <w:rsid w:val="0026146A"/>
    <w:rsid w:val="00261EEF"/>
    <w:rsid w:val="00262A1A"/>
    <w:rsid w:val="00262A87"/>
    <w:rsid w:val="0026310B"/>
    <w:rsid w:val="00264301"/>
    <w:rsid w:val="00264D26"/>
    <w:rsid w:val="00264FBF"/>
    <w:rsid w:val="00265D99"/>
    <w:rsid w:val="0026619B"/>
    <w:rsid w:val="00266D9A"/>
    <w:rsid w:val="002670E1"/>
    <w:rsid w:val="00267642"/>
    <w:rsid w:val="00267AEA"/>
    <w:rsid w:val="002700E6"/>
    <w:rsid w:val="00270F74"/>
    <w:rsid w:val="00271FE2"/>
    <w:rsid w:val="0027294B"/>
    <w:rsid w:val="002735F1"/>
    <w:rsid w:val="00273EB4"/>
    <w:rsid w:val="00274682"/>
    <w:rsid w:val="00275C5A"/>
    <w:rsid w:val="00281014"/>
    <w:rsid w:val="00282AC8"/>
    <w:rsid w:val="00283125"/>
    <w:rsid w:val="00283EA0"/>
    <w:rsid w:val="00285D5F"/>
    <w:rsid w:val="0028665D"/>
    <w:rsid w:val="00287042"/>
    <w:rsid w:val="00290D9D"/>
    <w:rsid w:val="00290E4B"/>
    <w:rsid w:val="00291AFC"/>
    <w:rsid w:val="00293E3E"/>
    <w:rsid w:val="00294130"/>
    <w:rsid w:val="00294F27"/>
    <w:rsid w:val="002A14AB"/>
    <w:rsid w:val="002A14EF"/>
    <w:rsid w:val="002A2ADE"/>
    <w:rsid w:val="002A2F50"/>
    <w:rsid w:val="002A310F"/>
    <w:rsid w:val="002A4888"/>
    <w:rsid w:val="002A5D41"/>
    <w:rsid w:val="002B05A1"/>
    <w:rsid w:val="002B06BF"/>
    <w:rsid w:val="002B090B"/>
    <w:rsid w:val="002B09A4"/>
    <w:rsid w:val="002B0AFC"/>
    <w:rsid w:val="002B1A2E"/>
    <w:rsid w:val="002B1C1F"/>
    <w:rsid w:val="002B2870"/>
    <w:rsid w:val="002B432F"/>
    <w:rsid w:val="002B59C6"/>
    <w:rsid w:val="002B62B3"/>
    <w:rsid w:val="002B6754"/>
    <w:rsid w:val="002B6BE3"/>
    <w:rsid w:val="002B6CCE"/>
    <w:rsid w:val="002B74E1"/>
    <w:rsid w:val="002C01A2"/>
    <w:rsid w:val="002C0296"/>
    <w:rsid w:val="002C106D"/>
    <w:rsid w:val="002C14AC"/>
    <w:rsid w:val="002C182B"/>
    <w:rsid w:val="002C1B42"/>
    <w:rsid w:val="002C1D7D"/>
    <w:rsid w:val="002C1E2F"/>
    <w:rsid w:val="002C2510"/>
    <w:rsid w:val="002C2775"/>
    <w:rsid w:val="002C27C1"/>
    <w:rsid w:val="002C30E0"/>
    <w:rsid w:val="002C45D6"/>
    <w:rsid w:val="002C5099"/>
    <w:rsid w:val="002C535F"/>
    <w:rsid w:val="002C5889"/>
    <w:rsid w:val="002C700B"/>
    <w:rsid w:val="002C71CE"/>
    <w:rsid w:val="002D08F8"/>
    <w:rsid w:val="002D0953"/>
    <w:rsid w:val="002D0958"/>
    <w:rsid w:val="002D0BD4"/>
    <w:rsid w:val="002D0FD9"/>
    <w:rsid w:val="002D1196"/>
    <w:rsid w:val="002D1228"/>
    <w:rsid w:val="002D19AB"/>
    <w:rsid w:val="002D2960"/>
    <w:rsid w:val="002D47BB"/>
    <w:rsid w:val="002D4988"/>
    <w:rsid w:val="002D577C"/>
    <w:rsid w:val="002D59D0"/>
    <w:rsid w:val="002D5FC6"/>
    <w:rsid w:val="002D669D"/>
    <w:rsid w:val="002D70EB"/>
    <w:rsid w:val="002D7319"/>
    <w:rsid w:val="002D78FC"/>
    <w:rsid w:val="002D7B7A"/>
    <w:rsid w:val="002E039D"/>
    <w:rsid w:val="002E0FCC"/>
    <w:rsid w:val="002E1071"/>
    <w:rsid w:val="002E15B9"/>
    <w:rsid w:val="002E1C77"/>
    <w:rsid w:val="002E2158"/>
    <w:rsid w:val="002E28CE"/>
    <w:rsid w:val="002E2C6C"/>
    <w:rsid w:val="002E39E9"/>
    <w:rsid w:val="002E4C44"/>
    <w:rsid w:val="002E4F02"/>
    <w:rsid w:val="002E5054"/>
    <w:rsid w:val="002E60A8"/>
    <w:rsid w:val="002E6395"/>
    <w:rsid w:val="002E6474"/>
    <w:rsid w:val="002E7722"/>
    <w:rsid w:val="002E793B"/>
    <w:rsid w:val="002F07BA"/>
    <w:rsid w:val="002F0DA9"/>
    <w:rsid w:val="002F1014"/>
    <w:rsid w:val="002F1016"/>
    <w:rsid w:val="002F16A8"/>
    <w:rsid w:val="002F5934"/>
    <w:rsid w:val="002F5F38"/>
    <w:rsid w:val="002F6252"/>
    <w:rsid w:val="002F643C"/>
    <w:rsid w:val="002F6B11"/>
    <w:rsid w:val="002F71C0"/>
    <w:rsid w:val="002F74F1"/>
    <w:rsid w:val="002F7B9A"/>
    <w:rsid w:val="00300499"/>
    <w:rsid w:val="003008E4"/>
    <w:rsid w:val="00301017"/>
    <w:rsid w:val="0030155F"/>
    <w:rsid w:val="003024BB"/>
    <w:rsid w:val="00304D9B"/>
    <w:rsid w:val="0030502D"/>
    <w:rsid w:val="0030587B"/>
    <w:rsid w:val="00305CEC"/>
    <w:rsid w:val="00306D98"/>
    <w:rsid w:val="0030786C"/>
    <w:rsid w:val="00307928"/>
    <w:rsid w:val="0031031A"/>
    <w:rsid w:val="00310981"/>
    <w:rsid w:val="003109CF"/>
    <w:rsid w:val="00311E9E"/>
    <w:rsid w:val="00311FFC"/>
    <w:rsid w:val="003124D9"/>
    <w:rsid w:val="00312594"/>
    <w:rsid w:val="00312DB2"/>
    <w:rsid w:val="00314122"/>
    <w:rsid w:val="00314972"/>
    <w:rsid w:val="00315498"/>
    <w:rsid w:val="00315C0D"/>
    <w:rsid w:val="003162A1"/>
    <w:rsid w:val="00316474"/>
    <w:rsid w:val="00316603"/>
    <w:rsid w:val="00317058"/>
    <w:rsid w:val="00322107"/>
    <w:rsid w:val="00322355"/>
    <w:rsid w:val="00322846"/>
    <w:rsid w:val="0032327B"/>
    <w:rsid w:val="003233CB"/>
    <w:rsid w:val="00323AB2"/>
    <w:rsid w:val="003251F0"/>
    <w:rsid w:val="00325775"/>
    <w:rsid w:val="00325EFB"/>
    <w:rsid w:val="00326087"/>
    <w:rsid w:val="00326DA7"/>
    <w:rsid w:val="003270E4"/>
    <w:rsid w:val="00327278"/>
    <w:rsid w:val="00330DAA"/>
    <w:rsid w:val="00330F5C"/>
    <w:rsid w:val="00332F09"/>
    <w:rsid w:val="003338BA"/>
    <w:rsid w:val="00334BF3"/>
    <w:rsid w:val="003366C9"/>
    <w:rsid w:val="00336A54"/>
    <w:rsid w:val="00336B7F"/>
    <w:rsid w:val="003371B0"/>
    <w:rsid w:val="00340DE7"/>
    <w:rsid w:val="00340DF1"/>
    <w:rsid w:val="00343005"/>
    <w:rsid w:val="00343FBC"/>
    <w:rsid w:val="00344C19"/>
    <w:rsid w:val="00345926"/>
    <w:rsid w:val="00346182"/>
    <w:rsid w:val="00346406"/>
    <w:rsid w:val="00346B69"/>
    <w:rsid w:val="003473EB"/>
    <w:rsid w:val="00350797"/>
    <w:rsid w:val="003517F9"/>
    <w:rsid w:val="00351916"/>
    <w:rsid w:val="00351BA9"/>
    <w:rsid w:val="003521FB"/>
    <w:rsid w:val="00352FDA"/>
    <w:rsid w:val="00353CA6"/>
    <w:rsid w:val="0035427D"/>
    <w:rsid w:val="00354723"/>
    <w:rsid w:val="00354ADE"/>
    <w:rsid w:val="00354CA0"/>
    <w:rsid w:val="00354F64"/>
    <w:rsid w:val="00354FA3"/>
    <w:rsid w:val="0035620E"/>
    <w:rsid w:val="003568C9"/>
    <w:rsid w:val="00357EF0"/>
    <w:rsid w:val="00360345"/>
    <w:rsid w:val="00360C6F"/>
    <w:rsid w:val="00360E91"/>
    <w:rsid w:val="00361967"/>
    <w:rsid w:val="00361A05"/>
    <w:rsid w:val="00361DF4"/>
    <w:rsid w:val="00362347"/>
    <w:rsid w:val="003624C4"/>
    <w:rsid w:val="003626BD"/>
    <w:rsid w:val="00363B00"/>
    <w:rsid w:val="00364524"/>
    <w:rsid w:val="003654AC"/>
    <w:rsid w:val="00367058"/>
    <w:rsid w:val="00367A02"/>
    <w:rsid w:val="00370D2F"/>
    <w:rsid w:val="003710CF"/>
    <w:rsid w:val="00371864"/>
    <w:rsid w:val="00371EDE"/>
    <w:rsid w:val="0037358A"/>
    <w:rsid w:val="00374954"/>
    <w:rsid w:val="003750F6"/>
    <w:rsid w:val="003757DA"/>
    <w:rsid w:val="003759A2"/>
    <w:rsid w:val="003760FC"/>
    <w:rsid w:val="00376E92"/>
    <w:rsid w:val="00377962"/>
    <w:rsid w:val="00381651"/>
    <w:rsid w:val="003817F3"/>
    <w:rsid w:val="00381859"/>
    <w:rsid w:val="0038235B"/>
    <w:rsid w:val="00383432"/>
    <w:rsid w:val="0038365C"/>
    <w:rsid w:val="0038369B"/>
    <w:rsid w:val="00383B78"/>
    <w:rsid w:val="003842E2"/>
    <w:rsid w:val="00384ABC"/>
    <w:rsid w:val="00385289"/>
    <w:rsid w:val="00385A9D"/>
    <w:rsid w:val="00386AFC"/>
    <w:rsid w:val="00386B69"/>
    <w:rsid w:val="003902B1"/>
    <w:rsid w:val="0039042B"/>
    <w:rsid w:val="0039179C"/>
    <w:rsid w:val="00393510"/>
    <w:rsid w:val="00394777"/>
    <w:rsid w:val="00396896"/>
    <w:rsid w:val="00396BB0"/>
    <w:rsid w:val="00396FD0"/>
    <w:rsid w:val="0039736B"/>
    <w:rsid w:val="003979FC"/>
    <w:rsid w:val="003A14D8"/>
    <w:rsid w:val="003A1A0A"/>
    <w:rsid w:val="003A1A7A"/>
    <w:rsid w:val="003A1AC7"/>
    <w:rsid w:val="003A1C1E"/>
    <w:rsid w:val="003A2392"/>
    <w:rsid w:val="003A2616"/>
    <w:rsid w:val="003A2831"/>
    <w:rsid w:val="003A2D80"/>
    <w:rsid w:val="003A3CB6"/>
    <w:rsid w:val="003A3EB0"/>
    <w:rsid w:val="003A3ED1"/>
    <w:rsid w:val="003A3F52"/>
    <w:rsid w:val="003A43EC"/>
    <w:rsid w:val="003A44DB"/>
    <w:rsid w:val="003A51BB"/>
    <w:rsid w:val="003A59BC"/>
    <w:rsid w:val="003A5C09"/>
    <w:rsid w:val="003A6254"/>
    <w:rsid w:val="003A6592"/>
    <w:rsid w:val="003A6B9E"/>
    <w:rsid w:val="003B24B8"/>
    <w:rsid w:val="003B2F65"/>
    <w:rsid w:val="003B3813"/>
    <w:rsid w:val="003B3971"/>
    <w:rsid w:val="003B4B51"/>
    <w:rsid w:val="003B509C"/>
    <w:rsid w:val="003B52C4"/>
    <w:rsid w:val="003B55D1"/>
    <w:rsid w:val="003B5B61"/>
    <w:rsid w:val="003B64F5"/>
    <w:rsid w:val="003B7834"/>
    <w:rsid w:val="003C07EE"/>
    <w:rsid w:val="003C106B"/>
    <w:rsid w:val="003C1654"/>
    <w:rsid w:val="003C1743"/>
    <w:rsid w:val="003C3D44"/>
    <w:rsid w:val="003C5542"/>
    <w:rsid w:val="003C62DD"/>
    <w:rsid w:val="003C64C8"/>
    <w:rsid w:val="003C70B2"/>
    <w:rsid w:val="003C74C1"/>
    <w:rsid w:val="003C780B"/>
    <w:rsid w:val="003C7841"/>
    <w:rsid w:val="003C7D19"/>
    <w:rsid w:val="003C7D2F"/>
    <w:rsid w:val="003D0B26"/>
    <w:rsid w:val="003D1828"/>
    <w:rsid w:val="003D1B83"/>
    <w:rsid w:val="003D1C5B"/>
    <w:rsid w:val="003D1DE4"/>
    <w:rsid w:val="003D1E9A"/>
    <w:rsid w:val="003D21ED"/>
    <w:rsid w:val="003D2305"/>
    <w:rsid w:val="003D2422"/>
    <w:rsid w:val="003D2B1F"/>
    <w:rsid w:val="003D2D37"/>
    <w:rsid w:val="003D386D"/>
    <w:rsid w:val="003D39A1"/>
    <w:rsid w:val="003D3FBF"/>
    <w:rsid w:val="003D4A30"/>
    <w:rsid w:val="003D4D67"/>
    <w:rsid w:val="003D628B"/>
    <w:rsid w:val="003D6527"/>
    <w:rsid w:val="003D7452"/>
    <w:rsid w:val="003D7881"/>
    <w:rsid w:val="003D7925"/>
    <w:rsid w:val="003D79BB"/>
    <w:rsid w:val="003D79BE"/>
    <w:rsid w:val="003D7A4A"/>
    <w:rsid w:val="003D7C98"/>
    <w:rsid w:val="003D7D9D"/>
    <w:rsid w:val="003E00EB"/>
    <w:rsid w:val="003E0543"/>
    <w:rsid w:val="003E0FB3"/>
    <w:rsid w:val="003E271A"/>
    <w:rsid w:val="003E2854"/>
    <w:rsid w:val="003E3C61"/>
    <w:rsid w:val="003E6949"/>
    <w:rsid w:val="003E749E"/>
    <w:rsid w:val="003F058D"/>
    <w:rsid w:val="003F0781"/>
    <w:rsid w:val="003F15F0"/>
    <w:rsid w:val="003F29AE"/>
    <w:rsid w:val="003F385C"/>
    <w:rsid w:val="003F3932"/>
    <w:rsid w:val="003F3C65"/>
    <w:rsid w:val="003F3F2A"/>
    <w:rsid w:val="003F4050"/>
    <w:rsid w:val="003F4156"/>
    <w:rsid w:val="003F4AA7"/>
    <w:rsid w:val="003F50E4"/>
    <w:rsid w:val="003F5256"/>
    <w:rsid w:val="003F57B0"/>
    <w:rsid w:val="003F5ADF"/>
    <w:rsid w:val="003F5D23"/>
    <w:rsid w:val="003F6365"/>
    <w:rsid w:val="003F6712"/>
    <w:rsid w:val="003F69BF"/>
    <w:rsid w:val="00400194"/>
    <w:rsid w:val="00400B29"/>
    <w:rsid w:val="00403C9D"/>
    <w:rsid w:val="0040504B"/>
    <w:rsid w:val="004059F4"/>
    <w:rsid w:val="00405F14"/>
    <w:rsid w:val="0040696A"/>
    <w:rsid w:val="00406FF1"/>
    <w:rsid w:val="0040735C"/>
    <w:rsid w:val="00407FE5"/>
    <w:rsid w:val="004101B0"/>
    <w:rsid w:val="00410326"/>
    <w:rsid w:val="00410520"/>
    <w:rsid w:val="00410708"/>
    <w:rsid w:val="00410B51"/>
    <w:rsid w:val="00410EC7"/>
    <w:rsid w:val="00411B39"/>
    <w:rsid w:val="00412059"/>
    <w:rsid w:val="004127A7"/>
    <w:rsid w:val="00412E4C"/>
    <w:rsid w:val="00413A1E"/>
    <w:rsid w:val="004143AD"/>
    <w:rsid w:val="00414476"/>
    <w:rsid w:val="0041494A"/>
    <w:rsid w:val="00414C2E"/>
    <w:rsid w:val="004151CF"/>
    <w:rsid w:val="00415875"/>
    <w:rsid w:val="004160C0"/>
    <w:rsid w:val="00416364"/>
    <w:rsid w:val="00416C75"/>
    <w:rsid w:val="0042047F"/>
    <w:rsid w:val="00420AA6"/>
    <w:rsid w:val="00420B9F"/>
    <w:rsid w:val="004215B4"/>
    <w:rsid w:val="0042192C"/>
    <w:rsid w:val="004219FB"/>
    <w:rsid w:val="00422260"/>
    <w:rsid w:val="0042261D"/>
    <w:rsid w:val="00422CDF"/>
    <w:rsid w:val="00423350"/>
    <w:rsid w:val="0042413F"/>
    <w:rsid w:val="004243F4"/>
    <w:rsid w:val="00424F86"/>
    <w:rsid w:val="004253EA"/>
    <w:rsid w:val="00425475"/>
    <w:rsid w:val="00425B6E"/>
    <w:rsid w:val="00426A63"/>
    <w:rsid w:val="00426A97"/>
    <w:rsid w:val="004308B8"/>
    <w:rsid w:val="004319F8"/>
    <w:rsid w:val="00431E55"/>
    <w:rsid w:val="004321F6"/>
    <w:rsid w:val="00432554"/>
    <w:rsid w:val="00432618"/>
    <w:rsid w:val="00433044"/>
    <w:rsid w:val="00434088"/>
    <w:rsid w:val="00434129"/>
    <w:rsid w:val="004342F5"/>
    <w:rsid w:val="004345E8"/>
    <w:rsid w:val="00436A71"/>
    <w:rsid w:val="004372EB"/>
    <w:rsid w:val="00437437"/>
    <w:rsid w:val="004375B9"/>
    <w:rsid w:val="00437C94"/>
    <w:rsid w:val="00440A8A"/>
    <w:rsid w:val="00440D68"/>
    <w:rsid w:val="00440DC1"/>
    <w:rsid w:val="00440EB8"/>
    <w:rsid w:val="004416F9"/>
    <w:rsid w:val="004422C0"/>
    <w:rsid w:val="004428D0"/>
    <w:rsid w:val="00443AFA"/>
    <w:rsid w:val="00443FED"/>
    <w:rsid w:val="00444185"/>
    <w:rsid w:val="004443A7"/>
    <w:rsid w:val="0044442C"/>
    <w:rsid w:val="00444EE2"/>
    <w:rsid w:val="00445941"/>
    <w:rsid w:val="00446220"/>
    <w:rsid w:val="004464EB"/>
    <w:rsid w:val="00447837"/>
    <w:rsid w:val="00447D26"/>
    <w:rsid w:val="00447DFC"/>
    <w:rsid w:val="00451534"/>
    <w:rsid w:val="00451DE5"/>
    <w:rsid w:val="004541B8"/>
    <w:rsid w:val="004541D3"/>
    <w:rsid w:val="004548F8"/>
    <w:rsid w:val="00455D45"/>
    <w:rsid w:val="00457B2A"/>
    <w:rsid w:val="00457CFB"/>
    <w:rsid w:val="00457E80"/>
    <w:rsid w:val="00460139"/>
    <w:rsid w:val="00460263"/>
    <w:rsid w:val="00462A32"/>
    <w:rsid w:val="00462C49"/>
    <w:rsid w:val="00462D7E"/>
    <w:rsid w:val="00463154"/>
    <w:rsid w:val="00463B59"/>
    <w:rsid w:val="00464595"/>
    <w:rsid w:val="004658B5"/>
    <w:rsid w:val="00465A66"/>
    <w:rsid w:val="00465AA2"/>
    <w:rsid w:val="00465D04"/>
    <w:rsid w:val="00466C60"/>
    <w:rsid w:val="00466DDA"/>
    <w:rsid w:val="0046759A"/>
    <w:rsid w:val="004701E3"/>
    <w:rsid w:val="0047034A"/>
    <w:rsid w:val="00471E64"/>
    <w:rsid w:val="00471EA5"/>
    <w:rsid w:val="00472A79"/>
    <w:rsid w:val="00473497"/>
    <w:rsid w:val="00473F19"/>
    <w:rsid w:val="00474ACD"/>
    <w:rsid w:val="00474AF9"/>
    <w:rsid w:val="00475485"/>
    <w:rsid w:val="00475E22"/>
    <w:rsid w:val="00475F42"/>
    <w:rsid w:val="0047730C"/>
    <w:rsid w:val="0048088E"/>
    <w:rsid w:val="00480F2B"/>
    <w:rsid w:val="00482165"/>
    <w:rsid w:val="004825B2"/>
    <w:rsid w:val="00482720"/>
    <w:rsid w:val="00483290"/>
    <w:rsid w:val="004835E7"/>
    <w:rsid w:val="004838E2"/>
    <w:rsid w:val="00484B13"/>
    <w:rsid w:val="00485FB1"/>
    <w:rsid w:val="00486277"/>
    <w:rsid w:val="004867E2"/>
    <w:rsid w:val="0048778B"/>
    <w:rsid w:val="00487A7D"/>
    <w:rsid w:val="00490B17"/>
    <w:rsid w:val="00490F0E"/>
    <w:rsid w:val="0049109A"/>
    <w:rsid w:val="00491B3A"/>
    <w:rsid w:val="00492CFD"/>
    <w:rsid w:val="00493B16"/>
    <w:rsid w:val="00494207"/>
    <w:rsid w:val="00494A7E"/>
    <w:rsid w:val="00494DD5"/>
    <w:rsid w:val="004962D2"/>
    <w:rsid w:val="0049632F"/>
    <w:rsid w:val="00497879"/>
    <w:rsid w:val="004A000C"/>
    <w:rsid w:val="004A04A0"/>
    <w:rsid w:val="004A0DA1"/>
    <w:rsid w:val="004A13D6"/>
    <w:rsid w:val="004A168B"/>
    <w:rsid w:val="004A1E3F"/>
    <w:rsid w:val="004A20D3"/>
    <w:rsid w:val="004A28FD"/>
    <w:rsid w:val="004A2ED4"/>
    <w:rsid w:val="004A433F"/>
    <w:rsid w:val="004A4C43"/>
    <w:rsid w:val="004A4EB0"/>
    <w:rsid w:val="004A52E9"/>
    <w:rsid w:val="004A6040"/>
    <w:rsid w:val="004A60FF"/>
    <w:rsid w:val="004A6597"/>
    <w:rsid w:val="004A7848"/>
    <w:rsid w:val="004A7C6F"/>
    <w:rsid w:val="004B0A1D"/>
    <w:rsid w:val="004B1C1E"/>
    <w:rsid w:val="004B1CB4"/>
    <w:rsid w:val="004B21B3"/>
    <w:rsid w:val="004B2B62"/>
    <w:rsid w:val="004B2C69"/>
    <w:rsid w:val="004B2F18"/>
    <w:rsid w:val="004B3241"/>
    <w:rsid w:val="004B3524"/>
    <w:rsid w:val="004B3639"/>
    <w:rsid w:val="004B3A1F"/>
    <w:rsid w:val="004B3DDB"/>
    <w:rsid w:val="004B40E2"/>
    <w:rsid w:val="004B44FD"/>
    <w:rsid w:val="004B4A49"/>
    <w:rsid w:val="004B50B8"/>
    <w:rsid w:val="004B50BA"/>
    <w:rsid w:val="004B58CA"/>
    <w:rsid w:val="004B5CFC"/>
    <w:rsid w:val="004B6525"/>
    <w:rsid w:val="004B6F79"/>
    <w:rsid w:val="004B774D"/>
    <w:rsid w:val="004B7B3E"/>
    <w:rsid w:val="004C0340"/>
    <w:rsid w:val="004C0626"/>
    <w:rsid w:val="004C42D5"/>
    <w:rsid w:val="004C42EF"/>
    <w:rsid w:val="004C49D8"/>
    <w:rsid w:val="004C4AED"/>
    <w:rsid w:val="004C5064"/>
    <w:rsid w:val="004C5F71"/>
    <w:rsid w:val="004C6F8D"/>
    <w:rsid w:val="004D14F5"/>
    <w:rsid w:val="004D18C5"/>
    <w:rsid w:val="004D2C2D"/>
    <w:rsid w:val="004D2E3B"/>
    <w:rsid w:val="004D3AC4"/>
    <w:rsid w:val="004D3ED6"/>
    <w:rsid w:val="004D5402"/>
    <w:rsid w:val="004D5AA8"/>
    <w:rsid w:val="004D5FCD"/>
    <w:rsid w:val="004D69B5"/>
    <w:rsid w:val="004D7227"/>
    <w:rsid w:val="004E0E7F"/>
    <w:rsid w:val="004E0EB8"/>
    <w:rsid w:val="004E18E9"/>
    <w:rsid w:val="004E2861"/>
    <w:rsid w:val="004E2ADC"/>
    <w:rsid w:val="004E3CD6"/>
    <w:rsid w:val="004E43B2"/>
    <w:rsid w:val="004E495E"/>
    <w:rsid w:val="004E49CF"/>
    <w:rsid w:val="004E4C1B"/>
    <w:rsid w:val="004E52F2"/>
    <w:rsid w:val="004E5305"/>
    <w:rsid w:val="004E6432"/>
    <w:rsid w:val="004E665D"/>
    <w:rsid w:val="004F08C1"/>
    <w:rsid w:val="004F08C9"/>
    <w:rsid w:val="004F1982"/>
    <w:rsid w:val="004F1D02"/>
    <w:rsid w:val="004F2679"/>
    <w:rsid w:val="004F27B9"/>
    <w:rsid w:val="004F2F21"/>
    <w:rsid w:val="004F3DE5"/>
    <w:rsid w:val="004F4345"/>
    <w:rsid w:val="004F6913"/>
    <w:rsid w:val="004F7865"/>
    <w:rsid w:val="004F7C9F"/>
    <w:rsid w:val="00500523"/>
    <w:rsid w:val="005005E0"/>
    <w:rsid w:val="005010D6"/>
    <w:rsid w:val="0050174E"/>
    <w:rsid w:val="00501854"/>
    <w:rsid w:val="0050219B"/>
    <w:rsid w:val="005021CD"/>
    <w:rsid w:val="00503F17"/>
    <w:rsid w:val="0050533A"/>
    <w:rsid w:val="00505CC2"/>
    <w:rsid w:val="00506928"/>
    <w:rsid w:val="005076C1"/>
    <w:rsid w:val="005077EF"/>
    <w:rsid w:val="0050785D"/>
    <w:rsid w:val="00511757"/>
    <w:rsid w:val="00511AD5"/>
    <w:rsid w:val="00511DC7"/>
    <w:rsid w:val="00511DDE"/>
    <w:rsid w:val="0051238B"/>
    <w:rsid w:val="00512BBB"/>
    <w:rsid w:val="005135D7"/>
    <w:rsid w:val="005142C5"/>
    <w:rsid w:val="0051501B"/>
    <w:rsid w:val="005152B5"/>
    <w:rsid w:val="00515583"/>
    <w:rsid w:val="00515AF0"/>
    <w:rsid w:val="005162B5"/>
    <w:rsid w:val="00516533"/>
    <w:rsid w:val="00520B58"/>
    <w:rsid w:val="0052123C"/>
    <w:rsid w:val="00521319"/>
    <w:rsid w:val="00522BC8"/>
    <w:rsid w:val="005232D7"/>
    <w:rsid w:val="00523C28"/>
    <w:rsid w:val="00525903"/>
    <w:rsid w:val="00526C83"/>
    <w:rsid w:val="00526F4F"/>
    <w:rsid w:val="00530AA2"/>
    <w:rsid w:val="0053176B"/>
    <w:rsid w:val="00531DEB"/>
    <w:rsid w:val="00532D3B"/>
    <w:rsid w:val="00533865"/>
    <w:rsid w:val="0053387B"/>
    <w:rsid w:val="0053475E"/>
    <w:rsid w:val="005349D7"/>
    <w:rsid w:val="00534BB8"/>
    <w:rsid w:val="00534DF1"/>
    <w:rsid w:val="00535276"/>
    <w:rsid w:val="00536F42"/>
    <w:rsid w:val="00537182"/>
    <w:rsid w:val="0054051F"/>
    <w:rsid w:val="00540F6E"/>
    <w:rsid w:val="00541D59"/>
    <w:rsid w:val="00541EDD"/>
    <w:rsid w:val="00542743"/>
    <w:rsid w:val="0054284C"/>
    <w:rsid w:val="00542C2D"/>
    <w:rsid w:val="005431A6"/>
    <w:rsid w:val="00543875"/>
    <w:rsid w:val="00543A2E"/>
    <w:rsid w:val="00544472"/>
    <w:rsid w:val="00545F5C"/>
    <w:rsid w:val="0054606D"/>
    <w:rsid w:val="005478BD"/>
    <w:rsid w:val="005479E3"/>
    <w:rsid w:val="00551228"/>
    <w:rsid w:val="00551985"/>
    <w:rsid w:val="00552BD3"/>
    <w:rsid w:val="005532A0"/>
    <w:rsid w:val="00555109"/>
    <w:rsid w:val="005566B9"/>
    <w:rsid w:val="00556B35"/>
    <w:rsid w:val="00556EB8"/>
    <w:rsid w:val="0055741A"/>
    <w:rsid w:val="00557908"/>
    <w:rsid w:val="005611B7"/>
    <w:rsid w:val="005618D4"/>
    <w:rsid w:val="0056197E"/>
    <w:rsid w:val="00563A5B"/>
    <w:rsid w:val="00565033"/>
    <w:rsid w:val="00565D9A"/>
    <w:rsid w:val="00565DF0"/>
    <w:rsid w:val="0056696F"/>
    <w:rsid w:val="0056740C"/>
    <w:rsid w:val="00567D6F"/>
    <w:rsid w:val="005703EA"/>
    <w:rsid w:val="00570403"/>
    <w:rsid w:val="00571B28"/>
    <w:rsid w:val="00572269"/>
    <w:rsid w:val="0057244A"/>
    <w:rsid w:val="00572F26"/>
    <w:rsid w:val="0057380B"/>
    <w:rsid w:val="005742AF"/>
    <w:rsid w:val="005750C5"/>
    <w:rsid w:val="005752DE"/>
    <w:rsid w:val="00575D8D"/>
    <w:rsid w:val="005765AE"/>
    <w:rsid w:val="00576972"/>
    <w:rsid w:val="00580327"/>
    <w:rsid w:val="00580A62"/>
    <w:rsid w:val="005814A7"/>
    <w:rsid w:val="005815D5"/>
    <w:rsid w:val="00581ABB"/>
    <w:rsid w:val="00583699"/>
    <w:rsid w:val="0058431D"/>
    <w:rsid w:val="00585212"/>
    <w:rsid w:val="00585CDD"/>
    <w:rsid w:val="00586760"/>
    <w:rsid w:val="00587058"/>
    <w:rsid w:val="005871D0"/>
    <w:rsid w:val="005904D9"/>
    <w:rsid w:val="00590A01"/>
    <w:rsid w:val="00590F47"/>
    <w:rsid w:val="00591372"/>
    <w:rsid w:val="00591957"/>
    <w:rsid w:val="00591F84"/>
    <w:rsid w:val="00592466"/>
    <w:rsid w:val="00592CFF"/>
    <w:rsid w:val="00593F4D"/>
    <w:rsid w:val="005960EE"/>
    <w:rsid w:val="00597BF9"/>
    <w:rsid w:val="00597DA6"/>
    <w:rsid w:val="005A04A9"/>
    <w:rsid w:val="005A309A"/>
    <w:rsid w:val="005A373D"/>
    <w:rsid w:val="005A439F"/>
    <w:rsid w:val="005A46F8"/>
    <w:rsid w:val="005A4A14"/>
    <w:rsid w:val="005A5F1F"/>
    <w:rsid w:val="005A74AA"/>
    <w:rsid w:val="005A7A2D"/>
    <w:rsid w:val="005B0B58"/>
    <w:rsid w:val="005B11A2"/>
    <w:rsid w:val="005B1410"/>
    <w:rsid w:val="005B288E"/>
    <w:rsid w:val="005B2AD2"/>
    <w:rsid w:val="005B4E53"/>
    <w:rsid w:val="005B4FED"/>
    <w:rsid w:val="005B5117"/>
    <w:rsid w:val="005B5857"/>
    <w:rsid w:val="005B687B"/>
    <w:rsid w:val="005B7185"/>
    <w:rsid w:val="005B77F3"/>
    <w:rsid w:val="005B7CDB"/>
    <w:rsid w:val="005C07DF"/>
    <w:rsid w:val="005C0835"/>
    <w:rsid w:val="005C1399"/>
    <w:rsid w:val="005C1B83"/>
    <w:rsid w:val="005C25FF"/>
    <w:rsid w:val="005C2D55"/>
    <w:rsid w:val="005C346B"/>
    <w:rsid w:val="005C3E68"/>
    <w:rsid w:val="005C5381"/>
    <w:rsid w:val="005C5595"/>
    <w:rsid w:val="005C5708"/>
    <w:rsid w:val="005D044D"/>
    <w:rsid w:val="005D057C"/>
    <w:rsid w:val="005D0592"/>
    <w:rsid w:val="005D098B"/>
    <w:rsid w:val="005D0ABD"/>
    <w:rsid w:val="005D0CAC"/>
    <w:rsid w:val="005D18AD"/>
    <w:rsid w:val="005D228F"/>
    <w:rsid w:val="005D26B4"/>
    <w:rsid w:val="005D3C10"/>
    <w:rsid w:val="005D3E5E"/>
    <w:rsid w:val="005D4A1B"/>
    <w:rsid w:val="005D4BB6"/>
    <w:rsid w:val="005D4C9F"/>
    <w:rsid w:val="005D5561"/>
    <w:rsid w:val="005D7708"/>
    <w:rsid w:val="005D7760"/>
    <w:rsid w:val="005E01F5"/>
    <w:rsid w:val="005E1AEC"/>
    <w:rsid w:val="005E2A13"/>
    <w:rsid w:val="005E31EB"/>
    <w:rsid w:val="005E426E"/>
    <w:rsid w:val="005E4628"/>
    <w:rsid w:val="005E485A"/>
    <w:rsid w:val="005E50AA"/>
    <w:rsid w:val="005E6CBC"/>
    <w:rsid w:val="005E72FF"/>
    <w:rsid w:val="005E73C0"/>
    <w:rsid w:val="005E7FEB"/>
    <w:rsid w:val="005F0526"/>
    <w:rsid w:val="005F19C2"/>
    <w:rsid w:val="005F1A39"/>
    <w:rsid w:val="005F2706"/>
    <w:rsid w:val="005F35E8"/>
    <w:rsid w:val="005F39F9"/>
    <w:rsid w:val="005F548A"/>
    <w:rsid w:val="005F5706"/>
    <w:rsid w:val="005F5C2D"/>
    <w:rsid w:val="005F6A8F"/>
    <w:rsid w:val="005F6BB7"/>
    <w:rsid w:val="005F7588"/>
    <w:rsid w:val="006000EB"/>
    <w:rsid w:val="00601C39"/>
    <w:rsid w:val="00602260"/>
    <w:rsid w:val="00603DB9"/>
    <w:rsid w:val="00604659"/>
    <w:rsid w:val="00606FBA"/>
    <w:rsid w:val="00607669"/>
    <w:rsid w:val="006076F4"/>
    <w:rsid w:val="00607AFD"/>
    <w:rsid w:val="00607FDE"/>
    <w:rsid w:val="00610F83"/>
    <w:rsid w:val="0061124D"/>
    <w:rsid w:val="00612109"/>
    <w:rsid w:val="00612F97"/>
    <w:rsid w:val="0061345D"/>
    <w:rsid w:val="00613608"/>
    <w:rsid w:val="00613D43"/>
    <w:rsid w:val="0061549B"/>
    <w:rsid w:val="00615686"/>
    <w:rsid w:val="00615ABB"/>
    <w:rsid w:val="00615BFD"/>
    <w:rsid w:val="00616802"/>
    <w:rsid w:val="0061701C"/>
    <w:rsid w:val="00617DFC"/>
    <w:rsid w:val="00617E12"/>
    <w:rsid w:val="00620C25"/>
    <w:rsid w:val="00621477"/>
    <w:rsid w:val="00621ADA"/>
    <w:rsid w:val="00621C27"/>
    <w:rsid w:val="0062271C"/>
    <w:rsid w:val="006234E9"/>
    <w:rsid w:val="00623B2C"/>
    <w:rsid w:val="00623BD0"/>
    <w:rsid w:val="00623F7B"/>
    <w:rsid w:val="00623FB8"/>
    <w:rsid w:val="0062477D"/>
    <w:rsid w:val="006247ED"/>
    <w:rsid w:val="00626F5C"/>
    <w:rsid w:val="00627300"/>
    <w:rsid w:val="006278AC"/>
    <w:rsid w:val="00630EBC"/>
    <w:rsid w:val="0063158F"/>
    <w:rsid w:val="00631BB2"/>
    <w:rsid w:val="00631D6B"/>
    <w:rsid w:val="00631F1F"/>
    <w:rsid w:val="00632183"/>
    <w:rsid w:val="006321CE"/>
    <w:rsid w:val="00632E54"/>
    <w:rsid w:val="006330A1"/>
    <w:rsid w:val="0063479F"/>
    <w:rsid w:val="006353F0"/>
    <w:rsid w:val="006357B5"/>
    <w:rsid w:val="00635C70"/>
    <w:rsid w:val="006364A1"/>
    <w:rsid w:val="0063678E"/>
    <w:rsid w:val="00637BFD"/>
    <w:rsid w:val="00641C4E"/>
    <w:rsid w:val="00641FB3"/>
    <w:rsid w:val="0064251D"/>
    <w:rsid w:val="00643667"/>
    <w:rsid w:val="0064434C"/>
    <w:rsid w:val="006448F8"/>
    <w:rsid w:val="0064630D"/>
    <w:rsid w:val="006465BA"/>
    <w:rsid w:val="00646AE8"/>
    <w:rsid w:val="00646C45"/>
    <w:rsid w:val="00646E22"/>
    <w:rsid w:val="00646F90"/>
    <w:rsid w:val="006471CC"/>
    <w:rsid w:val="00647555"/>
    <w:rsid w:val="00647A29"/>
    <w:rsid w:val="00650445"/>
    <w:rsid w:val="0065079F"/>
    <w:rsid w:val="00651437"/>
    <w:rsid w:val="00652A28"/>
    <w:rsid w:val="006531EF"/>
    <w:rsid w:val="00653604"/>
    <w:rsid w:val="0065379F"/>
    <w:rsid w:val="0065462F"/>
    <w:rsid w:val="00655663"/>
    <w:rsid w:val="00655FCB"/>
    <w:rsid w:val="00656188"/>
    <w:rsid w:val="0065715A"/>
    <w:rsid w:val="00657C4B"/>
    <w:rsid w:val="00657FCF"/>
    <w:rsid w:val="0066041C"/>
    <w:rsid w:val="006610F1"/>
    <w:rsid w:val="00661C02"/>
    <w:rsid w:val="00661C6B"/>
    <w:rsid w:val="006626EC"/>
    <w:rsid w:val="006629B5"/>
    <w:rsid w:val="00662B01"/>
    <w:rsid w:val="00664B3E"/>
    <w:rsid w:val="00664C7B"/>
    <w:rsid w:val="00667295"/>
    <w:rsid w:val="00670006"/>
    <w:rsid w:val="00671004"/>
    <w:rsid w:val="006723ED"/>
    <w:rsid w:val="006723FD"/>
    <w:rsid w:val="00672646"/>
    <w:rsid w:val="00672F6D"/>
    <w:rsid w:val="00673152"/>
    <w:rsid w:val="006733EC"/>
    <w:rsid w:val="00673B1C"/>
    <w:rsid w:val="00673F26"/>
    <w:rsid w:val="00674E42"/>
    <w:rsid w:val="006759C9"/>
    <w:rsid w:val="00675A1A"/>
    <w:rsid w:val="00676B7C"/>
    <w:rsid w:val="0067760D"/>
    <w:rsid w:val="006813F8"/>
    <w:rsid w:val="00681801"/>
    <w:rsid w:val="00681BC0"/>
    <w:rsid w:val="00681ECE"/>
    <w:rsid w:val="00682112"/>
    <w:rsid w:val="00682B7C"/>
    <w:rsid w:val="00682BA6"/>
    <w:rsid w:val="006831DF"/>
    <w:rsid w:val="00683639"/>
    <w:rsid w:val="00683A66"/>
    <w:rsid w:val="00685113"/>
    <w:rsid w:val="006855A7"/>
    <w:rsid w:val="00685773"/>
    <w:rsid w:val="0068603B"/>
    <w:rsid w:val="00686957"/>
    <w:rsid w:val="00686EF8"/>
    <w:rsid w:val="006872BA"/>
    <w:rsid w:val="00690795"/>
    <w:rsid w:val="00691648"/>
    <w:rsid w:val="006917D7"/>
    <w:rsid w:val="00691F09"/>
    <w:rsid w:val="006924E2"/>
    <w:rsid w:val="006939E6"/>
    <w:rsid w:val="0069432F"/>
    <w:rsid w:val="0069434C"/>
    <w:rsid w:val="00694F44"/>
    <w:rsid w:val="006951FB"/>
    <w:rsid w:val="00695266"/>
    <w:rsid w:val="00696F51"/>
    <w:rsid w:val="006973A7"/>
    <w:rsid w:val="0069765B"/>
    <w:rsid w:val="006979A5"/>
    <w:rsid w:val="006A0F99"/>
    <w:rsid w:val="006A2A26"/>
    <w:rsid w:val="006A3F1C"/>
    <w:rsid w:val="006A44DD"/>
    <w:rsid w:val="006A47EB"/>
    <w:rsid w:val="006A4E2A"/>
    <w:rsid w:val="006A5B5B"/>
    <w:rsid w:val="006A6253"/>
    <w:rsid w:val="006A64D2"/>
    <w:rsid w:val="006A6B99"/>
    <w:rsid w:val="006A7211"/>
    <w:rsid w:val="006A7872"/>
    <w:rsid w:val="006A7E5F"/>
    <w:rsid w:val="006A7EA1"/>
    <w:rsid w:val="006B0530"/>
    <w:rsid w:val="006B0748"/>
    <w:rsid w:val="006B2117"/>
    <w:rsid w:val="006B261B"/>
    <w:rsid w:val="006B269D"/>
    <w:rsid w:val="006B2C90"/>
    <w:rsid w:val="006B2FA3"/>
    <w:rsid w:val="006B35E6"/>
    <w:rsid w:val="006B465A"/>
    <w:rsid w:val="006B6DD0"/>
    <w:rsid w:val="006B6FE8"/>
    <w:rsid w:val="006B78FC"/>
    <w:rsid w:val="006C0399"/>
    <w:rsid w:val="006C04AB"/>
    <w:rsid w:val="006C16E0"/>
    <w:rsid w:val="006C2A8E"/>
    <w:rsid w:val="006C3095"/>
    <w:rsid w:val="006C3255"/>
    <w:rsid w:val="006C3F26"/>
    <w:rsid w:val="006C4AFD"/>
    <w:rsid w:val="006C5921"/>
    <w:rsid w:val="006C626A"/>
    <w:rsid w:val="006C7007"/>
    <w:rsid w:val="006C7373"/>
    <w:rsid w:val="006D0D17"/>
    <w:rsid w:val="006D346E"/>
    <w:rsid w:val="006D39B0"/>
    <w:rsid w:val="006D3C7D"/>
    <w:rsid w:val="006D4659"/>
    <w:rsid w:val="006D5D5F"/>
    <w:rsid w:val="006D65FF"/>
    <w:rsid w:val="006D68FB"/>
    <w:rsid w:val="006E056A"/>
    <w:rsid w:val="006E1444"/>
    <w:rsid w:val="006E1995"/>
    <w:rsid w:val="006E1D54"/>
    <w:rsid w:val="006E2868"/>
    <w:rsid w:val="006E29AA"/>
    <w:rsid w:val="006E3CD9"/>
    <w:rsid w:val="006E484A"/>
    <w:rsid w:val="006E4AEA"/>
    <w:rsid w:val="006E770D"/>
    <w:rsid w:val="006F29CF"/>
    <w:rsid w:val="006F306C"/>
    <w:rsid w:val="006F3B0C"/>
    <w:rsid w:val="006F4784"/>
    <w:rsid w:val="006F5916"/>
    <w:rsid w:val="006F63A5"/>
    <w:rsid w:val="0070069D"/>
    <w:rsid w:val="0070142B"/>
    <w:rsid w:val="00701673"/>
    <w:rsid w:val="0070180B"/>
    <w:rsid w:val="00701922"/>
    <w:rsid w:val="0070276E"/>
    <w:rsid w:val="00702F8F"/>
    <w:rsid w:val="0070349A"/>
    <w:rsid w:val="00705CCE"/>
    <w:rsid w:val="007079B8"/>
    <w:rsid w:val="007079FC"/>
    <w:rsid w:val="00710F74"/>
    <w:rsid w:val="00711047"/>
    <w:rsid w:val="007111E3"/>
    <w:rsid w:val="0071122A"/>
    <w:rsid w:val="007118E8"/>
    <w:rsid w:val="00711A36"/>
    <w:rsid w:val="00712593"/>
    <w:rsid w:val="00712FBE"/>
    <w:rsid w:val="00713D53"/>
    <w:rsid w:val="0071499C"/>
    <w:rsid w:val="00714C26"/>
    <w:rsid w:val="00714D9A"/>
    <w:rsid w:val="0071529C"/>
    <w:rsid w:val="007170DA"/>
    <w:rsid w:val="007170E1"/>
    <w:rsid w:val="007172AD"/>
    <w:rsid w:val="0071747E"/>
    <w:rsid w:val="00720801"/>
    <w:rsid w:val="00722A15"/>
    <w:rsid w:val="00722B1B"/>
    <w:rsid w:val="0072416F"/>
    <w:rsid w:val="00724BEA"/>
    <w:rsid w:val="00724D07"/>
    <w:rsid w:val="00726434"/>
    <w:rsid w:val="00726B04"/>
    <w:rsid w:val="00727C94"/>
    <w:rsid w:val="0073137B"/>
    <w:rsid w:val="00731B0A"/>
    <w:rsid w:val="00731EAE"/>
    <w:rsid w:val="00732D4F"/>
    <w:rsid w:val="00733073"/>
    <w:rsid w:val="007345BA"/>
    <w:rsid w:val="0073498F"/>
    <w:rsid w:val="00735033"/>
    <w:rsid w:val="00735328"/>
    <w:rsid w:val="00735379"/>
    <w:rsid w:val="0073678E"/>
    <w:rsid w:val="0073685B"/>
    <w:rsid w:val="00736AE6"/>
    <w:rsid w:val="00740F6A"/>
    <w:rsid w:val="0074257B"/>
    <w:rsid w:val="00743295"/>
    <w:rsid w:val="00743FCA"/>
    <w:rsid w:val="0074457C"/>
    <w:rsid w:val="00744932"/>
    <w:rsid w:val="007449BF"/>
    <w:rsid w:val="0074521C"/>
    <w:rsid w:val="00745FB2"/>
    <w:rsid w:val="00746BC0"/>
    <w:rsid w:val="007506C4"/>
    <w:rsid w:val="007510B4"/>
    <w:rsid w:val="0075206D"/>
    <w:rsid w:val="00752142"/>
    <w:rsid w:val="007523F9"/>
    <w:rsid w:val="00752537"/>
    <w:rsid w:val="0075357E"/>
    <w:rsid w:val="007538B6"/>
    <w:rsid w:val="00756104"/>
    <w:rsid w:val="00756B18"/>
    <w:rsid w:val="007573E8"/>
    <w:rsid w:val="00760C4E"/>
    <w:rsid w:val="00760F9E"/>
    <w:rsid w:val="007612BF"/>
    <w:rsid w:val="007620D5"/>
    <w:rsid w:val="007627BE"/>
    <w:rsid w:val="00762D87"/>
    <w:rsid w:val="00764F03"/>
    <w:rsid w:val="00765680"/>
    <w:rsid w:val="00765B1A"/>
    <w:rsid w:val="00767E62"/>
    <w:rsid w:val="00767E63"/>
    <w:rsid w:val="007701A1"/>
    <w:rsid w:val="007710F8"/>
    <w:rsid w:val="00771704"/>
    <w:rsid w:val="007717C4"/>
    <w:rsid w:val="00771939"/>
    <w:rsid w:val="00771B06"/>
    <w:rsid w:val="00772D89"/>
    <w:rsid w:val="00773BEE"/>
    <w:rsid w:val="00774014"/>
    <w:rsid w:val="00774016"/>
    <w:rsid w:val="00774353"/>
    <w:rsid w:val="0077612F"/>
    <w:rsid w:val="00777335"/>
    <w:rsid w:val="007802A1"/>
    <w:rsid w:val="007806E9"/>
    <w:rsid w:val="0078283A"/>
    <w:rsid w:val="007836DA"/>
    <w:rsid w:val="007843F2"/>
    <w:rsid w:val="007848D7"/>
    <w:rsid w:val="00785A9F"/>
    <w:rsid w:val="00786344"/>
    <w:rsid w:val="0079076E"/>
    <w:rsid w:val="007925DF"/>
    <w:rsid w:val="00792AF3"/>
    <w:rsid w:val="0079409C"/>
    <w:rsid w:val="00794220"/>
    <w:rsid w:val="00795015"/>
    <w:rsid w:val="00795137"/>
    <w:rsid w:val="00796588"/>
    <w:rsid w:val="00797B2E"/>
    <w:rsid w:val="00797B70"/>
    <w:rsid w:val="00797E4D"/>
    <w:rsid w:val="00797E97"/>
    <w:rsid w:val="007A08AA"/>
    <w:rsid w:val="007A0A12"/>
    <w:rsid w:val="007A132D"/>
    <w:rsid w:val="007A1345"/>
    <w:rsid w:val="007A1947"/>
    <w:rsid w:val="007A1D98"/>
    <w:rsid w:val="007A2DDB"/>
    <w:rsid w:val="007A3596"/>
    <w:rsid w:val="007A41FB"/>
    <w:rsid w:val="007A555F"/>
    <w:rsid w:val="007A6B13"/>
    <w:rsid w:val="007A70BA"/>
    <w:rsid w:val="007A7703"/>
    <w:rsid w:val="007B0D68"/>
    <w:rsid w:val="007B1D71"/>
    <w:rsid w:val="007B1FDF"/>
    <w:rsid w:val="007B251D"/>
    <w:rsid w:val="007B2C2E"/>
    <w:rsid w:val="007B2C48"/>
    <w:rsid w:val="007B4235"/>
    <w:rsid w:val="007B4F58"/>
    <w:rsid w:val="007B528D"/>
    <w:rsid w:val="007B5E15"/>
    <w:rsid w:val="007B63CA"/>
    <w:rsid w:val="007B6EDF"/>
    <w:rsid w:val="007B74CD"/>
    <w:rsid w:val="007B77D1"/>
    <w:rsid w:val="007B7B81"/>
    <w:rsid w:val="007B7E1F"/>
    <w:rsid w:val="007B7EE2"/>
    <w:rsid w:val="007C07C7"/>
    <w:rsid w:val="007C0BE9"/>
    <w:rsid w:val="007C0F7D"/>
    <w:rsid w:val="007C19F7"/>
    <w:rsid w:val="007C1CD9"/>
    <w:rsid w:val="007C23F6"/>
    <w:rsid w:val="007C32EF"/>
    <w:rsid w:val="007C361D"/>
    <w:rsid w:val="007C4301"/>
    <w:rsid w:val="007C4B84"/>
    <w:rsid w:val="007C5313"/>
    <w:rsid w:val="007C5EB3"/>
    <w:rsid w:val="007C619D"/>
    <w:rsid w:val="007C70FF"/>
    <w:rsid w:val="007C7361"/>
    <w:rsid w:val="007C7C25"/>
    <w:rsid w:val="007D004F"/>
    <w:rsid w:val="007D025B"/>
    <w:rsid w:val="007D08F0"/>
    <w:rsid w:val="007D0B38"/>
    <w:rsid w:val="007D0BA3"/>
    <w:rsid w:val="007D150E"/>
    <w:rsid w:val="007D2F6E"/>
    <w:rsid w:val="007D3133"/>
    <w:rsid w:val="007D465C"/>
    <w:rsid w:val="007D5440"/>
    <w:rsid w:val="007D5562"/>
    <w:rsid w:val="007D69EB"/>
    <w:rsid w:val="007E128F"/>
    <w:rsid w:val="007E206D"/>
    <w:rsid w:val="007E2A5F"/>
    <w:rsid w:val="007E5516"/>
    <w:rsid w:val="007E5D8E"/>
    <w:rsid w:val="007E6162"/>
    <w:rsid w:val="007E670F"/>
    <w:rsid w:val="007E6816"/>
    <w:rsid w:val="007F1017"/>
    <w:rsid w:val="007F10E8"/>
    <w:rsid w:val="007F1411"/>
    <w:rsid w:val="007F14EB"/>
    <w:rsid w:val="007F1E7A"/>
    <w:rsid w:val="007F22C7"/>
    <w:rsid w:val="007F234C"/>
    <w:rsid w:val="007F2A1F"/>
    <w:rsid w:val="007F3F1C"/>
    <w:rsid w:val="007F4019"/>
    <w:rsid w:val="007F4A3F"/>
    <w:rsid w:val="007F4A61"/>
    <w:rsid w:val="007F5255"/>
    <w:rsid w:val="007F56CC"/>
    <w:rsid w:val="007F61C2"/>
    <w:rsid w:val="007F6FE9"/>
    <w:rsid w:val="007F70E9"/>
    <w:rsid w:val="007F7239"/>
    <w:rsid w:val="007F7279"/>
    <w:rsid w:val="00802090"/>
    <w:rsid w:val="0080229D"/>
    <w:rsid w:val="00802591"/>
    <w:rsid w:val="00805142"/>
    <w:rsid w:val="00805341"/>
    <w:rsid w:val="00805FCE"/>
    <w:rsid w:val="00807A8B"/>
    <w:rsid w:val="00807BEE"/>
    <w:rsid w:val="00811383"/>
    <w:rsid w:val="00812149"/>
    <w:rsid w:val="00812CAC"/>
    <w:rsid w:val="0081362A"/>
    <w:rsid w:val="008136A5"/>
    <w:rsid w:val="00813DDA"/>
    <w:rsid w:val="008142B6"/>
    <w:rsid w:val="0081532A"/>
    <w:rsid w:val="008157B8"/>
    <w:rsid w:val="00816361"/>
    <w:rsid w:val="008166EF"/>
    <w:rsid w:val="00816F79"/>
    <w:rsid w:val="00816FEF"/>
    <w:rsid w:val="008205FD"/>
    <w:rsid w:val="0082097A"/>
    <w:rsid w:val="00820A8C"/>
    <w:rsid w:val="00820B74"/>
    <w:rsid w:val="00820DC8"/>
    <w:rsid w:val="00820E24"/>
    <w:rsid w:val="00821013"/>
    <w:rsid w:val="0082132F"/>
    <w:rsid w:val="008215FB"/>
    <w:rsid w:val="008221E8"/>
    <w:rsid w:val="0082281C"/>
    <w:rsid w:val="00823174"/>
    <w:rsid w:val="00824E68"/>
    <w:rsid w:val="00825263"/>
    <w:rsid w:val="00825751"/>
    <w:rsid w:val="008264EB"/>
    <w:rsid w:val="00826DA3"/>
    <w:rsid w:val="008278D8"/>
    <w:rsid w:val="0083080C"/>
    <w:rsid w:val="00831945"/>
    <w:rsid w:val="00831FB0"/>
    <w:rsid w:val="00832B85"/>
    <w:rsid w:val="008334DD"/>
    <w:rsid w:val="00833B05"/>
    <w:rsid w:val="00833C7A"/>
    <w:rsid w:val="00834CD8"/>
    <w:rsid w:val="00835F36"/>
    <w:rsid w:val="008362B4"/>
    <w:rsid w:val="0083761B"/>
    <w:rsid w:val="008378B4"/>
    <w:rsid w:val="008378C7"/>
    <w:rsid w:val="008403E1"/>
    <w:rsid w:val="00840671"/>
    <w:rsid w:val="00840CA2"/>
    <w:rsid w:val="00841BBC"/>
    <w:rsid w:val="00842675"/>
    <w:rsid w:val="0084374F"/>
    <w:rsid w:val="00844603"/>
    <w:rsid w:val="00844A22"/>
    <w:rsid w:val="00846204"/>
    <w:rsid w:val="00847703"/>
    <w:rsid w:val="00847C0E"/>
    <w:rsid w:val="00847DB8"/>
    <w:rsid w:val="00847DF5"/>
    <w:rsid w:val="0085002C"/>
    <w:rsid w:val="00850974"/>
    <w:rsid w:val="00851D84"/>
    <w:rsid w:val="0085258B"/>
    <w:rsid w:val="00852B86"/>
    <w:rsid w:val="0085309D"/>
    <w:rsid w:val="008536FC"/>
    <w:rsid w:val="008547DB"/>
    <w:rsid w:val="0085516F"/>
    <w:rsid w:val="00856897"/>
    <w:rsid w:val="00856E9A"/>
    <w:rsid w:val="00857029"/>
    <w:rsid w:val="00860112"/>
    <w:rsid w:val="00860266"/>
    <w:rsid w:val="0086075D"/>
    <w:rsid w:val="00861ECC"/>
    <w:rsid w:val="00862502"/>
    <w:rsid w:val="00862CC1"/>
    <w:rsid w:val="00862EA2"/>
    <w:rsid w:val="00863D64"/>
    <w:rsid w:val="00864D53"/>
    <w:rsid w:val="00865638"/>
    <w:rsid w:val="008660D4"/>
    <w:rsid w:val="00866CA7"/>
    <w:rsid w:val="00867A2B"/>
    <w:rsid w:val="00871FA9"/>
    <w:rsid w:val="00872227"/>
    <w:rsid w:val="008728E9"/>
    <w:rsid w:val="00874AFE"/>
    <w:rsid w:val="008754A6"/>
    <w:rsid w:val="00876899"/>
    <w:rsid w:val="00877E81"/>
    <w:rsid w:val="00880FA7"/>
    <w:rsid w:val="00881CD4"/>
    <w:rsid w:val="00882874"/>
    <w:rsid w:val="00882E3C"/>
    <w:rsid w:val="008831EB"/>
    <w:rsid w:val="008832F1"/>
    <w:rsid w:val="00883787"/>
    <w:rsid w:val="00885331"/>
    <w:rsid w:val="008855E4"/>
    <w:rsid w:val="00885C9E"/>
    <w:rsid w:val="00886870"/>
    <w:rsid w:val="00886CD2"/>
    <w:rsid w:val="008874E6"/>
    <w:rsid w:val="00891B38"/>
    <w:rsid w:val="00891E6F"/>
    <w:rsid w:val="0089275D"/>
    <w:rsid w:val="00892A36"/>
    <w:rsid w:val="00893239"/>
    <w:rsid w:val="00893721"/>
    <w:rsid w:val="00894041"/>
    <w:rsid w:val="00894489"/>
    <w:rsid w:val="00894584"/>
    <w:rsid w:val="00894C69"/>
    <w:rsid w:val="0089554A"/>
    <w:rsid w:val="00895D00"/>
    <w:rsid w:val="00895F47"/>
    <w:rsid w:val="008963A5"/>
    <w:rsid w:val="0089679B"/>
    <w:rsid w:val="008968CE"/>
    <w:rsid w:val="00896D5D"/>
    <w:rsid w:val="00897F7F"/>
    <w:rsid w:val="008A223A"/>
    <w:rsid w:val="008A2782"/>
    <w:rsid w:val="008A302B"/>
    <w:rsid w:val="008A3363"/>
    <w:rsid w:val="008A3371"/>
    <w:rsid w:val="008A36EC"/>
    <w:rsid w:val="008A3C3E"/>
    <w:rsid w:val="008A3C9A"/>
    <w:rsid w:val="008A3D02"/>
    <w:rsid w:val="008A3D1D"/>
    <w:rsid w:val="008A4E21"/>
    <w:rsid w:val="008A5DAD"/>
    <w:rsid w:val="008A79DE"/>
    <w:rsid w:val="008A7AB6"/>
    <w:rsid w:val="008B0143"/>
    <w:rsid w:val="008B1757"/>
    <w:rsid w:val="008B22FE"/>
    <w:rsid w:val="008B3A80"/>
    <w:rsid w:val="008B3E4B"/>
    <w:rsid w:val="008B4743"/>
    <w:rsid w:val="008B53E2"/>
    <w:rsid w:val="008B6107"/>
    <w:rsid w:val="008B61E1"/>
    <w:rsid w:val="008B6E4A"/>
    <w:rsid w:val="008B791B"/>
    <w:rsid w:val="008B7992"/>
    <w:rsid w:val="008B7D7E"/>
    <w:rsid w:val="008C1644"/>
    <w:rsid w:val="008C38E5"/>
    <w:rsid w:val="008C4659"/>
    <w:rsid w:val="008C4F5C"/>
    <w:rsid w:val="008C5610"/>
    <w:rsid w:val="008C5739"/>
    <w:rsid w:val="008C5A25"/>
    <w:rsid w:val="008C723D"/>
    <w:rsid w:val="008C7ECB"/>
    <w:rsid w:val="008D01D8"/>
    <w:rsid w:val="008D0A4D"/>
    <w:rsid w:val="008D123B"/>
    <w:rsid w:val="008D2001"/>
    <w:rsid w:val="008D308F"/>
    <w:rsid w:val="008D3B23"/>
    <w:rsid w:val="008D3B86"/>
    <w:rsid w:val="008D3C00"/>
    <w:rsid w:val="008D3C66"/>
    <w:rsid w:val="008D4755"/>
    <w:rsid w:val="008D4C3D"/>
    <w:rsid w:val="008D5258"/>
    <w:rsid w:val="008D54A4"/>
    <w:rsid w:val="008D743C"/>
    <w:rsid w:val="008E00EA"/>
    <w:rsid w:val="008E03E6"/>
    <w:rsid w:val="008E0D3C"/>
    <w:rsid w:val="008E1B9E"/>
    <w:rsid w:val="008E3C50"/>
    <w:rsid w:val="008E42D1"/>
    <w:rsid w:val="008E55AB"/>
    <w:rsid w:val="008E61C9"/>
    <w:rsid w:val="008E63E3"/>
    <w:rsid w:val="008E76CB"/>
    <w:rsid w:val="008E7906"/>
    <w:rsid w:val="008E7B36"/>
    <w:rsid w:val="008E7E19"/>
    <w:rsid w:val="008E7F75"/>
    <w:rsid w:val="008F104E"/>
    <w:rsid w:val="008F120A"/>
    <w:rsid w:val="008F1243"/>
    <w:rsid w:val="008F1DAC"/>
    <w:rsid w:val="008F2216"/>
    <w:rsid w:val="008F27E0"/>
    <w:rsid w:val="008F396E"/>
    <w:rsid w:val="008F48EB"/>
    <w:rsid w:val="008F4DB3"/>
    <w:rsid w:val="008F4F0B"/>
    <w:rsid w:val="008F5836"/>
    <w:rsid w:val="0090280B"/>
    <w:rsid w:val="00903153"/>
    <w:rsid w:val="00903715"/>
    <w:rsid w:val="009046C4"/>
    <w:rsid w:val="00904727"/>
    <w:rsid w:val="009047AD"/>
    <w:rsid w:val="009062A5"/>
    <w:rsid w:val="009065ED"/>
    <w:rsid w:val="00906BDF"/>
    <w:rsid w:val="00910FA7"/>
    <w:rsid w:val="00911272"/>
    <w:rsid w:val="00912939"/>
    <w:rsid w:val="00912A30"/>
    <w:rsid w:val="009135D6"/>
    <w:rsid w:val="00913FE5"/>
    <w:rsid w:val="00914C77"/>
    <w:rsid w:val="00915A21"/>
    <w:rsid w:val="00915FCC"/>
    <w:rsid w:val="0091721E"/>
    <w:rsid w:val="00917721"/>
    <w:rsid w:val="00917F33"/>
    <w:rsid w:val="00921A7E"/>
    <w:rsid w:val="00921ACB"/>
    <w:rsid w:val="00922614"/>
    <w:rsid w:val="009228F9"/>
    <w:rsid w:val="00922A45"/>
    <w:rsid w:val="0092369B"/>
    <w:rsid w:val="00923783"/>
    <w:rsid w:val="00923835"/>
    <w:rsid w:val="00923F93"/>
    <w:rsid w:val="0092438D"/>
    <w:rsid w:val="0092595D"/>
    <w:rsid w:val="0092785A"/>
    <w:rsid w:val="00927D5B"/>
    <w:rsid w:val="00930413"/>
    <w:rsid w:val="00931528"/>
    <w:rsid w:val="00932B3B"/>
    <w:rsid w:val="00933168"/>
    <w:rsid w:val="00933D3B"/>
    <w:rsid w:val="0093415B"/>
    <w:rsid w:val="00934240"/>
    <w:rsid w:val="00934988"/>
    <w:rsid w:val="00934DCF"/>
    <w:rsid w:val="00935DCD"/>
    <w:rsid w:val="00936075"/>
    <w:rsid w:val="00936720"/>
    <w:rsid w:val="00936AA1"/>
    <w:rsid w:val="00936D2C"/>
    <w:rsid w:val="00937089"/>
    <w:rsid w:val="009411A6"/>
    <w:rsid w:val="0094177F"/>
    <w:rsid w:val="009421BA"/>
    <w:rsid w:val="0094228E"/>
    <w:rsid w:val="00942C32"/>
    <w:rsid w:val="00942DFC"/>
    <w:rsid w:val="00942FD2"/>
    <w:rsid w:val="00944430"/>
    <w:rsid w:val="00944948"/>
    <w:rsid w:val="00944C73"/>
    <w:rsid w:val="00944F8A"/>
    <w:rsid w:val="00946A5E"/>
    <w:rsid w:val="00947079"/>
    <w:rsid w:val="0094749F"/>
    <w:rsid w:val="00947B5D"/>
    <w:rsid w:val="00950528"/>
    <w:rsid w:val="00950FF7"/>
    <w:rsid w:val="009510A2"/>
    <w:rsid w:val="00952B7E"/>
    <w:rsid w:val="00952C1E"/>
    <w:rsid w:val="00953257"/>
    <w:rsid w:val="00953FD1"/>
    <w:rsid w:val="0095474C"/>
    <w:rsid w:val="009578A1"/>
    <w:rsid w:val="009610AF"/>
    <w:rsid w:val="00961A3A"/>
    <w:rsid w:val="00961AB3"/>
    <w:rsid w:val="00961F80"/>
    <w:rsid w:val="00962CB9"/>
    <w:rsid w:val="009642C1"/>
    <w:rsid w:val="00964312"/>
    <w:rsid w:val="00964317"/>
    <w:rsid w:val="00965B8A"/>
    <w:rsid w:val="00967388"/>
    <w:rsid w:val="00967F49"/>
    <w:rsid w:val="0097071F"/>
    <w:rsid w:val="00970B1D"/>
    <w:rsid w:val="00970F6D"/>
    <w:rsid w:val="009717AC"/>
    <w:rsid w:val="0097198D"/>
    <w:rsid w:val="0097445E"/>
    <w:rsid w:val="00974D47"/>
    <w:rsid w:val="009751C1"/>
    <w:rsid w:val="00975653"/>
    <w:rsid w:val="009764C5"/>
    <w:rsid w:val="00976C6D"/>
    <w:rsid w:val="00977A31"/>
    <w:rsid w:val="0098083F"/>
    <w:rsid w:val="009811F1"/>
    <w:rsid w:val="00982211"/>
    <w:rsid w:val="0098240F"/>
    <w:rsid w:val="009824A9"/>
    <w:rsid w:val="009832B5"/>
    <w:rsid w:val="00983E57"/>
    <w:rsid w:val="009848FB"/>
    <w:rsid w:val="00985DE2"/>
    <w:rsid w:val="0098638B"/>
    <w:rsid w:val="0098675D"/>
    <w:rsid w:val="00986DD4"/>
    <w:rsid w:val="009874D6"/>
    <w:rsid w:val="00992301"/>
    <w:rsid w:val="009926E0"/>
    <w:rsid w:val="009930D6"/>
    <w:rsid w:val="0099359B"/>
    <w:rsid w:val="0099367B"/>
    <w:rsid w:val="00993872"/>
    <w:rsid w:val="00994028"/>
    <w:rsid w:val="0099451E"/>
    <w:rsid w:val="00995EBC"/>
    <w:rsid w:val="00996B1A"/>
    <w:rsid w:val="0099725B"/>
    <w:rsid w:val="009979F5"/>
    <w:rsid w:val="00997B9D"/>
    <w:rsid w:val="009A096F"/>
    <w:rsid w:val="009A0BC5"/>
    <w:rsid w:val="009A1859"/>
    <w:rsid w:val="009A2DCC"/>
    <w:rsid w:val="009A39D3"/>
    <w:rsid w:val="009A3F75"/>
    <w:rsid w:val="009A458A"/>
    <w:rsid w:val="009A4F08"/>
    <w:rsid w:val="009A5035"/>
    <w:rsid w:val="009A5ABC"/>
    <w:rsid w:val="009A76C7"/>
    <w:rsid w:val="009A7F10"/>
    <w:rsid w:val="009B0853"/>
    <w:rsid w:val="009B2411"/>
    <w:rsid w:val="009B3E26"/>
    <w:rsid w:val="009B4BD3"/>
    <w:rsid w:val="009B51D9"/>
    <w:rsid w:val="009B58F0"/>
    <w:rsid w:val="009B6EA2"/>
    <w:rsid w:val="009C0FC6"/>
    <w:rsid w:val="009C2AE6"/>
    <w:rsid w:val="009C3396"/>
    <w:rsid w:val="009C3706"/>
    <w:rsid w:val="009C3A3A"/>
    <w:rsid w:val="009C6169"/>
    <w:rsid w:val="009C6228"/>
    <w:rsid w:val="009C6CEA"/>
    <w:rsid w:val="009C7474"/>
    <w:rsid w:val="009C7B85"/>
    <w:rsid w:val="009C7C2C"/>
    <w:rsid w:val="009D0254"/>
    <w:rsid w:val="009D0CCA"/>
    <w:rsid w:val="009D12ED"/>
    <w:rsid w:val="009D1A64"/>
    <w:rsid w:val="009D1B11"/>
    <w:rsid w:val="009D23D1"/>
    <w:rsid w:val="009D2D51"/>
    <w:rsid w:val="009D5B91"/>
    <w:rsid w:val="009D5EC7"/>
    <w:rsid w:val="009D69AE"/>
    <w:rsid w:val="009D6CCB"/>
    <w:rsid w:val="009D792E"/>
    <w:rsid w:val="009D7CD7"/>
    <w:rsid w:val="009E0DFE"/>
    <w:rsid w:val="009E11ED"/>
    <w:rsid w:val="009E1373"/>
    <w:rsid w:val="009E1CF3"/>
    <w:rsid w:val="009E20C3"/>
    <w:rsid w:val="009E24C5"/>
    <w:rsid w:val="009E2796"/>
    <w:rsid w:val="009E31F6"/>
    <w:rsid w:val="009E3BA0"/>
    <w:rsid w:val="009E4B0D"/>
    <w:rsid w:val="009E4C07"/>
    <w:rsid w:val="009E4ECA"/>
    <w:rsid w:val="009E6DA4"/>
    <w:rsid w:val="009F0313"/>
    <w:rsid w:val="009F1067"/>
    <w:rsid w:val="009F1C7B"/>
    <w:rsid w:val="009F2599"/>
    <w:rsid w:val="009F28F7"/>
    <w:rsid w:val="009F3488"/>
    <w:rsid w:val="00A002C9"/>
    <w:rsid w:val="00A00D17"/>
    <w:rsid w:val="00A00E45"/>
    <w:rsid w:val="00A01184"/>
    <w:rsid w:val="00A013B4"/>
    <w:rsid w:val="00A01A5F"/>
    <w:rsid w:val="00A0208B"/>
    <w:rsid w:val="00A03579"/>
    <w:rsid w:val="00A037C2"/>
    <w:rsid w:val="00A03CE6"/>
    <w:rsid w:val="00A03D43"/>
    <w:rsid w:val="00A04380"/>
    <w:rsid w:val="00A04464"/>
    <w:rsid w:val="00A04E14"/>
    <w:rsid w:val="00A05472"/>
    <w:rsid w:val="00A0575D"/>
    <w:rsid w:val="00A05C32"/>
    <w:rsid w:val="00A05E52"/>
    <w:rsid w:val="00A0653F"/>
    <w:rsid w:val="00A11CD0"/>
    <w:rsid w:val="00A13266"/>
    <w:rsid w:val="00A13495"/>
    <w:rsid w:val="00A13948"/>
    <w:rsid w:val="00A13CC8"/>
    <w:rsid w:val="00A1417E"/>
    <w:rsid w:val="00A14A7C"/>
    <w:rsid w:val="00A1555B"/>
    <w:rsid w:val="00A155C5"/>
    <w:rsid w:val="00A16ABF"/>
    <w:rsid w:val="00A16AD8"/>
    <w:rsid w:val="00A177BF"/>
    <w:rsid w:val="00A2050E"/>
    <w:rsid w:val="00A21C95"/>
    <w:rsid w:val="00A21CF3"/>
    <w:rsid w:val="00A21EC9"/>
    <w:rsid w:val="00A22FCA"/>
    <w:rsid w:val="00A23273"/>
    <w:rsid w:val="00A24813"/>
    <w:rsid w:val="00A25198"/>
    <w:rsid w:val="00A25EA6"/>
    <w:rsid w:val="00A25FCD"/>
    <w:rsid w:val="00A26E30"/>
    <w:rsid w:val="00A27AEC"/>
    <w:rsid w:val="00A27CE9"/>
    <w:rsid w:val="00A30D8A"/>
    <w:rsid w:val="00A320DB"/>
    <w:rsid w:val="00A340D0"/>
    <w:rsid w:val="00A34707"/>
    <w:rsid w:val="00A3517F"/>
    <w:rsid w:val="00A3524A"/>
    <w:rsid w:val="00A35D16"/>
    <w:rsid w:val="00A363AC"/>
    <w:rsid w:val="00A37631"/>
    <w:rsid w:val="00A3788E"/>
    <w:rsid w:val="00A37BCD"/>
    <w:rsid w:val="00A40401"/>
    <w:rsid w:val="00A413B2"/>
    <w:rsid w:val="00A41689"/>
    <w:rsid w:val="00A42592"/>
    <w:rsid w:val="00A43C59"/>
    <w:rsid w:val="00A43EE2"/>
    <w:rsid w:val="00A44631"/>
    <w:rsid w:val="00A454A9"/>
    <w:rsid w:val="00A45628"/>
    <w:rsid w:val="00A456EB"/>
    <w:rsid w:val="00A46679"/>
    <w:rsid w:val="00A50ECD"/>
    <w:rsid w:val="00A518F3"/>
    <w:rsid w:val="00A52729"/>
    <w:rsid w:val="00A53006"/>
    <w:rsid w:val="00A53282"/>
    <w:rsid w:val="00A53675"/>
    <w:rsid w:val="00A53C69"/>
    <w:rsid w:val="00A54C51"/>
    <w:rsid w:val="00A564D7"/>
    <w:rsid w:val="00A56B6A"/>
    <w:rsid w:val="00A578DC"/>
    <w:rsid w:val="00A60BD5"/>
    <w:rsid w:val="00A60E26"/>
    <w:rsid w:val="00A61936"/>
    <w:rsid w:val="00A6331A"/>
    <w:rsid w:val="00A63895"/>
    <w:rsid w:val="00A63B54"/>
    <w:rsid w:val="00A640E2"/>
    <w:rsid w:val="00A64D65"/>
    <w:rsid w:val="00A655EC"/>
    <w:rsid w:val="00A66AF5"/>
    <w:rsid w:val="00A66C51"/>
    <w:rsid w:val="00A6725B"/>
    <w:rsid w:val="00A67A6B"/>
    <w:rsid w:val="00A67FA9"/>
    <w:rsid w:val="00A7030D"/>
    <w:rsid w:val="00A70605"/>
    <w:rsid w:val="00A712A0"/>
    <w:rsid w:val="00A71B3E"/>
    <w:rsid w:val="00A71C02"/>
    <w:rsid w:val="00A71E2F"/>
    <w:rsid w:val="00A72526"/>
    <w:rsid w:val="00A73134"/>
    <w:rsid w:val="00A74609"/>
    <w:rsid w:val="00A75748"/>
    <w:rsid w:val="00A75EEA"/>
    <w:rsid w:val="00A76001"/>
    <w:rsid w:val="00A76778"/>
    <w:rsid w:val="00A76DC2"/>
    <w:rsid w:val="00A777B2"/>
    <w:rsid w:val="00A77B3A"/>
    <w:rsid w:val="00A77CB1"/>
    <w:rsid w:val="00A8146E"/>
    <w:rsid w:val="00A818F4"/>
    <w:rsid w:val="00A825D4"/>
    <w:rsid w:val="00A82683"/>
    <w:rsid w:val="00A828F6"/>
    <w:rsid w:val="00A82B73"/>
    <w:rsid w:val="00A82D1B"/>
    <w:rsid w:val="00A83EF6"/>
    <w:rsid w:val="00A8422A"/>
    <w:rsid w:val="00A84BE0"/>
    <w:rsid w:val="00A84ED7"/>
    <w:rsid w:val="00A862B6"/>
    <w:rsid w:val="00A86E8B"/>
    <w:rsid w:val="00A87164"/>
    <w:rsid w:val="00A8729B"/>
    <w:rsid w:val="00A90213"/>
    <w:rsid w:val="00A9084E"/>
    <w:rsid w:val="00A90A77"/>
    <w:rsid w:val="00A90FA2"/>
    <w:rsid w:val="00A91746"/>
    <w:rsid w:val="00A9174D"/>
    <w:rsid w:val="00A92570"/>
    <w:rsid w:val="00A93072"/>
    <w:rsid w:val="00A938BD"/>
    <w:rsid w:val="00A93953"/>
    <w:rsid w:val="00A93A7A"/>
    <w:rsid w:val="00A93CA1"/>
    <w:rsid w:val="00A93FE8"/>
    <w:rsid w:val="00A95902"/>
    <w:rsid w:val="00A959D8"/>
    <w:rsid w:val="00A95A65"/>
    <w:rsid w:val="00A979D7"/>
    <w:rsid w:val="00A97A13"/>
    <w:rsid w:val="00AA0005"/>
    <w:rsid w:val="00AA113D"/>
    <w:rsid w:val="00AA33BB"/>
    <w:rsid w:val="00AA5027"/>
    <w:rsid w:val="00AA6BD5"/>
    <w:rsid w:val="00AA6BD8"/>
    <w:rsid w:val="00AA6C7D"/>
    <w:rsid w:val="00AA73BF"/>
    <w:rsid w:val="00AA7430"/>
    <w:rsid w:val="00AA7FD6"/>
    <w:rsid w:val="00AB042A"/>
    <w:rsid w:val="00AB19EF"/>
    <w:rsid w:val="00AB2D34"/>
    <w:rsid w:val="00AB32E3"/>
    <w:rsid w:val="00AB3430"/>
    <w:rsid w:val="00AB37B9"/>
    <w:rsid w:val="00AB3D33"/>
    <w:rsid w:val="00AB47DC"/>
    <w:rsid w:val="00AB4AD1"/>
    <w:rsid w:val="00AB5E07"/>
    <w:rsid w:val="00AB7CFA"/>
    <w:rsid w:val="00AC1EF3"/>
    <w:rsid w:val="00AC26FF"/>
    <w:rsid w:val="00AC2812"/>
    <w:rsid w:val="00AC4F44"/>
    <w:rsid w:val="00AC5390"/>
    <w:rsid w:val="00AC5B48"/>
    <w:rsid w:val="00AC7F03"/>
    <w:rsid w:val="00AD02CE"/>
    <w:rsid w:val="00AD0F77"/>
    <w:rsid w:val="00AD1450"/>
    <w:rsid w:val="00AD2656"/>
    <w:rsid w:val="00AD4C4C"/>
    <w:rsid w:val="00AD5A9A"/>
    <w:rsid w:val="00AD6502"/>
    <w:rsid w:val="00AD65AC"/>
    <w:rsid w:val="00AE0695"/>
    <w:rsid w:val="00AE25C4"/>
    <w:rsid w:val="00AE3114"/>
    <w:rsid w:val="00AE3E7E"/>
    <w:rsid w:val="00AE4C2B"/>
    <w:rsid w:val="00AE58BC"/>
    <w:rsid w:val="00AE69C4"/>
    <w:rsid w:val="00AE770F"/>
    <w:rsid w:val="00AF0B77"/>
    <w:rsid w:val="00AF1315"/>
    <w:rsid w:val="00AF19BF"/>
    <w:rsid w:val="00AF2DC3"/>
    <w:rsid w:val="00AF318B"/>
    <w:rsid w:val="00AF46DA"/>
    <w:rsid w:val="00AF5DEF"/>
    <w:rsid w:val="00B001E1"/>
    <w:rsid w:val="00B01884"/>
    <w:rsid w:val="00B02E70"/>
    <w:rsid w:val="00B031E7"/>
    <w:rsid w:val="00B033E5"/>
    <w:rsid w:val="00B03A63"/>
    <w:rsid w:val="00B05D9D"/>
    <w:rsid w:val="00B1069D"/>
    <w:rsid w:val="00B11928"/>
    <w:rsid w:val="00B141EC"/>
    <w:rsid w:val="00B1469C"/>
    <w:rsid w:val="00B14952"/>
    <w:rsid w:val="00B16AF9"/>
    <w:rsid w:val="00B201A4"/>
    <w:rsid w:val="00B201D1"/>
    <w:rsid w:val="00B211D3"/>
    <w:rsid w:val="00B213A6"/>
    <w:rsid w:val="00B22266"/>
    <w:rsid w:val="00B235B0"/>
    <w:rsid w:val="00B235DA"/>
    <w:rsid w:val="00B24DF6"/>
    <w:rsid w:val="00B25D7D"/>
    <w:rsid w:val="00B27CB1"/>
    <w:rsid w:val="00B309FD"/>
    <w:rsid w:val="00B33153"/>
    <w:rsid w:val="00B333D8"/>
    <w:rsid w:val="00B34AD8"/>
    <w:rsid w:val="00B34FE2"/>
    <w:rsid w:val="00B35166"/>
    <w:rsid w:val="00B357D8"/>
    <w:rsid w:val="00B35F88"/>
    <w:rsid w:val="00B360F4"/>
    <w:rsid w:val="00B365A7"/>
    <w:rsid w:val="00B36754"/>
    <w:rsid w:val="00B36A00"/>
    <w:rsid w:val="00B3705F"/>
    <w:rsid w:val="00B3759D"/>
    <w:rsid w:val="00B378C9"/>
    <w:rsid w:val="00B37BFC"/>
    <w:rsid w:val="00B40358"/>
    <w:rsid w:val="00B40C4F"/>
    <w:rsid w:val="00B41614"/>
    <w:rsid w:val="00B42851"/>
    <w:rsid w:val="00B42F80"/>
    <w:rsid w:val="00B435CB"/>
    <w:rsid w:val="00B4494B"/>
    <w:rsid w:val="00B44F9D"/>
    <w:rsid w:val="00B45551"/>
    <w:rsid w:val="00B45B82"/>
    <w:rsid w:val="00B46756"/>
    <w:rsid w:val="00B46D87"/>
    <w:rsid w:val="00B46D96"/>
    <w:rsid w:val="00B47482"/>
    <w:rsid w:val="00B4796B"/>
    <w:rsid w:val="00B479C8"/>
    <w:rsid w:val="00B5015D"/>
    <w:rsid w:val="00B502E0"/>
    <w:rsid w:val="00B505C8"/>
    <w:rsid w:val="00B50DB8"/>
    <w:rsid w:val="00B51D17"/>
    <w:rsid w:val="00B53654"/>
    <w:rsid w:val="00B53905"/>
    <w:rsid w:val="00B543E0"/>
    <w:rsid w:val="00B54B5B"/>
    <w:rsid w:val="00B5512D"/>
    <w:rsid w:val="00B5562E"/>
    <w:rsid w:val="00B558D5"/>
    <w:rsid w:val="00B55D65"/>
    <w:rsid w:val="00B5618C"/>
    <w:rsid w:val="00B561AC"/>
    <w:rsid w:val="00B57000"/>
    <w:rsid w:val="00B60939"/>
    <w:rsid w:val="00B60AFD"/>
    <w:rsid w:val="00B6161B"/>
    <w:rsid w:val="00B62715"/>
    <w:rsid w:val="00B63151"/>
    <w:rsid w:val="00B6379D"/>
    <w:rsid w:val="00B63F6D"/>
    <w:rsid w:val="00B645F8"/>
    <w:rsid w:val="00B65611"/>
    <w:rsid w:val="00B676CB"/>
    <w:rsid w:val="00B67A08"/>
    <w:rsid w:val="00B67DBF"/>
    <w:rsid w:val="00B70E8E"/>
    <w:rsid w:val="00B713D7"/>
    <w:rsid w:val="00B72C7C"/>
    <w:rsid w:val="00B7456D"/>
    <w:rsid w:val="00B7662B"/>
    <w:rsid w:val="00B76C92"/>
    <w:rsid w:val="00B773B5"/>
    <w:rsid w:val="00B77A9E"/>
    <w:rsid w:val="00B77B96"/>
    <w:rsid w:val="00B80D30"/>
    <w:rsid w:val="00B81456"/>
    <w:rsid w:val="00B818A4"/>
    <w:rsid w:val="00B819D3"/>
    <w:rsid w:val="00B8227B"/>
    <w:rsid w:val="00B84117"/>
    <w:rsid w:val="00B84A10"/>
    <w:rsid w:val="00B84A26"/>
    <w:rsid w:val="00B858F0"/>
    <w:rsid w:val="00B85AA2"/>
    <w:rsid w:val="00B8649C"/>
    <w:rsid w:val="00B8687F"/>
    <w:rsid w:val="00B8695D"/>
    <w:rsid w:val="00B8697D"/>
    <w:rsid w:val="00B87081"/>
    <w:rsid w:val="00B87F0A"/>
    <w:rsid w:val="00B91472"/>
    <w:rsid w:val="00B922C5"/>
    <w:rsid w:val="00B92D0B"/>
    <w:rsid w:val="00B931B5"/>
    <w:rsid w:val="00B9329C"/>
    <w:rsid w:val="00B94945"/>
    <w:rsid w:val="00B94C7F"/>
    <w:rsid w:val="00B94D42"/>
    <w:rsid w:val="00B94DD6"/>
    <w:rsid w:val="00B97817"/>
    <w:rsid w:val="00BA057C"/>
    <w:rsid w:val="00BA0F77"/>
    <w:rsid w:val="00BA1F27"/>
    <w:rsid w:val="00BA272F"/>
    <w:rsid w:val="00BA322D"/>
    <w:rsid w:val="00BA4D71"/>
    <w:rsid w:val="00BA531C"/>
    <w:rsid w:val="00BA5B15"/>
    <w:rsid w:val="00BA5F6A"/>
    <w:rsid w:val="00BA63DC"/>
    <w:rsid w:val="00BA63FA"/>
    <w:rsid w:val="00BA708B"/>
    <w:rsid w:val="00BA708C"/>
    <w:rsid w:val="00BA74A8"/>
    <w:rsid w:val="00BA7F5B"/>
    <w:rsid w:val="00BB00B3"/>
    <w:rsid w:val="00BB0AD6"/>
    <w:rsid w:val="00BB0BDD"/>
    <w:rsid w:val="00BB176C"/>
    <w:rsid w:val="00BB1C58"/>
    <w:rsid w:val="00BB2A73"/>
    <w:rsid w:val="00BB3389"/>
    <w:rsid w:val="00BB3A45"/>
    <w:rsid w:val="00BB3B79"/>
    <w:rsid w:val="00BB4ACC"/>
    <w:rsid w:val="00BB5299"/>
    <w:rsid w:val="00BB5D21"/>
    <w:rsid w:val="00BB703E"/>
    <w:rsid w:val="00BB732D"/>
    <w:rsid w:val="00BB7405"/>
    <w:rsid w:val="00BC0889"/>
    <w:rsid w:val="00BC0E93"/>
    <w:rsid w:val="00BC18BD"/>
    <w:rsid w:val="00BC325F"/>
    <w:rsid w:val="00BC3631"/>
    <w:rsid w:val="00BC37AA"/>
    <w:rsid w:val="00BC3A26"/>
    <w:rsid w:val="00BC3B0E"/>
    <w:rsid w:val="00BC4905"/>
    <w:rsid w:val="00BC5716"/>
    <w:rsid w:val="00BC591F"/>
    <w:rsid w:val="00BC7D6D"/>
    <w:rsid w:val="00BD2108"/>
    <w:rsid w:val="00BD3407"/>
    <w:rsid w:val="00BD34E6"/>
    <w:rsid w:val="00BD3FCE"/>
    <w:rsid w:val="00BD4990"/>
    <w:rsid w:val="00BD579D"/>
    <w:rsid w:val="00BD663A"/>
    <w:rsid w:val="00BD68A3"/>
    <w:rsid w:val="00BD6938"/>
    <w:rsid w:val="00BD6CF3"/>
    <w:rsid w:val="00BD7771"/>
    <w:rsid w:val="00BD7C17"/>
    <w:rsid w:val="00BE0ECA"/>
    <w:rsid w:val="00BE1383"/>
    <w:rsid w:val="00BE1645"/>
    <w:rsid w:val="00BE176D"/>
    <w:rsid w:val="00BE2180"/>
    <w:rsid w:val="00BE21F2"/>
    <w:rsid w:val="00BE2219"/>
    <w:rsid w:val="00BE334B"/>
    <w:rsid w:val="00BE33E8"/>
    <w:rsid w:val="00BE4275"/>
    <w:rsid w:val="00BE7836"/>
    <w:rsid w:val="00BE7A2F"/>
    <w:rsid w:val="00BF06AE"/>
    <w:rsid w:val="00BF0E13"/>
    <w:rsid w:val="00BF0F6C"/>
    <w:rsid w:val="00BF0F95"/>
    <w:rsid w:val="00BF161A"/>
    <w:rsid w:val="00BF18C9"/>
    <w:rsid w:val="00BF1DAE"/>
    <w:rsid w:val="00BF2433"/>
    <w:rsid w:val="00BF2B7E"/>
    <w:rsid w:val="00BF3074"/>
    <w:rsid w:val="00BF38C6"/>
    <w:rsid w:val="00BF45B7"/>
    <w:rsid w:val="00BF5250"/>
    <w:rsid w:val="00BF61C9"/>
    <w:rsid w:val="00BF6C94"/>
    <w:rsid w:val="00BF7A85"/>
    <w:rsid w:val="00C00175"/>
    <w:rsid w:val="00C00424"/>
    <w:rsid w:val="00C0169F"/>
    <w:rsid w:val="00C02D18"/>
    <w:rsid w:val="00C03EF0"/>
    <w:rsid w:val="00C042F7"/>
    <w:rsid w:val="00C04573"/>
    <w:rsid w:val="00C04A2C"/>
    <w:rsid w:val="00C05CA7"/>
    <w:rsid w:val="00C05D9A"/>
    <w:rsid w:val="00C07C6A"/>
    <w:rsid w:val="00C1179F"/>
    <w:rsid w:val="00C12801"/>
    <w:rsid w:val="00C12C14"/>
    <w:rsid w:val="00C13481"/>
    <w:rsid w:val="00C139A2"/>
    <w:rsid w:val="00C15F04"/>
    <w:rsid w:val="00C164FF"/>
    <w:rsid w:val="00C17492"/>
    <w:rsid w:val="00C179B3"/>
    <w:rsid w:val="00C17E3F"/>
    <w:rsid w:val="00C200AA"/>
    <w:rsid w:val="00C22C5E"/>
    <w:rsid w:val="00C237ED"/>
    <w:rsid w:val="00C23AEE"/>
    <w:rsid w:val="00C24457"/>
    <w:rsid w:val="00C24632"/>
    <w:rsid w:val="00C246C2"/>
    <w:rsid w:val="00C24789"/>
    <w:rsid w:val="00C25418"/>
    <w:rsid w:val="00C25A10"/>
    <w:rsid w:val="00C25D9C"/>
    <w:rsid w:val="00C26790"/>
    <w:rsid w:val="00C2691C"/>
    <w:rsid w:val="00C26CC2"/>
    <w:rsid w:val="00C271C0"/>
    <w:rsid w:val="00C2778B"/>
    <w:rsid w:val="00C315C7"/>
    <w:rsid w:val="00C31649"/>
    <w:rsid w:val="00C32218"/>
    <w:rsid w:val="00C3434C"/>
    <w:rsid w:val="00C34BC6"/>
    <w:rsid w:val="00C354D4"/>
    <w:rsid w:val="00C3571E"/>
    <w:rsid w:val="00C36135"/>
    <w:rsid w:val="00C36AAB"/>
    <w:rsid w:val="00C37639"/>
    <w:rsid w:val="00C40385"/>
    <w:rsid w:val="00C40AAD"/>
    <w:rsid w:val="00C4119B"/>
    <w:rsid w:val="00C41768"/>
    <w:rsid w:val="00C41DC6"/>
    <w:rsid w:val="00C41DCB"/>
    <w:rsid w:val="00C445A0"/>
    <w:rsid w:val="00C4461E"/>
    <w:rsid w:val="00C44E68"/>
    <w:rsid w:val="00C4505D"/>
    <w:rsid w:val="00C452EE"/>
    <w:rsid w:val="00C4621F"/>
    <w:rsid w:val="00C46287"/>
    <w:rsid w:val="00C46C1E"/>
    <w:rsid w:val="00C46F50"/>
    <w:rsid w:val="00C47327"/>
    <w:rsid w:val="00C475AA"/>
    <w:rsid w:val="00C479F3"/>
    <w:rsid w:val="00C50747"/>
    <w:rsid w:val="00C50D1F"/>
    <w:rsid w:val="00C51630"/>
    <w:rsid w:val="00C51BD4"/>
    <w:rsid w:val="00C52361"/>
    <w:rsid w:val="00C53132"/>
    <w:rsid w:val="00C53C98"/>
    <w:rsid w:val="00C53DD2"/>
    <w:rsid w:val="00C5548F"/>
    <w:rsid w:val="00C56FCF"/>
    <w:rsid w:val="00C57B6C"/>
    <w:rsid w:val="00C628A6"/>
    <w:rsid w:val="00C62981"/>
    <w:rsid w:val="00C62C9E"/>
    <w:rsid w:val="00C638C7"/>
    <w:rsid w:val="00C63A5C"/>
    <w:rsid w:val="00C6400A"/>
    <w:rsid w:val="00C64344"/>
    <w:rsid w:val="00C65045"/>
    <w:rsid w:val="00C65108"/>
    <w:rsid w:val="00C6554D"/>
    <w:rsid w:val="00C65576"/>
    <w:rsid w:val="00C655B1"/>
    <w:rsid w:val="00C658E5"/>
    <w:rsid w:val="00C66165"/>
    <w:rsid w:val="00C6768B"/>
    <w:rsid w:val="00C7060A"/>
    <w:rsid w:val="00C70C3A"/>
    <w:rsid w:val="00C7151A"/>
    <w:rsid w:val="00C717E3"/>
    <w:rsid w:val="00C7188E"/>
    <w:rsid w:val="00C71F60"/>
    <w:rsid w:val="00C72241"/>
    <w:rsid w:val="00C72994"/>
    <w:rsid w:val="00C72A3B"/>
    <w:rsid w:val="00C7309F"/>
    <w:rsid w:val="00C73E59"/>
    <w:rsid w:val="00C7477B"/>
    <w:rsid w:val="00C750C8"/>
    <w:rsid w:val="00C7560F"/>
    <w:rsid w:val="00C76393"/>
    <w:rsid w:val="00C76951"/>
    <w:rsid w:val="00C7763D"/>
    <w:rsid w:val="00C7773B"/>
    <w:rsid w:val="00C8016B"/>
    <w:rsid w:val="00C806D4"/>
    <w:rsid w:val="00C8093F"/>
    <w:rsid w:val="00C80953"/>
    <w:rsid w:val="00C80A0E"/>
    <w:rsid w:val="00C8213F"/>
    <w:rsid w:val="00C82FC1"/>
    <w:rsid w:val="00C84BF0"/>
    <w:rsid w:val="00C85154"/>
    <w:rsid w:val="00C8520A"/>
    <w:rsid w:val="00C85697"/>
    <w:rsid w:val="00C85BA1"/>
    <w:rsid w:val="00C8797A"/>
    <w:rsid w:val="00C87A77"/>
    <w:rsid w:val="00C900B8"/>
    <w:rsid w:val="00C90C71"/>
    <w:rsid w:val="00C914E9"/>
    <w:rsid w:val="00C91E1A"/>
    <w:rsid w:val="00C91FD1"/>
    <w:rsid w:val="00C9240C"/>
    <w:rsid w:val="00C931CF"/>
    <w:rsid w:val="00C932A5"/>
    <w:rsid w:val="00C938CF"/>
    <w:rsid w:val="00C93CD7"/>
    <w:rsid w:val="00C94053"/>
    <w:rsid w:val="00C94C6A"/>
    <w:rsid w:val="00C9624D"/>
    <w:rsid w:val="00C969DA"/>
    <w:rsid w:val="00C9724B"/>
    <w:rsid w:val="00C97869"/>
    <w:rsid w:val="00CA0B44"/>
    <w:rsid w:val="00CA2C77"/>
    <w:rsid w:val="00CA3181"/>
    <w:rsid w:val="00CA444F"/>
    <w:rsid w:val="00CA4FD8"/>
    <w:rsid w:val="00CA5245"/>
    <w:rsid w:val="00CA57B1"/>
    <w:rsid w:val="00CA64A8"/>
    <w:rsid w:val="00CA71F4"/>
    <w:rsid w:val="00CA7B09"/>
    <w:rsid w:val="00CB1024"/>
    <w:rsid w:val="00CB12A5"/>
    <w:rsid w:val="00CB1351"/>
    <w:rsid w:val="00CB1CAC"/>
    <w:rsid w:val="00CB2F2A"/>
    <w:rsid w:val="00CB34EF"/>
    <w:rsid w:val="00CB546A"/>
    <w:rsid w:val="00CB56BA"/>
    <w:rsid w:val="00CB5851"/>
    <w:rsid w:val="00CB5B1A"/>
    <w:rsid w:val="00CB6B22"/>
    <w:rsid w:val="00CB7E11"/>
    <w:rsid w:val="00CB7F5F"/>
    <w:rsid w:val="00CC08C7"/>
    <w:rsid w:val="00CC1B39"/>
    <w:rsid w:val="00CC2F91"/>
    <w:rsid w:val="00CC35EA"/>
    <w:rsid w:val="00CC3848"/>
    <w:rsid w:val="00CC5360"/>
    <w:rsid w:val="00CC5473"/>
    <w:rsid w:val="00CC6138"/>
    <w:rsid w:val="00CC62DF"/>
    <w:rsid w:val="00CC6696"/>
    <w:rsid w:val="00CC6A86"/>
    <w:rsid w:val="00CC75F9"/>
    <w:rsid w:val="00CC7A86"/>
    <w:rsid w:val="00CD0EC2"/>
    <w:rsid w:val="00CD2C2B"/>
    <w:rsid w:val="00CD2EAF"/>
    <w:rsid w:val="00CD3F77"/>
    <w:rsid w:val="00CD4669"/>
    <w:rsid w:val="00CD656A"/>
    <w:rsid w:val="00CD669D"/>
    <w:rsid w:val="00CD684D"/>
    <w:rsid w:val="00CD6ADC"/>
    <w:rsid w:val="00CD7193"/>
    <w:rsid w:val="00CD7A5B"/>
    <w:rsid w:val="00CE03B4"/>
    <w:rsid w:val="00CE38C8"/>
    <w:rsid w:val="00CE39E3"/>
    <w:rsid w:val="00CE5575"/>
    <w:rsid w:val="00CE6274"/>
    <w:rsid w:val="00CE6E8F"/>
    <w:rsid w:val="00CE6EA7"/>
    <w:rsid w:val="00CE76F1"/>
    <w:rsid w:val="00CE77B6"/>
    <w:rsid w:val="00CF0AFC"/>
    <w:rsid w:val="00CF0C3C"/>
    <w:rsid w:val="00CF0DF4"/>
    <w:rsid w:val="00CF2B8D"/>
    <w:rsid w:val="00CF3DE2"/>
    <w:rsid w:val="00CF3E35"/>
    <w:rsid w:val="00CF456B"/>
    <w:rsid w:val="00CF5787"/>
    <w:rsid w:val="00CF5A22"/>
    <w:rsid w:val="00CF6323"/>
    <w:rsid w:val="00D0262E"/>
    <w:rsid w:val="00D02F12"/>
    <w:rsid w:val="00D03B04"/>
    <w:rsid w:val="00D03E40"/>
    <w:rsid w:val="00D040A6"/>
    <w:rsid w:val="00D0480E"/>
    <w:rsid w:val="00D05A93"/>
    <w:rsid w:val="00D05C6C"/>
    <w:rsid w:val="00D05E3D"/>
    <w:rsid w:val="00D06139"/>
    <w:rsid w:val="00D105C1"/>
    <w:rsid w:val="00D10730"/>
    <w:rsid w:val="00D110BD"/>
    <w:rsid w:val="00D11729"/>
    <w:rsid w:val="00D1201D"/>
    <w:rsid w:val="00D13675"/>
    <w:rsid w:val="00D141E1"/>
    <w:rsid w:val="00D14DB8"/>
    <w:rsid w:val="00D14F86"/>
    <w:rsid w:val="00D15314"/>
    <w:rsid w:val="00D15F29"/>
    <w:rsid w:val="00D1669C"/>
    <w:rsid w:val="00D16773"/>
    <w:rsid w:val="00D16971"/>
    <w:rsid w:val="00D16EC3"/>
    <w:rsid w:val="00D17AC8"/>
    <w:rsid w:val="00D17D6C"/>
    <w:rsid w:val="00D20111"/>
    <w:rsid w:val="00D20974"/>
    <w:rsid w:val="00D2155B"/>
    <w:rsid w:val="00D21EF3"/>
    <w:rsid w:val="00D22E63"/>
    <w:rsid w:val="00D23498"/>
    <w:rsid w:val="00D23C1E"/>
    <w:rsid w:val="00D23D11"/>
    <w:rsid w:val="00D24385"/>
    <w:rsid w:val="00D244B6"/>
    <w:rsid w:val="00D2485F"/>
    <w:rsid w:val="00D24DAF"/>
    <w:rsid w:val="00D26458"/>
    <w:rsid w:val="00D2739F"/>
    <w:rsid w:val="00D2754D"/>
    <w:rsid w:val="00D27B27"/>
    <w:rsid w:val="00D32101"/>
    <w:rsid w:val="00D32165"/>
    <w:rsid w:val="00D32187"/>
    <w:rsid w:val="00D33BE9"/>
    <w:rsid w:val="00D33CB9"/>
    <w:rsid w:val="00D33F93"/>
    <w:rsid w:val="00D351F6"/>
    <w:rsid w:val="00D357FF"/>
    <w:rsid w:val="00D36888"/>
    <w:rsid w:val="00D371D5"/>
    <w:rsid w:val="00D3722A"/>
    <w:rsid w:val="00D4081E"/>
    <w:rsid w:val="00D415F5"/>
    <w:rsid w:val="00D424C7"/>
    <w:rsid w:val="00D4286A"/>
    <w:rsid w:val="00D43B2A"/>
    <w:rsid w:val="00D43D83"/>
    <w:rsid w:val="00D449F5"/>
    <w:rsid w:val="00D47575"/>
    <w:rsid w:val="00D47F77"/>
    <w:rsid w:val="00D5092A"/>
    <w:rsid w:val="00D51495"/>
    <w:rsid w:val="00D52257"/>
    <w:rsid w:val="00D52310"/>
    <w:rsid w:val="00D5243B"/>
    <w:rsid w:val="00D533EC"/>
    <w:rsid w:val="00D55F89"/>
    <w:rsid w:val="00D56A95"/>
    <w:rsid w:val="00D576D3"/>
    <w:rsid w:val="00D57DD3"/>
    <w:rsid w:val="00D626A2"/>
    <w:rsid w:val="00D628E7"/>
    <w:rsid w:val="00D6483F"/>
    <w:rsid w:val="00D6581F"/>
    <w:rsid w:val="00D659BA"/>
    <w:rsid w:val="00D6694F"/>
    <w:rsid w:val="00D67310"/>
    <w:rsid w:val="00D67AD0"/>
    <w:rsid w:val="00D704C7"/>
    <w:rsid w:val="00D70F16"/>
    <w:rsid w:val="00D72067"/>
    <w:rsid w:val="00D7244A"/>
    <w:rsid w:val="00D72AE0"/>
    <w:rsid w:val="00D72F57"/>
    <w:rsid w:val="00D74224"/>
    <w:rsid w:val="00D76A44"/>
    <w:rsid w:val="00D77E04"/>
    <w:rsid w:val="00D815EF"/>
    <w:rsid w:val="00D81F1C"/>
    <w:rsid w:val="00D81F26"/>
    <w:rsid w:val="00D81FD5"/>
    <w:rsid w:val="00D826CC"/>
    <w:rsid w:val="00D832AD"/>
    <w:rsid w:val="00D845F9"/>
    <w:rsid w:val="00D84620"/>
    <w:rsid w:val="00D8497D"/>
    <w:rsid w:val="00D84B3C"/>
    <w:rsid w:val="00D85B12"/>
    <w:rsid w:val="00D86089"/>
    <w:rsid w:val="00D86231"/>
    <w:rsid w:val="00D8785A"/>
    <w:rsid w:val="00D87B22"/>
    <w:rsid w:val="00D91625"/>
    <w:rsid w:val="00D91923"/>
    <w:rsid w:val="00D92E9E"/>
    <w:rsid w:val="00D92EDF"/>
    <w:rsid w:val="00D93753"/>
    <w:rsid w:val="00D93BB3"/>
    <w:rsid w:val="00D95EE4"/>
    <w:rsid w:val="00D97D7D"/>
    <w:rsid w:val="00DA110E"/>
    <w:rsid w:val="00DA138E"/>
    <w:rsid w:val="00DA3167"/>
    <w:rsid w:val="00DA3EF4"/>
    <w:rsid w:val="00DA4DC3"/>
    <w:rsid w:val="00DA5533"/>
    <w:rsid w:val="00DA571D"/>
    <w:rsid w:val="00DA6ECA"/>
    <w:rsid w:val="00DA767E"/>
    <w:rsid w:val="00DA77A5"/>
    <w:rsid w:val="00DB0868"/>
    <w:rsid w:val="00DB1411"/>
    <w:rsid w:val="00DB2826"/>
    <w:rsid w:val="00DB39DA"/>
    <w:rsid w:val="00DB3DBF"/>
    <w:rsid w:val="00DB4726"/>
    <w:rsid w:val="00DB484F"/>
    <w:rsid w:val="00DB5575"/>
    <w:rsid w:val="00DB6035"/>
    <w:rsid w:val="00DC04F6"/>
    <w:rsid w:val="00DC0690"/>
    <w:rsid w:val="00DC0B64"/>
    <w:rsid w:val="00DC101C"/>
    <w:rsid w:val="00DC1671"/>
    <w:rsid w:val="00DC1D65"/>
    <w:rsid w:val="00DC3C57"/>
    <w:rsid w:val="00DC5501"/>
    <w:rsid w:val="00DC5BBB"/>
    <w:rsid w:val="00DC5F35"/>
    <w:rsid w:val="00DC7154"/>
    <w:rsid w:val="00DC744F"/>
    <w:rsid w:val="00DC7941"/>
    <w:rsid w:val="00DC7E8A"/>
    <w:rsid w:val="00DD0F78"/>
    <w:rsid w:val="00DD0FCD"/>
    <w:rsid w:val="00DD112F"/>
    <w:rsid w:val="00DD148B"/>
    <w:rsid w:val="00DD208A"/>
    <w:rsid w:val="00DD2463"/>
    <w:rsid w:val="00DD273C"/>
    <w:rsid w:val="00DD3F28"/>
    <w:rsid w:val="00DD4537"/>
    <w:rsid w:val="00DD45F7"/>
    <w:rsid w:val="00DD4E15"/>
    <w:rsid w:val="00DD632D"/>
    <w:rsid w:val="00DD7184"/>
    <w:rsid w:val="00DD7876"/>
    <w:rsid w:val="00DD7C8A"/>
    <w:rsid w:val="00DE0A9F"/>
    <w:rsid w:val="00DE0AB5"/>
    <w:rsid w:val="00DE0F9C"/>
    <w:rsid w:val="00DE195A"/>
    <w:rsid w:val="00DE2304"/>
    <w:rsid w:val="00DE3138"/>
    <w:rsid w:val="00DE37F8"/>
    <w:rsid w:val="00DE4E69"/>
    <w:rsid w:val="00DE4FCB"/>
    <w:rsid w:val="00DE53E8"/>
    <w:rsid w:val="00DE5407"/>
    <w:rsid w:val="00DE5584"/>
    <w:rsid w:val="00DE5C6F"/>
    <w:rsid w:val="00DE5D07"/>
    <w:rsid w:val="00DE704E"/>
    <w:rsid w:val="00DE7111"/>
    <w:rsid w:val="00DE72A7"/>
    <w:rsid w:val="00DE7832"/>
    <w:rsid w:val="00DE79A0"/>
    <w:rsid w:val="00DE79DF"/>
    <w:rsid w:val="00DF0819"/>
    <w:rsid w:val="00DF0A25"/>
    <w:rsid w:val="00DF1497"/>
    <w:rsid w:val="00DF18FC"/>
    <w:rsid w:val="00DF50B3"/>
    <w:rsid w:val="00DF5D2B"/>
    <w:rsid w:val="00E00ABA"/>
    <w:rsid w:val="00E00E8E"/>
    <w:rsid w:val="00E00F7B"/>
    <w:rsid w:val="00E04CEF"/>
    <w:rsid w:val="00E05518"/>
    <w:rsid w:val="00E05630"/>
    <w:rsid w:val="00E05B6D"/>
    <w:rsid w:val="00E05FA1"/>
    <w:rsid w:val="00E062C3"/>
    <w:rsid w:val="00E06538"/>
    <w:rsid w:val="00E06DBB"/>
    <w:rsid w:val="00E07D8C"/>
    <w:rsid w:val="00E07E84"/>
    <w:rsid w:val="00E10149"/>
    <w:rsid w:val="00E11340"/>
    <w:rsid w:val="00E11A33"/>
    <w:rsid w:val="00E122A1"/>
    <w:rsid w:val="00E12735"/>
    <w:rsid w:val="00E12A1C"/>
    <w:rsid w:val="00E1393C"/>
    <w:rsid w:val="00E13979"/>
    <w:rsid w:val="00E140D2"/>
    <w:rsid w:val="00E141B0"/>
    <w:rsid w:val="00E143D9"/>
    <w:rsid w:val="00E15747"/>
    <w:rsid w:val="00E15BBF"/>
    <w:rsid w:val="00E16372"/>
    <w:rsid w:val="00E20E4D"/>
    <w:rsid w:val="00E20ED6"/>
    <w:rsid w:val="00E21358"/>
    <w:rsid w:val="00E22183"/>
    <w:rsid w:val="00E2249B"/>
    <w:rsid w:val="00E22A0D"/>
    <w:rsid w:val="00E244F6"/>
    <w:rsid w:val="00E2460B"/>
    <w:rsid w:val="00E24E4B"/>
    <w:rsid w:val="00E2502B"/>
    <w:rsid w:val="00E26780"/>
    <w:rsid w:val="00E2771E"/>
    <w:rsid w:val="00E311EF"/>
    <w:rsid w:val="00E32180"/>
    <w:rsid w:val="00E3222E"/>
    <w:rsid w:val="00E3359B"/>
    <w:rsid w:val="00E34948"/>
    <w:rsid w:val="00E3670A"/>
    <w:rsid w:val="00E369D3"/>
    <w:rsid w:val="00E36A7C"/>
    <w:rsid w:val="00E36B95"/>
    <w:rsid w:val="00E37569"/>
    <w:rsid w:val="00E401B2"/>
    <w:rsid w:val="00E4076C"/>
    <w:rsid w:val="00E41227"/>
    <w:rsid w:val="00E41E30"/>
    <w:rsid w:val="00E42F73"/>
    <w:rsid w:val="00E4390C"/>
    <w:rsid w:val="00E43D70"/>
    <w:rsid w:val="00E444B2"/>
    <w:rsid w:val="00E451A1"/>
    <w:rsid w:val="00E45289"/>
    <w:rsid w:val="00E45581"/>
    <w:rsid w:val="00E466F3"/>
    <w:rsid w:val="00E466FB"/>
    <w:rsid w:val="00E47B2C"/>
    <w:rsid w:val="00E505CF"/>
    <w:rsid w:val="00E51411"/>
    <w:rsid w:val="00E51560"/>
    <w:rsid w:val="00E52CCC"/>
    <w:rsid w:val="00E53404"/>
    <w:rsid w:val="00E53FC8"/>
    <w:rsid w:val="00E54347"/>
    <w:rsid w:val="00E55424"/>
    <w:rsid w:val="00E55915"/>
    <w:rsid w:val="00E55BB5"/>
    <w:rsid w:val="00E55C90"/>
    <w:rsid w:val="00E564FC"/>
    <w:rsid w:val="00E577E5"/>
    <w:rsid w:val="00E579E4"/>
    <w:rsid w:val="00E604F5"/>
    <w:rsid w:val="00E61103"/>
    <w:rsid w:val="00E61143"/>
    <w:rsid w:val="00E617FE"/>
    <w:rsid w:val="00E6233B"/>
    <w:rsid w:val="00E6272D"/>
    <w:rsid w:val="00E62D73"/>
    <w:rsid w:val="00E62F6F"/>
    <w:rsid w:val="00E631E3"/>
    <w:rsid w:val="00E657C6"/>
    <w:rsid w:val="00E65E79"/>
    <w:rsid w:val="00E66B02"/>
    <w:rsid w:val="00E66BA2"/>
    <w:rsid w:val="00E66F0F"/>
    <w:rsid w:val="00E6716D"/>
    <w:rsid w:val="00E67416"/>
    <w:rsid w:val="00E6796F"/>
    <w:rsid w:val="00E70E5C"/>
    <w:rsid w:val="00E718B6"/>
    <w:rsid w:val="00E71B5A"/>
    <w:rsid w:val="00E71CFB"/>
    <w:rsid w:val="00E723BA"/>
    <w:rsid w:val="00E72DAE"/>
    <w:rsid w:val="00E72E49"/>
    <w:rsid w:val="00E730B3"/>
    <w:rsid w:val="00E73581"/>
    <w:rsid w:val="00E767C4"/>
    <w:rsid w:val="00E77133"/>
    <w:rsid w:val="00E775AB"/>
    <w:rsid w:val="00E77C94"/>
    <w:rsid w:val="00E80C3A"/>
    <w:rsid w:val="00E80F71"/>
    <w:rsid w:val="00E81EFA"/>
    <w:rsid w:val="00E82146"/>
    <w:rsid w:val="00E833F7"/>
    <w:rsid w:val="00E83B7E"/>
    <w:rsid w:val="00E83BDF"/>
    <w:rsid w:val="00E86245"/>
    <w:rsid w:val="00E864DF"/>
    <w:rsid w:val="00E87666"/>
    <w:rsid w:val="00E87A1D"/>
    <w:rsid w:val="00E87F4E"/>
    <w:rsid w:val="00E9094A"/>
    <w:rsid w:val="00E91861"/>
    <w:rsid w:val="00E91AD3"/>
    <w:rsid w:val="00E91D07"/>
    <w:rsid w:val="00E91D35"/>
    <w:rsid w:val="00E921CB"/>
    <w:rsid w:val="00E926A5"/>
    <w:rsid w:val="00E93A7B"/>
    <w:rsid w:val="00E96EB5"/>
    <w:rsid w:val="00E97308"/>
    <w:rsid w:val="00EA08FC"/>
    <w:rsid w:val="00EA0EDC"/>
    <w:rsid w:val="00EA16B5"/>
    <w:rsid w:val="00EA17C3"/>
    <w:rsid w:val="00EA1E2D"/>
    <w:rsid w:val="00EA2361"/>
    <w:rsid w:val="00EA2CAA"/>
    <w:rsid w:val="00EA3231"/>
    <w:rsid w:val="00EA3864"/>
    <w:rsid w:val="00EA449D"/>
    <w:rsid w:val="00EA5D86"/>
    <w:rsid w:val="00EA5E14"/>
    <w:rsid w:val="00EA74F7"/>
    <w:rsid w:val="00EA7F1C"/>
    <w:rsid w:val="00EB03DE"/>
    <w:rsid w:val="00EB15B6"/>
    <w:rsid w:val="00EB25C4"/>
    <w:rsid w:val="00EB3409"/>
    <w:rsid w:val="00EB3D06"/>
    <w:rsid w:val="00EB4096"/>
    <w:rsid w:val="00EB4846"/>
    <w:rsid w:val="00EB4916"/>
    <w:rsid w:val="00EB5C2F"/>
    <w:rsid w:val="00EB7606"/>
    <w:rsid w:val="00EB7FEC"/>
    <w:rsid w:val="00EC00C9"/>
    <w:rsid w:val="00EC0DD9"/>
    <w:rsid w:val="00EC14D2"/>
    <w:rsid w:val="00EC1CEE"/>
    <w:rsid w:val="00EC1D2A"/>
    <w:rsid w:val="00EC22D7"/>
    <w:rsid w:val="00EC2649"/>
    <w:rsid w:val="00EC31ED"/>
    <w:rsid w:val="00EC3AF5"/>
    <w:rsid w:val="00EC3FCB"/>
    <w:rsid w:val="00EC4FF5"/>
    <w:rsid w:val="00EC5836"/>
    <w:rsid w:val="00EC59B1"/>
    <w:rsid w:val="00EC688C"/>
    <w:rsid w:val="00EC7688"/>
    <w:rsid w:val="00EC789B"/>
    <w:rsid w:val="00EC7F63"/>
    <w:rsid w:val="00ED0A84"/>
    <w:rsid w:val="00ED2AF7"/>
    <w:rsid w:val="00ED2EDF"/>
    <w:rsid w:val="00ED4A34"/>
    <w:rsid w:val="00ED57EA"/>
    <w:rsid w:val="00ED5BD4"/>
    <w:rsid w:val="00ED6571"/>
    <w:rsid w:val="00ED6865"/>
    <w:rsid w:val="00EE07D3"/>
    <w:rsid w:val="00EE07FF"/>
    <w:rsid w:val="00EE0C3D"/>
    <w:rsid w:val="00EE12B6"/>
    <w:rsid w:val="00EE1996"/>
    <w:rsid w:val="00EE1C01"/>
    <w:rsid w:val="00EE22AF"/>
    <w:rsid w:val="00EE2E35"/>
    <w:rsid w:val="00EE37EF"/>
    <w:rsid w:val="00EE641B"/>
    <w:rsid w:val="00EE6660"/>
    <w:rsid w:val="00EE74F4"/>
    <w:rsid w:val="00EF0171"/>
    <w:rsid w:val="00EF1B25"/>
    <w:rsid w:val="00EF1B9F"/>
    <w:rsid w:val="00EF1DA0"/>
    <w:rsid w:val="00EF1F79"/>
    <w:rsid w:val="00EF284B"/>
    <w:rsid w:val="00EF28C7"/>
    <w:rsid w:val="00EF2DE7"/>
    <w:rsid w:val="00EF2F72"/>
    <w:rsid w:val="00EF30A2"/>
    <w:rsid w:val="00EF319E"/>
    <w:rsid w:val="00EF31B3"/>
    <w:rsid w:val="00EF38BB"/>
    <w:rsid w:val="00EF4747"/>
    <w:rsid w:val="00EF4BF8"/>
    <w:rsid w:val="00EF5AC9"/>
    <w:rsid w:val="00EF7F80"/>
    <w:rsid w:val="00F00161"/>
    <w:rsid w:val="00F01C9F"/>
    <w:rsid w:val="00F02253"/>
    <w:rsid w:val="00F03C2E"/>
    <w:rsid w:val="00F04A66"/>
    <w:rsid w:val="00F04B4B"/>
    <w:rsid w:val="00F04CF3"/>
    <w:rsid w:val="00F0516C"/>
    <w:rsid w:val="00F052B6"/>
    <w:rsid w:val="00F057DC"/>
    <w:rsid w:val="00F05DDC"/>
    <w:rsid w:val="00F067A2"/>
    <w:rsid w:val="00F06E72"/>
    <w:rsid w:val="00F07B9E"/>
    <w:rsid w:val="00F1116F"/>
    <w:rsid w:val="00F1199D"/>
    <w:rsid w:val="00F11E91"/>
    <w:rsid w:val="00F1263A"/>
    <w:rsid w:val="00F12A54"/>
    <w:rsid w:val="00F15734"/>
    <w:rsid w:val="00F159C8"/>
    <w:rsid w:val="00F15B77"/>
    <w:rsid w:val="00F17209"/>
    <w:rsid w:val="00F20551"/>
    <w:rsid w:val="00F207C0"/>
    <w:rsid w:val="00F23749"/>
    <w:rsid w:val="00F2434D"/>
    <w:rsid w:val="00F24837"/>
    <w:rsid w:val="00F24E03"/>
    <w:rsid w:val="00F2575F"/>
    <w:rsid w:val="00F27565"/>
    <w:rsid w:val="00F27D5E"/>
    <w:rsid w:val="00F304A8"/>
    <w:rsid w:val="00F310D4"/>
    <w:rsid w:val="00F31A82"/>
    <w:rsid w:val="00F31D5A"/>
    <w:rsid w:val="00F3252B"/>
    <w:rsid w:val="00F3254B"/>
    <w:rsid w:val="00F32924"/>
    <w:rsid w:val="00F33975"/>
    <w:rsid w:val="00F33DE9"/>
    <w:rsid w:val="00F33DFD"/>
    <w:rsid w:val="00F3489C"/>
    <w:rsid w:val="00F35E6D"/>
    <w:rsid w:val="00F3619A"/>
    <w:rsid w:val="00F36970"/>
    <w:rsid w:val="00F36CDD"/>
    <w:rsid w:val="00F377BC"/>
    <w:rsid w:val="00F3796C"/>
    <w:rsid w:val="00F403DC"/>
    <w:rsid w:val="00F4072D"/>
    <w:rsid w:val="00F40AAA"/>
    <w:rsid w:val="00F40BA7"/>
    <w:rsid w:val="00F40F9D"/>
    <w:rsid w:val="00F4145F"/>
    <w:rsid w:val="00F41998"/>
    <w:rsid w:val="00F41ACD"/>
    <w:rsid w:val="00F42117"/>
    <w:rsid w:val="00F42687"/>
    <w:rsid w:val="00F42949"/>
    <w:rsid w:val="00F434FD"/>
    <w:rsid w:val="00F438E0"/>
    <w:rsid w:val="00F44534"/>
    <w:rsid w:val="00F46126"/>
    <w:rsid w:val="00F46CB6"/>
    <w:rsid w:val="00F4756D"/>
    <w:rsid w:val="00F4782E"/>
    <w:rsid w:val="00F47DE8"/>
    <w:rsid w:val="00F524B2"/>
    <w:rsid w:val="00F52846"/>
    <w:rsid w:val="00F534E5"/>
    <w:rsid w:val="00F53EBF"/>
    <w:rsid w:val="00F542C1"/>
    <w:rsid w:val="00F54482"/>
    <w:rsid w:val="00F54F73"/>
    <w:rsid w:val="00F55A17"/>
    <w:rsid w:val="00F55E73"/>
    <w:rsid w:val="00F55EDA"/>
    <w:rsid w:val="00F56C80"/>
    <w:rsid w:val="00F56D70"/>
    <w:rsid w:val="00F5754F"/>
    <w:rsid w:val="00F57736"/>
    <w:rsid w:val="00F579CF"/>
    <w:rsid w:val="00F60092"/>
    <w:rsid w:val="00F60B52"/>
    <w:rsid w:val="00F61C18"/>
    <w:rsid w:val="00F61D25"/>
    <w:rsid w:val="00F64DBE"/>
    <w:rsid w:val="00F64EA8"/>
    <w:rsid w:val="00F65F4B"/>
    <w:rsid w:val="00F660E7"/>
    <w:rsid w:val="00F67607"/>
    <w:rsid w:val="00F67A69"/>
    <w:rsid w:val="00F70275"/>
    <w:rsid w:val="00F70BFF"/>
    <w:rsid w:val="00F70C9D"/>
    <w:rsid w:val="00F71CBE"/>
    <w:rsid w:val="00F72842"/>
    <w:rsid w:val="00F729B5"/>
    <w:rsid w:val="00F73091"/>
    <w:rsid w:val="00F73268"/>
    <w:rsid w:val="00F74CD9"/>
    <w:rsid w:val="00F7592A"/>
    <w:rsid w:val="00F771C9"/>
    <w:rsid w:val="00F77665"/>
    <w:rsid w:val="00F77D0A"/>
    <w:rsid w:val="00F801E4"/>
    <w:rsid w:val="00F80A7B"/>
    <w:rsid w:val="00F80E5D"/>
    <w:rsid w:val="00F80F62"/>
    <w:rsid w:val="00F81CA2"/>
    <w:rsid w:val="00F81E78"/>
    <w:rsid w:val="00F82192"/>
    <w:rsid w:val="00F82C54"/>
    <w:rsid w:val="00F83DBC"/>
    <w:rsid w:val="00F83E74"/>
    <w:rsid w:val="00F84047"/>
    <w:rsid w:val="00F84230"/>
    <w:rsid w:val="00F84300"/>
    <w:rsid w:val="00F851CE"/>
    <w:rsid w:val="00F85FDA"/>
    <w:rsid w:val="00F86CE7"/>
    <w:rsid w:val="00F91219"/>
    <w:rsid w:val="00F92444"/>
    <w:rsid w:val="00F9366D"/>
    <w:rsid w:val="00F9391F"/>
    <w:rsid w:val="00F9393E"/>
    <w:rsid w:val="00F94D3A"/>
    <w:rsid w:val="00F950E1"/>
    <w:rsid w:val="00F95AF8"/>
    <w:rsid w:val="00F95FB3"/>
    <w:rsid w:val="00F96FD0"/>
    <w:rsid w:val="00F97A78"/>
    <w:rsid w:val="00F97E0F"/>
    <w:rsid w:val="00FA0B20"/>
    <w:rsid w:val="00FA0F53"/>
    <w:rsid w:val="00FA24E7"/>
    <w:rsid w:val="00FA3EFB"/>
    <w:rsid w:val="00FA4AA9"/>
    <w:rsid w:val="00FA5EE6"/>
    <w:rsid w:val="00FA6B23"/>
    <w:rsid w:val="00FA7008"/>
    <w:rsid w:val="00FA7956"/>
    <w:rsid w:val="00FB1662"/>
    <w:rsid w:val="00FB16AE"/>
    <w:rsid w:val="00FB1CB2"/>
    <w:rsid w:val="00FB22F1"/>
    <w:rsid w:val="00FB2FCB"/>
    <w:rsid w:val="00FB3738"/>
    <w:rsid w:val="00FB45CE"/>
    <w:rsid w:val="00FB4B68"/>
    <w:rsid w:val="00FB723E"/>
    <w:rsid w:val="00FB7C55"/>
    <w:rsid w:val="00FB7FE5"/>
    <w:rsid w:val="00FC069E"/>
    <w:rsid w:val="00FC0C08"/>
    <w:rsid w:val="00FC1074"/>
    <w:rsid w:val="00FC1884"/>
    <w:rsid w:val="00FC26ED"/>
    <w:rsid w:val="00FC2877"/>
    <w:rsid w:val="00FC28C8"/>
    <w:rsid w:val="00FC3388"/>
    <w:rsid w:val="00FC371D"/>
    <w:rsid w:val="00FC3BE5"/>
    <w:rsid w:val="00FC51B6"/>
    <w:rsid w:val="00FC5F0B"/>
    <w:rsid w:val="00FC6C9E"/>
    <w:rsid w:val="00FC7506"/>
    <w:rsid w:val="00FD069F"/>
    <w:rsid w:val="00FD1A98"/>
    <w:rsid w:val="00FD2100"/>
    <w:rsid w:val="00FD3FB1"/>
    <w:rsid w:val="00FD411D"/>
    <w:rsid w:val="00FD424D"/>
    <w:rsid w:val="00FD436C"/>
    <w:rsid w:val="00FD446D"/>
    <w:rsid w:val="00FD4F2C"/>
    <w:rsid w:val="00FD6394"/>
    <w:rsid w:val="00FD6FB2"/>
    <w:rsid w:val="00FD77AD"/>
    <w:rsid w:val="00FD7BA2"/>
    <w:rsid w:val="00FE0E6C"/>
    <w:rsid w:val="00FE1CDC"/>
    <w:rsid w:val="00FE39D2"/>
    <w:rsid w:val="00FE446B"/>
    <w:rsid w:val="00FE667F"/>
    <w:rsid w:val="00FE6721"/>
    <w:rsid w:val="00FE67CD"/>
    <w:rsid w:val="00FE70C3"/>
    <w:rsid w:val="00FE7291"/>
    <w:rsid w:val="00FE72DD"/>
    <w:rsid w:val="00FF0170"/>
    <w:rsid w:val="00FF01E7"/>
    <w:rsid w:val="00FF038A"/>
    <w:rsid w:val="00FF1963"/>
    <w:rsid w:val="00FF2AD9"/>
    <w:rsid w:val="00FF2FA3"/>
    <w:rsid w:val="00FF359F"/>
    <w:rsid w:val="00FF3DCF"/>
    <w:rsid w:val="00FF492C"/>
    <w:rsid w:val="00FF4A21"/>
    <w:rsid w:val="00FF4A68"/>
    <w:rsid w:val="00FF56E0"/>
    <w:rsid w:val="00FF5AA3"/>
    <w:rsid w:val="00FF5AD8"/>
    <w:rsid w:val="00FF68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A5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D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next w:val="ListBullet"/>
    <w:link w:val="ListParagraphChar"/>
    <w:uiPriority w:val="34"/>
    <w:qFormat/>
    <w:rsid w:val="00E143D9"/>
    <w:pPr>
      <w:numPr>
        <w:numId w:val="12"/>
      </w:numPr>
      <w:spacing w:after="120"/>
    </w:pPr>
    <w:rPr>
      <w:rFonts w:asciiTheme="minorHAnsi" w:hAnsiTheme="minorHAnsi"/>
      <w:iCs/>
      <w:snapToGrid w:val="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E143D9"/>
    <w:rPr>
      <w:rFonts w:asciiTheme="minorHAnsi" w:hAnsiTheme="minorHAnsi" w:cs="Arial"/>
      <w:iCs/>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uiPriority w:val="99"/>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8"/>
      </w:numPr>
    </w:pPr>
  </w:style>
  <w:style w:type="character" w:customStyle="1" w:styleId="3-BodyTextChar">
    <w:name w:val="3-Body Text Char"/>
    <w:basedOn w:val="ListParagraphChar"/>
    <w:link w:val="3-BodyText"/>
    <w:rsid w:val="004E18E9"/>
    <w:rPr>
      <w:rFonts w:asciiTheme="minorHAnsi" w:hAnsiTheme="minorHAnsi" w:cs="Arial"/>
      <w:iCs/>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uiPriority w:val="99"/>
    <w:rsid w:val="00EE1996"/>
    <w:rPr>
      <w:rFonts w:ascii="Arial Narrow" w:eastAsiaTheme="majorEastAsia" w:hAnsi="Arial Narrow" w:cstheme="majorBidi"/>
      <w:bCs/>
      <w:szCs w:val="24"/>
    </w:rPr>
  </w:style>
  <w:style w:type="table" w:customStyle="1" w:styleId="TableGridbeth1">
    <w:name w:val="Table Gridbeth1"/>
    <w:basedOn w:val="TableNormal"/>
    <w:next w:val="TableGrid"/>
    <w:uiPriority w:val="39"/>
    <w:rsid w:val="00343F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39"/>
    <w:rsid w:val="00323AB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39"/>
    <w:rsid w:val="002B74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39"/>
    <w:rsid w:val="002D122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065A1"/>
    <w:pPr>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2065A1"/>
    <w:rPr>
      <w:rFonts w:asciiTheme="minorHAnsi" w:eastAsiaTheme="minorHAnsi" w:hAnsiTheme="minorHAnsi" w:cstheme="minorBidi"/>
      <w:lang w:eastAsia="en-US"/>
    </w:rPr>
  </w:style>
  <w:style w:type="character" w:styleId="FootnoteReference">
    <w:name w:val="footnote reference"/>
    <w:basedOn w:val="DefaultParagraphFont"/>
    <w:unhideWhenUsed/>
    <w:rsid w:val="002065A1"/>
    <w:rPr>
      <w:vertAlign w:val="superscript"/>
    </w:rPr>
  </w:style>
  <w:style w:type="table" w:customStyle="1" w:styleId="TableGridbeth5">
    <w:name w:val="Table Gridbeth5"/>
    <w:basedOn w:val="TableNormal"/>
    <w:next w:val="TableGrid"/>
    <w:uiPriority w:val="39"/>
    <w:rsid w:val="0016367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39"/>
    <w:rsid w:val="00426A6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BB5299"/>
    <w:rPr>
      <w:vertAlign w:val="superscript"/>
    </w:rPr>
  </w:style>
  <w:style w:type="table" w:customStyle="1" w:styleId="TableGridbeth7">
    <w:name w:val="Table Gridbeth7"/>
    <w:basedOn w:val="TableNormal"/>
    <w:next w:val="TableGrid"/>
    <w:uiPriority w:val="39"/>
    <w:rsid w:val="008C723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Text">
    <w:name w:val="Main Body Text"/>
    <w:basedOn w:val="Normal"/>
    <w:link w:val="MainBodyTextChar"/>
    <w:uiPriority w:val="99"/>
    <w:rsid w:val="00153909"/>
    <w:pPr>
      <w:spacing w:after="240" w:line="276" w:lineRule="auto"/>
    </w:pPr>
    <w:rPr>
      <w:rFonts w:ascii="Arial" w:hAnsi="Arial" w:cs="Times New Roman"/>
      <w:sz w:val="22"/>
      <w:szCs w:val="22"/>
    </w:rPr>
  </w:style>
  <w:style w:type="character" w:customStyle="1" w:styleId="MainBodyTextChar">
    <w:name w:val="Main Body Text Char"/>
    <w:link w:val="MainBodyText"/>
    <w:uiPriority w:val="99"/>
    <w:rsid w:val="00153909"/>
    <w:rPr>
      <w:rFonts w:ascii="Arial" w:hAnsi="Arial"/>
      <w:sz w:val="22"/>
      <w:szCs w:val="22"/>
    </w:rPr>
  </w:style>
  <w:style w:type="paragraph" w:customStyle="1" w:styleId="V50Instructions">
    <w:name w:val="V5.0 Instructions"/>
    <w:basedOn w:val="Normal"/>
    <w:link w:val="V50InstructionsChar"/>
    <w:qFormat/>
    <w:rsid w:val="0071747E"/>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71747E"/>
    <w:rPr>
      <w:rFonts w:asciiTheme="minorHAnsi" w:eastAsiaTheme="minorHAnsi" w:hAnsiTheme="minorHAnsi" w:cstheme="minorBidi"/>
      <w:color w:val="4BACC6" w:themeColor="accent5"/>
      <w:sz w:val="24"/>
      <w:szCs w:val="22"/>
      <w:lang w:eastAsia="en-US"/>
    </w:rPr>
  </w:style>
  <w:style w:type="table" w:customStyle="1" w:styleId="TableGridbeth8">
    <w:name w:val="Table Gridbeth8"/>
    <w:basedOn w:val="TableNormal"/>
    <w:next w:val="TableGrid"/>
    <w:uiPriority w:val="39"/>
    <w:rsid w:val="002E64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rsid w:val="00317058"/>
    <w:rPr>
      <w:rFonts w:eastAsiaTheme="minorEastAsi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MATableTemplate1">
    <w:name w:val="CMA Table Template1"/>
    <w:basedOn w:val="TableNormal"/>
    <w:next w:val="TableGrid"/>
    <w:uiPriority w:val="39"/>
    <w:rsid w:val="0059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7985820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1082296">
      <w:bodyDiv w:val="1"/>
      <w:marLeft w:val="0"/>
      <w:marRight w:val="0"/>
      <w:marTop w:val="0"/>
      <w:marBottom w:val="0"/>
      <w:divBdr>
        <w:top w:val="none" w:sz="0" w:space="0" w:color="auto"/>
        <w:left w:val="none" w:sz="0" w:space="0" w:color="auto"/>
        <w:bottom w:val="none" w:sz="0" w:space="0" w:color="auto"/>
        <w:right w:val="none" w:sz="0" w:space="0" w:color="auto"/>
      </w:divBdr>
    </w:div>
    <w:div w:id="505630034">
      <w:bodyDiv w:val="1"/>
      <w:marLeft w:val="0"/>
      <w:marRight w:val="0"/>
      <w:marTop w:val="0"/>
      <w:marBottom w:val="0"/>
      <w:divBdr>
        <w:top w:val="none" w:sz="0" w:space="0" w:color="auto"/>
        <w:left w:val="none" w:sz="0" w:space="0" w:color="auto"/>
        <w:bottom w:val="none" w:sz="0" w:space="0" w:color="auto"/>
        <w:right w:val="none" w:sz="0" w:space="0" w:color="auto"/>
      </w:divBdr>
    </w:div>
    <w:div w:id="889531668">
      <w:bodyDiv w:val="1"/>
      <w:marLeft w:val="0"/>
      <w:marRight w:val="0"/>
      <w:marTop w:val="0"/>
      <w:marBottom w:val="0"/>
      <w:divBdr>
        <w:top w:val="none" w:sz="0" w:space="0" w:color="auto"/>
        <w:left w:val="none" w:sz="0" w:space="0" w:color="auto"/>
        <w:bottom w:val="none" w:sz="0" w:space="0" w:color="auto"/>
        <w:right w:val="none" w:sz="0" w:space="0" w:color="auto"/>
      </w:divBdr>
      <w:divsChild>
        <w:div w:id="1131553225">
          <w:marLeft w:val="0"/>
          <w:marRight w:val="0"/>
          <w:marTop w:val="0"/>
          <w:marBottom w:val="0"/>
          <w:divBdr>
            <w:top w:val="none" w:sz="0" w:space="0" w:color="auto"/>
            <w:left w:val="none" w:sz="0" w:space="0" w:color="auto"/>
            <w:bottom w:val="none" w:sz="0" w:space="0" w:color="auto"/>
            <w:right w:val="none" w:sz="0" w:space="0" w:color="auto"/>
          </w:divBdr>
          <w:divsChild>
            <w:div w:id="1048147481">
              <w:marLeft w:val="0"/>
              <w:marRight w:val="0"/>
              <w:marTop w:val="0"/>
              <w:marBottom w:val="0"/>
              <w:divBdr>
                <w:top w:val="none" w:sz="0" w:space="0" w:color="auto"/>
                <w:left w:val="none" w:sz="0" w:space="0" w:color="auto"/>
                <w:bottom w:val="none" w:sz="0" w:space="0" w:color="auto"/>
                <w:right w:val="none" w:sz="0" w:space="0" w:color="auto"/>
              </w:divBdr>
              <w:divsChild>
                <w:div w:id="927809041">
                  <w:marLeft w:val="0"/>
                  <w:marRight w:val="0"/>
                  <w:marTop w:val="0"/>
                  <w:marBottom w:val="0"/>
                  <w:divBdr>
                    <w:top w:val="none" w:sz="0" w:space="0" w:color="auto"/>
                    <w:left w:val="none" w:sz="0" w:space="0" w:color="auto"/>
                    <w:bottom w:val="none" w:sz="0" w:space="0" w:color="auto"/>
                    <w:right w:val="none" w:sz="0" w:space="0" w:color="auto"/>
                  </w:divBdr>
                  <w:divsChild>
                    <w:div w:id="840197559">
                      <w:marLeft w:val="0"/>
                      <w:marRight w:val="0"/>
                      <w:marTop w:val="0"/>
                      <w:marBottom w:val="240"/>
                      <w:divBdr>
                        <w:top w:val="single" w:sz="6" w:space="0" w:color="DDDDDD"/>
                        <w:left w:val="none" w:sz="0" w:space="0" w:color="auto"/>
                        <w:bottom w:val="none" w:sz="0" w:space="0" w:color="auto"/>
                        <w:right w:val="none" w:sz="0" w:space="0" w:color="auto"/>
                      </w:divBdr>
                      <w:divsChild>
                        <w:div w:id="846214976">
                          <w:marLeft w:val="0"/>
                          <w:marRight w:val="0"/>
                          <w:marTop w:val="0"/>
                          <w:marBottom w:val="0"/>
                          <w:divBdr>
                            <w:top w:val="none" w:sz="0" w:space="0" w:color="auto"/>
                            <w:left w:val="none" w:sz="0" w:space="0" w:color="auto"/>
                            <w:bottom w:val="none" w:sz="0" w:space="0" w:color="auto"/>
                            <w:right w:val="none" w:sz="0" w:space="0" w:color="auto"/>
                          </w:divBdr>
                          <w:divsChild>
                            <w:div w:id="1806780112">
                              <w:marLeft w:val="0"/>
                              <w:marRight w:val="0"/>
                              <w:marTop w:val="0"/>
                              <w:marBottom w:val="0"/>
                              <w:divBdr>
                                <w:top w:val="none" w:sz="0" w:space="0" w:color="auto"/>
                                <w:left w:val="none" w:sz="0" w:space="0" w:color="auto"/>
                                <w:bottom w:val="none" w:sz="0" w:space="0" w:color="auto"/>
                                <w:right w:val="none" w:sz="0" w:space="0" w:color="auto"/>
                              </w:divBdr>
                              <w:divsChild>
                                <w:div w:id="1356880578">
                                  <w:marLeft w:val="0"/>
                                  <w:marRight w:val="0"/>
                                  <w:marTop w:val="0"/>
                                  <w:marBottom w:val="240"/>
                                  <w:divBdr>
                                    <w:top w:val="single" w:sz="6" w:space="0" w:color="DDDDDD"/>
                                    <w:left w:val="none" w:sz="0" w:space="0" w:color="auto"/>
                                    <w:bottom w:val="none" w:sz="0" w:space="0" w:color="auto"/>
                                    <w:right w:val="none" w:sz="0" w:space="0" w:color="auto"/>
                                  </w:divBdr>
                                  <w:divsChild>
                                    <w:div w:id="1809469905">
                                      <w:marLeft w:val="0"/>
                                      <w:marRight w:val="0"/>
                                      <w:marTop w:val="0"/>
                                      <w:marBottom w:val="0"/>
                                      <w:divBdr>
                                        <w:top w:val="none" w:sz="0" w:space="0" w:color="auto"/>
                                        <w:left w:val="none" w:sz="0" w:space="0" w:color="auto"/>
                                        <w:bottom w:val="none" w:sz="0" w:space="0" w:color="auto"/>
                                        <w:right w:val="none" w:sz="0" w:space="0" w:color="auto"/>
                                      </w:divBdr>
                                      <w:divsChild>
                                        <w:div w:id="2047876321">
                                          <w:marLeft w:val="0"/>
                                          <w:marRight w:val="0"/>
                                          <w:marTop w:val="0"/>
                                          <w:marBottom w:val="0"/>
                                          <w:divBdr>
                                            <w:top w:val="none" w:sz="0" w:space="0" w:color="auto"/>
                                            <w:left w:val="none" w:sz="0" w:space="0" w:color="auto"/>
                                            <w:bottom w:val="none" w:sz="0" w:space="0" w:color="auto"/>
                                            <w:right w:val="none" w:sz="0" w:space="0" w:color="auto"/>
                                          </w:divBdr>
                                          <w:divsChild>
                                            <w:div w:id="928973467">
                                              <w:marLeft w:val="0"/>
                                              <w:marRight w:val="0"/>
                                              <w:marTop w:val="0"/>
                                              <w:marBottom w:val="0"/>
                                              <w:divBdr>
                                                <w:top w:val="none" w:sz="0" w:space="0" w:color="auto"/>
                                                <w:left w:val="none" w:sz="0" w:space="0" w:color="auto"/>
                                                <w:bottom w:val="none" w:sz="0" w:space="0" w:color="auto"/>
                                                <w:right w:val="none" w:sz="0" w:space="0" w:color="auto"/>
                                              </w:divBdr>
                                              <w:divsChild>
                                                <w:div w:id="687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679">
                                          <w:marLeft w:val="0"/>
                                          <w:marRight w:val="0"/>
                                          <w:marTop w:val="0"/>
                                          <w:marBottom w:val="0"/>
                                          <w:divBdr>
                                            <w:top w:val="none" w:sz="0" w:space="0" w:color="auto"/>
                                            <w:left w:val="none" w:sz="0" w:space="0" w:color="auto"/>
                                            <w:bottom w:val="none" w:sz="0" w:space="0" w:color="auto"/>
                                            <w:right w:val="none" w:sz="0" w:space="0" w:color="auto"/>
                                          </w:divBdr>
                                          <w:divsChild>
                                            <w:div w:id="260643638">
                                              <w:marLeft w:val="0"/>
                                              <w:marRight w:val="0"/>
                                              <w:marTop w:val="0"/>
                                              <w:marBottom w:val="0"/>
                                              <w:divBdr>
                                                <w:top w:val="none" w:sz="0" w:space="0" w:color="auto"/>
                                                <w:left w:val="none" w:sz="0" w:space="0" w:color="auto"/>
                                                <w:bottom w:val="none" w:sz="0" w:space="0" w:color="auto"/>
                                                <w:right w:val="none" w:sz="0" w:space="0" w:color="auto"/>
                                              </w:divBdr>
                                              <w:divsChild>
                                                <w:div w:id="2068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8265">
                                          <w:marLeft w:val="0"/>
                                          <w:marRight w:val="0"/>
                                          <w:marTop w:val="0"/>
                                          <w:marBottom w:val="0"/>
                                          <w:divBdr>
                                            <w:top w:val="none" w:sz="0" w:space="0" w:color="auto"/>
                                            <w:left w:val="none" w:sz="0" w:space="0" w:color="auto"/>
                                            <w:bottom w:val="none" w:sz="0" w:space="0" w:color="auto"/>
                                            <w:right w:val="none" w:sz="0" w:space="0" w:color="auto"/>
                                          </w:divBdr>
                                          <w:divsChild>
                                            <w:div w:id="2133397623">
                                              <w:marLeft w:val="0"/>
                                              <w:marRight w:val="0"/>
                                              <w:marTop w:val="0"/>
                                              <w:marBottom w:val="0"/>
                                              <w:divBdr>
                                                <w:top w:val="none" w:sz="0" w:space="0" w:color="auto"/>
                                                <w:left w:val="none" w:sz="0" w:space="0" w:color="auto"/>
                                                <w:bottom w:val="none" w:sz="0" w:space="0" w:color="auto"/>
                                                <w:right w:val="none" w:sz="0" w:space="0" w:color="auto"/>
                                              </w:divBdr>
                                              <w:divsChild>
                                                <w:div w:id="3010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6987">
                                          <w:marLeft w:val="0"/>
                                          <w:marRight w:val="0"/>
                                          <w:marTop w:val="0"/>
                                          <w:marBottom w:val="0"/>
                                          <w:divBdr>
                                            <w:top w:val="none" w:sz="0" w:space="0" w:color="auto"/>
                                            <w:left w:val="none" w:sz="0" w:space="0" w:color="auto"/>
                                            <w:bottom w:val="none" w:sz="0" w:space="0" w:color="auto"/>
                                            <w:right w:val="none" w:sz="0" w:space="0" w:color="auto"/>
                                          </w:divBdr>
                                          <w:divsChild>
                                            <w:div w:id="179129115">
                                              <w:marLeft w:val="0"/>
                                              <w:marRight w:val="0"/>
                                              <w:marTop w:val="0"/>
                                              <w:marBottom w:val="0"/>
                                              <w:divBdr>
                                                <w:top w:val="none" w:sz="0" w:space="0" w:color="auto"/>
                                                <w:left w:val="none" w:sz="0" w:space="0" w:color="auto"/>
                                                <w:bottom w:val="none" w:sz="0" w:space="0" w:color="auto"/>
                                                <w:right w:val="none" w:sz="0" w:space="0" w:color="auto"/>
                                              </w:divBdr>
                                              <w:divsChild>
                                                <w:div w:id="11617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62">
                                          <w:marLeft w:val="0"/>
                                          <w:marRight w:val="0"/>
                                          <w:marTop w:val="0"/>
                                          <w:marBottom w:val="0"/>
                                          <w:divBdr>
                                            <w:top w:val="none" w:sz="0" w:space="0" w:color="auto"/>
                                            <w:left w:val="none" w:sz="0" w:space="0" w:color="auto"/>
                                            <w:bottom w:val="none" w:sz="0" w:space="0" w:color="auto"/>
                                            <w:right w:val="none" w:sz="0" w:space="0" w:color="auto"/>
                                          </w:divBdr>
                                          <w:divsChild>
                                            <w:div w:id="494035592">
                                              <w:marLeft w:val="0"/>
                                              <w:marRight w:val="0"/>
                                              <w:marTop w:val="0"/>
                                              <w:marBottom w:val="0"/>
                                              <w:divBdr>
                                                <w:top w:val="none" w:sz="0" w:space="0" w:color="auto"/>
                                                <w:left w:val="none" w:sz="0" w:space="0" w:color="auto"/>
                                                <w:bottom w:val="none" w:sz="0" w:space="0" w:color="auto"/>
                                                <w:right w:val="none" w:sz="0" w:space="0" w:color="auto"/>
                                              </w:divBdr>
                                              <w:divsChild>
                                                <w:div w:id="1985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4">
                                          <w:marLeft w:val="0"/>
                                          <w:marRight w:val="0"/>
                                          <w:marTop w:val="0"/>
                                          <w:marBottom w:val="0"/>
                                          <w:divBdr>
                                            <w:top w:val="none" w:sz="0" w:space="0" w:color="auto"/>
                                            <w:left w:val="none" w:sz="0" w:space="0" w:color="auto"/>
                                            <w:bottom w:val="none" w:sz="0" w:space="0" w:color="auto"/>
                                            <w:right w:val="none" w:sz="0" w:space="0" w:color="auto"/>
                                          </w:divBdr>
                                          <w:divsChild>
                                            <w:div w:id="71395438">
                                              <w:marLeft w:val="0"/>
                                              <w:marRight w:val="0"/>
                                              <w:marTop w:val="0"/>
                                              <w:marBottom w:val="0"/>
                                              <w:divBdr>
                                                <w:top w:val="none" w:sz="0" w:space="0" w:color="auto"/>
                                                <w:left w:val="none" w:sz="0" w:space="0" w:color="auto"/>
                                                <w:bottom w:val="none" w:sz="0" w:space="0" w:color="auto"/>
                                                <w:right w:val="none" w:sz="0" w:space="0" w:color="auto"/>
                                              </w:divBdr>
                                              <w:divsChild>
                                                <w:div w:id="12974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5436">
                                          <w:marLeft w:val="0"/>
                                          <w:marRight w:val="0"/>
                                          <w:marTop w:val="0"/>
                                          <w:marBottom w:val="0"/>
                                          <w:divBdr>
                                            <w:top w:val="none" w:sz="0" w:space="0" w:color="auto"/>
                                            <w:left w:val="none" w:sz="0" w:space="0" w:color="auto"/>
                                            <w:bottom w:val="none" w:sz="0" w:space="0" w:color="auto"/>
                                            <w:right w:val="none" w:sz="0" w:space="0" w:color="auto"/>
                                          </w:divBdr>
                                          <w:divsChild>
                                            <w:div w:id="419063307">
                                              <w:marLeft w:val="0"/>
                                              <w:marRight w:val="0"/>
                                              <w:marTop w:val="0"/>
                                              <w:marBottom w:val="0"/>
                                              <w:divBdr>
                                                <w:top w:val="none" w:sz="0" w:space="0" w:color="auto"/>
                                                <w:left w:val="none" w:sz="0" w:space="0" w:color="auto"/>
                                                <w:bottom w:val="none" w:sz="0" w:space="0" w:color="auto"/>
                                                <w:right w:val="none" w:sz="0" w:space="0" w:color="auto"/>
                                              </w:divBdr>
                                              <w:divsChild>
                                                <w:div w:id="19708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29020">
                                          <w:marLeft w:val="0"/>
                                          <w:marRight w:val="0"/>
                                          <w:marTop w:val="0"/>
                                          <w:marBottom w:val="0"/>
                                          <w:divBdr>
                                            <w:top w:val="none" w:sz="0" w:space="0" w:color="auto"/>
                                            <w:left w:val="none" w:sz="0" w:space="0" w:color="auto"/>
                                            <w:bottom w:val="none" w:sz="0" w:space="0" w:color="auto"/>
                                            <w:right w:val="none" w:sz="0" w:space="0" w:color="auto"/>
                                          </w:divBdr>
                                          <w:divsChild>
                                            <w:div w:id="871963442">
                                              <w:marLeft w:val="0"/>
                                              <w:marRight w:val="0"/>
                                              <w:marTop w:val="0"/>
                                              <w:marBottom w:val="0"/>
                                              <w:divBdr>
                                                <w:top w:val="none" w:sz="0" w:space="0" w:color="auto"/>
                                                <w:left w:val="none" w:sz="0" w:space="0" w:color="auto"/>
                                                <w:bottom w:val="none" w:sz="0" w:space="0" w:color="auto"/>
                                                <w:right w:val="none" w:sz="0" w:space="0" w:color="auto"/>
                                              </w:divBdr>
                                              <w:divsChild>
                                                <w:div w:id="4744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4574">
                                          <w:marLeft w:val="0"/>
                                          <w:marRight w:val="0"/>
                                          <w:marTop w:val="0"/>
                                          <w:marBottom w:val="0"/>
                                          <w:divBdr>
                                            <w:top w:val="none" w:sz="0" w:space="0" w:color="auto"/>
                                            <w:left w:val="none" w:sz="0" w:space="0" w:color="auto"/>
                                            <w:bottom w:val="none" w:sz="0" w:space="0" w:color="auto"/>
                                            <w:right w:val="none" w:sz="0" w:space="0" w:color="auto"/>
                                          </w:divBdr>
                                          <w:divsChild>
                                            <w:div w:id="1040134313">
                                              <w:marLeft w:val="0"/>
                                              <w:marRight w:val="0"/>
                                              <w:marTop w:val="0"/>
                                              <w:marBottom w:val="0"/>
                                              <w:divBdr>
                                                <w:top w:val="none" w:sz="0" w:space="0" w:color="auto"/>
                                                <w:left w:val="none" w:sz="0" w:space="0" w:color="auto"/>
                                                <w:bottom w:val="none" w:sz="0" w:space="0" w:color="auto"/>
                                                <w:right w:val="none" w:sz="0" w:space="0" w:color="auto"/>
                                              </w:divBdr>
                                              <w:divsChild>
                                                <w:div w:id="450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3962">
                                          <w:marLeft w:val="0"/>
                                          <w:marRight w:val="0"/>
                                          <w:marTop w:val="0"/>
                                          <w:marBottom w:val="0"/>
                                          <w:divBdr>
                                            <w:top w:val="none" w:sz="0" w:space="0" w:color="auto"/>
                                            <w:left w:val="none" w:sz="0" w:space="0" w:color="auto"/>
                                            <w:bottom w:val="none" w:sz="0" w:space="0" w:color="auto"/>
                                            <w:right w:val="none" w:sz="0" w:space="0" w:color="auto"/>
                                          </w:divBdr>
                                          <w:divsChild>
                                            <w:div w:id="1314213463">
                                              <w:marLeft w:val="0"/>
                                              <w:marRight w:val="0"/>
                                              <w:marTop w:val="0"/>
                                              <w:marBottom w:val="0"/>
                                              <w:divBdr>
                                                <w:top w:val="none" w:sz="0" w:space="0" w:color="auto"/>
                                                <w:left w:val="none" w:sz="0" w:space="0" w:color="auto"/>
                                                <w:bottom w:val="none" w:sz="0" w:space="0" w:color="auto"/>
                                                <w:right w:val="none" w:sz="0" w:space="0" w:color="auto"/>
                                              </w:divBdr>
                                              <w:divsChild>
                                                <w:div w:id="1892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5010">
                                          <w:marLeft w:val="0"/>
                                          <w:marRight w:val="0"/>
                                          <w:marTop w:val="0"/>
                                          <w:marBottom w:val="0"/>
                                          <w:divBdr>
                                            <w:top w:val="none" w:sz="0" w:space="0" w:color="auto"/>
                                            <w:left w:val="none" w:sz="0" w:space="0" w:color="auto"/>
                                            <w:bottom w:val="none" w:sz="0" w:space="0" w:color="auto"/>
                                            <w:right w:val="none" w:sz="0" w:space="0" w:color="auto"/>
                                          </w:divBdr>
                                          <w:divsChild>
                                            <w:div w:id="1690373106">
                                              <w:marLeft w:val="0"/>
                                              <w:marRight w:val="0"/>
                                              <w:marTop w:val="0"/>
                                              <w:marBottom w:val="0"/>
                                              <w:divBdr>
                                                <w:top w:val="none" w:sz="0" w:space="0" w:color="auto"/>
                                                <w:left w:val="none" w:sz="0" w:space="0" w:color="auto"/>
                                                <w:bottom w:val="none" w:sz="0" w:space="0" w:color="auto"/>
                                                <w:right w:val="none" w:sz="0" w:space="0" w:color="auto"/>
                                              </w:divBdr>
                                              <w:divsChild>
                                                <w:div w:id="1892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751">
                                          <w:marLeft w:val="0"/>
                                          <w:marRight w:val="0"/>
                                          <w:marTop w:val="0"/>
                                          <w:marBottom w:val="0"/>
                                          <w:divBdr>
                                            <w:top w:val="none" w:sz="0" w:space="0" w:color="auto"/>
                                            <w:left w:val="none" w:sz="0" w:space="0" w:color="auto"/>
                                            <w:bottom w:val="none" w:sz="0" w:space="0" w:color="auto"/>
                                            <w:right w:val="none" w:sz="0" w:space="0" w:color="auto"/>
                                          </w:divBdr>
                                          <w:divsChild>
                                            <w:div w:id="407189214">
                                              <w:marLeft w:val="0"/>
                                              <w:marRight w:val="0"/>
                                              <w:marTop w:val="0"/>
                                              <w:marBottom w:val="0"/>
                                              <w:divBdr>
                                                <w:top w:val="none" w:sz="0" w:space="0" w:color="auto"/>
                                                <w:left w:val="none" w:sz="0" w:space="0" w:color="auto"/>
                                                <w:bottom w:val="none" w:sz="0" w:space="0" w:color="auto"/>
                                                <w:right w:val="none" w:sz="0" w:space="0" w:color="auto"/>
                                              </w:divBdr>
                                              <w:divsChild>
                                                <w:div w:id="12305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099">
                                          <w:marLeft w:val="0"/>
                                          <w:marRight w:val="0"/>
                                          <w:marTop w:val="0"/>
                                          <w:marBottom w:val="0"/>
                                          <w:divBdr>
                                            <w:top w:val="none" w:sz="0" w:space="0" w:color="auto"/>
                                            <w:left w:val="none" w:sz="0" w:space="0" w:color="auto"/>
                                            <w:bottom w:val="none" w:sz="0" w:space="0" w:color="auto"/>
                                            <w:right w:val="none" w:sz="0" w:space="0" w:color="auto"/>
                                          </w:divBdr>
                                          <w:divsChild>
                                            <w:div w:id="2114781938">
                                              <w:marLeft w:val="0"/>
                                              <w:marRight w:val="0"/>
                                              <w:marTop w:val="0"/>
                                              <w:marBottom w:val="0"/>
                                              <w:divBdr>
                                                <w:top w:val="none" w:sz="0" w:space="0" w:color="auto"/>
                                                <w:left w:val="none" w:sz="0" w:space="0" w:color="auto"/>
                                                <w:bottom w:val="none" w:sz="0" w:space="0" w:color="auto"/>
                                                <w:right w:val="none" w:sz="0" w:space="0" w:color="auto"/>
                                              </w:divBdr>
                                              <w:divsChild>
                                                <w:div w:id="327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98515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4962">
      <w:bodyDiv w:val="1"/>
      <w:marLeft w:val="0"/>
      <w:marRight w:val="0"/>
      <w:marTop w:val="0"/>
      <w:marBottom w:val="0"/>
      <w:divBdr>
        <w:top w:val="none" w:sz="0" w:space="0" w:color="auto"/>
        <w:left w:val="none" w:sz="0" w:space="0" w:color="auto"/>
        <w:bottom w:val="none" w:sz="0" w:space="0" w:color="auto"/>
        <w:right w:val="none" w:sz="0" w:space="0" w:color="auto"/>
      </w:divBdr>
    </w:div>
    <w:div w:id="1447190667">
      <w:bodyDiv w:val="1"/>
      <w:marLeft w:val="0"/>
      <w:marRight w:val="0"/>
      <w:marTop w:val="0"/>
      <w:marBottom w:val="0"/>
      <w:divBdr>
        <w:top w:val="none" w:sz="0" w:space="0" w:color="auto"/>
        <w:left w:val="none" w:sz="0" w:space="0" w:color="auto"/>
        <w:bottom w:val="none" w:sz="0" w:space="0" w:color="auto"/>
        <w:right w:val="none" w:sz="0" w:space="0" w:color="auto"/>
      </w:divBdr>
    </w:div>
    <w:div w:id="1500386585">
      <w:bodyDiv w:val="1"/>
      <w:marLeft w:val="0"/>
      <w:marRight w:val="0"/>
      <w:marTop w:val="0"/>
      <w:marBottom w:val="0"/>
      <w:divBdr>
        <w:top w:val="none" w:sz="0" w:space="0" w:color="auto"/>
        <w:left w:val="none" w:sz="0" w:space="0" w:color="auto"/>
        <w:bottom w:val="none" w:sz="0" w:space="0" w:color="auto"/>
        <w:right w:val="none" w:sz="0" w:space="0" w:color="auto"/>
      </w:divBdr>
    </w:div>
    <w:div w:id="190147392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6278768">
      <w:bodyDiv w:val="1"/>
      <w:marLeft w:val="0"/>
      <w:marRight w:val="0"/>
      <w:marTop w:val="0"/>
      <w:marBottom w:val="0"/>
      <w:divBdr>
        <w:top w:val="none" w:sz="0" w:space="0" w:color="auto"/>
        <w:left w:val="none" w:sz="0" w:space="0" w:color="auto"/>
        <w:bottom w:val="none" w:sz="0" w:space="0" w:color="auto"/>
        <w:right w:val="none" w:sz="0" w:space="0" w:color="auto"/>
      </w:divBdr>
    </w:div>
    <w:div w:id="2094812292">
      <w:bodyDiv w:val="1"/>
      <w:marLeft w:val="0"/>
      <w:marRight w:val="0"/>
      <w:marTop w:val="0"/>
      <w:marBottom w:val="0"/>
      <w:divBdr>
        <w:top w:val="none" w:sz="0" w:space="0" w:color="auto"/>
        <w:left w:val="none" w:sz="0" w:space="0" w:color="auto"/>
        <w:bottom w:val="none" w:sz="0" w:space="0" w:color="auto"/>
        <w:right w:val="none" w:sz="0" w:space="0" w:color="auto"/>
      </w:divBdr>
    </w:div>
    <w:div w:id="2120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alert/tofacitin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8ABE-1D25-4794-9E0F-E64594B5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18658</Words>
  <Characters>106876</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2021-03-02T02:59:00Z</dcterms:created>
  <dcterms:modified xsi:type="dcterms:W3CDTF">2021-03-04T00:42:00Z</dcterms:modified>
</cp:coreProperties>
</file>