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3F5" w:rsidRDefault="002A313A" w:rsidP="002F0245">
      <w:pPr>
        <w:pStyle w:val="1MainTitle"/>
        <w:jc w:val="left"/>
      </w:pPr>
      <w:r>
        <w:rPr>
          <w:rFonts w:eastAsia="Calibri"/>
          <w:lang w:eastAsia="en-US"/>
        </w:rPr>
        <w:t>7</w:t>
      </w:r>
      <w:r w:rsidR="00BF27A0" w:rsidRPr="00BF27A0">
        <w:rPr>
          <w:rFonts w:eastAsia="Calibri"/>
          <w:lang w:eastAsia="en-US"/>
        </w:rPr>
        <w:t>.</w:t>
      </w:r>
      <w:r w:rsidR="002A21E2">
        <w:rPr>
          <w:rFonts w:eastAsia="Calibri"/>
          <w:lang w:eastAsia="en-US"/>
        </w:rPr>
        <w:t>10</w:t>
      </w:r>
      <w:r w:rsidR="00BF27A0" w:rsidRPr="00BF27A0">
        <w:rPr>
          <w:rFonts w:eastAsia="Calibri"/>
          <w:lang w:eastAsia="en-US"/>
        </w:rPr>
        <w:tab/>
      </w:r>
      <w:r w:rsidR="000B55C2" w:rsidRPr="00EF1068">
        <w:t>UPADACITINIB</w:t>
      </w:r>
      <w:r w:rsidR="00BF27A0" w:rsidRPr="00BF27A0">
        <w:rPr>
          <w:rFonts w:eastAsia="Calibri"/>
          <w:lang w:eastAsia="en-US"/>
        </w:rPr>
        <w:t>,</w:t>
      </w:r>
      <w:r w:rsidR="00F82E5C">
        <w:rPr>
          <w:rFonts w:eastAsia="Calibri"/>
          <w:lang w:eastAsia="en-US"/>
        </w:rPr>
        <w:t xml:space="preserve"> </w:t>
      </w:r>
      <w:r w:rsidR="005E0D82">
        <w:rPr>
          <w:rFonts w:eastAsia="Calibri"/>
          <w:lang w:eastAsia="en-US"/>
        </w:rPr>
        <w:br/>
      </w:r>
      <w:r w:rsidR="00E003F5">
        <w:t>Tablet</w:t>
      </w:r>
      <w:r w:rsidR="000B55C2" w:rsidRPr="00EF1068">
        <w:t xml:space="preserve"> 15 mg</w:t>
      </w:r>
      <w:r w:rsidR="00BF27A0" w:rsidRPr="00BF27A0">
        <w:rPr>
          <w:rFonts w:eastAsia="Calibri"/>
          <w:lang w:eastAsia="en-US"/>
        </w:rPr>
        <w:t>,</w:t>
      </w:r>
      <w:r w:rsidR="005E0D82">
        <w:rPr>
          <w:rFonts w:eastAsia="Calibri"/>
          <w:lang w:eastAsia="en-US"/>
        </w:rPr>
        <w:br/>
      </w:r>
      <w:r w:rsidR="000B55C2" w:rsidRPr="00EF1068">
        <w:t xml:space="preserve">Rinvoq®, </w:t>
      </w:r>
    </w:p>
    <w:p w:rsidR="00D10D74" w:rsidRPr="00D10D74" w:rsidRDefault="000B55C2" w:rsidP="00E003F5">
      <w:pPr>
        <w:pStyle w:val="1MainTitle"/>
        <w:ind w:left="1440"/>
        <w:jc w:val="left"/>
      </w:pPr>
      <w:r w:rsidRPr="00EF1068">
        <w:t>AbbVie</w:t>
      </w:r>
      <w:r w:rsidR="00A05DE4">
        <w:t xml:space="preserve"> Pty Ltd</w:t>
      </w:r>
    </w:p>
    <w:p w:rsidR="008A50F1" w:rsidRPr="00D4572C" w:rsidRDefault="00CE10C4" w:rsidP="008F0213">
      <w:pPr>
        <w:pStyle w:val="2-SectionHeading"/>
      </w:pPr>
      <w:r w:rsidRPr="0033263D">
        <w:t xml:space="preserve">Purpose of </w:t>
      </w:r>
      <w:r w:rsidR="0004240E" w:rsidRPr="0033263D">
        <w:t>Application</w:t>
      </w:r>
      <w:r w:rsidR="00034905">
        <w:t xml:space="preserve"> </w:t>
      </w:r>
    </w:p>
    <w:p w:rsidR="005B3275" w:rsidRPr="00D165C7" w:rsidRDefault="005B3275" w:rsidP="00C7700E">
      <w:pPr>
        <w:pStyle w:val="3Bodytext"/>
        <w:jc w:val="both"/>
        <w:rPr>
          <w:rFonts w:cs="Arial"/>
          <w:bCs/>
          <w:snapToGrid w:val="0"/>
        </w:rPr>
      </w:pPr>
      <w:r w:rsidRPr="00D165C7">
        <w:rPr>
          <w:rFonts w:cs="Arial"/>
          <w:bCs/>
          <w:snapToGrid w:val="0"/>
        </w:rPr>
        <w:t>The minor submission request</w:t>
      </w:r>
      <w:r w:rsidR="007740EB">
        <w:rPr>
          <w:rFonts w:cs="Arial"/>
          <w:bCs/>
          <w:snapToGrid w:val="0"/>
        </w:rPr>
        <w:t>ed</w:t>
      </w:r>
      <w:r w:rsidRPr="00D165C7">
        <w:rPr>
          <w:rFonts w:cs="Arial"/>
          <w:bCs/>
          <w:snapToGrid w:val="0"/>
        </w:rPr>
        <w:t xml:space="preserve"> </w:t>
      </w:r>
      <w:r w:rsidR="007740EB">
        <w:rPr>
          <w:rFonts w:cs="Arial"/>
          <w:bCs/>
          <w:snapToGrid w:val="0"/>
        </w:rPr>
        <w:t xml:space="preserve">that </w:t>
      </w:r>
      <w:r w:rsidRPr="00D165C7">
        <w:rPr>
          <w:rFonts w:cs="Arial"/>
          <w:bCs/>
          <w:snapToGrid w:val="0"/>
        </w:rPr>
        <w:t>PBAC review its November 2019 finding that upadacitinib (UPA) is non-inferior to adalimumab (ADA) in terms of effectiveness when used in the treatment of severe active Rheumatoid Arthritis (RA).</w:t>
      </w:r>
    </w:p>
    <w:p w:rsidR="008712D6" w:rsidRDefault="00935DBF" w:rsidP="00C7700E">
      <w:pPr>
        <w:pStyle w:val="3Bodytext"/>
        <w:jc w:val="both"/>
      </w:pPr>
      <w:r w:rsidRPr="00D165C7">
        <w:t xml:space="preserve">The </w:t>
      </w:r>
      <w:r w:rsidR="002E29C9" w:rsidRPr="00D165C7">
        <w:t xml:space="preserve">minor submission </w:t>
      </w:r>
      <w:r w:rsidR="007740EB">
        <w:t xml:space="preserve">did </w:t>
      </w:r>
      <w:r w:rsidR="002E29C9" w:rsidRPr="00D165C7">
        <w:t xml:space="preserve">not seek a review of PBAC’s </w:t>
      </w:r>
      <w:r w:rsidRPr="00D165C7">
        <w:t xml:space="preserve">finding that </w:t>
      </w:r>
      <w:r w:rsidR="002E29C9" w:rsidRPr="00D165C7">
        <w:t>UPA</w:t>
      </w:r>
      <w:r w:rsidRPr="00D165C7">
        <w:t xml:space="preserve"> is non-inferior to baricitinib</w:t>
      </w:r>
      <w:r w:rsidR="002E29C9" w:rsidRPr="00D165C7">
        <w:t xml:space="preserve"> (BAR).</w:t>
      </w:r>
      <w:r w:rsidRPr="00D165C7">
        <w:t xml:space="preserve"> </w:t>
      </w:r>
    </w:p>
    <w:p w:rsidR="00D165C7" w:rsidRPr="00D165C7" w:rsidRDefault="00D165C7" w:rsidP="00C7700E">
      <w:pPr>
        <w:pStyle w:val="3Bodytext"/>
        <w:jc w:val="both"/>
        <w:rPr>
          <w:rFonts w:cs="Arial"/>
          <w:bCs/>
          <w:snapToGrid w:val="0"/>
        </w:rPr>
      </w:pPr>
      <w:r w:rsidRPr="00D165C7">
        <w:t xml:space="preserve">The minor </w:t>
      </w:r>
      <w:r w:rsidRPr="00D165C7">
        <w:rPr>
          <w:rFonts w:cs="Arial"/>
          <w:bCs/>
          <w:snapToGrid w:val="0"/>
        </w:rPr>
        <w:t>submission propose</w:t>
      </w:r>
      <w:r w:rsidR="007740EB">
        <w:rPr>
          <w:rFonts w:cs="Arial"/>
          <w:bCs/>
          <w:snapToGrid w:val="0"/>
        </w:rPr>
        <w:t>d</w:t>
      </w:r>
      <w:r w:rsidRPr="00D165C7">
        <w:rPr>
          <w:rFonts w:cs="Arial"/>
          <w:bCs/>
          <w:snapToGrid w:val="0"/>
        </w:rPr>
        <w:t xml:space="preserve"> no changes to the current UPA listing</w:t>
      </w:r>
      <w:r w:rsidR="007740EB">
        <w:rPr>
          <w:rFonts w:cs="Arial"/>
          <w:bCs/>
          <w:snapToGrid w:val="0"/>
        </w:rPr>
        <w:t xml:space="preserve"> for RA</w:t>
      </w:r>
      <w:r w:rsidRPr="00D165C7">
        <w:rPr>
          <w:rFonts w:cs="Arial"/>
          <w:bCs/>
          <w:snapToGrid w:val="0"/>
        </w:rPr>
        <w:t xml:space="preserve"> in terms of the circumstance</w:t>
      </w:r>
      <w:r w:rsidR="00416CAD">
        <w:rPr>
          <w:rFonts w:cs="Arial"/>
          <w:bCs/>
          <w:snapToGrid w:val="0"/>
        </w:rPr>
        <w:t>s</w:t>
      </w:r>
      <w:r w:rsidRPr="00D165C7">
        <w:rPr>
          <w:rStyle w:val="FootnoteReference"/>
          <w:rFonts w:cs="Arial"/>
          <w:bCs/>
          <w:snapToGrid w:val="0"/>
        </w:rPr>
        <w:footnoteReference w:id="1"/>
      </w:r>
      <w:r w:rsidR="00416CAD">
        <w:rPr>
          <w:rFonts w:cs="Arial"/>
          <w:bCs/>
          <w:snapToGrid w:val="0"/>
        </w:rPr>
        <w:t xml:space="preserve"> (restriction)</w:t>
      </w:r>
      <w:r w:rsidRPr="00D165C7">
        <w:rPr>
          <w:rFonts w:cs="Arial"/>
          <w:bCs/>
          <w:snapToGrid w:val="0"/>
        </w:rPr>
        <w:t xml:space="preserve">, price or risk share arrangement (public versus effective price). </w:t>
      </w:r>
    </w:p>
    <w:p w:rsidR="00935DBF" w:rsidRPr="00D165C7" w:rsidRDefault="008712D6" w:rsidP="00C7700E">
      <w:pPr>
        <w:pStyle w:val="3Bodytext"/>
        <w:jc w:val="both"/>
      </w:pPr>
      <w:r w:rsidRPr="00D165C7">
        <w:t xml:space="preserve">The </w:t>
      </w:r>
      <w:r w:rsidR="002E29C9" w:rsidRPr="00D165C7">
        <w:t>minor submission</w:t>
      </w:r>
      <w:r w:rsidRPr="00D165C7">
        <w:t xml:space="preserve"> request</w:t>
      </w:r>
      <w:r w:rsidR="007740EB">
        <w:t>ed</w:t>
      </w:r>
      <w:r w:rsidRPr="00D165C7">
        <w:t xml:space="preserve"> </w:t>
      </w:r>
      <w:r w:rsidR="002E29C9" w:rsidRPr="00D165C7">
        <w:t>t</w:t>
      </w:r>
      <w:r w:rsidRPr="00D165C7">
        <w:t xml:space="preserve">he outcomes </w:t>
      </w:r>
      <w:r w:rsidR="002E29C9" w:rsidRPr="00D165C7">
        <w:t xml:space="preserve">of PBAC’s </w:t>
      </w:r>
      <w:r w:rsidRPr="00D165C7">
        <w:t xml:space="preserve">consideration of this minor submission be </w:t>
      </w:r>
      <w:r w:rsidR="002E29C9" w:rsidRPr="00D165C7">
        <w:t>published</w:t>
      </w:r>
      <w:r w:rsidRPr="00D165C7">
        <w:t xml:space="preserve"> as an addendum to the public summary document </w:t>
      </w:r>
      <w:r w:rsidR="002E29C9" w:rsidRPr="00D165C7">
        <w:t>(PSD) for</w:t>
      </w:r>
      <w:r w:rsidRPr="00D165C7">
        <w:t xml:space="preserve"> </w:t>
      </w:r>
      <w:r w:rsidR="002E29C9" w:rsidRPr="00D165C7">
        <w:t xml:space="preserve">UPA from </w:t>
      </w:r>
      <w:r w:rsidRPr="00D165C7">
        <w:t>November 20</w:t>
      </w:r>
      <w:r w:rsidR="00935DBF" w:rsidRPr="00D165C7">
        <w:t>19.</w:t>
      </w:r>
    </w:p>
    <w:p w:rsidR="00A01432" w:rsidRPr="00FD6D8E" w:rsidRDefault="00A01432" w:rsidP="006F0A71">
      <w:pPr>
        <w:pStyle w:val="2-SectionHeading"/>
      </w:pPr>
      <w:r w:rsidRPr="009E2E8E">
        <w:t>Background</w:t>
      </w:r>
      <w:r>
        <w:t xml:space="preserve"> </w:t>
      </w:r>
    </w:p>
    <w:p w:rsidR="00A01432" w:rsidRDefault="00A01432" w:rsidP="00B16273">
      <w:pPr>
        <w:pStyle w:val="4-SubsectionHeading"/>
      </w:pPr>
      <w:r>
        <w:t>Registration</w:t>
      </w:r>
      <w:r w:rsidRPr="009324A6">
        <w:t xml:space="preserve"> </w:t>
      </w:r>
      <w:r w:rsidR="005B3275">
        <w:t xml:space="preserve">and subsidy </w:t>
      </w:r>
      <w:r w:rsidRPr="009324A6">
        <w:t>status</w:t>
      </w:r>
    </w:p>
    <w:p w:rsidR="00A01432" w:rsidRDefault="00726282" w:rsidP="009702F3">
      <w:pPr>
        <w:pStyle w:val="3Bodytext"/>
        <w:jc w:val="both"/>
      </w:pPr>
      <w:r>
        <w:t>UPA</w:t>
      </w:r>
      <w:r w:rsidRPr="00657C63">
        <w:t xml:space="preserve"> </w:t>
      </w:r>
      <w:r w:rsidR="00A01432" w:rsidRPr="009E2E8E">
        <w:t>was</w:t>
      </w:r>
      <w:r w:rsidR="009D254C">
        <w:t xml:space="preserve"> TGA registered on 7 January 2020</w:t>
      </w:r>
      <w:r w:rsidR="00A01432" w:rsidRPr="00657C63">
        <w:t xml:space="preserve"> for</w:t>
      </w:r>
      <w:r w:rsidR="00A01432" w:rsidRPr="00657C63" w:rsidDel="009A61CA">
        <w:t xml:space="preserve"> </w:t>
      </w:r>
      <w:r w:rsidR="009D254C" w:rsidRPr="009D254C">
        <w:t>the treatment of moderate</w:t>
      </w:r>
      <w:r>
        <w:t xml:space="preserve"> </w:t>
      </w:r>
      <w:r w:rsidR="009D254C" w:rsidRPr="009D254C">
        <w:t xml:space="preserve">to severe active </w:t>
      </w:r>
      <w:r w:rsidR="00431287">
        <w:t>RA</w:t>
      </w:r>
      <w:r w:rsidR="009D254C" w:rsidRPr="009D254C">
        <w:t xml:space="preserve"> in adult patients who have responded inadequately to, or who are intolerant to, one or more disease-modifying anti-rheumatic drugs (DMARDs</w:t>
      </w:r>
      <w:r w:rsidR="00E25DBF">
        <w:t>)</w:t>
      </w:r>
      <w:r w:rsidR="00A01432" w:rsidRPr="00657C63">
        <w:t xml:space="preserve">. </w:t>
      </w:r>
      <w:r w:rsidR="009D254C">
        <w:t xml:space="preserve">It may be used as monotherapy or </w:t>
      </w:r>
      <w:r w:rsidR="009D254C" w:rsidRPr="009D254C">
        <w:t xml:space="preserve">in combination with methotrexate or other conventional synthetic </w:t>
      </w:r>
      <w:r w:rsidR="009241F7">
        <w:t>DMARDs</w:t>
      </w:r>
      <w:r w:rsidR="009D254C">
        <w:t>.</w:t>
      </w:r>
    </w:p>
    <w:p w:rsidR="00E25DBF" w:rsidRPr="00E25DBF" w:rsidRDefault="00726282" w:rsidP="009702F3">
      <w:pPr>
        <w:pStyle w:val="3Bodytext"/>
        <w:jc w:val="both"/>
        <w:rPr>
          <w:color w:val="000000" w:themeColor="text1"/>
        </w:rPr>
      </w:pPr>
      <w:r>
        <w:t>UPA</w:t>
      </w:r>
      <w:r w:rsidRPr="00657C63">
        <w:t xml:space="preserve"> </w:t>
      </w:r>
      <w:r w:rsidR="00A01432" w:rsidRPr="00F26CC6">
        <w:rPr>
          <w:color w:val="000000" w:themeColor="text1"/>
        </w:rPr>
        <w:t>is c</w:t>
      </w:r>
      <w:r w:rsidR="009D254C">
        <w:rPr>
          <w:color w:val="000000" w:themeColor="text1"/>
        </w:rPr>
        <w:t xml:space="preserve">urrently listed on the PBS as a General Schedule </w:t>
      </w:r>
      <w:r w:rsidR="009D254C">
        <w:t xml:space="preserve">Authority Required </w:t>
      </w:r>
      <w:r w:rsidR="009241F7">
        <w:t xml:space="preserve">benefit </w:t>
      </w:r>
      <w:r w:rsidR="00A01432" w:rsidRPr="00F26CC6">
        <w:rPr>
          <w:color w:val="000000" w:themeColor="text1"/>
        </w:rPr>
        <w:t xml:space="preserve">for </w:t>
      </w:r>
      <w:r w:rsidR="009D254C">
        <w:t xml:space="preserve">the treatment of severe active </w:t>
      </w:r>
      <w:r w:rsidR="009241F7">
        <w:t>RA</w:t>
      </w:r>
      <w:r w:rsidR="00A01432" w:rsidRPr="00F26CC6">
        <w:rPr>
          <w:color w:val="000000" w:themeColor="text1"/>
        </w:rPr>
        <w:t xml:space="preserve">. </w:t>
      </w:r>
    </w:p>
    <w:p w:rsidR="00A01432" w:rsidRDefault="00E25DBF" w:rsidP="00B16273">
      <w:pPr>
        <w:pStyle w:val="4-SubsectionHeading"/>
      </w:pPr>
      <w:r>
        <w:t>November 2019 upadacitinib</w:t>
      </w:r>
      <w:r w:rsidR="00A01432" w:rsidRPr="0012749D">
        <w:t xml:space="preserve"> PBAC consideration </w:t>
      </w:r>
    </w:p>
    <w:p w:rsidR="005B3275" w:rsidRPr="005B3275" w:rsidRDefault="00726282" w:rsidP="009702F3">
      <w:pPr>
        <w:pStyle w:val="3Bodytext"/>
        <w:jc w:val="both"/>
        <w:rPr>
          <w:i/>
        </w:rPr>
      </w:pPr>
      <w:r>
        <w:t>UPA</w:t>
      </w:r>
      <w:r w:rsidRPr="00657C63">
        <w:t xml:space="preserve"> </w:t>
      </w:r>
      <w:r w:rsidR="00A01432" w:rsidRPr="00657C63">
        <w:t>was</w:t>
      </w:r>
      <w:r w:rsidR="009D254C">
        <w:t xml:space="preserve"> </w:t>
      </w:r>
      <w:r w:rsidR="00DF3E3B">
        <w:t xml:space="preserve">recommended for PBS listing for </w:t>
      </w:r>
      <w:r w:rsidR="009D254C">
        <w:t>severe</w:t>
      </w:r>
      <w:r w:rsidR="00A01432" w:rsidRPr="00657C63">
        <w:t xml:space="preserve"> </w:t>
      </w:r>
      <w:r w:rsidR="009D254C">
        <w:t xml:space="preserve">RA </w:t>
      </w:r>
      <w:r w:rsidR="00A01432" w:rsidRPr="00657C63">
        <w:t xml:space="preserve">by the PBAC at its </w:t>
      </w:r>
      <w:r w:rsidR="009D254C">
        <w:t>November 2019</w:t>
      </w:r>
      <w:r w:rsidR="00A01432" w:rsidRPr="00657C63">
        <w:t xml:space="preserve"> meeting.</w:t>
      </w:r>
    </w:p>
    <w:p w:rsidR="00AA586D" w:rsidRPr="00DF3E3B" w:rsidRDefault="005B3275" w:rsidP="009702F3">
      <w:pPr>
        <w:pStyle w:val="3Bodytext"/>
        <w:jc w:val="both"/>
        <w:rPr>
          <w:i/>
        </w:rPr>
      </w:pPr>
      <w:r>
        <w:lastRenderedPageBreak/>
        <w:t xml:space="preserve">It </w:t>
      </w:r>
      <w:r w:rsidR="009241F7">
        <w:t>was</w:t>
      </w:r>
      <w:r>
        <w:t xml:space="preserve"> the twelfth </w:t>
      </w:r>
      <w:r w:rsidR="005C70CA">
        <w:t>biologic medicine</w:t>
      </w:r>
      <w:r w:rsidR="000268EA">
        <w:rPr>
          <w:rStyle w:val="FootnoteReference"/>
        </w:rPr>
        <w:footnoteReference w:id="2"/>
      </w:r>
      <w:r>
        <w:t xml:space="preserve"> to be listed on the PBS with the same circumstance</w:t>
      </w:r>
      <w:r w:rsidR="00416CAD">
        <w:t>s</w:t>
      </w:r>
      <w:r>
        <w:t xml:space="preserve">. </w:t>
      </w:r>
      <w:r w:rsidR="003B36C2">
        <w:t xml:space="preserve"> </w:t>
      </w:r>
      <w:r w:rsidRPr="003B36C2">
        <w:rPr>
          <w:rFonts w:ascii="Calibri" w:hAnsi="Calibri"/>
          <w:lang w:eastAsia="en-US"/>
        </w:rPr>
        <w:t xml:space="preserve">Australian patients can </w:t>
      </w:r>
      <w:r w:rsidR="007740EB">
        <w:rPr>
          <w:rFonts w:ascii="Calibri" w:hAnsi="Calibri"/>
          <w:lang w:eastAsia="en-US"/>
        </w:rPr>
        <w:t>trial up</w:t>
      </w:r>
      <w:r w:rsidRPr="003B36C2">
        <w:rPr>
          <w:rFonts w:ascii="Calibri" w:hAnsi="Calibri"/>
          <w:lang w:eastAsia="en-US"/>
        </w:rPr>
        <w:t xml:space="preserve"> to five of the </w:t>
      </w:r>
      <w:r>
        <w:rPr>
          <w:rFonts w:ascii="Calibri" w:hAnsi="Calibri"/>
          <w:lang w:eastAsia="en-US"/>
        </w:rPr>
        <w:t>twelve</w:t>
      </w:r>
      <w:r w:rsidRPr="003B36C2">
        <w:rPr>
          <w:rFonts w:ascii="Calibri" w:hAnsi="Calibri"/>
          <w:lang w:eastAsia="en-US"/>
        </w:rPr>
        <w:t xml:space="preserve"> PBS listed </w:t>
      </w:r>
      <w:r w:rsidR="005C70CA">
        <w:rPr>
          <w:rFonts w:ascii="Calibri" w:hAnsi="Calibri"/>
          <w:lang w:eastAsia="en-US"/>
        </w:rPr>
        <w:t>biologic medicine</w:t>
      </w:r>
      <w:r w:rsidR="005C70CA" w:rsidRPr="003B36C2">
        <w:rPr>
          <w:rFonts w:ascii="Calibri" w:hAnsi="Calibri"/>
          <w:lang w:eastAsia="en-US"/>
        </w:rPr>
        <w:t>s</w:t>
      </w:r>
      <w:r w:rsidR="005C70CA">
        <w:rPr>
          <w:rFonts w:ascii="Calibri" w:hAnsi="Calibri"/>
          <w:lang w:eastAsia="en-US"/>
        </w:rPr>
        <w:t xml:space="preserve"> </w:t>
      </w:r>
      <w:r>
        <w:rPr>
          <w:rFonts w:ascii="Calibri" w:hAnsi="Calibri"/>
          <w:lang w:eastAsia="en-US"/>
        </w:rPr>
        <w:t>in a treatment cycle</w:t>
      </w:r>
      <w:r w:rsidRPr="003B36C2">
        <w:rPr>
          <w:rFonts w:ascii="Calibri" w:hAnsi="Calibri"/>
          <w:lang w:eastAsia="en-US"/>
        </w:rPr>
        <w:t>.</w:t>
      </w:r>
    </w:p>
    <w:p w:rsidR="003B36C2" w:rsidRPr="002019B2" w:rsidRDefault="003B36C2" w:rsidP="009702F3">
      <w:pPr>
        <w:pStyle w:val="3Bodytext"/>
        <w:jc w:val="both"/>
      </w:pPr>
      <w:r w:rsidRPr="00B92CD6">
        <w:rPr>
          <w:rFonts w:ascii="Calibri" w:hAnsi="Calibri"/>
          <w:lang w:eastAsia="en-US"/>
        </w:rPr>
        <w:t>The</w:t>
      </w:r>
      <w:r w:rsidRPr="002019B2">
        <w:t xml:space="preserve"> </w:t>
      </w:r>
      <w:r w:rsidR="00842585">
        <w:t xml:space="preserve">sponsor’s </w:t>
      </w:r>
      <w:r w:rsidR="00D165C7">
        <w:t xml:space="preserve">November 2019 </w:t>
      </w:r>
      <w:r w:rsidR="00842585">
        <w:t xml:space="preserve">superiority </w:t>
      </w:r>
      <w:r w:rsidRPr="002019B2">
        <w:t>claim</w:t>
      </w:r>
      <w:r w:rsidR="00DF3E3B">
        <w:t xml:space="preserve"> against </w:t>
      </w:r>
      <w:r w:rsidR="00726282">
        <w:t>ADA</w:t>
      </w:r>
      <w:r w:rsidR="00726282" w:rsidRPr="002019B2">
        <w:t xml:space="preserve"> </w:t>
      </w:r>
      <w:r w:rsidRPr="002019B2">
        <w:t xml:space="preserve">was based on ACR50 results in the SELECT-COMPARE trial meeting the pre-specified tests for non-inferiority and then superiority of </w:t>
      </w:r>
      <w:r w:rsidR="00726282">
        <w:t xml:space="preserve">UPA </w:t>
      </w:r>
      <w:r w:rsidRPr="002019B2">
        <w:t xml:space="preserve">versus </w:t>
      </w:r>
      <w:r w:rsidR="00726282">
        <w:t>ADA</w:t>
      </w:r>
      <w:r w:rsidRPr="002019B2">
        <w:t>. That is, the lower bound of the 95%CI for the RD was larger than the nominated non-inferiority margin of -10%, and then larger than 0% (i.e. statistically significant) in accordance with the sequential testing procedure.</w:t>
      </w:r>
    </w:p>
    <w:p w:rsidR="00DF3E3B" w:rsidRDefault="003B36C2" w:rsidP="009702F3">
      <w:pPr>
        <w:pStyle w:val="3Bodytext"/>
        <w:jc w:val="both"/>
        <w:rPr>
          <w:strike/>
          <w:lang w:eastAsia="en-US"/>
        </w:rPr>
      </w:pPr>
      <w:r w:rsidRPr="00D95E27">
        <w:rPr>
          <w:lang w:eastAsia="en-US"/>
        </w:rPr>
        <w:t xml:space="preserve">The Sponsor’s </w:t>
      </w:r>
      <w:r w:rsidR="009241F7">
        <w:rPr>
          <w:lang w:eastAsia="en-US"/>
        </w:rPr>
        <w:t xml:space="preserve">November 2019 </w:t>
      </w:r>
      <w:r w:rsidRPr="00D95E27">
        <w:rPr>
          <w:lang w:eastAsia="en-US"/>
        </w:rPr>
        <w:t xml:space="preserve">pre-PBAC response included a statistical report to support the claim of </w:t>
      </w:r>
      <w:r w:rsidR="00726282">
        <w:t>UPA’s</w:t>
      </w:r>
      <w:r w:rsidR="00963835">
        <w:t xml:space="preserve"> </w:t>
      </w:r>
      <w:r w:rsidRPr="00D95E27">
        <w:rPr>
          <w:lang w:eastAsia="en-US"/>
        </w:rPr>
        <w:t xml:space="preserve">superior efficacy over </w:t>
      </w:r>
      <w:r w:rsidR="00726282">
        <w:rPr>
          <w:lang w:eastAsia="en-US"/>
        </w:rPr>
        <w:t>ADA</w:t>
      </w:r>
      <w:r w:rsidR="00726282" w:rsidRPr="00D95E27">
        <w:rPr>
          <w:lang w:eastAsia="en-US"/>
        </w:rPr>
        <w:t xml:space="preserve"> </w:t>
      </w:r>
      <w:r w:rsidRPr="00D95E27">
        <w:rPr>
          <w:lang w:eastAsia="en-US"/>
        </w:rPr>
        <w:t>in the SELECT-CO</w:t>
      </w:r>
      <w:r w:rsidR="00DF3E3B">
        <w:rPr>
          <w:lang w:eastAsia="en-US"/>
        </w:rPr>
        <w:t>MPARE</w:t>
      </w:r>
      <w:r w:rsidRPr="00D95E27">
        <w:rPr>
          <w:lang w:eastAsia="en-US"/>
        </w:rPr>
        <w:t xml:space="preserve"> trial. The report stated that </w:t>
      </w:r>
      <w:r w:rsidR="009241F7">
        <w:rPr>
          <w:lang w:eastAsia="en-US"/>
        </w:rPr>
        <w:t xml:space="preserve">UPA meets </w:t>
      </w:r>
      <w:r w:rsidRPr="00D95E27">
        <w:rPr>
          <w:lang w:eastAsia="en-US"/>
        </w:rPr>
        <w:t>the requirements for statistical superiority as defined by global statistical norms through the ICH-E9 EMA guidelines and FDA guidelines</w:t>
      </w:r>
      <w:r w:rsidR="00165E4B" w:rsidRPr="00165E4B">
        <w:rPr>
          <w:lang w:eastAsia="en-US"/>
        </w:rPr>
        <w:t>.</w:t>
      </w:r>
    </w:p>
    <w:p w:rsidR="00E25DBF" w:rsidRDefault="002E37FB" w:rsidP="00E25DBF">
      <w:pPr>
        <w:pStyle w:val="4-SubsectionHeading"/>
        <w:keepNext w:val="0"/>
        <w:rPr>
          <w:lang w:eastAsia="en-US"/>
        </w:rPr>
      </w:pPr>
      <w:r>
        <w:rPr>
          <w:lang w:eastAsia="en-US"/>
        </w:rPr>
        <w:t>B</w:t>
      </w:r>
      <w:r w:rsidR="00E25DBF">
        <w:rPr>
          <w:lang w:eastAsia="en-US"/>
        </w:rPr>
        <w:t>ariticinib</w:t>
      </w:r>
      <w:r w:rsidR="00E25DBF" w:rsidRPr="0012749D">
        <w:rPr>
          <w:lang w:eastAsia="en-US"/>
        </w:rPr>
        <w:t xml:space="preserve"> </w:t>
      </w:r>
      <w:r>
        <w:rPr>
          <w:lang w:eastAsia="en-US"/>
        </w:rPr>
        <w:t xml:space="preserve">for RA - </w:t>
      </w:r>
      <w:r w:rsidR="00556923">
        <w:rPr>
          <w:lang w:eastAsia="en-US"/>
        </w:rPr>
        <w:t>PBAC consideration</w:t>
      </w:r>
      <w:r>
        <w:rPr>
          <w:lang w:eastAsia="en-US"/>
        </w:rPr>
        <w:t>s</w:t>
      </w:r>
    </w:p>
    <w:p w:rsidR="00E25DBF" w:rsidRPr="002E37FB" w:rsidRDefault="00726282" w:rsidP="009702F3">
      <w:pPr>
        <w:pStyle w:val="3Bodytext"/>
        <w:jc w:val="both"/>
      </w:pPr>
      <w:bookmarkStart w:id="0" w:name="_GoBack"/>
      <w:bookmarkEnd w:id="0"/>
      <w:r>
        <w:t>BAR</w:t>
      </w:r>
      <w:r w:rsidRPr="002E37FB">
        <w:t xml:space="preserve"> </w:t>
      </w:r>
      <w:r w:rsidR="00674964" w:rsidRPr="002E37FB">
        <w:t xml:space="preserve">for treatment of severe RA was deferred by the PBAC at its July 2017 </w:t>
      </w:r>
      <w:r w:rsidR="002E37FB" w:rsidRPr="002E37FB">
        <w:t xml:space="preserve">and November 2017 </w:t>
      </w:r>
      <w:r w:rsidR="00674964" w:rsidRPr="002E37FB">
        <w:t>meeting</w:t>
      </w:r>
      <w:r w:rsidR="002E37FB" w:rsidRPr="002E37FB">
        <w:t>s under the TGA-PBAC parallel process arrangements</w:t>
      </w:r>
      <w:r w:rsidR="009241F7">
        <w:t>,</w:t>
      </w:r>
      <w:r w:rsidR="002E37FB" w:rsidRPr="002E37FB">
        <w:t xml:space="preserve"> before being recommended for </w:t>
      </w:r>
      <w:r w:rsidR="009241F7">
        <w:t xml:space="preserve">PBS </w:t>
      </w:r>
      <w:r w:rsidR="002E37FB" w:rsidRPr="002E37FB">
        <w:t>listing at the March 2018 PBAC meeting</w:t>
      </w:r>
      <w:r w:rsidR="00674964" w:rsidRPr="002E37FB">
        <w:t xml:space="preserve">.  </w:t>
      </w:r>
    </w:p>
    <w:p w:rsidR="00674964" w:rsidRDefault="002E37FB" w:rsidP="009702F3">
      <w:pPr>
        <w:pStyle w:val="3Bodytext"/>
        <w:jc w:val="both"/>
      </w:pPr>
      <w:r>
        <w:t>In its July 2017 consideration, t</w:t>
      </w:r>
      <w:r w:rsidR="00674964">
        <w:t>he PBAC did not accept the submission’s claim</w:t>
      </w:r>
      <w:r w:rsidR="00674964" w:rsidRPr="007C3458">
        <w:t xml:space="preserve"> that </w:t>
      </w:r>
      <w:r w:rsidR="00726282">
        <w:t>BAR</w:t>
      </w:r>
      <w:r w:rsidR="00726282" w:rsidRPr="007C3458">
        <w:t xml:space="preserve"> </w:t>
      </w:r>
      <w:r w:rsidR="00674964" w:rsidRPr="007C3458">
        <w:t xml:space="preserve">was superior in terms of effectiveness compared with </w:t>
      </w:r>
      <w:r w:rsidR="00726282">
        <w:t>ADA</w:t>
      </w:r>
      <w:r w:rsidR="00674964" w:rsidRPr="007C3458">
        <w:t>.</w:t>
      </w:r>
      <w:r w:rsidR="00674964" w:rsidRPr="007C3458" w:rsidDel="00FE787E">
        <w:t xml:space="preserve"> </w:t>
      </w:r>
      <w:r w:rsidR="00674964" w:rsidRPr="007C3458">
        <w:t xml:space="preserve">Specifically, the </w:t>
      </w:r>
      <w:r w:rsidR="00674964">
        <w:t xml:space="preserve">PBAC noted that the </w:t>
      </w:r>
      <w:r w:rsidR="00674964" w:rsidRPr="007C3458">
        <w:t xml:space="preserve">major secondary endpoint of ACR20 at week 12 failed to demonstrate an improvement of greater than 12%, when the pre-specified non-inferiority margin was -12%. Further, </w:t>
      </w:r>
      <w:r w:rsidR="00674964">
        <w:t xml:space="preserve">noting that only short-term comparative outcomes were available, the PBAC considered there was no clear evidence that demonstrated that </w:t>
      </w:r>
      <w:r w:rsidR="00063422">
        <w:t>BAR</w:t>
      </w:r>
      <w:r w:rsidR="00674964">
        <w:t xml:space="preserve"> provided a significant improvement in effectiveness over </w:t>
      </w:r>
      <w:r w:rsidR="00063422">
        <w:t xml:space="preserve">ADA </w:t>
      </w:r>
      <w:r w:rsidR="00674964">
        <w:t>(para</w:t>
      </w:r>
      <w:r w:rsidR="007740EB">
        <w:t>graph</w:t>
      </w:r>
      <w:r w:rsidR="00674964">
        <w:t xml:space="preserve"> 7.5, baricitinib P</w:t>
      </w:r>
      <w:r w:rsidR="007740EB">
        <w:t xml:space="preserve">ublic </w:t>
      </w:r>
      <w:r w:rsidR="00674964">
        <w:t>S</w:t>
      </w:r>
      <w:r w:rsidR="007740EB">
        <w:t xml:space="preserve">ummary </w:t>
      </w:r>
      <w:r w:rsidR="00674964">
        <w:t>D</w:t>
      </w:r>
      <w:r w:rsidR="007740EB">
        <w:t>ocument</w:t>
      </w:r>
      <w:r w:rsidR="00726282">
        <w:t xml:space="preserve"> </w:t>
      </w:r>
      <w:r w:rsidR="007740EB">
        <w:t>(PSD)</w:t>
      </w:r>
      <w:r w:rsidR="00674964">
        <w:t xml:space="preserve">, July 2017). </w:t>
      </w:r>
    </w:p>
    <w:p w:rsidR="000268EA" w:rsidRDefault="000268EA" w:rsidP="00C7700E">
      <w:pPr>
        <w:ind w:left="709"/>
      </w:pPr>
    </w:p>
    <w:p w:rsidR="00314EC3" w:rsidRPr="000268EA" w:rsidRDefault="00314EC3" w:rsidP="001E1768">
      <w:pPr>
        <w:ind w:left="709"/>
        <w:rPr>
          <w:i/>
        </w:rPr>
      </w:pPr>
      <w:r w:rsidRPr="000268EA">
        <w:rPr>
          <w:i/>
        </w:rPr>
        <w:t>For more detail on PBAC’s view, see section 5 PBAC outcome.</w:t>
      </w:r>
    </w:p>
    <w:p w:rsidR="00314EC3" w:rsidRPr="00E25DBF" w:rsidRDefault="00314EC3" w:rsidP="00314EC3">
      <w:pPr>
        <w:pStyle w:val="3Bodytext"/>
        <w:numPr>
          <w:ilvl w:val="0"/>
          <w:numId w:val="0"/>
        </w:numPr>
        <w:ind w:left="720" w:hanging="720"/>
      </w:pPr>
    </w:p>
    <w:p w:rsidR="00356E5B" w:rsidRPr="00657166" w:rsidRDefault="00370AC2" w:rsidP="004C6EDA">
      <w:pPr>
        <w:pStyle w:val="Heading1"/>
        <w:keepLines/>
        <w:numPr>
          <w:ilvl w:val="0"/>
          <w:numId w:val="3"/>
        </w:numPr>
        <w:spacing w:before="240"/>
        <w:ind w:left="709" w:hanging="709"/>
        <w:rPr>
          <w:sz w:val="32"/>
          <w:szCs w:val="32"/>
        </w:rPr>
      </w:pPr>
      <w:r>
        <w:rPr>
          <w:sz w:val="32"/>
          <w:szCs w:val="32"/>
        </w:rPr>
        <w:t>Current situation</w:t>
      </w:r>
    </w:p>
    <w:p w:rsidR="003E308D" w:rsidRPr="0046377B" w:rsidRDefault="003E308D" w:rsidP="00994D4D">
      <w:pPr>
        <w:pStyle w:val="3Bodytext"/>
        <w:jc w:val="both"/>
      </w:pPr>
      <w:r w:rsidRPr="000951C4">
        <w:t xml:space="preserve">The </w:t>
      </w:r>
      <w:r w:rsidR="00726282">
        <w:t>UPA</w:t>
      </w:r>
      <w:r w:rsidR="00726282" w:rsidRPr="000951C4">
        <w:t xml:space="preserve"> </w:t>
      </w:r>
      <w:r w:rsidR="009241F7">
        <w:t xml:space="preserve">minor </w:t>
      </w:r>
      <w:r w:rsidRPr="000951C4">
        <w:t xml:space="preserve">submission </w:t>
      </w:r>
      <w:r w:rsidR="00BB1275">
        <w:t>base</w:t>
      </w:r>
      <w:r w:rsidR="00063422">
        <w:t>d</w:t>
      </w:r>
      <w:r w:rsidR="00BB1275">
        <w:t xml:space="preserve"> its </w:t>
      </w:r>
      <w:r w:rsidRPr="000951C4">
        <w:t xml:space="preserve">request </w:t>
      </w:r>
      <w:r w:rsidR="00BB1275">
        <w:t xml:space="preserve">on </w:t>
      </w:r>
      <w:r>
        <w:t xml:space="preserve">advice received from </w:t>
      </w:r>
      <w:r w:rsidRPr="0046377B">
        <w:t>Professor</w:t>
      </w:r>
      <w:r w:rsidR="009241F7" w:rsidRPr="0046377B">
        <w:t> </w:t>
      </w:r>
      <w:r w:rsidR="007B6939">
        <w:rPr>
          <w:noProof/>
          <w:color w:val="000000"/>
          <w:highlight w:val="black"/>
        </w:rPr>
        <w:t xml:space="preserve">''''''''''''''''''''''''''''' ''''''''''''''''''' ''''' '''''''''''''''''''''' '''' '''''' ''''''''''''''''' ''''' ''''''''''''''' ''''''''''''''' ''''''''''''' ''''''''''' ''''''''''''''' </w:t>
      </w:r>
      <w:r w:rsidRPr="009F1763">
        <w:t xml:space="preserve">and Professor </w:t>
      </w:r>
      <w:r w:rsidR="007B6939">
        <w:rPr>
          <w:noProof/>
          <w:color w:val="000000"/>
          <w:highlight w:val="black"/>
        </w:rPr>
        <w:t xml:space="preserve">''''''' '''''''''''''''' ''''''''''''''' '''' '''''''''''''''''' </w:t>
      </w:r>
      <w:r w:rsidR="007B6939">
        <w:rPr>
          <w:noProof/>
          <w:color w:val="000000"/>
          <w:highlight w:val="black"/>
        </w:rPr>
        <w:lastRenderedPageBreak/>
        <w:t>'''''''''''''''''' '''''''''''' '''' '''''' '''''''''''''''''' '''' ''''''''''''''''''''''</w:t>
      </w:r>
      <w:r w:rsidRPr="0046377B">
        <w:t>.</w:t>
      </w:r>
      <w:r w:rsidR="00BB1275" w:rsidRPr="0046377B">
        <w:t xml:space="preserve">  </w:t>
      </w:r>
      <w:r w:rsidR="004D2C83" w:rsidRPr="0046377B">
        <w:t xml:space="preserve">Advice from </w:t>
      </w:r>
      <w:r w:rsidRPr="0046377B">
        <w:t xml:space="preserve">Professor </w:t>
      </w:r>
      <w:r w:rsidR="007B6939">
        <w:rPr>
          <w:noProof/>
          <w:color w:val="000000"/>
          <w:highlight w:val="black"/>
        </w:rPr>
        <w:t>''''''''''''''''''''''''''</w:t>
      </w:r>
      <w:r w:rsidRPr="0046377B">
        <w:t xml:space="preserve"> was </w:t>
      </w:r>
      <w:r w:rsidR="004D2C83" w:rsidRPr="0046377B">
        <w:t xml:space="preserve">previously </w:t>
      </w:r>
      <w:r w:rsidRPr="0046377B">
        <w:t xml:space="preserve">considered </w:t>
      </w:r>
      <w:r w:rsidR="009241F7" w:rsidRPr="0046377B">
        <w:t xml:space="preserve">at </w:t>
      </w:r>
      <w:r w:rsidRPr="0046377B">
        <w:t>the November 2019 meeting</w:t>
      </w:r>
      <w:r w:rsidR="004D2C83" w:rsidRPr="0046377B">
        <w:t xml:space="preserve"> as part of the PBAC’s consideration of upadacitinib</w:t>
      </w:r>
      <w:r w:rsidR="00BB1275" w:rsidRPr="0046377B">
        <w:t>.</w:t>
      </w:r>
      <w:r w:rsidRPr="0046377B">
        <w:t xml:space="preserve"> </w:t>
      </w:r>
    </w:p>
    <w:p w:rsidR="003E308D" w:rsidRDefault="003E308D" w:rsidP="00994D4D">
      <w:pPr>
        <w:pStyle w:val="3Bodytext"/>
        <w:jc w:val="both"/>
      </w:pPr>
      <w:r w:rsidRPr="0046377B">
        <w:t xml:space="preserve">The </w:t>
      </w:r>
      <w:r w:rsidR="009241F7" w:rsidRPr="0046377B">
        <w:t xml:space="preserve">minor </w:t>
      </w:r>
      <w:r w:rsidRPr="0046377B">
        <w:t>submission state</w:t>
      </w:r>
      <w:r w:rsidR="00670B41" w:rsidRPr="0046377B">
        <w:t>d</w:t>
      </w:r>
      <w:r w:rsidRPr="0046377B">
        <w:t xml:space="preserve"> that both Professor</w:t>
      </w:r>
      <w:r w:rsidR="009241F7" w:rsidRPr="0046377B">
        <w:t>s</w:t>
      </w:r>
      <w:r w:rsidRPr="0046377B">
        <w:t xml:space="preserve"> </w:t>
      </w:r>
      <w:r w:rsidR="007B6939">
        <w:rPr>
          <w:noProof/>
          <w:color w:val="000000"/>
          <w:highlight w:val="black"/>
        </w:rPr>
        <w:t>''''''''''''''</w:t>
      </w:r>
      <w:r w:rsidRPr="0046377B">
        <w:t xml:space="preserve"> and </w:t>
      </w:r>
      <w:r w:rsidR="007B6939">
        <w:rPr>
          <w:noProof/>
          <w:color w:val="000000"/>
          <w:highlight w:val="black"/>
        </w:rPr>
        <w:t>'''''''''''''''''''</w:t>
      </w:r>
      <w:r>
        <w:t xml:space="preserve"> </w:t>
      </w:r>
      <w:r w:rsidR="00A108A6">
        <w:t>advise</w:t>
      </w:r>
      <w:r w:rsidR="00AC194A">
        <w:t>d</w:t>
      </w:r>
      <w:r w:rsidR="003B472D">
        <w:t xml:space="preserve"> that </w:t>
      </w:r>
      <w:r w:rsidRPr="00B2567F">
        <w:t>a threshold greater than zero</w:t>
      </w:r>
      <w:r>
        <w:t xml:space="preserve"> </w:t>
      </w:r>
      <w:r w:rsidRPr="00B2567F">
        <w:t xml:space="preserve">to demonstrate </w:t>
      </w:r>
      <w:r w:rsidR="000268EA">
        <w:t xml:space="preserve">statistical </w:t>
      </w:r>
      <w:r w:rsidRPr="00B2567F">
        <w:t>superiority would be a major change from established scientific practice and current international standards</w:t>
      </w:r>
      <w:r>
        <w:t xml:space="preserve"> and would have</w:t>
      </w:r>
      <w:r w:rsidRPr="00B2567F">
        <w:t xml:space="preserve"> very significant impact</w:t>
      </w:r>
      <w:r>
        <w:t>s</w:t>
      </w:r>
      <w:r w:rsidRPr="00B2567F">
        <w:t xml:space="preserve"> on study design</w:t>
      </w:r>
      <w:r>
        <w:t>.</w:t>
      </w:r>
    </w:p>
    <w:p w:rsidR="009241F7" w:rsidRDefault="009241F7" w:rsidP="00994D4D">
      <w:pPr>
        <w:pStyle w:val="3Bodytext"/>
        <w:jc w:val="both"/>
      </w:pPr>
      <w:r>
        <w:t xml:space="preserve">The minor submission </w:t>
      </w:r>
      <w:r w:rsidR="00670B41">
        <w:t xml:space="preserve">did </w:t>
      </w:r>
      <w:r>
        <w:t xml:space="preserve">not present any new clinical evidence. </w:t>
      </w:r>
      <w:r w:rsidR="00263FA5">
        <w:t xml:space="preserve"> Table 1 reproduces the ACR50 results considered by PBAC in November 2019</w:t>
      </w:r>
      <w:r w:rsidR="00670B41">
        <w:t>.</w:t>
      </w:r>
    </w:p>
    <w:p w:rsidR="00263FA5" w:rsidRPr="00263FA5" w:rsidRDefault="00263FA5" w:rsidP="00AB7E7F">
      <w:pPr>
        <w:keepNext/>
        <w:keepLines/>
        <w:rPr>
          <w:rFonts w:ascii="Arial Narrow" w:hAnsi="Arial Narrow"/>
          <w:b/>
          <w:bCs/>
          <w:sz w:val="20"/>
          <w:szCs w:val="20"/>
        </w:rPr>
      </w:pPr>
      <w:r w:rsidRPr="00263FA5">
        <w:rPr>
          <w:rFonts w:ascii="Arial Narrow" w:hAnsi="Arial Narrow"/>
          <w:b/>
          <w:bCs/>
          <w:sz w:val="20"/>
          <w:szCs w:val="20"/>
        </w:rPr>
        <w:lastRenderedPageBreak/>
        <w:t>Table 1 ACR50 response at Week 12 at the recommended doses of UPA, BARI and ADA, and indirect comparisons presented by the submission</w:t>
      </w:r>
    </w:p>
    <w:tbl>
      <w:tblPr>
        <w:tblStyle w:val="TableGrid"/>
        <w:tblW w:w="5000" w:type="pct"/>
        <w:tblCellMar>
          <w:left w:w="28" w:type="dxa"/>
          <w:right w:w="28" w:type="dxa"/>
        </w:tblCellMar>
        <w:tblLook w:val="04A0" w:firstRow="1" w:lastRow="0" w:firstColumn="1" w:lastColumn="0" w:noHBand="0" w:noVBand="1"/>
        <w:tblCaption w:val="Table 1 ACR50 response at Week 12 at the recommended doses of UPA, BARI and ADA, and indirect comparisons presented by the submission"/>
      </w:tblPr>
      <w:tblGrid>
        <w:gridCol w:w="2220"/>
        <w:gridCol w:w="1372"/>
        <w:gridCol w:w="1372"/>
        <w:gridCol w:w="1486"/>
        <w:gridCol w:w="1487"/>
        <w:gridCol w:w="1089"/>
      </w:tblGrid>
      <w:tr w:rsidR="00263FA5" w:rsidRPr="00263FA5" w:rsidTr="00D429B4">
        <w:trPr>
          <w:tblHeader/>
        </w:trPr>
        <w:tc>
          <w:tcPr>
            <w:tcW w:w="1230" w:type="pct"/>
            <w:tcBorders>
              <w:left w:val="nil"/>
              <w:bottom w:val="single" w:sz="4" w:space="0" w:color="auto"/>
              <w:right w:val="nil"/>
            </w:tcBorders>
            <w:vAlign w:val="center"/>
          </w:tcPr>
          <w:p w:rsidR="00263FA5" w:rsidRPr="00263FA5" w:rsidRDefault="00263FA5" w:rsidP="00AB7E7F">
            <w:pPr>
              <w:keepNext/>
              <w:keepLines/>
              <w:jc w:val="left"/>
              <w:rPr>
                <w:rFonts w:ascii="Arial Narrow" w:hAnsi="Arial Narrow"/>
                <w:b/>
                <w:bCs/>
                <w:sz w:val="20"/>
                <w:szCs w:val="20"/>
              </w:rPr>
            </w:pPr>
            <w:r w:rsidRPr="00263FA5">
              <w:rPr>
                <w:rFonts w:ascii="Arial Narrow" w:hAnsi="Arial Narrow"/>
                <w:b/>
                <w:bCs/>
                <w:sz w:val="20"/>
                <w:szCs w:val="20"/>
              </w:rPr>
              <w:t>Trial</w:t>
            </w:r>
          </w:p>
        </w:tc>
        <w:tc>
          <w:tcPr>
            <w:tcW w:w="760" w:type="pct"/>
            <w:tcBorders>
              <w:left w:val="nil"/>
              <w:bottom w:val="single" w:sz="4" w:space="0" w:color="auto"/>
              <w:right w:val="nil"/>
            </w:tcBorders>
            <w:vAlign w:val="center"/>
          </w:tcPr>
          <w:p w:rsidR="00263FA5" w:rsidRPr="00263FA5" w:rsidRDefault="00263FA5" w:rsidP="00AB7E7F">
            <w:pPr>
              <w:keepNext/>
              <w:keepLines/>
              <w:jc w:val="center"/>
              <w:rPr>
                <w:rFonts w:ascii="Arial Narrow" w:hAnsi="Arial Narrow"/>
                <w:b/>
                <w:bCs/>
                <w:sz w:val="20"/>
                <w:szCs w:val="20"/>
              </w:rPr>
            </w:pPr>
            <w:r w:rsidRPr="00263FA5">
              <w:rPr>
                <w:rFonts w:ascii="Arial Narrow" w:hAnsi="Arial Narrow"/>
                <w:b/>
                <w:bCs/>
                <w:sz w:val="20"/>
                <w:szCs w:val="20"/>
              </w:rPr>
              <w:t>Drug</w:t>
            </w:r>
          </w:p>
          <w:p w:rsidR="00263FA5" w:rsidRPr="00263FA5" w:rsidRDefault="00263FA5" w:rsidP="00AB7E7F">
            <w:pPr>
              <w:keepNext/>
              <w:keepLines/>
              <w:jc w:val="center"/>
              <w:rPr>
                <w:rFonts w:ascii="Arial Narrow" w:hAnsi="Arial Narrow"/>
                <w:b/>
                <w:bCs/>
                <w:sz w:val="20"/>
                <w:szCs w:val="20"/>
              </w:rPr>
            </w:pPr>
            <w:r w:rsidRPr="00263FA5">
              <w:rPr>
                <w:rFonts w:ascii="Arial Narrow" w:hAnsi="Arial Narrow"/>
                <w:b/>
                <w:bCs/>
                <w:sz w:val="20"/>
                <w:szCs w:val="20"/>
              </w:rPr>
              <w:t>n/N (%)</w:t>
            </w:r>
          </w:p>
        </w:tc>
        <w:tc>
          <w:tcPr>
            <w:tcW w:w="760" w:type="pct"/>
            <w:tcBorders>
              <w:left w:val="nil"/>
              <w:bottom w:val="single" w:sz="4" w:space="0" w:color="auto"/>
              <w:right w:val="nil"/>
            </w:tcBorders>
            <w:vAlign w:val="center"/>
          </w:tcPr>
          <w:p w:rsidR="00263FA5" w:rsidRPr="00263FA5" w:rsidRDefault="00263FA5" w:rsidP="00AB7E7F">
            <w:pPr>
              <w:keepNext/>
              <w:keepLines/>
              <w:jc w:val="center"/>
              <w:rPr>
                <w:rFonts w:ascii="Arial Narrow" w:hAnsi="Arial Narrow"/>
                <w:b/>
                <w:bCs/>
                <w:sz w:val="20"/>
                <w:szCs w:val="20"/>
              </w:rPr>
            </w:pPr>
            <w:r w:rsidRPr="00263FA5">
              <w:rPr>
                <w:rFonts w:ascii="Arial Narrow" w:hAnsi="Arial Narrow"/>
                <w:b/>
                <w:bCs/>
                <w:sz w:val="20"/>
                <w:szCs w:val="20"/>
              </w:rPr>
              <w:t>Control</w:t>
            </w:r>
          </w:p>
          <w:p w:rsidR="00263FA5" w:rsidRPr="00263FA5" w:rsidRDefault="00263FA5" w:rsidP="00AB7E7F">
            <w:pPr>
              <w:keepNext/>
              <w:keepLines/>
              <w:jc w:val="center"/>
              <w:rPr>
                <w:rFonts w:ascii="Arial Narrow" w:hAnsi="Arial Narrow"/>
                <w:b/>
                <w:bCs/>
                <w:sz w:val="20"/>
                <w:szCs w:val="20"/>
              </w:rPr>
            </w:pPr>
            <w:r w:rsidRPr="00263FA5">
              <w:rPr>
                <w:rFonts w:ascii="Arial Narrow" w:hAnsi="Arial Narrow"/>
                <w:b/>
                <w:bCs/>
                <w:sz w:val="20"/>
                <w:szCs w:val="20"/>
              </w:rPr>
              <w:t>n/N (%)</w:t>
            </w:r>
          </w:p>
        </w:tc>
        <w:tc>
          <w:tcPr>
            <w:tcW w:w="823" w:type="pct"/>
            <w:tcBorders>
              <w:left w:val="nil"/>
              <w:bottom w:val="single" w:sz="4" w:space="0" w:color="auto"/>
              <w:right w:val="nil"/>
            </w:tcBorders>
            <w:vAlign w:val="center"/>
          </w:tcPr>
          <w:p w:rsidR="00263FA5" w:rsidRPr="00263FA5" w:rsidRDefault="00263FA5" w:rsidP="00AB7E7F">
            <w:pPr>
              <w:keepNext/>
              <w:keepLines/>
              <w:jc w:val="center"/>
              <w:rPr>
                <w:rFonts w:ascii="Arial Narrow" w:hAnsi="Arial Narrow"/>
                <w:b/>
                <w:bCs/>
                <w:sz w:val="20"/>
                <w:szCs w:val="20"/>
                <w:vertAlign w:val="superscript"/>
              </w:rPr>
            </w:pPr>
            <w:r w:rsidRPr="00263FA5">
              <w:rPr>
                <w:rFonts w:ascii="Arial Narrow" w:hAnsi="Arial Narrow"/>
                <w:b/>
                <w:bCs/>
                <w:sz w:val="20"/>
                <w:szCs w:val="20"/>
              </w:rPr>
              <w:t>RR</w:t>
            </w:r>
          </w:p>
          <w:p w:rsidR="00263FA5" w:rsidRPr="00263FA5" w:rsidRDefault="00263FA5" w:rsidP="00AB7E7F">
            <w:pPr>
              <w:keepNext/>
              <w:keepLines/>
              <w:jc w:val="center"/>
              <w:rPr>
                <w:rFonts w:ascii="Arial Narrow" w:hAnsi="Arial Narrow"/>
                <w:b/>
                <w:bCs/>
                <w:sz w:val="20"/>
                <w:szCs w:val="20"/>
              </w:rPr>
            </w:pPr>
            <w:r w:rsidRPr="00263FA5">
              <w:rPr>
                <w:rFonts w:ascii="Arial Narrow" w:hAnsi="Arial Narrow"/>
                <w:b/>
                <w:bCs/>
                <w:sz w:val="20"/>
                <w:szCs w:val="20"/>
              </w:rPr>
              <w:t>(95%CI)</w:t>
            </w:r>
          </w:p>
        </w:tc>
        <w:tc>
          <w:tcPr>
            <w:tcW w:w="824" w:type="pct"/>
            <w:tcBorders>
              <w:left w:val="nil"/>
              <w:bottom w:val="single" w:sz="4" w:space="0" w:color="auto"/>
              <w:right w:val="nil"/>
            </w:tcBorders>
            <w:vAlign w:val="center"/>
          </w:tcPr>
          <w:p w:rsidR="00263FA5" w:rsidRPr="00263FA5" w:rsidRDefault="00263FA5" w:rsidP="00AB7E7F">
            <w:pPr>
              <w:keepNext/>
              <w:keepLines/>
              <w:jc w:val="center"/>
              <w:rPr>
                <w:rFonts w:ascii="Arial Narrow" w:hAnsi="Arial Narrow"/>
                <w:b/>
                <w:bCs/>
                <w:sz w:val="20"/>
                <w:szCs w:val="20"/>
                <w:vertAlign w:val="superscript"/>
              </w:rPr>
            </w:pPr>
            <w:r w:rsidRPr="00263FA5">
              <w:rPr>
                <w:rFonts w:ascii="Arial Narrow" w:hAnsi="Arial Narrow"/>
                <w:b/>
                <w:bCs/>
                <w:sz w:val="20"/>
                <w:szCs w:val="20"/>
              </w:rPr>
              <w:t>RD</w:t>
            </w:r>
          </w:p>
          <w:p w:rsidR="00263FA5" w:rsidRPr="00263FA5" w:rsidRDefault="00263FA5" w:rsidP="00AB7E7F">
            <w:pPr>
              <w:keepNext/>
              <w:keepLines/>
              <w:jc w:val="center"/>
              <w:rPr>
                <w:rFonts w:ascii="Arial Narrow" w:hAnsi="Arial Narrow"/>
                <w:b/>
                <w:bCs/>
                <w:sz w:val="20"/>
                <w:szCs w:val="20"/>
              </w:rPr>
            </w:pPr>
            <w:r w:rsidRPr="00263FA5">
              <w:rPr>
                <w:rFonts w:ascii="Arial Narrow" w:hAnsi="Arial Narrow"/>
                <w:b/>
                <w:bCs/>
                <w:sz w:val="20"/>
                <w:szCs w:val="20"/>
              </w:rPr>
              <w:t>(95%CI)</w:t>
            </w:r>
          </w:p>
        </w:tc>
        <w:tc>
          <w:tcPr>
            <w:tcW w:w="603" w:type="pct"/>
            <w:tcBorders>
              <w:left w:val="nil"/>
              <w:bottom w:val="single" w:sz="4" w:space="0" w:color="auto"/>
              <w:right w:val="nil"/>
            </w:tcBorders>
            <w:vAlign w:val="center"/>
          </w:tcPr>
          <w:p w:rsidR="00263FA5" w:rsidRPr="00263FA5" w:rsidRDefault="00263FA5" w:rsidP="00AB7E7F">
            <w:pPr>
              <w:keepNext/>
              <w:keepLines/>
              <w:jc w:val="center"/>
              <w:rPr>
                <w:rFonts w:ascii="Arial Narrow" w:hAnsi="Arial Narrow"/>
                <w:b/>
                <w:bCs/>
                <w:sz w:val="20"/>
                <w:szCs w:val="20"/>
                <w:vertAlign w:val="superscript"/>
              </w:rPr>
            </w:pPr>
            <w:r w:rsidRPr="00263FA5">
              <w:rPr>
                <w:rFonts w:ascii="Arial Narrow" w:hAnsi="Arial Narrow"/>
                <w:b/>
                <w:bCs/>
                <w:sz w:val="20"/>
                <w:szCs w:val="20"/>
              </w:rPr>
              <w:t>NNT</w:t>
            </w:r>
          </w:p>
          <w:p w:rsidR="00263FA5" w:rsidRPr="00263FA5" w:rsidRDefault="00263FA5" w:rsidP="00AB7E7F">
            <w:pPr>
              <w:keepNext/>
              <w:keepLines/>
              <w:jc w:val="center"/>
              <w:rPr>
                <w:rFonts w:ascii="Arial Narrow" w:hAnsi="Arial Narrow"/>
                <w:b/>
                <w:bCs/>
                <w:sz w:val="20"/>
                <w:szCs w:val="20"/>
              </w:rPr>
            </w:pPr>
            <w:r w:rsidRPr="00263FA5">
              <w:rPr>
                <w:rFonts w:ascii="Arial Narrow" w:hAnsi="Arial Narrow"/>
                <w:b/>
                <w:bCs/>
                <w:sz w:val="20"/>
                <w:szCs w:val="20"/>
              </w:rPr>
              <w:t>(95%CI)</w:t>
            </w:r>
          </w:p>
        </w:tc>
      </w:tr>
      <w:tr w:rsidR="00263FA5" w:rsidRPr="00263FA5" w:rsidTr="00D429B4">
        <w:tc>
          <w:tcPr>
            <w:tcW w:w="2750" w:type="pct"/>
            <w:gridSpan w:val="3"/>
            <w:tcBorders>
              <w:left w:val="nil"/>
              <w:bottom w:val="nil"/>
              <w:right w:val="nil"/>
            </w:tcBorders>
            <w:vAlign w:val="center"/>
          </w:tcPr>
          <w:p w:rsidR="00263FA5" w:rsidRPr="00263FA5" w:rsidRDefault="00263FA5" w:rsidP="00AB7E7F">
            <w:pPr>
              <w:keepNext/>
              <w:keepLines/>
              <w:jc w:val="left"/>
              <w:rPr>
                <w:rFonts w:ascii="Arial Narrow" w:hAnsi="Arial Narrow"/>
                <w:b/>
                <w:bCs/>
                <w:color w:val="76923C" w:themeColor="accent3" w:themeShade="BF"/>
                <w:sz w:val="20"/>
                <w:szCs w:val="20"/>
                <w:u w:val="single"/>
              </w:rPr>
            </w:pPr>
            <w:r w:rsidRPr="00263FA5">
              <w:rPr>
                <w:rFonts w:ascii="Arial Narrow" w:hAnsi="Arial Narrow"/>
                <w:b/>
                <w:bCs/>
                <w:color w:val="76923C" w:themeColor="accent3" w:themeShade="BF"/>
                <w:sz w:val="20"/>
                <w:szCs w:val="20"/>
                <w:u w:val="single"/>
              </w:rPr>
              <w:t>cDMARD IR population</w:t>
            </w:r>
          </w:p>
        </w:tc>
        <w:tc>
          <w:tcPr>
            <w:tcW w:w="823" w:type="pct"/>
            <w:tcBorders>
              <w:left w:val="nil"/>
              <w:bottom w:val="nil"/>
              <w:right w:val="nil"/>
            </w:tcBorders>
            <w:vAlign w:val="center"/>
          </w:tcPr>
          <w:p w:rsidR="00263FA5" w:rsidRPr="00263FA5" w:rsidRDefault="00263FA5" w:rsidP="00AB7E7F">
            <w:pPr>
              <w:keepNext/>
              <w:keepLines/>
              <w:jc w:val="center"/>
              <w:rPr>
                <w:rFonts w:ascii="Arial Narrow" w:hAnsi="Arial Narrow"/>
                <w:iCs/>
                <w:sz w:val="20"/>
                <w:szCs w:val="20"/>
              </w:rPr>
            </w:pPr>
          </w:p>
        </w:tc>
        <w:tc>
          <w:tcPr>
            <w:tcW w:w="824" w:type="pct"/>
            <w:tcBorders>
              <w:left w:val="nil"/>
              <w:bottom w:val="nil"/>
              <w:right w:val="nil"/>
            </w:tcBorders>
            <w:vAlign w:val="center"/>
          </w:tcPr>
          <w:p w:rsidR="00263FA5" w:rsidRPr="00263FA5" w:rsidRDefault="00263FA5" w:rsidP="00AB7E7F">
            <w:pPr>
              <w:keepNext/>
              <w:keepLines/>
              <w:jc w:val="center"/>
              <w:rPr>
                <w:rFonts w:ascii="Arial Narrow" w:hAnsi="Arial Narrow"/>
                <w:iCs/>
                <w:sz w:val="20"/>
                <w:szCs w:val="20"/>
              </w:rPr>
            </w:pPr>
          </w:p>
        </w:tc>
        <w:tc>
          <w:tcPr>
            <w:tcW w:w="603" w:type="pct"/>
            <w:tcBorders>
              <w:left w:val="nil"/>
              <w:bottom w:val="nil"/>
              <w:right w:val="nil"/>
            </w:tcBorders>
            <w:vAlign w:val="center"/>
          </w:tcPr>
          <w:p w:rsidR="00263FA5" w:rsidRPr="00263FA5" w:rsidRDefault="00263FA5" w:rsidP="00AB7E7F">
            <w:pPr>
              <w:keepNext/>
              <w:keepLines/>
              <w:jc w:val="center"/>
              <w:rPr>
                <w:rFonts w:ascii="Arial Narrow" w:hAnsi="Arial Narrow"/>
                <w:sz w:val="20"/>
                <w:szCs w:val="20"/>
              </w:rPr>
            </w:pPr>
          </w:p>
        </w:tc>
      </w:tr>
      <w:tr w:rsidR="00263FA5" w:rsidRPr="00263FA5" w:rsidTr="00D429B4">
        <w:tc>
          <w:tcPr>
            <w:tcW w:w="2750" w:type="pct"/>
            <w:gridSpan w:val="3"/>
            <w:tcBorders>
              <w:top w:val="nil"/>
              <w:left w:val="nil"/>
              <w:bottom w:val="nil"/>
              <w:right w:val="nil"/>
            </w:tcBorders>
            <w:vAlign w:val="center"/>
          </w:tcPr>
          <w:p w:rsidR="00263FA5" w:rsidRPr="00263FA5" w:rsidRDefault="00263FA5" w:rsidP="00AB7E7F">
            <w:pPr>
              <w:keepNext/>
              <w:keepLines/>
              <w:jc w:val="left"/>
              <w:rPr>
                <w:rFonts w:ascii="Arial Narrow" w:hAnsi="Arial Narrow"/>
                <w:b/>
                <w:bCs/>
                <w:sz w:val="20"/>
                <w:szCs w:val="20"/>
              </w:rPr>
            </w:pPr>
            <w:r w:rsidRPr="00263FA5">
              <w:rPr>
                <w:rFonts w:ascii="Arial Narrow" w:hAnsi="Arial Narrow"/>
                <w:b/>
                <w:bCs/>
                <w:sz w:val="20"/>
                <w:szCs w:val="20"/>
              </w:rPr>
              <w:t>UPA v PBO or MTX</w:t>
            </w:r>
          </w:p>
        </w:tc>
        <w:tc>
          <w:tcPr>
            <w:tcW w:w="823"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iCs/>
                <w:sz w:val="20"/>
                <w:szCs w:val="20"/>
              </w:rPr>
            </w:pPr>
          </w:p>
        </w:tc>
        <w:tc>
          <w:tcPr>
            <w:tcW w:w="824"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iCs/>
                <w:sz w:val="20"/>
                <w:szCs w:val="20"/>
              </w:rPr>
            </w:pPr>
          </w:p>
        </w:tc>
        <w:tc>
          <w:tcPr>
            <w:tcW w:w="603"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sz w:val="20"/>
                <w:szCs w:val="20"/>
              </w:rPr>
            </w:pPr>
          </w:p>
        </w:tc>
      </w:tr>
      <w:tr w:rsidR="00263FA5" w:rsidRPr="00263FA5" w:rsidTr="00D429B4">
        <w:tc>
          <w:tcPr>
            <w:tcW w:w="1230" w:type="pct"/>
            <w:tcBorders>
              <w:top w:val="nil"/>
              <w:left w:val="nil"/>
              <w:bottom w:val="nil"/>
              <w:right w:val="nil"/>
            </w:tcBorders>
            <w:vAlign w:val="center"/>
          </w:tcPr>
          <w:p w:rsidR="00263FA5" w:rsidRPr="00263FA5" w:rsidRDefault="00263FA5" w:rsidP="00AB7E7F">
            <w:pPr>
              <w:pStyle w:val="Tabletext"/>
              <w:keepNext/>
              <w:keepLines/>
              <w:rPr>
                <w:rFonts w:ascii="Arial Narrow" w:hAnsi="Arial Narrow"/>
              </w:rPr>
            </w:pPr>
            <w:r w:rsidRPr="00263FA5">
              <w:rPr>
                <w:rFonts w:ascii="Arial Narrow" w:hAnsi="Arial Narrow"/>
              </w:rPr>
              <w:t>SELECT COMPARE</w:t>
            </w:r>
          </w:p>
        </w:tc>
        <w:tc>
          <w:tcPr>
            <w:tcW w:w="760"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rPr>
            </w:pPr>
            <w:r w:rsidRPr="00263FA5">
              <w:rPr>
                <w:rFonts w:ascii="Arial Narrow" w:hAnsi="Arial Narrow"/>
              </w:rPr>
              <w:t>294/651 (45.2)</w:t>
            </w:r>
          </w:p>
        </w:tc>
        <w:tc>
          <w:tcPr>
            <w:tcW w:w="760"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rPr>
            </w:pPr>
            <w:r w:rsidRPr="00263FA5">
              <w:rPr>
                <w:rFonts w:ascii="Arial Narrow" w:hAnsi="Arial Narrow"/>
              </w:rPr>
              <w:t>97/651 (14.9)</w:t>
            </w:r>
          </w:p>
        </w:tc>
        <w:tc>
          <w:tcPr>
            <w:tcW w:w="823"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bCs/>
              </w:rPr>
            </w:pPr>
            <w:r w:rsidRPr="00263FA5">
              <w:rPr>
                <w:rFonts w:ascii="Arial Narrow" w:hAnsi="Arial Narrow"/>
                <w:bCs/>
              </w:rPr>
              <w:t>3.03 (2.48, 3.71)</w:t>
            </w:r>
          </w:p>
        </w:tc>
        <w:tc>
          <w:tcPr>
            <w:tcW w:w="824"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bCs/>
              </w:rPr>
            </w:pPr>
            <w:r w:rsidRPr="00263FA5">
              <w:rPr>
                <w:rFonts w:ascii="Arial Narrow" w:hAnsi="Arial Narrow"/>
                <w:bCs/>
              </w:rPr>
              <w:t>0.30 (0.26, 0.35)</w:t>
            </w:r>
          </w:p>
        </w:tc>
        <w:tc>
          <w:tcPr>
            <w:tcW w:w="603"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rPr>
            </w:pPr>
            <w:r w:rsidRPr="00263FA5">
              <w:rPr>
                <w:rFonts w:ascii="Arial Narrow" w:hAnsi="Arial Narrow"/>
              </w:rPr>
              <w:t>3 (3, 4)</w:t>
            </w:r>
          </w:p>
        </w:tc>
      </w:tr>
      <w:tr w:rsidR="00263FA5" w:rsidRPr="00263FA5" w:rsidTr="00D429B4">
        <w:tc>
          <w:tcPr>
            <w:tcW w:w="1230" w:type="pct"/>
            <w:tcBorders>
              <w:top w:val="nil"/>
              <w:left w:val="nil"/>
              <w:bottom w:val="nil"/>
              <w:right w:val="nil"/>
            </w:tcBorders>
            <w:vAlign w:val="center"/>
          </w:tcPr>
          <w:p w:rsidR="00263FA5" w:rsidRPr="00263FA5" w:rsidRDefault="00263FA5" w:rsidP="00AB7E7F">
            <w:pPr>
              <w:pStyle w:val="Tabletext"/>
              <w:keepNext/>
              <w:keepLines/>
              <w:rPr>
                <w:rFonts w:ascii="Arial Narrow" w:hAnsi="Arial Narrow"/>
              </w:rPr>
            </w:pPr>
            <w:r w:rsidRPr="00263FA5">
              <w:rPr>
                <w:rFonts w:ascii="Arial Narrow" w:hAnsi="Arial Narrow"/>
              </w:rPr>
              <w:t>SELECT NEXT</w:t>
            </w:r>
          </w:p>
        </w:tc>
        <w:tc>
          <w:tcPr>
            <w:tcW w:w="760"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rPr>
            </w:pPr>
            <w:r w:rsidRPr="00263FA5">
              <w:rPr>
                <w:rFonts w:ascii="Arial Narrow" w:hAnsi="Arial Narrow"/>
              </w:rPr>
              <w:t>84/221 (38.0)</w:t>
            </w:r>
          </w:p>
        </w:tc>
        <w:tc>
          <w:tcPr>
            <w:tcW w:w="760"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rPr>
            </w:pPr>
            <w:r w:rsidRPr="00263FA5">
              <w:rPr>
                <w:rFonts w:ascii="Arial Narrow" w:hAnsi="Arial Narrow"/>
              </w:rPr>
              <w:t>33/221 (14.9)</w:t>
            </w:r>
          </w:p>
        </w:tc>
        <w:tc>
          <w:tcPr>
            <w:tcW w:w="823"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bCs/>
              </w:rPr>
            </w:pPr>
            <w:r w:rsidRPr="00263FA5">
              <w:rPr>
                <w:rFonts w:ascii="Arial Narrow" w:hAnsi="Arial Narrow"/>
                <w:bCs/>
              </w:rPr>
              <w:t>2.55 (1.78, 3.64)</w:t>
            </w:r>
          </w:p>
        </w:tc>
        <w:tc>
          <w:tcPr>
            <w:tcW w:w="824"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bCs/>
              </w:rPr>
            </w:pPr>
            <w:r w:rsidRPr="00263FA5">
              <w:rPr>
                <w:rFonts w:ascii="Arial Narrow" w:hAnsi="Arial Narrow"/>
                <w:bCs/>
              </w:rPr>
              <w:t>0.23 (0.15, 0.31)</w:t>
            </w:r>
          </w:p>
        </w:tc>
        <w:tc>
          <w:tcPr>
            <w:tcW w:w="603"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rPr>
            </w:pPr>
            <w:r w:rsidRPr="00263FA5">
              <w:rPr>
                <w:rFonts w:ascii="Arial Narrow" w:hAnsi="Arial Narrow"/>
              </w:rPr>
              <w:t>4 (3, 7)</w:t>
            </w:r>
          </w:p>
        </w:tc>
      </w:tr>
      <w:tr w:rsidR="00263FA5" w:rsidRPr="00263FA5" w:rsidTr="00D429B4">
        <w:tc>
          <w:tcPr>
            <w:tcW w:w="1230" w:type="pct"/>
            <w:tcBorders>
              <w:top w:val="nil"/>
              <w:left w:val="nil"/>
              <w:bottom w:val="nil"/>
              <w:right w:val="nil"/>
            </w:tcBorders>
            <w:vAlign w:val="center"/>
          </w:tcPr>
          <w:p w:rsidR="00263FA5" w:rsidRPr="00263FA5" w:rsidRDefault="00263FA5" w:rsidP="00AB7E7F">
            <w:pPr>
              <w:pStyle w:val="Tabletext"/>
              <w:keepNext/>
              <w:keepLines/>
              <w:rPr>
                <w:rFonts w:ascii="Arial Narrow" w:hAnsi="Arial Narrow"/>
              </w:rPr>
            </w:pPr>
            <w:r w:rsidRPr="00263FA5">
              <w:rPr>
                <w:rFonts w:ascii="Arial Narrow" w:hAnsi="Arial Narrow"/>
              </w:rPr>
              <w:t>SELECT MONOTHERAPY</w:t>
            </w:r>
            <w:r w:rsidRPr="00263FA5">
              <w:rPr>
                <w:rFonts w:ascii="Arial Narrow" w:hAnsi="Arial Narrow"/>
                <w:vertAlign w:val="superscript"/>
              </w:rPr>
              <w:t>a</w:t>
            </w:r>
          </w:p>
        </w:tc>
        <w:tc>
          <w:tcPr>
            <w:tcW w:w="760"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rPr>
            </w:pPr>
            <w:r w:rsidRPr="00263FA5">
              <w:rPr>
                <w:rFonts w:ascii="Arial Narrow" w:hAnsi="Arial Narrow"/>
              </w:rPr>
              <w:t>91/217 (41.9)</w:t>
            </w:r>
          </w:p>
        </w:tc>
        <w:tc>
          <w:tcPr>
            <w:tcW w:w="760"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rPr>
            </w:pPr>
            <w:r w:rsidRPr="00263FA5">
              <w:rPr>
                <w:rFonts w:ascii="Arial Narrow" w:hAnsi="Arial Narrow"/>
              </w:rPr>
              <w:t>33/216 (15.3)</w:t>
            </w:r>
          </w:p>
        </w:tc>
        <w:tc>
          <w:tcPr>
            <w:tcW w:w="823"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bCs/>
              </w:rPr>
            </w:pPr>
            <w:r w:rsidRPr="00263FA5">
              <w:rPr>
                <w:rFonts w:ascii="Arial Narrow" w:hAnsi="Arial Narrow"/>
                <w:bCs/>
              </w:rPr>
              <w:t>2.74 (1.93, 3.90)</w:t>
            </w:r>
          </w:p>
        </w:tc>
        <w:tc>
          <w:tcPr>
            <w:tcW w:w="824"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bCs/>
              </w:rPr>
            </w:pPr>
            <w:r w:rsidRPr="00263FA5">
              <w:rPr>
                <w:rFonts w:ascii="Arial Narrow" w:hAnsi="Arial Narrow"/>
                <w:bCs/>
              </w:rPr>
              <w:t>0.27 (0.19, 0.35)</w:t>
            </w:r>
          </w:p>
        </w:tc>
        <w:tc>
          <w:tcPr>
            <w:tcW w:w="603"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rPr>
            </w:pPr>
            <w:r w:rsidRPr="00263FA5">
              <w:rPr>
                <w:rFonts w:ascii="Arial Narrow" w:hAnsi="Arial Narrow"/>
              </w:rPr>
              <w:t>4 (3, 5)</w:t>
            </w:r>
          </w:p>
        </w:tc>
      </w:tr>
      <w:tr w:rsidR="00263FA5" w:rsidRPr="00263FA5" w:rsidTr="00D429B4">
        <w:tc>
          <w:tcPr>
            <w:tcW w:w="1230" w:type="pct"/>
            <w:tcBorders>
              <w:top w:val="nil"/>
              <w:left w:val="nil"/>
              <w:bottom w:val="nil"/>
              <w:right w:val="nil"/>
            </w:tcBorders>
            <w:vAlign w:val="center"/>
          </w:tcPr>
          <w:p w:rsidR="00263FA5" w:rsidRPr="00263FA5" w:rsidRDefault="00263FA5" w:rsidP="00AB7E7F">
            <w:pPr>
              <w:pStyle w:val="Tabletext"/>
              <w:keepNext/>
              <w:keepLines/>
              <w:jc w:val="right"/>
              <w:rPr>
                <w:rFonts w:ascii="Arial Narrow" w:hAnsi="Arial Narrow"/>
              </w:rPr>
            </w:pPr>
            <w:r w:rsidRPr="00263FA5">
              <w:rPr>
                <w:rFonts w:ascii="Arial Narrow" w:hAnsi="Arial Narrow"/>
              </w:rPr>
              <w:t>Meta-analysis (excl. MONO)</w:t>
            </w:r>
          </w:p>
        </w:tc>
        <w:tc>
          <w:tcPr>
            <w:tcW w:w="760"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rPr>
            </w:pPr>
            <w:r w:rsidRPr="00263FA5">
              <w:rPr>
                <w:rFonts w:ascii="Arial Narrow" w:hAnsi="Arial Narrow"/>
              </w:rPr>
              <w:t>378/872 (43.3)</w:t>
            </w:r>
          </w:p>
        </w:tc>
        <w:tc>
          <w:tcPr>
            <w:tcW w:w="760"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rPr>
            </w:pPr>
            <w:r w:rsidRPr="00263FA5">
              <w:rPr>
                <w:rFonts w:ascii="Arial Narrow" w:hAnsi="Arial Narrow"/>
              </w:rPr>
              <w:t>130/872 (14.9)</w:t>
            </w:r>
          </w:p>
        </w:tc>
        <w:tc>
          <w:tcPr>
            <w:tcW w:w="823"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bCs/>
              </w:rPr>
            </w:pPr>
            <w:r w:rsidRPr="00263FA5">
              <w:rPr>
                <w:rFonts w:ascii="Arial Narrow" w:hAnsi="Arial Narrow"/>
                <w:bCs/>
              </w:rPr>
              <w:t>2.91 (2.44, 3.46)</w:t>
            </w:r>
          </w:p>
        </w:tc>
        <w:tc>
          <w:tcPr>
            <w:tcW w:w="824"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bCs/>
              </w:rPr>
            </w:pPr>
            <w:r w:rsidRPr="00263FA5">
              <w:rPr>
                <w:rFonts w:ascii="Arial Narrow" w:hAnsi="Arial Narrow"/>
                <w:bCs/>
              </w:rPr>
              <w:t>0.27 (0.21,0.34)</w:t>
            </w:r>
          </w:p>
        </w:tc>
        <w:tc>
          <w:tcPr>
            <w:tcW w:w="603"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rPr>
            </w:pPr>
            <w:r w:rsidRPr="00263FA5">
              <w:rPr>
                <w:rFonts w:ascii="Arial Narrow" w:hAnsi="Arial Narrow"/>
              </w:rPr>
              <w:t>4 (3, 5)</w:t>
            </w:r>
          </w:p>
        </w:tc>
      </w:tr>
      <w:tr w:rsidR="00263FA5" w:rsidRPr="00263FA5" w:rsidTr="00D429B4">
        <w:trPr>
          <w:trHeight w:val="64"/>
        </w:trPr>
        <w:tc>
          <w:tcPr>
            <w:tcW w:w="1230" w:type="pct"/>
            <w:tcBorders>
              <w:top w:val="nil"/>
              <w:left w:val="nil"/>
              <w:bottom w:val="nil"/>
              <w:right w:val="nil"/>
            </w:tcBorders>
            <w:vAlign w:val="center"/>
          </w:tcPr>
          <w:p w:rsidR="00263FA5" w:rsidRPr="00263FA5" w:rsidRDefault="00263FA5" w:rsidP="00AB7E7F">
            <w:pPr>
              <w:pStyle w:val="Tabletext"/>
              <w:keepNext/>
              <w:keepLines/>
              <w:jc w:val="right"/>
              <w:rPr>
                <w:rFonts w:ascii="Arial Narrow" w:hAnsi="Arial Narrow"/>
              </w:rPr>
            </w:pPr>
            <w:r w:rsidRPr="00263FA5">
              <w:rPr>
                <w:rFonts w:ascii="Arial Narrow" w:hAnsi="Arial Narrow"/>
                <w:iCs/>
              </w:rPr>
              <w:t>Meta-analysis (incl. MONO)</w:t>
            </w:r>
          </w:p>
        </w:tc>
        <w:tc>
          <w:tcPr>
            <w:tcW w:w="760"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iCs/>
              </w:rPr>
            </w:pPr>
            <w:r w:rsidRPr="00263FA5">
              <w:rPr>
                <w:rFonts w:ascii="Arial Narrow" w:hAnsi="Arial Narrow"/>
                <w:iCs/>
              </w:rPr>
              <w:t>469/1089 (43.1)</w:t>
            </w:r>
          </w:p>
        </w:tc>
        <w:tc>
          <w:tcPr>
            <w:tcW w:w="760"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iCs/>
              </w:rPr>
            </w:pPr>
            <w:r w:rsidRPr="00263FA5">
              <w:rPr>
                <w:rFonts w:ascii="Arial Narrow" w:hAnsi="Arial Narrow"/>
                <w:iCs/>
              </w:rPr>
              <w:t>163/1088 (14.9)</w:t>
            </w:r>
          </w:p>
        </w:tc>
        <w:tc>
          <w:tcPr>
            <w:tcW w:w="823"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bCs/>
                <w:iCs/>
              </w:rPr>
            </w:pPr>
            <w:r w:rsidRPr="00263FA5">
              <w:rPr>
                <w:rFonts w:ascii="Arial Narrow" w:hAnsi="Arial Narrow"/>
                <w:bCs/>
                <w:iCs/>
              </w:rPr>
              <w:t>2.87 (2.46, 3.36)</w:t>
            </w:r>
          </w:p>
        </w:tc>
        <w:tc>
          <w:tcPr>
            <w:tcW w:w="824"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bCs/>
                <w:iCs/>
              </w:rPr>
            </w:pPr>
            <w:r w:rsidRPr="00263FA5">
              <w:rPr>
                <w:rFonts w:ascii="Arial Narrow" w:hAnsi="Arial Narrow"/>
                <w:bCs/>
                <w:iCs/>
              </w:rPr>
              <w:t>0.28 (0.24, 0.32)</w:t>
            </w:r>
          </w:p>
        </w:tc>
        <w:tc>
          <w:tcPr>
            <w:tcW w:w="603"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rPr>
            </w:pPr>
            <w:r w:rsidRPr="00263FA5">
              <w:rPr>
                <w:rFonts w:ascii="Arial Narrow" w:hAnsi="Arial Narrow"/>
              </w:rPr>
              <w:t>4 (3, 4)</w:t>
            </w:r>
          </w:p>
        </w:tc>
      </w:tr>
      <w:tr w:rsidR="00263FA5" w:rsidRPr="00263FA5" w:rsidTr="00D429B4">
        <w:tc>
          <w:tcPr>
            <w:tcW w:w="2750" w:type="pct"/>
            <w:gridSpan w:val="3"/>
            <w:tcBorders>
              <w:top w:val="nil"/>
              <w:left w:val="nil"/>
              <w:bottom w:val="nil"/>
              <w:right w:val="nil"/>
            </w:tcBorders>
            <w:vAlign w:val="center"/>
          </w:tcPr>
          <w:p w:rsidR="00263FA5" w:rsidRPr="00263FA5" w:rsidRDefault="00263FA5" w:rsidP="00AB7E7F">
            <w:pPr>
              <w:pStyle w:val="Tabletext"/>
              <w:keepNext/>
              <w:keepLines/>
              <w:rPr>
                <w:rFonts w:ascii="Arial Narrow" w:hAnsi="Arial Narrow"/>
              </w:rPr>
            </w:pPr>
            <w:r w:rsidRPr="00263FA5">
              <w:rPr>
                <w:rFonts w:ascii="Arial Narrow" w:hAnsi="Arial Narrow"/>
                <w:b/>
                <w:bCs/>
              </w:rPr>
              <w:t>BARI v PBO</w:t>
            </w:r>
          </w:p>
        </w:tc>
        <w:tc>
          <w:tcPr>
            <w:tcW w:w="823"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bCs/>
              </w:rPr>
            </w:pPr>
          </w:p>
        </w:tc>
        <w:tc>
          <w:tcPr>
            <w:tcW w:w="824"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bCs/>
              </w:rPr>
            </w:pPr>
          </w:p>
        </w:tc>
        <w:tc>
          <w:tcPr>
            <w:tcW w:w="603"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rPr>
            </w:pPr>
          </w:p>
        </w:tc>
      </w:tr>
      <w:tr w:rsidR="00263FA5" w:rsidRPr="00263FA5" w:rsidTr="00D429B4">
        <w:tc>
          <w:tcPr>
            <w:tcW w:w="1230" w:type="pct"/>
            <w:tcBorders>
              <w:top w:val="nil"/>
              <w:left w:val="nil"/>
              <w:bottom w:val="nil"/>
              <w:right w:val="nil"/>
            </w:tcBorders>
            <w:vAlign w:val="center"/>
          </w:tcPr>
          <w:p w:rsidR="00263FA5" w:rsidRPr="00263FA5" w:rsidRDefault="00263FA5" w:rsidP="00AB7E7F">
            <w:pPr>
              <w:pStyle w:val="Tabletext"/>
              <w:keepNext/>
              <w:keepLines/>
              <w:rPr>
                <w:rFonts w:ascii="Arial Narrow" w:hAnsi="Arial Narrow"/>
              </w:rPr>
            </w:pPr>
            <w:r w:rsidRPr="00263FA5">
              <w:rPr>
                <w:rFonts w:ascii="Arial Narrow" w:hAnsi="Arial Narrow"/>
              </w:rPr>
              <w:t>RA-BEAM/JADV</w:t>
            </w:r>
          </w:p>
        </w:tc>
        <w:tc>
          <w:tcPr>
            <w:tcW w:w="760"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rPr>
            </w:pPr>
            <w:r w:rsidRPr="00263FA5">
              <w:rPr>
                <w:rFonts w:ascii="Arial Narrow" w:hAnsi="Arial Narrow"/>
              </w:rPr>
              <w:t>219/487 (45.0)</w:t>
            </w:r>
          </w:p>
        </w:tc>
        <w:tc>
          <w:tcPr>
            <w:tcW w:w="760"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rPr>
            </w:pPr>
            <w:r w:rsidRPr="00263FA5">
              <w:rPr>
                <w:rFonts w:ascii="Arial Narrow" w:hAnsi="Arial Narrow"/>
              </w:rPr>
              <w:t>82/488 (16.8)</w:t>
            </w:r>
          </w:p>
        </w:tc>
        <w:tc>
          <w:tcPr>
            <w:tcW w:w="823"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bCs/>
              </w:rPr>
            </w:pPr>
            <w:r w:rsidRPr="00263FA5">
              <w:rPr>
                <w:rFonts w:ascii="Arial Narrow" w:hAnsi="Arial Narrow"/>
                <w:bCs/>
              </w:rPr>
              <w:t>2.68 (2.15, 3.34)</w:t>
            </w:r>
          </w:p>
        </w:tc>
        <w:tc>
          <w:tcPr>
            <w:tcW w:w="824"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bCs/>
              </w:rPr>
            </w:pPr>
            <w:r w:rsidRPr="00263FA5">
              <w:rPr>
                <w:rFonts w:ascii="Arial Narrow" w:hAnsi="Arial Narrow"/>
                <w:bCs/>
              </w:rPr>
              <w:t>0.28 (0.23, 0.34)</w:t>
            </w:r>
          </w:p>
        </w:tc>
        <w:tc>
          <w:tcPr>
            <w:tcW w:w="603"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rPr>
            </w:pPr>
            <w:r w:rsidRPr="00263FA5">
              <w:rPr>
                <w:rFonts w:ascii="Arial Narrow" w:hAnsi="Arial Narrow"/>
              </w:rPr>
              <w:t>4 (3, 4)</w:t>
            </w:r>
          </w:p>
        </w:tc>
      </w:tr>
      <w:tr w:rsidR="00263FA5" w:rsidRPr="00263FA5" w:rsidTr="00D429B4">
        <w:tc>
          <w:tcPr>
            <w:tcW w:w="1230" w:type="pct"/>
            <w:tcBorders>
              <w:top w:val="nil"/>
              <w:left w:val="nil"/>
              <w:bottom w:val="nil"/>
              <w:right w:val="nil"/>
            </w:tcBorders>
            <w:vAlign w:val="center"/>
          </w:tcPr>
          <w:p w:rsidR="00263FA5" w:rsidRPr="00263FA5" w:rsidRDefault="00263FA5" w:rsidP="00AB7E7F">
            <w:pPr>
              <w:pStyle w:val="Tabletext"/>
              <w:keepNext/>
              <w:keepLines/>
              <w:rPr>
                <w:rFonts w:ascii="Arial Narrow" w:hAnsi="Arial Narrow"/>
              </w:rPr>
            </w:pPr>
            <w:r w:rsidRPr="00263FA5">
              <w:rPr>
                <w:rFonts w:ascii="Arial Narrow" w:hAnsi="Arial Narrow"/>
              </w:rPr>
              <w:t>RA-BUILD/JADX</w:t>
            </w:r>
          </w:p>
        </w:tc>
        <w:tc>
          <w:tcPr>
            <w:tcW w:w="760"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rPr>
            </w:pPr>
            <w:r w:rsidRPr="00263FA5">
              <w:rPr>
                <w:rFonts w:ascii="Arial Narrow" w:hAnsi="Arial Narrow"/>
              </w:rPr>
              <w:t>76/227 (33.5)</w:t>
            </w:r>
          </w:p>
        </w:tc>
        <w:tc>
          <w:tcPr>
            <w:tcW w:w="760"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rPr>
            </w:pPr>
            <w:r w:rsidRPr="00263FA5">
              <w:rPr>
                <w:rFonts w:ascii="Arial Narrow" w:hAnsi="Arial Narrow"/>
              </w:rPr>
              <w:t>29/228 (12.7)</w:t>
            </w:r>
          </w:p>
        </w:tc>
        <w:tc>
          <w:tcPr>
            <w:tcW w:w="823"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bCs/>
              </w:rPr>
            </w:pPr>
            <w:r w:rsidRPr="00263FA5">
              <w:rPr>
                <w:rFonts w:ascii="Arial Narrow" w:hAnsi="Arial Narrow"/>
                <w:bCs/>
              </w:rPr>
              <w:t>2.63 (1.79, 3.87)</w:t>
            </w:r>
          </w:p>
        </w:tc>
        <w:tc>
          <w:tcPr>
            <w:tcW w:w="824"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bCs/>
              </w:rPr>
            </w:pPr>
            <w:r w:rsidRPr="00263FA5">
              <w:rPr>
                <w:rFonts w:ascii="Arial Narrow" w:hAnsi="Arial Narrow"/>
                <w:bCs/>
              </w:rPr>
              <w:t>0.21 (0.13, 0.28)</w:t>
            </w:r>
          </w:p>
        </w:tc>
        <w:tc>
          <w:tcPr>
            <w:tcW w:w="603"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rPr>
            </w:pPr>
            <w:r w:rsidRPr="00263FA5">
              <w:rPr>
                <w:rFonts w:ascii="Arial Narrow" w:hAnsi="Arial Narrow"/>
              </w:rPr>
              <w:t>5 (4, 7)</w:t>
            </w:r>
          </w:p>
        </w:tc>
      </w:tr>
      <w:tr w:rsidR="00263FA5" w:rsidRPr="00263FA5" w:rsidTr="00D429B4">
        <w:tc>
          <w:tcPr>
            <w:tcW w:w="1230" w:type="pct"/>
            <w:tcBorders>
              <w:top w:val="nil"/>
              <w:left w:val="nil"/>
              <w:bottom w:val="nil"/>
              <w:right w:val="nil"/>
            </w:tcBorders>
            <w:vAlign w:val="center"/>
          </w:tcPr>
          <w:p w:rsidR="00263FA5" w:rsidRPr="00263FA5" w:rsidRDefault="00263FA5" w:rsidP="00AB7E7F">
            <w:pPr>
              <w:pStyle w:val="Tabletext"/>
              <w:keepNext/>
              <w:keepLines/>
              <w:rPr>
                <w:rFonts w:ascii="Arial Narrow" w:hAnsi="Arial Narrow"/>
              </w:rPr>
            </w:pPr>
            <w:r w:rsidRPr="00263FA5">
              <w:rPr>
                <w:rFonts w:ascii="Arial Narrow" w:hAnsi="Arial Narrow"/>
              </w:rPr>
              <w:t>JADA</w:t>
            </w:r>
          </w:p>
        </w:tc>
        <w:tc>
          <w:tcPr>
            <w:tcW w:w="760"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rPr>
            </w:pPr>
            <w:r w:rsidRPr="00263FA5">
              <w:rPr>
                <w:rFonts w:ascii="Arial Narrow" w:hAnsi="Arial Narrow"/>
              </w:rPr>
              <w:t>18/52 (34.6)</w:t>
            </w:r>
          </w:p>
        </w:tc>
        <w:tc>
          <w:tcPr>
            <w:tcW w:w="760"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rPr>
            </w:pPr>
            <w:r w:rsidRPr="00263FA5">
              <w:rPr>
                <w:rFonts w:ascii="Arial Narrow" w:hAnsi="Arial Narrow"/>
              </w:rPr>
              <w:t>10/98 (10.2)</w:t>
            </w:r>
          </w:p>
        </w:tc>
        <w:tc>
          <w:tcPr>
            <w:tcW w:w="823"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bCs/>
              </w:rPr>
            </w:pPr>
            <w:r w:rsidRPr="00263FA5">
              <w:rPr>
                <w:rFonts w:ascii="Arial Narrow" w:hAnsi="Arial Narrow"/>
                <w:bCs/>
              </w:rPr>
              <w:t>3.39 (1.69, 6.80)</w:t>
            </w:r>
          </w:p>
        </w:tc>
        <w:tc>
          <w:tcPr>
            <w:tcW w:w="824"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bCs/>
              </w:rPr>
            </w:pPr>
            <w:r w:rsidRPr="00263FA5">
              <w:rPr>
                <w:rFonts w:ascii="Arial Narrow" w:hAnsi="Arial Narrow"/>
                <w:bCs/>
              </w:rPr>
              <w:t>0.24 (0.10, 0.39)</w:t>
            </w:r>
          </w:p>
        </w:tc>
        <w:tc>
          <w:tcPr>
            <w:tcW w:w="603"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rPr>
            </w:pPr>
            <w:r w:rsidRPr="00263FA5">
              <w:rPr>
                <w:rFonts w:ascii="Arial Narrow" w:hAnsi="Arial Narrow"/>
              </w:rPr>
              <w:t>4 (3, 10)</w:t>
            </w:r>
          </w:p>
        </w:tc>
      </w:tr>
      <w:tr w:rsidR="00263FA5" w:rsidRPr="00263FA5" w:rsidTr="00D429B4">
        <w:tc>
          <w:tcPr>
            <w:tcW w:w="1230" w:type="pct"/>
            <w:tcBorders>
              <w:top w:val="nil"/>
              <w:left w:val="nil"/>
              <w:bottom w:val="nil"/>
              <w:right w:val="nil"/>
            </w:tcBorders>
            <w:vAlign w:val="center"/>
          </w:tcPr>
          <w:p w:rsidR="00263FA5" w:rsidRPr="00263FA5" w:rsidRDefault="00263FA5" w:rsidP="00AB7E7F">
            <w:pPr>
              <w:keepNext/>
              <w:keepLines/>
              <w:jc w:val="right"/>
              <w:rPr>
                <w:rFonts w:ascii="Arial Narrow" w:hAnsi="Arial Narrow"/>
                <w:sz w:val="20"/>
                <w:szCs w:val="20"/>
              </w:rPr>
            </w:pPr>
            <w:r w:rsidRPr="00263FA5">
              <w:rPr>
                <w:rFonts w:ascii="Arial Narrow" w:hAnsi="Arial Narrow"/>
                <w:sz w:val="20"/>
                <w:szCs w:val="20"/>
              </w:rPr>
              <w:t>Meta-analysis</w:t>
            </w:r>
          </w:p>
        </w:tc>
        <w:tc>
          <w:tcPr>
            <w:tcW w:w="760"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iCs/>
                <w:sz w:val="20"/>
                <w:szCs w:val="20"/>
              </w:rPr>
            </w:pPr>
            <w:r w:rsidRPr="00263FA5">
              <w:rPr>
                <w:rFonts w:ascii="Arial Narrow" w:hAnsi="Arial Narrow"/>
                <w:iCs/>
                <w:sz w:val="20"/>
                <w:szCs w:val="20"/>
              </w:rPr>
              <w:t>313/766 (40.8)</w:t>
            </w:r>
          </w:p>
        </w:tc>
        <w:tc>
          <w:tcPr>
            <w:tcW w:w="760"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iCs/>
                <w:sz w:val="20"/>
                <w:szCs w:val="20"/>
              </w:rPr>
            </w:pPr>
            <w:r w:rsidRPr="00263FA5">
              <w:rPr>
                <w:rFonts w:ascii="Arial Narrow" w:hAnsi="Arial Narrow"/>
                <w:iCs/>
                <w:sz w:val="20"/>
                <w:szCs w:val="20"/>
              </w:rPr>
              <w:t>121/814 (14.8)</w:t>
            </w:r>
          </w:p>
        </w:tc>
        <w:tc>
          <w:tcPr>
            <w:tcW w:w="823"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bCs/>
                <w:iCs/>
                <w:sz w:val="20"/>
                <w:szCs w:val="20"/>
              </w:rPr>
            </w:pPr>
            <w:r w:rsidRPr="00263FA5">
              <w:rPr>
                <w:rFonts w:ascii="Arial Narrow" w:hAnsi="Arial Narrow"/>
                <w:bCs/>
                <w:iCs/>
                <w:sz w:val="20"/>
                <w:szCs w:val="20"/>
              </w:rPr>
              <w:t>2.71 (2.25, 3.26)</w:t>
            </w:r>
          </w:p>
        </w:tc>
        <w:tc>
          <w:tcPr>
            <w:tcW w:w="824"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bCs/>
                <w:iCs/>
                <w:sz w:val="20"/>
                <w:szCs w:val="20"/>
              </w:rPr>
            </w:pPr>
            <w:r w:rsidRPr="00263FA5">
              <w:rPr>
                <w:rFonts w:ascii="Arial Narrow" w:hAnsi="Arial Narrow"/>
                <w:bCs/>
                <w:iCs/>
                <w:sz w:val="20"/>
                <w:szCs w:val="20"/>
              </w:rPr>
              <w:t>0.26 (0.21, 0.30)</w:t>
            </w:r>
          </w:p>
        </w:tc>
        <w:tc>
          <w:tcPr>
            <w:tcW w:w="603"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sz w:val="20"/>
                <w:szCs w:val="20"/>
              </w:rPr>
            </w:pPr>
            <w:r w:rsidRPr="00263FA5">
              <w:rPr>
                <w:rFonts w:ascii="Arial Narrow" w:hAnsi="Arial Narrow"/>
                <w:sz w:val="20"/>
                <w:szCs w:val="20"/>
              </w:rPr>
              <w:t>4 (3, 5)</w:t>
            </w:r>
          </w:p>
        </w:tc>
      </w:tr>
      <w:tr w:rsidR="00263FA5" w:rsidRPr="00263FA5" w:rsidTr="00D429B4">
        <w:tc>
          <w:tcPr>
            <w:tcW w:w="2750" w:type="pct"/>
            <w:gridSpan w:val="3"/>
            <w:tcBorders>
              <w:top w:val="nil"/>
              <w:left w:val="nil"/>
              <w:bottom w:val="nil"/>
              <w:right w:val="nil"/>
            </w:tcBorders>
            <w:vAlign w:val="center"/>
          </w:tcPr>
          <w:p w:rsidR="00263FA5" w:rsidRPr="00263FA5" w:rsidRDefault="00263FA5" w:rsidP="00AB7E7F">
            <w:pPr>
              <w:keepNext/>
              <w:keepLines/>
              <w:jc w:val="left"/>
              <w:rPr>
                <w:rFonts w:ascii="Arial Narrow" w:hAnsi="Arial Narrow"/>
                <w:iCs/>
                <w:sz w:val="20"/>
                <w:szCs w:val="20"/>
              </w:rPr>
            </w:pPr>
            <w:r w:rsidRPr="00263FA5">
              <w:rPr>
                <w:rFonts w:ascii="Arial Narrow" w:hAnsi="Arial Narrow"/>
                <w:b/>
                <w:bCs/>
                <w:sz w:val="20"/>
                <w:szCs w:val="20"/>
              </w:rPr>
              <w:t>UPA v ADA</w:t>
            </w:r>
          </w:p>
        </w:tc>
        <w:tc>
          <w:tcPr>
            <w:tcW w:w="823"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bCs/>
                <w:iCs/>
                <w:sz w:val="20"/>
                <w:szCs w:val="20"/>
              </w:rPr>
            </w:pPr>
          </w:p>
        </w:tc>
        <w:tc>
          <w:tcPr>
            <w:tcW w:w="824"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bCs/>
                <w:iCs/>
                <w:sz w:val="20"/>
                <w:szCs w:val="20"/>
              </w:rPr>
            </w:pPr>
          </w:p>
        </w:tc>
        <w:tc>
          <w:tcPr>
            <w:tcW w:w="603"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sz w:val="20"/>
                <w:szCs w:val="20"/>
              </w:rPr>
            </w:pPr>
          </w:p>
        </w:tc>
      </w:tr>
      <w:tr w:rsidR="00263FA5" w:rsidRPr="00263FA5" w:rsidTr="00D429B4">
        <w:tc>
          <w:tcPr>
            <w:tcW w:w="1230" w:type="pct"/>
            <w:tcBorders>
              <w:top w:val="nil"/>
              <w:left w:val="nil"/>
              <w:bottom w:val="nil"/>
              <w:right w:val="nil"/>
            </w:tcBorders>
            <w:vAlign w:val="center"/>
          </w:tcPr>
          <w:p w:rsidR="00263FA5" w:rsidRPr="00263FA5" w:rsidRDefault="00263FA5" w:rsidP="00AB7E7F">
            <w:pPr>
              <w:pStyle w:val="Tabletext"/>
              <w:keepNext/>
              <w:keepLines/>
              <w:rPr>
                <w:rFonts w:ascii="Arial Narrow" w:hAnsi="Arial Narrow"/>
              </w:rPr>
            </w:pPr>
            <w:r w:rsidRPr="00263FA5">
              <w:rPr>
                <w:rFonts w:ascii="Arial Narrow" w:hAnsi="Arial Narrow"/>
              </w:rPr>
              <w:t>SELECT COMPARE</w:t>
            </w:r>
          </w:p>
        </w:tc>
        <w:tc>
          <w:tcPr>
            <w:tcW w:w="760"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rPr>
            </w:pPr>
            <w:r w:rsidRPr="00263FA5">
              <w:rPr>
                <w:rFonts w:ascii="Arial Narrow" w:hAnsi="Arial Narrow"/>
              </w:rPr>
              <w:t>294/651 (45.2)</w:t>
            </w:r>
          </w:p>
        </w:tc>
        <w:tc>
          <w:tcPr>
            <w:tcW w:w="760"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rPr>
            </w:pPr>
            <w:r w:rsidRPr="00263FA5">
              <w:rPr>
                <w:rFonts w:ascii="Arial Narrow" w:hAnsi="Arial Narrow"/>
              </w:rPr>
              <w:t>95/327 (29.1)</w:t>
            </w:r>
          </w:p>
        </w:tc>
        <w:tc>
          <w:tcPr>
            <w:tcW w:w="823"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bCs/>
              </w:rPr>
            </w:pPr>
            <w:r w:rsidRPr="00263FA5">
              <w:rPr>
                <w:rFonts w:ascii="Arial Narrow" w:hAnsi="Arial Narrow"/>
                <w:bCs/>
              </w:rPr>
              <w:t>1.55 (1.29, 1.88)</w:t>
            </w:r>
          </w:p>
        </w:tc>
        <w:tc>
          <w:tcPr>
            <w:tcW w:w="824"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bCs/>
              </w:rPr>
            </w:pPr>
            <w:r w:rsidRPr="00263FA5">
              <w:rPr>
                <w:rFonts w:ascii="Arial Narrow" w:hAnsi="Arial Narrow"/>
                <w:bCs/>
              </w:rPr>
              <w:t>0.16 (0.10, 0.22)</w:t>
            </w:r>
          </w:p>
        </w:tc>
        <w:tc>
          <w:tcPr>
            <w:tcW w:w="603"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sz w:val="20"/>
                <w:szCs w:val="20"/>
              </w:rPr>
            </w:pPr>
            <w:r w:rsidRPr="00263FA5">
              <w:rPr>
                <w:rFonts w:ascii="Arial Narrow" w:hAnsi="Arial Narrow"/>
                <w:sz w:val="20"/>
                <w:szCs w:val="20"/>
              </w:rPr>
              <w:t>6 (5, 10)</w:t>
            </w:r>
          </w:p>
        </w:tc>
      </w:tr>
      <w:tr w:rsidR="00263FA5" w:rsidRPr="00263FA5" w:rsidTr="00D429B4">
        <w:tc>
          <w:tcPr>
            <w:tcW w:w="2750" w:type="pct"/>
            <w:gridSpan w:val="3"/>
            <w:tcBorders>
              <w:top w:val="nil"/>
              <w:left w:val="nil"/>
              <w:bottom w:val="nil"/>
              <w:right w:val="nil"/>
            </w:tcBorders>
            <w:vAlign w:val="center"/>
          </w:tcPr>
          <w:p w:rsidR="00263FA5" w:rsidRPr="00263FA5" w:rsidRDefault="00263FA5" w:rsidP="00AB7E7F">
            <w:pPr>
              <w:keepNext/>
              <w:keepLines/>
              <w:jc w:val="left"/>
              <w:rPr>
                <w:rFonts w:ascii="Arial Narrow" w:hAnsi="Arial Narrow"/>
                <w:b/>
                <w:bCs/>
                <w:sz w:val="20"/>
                <w:szCs w:val="20"/>
              </w:rPr>
            </w:pPr>
            <w:r w:rsidRPr="00263FA5">
              <w:rPr>
                <w:rFonts w:ascii="Arial Narrow" w:hAnsi="Arial Narrow"/>
                <w:b/>
                <w:bCs/>
                <w:sz w:val="20"/>
                <w:szCs w:val="20"/>
              </w:rPr>
              <w:t>BARI v ADA</w:t>
            </w:r>
          </w:p>
        </w:tc>
        <w:tc>
          <w:tcPr>
            <w:tcW w:w="823"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iCs/>
                <w:sz w:val="20"/>
                <w:szCs w:val="20"/>
              </w:rPr>
            </w:pPr>
          </w:p>
        </w:tc>
        <w:tc>
          <w:tcPr>
            <w:tcW w:w="824"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iCs/>
                <w:sz w:val="20"/>
                <w:szCs w:val="20"/>
              </w:rPr>
            </w:pPr>
          </w:p>
        </w:tc>
        <w:tc>
          <w:tcPr>
            <w:tcW w:w="603"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sz w:val="20"/>
                <w:szCs w:val="20"/>
              </w:rPr>
            </w:pPr>
          </w:p>
        </w:tc>
      </w:tr>
      <w:tr w:rsidR="00263FA5" w:rsidRPr="00263FA5" w:rsidTr="00D429B4">
        <w:tc>
          <w:tcPr>
            <w:tcW w:w="1230" w:type="pct"/>
            <w:tcBorders>
              <w:top w:val="nil"/>
              <w:left w:val="nil"/>
              <w:bottom w:val="single" w:sz="4" w:space="0" w:color="auto"/>
              <w:right w:val="nil"/>
            </w:tcBorders>
            <w:shd w:val="clear" w:color="auto" w:fill="auto"/>
            <w:vAlign w:val="center"/>
          </w:tcPr>
          <w:p w:rsidR="00263FA5" w:rsidRPr="00263FA5" w:rsidRDefault="00263FA5" w:rsidP="00AB7E7F">
            <w:pPr>
              <w:pStyle w:val="Tabletext"/>
              <w:keepNext/>
              <w:keepLines/>
              <w:rPr>
                <w:rFonts w:ascii="Arial Narrow" w:hAnsi="Arial Narrow"/>
              </w:rPr>
            </w:pPr>
            <w:r w:rsidRPr="00263FA5">
              <w:rPr>
                <w:rFonts w:ascii="Arial Narrow" w:hAnsi="Arial Narrow"/>
              </w:rPr>
              <w:t>RA-BEAM/JADV</w:t>
            </w:r>
          </w:p>
        </w:tc>
        <w:tc>
          <w:tcPr>
            <w:tcW w:w="760" w:type="pct"/>
            <w:tcBorders>
              <w:top w:val="nil"/>
              <w:left w:val="nil"/>
              <w:bottom w:val="single" w:sz="4" w:space="0" w:color="auto"/>
              <w:right w:val="nil"/>
            </w:tcBorders>
            <w:shd w:val="clear" w:color="auto" w:fill="auto"/>
            <w:vAlign w:val="center"/>
          </w:tcPr>
          <w:p w:rsidR="00263FA5" w:rsidRPr="00263FA5" w:rsidRDefault="00263FA5" w:rsidP="00AB7E7F">
            <w:pPr>
              <w:pStyle w:val="Tabletext"/>
              <w:keepNext/>
              <w:keepLines/>
              <w:jc w:val="center"/>
              <w:rPr>
                <w:rFonts w:ascii="Arial Narrow" w:hAnsi="Arial Narrow"/>
              </w:rPr>
            </w:pPr>
            <w:r w:rsidRPr="00263FA5">
              <w:rPr>
                <w:rFonts w:ascii="Arial Narrow" w:hAnsi="Arial Narrow"/>
              </w:rPr>
              <w:t>219/487 (45.0)</w:t>
            </w:r>
          </w:p>
        </w:tc>
        <w:tc>
          <w:tcPr>
            <w:tcW w:w="760" w:type="pct"/>
            <w:tcBorders>
              <w:top w:val="nil"/>
              <w:left w:val="nil"/>
              <w:bottom w:val="single" w:sz="4" w:space="0" w:color="auto"/>
              <w:right w:val="nil"/>
            </w:tcBorders>
            <w:shd w:val="clear" w:color="auto" w:fill="auto"/>
            <w:vAlign w:val="center"/>
          </w:tcPr>
          <w:p w:rsidR="00263FA5" w:rsidRPr="00263FA5" w:rsidRDefault="00263FA5" w:rsidP="00AB7E7F">
            <w:pPr>
              <w:pStyle w:val="Tabletext"/>
              <w:keepNext/>
              <w:keepLines/>
              <w:jc w:val="center"/>
              <w:rPr>
                <w:rFonts w:ascii="Arial Narrow" w:hAnsi="Arial Narrow"/>
              </w:rPr>
            </w:pPr>
            <w:r w:rsidRPr="00263FA5">
              <w:rPr>
                <w:rFonts w:ascii="Arial Narrow" w:hAnsi="Arial Narrow"/>
              </w:rPr>
              <w:t>115/330 (34.8)</w:t>
            </w:r>
          </w:p>
        </w:tc>
        <w:tc>
          <w:tcPr>
            <w:tcW w:w="823" w:type="pct"/>
            <w:tcBorders>
              <w:top w:val="nil"/>
              <w:left w:val="nil"/>
              <w:bottom w:val="single" w:sz="4" w:space="0" w:color="auto"/>
              <w:right w:val="nil"/>
            </w:tcBorders>
            <w:shd w:val="clear" w:color="auto" w:fill="auto"/>
            <w:vAlign w:val="center"/>
          </w:tcPr>
          <w:p w:rsidR="00263FA5" w:rsidRPr="00263FA5" w:rsidRDefault="00263FA5" w:rsidP="00AB7E7F">
            <w:pPr>
              <w:pStyle w:val="Tabletext"/>
              <w:keepNext/>
              <w:keepLines/>
              <w:jc w:val="center"/>
              <w:rPr>
                <w:rFonts w:ascii="Arial Narrow" w:hAnsi="Arial Narrow"/>
                <w:bCs/>
              </w:rPr>
            </w:pPr>
            <w:r w:rsidRPr="00263FA5">
              <w:rPr>
                <w:rFonts w:ascii="Arial Narrow" w:hAnsi="Arial Narrow"/>
                <w:bCs/>
              </w:rPr>
              <w:t>1.29 (1.08, 1.54)</w:t>
            </w:r>
          </w:p>
        </w:tc>
        <w:tc>
          <w:tcPr>
            <w:tcW w:w="824" w:type="pct"/>
            <w:tcBorders>
              <w:top w:val="nil"/>
              <w:left w:val="nil"/>
              <w:bottom w:val="single" w:sz="4" w:space="0" w:color="auto"/>
              <w:right w:val="nil"/>
            </w:tcBorders>
            <w:shd w:val="clear" w:color="auto" w:fill="auto"/>
            <w:vAlign w:val="center"/>
          </w:tcPr>
          <w:p w:rsidR="00263FA5" w:rsidRPr="00263FA5" w:rsidRDefault="00263FA5" w:rsidP="00AB7E7F">
            <w:pPr>
              <w:pStyle w:val="Tabletext"/>
              <w:keepNext/>
              <w:keepLines/>
              <w:jc w:val="center"/>
              <w:rPr>
                <w:rFonts w:ascii="Arial Narrow" w:hAnsi="Arial Narrow"/>
                <w:bCs/>
              </w:rPr>
            </w:pPr>
            <w:r w:rsidRPr="00263FA5">
              <w:rPr>
                <w:rFonts w:ascii="Arial Narrow" w:hAnsi="Arial Narrow"/>
                <w:bCs/>
              </w:rPr>
              <w:t>0.10 (0.03, 0.17)</w:t>
            </w:r>
          </w:p>
        </w:tc>
        <w:tc>
          <w:tcPr>
            <w:tcW w:w="603" w:type="pct"/>
            <w:tcBorders>
              <w:top w:val="nil"/>
              <w:left w:val="nil"/>
              <w:bottom w:val="single" w:sz="4" w:space="0" w:color="auto"/>
              <w:right w:val="nil"/>
            </w:tcBorders>
            <w:shd w:val="clear" w:color="auto" w:fill="auto"/>
            <w:vAlign w:val="center"/>
          </w:tcPr>
          <w:p w:rsidR="00263FA5" w:rsidRPr="00263FA5" w:rsidRDefault="00263FA5" w:rsidP="00AB7E7F">
            <w:pPr>
              <w:keepNext/>
              <w:keepLines/>
              <w:jc w:val="center"/>
              <w:rPr>
                <w:rFonts w:ascii="Arial Narrow" w:hAnsi="Arial Narrow"/>
                <w:sz w:val="20"/>
                <w:szCs w:val="20"/>
              </w:rPr>
            </w:pPr>
            <w:r w:rsidRPr="00263FA5">
              <w:rPr>
                <w:rFonts w:ascii="Arial Narrow" w:hAnsi="Arial Narrow"/>
                <w:sz w:val="20"/>
                <w:szCs w:val="20"/>
              </w:rPr>
              <w:t>10 (6, 33)</w:t>
            </w:r>
          </w:p>
        </w:tc>
      </w:tr>
      <w:tr w:rsidR="00263FA5" w:rsidRPr="00263FA5" w:rsidTr="00D429B4">
        <w:tc>
          <w:tcPr>
            <w:tcW w:w="2750" w:type="pct"/>
            <w:gridSpan w:val="3"/>
            <w:tcBorders>
              <w:top w:val="single" w:sz="4" w:space="0" w:color="auto"/>
              <w:left w:val="nil"/>
              <w:bottom w:val="nil"/>
              <w:right w:val="nil"/>
            </w:tcBorders>
            <w:vAlign w:val="center"/>
          </w:tcPr>
          <w:p w:rsidR="00263FA5" w:rsidRPr="00263FA5" w:rsidRDefault="00263FA5" w:rsidP="00AB7E7F">
            <w:pPr>
              <w:keepNext/>
              <w:keepLines/>
              <w:jc w:val="left"/>
              <w:rPr>
                <w:rFonts w:ascii="Arial Narrow" w:hAnsi="Arial Narrow"/>
                <w:color w:val="31849B" w:themeColor="accent5" w:themeShade="BF"/>
                <w:sz w:val="20"/>
                <w:szCs w:val="20"/>
                <w:u w:val="single"/>
              </w:rPr>
            </w:pPr>
            <w:r w:rsidRPr="00263FA5">
              <w:rPr>
                <w:rFonts w:ascii="Arial Narrow" w:hAnsi="Arial Narrow"/>
                <w:b/>
                <w:bCs/>
                <w:color w:val="31849B" w:themeColor="accent5" w:themeShade="BF"/>
                <w:sz w:val="20"/>
                <w:szCs w:val="20"/>
                <w:u w:val="single"/>
              </w:rPr>
              <w:t>bDMARD IR population</w:t>
            </w:r>
          </w:p>
        </w:tc>
        <w:tc>
          <w:tcPr>
            <w:tcW w:w="823"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iCs/>
                <w:sz w:val="20"/>
                <w:szCs w:val="20"/>
              </w:rPr>
            </w:pPr>
          </w:p>
        </w:tc>
        <w:tc>
          <w:tcPr>
            <w:tcW w:w="824"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iCs/>
                <w:sz w:val="20"/>
                <w:szCs w:val="20"/>
              </w:rPr>
            </w:pPr>
          </w:p>
        </w:tc>
        <w:tc>
          <w:tcPr>
            <w:tcW w:w="603"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sz w:val="20"/>
                <w:szCs w:val="20"/>
              </w:rPr>
            </w:pPr>
          </w:p>
        </w:tc>
      </w:tr>
      <w:tr w:rsidR="00263FA5" w:rsidRPr="00263FA5" w:rsidTr="00D429B4">
        <w:tc>
          <w:tcPr>
            <w:tcW w:w="2750" w:type="pct"/>
            <w:gridSpan w:val="3"/>
            <w:tcBorders>
              <w:top w:val="nil"/>
              <w:left w:val="nil"/>
              <w:bottom w:val="nil"/>
              <w:right w:val="nil"/>
            </w:tcBorders>
            <w:vAlign w:val="center"/>
          </w:tcPr>
          <w:p w:rsidR="00263FA5" w:rsidRPr="00263FA5" w:rsidRDefault="00263FA5" w:rsidP="00AB7E7F">
            <w:pPr>
              <w:keepNext/>
              <w:keepLines/>
              <w:jc w:val="left"/>
              <w:rPr>
                <w:rFonts w:ascii="Arial Narrow" w:hAnsi="Arial Narrow"/>
                <w:b/>
                <w:bCs/>
                <w:sz w:val="20"/>
                <w:szCs w:val="20"/>
              </w:rPr>
            </w:pPr>
            <w:r w:rsidRPr="00263FA5">
              <w:rPr>
                <w:rFonts w:ascii="Arial Narrow" w:hAnsi="Arial Narrow"/>
                <w:b/>
                <w:bCs/>
                <w:sz w:val="20"/>
                <w:szCs w:val="20"/>
              </w:rPr>
              <w:t>UPA v PBO</w:t>
            </w:r>
          </w:p>
        </w:tc>
        <w:tc>
          <w:tcPr>
            <w:tcW w:w="823"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iCs/>
                <w:sz w:val="20"/>
                <w:szCs w:val="20"/>
              </w:rPr>
            </w:pPr>
          </w:p>
        </w:tc>
        <w:tc>
          <w:tcPr>
            <w:tcW w:w="824"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iCs/>
                <w:sz w:val="20"/>
                <w:szCs w:val="20"/>
              </w:rPr>
            </w:pPr>
          </w:p>
        </w:tc>
        <w:tc>
          <w:tcPr>
            <w:tcW w:w="603"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sz w:val="20"/>
                <w:szCs w:val="20"/>
              </w:rPr>
            </w:pPr>
          </w:p>
        </w:tc>
      </w:tr>
      <w:tr w:rsidR="00263FA5" w:rsidRPr="00263FA5" w:rsidTr="00D429B4">
        <w:tc>
          <w:tcPr>
            <w:tcW w:w="1230" w:type="pct"/>
            <w:tcBorders>
              <w:top w:val="nil"/>
              <w:left w:val="nil"/>
              <w:bottom w:val="nil"/>
              <w:right w:val="nil"/>
            </w:tcBorders>
            <w:vAlign w:val="center"/>
          </w:tcPr>
          <w:p w:rsidR="00263FA5" w:rsidRPr="00263FA5" w:rsidRDefault="00263FA5" w:rsidP="00AB7E7F">
            <w:pPr>
              <w:keepNext/>
              <w:keepLines/>
              <w:jc w:val="left"/>
              <w:rPr>
                <w:rFonts w:ascii="Arial Narrow" w:hAnsi="Arial Narrow"/>
                <w:sz w:val="20"/>
                <w:szCs w:val="20"/>
              </w:rPr>
            </w:pPr>
            <w:r w:rsidRPr="00263FA5">
              <w:rPr>
                <w:rFonts w:ascii="Arial Narrow" w:hAnsi="Arial Narrow"/>
                <w:sz w:val="20"/>
                <w:szCs w:val="20"/>
              </w:rPr>
              <w:t>SELECT BEYOND</w:t>
            </w:r>
          </w:p>
        </w:tc>
        <w:tc>
          <w:tcPr>
            <w:tcW w:w="760"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rPr>
            </w:pPr>
            <w:r w:rsidRPr="00263FA5">
              <w:rPr>
                <w:rFonts w:ascii="Arial Narrow" w:hAnsi="Arial Narrow"/>
              </w:rPr>
              <w:t>56/164 (34.1)</w:t>
            </w:r>
          </w:p>
        </w:tc>
        <w:tc>
          <w:tcPr>
            <w:tcW w:w="760" w:type="pct"/>
            <w:tcBorders>
              <w:top w:val="nil"/>
              <w:left w:val="nil"/>
              <w:bottom w:val="nil"/>
              <w:right w:val="nil"/>
            </w:tcBorders>
            <w:vAlign w:val="center"/>
          </w:tcPr>
          <w:p w:rsidR="00263FA5" w:rsidRPr="00263FA5" w:rsidRDefault="00263FA5" w:rsidP="00AB7E7F">
            <w:pPr>
              <w:pStyle w:val="Tabletext"/>
              <w:keepNext/>
              <w:keepLines/>
              <w:jc w:val="center"/>
              <w:rPr>
                <w:rFonts w:ascii="Arial Narrow" w:hAnsi="Arial Narrow"/>
              </w:rPr>
            </w:pPr>
            <w:r w:rsidRPr="00263FA5">
              <w:rPr>
                <w:rFonts w:ascii="Arial Narrow" w:hAnsi="Arial Narrow"/>
              </w:rPr>
              <w:t>20/169 (11.8)</w:t>
            </w:r>
          </w:p>
        </w:tc>
        <w:tc>
          <w:tcPr>
            <w:tcW w:w="823"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bCs/>
                <w:sz w:val="20"/>
                <w:szCs w:val="20"/>
              </w:rPr>
            </w:pPr>
            <w:r w:rsidRPr="00263FA5">
              <w:rPr>
                <w:rFonts w:ascii="Arial Narrow" w:hAnsi="Arial Narrow"/>
                <w:bCs/>
                <w:sz w:val="20"/>
                <w:szCs w:val="20"/>
              </w:rPr>
              <w:t>2.89 (1.82, 4.59)</w:t>
            </w:r>
          </w:p>
        </w:tc>
        <w:tc>
          <w:tcPr>
            <w:tcW w:w="824"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bCs/>
                <w:sz w:val="20"/>
                <w:szCs w:val="20"/>
              </w:rPr>
            </w:pPr>
            <w:r w:rsidRPr="00263FA5">
              <w:rPr>
                <w:rFonts w:ascii="Arial Narrow" w:hAnsi="Arial Narrow"/>
                <w:bCs/>
                <w:sz w:val="20"/>
                <w:szCs w:val="20"/>
              </w:rPr>
              <w:t>0.22 (0.14, 0.31)</w:t>
            </w:r>
          </w:p>
        </w:tc>
        <w:tc>
          <w:tcPr>
            <w:tcW w:w="603"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sz w:val="20"/>
                <w:szCs w:val="20"/>
              </w:rPr>
            </w:pPr>
            <w:r w:rsidRPr="00263FA5">
              <w:rPr>
                <w:rFonts w:ascii="Arial Narrow" w:hAnsi="Arial Narrow"/>
                <w:sz w:val="20"/>
                <w:szCs w:val="20"/>
              </w:rPr>
              <w:t>5 (3, 7)</w:t>
            </w:r>
          </w:p>
        </w:tc>
      </w:tr>
      <w:tr w:rsidR="00263FA5" w:rsidRPr="00263FA5" w:rsidTr="00D429B4">
        <w:tc>
          <w:tcPr>
            <w:tcW w:w="2750" w:type="pct"/>
            <w:gridSpan w:val="3"/>
            <w:tcBorders>
              <w:top w:val="nil"/>
              <w:left w:val="nil"/>
              <w:bottom w:val="nil"/>
              <w:right w:val="nil"/>
            </w:tcBorders>
            <w:vAlign w:val="center"/>
          </w:tcPr>
          <w:p w:rsidR="00263FA5" w:rsidRPr="00263FA5" w:rsidRDefault="00263FA5" w:rsidP="00AB7E7F">
            <w:pPr>
              <w:keepNext/>
              <w:keepLines/>
              <w:jc w:val="left"/>
              <w:rPr>
                <w:rFonts w:ascii="Arial Narrow" w:hAnsi="Arial Narrow"/>
                <w:sz w:val="20"/>
                <w:szCs w:val="20"/>
              </w:rPr>
            </w:pPr>
            <w:r w:rsidRPr="00263FA5">
              <w:rPr>
                <w:rFonts w:ascii="Arial Narrow" w:hAnsi="Arial Narrow"/>
                <w:b/>
                <w:bCs/>
                <w:sz w:val="20"/>
                <w:szCs w:val="20"/>
              </w:rPr>
              <w:t>BARI v PBO</w:t>
            </w:r>
          </w:p>
        </w:tc>
        <w:tc>
          <w:tcPr>
            <w:tcW w:w="823"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iCs/>
                <w:sz w:val="20"/>
                <w:szCs w:val="20"/>
              </w:rPr>
            </w:pPr>
          </w:p>
        </w:tc>
        <w:tc>
          <w:tcPr>
            <w:tcW w:w="824"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iCs/>
                <w:sz w:val="20"/>
                <w:szCs w:val="20"/>
              </w:rPr>
            </w:pPr>
          </w:p>
        </w:tc>
        <w:tc>
          <w:tcPr>
            <w:tcW w:w="603"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sz w:val="20"/>
                <w:szCs w:val="20"/>
              </w:rPr>
            </w:pPr>
          </w:p>
        </w:tc>
      </w:tr>
      <w:tr w:rsidR="00263FA5" w:rsidRPr="00263FA5" w:rsidTr="00D429B4">
        <w:tc>
          <w:tcPr>
            <w:tcW w:w="1230" w:type="pct"/>
            <w:tcBorders>
              <w:top w:val="nil"/>
              <w:left w:val="nil"/>
              <w:bottom w:val="double" w:sz="4" w:space="0" w:color="auto"/>
              <w:right w:val="nil"/>
            </w:tcBorders>
            <w:vAlign w:val="center"/>
          </w:tcPr>
          <w:p w:rsidR="00263FA5" w:rsidRPr="00263FA5" w:rsidRDefault="00263FA5" w:rsidP="00AB7E7F">
            <w:pPr>
              <w:keepNext/>
              <w:keepLines/>
              <w:jc w:val="left"/>
              <w:rPr>
                <w:rFonts w:ascii="Arial Narrow" w:hAnsi="Arial Narrow"/>
                <w:sz w:val="20"/>
                <w:szCs w:val="20"/>
              </w:rPr>
            </w:pPr>
            <w:r w:rsidRPr="00263FA5">
              <w:rPr>
                <w:rFonts w:ascii="Arial Narrow" w:hAnsi="Arial Narrow"/>
                <w:sz w:val="20"/>
                <w:szCs w:val="20"/>
              </w:rPr>
              <w:t>RA-BEACON/JADW</w:t>
            </w:r>
          </w:p>
        </w:tc>
        <w:tc>
          <w:tcPr>
            <w:tcW w:w="760" w:type="pct"/>
            <w:tcBorders>
              <w:top w:val="nil"/>
              <w:left w:val="nil"/>
              <w:bottom w:val="double" w:sz="4" w:space="0" w:color="auto"/>
              <w:right w:val="nil"/>
            </w:tcBorders>
            <w:vAlign w:val="center"/>
          </w:tcPr>
          <w:p w:rsidR="00263FA5" w:rsidRPr="00263FA5" w:rsidRDefault="00263FA5" w:rsidP="00AB7E7F">
            <w:pPr>
              <w:pStyle w:val="Tabletext"/>
              <w:keepNext/>
              <w:keepLines/>
              <w:jc w:val="center"/>
              <w:rPr>
                <w:rFonts w:ascii="Arial Narrow" w:hAnsi="Arial Narrow"/>
              </w:rPr>
            </w:pPr>
            <w:r w:rsidRPr="00263FA5">
              <w:rPr>
                <w:rFonts w:ascii="Arial Narrow" w:hAnsi="Arial Narrow"/>
              </w:rPr>
              <w:t>50/177 (28.2)</w:t>
            </w:r>
          </w:p>
        </w:tc>
        <w:tc>
          <w:tcPr>
            <w:tcW w:w="760" w:type="pct"/>
            <w:tcBorders>
              <w:top w:val="nil"/>
              <w:left w:val="nil"/>
              <w:bottom w:val="double" w:sz="4" w:space="0" w:color="auto"/>
              <w:right w:val="nil"/>
            </w:tcBorders>
            <w:vAlign w:val="center"/>
          </w:tcPr>
          <w:p w:rsidR="00263FA5" w:rsidRPr="00263FA5" w:rsidRDefault="00263FA5" w:rsidP="00AB7E7F">
            <w:pPr>
              <w:pStyle w:val="Tabletext"/>
              <w:keepNext/>
              <w:keepLines/>
              <w:jc w:val="center"/>
              <w:rPr>
                <w:rFonts w:ascii="Arial Narrow" w:hAnsi="Arial Narrow"/>
              </w:rPr>
            </w:pPr>
            <w:r w:rsidRPr="00263FA5">
              <w:rPr>
                <w:rFonts w:ascii="Arial Narrow" w:hAnsi="Arial Narrow"/>
              </w:rPr>
              <w:t>14/176 (8.0)</w:t>
            </w:r>
          </w:p>
        </w:tc>
        <w:tc>
          <w:tcPr>
            <w:tcW w:w="823" w:type="pct"/>
            <w:tcBorders>
              <w:top w:val="nil"/>
              <w:left w:val="nil"/>
              <w:bottom w:val="double" w:sz="4" w:space="0" w:color="auto"/>
              <w:right w:val="nil"/>
            </w:tcBorders>
            <w:vAlign w:val="center"/>
          </w:tcPr>
          <w:p w:rsidR="00263FA5" w:rsidRPr="00263FA5" w:rsidRDefault="00263FA5" w:rsidP="00AB7E7F">
            <w:pPr>
              <w:keepNext/>
              <w:keepLines/>
              <w:jc w:val="center"/>
              <w:rPr>
                <w:rFonts w:ascii="Arial Narrow" w:hAnsi="Arial Narrow"/>
                <w:bCs/>
                <w:sz w:val="20"/>
                <w:szCs w:val="20"/>
              </w:rPr>
            </w:pPr>
            <w:r w:rsidRPr="00263FA5">
              <w:rPr>
                <w:rFonts w:ascii="Arial Narrow" w:hAnsi="Arial Narrow"/>
                <w:bCs/>
                <w:sz w:val="20"/>
                <w:szCs w:val="20"/>
              </w:rPr>
              <w:t>3.55 (2.04, 6.18)</w:t>
            </w:r>
          </w:p>
        </w:tc>
        <w:tc>
          <w:tcPr>
            <w:tcW w:w="824" w:type="pct"/>
            <w:tcBorders>
              <w:top w:val="nil"/>
              <w:left w:val="nil"/>
              <w:bottom w:val="double" w:sz="4" w:space="0" w:color="auto"/>
              <w:right w:val="nil"/>
            </w:tcBorders>
            <w:vAlign w:val="center"/>
          </w:tcPr>
          <w:p w:rsidR="00263FA5" w:rsidRPr="00263FA5" w:rsidRDefault="00263FA5" w:rsidP="00AB7E7F">
            <w:pPr>
              <w:keepNext/>
              <w:keepLines/>
              <w:jc w:val="center"/>
              <w:rPr>
                <w:rFonts w:ascii="Arial Narrow" w:hAnsi="Arial Narrow"/>
                <w:bCs/>
                <w:sz w:val="20"/>
                <w:szCs w:val="20"/>
              </w:rPr>
            </w:pPr>
            <w:r w:rsidRPr="00263FA5">
              <w:rPr>
                <w:rFonts w:ascii="Arial Narrow" w:hAnsi="Arial Narrow"/>
                <w:bCs/>
                <w:sz w:val="20"/>
                <w:szCs w:val="20"/>
              </w:rPr>
              <w:t>0.20 (0.13, 0.28)</w:t>
            </w:r>
          </w:p>
        </w:tc>
        <w:tc>
          <w:tcPr>
            <w:tcW w:w="603" w:type="pct"/>
            <w:tcBorders>
              <w:top w:val="nil"/>
              <w:left w:val="nil"/>
              <w:bottom w:val="double" w:sz="4" w:space="0" w:color="auto"/>
              <w:right w:val="nil"/>
            </w:tcBorders>
            <w:vAlign w:val="center"/>
          </w:tcPr>
          <w:p w:rsidR="00263FA5" w:rsidRPr="00263FA5" w:rsidRDefault="00263FA5" w:rsidP="00AB7E7F">
            <w:pPr>
              <w:keepNext/>
              <w:keepLines/>
              <w:jc w:val="center"/>
              <w:rPr>
                <w:rFonts w:ascii="Arial Narrow" w:hAnsi="Arial Narrow"/>
                <w:sz w:val="20"/>
                <w:szCs w:val="20"/>
              </w:rPr>
            </w:pPr>
            <w:r w:rsidRPr="00263FA5">
              <w:rPr>
                <w:rFonts w:ascii="Arial Narrow" w:hAnsi="Arial Narrow"/>
                <w:sz w:val="20"/>
                <w:szCs w:val="20"/>
              </w:rPr>
              <w:t>5 (4, 8)</w:t>
            </w:r>
          </w:p>
        </w:tc>
      </w:tr>
      <w:tr w:rsidR="00263FA5" w:rsidRPr="00263FA5" w:rsidTr="00D429B4">
        <w:tc>
          <w:tcPr>
            <w:tcW w:w="2750" w:type="pct"/>
            <w:gridSpan w:val="3"/>
            <w:tcBorders>
              <w:top w:val="double" w:sz="4" w:space="0" w:color="auto"/>
              <w:left w:val="nil"/>
              <w:bottom w:val="nil"/>
              <w:right w:val="nil"/>
            </w:tcBorders>
            <w:vAlign w:val="center"/>
          </w:tcPr>
          <w:p w:rsidR="00263FA5" w:rsidRPr="00263FA5" w:rsidRDefault="00263FA5" w:rsidP="00AB7E7F">
            <w:pPr>
              <w:keepNext/>
              <w:keepLines/>
              <w:jc w:val="left"/>
              <w:rPr>
                <w:rFonts w:ascii="Arial Narrow" w:hAnsi="Arial Narrow"/>
                <w:color w:val="9BBB59" w:themeColor="accent3"/>
                <w:sz w:val="20"/>
                <w:szCs w:val="20"/>
                <w:u w:val="single"/>
              </w:rPr>
            </w:pPr>
            <w:r w:rsidRPr="00263FA5">
              <w:rPr>
                <w:rFonts w:ascii="Arial Narrow" w:hAnsi="Arial Narrow"/>
                <w:b/>
                <w:bCs/>
                <w:sz w:val="20"/>
                <w:szCs w:val="20"/>
                <w:u w:val="single"/>
              </w:rPr>
              <w:t>Indirect Comparisons</w:t>
            </w:r>
          </w:p>
        </w:tc>
        <w:tc>
          <w:tcPr>
            <w:tcW w:w="823" w:type="pct"/>
            <w:tcBorders>
              <w:top w:val="double" w:sz="4" w:space="0" w:color="auto"/>
              <w:left w:val="nil"/>
              <w:bottom w:val="nil"/>
              <w:right w:val="nil"/>
            </w:tcBorders>
            <w:vAlign w:val="center"/>
          </w:tcPr>
          <w:p w:rsidR="00263FA5" w:rsidRPr="00263FA5" w:rsidRDefault="00263FA5" w:rsidP="00AB7E7F">
            <w:pPr>
              <w:keepNext/>
              <w:keepLines/>
              <w:jc w:val="center"/>
              <w:rPr>
                <w:rFonts w:ascii="Arial Narrow" w:hAnsi="Arial Narrow"/>
                <w:iCs/>
                <w:sz w:val="20"/>
                <w:szCs w:val="20"/>
              </w:rPr>
            </w:pPr>
          </w:p>
        </w:tc>
        <w:tc>
          <w:tcPr>
            <w:tcW w:w="824" w:type="pct"/>
            <w:tcBorders>
              <w:top w:val="double" w:sz="4" w:space="0" w:color="auto"/>
              <w:left w:val="nil"/>
              <w:bottom w:val="nil"/>
              <w:right w:val="nil"/>
            </w:tcBorders>
            <w:vAlign w:val="center"/>
          </w:tcPr>
          <w:p w:rsidR="00263FA5" w:rsidRPr="00263FA5" w:rsidRDefault="00263FA5" w:rsidP="00AB7E7F">
            <w:pPr>
              <w:keepNext/>
              <w:keepLines/>
              <w:jc w:val="center"/>
              <w:rPr>
                <w:rFonts w:ascii="Arial Narrow" w:hAnsi="Arial Narrow"/>
                <w:iCs/>
                <w:sz w:val="20"/>
                <w:szCs w:val="20"/>
              </w:rPr>
            </w:pPr>
          </w:p>
        </w:tc>
        <w:tc>
          <w:tcPr>
            <w:tcW w:w="603" w:type="pct"/>
            <w:tcBorders>
              <w:top w:val="double" w:sz="4" w:space="0" w:color="auto"/>
              <w:left w:val="nil"/>
              <w:bottom w:val="nil"/>
              <w:right w:val="nil"/>
            </w:tcBorders>
            <w:vAlign w:val="center"/>
          </w:tcPr>
          <w:p w:rsidR="00263FA5" w:rsidRPr="00263FA5" w:rsidRDefault="00263FA5" w:rsidP="00AB7E7F">
            <w:pPr>
              <w:keepNext/>
              <w:keepLines/>
              <w:jc w:val="center"/>
              <w:rPr>
                <w:rFonts w:ascii="Arial Narrow" w:hAnsi="Arial Narrow"/>
                <w:sz w:val="20"/>
                <w:szCs w:val="20"/>
              </w:rPr>
            </w:pPr>
          </w:p>
        </w:tc>
      </w:tr>
      <w:tr w:rsidR="00263FA5" w:rsidRPr="00263FA5" w:rsidTr="00D429B4">
        <w:tc>
          <w:tcPr>
            <w:tcW w:w="2750" w:type="pct"/>
            <w:gridSpan w:val="3"/>
            <w:tcBorders>
              <w:top w:val="nil"/>
              <w:left w:val="nil"/>
              <w:bottom w:val="nil"/>
              <w:right w:val="nil"/>
            </w:tcBorders>
            <w:vAlign w:val="center"/>
          </w:tcPr>
          <w:p w:rsidR="00263FA5" w:rsidRPr="00263FA5" w:rsidRDefault="00263FA5" w:rsidP="00AB7E7F">
            <w:pPr>
              <w:keepNext/>
              <w:keepLines/>
              <w:jc w:val="left"/>
              <w:rPr>
                <w:rFonts w:ascii="Arial Narrow" w:hAnsi="Arial Narrow"/>
                <w:b/>
                <w:bCs/>
                <w:color w:val="76923C" w:themeColor="accent3" w:themeShade="BF"/>
                <w:sz w:val="20"/>
                <w:szCs w:val="20"/>
                <w:u w:val="single"/>
              </w:rPr>
            </w:pPr>
            <w:r w:rsidRPr="00263FA5">
              <w:rPr>
                <w:rFonts w:ascii="Arial Narrow" w:hAnsi="Arial Narrow"/>
                <w:b/>
                <w:bCs/>
                <w:color w:val="76923C" w:themeColor="accent3" w:themeShade="BF"/>
                <w:sz w:val="20"/>
                <w:szCs w:val="20"/>
                <w:u w:val="single"/>
              </w:rPr>
              <w:t>cDMARD IR population</w:t>
            </w:r>
          </w:p>
        </w:tc>
        <w:tc>
          <w:tcPr>
            <w:tcW w:w="823"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iCs/>
                <w:sz w:val="20"/>
                <w:szCs w:val="20"/>
              </w:rPr>
            </w:pPr>
          </w:p>
        </w:tc>
        <w:tc>
          <w:tcPr>
            <w:tcW w:w="824"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iCs/>
                <w:sz w:val="20"/>
                <w:szCs w:val="20"/>
              </w:rPr>
            </w:pPr>
          </w:p>
        </w:tc>
        <w:tc>
          <w:tcPr>
            <w:tcW w:w="603"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sz w:val="20"/>
                <w:szCs w:val="20"/>
              </w:rPr>
            </w:pPr>
          </w:p>
        </w:tc>
      </w:tr>
      <w:tr w:rsidR="00263FA5" w:rsidRPr="00263FA5" w:rsidTr="00D429B4">
        <w:tc>
          <w:tcPr>
            <w:tcW w:w="2750" w:type="pct"/>
            <w:gridSpan w:val="3"/>
            <w:tcBorders>
              <w:top w:val="nil"/>
              <w:left w:val="nil"/>
              <w:bottom w:val="nil"/>
              <w:right w:val="nil"/>
            </w:tcBorders>
            <w:vAlign w:val="center"/>
          </w:tcPr>
          <w:p w:rsidR="00263FA5" w:rsidRPr="00263FA5" w:rsidRDefault="00263FA5" w:rsidP="00AB7E7F">
            <w:pPr>
              <w:keepNext/>
              <w:keepLines/>
              <w:jc w:val="left"/>
              <w:rPr>
                <w:rFonts w:ascii="Arial Narrow" w:hAnsi="Arial Narrow"/>
                <w:sz w:val="20"/>
                <w:szCs w:val="20"/>
              </w:rPr>
            </w:pPr>
            <w:r w:rsidRPr="00263FA5">
              <w:rPr>
                <w:rFonts w:ascii="Arial Narrow" w:hAnsi="Arial Narrow"/>
                <w:sz w:val="20"/>
                <w:szCs w:val="20"/>
              </w:rPr>
              <w:t>UPA (meta-analysis excl. MONO) v BARI (meta-analysis) via PBO</w:t>
            </w:r>
          </w:p>
        </w:tc>
        <w:tc>
          <w:tcPr>
            <w:tcW w:w="823"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sz w:val="20"/>
                <w:szCs w:val="20"/>
              </w:rPr>
            </w:pPr>
            <w:r w:rsidRPr="00263FA5">
              <w:rPr>
                <w:rFonts w:ascii="Arial Narrow" w:hAnsi="Arial Narrow"/>
                <w:sz w:val="20"/>
                <w:szCs w:val="20"/>
              </w:rPr>
              <w:t>1.07 (0.83, 1.38)</w:t>
            </w:r>
          </w:p>
        </w:tc>
        <w:tc>
          <w:tcPr>
            <w:tcW w:w="824"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sz w:val="20"/>
                <w:szCs w:val="20"/>
              </w:rPr>
            </w:pPr>
            <w:r w:rsidRPr="00263FA5">
              <w:rPr>
                <w:rFonts w:ascii="Arial Narrow" w:hAnsi="Arial Narrow"/>
                <w:sz w:val="20"/>
                <w:szCs w:val="20"/>
              </w:rPr>
              <w:t>0.02 (-0.04, 0.08)</w:t>
            </w:r>
          </w:p>
        </w:tc>
        <w:tc>
          <w:tcPr>
            <w:tcW w:w="603"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sz w:val="20"/>
                <w:szCs w:val="20"/>
              </w:rPr>
            </w:pPr>
            <w:r w:rsidRPr="00263FA5">
              <w:rPr>
                <w:rFonts w:ascii="Arial Narrow" w:hAnsi="Arial Narrow"/>
                <w:sz w:val="20"/>
                <w:szCs w:val="20"/>
              </w:rPr>
              <w:t>NA</w:t>
            </w:r>
          </w:p>
        </w:tc>
      </w:tr>
      <w:tr w:rsidR="00263FA5" w:rsidRPr="00263FA5" w:rsidTr="00D429B4">
        <w:tc>
          <w:tcPr>
            <w:tcW w:w="2750" w:type="pct"/>
            <w:gridSpan w:val="3"/>
            <w:tcBorders>
              <w:top w:val="nil"/>
              <w:left w:val="nil"/>
              <w:bottom w:val="nil"/>
              <w:right w:val="nil"/>
            </w:tcBorders>
            <w:vAlign w:val="center"/>
          </w:tcPr>
          <w:p w:rsidR="00263FA5" w:rsidRPr="00263FA5" w:rsidRDefault="00263FA5" w:rsidP="00AB7E7F">
            <w:pPr>
              <w:keepNext/>
              <w:keepLines/>
              <w:jc w:val="left"/>
              <w:rPr>
                <w:rFonts w:ascii="Arial Narrow" w:hAnsi="Arial Narrow"/>
                <w:sz w:val="20"/>
                <w:szCs w:val="20"/>
              </w:rPr>
            </w:pPr>
            <w:r w:rsidRPr="00263FA5">
              <w:rPr>
                <w:rFonts w:ascii="Arial Narrow" w:hAnsi="Arial Narrow"/>
                <w:iCs/>
                <w:sz w:val="20"/>
                <w:szCs w:val="20"/>
              </w:rPr>
              <w:t>UPA (meta-analysis incl. MONO) v BARI (meta-analysis) via PBO</w:t>
            </w:r>
          </w:p>
        </w:tc>
        <w:tc>
          <w:tcPr>
            <w:tcW w:w="823"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iCs/>
                <w:sz w:val="20"/>
                <w:szCs w:val="20"/>
              </w:rPr>
            </w:pPr>
            <w:r w:rsidRPr="00263FA5">
              <w:rPr>
                <w:rFonts w:ascii="Arial Narrow" w:hAnsi="Arial Narrow"/>
                <w:iCs/>
                <w:sz w:val="20"/>
                <w:szCs w:val="20"/>
              </w:rPr>
              <w:t>1.06 (0.83,1.35)</w:t>
            </w:r>
          </w:p>
        </w:tc>
        <w:tc>
          <w:tcPr>
            <w:tcW w:w="824"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iCs/>
                <w:sz w:val="20"/>
                <w:szCs w:val="20"/>
              </w:rPr>
            </w:pPr>
            <w:r w:rsidRPr="00263FA5">
              <w:rPr>
                <w:rFonts w:ascii="Arial Narrow" w:hAnsi="Arial Narrow"/>
                <w:iCs/>
                <w:sz w:val="20"/>
                <w:szCs w:val="20"/>
              </w:rPr>
              <w:t>0.02 (-0.04,0.08)</w:t>
            </w:r>
          </w:p>
        </w:tc>
        <w:tc>
          <w:tcPr>
            <w:tcW w:w="603"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sz w:val="20"/>
                <w:szCs w:val="20"/>
              </w:rPr>
            </w:pPr>
            <w:r w:rsidRPr="00263FA5">
              <w:rPr>
                <w:rFonts w:ascii="Arial Narrow" w:hAnsi="Arial Narrow"/>
                <w:sz w:val="20"/>
                <w:szCs w:val="20"/>
              </w:rPr>
              <w:t>NA</w:t>
            </w:r>
          </w:p>
        </w:tc>
      </w:tr>
      <w:tr w:rsidR="00263FA5" w:rsidRPr="00263FA5" w:rsidTr="00D429B4">
        <w:tc>
          <w:tcPr>
            <w:tcW w:w="2750" w:type="pct"/>
            <w:gridSpan w:val="3"/>
            <w:tcBorders>
              <w:top w:val="nil"/>
              <w:left w:val="nil"/>
              <w:bottom w:val="nil"/>
              <w:right w:val="nil"/>
            </w:tcBorders>
            <w:vAlign w:val="center"/>
          </w:tcPr>
          <w:p w:rsidR="00263FA5" w:rsidRPr="00263FA5" w:rsidRDefault="00263FA5" w:rsidP="00AB7E7F">
            <w:pPr>
              <w:keepNext/>
              <w:keepLines/>
              <w:jc w:val="left"/>
              <w:rPr>
                <w:rFonts w:ascii="Arial Narrow" w:hAnsi="Arial Narrow"/>
                <w:sz w:val="20"/>
                <w:szCs w:val="20"/>
              </w:rPr>
            </w:pPr>
            <w:r w:rsidRPr="00263FA5">
              <w:rPr>
                <w:rFonts w:ascii="Arial Narrow" w:hAnsi="Arial Narrow"/>
                <w:sz w:val="20"/>
                <w:szCs w:val="20"/>
              </w:rPr>
              <w:t>UPA (SELECT COMPARE) v BARI (RA-BEAM/JADV) via ADA</w:t>
            </w:r>
          </w:p>
        </w:tc>
        <w:tc>
          <w:tcPr>
            <w:tcW w:w="823"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sz w:val="20"/>
                <w:szCs w:val="20"/>
              </w:rPr>
            </w:pPr>
            <w:r w:rsidRPr="00263FA5">
              <w:rPr>
                <w:rFonts w:ascii="Arial Narrow" w:hAnsi="Arial Narrow"/>
                <w:sz w:val="20"/>
                <w:szCs w:val="20"/>
              </w:rPr>
              <w:t>1.20 (0.93,1.56)</w:t>
            </w:r>
          </w:p>
        </w:tc>
        <w:tc>
          <w:tcPr>
            <w:tcW w:w="824"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iCs/>
                <w:sz w:val="20"/>
                <w:szCs w:val="20"/>
              </w:rPr>
            </w:pPr>
            <w:r w:rsidRPr="00263FA5">
              <w:rPr>
                <w:rFonts w:ascii="Arial Narrow" w:hAnsi="Arial Narrow"/>
                <w:iCs/>
                <w:sz w:val="20"/>
                <w:szCs w:val="20"/>
              </w:rPr>
              <w:t>0 (-0.09,0.09)</w:t>
            </w:r>
          </w:p>
        </w:tc>
        <w:tc>
          <w:tcPr>
            <w:tcW w:w="603"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sz w:val="20"/>
                <w:szCs w:val="20"/>
              </w:rPr>
            </w:pPr>
            <w:r w:rsidRPr="00263FA5">
              <w:rPr>
                <w:rFonts w:ascii="Arial Narrow" w:hAnsi="Arial Narrow"/>
                <w:sz w:val="20"/>
                <w:szCs w:val="20"/>
              </w:rPr>
              <w:t>NA</w:t>
            </w:r>
          </w:p>
        </w:tc>
      </w:tr>
      <w:tr w:rsidR="00263FA5" w:rsidRPr="00263FA5" w:rsidTr="00D429B4">
        <w:tc>
          <w:tcPr>
            <w:tcW w:w="2750" w:type="pct"/>
            <w:gridSpan w:val="3"/>
            <w:tcBorders>
              <w:top w:val="nil"/>
              <w:left w:val="nil"/>
              <w:bottom w:val="nil"/>
              <w:right w:val="nil"/>
            </w:tcBorders>
            <w:vAlign w:val="center"/>
          </w:tcPr>
          <w:p w:rsidR="00263FA5" w:rsidRPr="00263FA5" w:rsidRDefault="00263FA5" w:rsidP="00AB7E7F">
            <w:pPr>
              <w:keepNext/>
              <w:keepLines/>
              <w:jc w:val="left"/>
              <w:rPr>
                <w:rFonts w:ascii="Arial Narrow" w:hAnsi="Arial Narrow"/>
                <w:color w:val="4F81BD" w:themeColor="accent1"/>
                <w:sz w:val="20"/>
                <w:szCs w:val="20"/>
                <w:u w:val="single"/>
              </w:rPr>
            </w:pPr>
            <w:r w:rsidRPr="00263FA5">
              <w:rPr>
                <w:rFonts w:ascii="Arial Narrow" w:hAnsi="Arial Narrow"/>
                <w:b/>
                <w:bCs/>
                <w:color w:val="31849B" w:themeColor="accent5" w:themeShade="BF"/>
                <w:sz w:val="20"/>
                <w:szCs w:val="20"/>
                <w:u w:val="single"/>
              </w:rPr>
              <w:t>bDMARD IR population</w:t>
            </w:r>
          </w:p>
        </w:tc>
        <w:tc>
          <w:tcPr>
            <w:tcW w:w="823"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iCs/>
                <w:sz w:val="20"/>
                <w:szCs w:val="20"/>
              </w:rPr>
            </w:pPr>
          </w:p>
        </w:tc>
        <w:tc>
          <w:tcPr>
            <w:tcW w:w="824"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iCs/>
                <w:sz w:val="20"/>
                <w:szCs w:val="20"/>
              </w:rPr>
            </w:pPr>
          </w:p>
        </w:tc>
        <w:tc>
          <w:tcPr>
            <w:tcW w:w="603" w:type="pct"/>
            <w:tcBorders>
              <w:top w:val="nil"/>
              <w:left w:val="nil"/>
              <w:bottom w:val="nil"/>
              <w:right w:val="nil"/>
            </w:tcBorders>
            <w:vAlign w:val="center"/>
          </w:tcPr>
          <w:p w:rsidR="00263FA5" w:rsidRPr="00263FA5" w:rsidRDefault="00263FA5" w:rsidP="00AB7E7F">
            <w:pPr>
              <w:keepNext/>
              <w:keepLines/>
              <w:jc w:val="center"/>
              <w:rPr>
                <w:rFonts w:ascii="Arial Narrow" w:hAnsi="Arial Narrow"/>
                <w:sz w:val="20"/>
                <w:szCs w:val="20"/>
              </w:rPr>
            </w:pPr>
          </w:p>
        </w:tc>
      </w:tr>
      <w:tr w:rsidR="00263FA5" w:rsidRPr="00263FA5" w:rsidTr="00D429B4">
        <w:trPr>
          <w:trHeight w:val="56"/>
        </w:trPr>
        <w:tc>
          <w:tcPr>
            <w:tcW w:w="2750" w:type="pct"/>
            <w:gridSpan w:val="3"/>
            <w:tcBorders>
              <w:top w:val="nil"/>
              <w:left w:val="nil"/>
              <w:right w:val="nil"/>
            </w:tcBorders>
          </w:tcPr>
          <w:p w:rsidR="00263FA5" w:rsidRPr="00263FA5" w:rsidRDefault="00263FA5" w:rsidP="00AB7E7F">
            <w:pPr>
              <w:keepNext/>
              <w:keepLines/>
              <w:jc w:val="left"/>
              <w:rPr>
                <w:rFonts w:ascii="Arial Narrow" w:hAnsi="Arial Narrow"/>
                <w:sz w:val="20"/>
                <w:szCs w:val="20"/>
              </w:rPr>
            </w:pPr>
            <w:r w:rsidRPr="00263FA5">
              <w:rPr>
                <w:rFonts w:ascii="Arial Narrow" w:hAnsi="Arial Narrow"/>
                <w:sz w:val="20"/>
                <w:szCs w:val="20"/>
              </w:rPr>
              <w:t>UPA (SELECT BEYOND) v BARI (RA-BEACON/JADW) via PBO</w:t>
            </w:r>
          </w:p>
        </w:tc>
        <w:tc>
          <w:tcPr>
            <w:tcW w:w="823" w:type="pct"/>
            <w:tcBorders>
              <w:top w:val="nil"/>
              <w:left w:val="nil"/>
              <w:right w:val="nil"/>
            </w:tcBorders>
            <w:vAlign w:val="center"/>
          </w:tcPr>
          <w:p w:rsidR="00263FA5" w:rsidRPr="00263FA5" w:rsidRDefault="00263FA5" w:rsidP="00AB7E7F">
            <w:pPr>
              <w:keepNext/>
              <w:keepLines/>
              <w:jc w:val="center"/>
              <w:rPr>
                <w:rFonts w:ascii="Arial Narrow" w:hAnsi="Arial Narrow"/>
                <w:sz w:val="20"/>
                <w:szCs w:val="20"/>
              </w:rPr>
            </w:pPr>
            <w:r w:rsidRPr="00263FA5">
              <w:rPr>
                <w:rFonts w:ascii="Arial Narrow" w:hAnsi="Arial Narrow"/>
                <w:sz w:val="20"/>
                <w:szCs w:val="20"/>
              </w:rPr>
              <w:t>0.81 (0.40,1.68)</w:t>
            </w:r>
          </w:p>
        </w:tc>
        <w:tc>
          <w:tcPr>
            <w:tcW w:w="824" w:type="pct"/>
            <w:tcBorders>
              <w:top w:val="nil"/>
              <w:left w:val="nil"/>
              <w:right w:val="nil"/>
            </w:tcBorders>
            <w:vAlign w:val="center"/>
          </w:tcPr>
          <w:p w:rsidR="00263FA5" w:rsidRPr="00263FA5" w:rsidRDefault="00263FA5" w:rsidP="00AB7E7F">
            <w:pPr>
              <w:keepNext/>
              <w:keepLines/>
              <w:jc w:val="center"/>
              <w:rPr>
                <w:rFonts w:ascii="Arial Narrow" w:hAnsi="Arial Narrow"/>
                <w:iCs/>
                <w:sz w:val="20"/>
                <w:szCs w:val="20"/>
              </w:rPr>
            </w:pPr>
            <w:r w:rsidRPr="00263FA5">
              <w:rPr>
                <w:rFonts w:ascii="Arial Narrow" w:hAnsi="Arial Narrow"/>
                <w:iCs/>
                <w:sz w:val="20"/>
                <w:szCs w:val="20"/>
              </w:rPr>
              <w:t>0.08 (-0.06,0.22)</w:t>
            </w:r>
          </w:p>
        </w:tc>
        <w:tc>
          <w:tcPr>
            <w:tcW w:w="603" w:type="pct"/>
            <w:tcBorders>
              <w:top w:val="nil"/>
              <w:left w:val="nil"/>
              <w:right w:val="nil"/>
            </w:tcBorders>
            <w:vAlign w:val="center"/>
          </w:tcPr>
          <w:p w:rsidR="00263FA5" w:rsidRPr="00263FA5" w:rsidRDefault="00263FA5" w:rsidP="00AB7E7F">
            <w:pPr>
              <w:keepNext/>
              <w:keepLines/>
              <w:jc w:val="center"/>
              <w:rPr>
                <w:rFonts w:ascii="Arial Narrow" w:hAnsi="Arial Narrow"/>
                <w:sz w:val="20"/>
                <w:szCs w:val="20"/>
              </w:rPr>
            </w:pPr>
            <w:r w:rsidRPr="00263FA5">
              <w:rPr>
                <w:rFonts w:ascii="Arial Narrow" w:hAnsi="Arial Narrow"/>
                <w:sz w:val="20"/>
                <w:szCs w:val="20"/>
              </w:rPr>
              <w:t>NA</w:t>
            </w:r>
          </w:p>
        </w:tc>
      </w:tr>
    </w:tbl>
    <w:p w:rsidR="00263FA5" w:rsidRPr="002019B2" w:rsidRDefault="00263FA5" w:rsidP="00AB7E7F">
      <w:pPr>
        <w:keepNext/>
        <w:keepLines/>
        <w:tabs>
          <w:tab w:val="left" w:pos="142"/>
        </w:tabs>
        <w:rPr>
          <w:rFonts w:ascii="Arial Narrow" w:hAnsi="Arial Narrow"/>
          <w:sz w:val="18"/>
          <w:szCs w:val="18"/>
        </w:rPr>
      </w:pPr>
      <w:r w:rsidRPr="002019B2">
        <w:rPr>
          <w:rFonts w:ascii="Arial Narrow" w:hAnsi="Arial Narrow"/>
          <w:sz w:val="18"/>
          <w:szCs w:val="16"/>
          <w:vertAlign w:val="superscript"/>
        </w:rPr>
        <w:t>a</w:t>
      </w:r>
      <w:r w:rsidRPr="002019B2">
        <w:rPr>
          <w:rFonts w:ascii="Arial Narrow" w:hAnsi="Arial Narrow"/>
          <w:sz w:val="18"/>
          <w:szCs w:val="18"/>
        </w:rPr>
        <w:t>PBO arm is receiving MTX</w:t>
      </w:r>
    </w:p>
    <w:p w:rsidR="00263FA5" w:rsidRPr="002019B2" w:rsidRDefault="00263FA5" w:rsidP="00AB7E7F">
      <w:pPr>
        <w:pStyle w:val="TableFooter"/>
        <w:keepNext/>
        <w:keepLines/>
      </w:pPr>
      <w:r w:rsidRPr="002019B2">
        <w:t xml:space="preserve">Abbreviations: ADA=adalimumab; BARI=baricitinib; CI=confidence interval; IR=inadequate response; NNT = number needed to treat; OR=odds ratio; PBO=placebo; RD=risk difference; RR=risk ratio; UPA=upadacitinib </w:t>
      </w:r>
    </w:p>
    <w:p w:rsidR="00263FA5" w:rsidRDefault="00263FA5" w:rsidP="00AB7E7F">
      <w:pPr>
        <w:keepNext/>
        <w:keepLines/>
        <w:rPr>
          <w:rFonts w:ascii="Arial Narrow" w:hAnsi="Arial Narrow"/>
          <w:sz w:val="18"/>
          <w:szCs w:val="18"/>
        </w:rPr>
      </w:pPr>
      <w:r w:rsidRPr="002019B2">
        <w:rPr>
          <w:rFonts w:ascii="Arial Narrow" w:hAnsi="Arial Narrow"/>
          <w:sz w:val="18"/>
          <w:szCs w:val="18"/>
        </w:rPr>
        <w:t xml:space="preserve">Source: </w:t>
      </w:r>
      <w:r>
        <w:rPr>
          <w:rFonts w:ascii="Arial Narrow" w:hAnsi="Arial Narrow"/>
          <w:sz w:val="18"/>
          <w:szCs w:val="18"/>
        </w:rPr>
        <w:t xml:space="preserve">Table 6, PBSC minutes UPA, Nov 2019, </w:t>
      </w:r>
      <w:r w:rsidRPr="002019B2">
        <w:rPr>
          <w:rFonts w:ascii="Arial Narrow" w:hAnsi="Arial Narrow"/>
          <w:sz w:val="18"/>
          <w:szCs w:val="18"/>
        </w:rPr>
        <w:t>compiled during the evaluation: Table 2.16, p84; Table 2.20, p89; Table 2.24, p94 of the submission</w:t>
      </w:r>
    </w:p>
    <w:p w:rsidR="004C6EDA" w:rsidRPr="002019B2" w:rsidRDefault="004C6EDA" w:rsidP="00263FA5">
      <w:pPr>
        <w:rPr>
          <w:rFonts w:ascii="Arial Narrow" w:hAnsi="Arial Narrow"/>
          <w:sz w:val="18"/>
          <w:szCs w:val="18"/>
        </w:rPr>
      </w:pPr>
    </w:p>
    <w:p w:rsidR="00314EC3" w:rsidRPr="00314EC3" w:rsidRDefault="00314EC3" w:rsidP="00314EC3">
      <w:pPr>
        <w:pStyle w:val="3Bodytext"/>
        <w:numPr>
          <w:ilvl w:val="0"/>
          <w:numId w:val="0"/>
        </w:numPr>
      </w:pPr>
      <w:r w:rsidRPr="00314EC3">
        <w:rPr>
          <w:rFonts w:cs="Times New Roman"/>
          <w:i/>
          <w:szCs w:val="24"/>
        </w:rPr>
        <w:t>For more detail on PBAC’s view, see section 5 PBAC outcome.</w:t>
      </w:r>
    </w:p>
    <w:p w:rsidR="00314EC3" w:rsidRDefault="00314EC3" w:rsidP="00314EC3">
      <w:pPr>
        <w:pStyle w:val="Heading1"/>
        <w:keepLines/>
        <w:numPr>
          <w:ilvl w:val="0"/>
          <w:numId w:val="3"/>
        </w:numPr>
        <w:spacing w:before="240"/>
        <w:ind w:left="709" w:hanging="709"/>
        <w:rPr>
          <w:sz w:val="32"/>
          <w:szCs w:val="32"/>
        </w:rPr>
      </w:pPr>
      <w:r>
        <w:rPr>
          <w:sz w:val="32"/>
          <w:szCs w:val="32"/>
        </w:rPr>
        <w:t>Consideration of evidence</w:t>
      </w:r>
    </w:p>
    <w:p w:rsidR="00314EC3" w:rsidRPr="00836F75" w:rsidRDefault="00314EC3" w:rsidP="00314EC3">
      <w:pPr>
        <w:widowControl w:val="0"/>
        <w:spacing w:before="240" w:line="276" w:lineRule="auto"/>
        <w:rPr>
          <w:rFonts w:asciiTheme="minorHAnsi" w:hAnsiTheme="minorHAnsi" w:cs="Arial"/>
          <w:b/>
          <w:bCs/>
          <w:i/>
          <w:snapToGrid w:val="0"/>
          <w:sz w:val="28"/>
          <w:szCs w:val="28"/>
        </w:rPr>
      </w:pPr>
      <w:r w:rsidRPr="00836F75">
        <w:rPr>
          <w:rFonts w:asciiTheme="minorHAnsi" w:hAnsiTheme="minorHAnsi" w:cs="Arial"/>
          <w:b/>
          <w:bCs/>
          <w:i/>
          <w:snapToGrid w:val="0"/>
          <w:sz w:val="28"/>
          <w:szCs w:val="28"/>
        </w:rPr>
        <w:t>Sponsor hearing</w:t>
      </w:r>
    </w:p>
    <w:p w:rsidR="00314EC3" w:rsidRPr="00836F75" w:rsidRDefault="00314EC3" w:rsidP="00314EC3">
      <w:pPr>
        <w:widowControl w:val="0"/>
        <w:numPr>
          <w:ilvl w:val="1"/>
          <w:numId w:val="1"/>
        </w:numPr>
        <w:spacing w:after="120"/>
        <w:rPr>
          <w:rFonts w:asciiTheme="minorHAnsi" w:hAnsiTheme="minorHAnsi" w:cs="Arial"/>
          <w:bCs/>
          <w:snapToGrid w:val="0"/>
        </w:rPr>
      </w:pPr>
      <w:r w:rsidRPr="00836F75">
        <w:rPr>
          <w:rFonts w:asciiTheme="minorHAnsi" w:hAnsiTheme="minorHAnsi" w:cs="Arial"/>
          <w:bCs/>
          <w:snapToGrid w:val="0"/>
        </w:rPr>
        <w:t xml:space="preserve">There was no hearing for this item </w:t>
      </w:r>
      <w:r>
        <w:rPr>
          <w:rFonts w:asciiTheme="minorHAnsi" w:hAnsiTheme="minorHAnsi" w:cs="Arial"/>
          <w:bCs/>
          <w:snapToGrid w:val="0"/>
        </w:rPr>
        <w:t>as it was a minor submission.</w:t>
      </w:r>
    </w:p>
    <w:p w:rsidR="00314EC3" w:rsidRPr="00836F75" w:rsidRDefault="00314EC3" w:rsidP="00314EC3">
      <w:pPr>
        <w:widowControl w:val="0"/>
        <w:spacing w:before="240" w:line="276" w:lineRule="auto"/>
        <w:rPr>
          <w:rFonts w:asciiTheme="minorHAnsi" w:hAnsiTheme="minorHAnsi" w:cs="Arial"/>
          <w:b/>
          <w:bCs/>
          <w:i/>
          <w:snapToGrid w:val="0"/>
          <w:sz w:val="28"/>
          <w:szCs w:val="28"/>
        </w:rPr>
      </w:pPr>
      <w:r w:rsidRPr="00836F75">
        <w:rPr>
          <w:rFonts w:asciiTheme="minorHAnsi" w:hAnsiTheme="minorHAnsi" w:cs="Arial"/>
          <w:b/>
          <w:bCs/>
          <w:i/>
          <w:snapToGrid w:val="0"/>
          <w:sz w:val="28"/>
          <w:szCs w:val="28"/>
        </w:rPr>
        <w:lastRenderedPageBreak/>
        <w:t>Consumer comments</w:t>
      </w:r>
    </w:p>
    <w:p w:rsidR="00314EC3" w:rsidRDefault="00314EC3" w:rsidP="00314EC3">
      <w:pPr>
        <w:widowControl w:val="0"/>
        <w:numPr>
          <w:ilvl w:val="1"/>
          <w:numId w:val="1"/>
        </w:numPr>
        <w:spacing w:after="120"/>
        <w:rPr>
          <w:rFonts w:asciiTheme="minorHAnsi" w:hAnsiTheme="minorHAnsi" w:cs="Arial"/>
          <w:bCs/>
          <w:snapToGrid w:val="0"/>
        </w:rPr>
      </w:pPr>
      <w:r w:rsidRPr="00836F75">
        <w:rPr>
          <w:rFonts w:asciiTheme="minorHAnsi" w:hAnsiTheme="minorHAnsi" w:cs="Arial"/>
          <w:bCs/>
          <w:snapToGrid w:val="0"/>
        </w:rPr>
        <w:t>The PBAC noted that no consumer comments were received for this item.</w:t>
      </w:r>
    </w:p>
    <w:p w:rsidR="00314EC3" w:rsidRPr="00836F75" w:rsidRDefault="00314EC3" w:rsidP="00314EC3">
      <w:pPr>
        <w:widowControl w:val="0"/>
        <w:spacing w:after="120"/>
        <w:rPr>
          <w:rFonts w:asciiTheme="minorHAnsi" w:hAnsiTheme="minorHAnsi" w:cs="Arial"/>
          <w:bCs/>
          <w:snapToGrid w:val="0"/>
        </w:rPr>
      </w:pPr>
      <w:r w:rsidRPr="00314EC3">
        <w:rPr>
          <w:i/>
        </w:rPr>
        <w:t>For more detail on PBAC’s view, see section 5 PBAC outcome</w:t>
      </w:r>
      <w:r>
        <w:rPr>
          <w:i/>
        </w:rPr>
        <w:t>.</w:t>
      </w:r>
    </w:p>
    <w:p w:rsidR="00314EC3" w:rsidRPr="00D52702" w:rsidRDefault="00314EC3" w:rsidP="006139AF">
      <w:pPr>
        <w:pStyle w:val="2-SectionHeading"/>
      </w:pPr>
      <w:r w:rsidRPr="00D52702">
        <w:t>PBAC Outcome</w:t>
      </w:r>
    </w:p>
    <w:p w:rsidR="00EB63DA" w:rsidRPr="000268EA" w:rsidRDefault="00DA670C" w:rsidP="00994D4D">
      <w:pPr>
        <w:pStyle w:val="3Bodytext"/>
        <w:jc w:val="both"/>
        <w:rPr>
          <w:rFonts w:cs="Calibri"/>
          <w:szCs w:val="24"/>
        </w:rPr>
      </w:pPr>
      <w:r w:rsidRPr="000F70B2">
        <w:t>The PBAC reaffirmed its view that overall UPA, BAR and ADA are non-inferior</w:t>
      </w:r>
      <w:r w:rsidR="00EB63DA">
        <w:t xml:space="preserve"> </w:t>
      </w:r>
      <w:r w:rsidR="000268EA">
        <w:t xml:space="preserve">in terms of effectiveness when used </w:t>
      </w:r>
      <w:r w:rsidR="00EB63DA">
        <w:t>for the treatment of severe</w:t>
      </w:r>
      <w:r w:rsidR="004971C2">
        <w:t xml:space="preserve"> active</w:t>
      </w:r>
      <w:r w:rsidR="00EB63DA">
        <w:t xml:space="preserve"> RA</w:t>
      </w:r>
      <w:r w:rsidRPr="000F70B2">
        <w:t>.</w:t>
      </w:r>
      <w:r w:rsidR="00EB63DA" w:rsidDel="00EB63DA">
        <w:rPr>
          <w:lang w:val="en-GB"/>
        </w:rPr>
        <w:t xml:space="preserve"> </w:t>
      </w:r>
    </w:p>
    <w:p w:rsidR="00DA670C" w:rsidRPr="00591A29" w:rsidRDefault="00DA670C" w:rsidP="00994D4D">
      <w:pPr>
        <w:pStyle w:val="3Bodytext"/>
        <w:jc w:val="both"/>
        <w:rPr>
          <w:rFonts w:cs="Calibri"/>
          <w:b/>
          <w:szCs w:val="24"/>
        </w:rPr>
      </w:pPr>
      <w:r w:rsidRPr="00591A29">
        <w:rPr>
          <w:szCs w:val="24"/>
        </w:rPr>
        <w:t xml:space="preserve">The PBAC noted that the 12 week ACR50 response rate in the SELECT-COMPARE trial was 16% higher </w:t>
      </w:r>
      <w:r w:rsidRPr="00591A29">
        <w:rPr>
          <w:szCs w:val="24"/>
          <w:lang w:val="en-GB"/>
        </w:rPr>
        <w:t xml:space="preserve">(with 95%CI 10-22%) for UPA versus ADA, which met the convention for statistical significance. </w:t>
      </w:r>
      <w:r w:rsidR="000268EA" w:rsidRPr="00591A29">
        <w:rPr>
          <w:szCs w:val="24"/>
          <w:lang w:val="en-GB"/>
        </w:rPr>
        <w:t>However, t</w:t>
      </w:r>
      <w:r w:rsidRPr="00591A29">
        <w:rPr>
          <w:szCs w:val="24"/>
          <w:lang w:val="en-GB"/>
        </w:rPr>
        <w:t>he PBAC considered that a clinically relevant difference in eff</w:t>
      </w:r>
      <w:r w:rsidR="000268EA" w:rsidRPr="00591A29">
        <w:rPr>
          <w:szCs w:val="24"/>
          <w:lang w:val="en-GB"/>
        </w:rPr>
        <w:t>ectiveness</w:t>
      </w:r>
      <w:r w:rsidRPr="00591A29">
        <w:rPr>
          <w:szCs w:val="24"/>
          <w:lang w:val="en-GB"/>
        </w:rPr>
        <w:t xml:space="preserve"> of one agent over another </w:t>
      </w:r>
      <w:r w:rsidR="000268EA" w:rsidRPr="00591A29">
        <w:rPr>
          <w:szCs w:val="24"/>
          <w:lang w:val="en-GB"/>
        </w:rPr>
        <w:t xml:space="preserve">requires consideration of </w:t>
      </w:r>
      <w:r w:rsidRPr="00591A29">
        <w:rPr>
          <w:szCs w:val="24"/>
          <w:lang w:val="en-GB"/>
        </w:rPr>
        <w:t>the totality of evidence, which involves consideration of the quality of the relevant studies, durability of treatment effect and all relevant outcomes</w:t>
      </w:r>
      <w:r w:rsidR="00591A29" w:rsidRPr="00591A29">
        <w:rPr>
          <w:szCs w:val="24"/>
          <w:lang w:val="en-GB"/>
        </w:rPr>
        <w:t xml:space="preserve">. </w:t>
      </w:r>
      <w:r w:rsidRPr="00591A29">
        <w:rPr>
          <w:szCs w:val="24"/>
          <w:lang w:val="en-GB"/>
        </w:rPr>
        <w:t xml:space="preserve"> As such, the PBAC considered that a statistically significant result for ACR50 at 12-weeks in the SELECT-COMPARE trial was not sufficient, in isolation, to demonstrate/establish clinical superiority of UPA over ADA. </w:t>
      </w:r>
    </w:p>
    <w:p w:rsidR="001252CC" w:rsidRDefault="007117DD" w:rsidP="00994D4D">
      <w:pPr>
        <w:widowControl w:val="0"/>
        <w:numPr>
          <w:ilvl w:val="1"/>
          <w:numId w:val="1"/>
        </w:numPr>
        <w:spacing w:after="120"/>
        <w:rPr>
          <w:rFonts w:asciiTheme="minorHAnsi" w:hAnsiTheme="minorHAnsi" w:cs="Arial"/>
          <w:bCs/>
          <w:snapToGrid w:val="0"/>
          <w:lang w:val="en-GB"/>
        </w:rPr>
      </w:pPr>
      <w:r>
        <w:rPr>
          <w:rFonts w:asciiTheme="minorHAnsi" w:hAnsiTheme="minorHAnsi" w:cs="Arial"/>
          <w:bCs/>
          <w:snapToGrid w:val="0"/>
          <w:lang w:val="en-GB"/>
        </w:rPr>
        <w:t xml:space="preserve">The PBAC </w:t>
      </w:r>
      <w:r w:rsidR="00591A29">
        <w:rPr>
          <w:rFonts w:asciiTheme="minorHAnsi" w:hAnsiTheme="minorHAnsi" w:cs="Arial"/>
          <w:bCs/>
          <w:snapToGrid w:val="0"/>
          <w:lang w:val="en-GB"/>
        </w:rPr>
        <w:t xml:space="preserve">requested </w:t>
      </w:r>
      <w:r w:rsidR="00DA670C">
        <w:rPr>
          <w:rFonts w:asciiTheme="minorHAnsi" w:hAnsiTheme="minorHAnsi" w:cs="Arial"/>
          <w:bCs/>
          <w:snapToGrid w:val="0"/>
          <w:lang w:val="en-GB"/>
        </w:rPr>
        <w:t>corrigend</w:t>
      </w:r>
      <w:r w:rsidR="00591A29">
        <w:rPr>
          <w:rFonts w:asciiTheme="minorHAnsi" w:hAnsiTheme="minorHAnsi" w:cs="Arial"/>
          <w:bCs/>
          <w:snapToGrid w:val="0"/>
          <w:lang w:val="en-GB"/>
        </w:rPr>
        <w:t>a</w:t>
      </w:r>
      <w:r>
        <w:rPr>
          <w:rFonts w:asciiTheme="minorHAnsi" w:hAnsiTheme="minorHAnsi" w:cs="Arial"/>
          <w:bCs/>
          <w:snapToGrid w:val="0"/>
          <w:lang w:val="en-GB"/>
        </w:rPr>
        <w:t xml:space="preserve"> to the UPA </w:t>
      </w:r>
      <w:r w:rsidR="00591A29">
        <w:rPr>
          <w:rFonts w:asciiTheme="minorHAnsi" w:hAnsiTheme="minorHAnsi" w:cs="Arial"/>
          <w:bCs/>
          <w:snapToGrid w:val="0"/>
          <w:lang w:val="en-GB"/>
        </w:rPr>
        <w:t xml:space="preserve">minutes and </w:t>
      </w:r>
      <w:r>
        <w:rPr>
          <w:rFonts w:asciiTheme="minorHAnsi" w:hAnsiTheme="minorHAnsi" w:cs="Arial"/>
          <w:bCs/>
          <w:snapToGrid w:val="0"/>
          <w:lang w:val="en-GB"/>
        </w:rPr>
        <w:t>PSD from November 2019</w:t>
      </w:r>
      <w:r w:rsidR="00591A29">
        <w:rPr>
          <w:rFonts w:asciiTheme="minorHAnsi" w:hAnsiTheme="minorHAnsi" w:cs="Arial"/>
          <w:bCs/>
          <w:snapToGrid w:val="0"/>
          <w:lang w:val="en-GB"/>
        </w:rPr>
        <w:t xml:space="preserve"> be issued</w:t>
      </w:r>
      <w:r w:rsidR="004971C2">
        <w:rPr>
          <w:rFonts w:asciiTheme="minorHAnsi" w:hAnsiTheme="minorHAnsi" w:cs="Arial"/>
          <w:bCs/>
          <w:snapToGrid w:val="0"/>
          <w:lang w:val="en-GB"/>
        </w:rPr>
        <w:t>.</w:t>
      </w:r>
    </w:p>
    <w:p w:rsidR="00314EC3" w:rsidRPr="00525B39" w:rsidRDefault="00314EC3" w:rsidP="001E1768">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rsidR="00314EC3" w:rsidRPr="00525B39" w:rsidRDefault="00CE3336" w:rsidP="009702F3">
      <w:pPr>
        <w:rPr>
          <w:rFonts w:asciiTheme="minorHAnsi" w:hAnsiTheme="minorHAnsi" w:cs="Arial"/>
          <w:bCs/>
          <w:snapToGrid w:val="0"/>
          <w:lang w:val="en-GB"/>
        </w:rPr>
      </w:pPr>
      <w:r>
        <w:rPr>
          <w:rFonts w:asciiTheme="minorHAnsi" w:hAnsiTheme="minorHAnsi" w:cs="Arial"/>
          <w:bCs/>
          <w:snapToGrid w:val="0"/>
          <w:lang w:val="en-GB"/>
        </w:rPr>
        <w:t xml:space="preserve">Advised </w:t>
      </w:r>
    </w:p>
    <w:p w:rsidR="00314EC3" w:rsidRPr="00B5549E" w:rsidRDefault="00314EC3" w:rsidP="00B5549E">
      <w:pPr>
        <w:widowControl w:val="0"/>
        <w:rPr>
          <w:rFonts w:asciiTheme="minorHAnsi" w:hAnsiTheme="minorHAnsi" w:cs="Arial"/>
          <w:bCs/>
          <w:snapToGrid w:val="0"/>
        </w:rPr>
      </w:pPr>
    </w:p>
    <w:p w:rsidR="00EB33EA" w:rsidRDefault="00EB33EA" w:rsidP="00EB33EA">
      <w:pPr>
        <w:pStyle w:val="2-SectionHeading"/>
        <w:rPr>
          <w:bCs/>
          <w:lang w:val="en-GB"/>
        </w:rPr>
      </w:pPr>
      <w:r w:rsidRPr="00C07617">
        <w:t>Context for Decision</w:t>
      </w:r>
    </w:p>
    <w:p w:rsidR="00EB33EA" w:rsidRPr="007129F2" w:rsidRDefault="00EB33EA" w:rsidP="00EB33EA">
      <w:pPr>
        <w:spacing w:after="1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EB33EA" w:rsidRPr="00C07617" w:rsidRDefault="00EB33EA" w:rsidP="00EB33EA">
      <w:pPr>
        <w:pStyle w:val="2-SectionHeading"/>
      </w:pPr>
      <w:r>
        <w:t>Sponsor’s Comment</w:t>
      </w:r>
    </w:p>
    <w:p w:rsidR="00732764" w:rsidRPr="00EB33EA" w:rsidRDefault="00732764" w:rsidP="00732764">
      <w:pPr>
        <w:pStyle w:val="3Bodytext"/>
        <w:numPr>
          <w:ilvl w:val="0"/>
          <w:numId w:val="0"/>
        </w:numPr>
        <w:jc w:val="both"/>
      </w:pPr>
      <w:r w:rsidRPr="0026770E">
        <w:t xml:space="preserve">As outlined in the published agenda for the November 2020 meeting, the primary purpose of AbbVie's resubmission was to request a review of the statistical basis upon which a claim of superior effectiveness of upadacitinib versus adalimumab in severe active RA was not accepted by the PBAC in November 2019. AbbVie is pleased that the PBAC recognised the inappropriate application of an unrecognised statistical methodology where the lower limit of the 95% confidence interval around the point estimate was required to exceed the inverse </w:t>
      </w:r>
      <w:r w:rsidRPr="0026770E">
        <w:lastRenderedPageBreak/>
        <w:t>of the non-inferiority margin in order for superiority to be demonstrated. In recognition of this error, corrigenda to the November 2019 Public Summary Document for upadacitinib removing reference to such a methodology are to be published. AbbVie considers that a copy of the original Public Summary Document with an addendum outlining the history and content of the corrigenda should be made available on the PBS website in the interests of transparency.</w:t>
      </w:r>
    </w:p>
    <w:p w:rsidR="002E29C9" w:rsidRPr="00EB33EA" w:rsidRDefault="002E29C9" w:rsidP="00EB33EA">
      <w:pPr>
        <w:spacing w:after="120"/>
        <w:rPr>
          <w:rFonts w:asciiTheme="minorHAnsi" w:hAnsiTheme="minorHAnsi" w:cs="Arial"/>
          <w:bCs/>
        </w:rPr>
      </w:pPr>
    </w:p>
    <w:sectPr w:rsidR="002E29C9" w:rsidRPr="00EB33EA"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939" w:rsidRDefault="007B6939">
      <w:r>
        <w:separator/>
      </w:r>
    </w:p>
    <w:p w:rsidR="007B6939" w:rsidRDefault="007B6939"/>
  </w:endnote>
  <w:endnote w:type="continuationSeparator" w:id="0">
    <w:p w:rsidR="007B6939" w:rsidRDefault="007B6939">
      <w:r>
        <w:continuationSeparator/>
      </w:r>
    </w:p>
    <w:p w:rsidR="007B6939" w:rsidRDefault="007B6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2A313A" w:rsidTr="005A3173">
      <w:trPr>
        <w:trHeight w:val="151"/>
      </w:trPr>
      <w:tc>
        <w:tcPr>
          <w:tcW w:w="2250" w:type="pct"/>
          <w:tcBorders>
            <w:top w:val="nil"/>
            <w:left w:val="nil"/>
            <w:bottom w:val="single" w:sz="4" w:space="0" w:color="4F81BD"/>
            <w:right w:val="nil"/>
          </w:tcBorders>
        </w:tcPr>
        <w:p w:rsidR="002A313A" w:rsidRPr="005A3173" w:rsidRDefault="002A313A" w:rsidP="005A3173">
          <w:pPr>
            <w:pStyle w:val="Header"/>
            <w:spacing w:line="276" w:lineRule="auto"/>
            <w:rPr>
              <w:rFonts w:eastAsia="MS Gothic"/>
              <w:b/>
              <w:bCs/>
              <w:color w:val="4F81BD"/>
            </w:rPr>
          </w:pPr>
        </w:p>
      </w:tc>
      <w:tc>
        <w:tcPr>
          <w:tcW w:w="500" w:type="pct"/>
          <w:vMerge w:val="restart"/>
          <w:noWrap/>
          <w:vAlign w:val="center"/>
          <w:hideMark/>
        </w:tcPr>
        <w:p w:rsidR="002A313A" w:rsidRPr="005A3173" w:rsidRDefault="002A313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A313A" w:rsidRPr="005A3173" w:rsidRDefault="002A313A" w:rsidP="005A3173">
          <w:pPr>
            <w:pStyle w:val="Header"/>
            <w:spacing w:line="276" w:lineRule="auto"/>
            <w:rPr>
              <w:rFonts w:eastAsia="MS Gothic"/>
              <w:b/>
              <w:bCs/>
              <w:color w:val="4F81BD"/>
            </w:rPr>
          </w:pPr>
        </w:p>
      </w:tc>
    </w:tr>
    <w:tr w:rsidR="002A313A" w:rsidTr="005A3173">
      <w:trPr>
        <w:trHeight w:val="150"/>
      </w:trPr>
      <w:tc>
        <w:tcPr>
          <w:tcW w:w="2250" w:type="pct"/>
          <w:tcBorders>
            <w:top w:val="single" w:sz="4" w:space="0" w:color="4F81BD"/>
            <w:left w:val="nil"/>
            <w:bottom w:val="nil"/>
            <w:right w:val="nil"/>
          </w:tcBorders>
        </w:tcPr>
        <w:p w:rsidR="002A313A" w:rsidRPr="005A3173" w:rsidRDefault="002A313A" w:rsidP="005A3173">
          <w:pPr>
            <w:pStyle w:val="Header"/>
            <w:spacing w:line="276" w:lineRule="auto"/>
            <w:rPr>
              <w:rFonts w:eastAsia="MS Gothic"/>
              <w:b/>
              <w:bCs/>
              <w:color w:val="4F81BD"/>
            </w:rPr>
          </w:pPr>
        </w:p>
      </w:tc>
      <w:tc>
        <w:tcPr>
          <w:tcW w:w="0" w:type="auto"/>
          <w:vMerge/>
          <w:vAlign w:val="center"/>
          <w:hideMark/>
        </w:tcPr>
        <w:p w:rsidR="002A313A" w:rsidRPr="005A3173" w:rsidRDefault="002A313A" w:rsidP="005A3173">
          <w:pPr>
            <w:rPr>
              <w:color w:val="365F91"/>
              <w:sz w:val="22"/>
              <w:szCs w:val="22"/>
            </w:rPr>
          </w:pPr>
        </w:p>
      </w:tc>
      <w:tc>
        <w:tcPr>
          <w:tcW w:w="2250" w:type="pct"/>
          <w:tcBorders>
            <w:top w:val="single" w:sz="4" w:space="0" w:color="4F81BD"/>
            <w:left w:val="nil"/>
            <w:bottom w:val="nil"/>
            <w:right w:val="nil"/>
          </w:tcBorders>
        </w:tcPr>
        <w:p w:rsidR="002A313A" w:rsidRPr="005A3173" w:rsidRDefault="002A313A" w:rsidP="005A3173">
          <w:pPr>
            <w:pStyle w:val="Header"/>
            <w:spacing w:line="276" w:lineRule="auto"/>
            <w:rPr>
              <w:rFonts w:eastAsia="MS Gothic"/>
              <w:b/>
              <w:bCs/>
              <w:color w:val="4F81BD"/>
            </w:rPr>
          </w:pPr>
        </w:p>
      </w:tc>
    </w:tr>
  </w:tbl>
  <w:p w:rsidR="002A313A" w:rsidRDefault="002A313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313A" w:rsidRDefault="002A313A">
    <w:pPr>
      <w:pStyle w:val="Footer"/>
    </w:pPr>
  </w:p>
  <w:p w:rsidR="002A313A" w:rsidRDefault="002A313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1C2" w:rsidRDefault="004971C2">
    <w:pPr>
      <w:pStyle w:val="Footer"/>
      <w:jc w:val="center"/>
      <w:rPr>
        <w:b/>
        <w:caps/>
      </w:rPr>
    </w:pPr>
  </w:p>
  <w:p w:rsidR="00314EC3" w:rsidRPr="00314EC3" w:rsidRDefault="00314EC3">
    <w:pPr>
      <w:pStyle w:val="Footer"/>
      <w:jc w:val="center"/>
      <w:rPr>
        <w:b/>
        <w:caps/>
        <w:noProof/>
      </w:rPr>
    </w:pPr>
    <w:r w:rsidRPr="00314EC3">
      <w:rPr>
        <w:b/>
        <w:caps/>
      </w:rPr>
      <w:t xml:space="preserve"> </w:t>
    </w:r>
    <w:r w:rsidRPr="00314EC3">
      <w:rPr>
        <w:b/>
        <w:caps/>
      </w:rPr>
      <w:fldChar w:fldCharType="begin"/>
    </w:r>
    <w:r w:rsidRPr="00314EC3">
      <w:rPr>
        <w:b/>
        <w:caps/>
      </w:rPr>
      <w:instrText xml:space="preserve"> PAGE   \* MERGEFORMAT </w:instrText>
    </w:r>
    <w:r w:rsidRPr="00314EC3">
      <w:rPr>
        <w:b/>
        <w:caps/>
      </w:rPr>
      <w:fldChar w:fldCharType="separate"/>
    </w:r>
    <w:r w:rsidR="008953E3">
      <w:rPr>
        <w:b/>
        <w:caps/>
        <w:noProof/>
      </w:rPr>
      <w:t>6</w:t>
    </w:r>
    <w:r w:rsidRPr="00314EC3">
      <w:rPr>
        <w:b/>
        <w:caps/>
        <w:noProof/>
      </w:rPr>
      <w:fldChar w:fldCharType="end"/>
    </w:r>
  </w:p>
  <w:p w:rsidR="002A313A" w:rsidRPr="006D05BE" w:rsidRDefault="002A313A" w:rsidP="00A510E4">
    <w:pPr>
      <w:pStyle w:val="PBACFooter"/>
      <w:rPr>
        <w:rFonts w:ascii="Calibri" w:hAnsi="Calibri" w:cs="Calibri"/>
        <w:b w:val="0"/>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2A313A" w:rsidTr="005A3173">
      <w:trPr>
        <w:trHeight w:val="151"/>
      </w:trPr>
      <w:tc>
        <w:tcPr>
          <w:tcW w:w="2250" w:type="pct"/>
          <w:tcBorders>
            <w:top w:val="nil"/>
            <w:left w:val="nil"/>
            <w:bottom w:val="single" w:sz="4" w:space="0" w:color="4F81BD"/>
            <w:right w:val="nil"/>
          </w:tcBorders>
        </w:tcPr>
        <w:p w:rsidR="002A313A" w:rsidRPr="005A3173" w:rsidRDefault="002A313A" w:rsidP="005A3173">
          <w:pPr>
            <w:pStyle w:val="Header"/>
            <w:spacing w:line="276" w:lineRule="auto"/>
            <w:rPr>
              <w:rFonts w:eastAsia="MS Gothic"/>
              <w:b/>
              <w:bCs/>
              <w:color w:val="4F81BD"/>
            </w:rPr>
          </w:pPr>
        </w:p>
      </w:tc>
      <w:tc>
        <w:tcPr>
          <w:tcW w:w="500" w:type="pct"/>
          <w:vMerge w:val="restart"/>
          <w:noWrap/>
          <w:vAlign w:val="center"/>
          <w:hideMark/>
        </w:tcPr>
        <w:p w:rsidR="002A313A" w:rsidRPr="005A3173" w:rsidRDefault="002A313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A313A" w:rsidRPr="005A3173" w:rsidRDefault="002A313A" w:rsidP="005A3173">
          <w:pPr>
            <w:pStyle w:val="Header"/>
            <w:spacing w:line="276" w:lineRule="auto"/>
            <w:rPr>
              <w:rFonts w:eastAsia="MS Gothic"/>
              <w:b/>
              <w:bCs/>
              <w:color w:val="4F81BD"/>
            </w:rPr>
          </w:pPr>
        </w:p>
      </w:tc>
    </w:tr>
    <w:tr w:rsidR="002A313A" w:rsidTr="005A3173">
      <w:trPr>
        <w:trHeight w:val="150"/>
      </w:trPr>
      <w:tc>
        <w:tcPr>
          <w:tcW w:w="2250" w:type="pct"/>
          <w:tcBorders>
            <w:top w:val="single" w:sz="4" w:space="0" w:color="4F81BD"/>
            <w:left w:val="nil"/>
            <w:bottom w:val="nil"/>
            <w:right w:val="nil"/>
          </w:tcBorders>
        </w:tcPr>
        <w:p w:rsidR="002A313A" w:rsidRPr="005A3173" w:rsidRDefault="002A313A" w:rsidP="005A3173">
          <w:pPr>
            <w:pStyle w:val="Header"/>
            <w:spacing w:line="276" w:lineRule="auto"/>
            <w:rPr>
              <w:rFonts w:eastAsia="MS Gothic"/>
              <w:b/>
              <w:bCs/>
              <w:color w:val="4F81BD"/>
            </w:rPr>
          </w:pPr>
        </w:p>
      </w:tc>
      <w:tc>
        <w:tcPr>
          <w:tcW w:w="0" w:type="auto"/>
          <w:vMerge/>
          <w:vAlign w:val="center"/>
          <w:hideMark/>
        </w:tcPr>
        <w:p w:rsidR="002A313A" w:rsidRPr="005A3173" w:rsidRDefault="002A313A" w:rsidP="005A3173">
          <w:pPr>
            <w:rPr>
              <w:color w:val="365F91"/>
              <w:sz w:val="22"/>
              <w:szCs w:val="22"/>
            </w:rPr>
          </w:pPr>
        </w:p>
      </w:tc>
      <w:tc>
        <w:tcPr>
          <w:tcW w:w="2250" w:type="pct"/>
          <w:tcBorders>
            <w:top w:val="single" w:sz="4" w:space="0" w:color="4F81BD"/>
            <w:left w:val="nil"/>
            <w:bottom w:val="nil"/>
            <w:right w:val="nil"/>
          </w:tcBorders>
        </w:tcPr>
        <w:p w:rsidR="002A313A" w:rsidRPr="005A3173" w:rsidRDefault="002A313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2A313A" w:rsidTr="005A3173">
      <w:trPr>
        <w:trHeight w:val="151"/>
      </w:trPr>
      <w:tc>
        <w:tcPr>
          <w:tcW w:w="2250" w:type="pct"/>
          <w:tcBorders>
            <w:top w:val="nil"/>
            <w:left w:val="nil"/>
            <w:bottom w:val="single" w:sz="4" w:space="0" w:color="4F81BD"/>
            <w:right w:val="nil"/>
          </w:tcBorders>
        </w:tcPr>
        <w:p w:rsidR="002A313A" w:rsidRPr="005A3173" w:rsidRDefault="002A313A" w:rsidP="005A3173">
          <w:pPr>
            <w:pStyle w:val="Header"/>
            <w:spacing w:line="276" w:lineRule="auto"/>
            <w:rPr>
              <w:rFonts w:eastAsia="MS Gothic"/>
              <w:b/>
              <w:bCs/>
              <w:color w:val="4F81BD"/>
            </w:rPr>
          </w:pPr>
        </w:p>
      </w:tc>
      <w:tc>
        <w:tcPr>
          <w:tcW w:w="500" w:type="pct"/>
          <w:vMerge w:val="restart"/>
          <w:noWrap/>
          <w:vAlign w:val="center"/>
          <w:hideMark/>
        </w:tcPr>
        <w:p w:rsidR="002A313A" w:rsidRPr="005A3173" w:rsidRDefault="002A313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A313A" w:rsidRPr="005A3173" w:rsidRDefault="002A313A" w:rsidP="005A3173">
          <w:pPr>
            <w:pStyle w:val="Header"/>
            <w:spacing w:line="276" w:lineRule="auto"/>
            <w:rPr>
              <w:rFonts w:eastAsia="MS Gothic"/>
              <w:b/>
              <w:bCs/>
              <w:color w:val="4F81BD"/>
            </w:rPr>
          </w:pPr>
        </w:p>
      </w:tc>
    </w:tr>
    <w:tr w:rsidR="002A313A" w:rsidTr="005A3173">
      <w:trPr>
        <w:trHeight w:val="150"/>
      </w:trPr>
      <w:tc>
        <w:tcPr>
          <w:tcW w:w="2250" w:type="pct"/>
          <w:tcBorders>
            <w:top w:val="single" w:sz="4" w:space="0" w:color="4F81BD"/>
            <w:left w:val="nil"/>
            <w:bottom w:val="nil"/>
            <w:right w:val="nil"/>
          </w:tcBorders>
        </w:tcPr>
        <w:p w:rsidR="002A313A" w:rsidRPr="005A3173" w:rsidRDefault="002A313A" w:rsidP="005A3173">
          <w:pPr>
            <w:pStyle w:val="Header"/>
            <w:spacing w:line="276" w:lineRule="auto"/>
            <w:rPr>
              <w:rFonts w:eastAsia="MS Gothic"/>
              <w:b/>
              <w:bCs/>
              <w:color w:val="4F81BD"/>
            </w:rPr>
          </w:pPr>
        </w:p>
      </w:tc>
      <w:tc>
        <w:tcPr>
          <w:tcW w:w="0" w:type="auto"/>
          <w:vMerge/>
          <w:vAlign w:val="center"/>
          <w:hideMark/>
        </w:tcPr>
        <w:p w:rsidR="002A313A" w:rsidRPr="005A3173" w:rsidRDefault="002A313A" w:rsidP="005A3173">
          <w:pPr>
            <w:rPr>
              <w:color w:val="365F91"/>
              <w:sz w:val="22"/>
              <w:szCs w:val="22"/>
            </w:rPr>
          </w:pPr>
        </w:p>
      </w:tc>
      <w:tc>
        <w:tcPr>
          <w:tcW w:w="2250" w:type="pct"/>
          <w:tcBorders>
            <w:top w:val="single" w:sz="4" w:space="0" w:color="4F81BD"/>
            <w:left w:val="nil"/>
            <w:bottom w:val="nil"/>
            <w:right w:val="nil"/>
          </w:tcBorders>
        </w:tcPr>
        <w:p w:rsidR="002A313A" w:rsidRPr="005A3173" w:rsidRDefault="002A313A" w:rsidP="005A3173">
          <w:pPr>
            <w:pStyle w:val="Header"/>
            <w:spacing w:line="276" w:lineRule="auto"/>
            <w:rPr>
              <w:rFonts w:eastAsia="MS Gothic"/>
              <w:b/>
              <w:bCs/>
              <w:color w:val="4F81BD"/>
            </w:rPr>
          </w:pPr>
        </w:p>
      </w:tc>
    </w:tr>
  </w:tbl>
  <w:p w:rsidR="002A313A" w:rsidRPr="007C0F57" w:rsidRDefault="002A313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B95184">
      <w:rPr>
        <w:rStyle w:val="PageNumber"/>
        <w:noProof/>
      </w:rPr>
      <w:t>1</w:t>
    </w:r>
    <w:r>
      <w:rPr>
        <w:rStyle w:val="PageNumber"/>
      </w:rPr>
      <w:fldChar w:fldCharType="end"/>
    </w:r>
    <w:r w:rsidRPr="007C0F57">
      <w:rPr>
        <w:b/>
        <w:i/>
        <w:sz w:val="20"/>
        <w:szCs w:val="20"/>
      </w:rPr>
      <w:t>BAC Meeting</w:t>
    </w:r>
  </w:p>
  <w:p w:rsidR="002A313A" w:rsidRPr="007C0F57" w:rsidRDefault="002A313A" w:rsidP="007C0F57">
    <w:pPr>
      <w:pStyle w:val="Footer"/>
      <w:jc w:val="center"/>
      <w:rPr>
        <w:b/>
        <w:i/>
        <w:sz w:val="20"/>
        <w:szCs w:val="20"/>
      </w:rPr>
    </w:pPr>
    <w:r w:rsidRPr="007C0F57">
      <w:rPr>
        <w:b/>
        <w:i/>
        <w:sz w:val="20"/>
        <w:szCs w:val="20"/>
      </w:rPr>
      <w:t>Commercial-in-Confidence</w:t>
    </w:r>
  </w:p>
  <w:p w:rsidR="002A313A" w:rsidRDefault="002A313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939" w:rsidRDefault="007B6939">
      <w:r>
        <w:separator/>
      </w:r>
    </w:p>
    <w:p w:rsidR="007B6939" w:rsidRDefault="007B6939"/>
  </w:footnote>
  <w:footnote w:type="continuationSeparator" w:id="0">
    <w:p w:rsidR="007B6939" w:rsidRDefault="007B6939">
      <w:r>
        <w:continuationSeparator/>
      </w:r>
    </w:p>
    <w:p w:rsidR="007B6939" w:rsidRDefault="007B6939"/>
  </w:footnote>
  <w:footnote w:id="1">
    <w:p w:rsidR="00D165C7" w:rsidRPr="00074AFC" w:rsidRDefault="00D165C7" w:rsidP="00D165C7">
      <w:pPr>
        <w:pStyle w:val="FootnoteText"/>
        <w:rPr>
          <w:rFonts w:ascii="Arial Narrow" w:hAnsi="Arial Narrow"/>
          <w:sz w:val="18"/>
          <w:szCs w:val="18"/>
        </w:rPr>
      </w:pPr>
      <w:r w:rsidRPr="00074AFC">
        <w:rPr>
          <w:rStyle w:val="FootnoteReference"/>
          <w:rFonts w:ascii="Arial Narrow" w:hAnsi="Arial Narrow"/>
          <w:sz w:val="18"/>
          <w:szCs w:val="18"/>
        </w:rPr>
        <w:footnoteRef/>
      </w:r>
      <w:r w:rsidR="00416CAD" w:rsidRPr="00074AFC">
        <w:rPr>
          <w:rFonts w:ascii="Arial Narrow" w:hAnsi="Arial Narrow"/>
          <w:sz w:val="18"/>
          <w:szCs w:val="18"/>
        </w:rPr>
        <w:t xml:space="preserve"> Subsection 85(7) of the </w:t>
      </w:r>
      <w:r w:rsidR="00416CAD" w:rsidRPr="00074AFC">
        <w:rPr>
          <w:rFonts w:ascii="Arial Narrow" w:hAnsi="Arial Narrow"/>
          <w:i/>
          <w:sz w:val="18"/>
          <w:szCs w:val="18"/>
        </w:rPr>
        <w:t>National Health Act 1953</w:t>
      </w:r>
      <w:r w:rsidR="00416CAD" w:rsidRPr="00074AFC">
        <w:rPr>
          <w:rFonts w:ascii="Arial Narrow" w:hAnsi="Arial Narrow"/>
          <w:sz w:val="18"/>
          <w:szCs w:val="18"/>
        </w:rPr>
        <w:t xml:space="preserve"> allows the Minister to determine by legislative instrument the circumstances in which a prescription for the supply of a pharmaceutical benefit may be written. These circumstances are more commonly referred to as the “PBS restriction”.</w:t>
      </w:r>
    </w:p>
  </w:footnote>
  <w:footnote w:id="2">
    <w:p w:rsidR="000268EA" w:rsidRPr="00074AFC" w:rsidRDefault="000268EA">
      <w:pPr>
        <w:pStyle w:val="FootnoteText"/>
        <w:rPr>
          <w:rFonts w:ascii="Arial Narrow" w:hAnsi="Arial Narrow"/>
          <w:sz w:val="18"/>
          <w:szCs w:val="18"/>
        </w:rPr>
      </w:pPr>
      <w:r w:rsidRPr="00074AFC">
        <w:rPr>
          <w:rStyle w:val="FootnoteReference"/>
          <w:rFonts w:ascii="Arial Narrow" w:hAnsi="Arial Narrow"/>
          <w:sz w:val="18"/>
          <w:szCs w:val="18"/>
        </w:rPr>
        <w:footnoteRef/>
      </w:r>
      <w:r w:rsidRPr="00074AFC">
        <w:rPr>
          <w:rFonts w:ascii="Arial Narrow" w:hAnsi="Arial Narrow"/>
          <w:sz w:val="18"/>
          <w:szCs w:val="18"/>
        </w:rPr>
        <w:t xml:space="preserve"> In line with the convention followed in the PBS restrictions for these drugs, for the purposes of these minutes the “biologics” group of drugs includes abatacept, adalimumab, baricitinib, certolizumab pegol, etanercept, golimumab, infliximab, rituximab, tocilizumab, sarilumab, tofacitinib and upadacitinib, where they are subsidised under the PBS for CPP MSUC PsA and RA.</w:t>
      </w:r>
    </w:p>
    <w:p w:rsidR="000268EA" w:rsidRDefault="000268EA">
      <w:pPr>
        <w:pStyle w:val="FootnoteText"/>
      </w:pPr>
    </w:p>
    <w:p w:rsidR="000268EA" w:rsidRDefault="000268EA" w:rsidP="000268E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2A313A" w:rsidRPr="008E0D90" w:rsidTr="00A06225">
      <w:trPr>
        <w:trHeight w:val="151"/>
      </w:trPr>
      <w:tc>
        <w:tcPr>
          <w:tcW w:w="2389" w:type="pct"/>
          <w:tcBorders>
            <w:top w:val="nil"/>
            <w:left w:val="nil"/>
            <w:bottom w:val="single" w:sz="4" w:space="0" w:color="4F81BD"/>
            <w:right w:val="nil"/>
          </w:tcBorders>
        </w:tcPr>
        <w:p w:rsidR="002A313A" w:rsidRPr="00A06225" w:rsidRDefault="002A313A">
          <w:pPr>
            <w:pStyle w:val="Header"/>
            <w:spacing w:line="276" w:lineRule="auto"/>
            <w:rPr>
              <w:rFonts w:ascii="Cambria" w:eastAsia="MS Gothic" w:hAnsi="Cambria"/>
              <w:b/>
              <w:bCs/>
              <w:color w:val="4F81BD"/>
            </w:rPr>
          </w:pPr>
        </w:p>
      </w:tc>
      <w:tc>
        <w:tcPr>
          <w:tcW w:w="333" w:type="pct"/>
          <w:vMerge w:val="restart"/>
          <w:noWrap/>
          <w:vAlign w:val="center"/>
          <w:hideMark/>
        </w:tcPr>
        <w:p w:rsidR="002A313A" w:rsidRPr="00A06225" w:rsidRDefault="002A313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2A313A" w:rsidRPr="00A06225" w:rsidRDefault="002A313A">
          <w:pPr>
            <w:pStyle w:val="Header"/>
            <w:spacing w:line="276" w:lineRule="auto"/>
            <w:rPr>
              <w:rFonts w:ascii="Cambria" w:eastAsia="MS Gothic" w:hAnsi="Cambria"/>
              <w:b/>
              <w:bCs/>
              <w:color w:val="4F81BD"/>
            </w:rPr>
          </w:pPr>
        </w:p>
      </w:tc>
    </w:tr>
    <w:tr w:rsidR="002A313A" w:rsidRPr="008E0D90" w:rsidTr="00A06225">
      <w:trPr>
        <w:trHeight w:val="150"/>
      </w:trPr>
      <w:tc>
        <w:tcPr>
          <w:tcW w:w="2389" w:type="pct"/>
          <w:tcBorders>
            <w:top w:val="single" w:sz="4" w:space="0" w:color="4F81BD"/>
            <w:left w:val="nil"/>
            <w:bottom w:val="nil"/>
            <w:right w:val="nil"/>
          </w:tcBorders>
        </w:tcPr>
        <w:p w:rsidR="002A313A" w:rsidRPr="00A06225" w:rsidRDefault="002A313A">
          <w:pPr>
            <w:pStyle w:val="Header"/>
            <w:spacing w:line="276" w:lineRule="auto"/>
            <w:rPr>
              <w:rFonts w:ascii="Cambria" w:eastAsia="MS Gothic" w:hAnsi="Cambria"/>
              <w:b/>
              <w:bCs/>
              <w:color w:val="4F81BD"/>
            </w:rPr>
          </w:pPr>
        </w:p>
      </w:tc>
      <w:tc>
        <w:tcPr>
          <w:tcW w:w="0" w:type="auto"/>
          <w:vMerge/>
          <w:vAlign w:val="center"/>
          <w:hideMark/>
        </w:tcPr>
        <w:p w:rsidR="002A313A" w:rsidRPr="00A06225" w:rsidRDefault="002A313A">
          <w:pPr>
            <w:rPr>
              <w:rFonts w:ascii="Cambria" w:hAnsi="Cambria"/>
              <w:color w:val="4F81BD"/>
              <w:sz w:val="22"/>
              <w:szCs w:val="22"/>
            </w:rPr>
          </w:pPr>
        </w:p>
      </w:tc>
      <w:tc>
        <w:tcPr>
          <w:tcW w:w="2278" w:type="pct"/>
          <w:tcBorders>
            <w:top w:val="single" w:sz="4" w:space="0" w:color="4F81BD"/>
            <w:left w:val="nil"/>
            <w:bottom w:val="nil"/>
            <w:right w:val="nil"/>
          </w:tcBorders>
        </w:tcPr>
        <w:p w:rsidR="002A313A" w:rsidRPr="00A06225" w:rsidRDefault="002A313A">
          <w:pPr>
            <w:pStyle w:val="Header"/>
            <w:spacing w:line="276" w:lineRule="auto"/>
            <w:rPr>
              <w:rFonts w:ascii="Cambria" w:eastAsia="MS Gothic" w:hAnsi="Cambria"/>
              <w:b/>
              <w:bCs/>
              <w:color w:val="4F81BD"/>
            </w:rPr>
          </w:pPr>
        </w:p>
      </w:tc>
    </w:tr>
  </w:tbl>
  <w:p w:rsidR="002A313A" w:rsidRDefault="002A313A">
    <w:pPr>
      <w:pStyle w:val="Header"/>
    </w:pPr>
  </w:p>
  <w:p w:rsidR="002A313A" w:rsidRDefault="002A313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EC3" w:rsidRPr="006D05BE" w:rsidRDefault="003D5651" w:rsidP="00314EC3">
    <w:pPr>
      <w:pStyle w:val="Header"/>
      <w:ind w:left="360"/>
      <w:rPr>
        <w:rFonts w:cs="Arial"/>
        <w:i/>
        <w:color w:val="808080"/>
      </w:rPr>
    </w:pPr>
    <w:r>
      <w:rPr>
        <w:rFonts w:cs="Arial"/>
        <w:i/>
        <w:color w:val="808080"/>
      </w:rPr>
      <w:t xml:space="preserve">Public Summary </w:t>
    </w:r>
    <w:r w:rsidR="002F0245">
      <w:rPr>
        <w:rFonts w:cs="Arial"/>
        <w:i/>
        <w:color w:val="808080"/>
      </w:rPr>
      <w:t xml:space="preserve">Document </w:t>
    </w:r>
    <w:r w:rsidR="002F0245" w:rsidRPr="006D05BE">
      <w:rPr>
        <w:rFonts w:cs="Arial"/>
        <w:i/>
        <w:color w:val="808080"/>
      </w:rPr>
      <w:t>–</w:t>
    </w:r>
    <w:r w:rsidR="00314EC3" w:rsidRPr="006D05BE">
      <w:rPr>
        <w:rFonts w:cs="Arial"/>
        <w:i/>
        <w:color w:val="808080"/>
      </w:rPr>
      <w:t xml:space="preserve"> November 2020 PBAC Meeting</w:t>
    </w:r>
  </w:p>
  <w:p w:rsidR="002A313A" w:rsidRDefault="002A313A"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FF1" w:rsidRDefault="005C6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7C34E2"/>
    <w:multiLevelType w:val="hybridMultilevel"/>
    <w:tmpl w:val="C278FFF4"/>
    <w:lvl w:ilvl="0" w:tplc="0CBCE64E">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0"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03636AF"/>
    <w:multiLevelType w:val="hybridMultilevel"/>
    <w:tmpl w:val="0E60D6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6A0D33C8"/>
    <w:multiLevelType w:val="hybridMultilevel"/>
    <w:tmpl w:val="25BAD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84D033C"/>
    <w:multiLevelType w:val="multilevel"/>
    <w:tmpl w:val="ACC2FCD2"/>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7"/>
  </w:num>
  <w:num w:numId="2">
    <w:abstractNumId w:val="0"/>
  </w:num>
  <w:num w:numId="3">
    <w:abstractNumId w:val="17"/>
  </w:num>
  <w:num w:numId="4">
    <w:abstractNumId w:val="13"/>
  </w:num>
  <w:num w:numId="5">
    <w:abstractNumId w:val="18"/>
  </w:num>
  <w:num w:numId="6">
    <w:abstractNumId w:val="16"/>
  </w:num>
  <w:num w:numId="7">
    <w:abstractNumId w:val="10"/>
  </w:num>
  <w:num w:numId="8">
    <w:abstractNumId w:val="9"/>
  </w:num>
  <w:num w:numId="9">
    <w:abstractNumId w:val="1"/>
  </w:num>
  <w:num w:numId="10">
    <w:abstractNumId w:val="17"/>
  </w:num>
  <w:num w:numId="11">
    <w:abstractNumId w:val="3"/>
  </w:num>
  <w:num w:numId="12">
    <w:abstractNumId w:val="11"/>
  </w:num>
  <w:num w:numId="13">
    <w:abstractNumId w:val="12"/>
  </w:num>
  <w:num w:numId="14">
    <w:abstractNumId w:val="4"/>
  </w:num>
  <w:num w:numId="15">
    <w:abstractNumId w:val="2"/>
  </w:num>
  <w:num w:numId="16">
    <w:abstractNumId w:val="6"/>
  </w:num>
  <w:num w:numId="17">
    <w:abstractNumId w:val="7"/>
  </w:num>
  <w:num w:numId="18">
    <w:abstractNumId w:val="5"/>
  </w:num>
  <w:num w:numId="19">
    <w:abstractNumId w:val="14"/>
  </w:num>
  <w:num w:numId="20">
    <w:abstractNumId w:val="8"/>
  </w:num>
  <w:num w:numId="2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11A59"/>
    <w:rsid w:val="00016A41"/>
    <w:rsid w:val="000214D1"/>
    <w:rsid w:val="0002464A"/>
    <w:rsid w:val="000268EA"/>
    <w:rsid w:val="0003106B"/>
    <w:rsid w:val="00034905"/>
    <w:rsid w:val="000421A1"/>
    <w:rsid w:val="0004240E"/>
    <w:rsid w:val="0004459E"/>
    <w:rsid w:val="00045E26"/>
    <w:rsid w:val="000514B5"/>
    <w:rsid w:val="00060E64"/>
    <w:rsid w:val="00063422"/>
    <w:rsid w:val="00066755"/>
    <w:rsid w:val="00071469"/>
    <w:rsid w:val="00074AFC"/>
    <w:rsid w:val="000763D5"/>
    <w:rsid w:val="00077143"/>
    <w:rsid w:val="00082169"/>
    <w:rsid w:val="00087203"/>
    <w:rsid w:val="000918CB"/>
    <w:rsid w:val="00091B06"/>
    <w:rsid w:val="000951C4"/>
    <w:rsid w:val="00095ADA"/>
    <w:rsid w:val="000969AD"/>
    <w:rsid w:val="000A3AA2"/>
    <w:rsid w:val="000A44B2"/>
    <w:rsid w:val="000A52F6"/>
    <w:rsid w:val="000B2D88"/>
    <w:rsid w:val="000B44C3"/>
    <w:rsid w:val="000B558D"/>
    <w:rsid w:val="000B55C2"/>
    <w:rsid w:val="000C5F95"/>
    <w:rsid w:val="000C6996"/>
    <w:rsid w:val="000D09E9"/>
    <w:rsid w:val="000D113F"/>
    <w:rsid w:val="000D23BA"/>
    <w:rsid w:val="000E5EA1"/>
    <w:rsid w:val="000E681E"/>
    <w:rsid w:val="000F0003"/>
    <w:rsid w:val="000F3384"/>
    <w:rsid w:val="000F4E6A"/>
    <w:rsid w:val="000F7354"/>
    <w:rsid w:val="00101ABE"/>
    <w:rsid w:val="00102202"/>
    <w:rsid w:val="00104227"/>
    <w:rsid w:val="001107BF"/>
    <w:rsid w:val="00113649"/>
    <w:rsid w:val="001151E0"/>
    <w:rsid w:val="0012417C"/>
    <w:rsid w:val="001252CC"/>
    <w:rsid w:val="0012749D"/>
    <w:rsid w:val="00142395"/>
    <w:rsid w:val="00142714"/>
    <w:rsid w:val="001452ED"/>
    <w:rsid w:val="00147D84"/>
    <w:rsid w:val="00151E3D"/>
    <w:rsid w:val="0015311E"/>
    <w:rsid w:val="001549C1"/>
    <w:rsid w:val="00162BDD"/>
    <w:rsid w:val="00162D4E"/>
    <w:rsid w:val="00163329"/>
    <w:rsid w:val="00164623"/>
    <w:rsid w:val="001652DE"/>
    <w:rsid w:val="0016584D"/>
    <w:rsid w:val="00165B64"/>
    <w:rsid w:val="00165E4B"/>
    <w:rsid w:val="00180713"/>
    <w:rsid w:val="00180720"/>
    <w:rsid w:val="001830CE"/>
    <w:rsid w:val="0018462B"/>
    <w:rsid w:val="0018643B"/>
    <w:rsid w:val="0018668E"/>
    <w:rsid w:val="00196307"/>
    <w:rsid w:val="001A33EA"/>
    <w:rsid w:val="001A4C4F"/>
    <w:rsid w:val="001A76FB"/>
    <w:rsid w:val="001B017F"/>
    <w:rsid w:val="001B2BBC"/>
    <w:rsid w:val="001B3A40"/>
    <w:rsid w:val="001B3FFE"/>
    <w:rsid w:val="001B5129"/>
    <w:rsid w:val="001C0B4C"/>
    <w:rsid w:val="001C1195"/>
    <w:rsid w:val="001C2E42"/>
    <w:rsid w:val="001D1F5F"/>
    <w:rsid w:val="001E06D2"/>
    <w:rsid w:val="001E1768"/>
    <w:rsid w:val="001F005B"/>
    <w:rsid w:val="001F1850"/>
    <w:rsid w:val="001F3189"/>
    <w:rsid w:val="00203FAC"/>
    <w:rsid w:val="00213CFB"/>
    <w:rsid w:val="0021553C"/>
    <w:rsid w:val="0021557B"/>
    <w:rsid w:val="002174FD"/>
    <w:rsid w:val="00217BE1"/>
    <w:rsid w:val="00234252"/>
    <w:rsid w:val="00237AC6"/>
    <w:rsid w:val="00244490"/>
    <w:rsid w:val="00245B9C"/>
    <w:rsid w:val="00253499"/>
    <w:rsid w:val="002551A4"/>
    <w:rsid w:val="00257664"/>
    <w:rsid w:val="00263FA5"/>
    <w:rsid w:val="00265151"/>
    <w:rsid w:val="00266509"/>
    <w:rsid w:val="00266DB9"/>
    <w:rsid w:val="002716EC"/>
    <w:rsid w:val="00271BA1"/>
    <w:rsid w:val="002762FA"/>
    <w:rsid w:val="00277505"/>
    <w:rsid w:val="002823B6"/>
    <w:rsid w:val="00294274"/>
    <w:rsid w:val="0029458F"/>
    <w:rsid w:val="00295BD8"/>
    <w:rsid w:val="002A0E04"/>
    <w:rsid w:val="002A104C"/>
    <w:rsid w:val="002A1EF7"/>
    <w:rsid w:val="002A21E2"/>
    <w:rsid w:val="002A313A"/>
    <w:rsid w:val="002A494D"/>
    <w:rsid w:val="002A4960"/>
    <w:rsid w:val="002B0AE0"/>
    <w:rsid w:val="002B1AE6"/>
    <w:rsid w:val="002B1D51"/>
    <w:rsid w:val="002B2DE8"/>
    <w:rsid w:val="002B30F8"/>
    <w:rsid w:val="002B388A"/>
    <w:rsid w:val="002B5596"/>
    <w:rsid w:val="002B6CE0"/>
    <w:rsid w:val="002C212F"/>
    <w:rsid w:val="002C7485"/>
    <w:rsid w:val="002D283A"/>
    <w:rsid w:val="002D4543"/>
    <w:rsid w:val="002E04BE"/>
    <w:rsid w:val="002E29C9"/>
    <w:rsid w:val="002E3153"/>
    <w:rsid w:val="002E37FB"/>
    <w:rsid w:val="002E5292"/>
    <w:rsid w:val="002E72CA"/>
    <w:rsid w:val="002F0245"/>
    <w:rsid w:val="002F600D"/>
    <w:rsid w:val="00300AD6"/>
    <w:rsid w:val="00300B1B"/>
    <w:rsid w:val="003019D0"/>
    <w:rsid w:val="003021C4"/>
    <w:rsid w:val="003064AF"/>
    <w:rsid w:val="00310B68"/>
    <w:rsid w:val="00314EC3"/>
    <w:rsid w:val="00317C6C"/>
    <w:rsid w:val="00320CD3"/>
    <w:rsid w:val="00326E79"/>
    <w:rsid w:val="003301B1"/>
    <w:rsid w:val="00330DE7"/>
    <w:rsid w:val="00331189"/>
    <w:rsid w:val="0033263D"/>
    <w:rsid w:val="00334A9C"/>
    <w:rsid w:val="0033518A"/>
    <w:rsid w:val="003367EF"/>
    <w:rsid w:val="0034112E"/>
    <w:rsid w:val="003417F9"/>
    <w:rsid w:val="00341AE4"/>
    <w:rsid w:val="003476EE"/>
    <w:rsid w:val="003541DD"/>
    <w:rsid w:val="00356E5B"/>
    <w:rsid w:val="003605FE"/>
    <w:rsid w:val="003627B2"/>
    <w:rsid w:val="00370AC2"/>
    <w:rsid w:val="003736C9"/>
    <w:rsid w:val="00384988"/>
    <w:rsid w:val="003872CF"/>
    <w:rsid w:val="0039782C"/>
    <w:rsid w:val="003A5B4A"/>
    <w:rsid w:val="003A5D95"/>
    <w:rsid w:val="003A7B2B"/>
    <w:rsid w:val="003B23C5"/>
    <w:rsid w:val="003B2A75"/>
    <w:rsid w:val="003B36C2"/>
    <w:rsid w:val="003B472D"/>
    <w:rsid w:val="003B6124"/>
    <w:rsid w:val="003C093A"/>
    <w:rsid w:val="003C1ECF"/>
    <w:rsid w:val="003C2FB5"/>
    <w:rsid w:val="003C34BF"/>
    <w:rsid w:val="003D24C5"/>
    <w:rsid w:val="003D3B03"/>
    <w:rsid w:val="003D4AC4"/>
    <w:rsid w:val="003D5651"/>
    <w:rsid w:val="003D63B7"/>
    <w:rsid w:val="003D74C5"/>
    <w:rsid w:val="003E2BCA"/>
    <w:rsid w:val="003E308D"/>
    <w:rsid w:val="003E468B"/>
    <w:rsid w:val="003E4F9A"/>
    <w:rsid w:val="003E62BD"/>
    <w:rsid w:val="003F0C3A"/>
    <w:rsid w:val="003F2018"/>
    <w:rsid w:val="003F3228"/>
    <w:rsid w:val="003F5C8C"/>
    <w:rsid w:val="003F63CE"/>
    <w:rsid w:val="003F640C"/>
    <w:rsid w:val="003F775A"/>
    <w:rsid w:val="00400E55"/>
    <w:rsid w:val="0040128E"/>
    <w:rsid w:val="0040216B"/>
    <w:rsid w:val="00416CAD"/>
    <w:rsid w:val="004252EC"/>
    <w:rsid w:val="00430D39"/>
    <w:rsid w:val="00431287"/>
    <w:rsid w:val="004465BD"/>
    <w:rsid w:val="00446938"/>
    <w:rsid w:val="00461A44"/>
    <w:rsid w:val="0046377B"/>
    <w:rsid w:val="00466ADA"/>
    <w:rsid w:val="004702BB"/>
    <w:rsid w:val="00470BC1"/>
    <w:rsid w:val="0047494B"/>
    <w:rsid w:val="00476245"/>
    <w:rsid w:val="00477A9B"/>
    <w:rsid w:val="00483035"/>
    <w:rsid w:val="00485940"/>
    <w:rsid w:val="004904B9"/>
    <w:rsid w:val="0049500F"/>
    <w:rsid w:val="00496662"/>
    <w:rsid w:val="004971C2"/>
    <w:rsid w:val="004A2484"/>
    <w:rsid w:val="004A5A85"/>
    <w:rsid w:val="004A71D1"/>
    <w:rsid w:val="004A7C5B"/>
    <w:rsid w:val="004B1845"/>
    <w:rsid w:val="004B21AE"/>
    <w:rsid w:val="004B2E98"/>
    <w:rsid w:val="004B5640"/>
    <w:rsid w:val="004C03D0"/>
    <w:rsid w:val="004C05F9"/>
    <w:rsid w:val="004C1B78"/>
    <w:rsid w:val="004C1BD7"/>
    <w:rsid w:val="004C31FE"/>
    <w:rsid w:val="004C524C"/>
    <w:rsid w:val="004C5FFA"/>
    <w:rsid w:val="004C691D"/>
    <w:rsid w:val="004C6C07"/>
    <w:rsid w:val="004C6EDA"/>
    <w:rsid w:val="004D2C83"/>
    <w:rsid w:val="004D4FF6"/>
    <w:rsid w:val="004E2737"/>
    <w:rsid w:val="004E692D"/>
    <w:rsid w:val="004E7D87"/>
    <w:rsid w:val="004F2553"/>
    <w:rsid w:val="00501554"/>
    <w:rsid w:val="00502AFE"/>
    <w:rsid w:val="00503AD7"/>
    <w:rsid w:val="00504E0C"/>
    <w:rsid w:val="005109D4"/>
    <w:rsid w:val="00514CD7"/>
    <w:rsid w:val="00515D09"/>
    <w:rsid w:val="00520D6A"/>
    <w:rsid w:val="00522DB6"/>
    <w:rsid w:val="00524BAB"/>
    <w:rsid w:val="0052792D"/>
    <w:rsid w:val="005319B2"/>
    <w:rsid w:val="00532402"/>
    <w:rsid w:val="00532C74"/>
    <w:rsid w:val="00534E2E"/>
    <w:rsid w:val="00544552"/>
    <w:rsid w:val="00545130"/>
    <w:rsid w:val="0055286A"/>
    <w:rsid w:val="00555745"/>
    <w:rsid w:val="00556923"/>
    <w:rsid w:val="00557D4F"/>
    <w:rsid w:val="0056484E"/>
    <w:rsid w:val="00572664"/>
    <w:rsid w:val="005764CD"/>
    <w:rsid w:val="00577C4D"/>
    <w:rsid w:val="00580532"/>
    <w:rsid w:val="00581932"/>
    <w:rsid w:val="00591A29"/>
    <w:rsid w:val="005963BB"/>
    <w:rsid w:val="005A3173"/>
    <w:rsid w:val="005A3223"/>
    <w:rsid w:val="005A3DA3"/>
    <w:rsid w:val="005A52C4"/>
    <w:rsid w:val="005B3275"/>
    <w:rsid w:val="005B3F98"/>
    <w:rsid w:val="005C4F73"/>
    <w:rsid w:val="005C687C"/>
    <w:rsid w:val="005C6FF1"/>
    <w:rsid w:val="005C70CA"/>
    <w:rsid w:val="005D03AB"/>
    <w:rsid w:val="005D5017"/>
    <w:rsid w:val="005D63FA"/>
    <w:rsid w:val="005E0D82"/>
    <w:rsid w:val="005E0FEB"/>
    <w:rsid w:val="005E1333"/>
    <w:rsid w:val="005E3136"/>
    <w:rsid w:val="005E507D"/>
    <w:rsid w:val="005F06C4"/>
    <w:rsid w:val="00601A91"/>
    <w:rsid w:val="00602BA3"/>
    <w:rsid w:val="00605B63"/>
    <w:rsid w:val="00605F9A"/>
    <w:rsid w:val="00606EED"/>
    <w:rsid w:val="00612E34"/>
    <w:rsid w:val="00613193"/>
    <w:rsid w:val="006139AF"/>
    <w:rsid w:val="00614159"/>
    <w:rsid w:val="00616C5F"/>
    <w:rsid w:val="00616DAC"/>
    <w:rsid w:val="00617C00"/>
    <w:rsid w:val="006263BF"/>
    <w:rsid w:val="0062748A"/>
    <w:rsid w:val="00630A2C"/>
    <w:rsid w:val="0063682E"/>
    <w:rsid w:val="00642DA8"/>
    <w:rsid w:val="006436CD"/>
    <w:rsid w:val="00651169"/>
    <w:rsid w:val="00653D69"/>
    <w:rsid w:val="006552E6"/>
    <w:rsid w:val="00655794"/>
    <w:rsid w:val="00657166"/>
    <w:rsid w:val="00657C63"/>
    <w:rsid w:val="00662723"/>
    <w:rsid w:val="006670BE"/>
    <w:rsid w:val="00670A76"/>
    <w:rsid w:val="00670B41"/>
    <w:rsid w:val="006711AA"/>
    <w:rsid w:val="00672B57"/>
    <w:rsid w:val="00673F1F"/>
    <w:rsid w:val="00674964"/>
    <w:rsid w:val="00675622"/>
    <w:rsid w:val="0067747D"/>
    <w:rsid w:val="006818D5"/>
    <w:rsid w:val="00681CA4"/>
    <w:rsid w:val="0069039D"/>
    <w:rsid w:val="006906DB"/>
    <w:rsid w:val="00691E6C"/>
    <w:rsid w:val="00693DFB"/>
    <w:rsid w:val="0069501D"/>
    <w:rsid w:val="00696129"/>
    <w:rsid w:val="00697CF2"/>
    <w:rsid w:val="006A12A5"/>
    <w:rsid w:val="006A337E"/>
    <w:rsid w:val="006A5E20"/>
    <w:rsid w:val="006B0D94"/>
    <w:rsid w:val="006B485D"/>
    <w:rsid w:val="006C334C"/>
    <w:rsid w:val="006C708E"/>
    <w:rsid w:val="006D05BE"/>
    <w:rsid w:val="006D14E7"/>
    <w:rsid w:val="006D39F6"/>
    <w:rsid w:val="006D4444"/>
    <w:rsid w:val="006D6493"/>
    <w:rsid w:val="006D6EC7"/>
    <w:rsid w:val="006E1BCD"/>
    <w:rsid w:val="006F0A71"/>
    <w:rsid w:val="006F40C2"/>
    <w:rsid w:val="006F5125"/>
    <w:rsid w:val="006F733D"/>
    <w:rsid w:val="00702B6F"/>
    <w:rsid w:val="00706A2F"/>
    <w:rsid w:val="0070718E"/>
    <w:rsid w:val="00710259"/>
    <w:rsid w:val="0071031F"/>
    <w:rsid w:val="007117DD"/>
    <w:rsid w:val="0071340B"/>
    <w:rsid w:val="00715BBB"/>
    <w:rsid w:val="007174BB"/>
    <w:rsid w:val="0072025D"/>
    <w:rsid w:val="00726282"/>
    <w:rsid w:val="0073137C"/>
    <w:rsid w:val="00732764"/>
    <w:rsid w:val="00732E06"/>
    <w:rsid w:val="007353D3"/>
    <w:rsid w:val="0074156B"/>
    <w:rsid w:val="00747092"/>
    <w:rsid w:val="007555E8"/>
    <w:rsid w:val="0076420C"/>
    <w:rsid w:val="007650DB"/>
    <w:rsid w:val="00771D07"/>
    <w:rsid w:val="00773BE3"/>
    <w:rsid w:val="007740EB"/>
    <w:rsid w:val="007743DD"/>
    <w:rsid w:val="00774E2C"/>
    <w:rsid w:val="007753C2"/>
    <w:rsid w:val="007838B8"/>
    <w:rsid w:val="00784070"/>
    <w:rsid w:val="007915BA"/>
    <w:rsid w:val="007A000B"/>
    <w:rsid w:val="007B3DDC"/>
    <w:rsid w:val="007B6939"/>
    <w:rsid w:val="007B72A6"/>
    <w:rsid w:val="007C0F57"/>
    <w:rsid w:val="007C40B6"/>
    <w:rsid w:val="007C729F"/>
    <w:rsid w:val="007D503D"/>
    <w:rsid w:val="007E1D28"/>
    <w:rsid w:val="007F0021"/>
    <w:rsid w:val="007F2641"/>
    <w:rsid w:val="007F7C36"/>
    <w:rsid w:val="00806796"/>
    <w:rsid w:val="00811CC0"/>
    <w:rsid w:val="008151D6"/>
    <w:rsid w:val="00821527"/>
    <w:rsid w:val="008268BB"/>
    <w:rsid w:val="00826F6D"/>
    <w:rsid w:val="008306F3"/>
    <w:rsid w:val="00830E40"/>
    <w:rsid w:val="00835C62"/>
    <w:rsid w:val="008424E4"/>
    <w:rsid w:val="00842585"/>
    <w:rsid w:val="00842FC1"/>
    <w:rsid w:val="00846056"/>
    <w:rsid w:val="00847EC0"/>
    <w:rsid w:val="00855FD6"/>
    <w:rsid w:val="00856DDD"/>
    <w:rsid w:val="00863E68"/>
    <w:rsid w:val="008647B5"/>
    <w:rsid w:val="00866EB2"/>
    <w:rsid w:val="00867827"/>
    <w:rsid w:val="008712D6"/>
    <w:rsid w:val="00875DCB"/>
    <w:rsid w:val="00882085"/>
    <w:rsid w:val="00883188"/>
    <w:rsid w:val="008953E3"/>
    <w:rsid w:val="0089560B"/>
    <w:rsid w:val="00897D58"/>
    <w:rsid w:val="00897F22"/>
    <w:rsid w:val="008A0B39"/>
    <w:rsid w:val="008A1956"/>
    <w:rsid w:val="008A4937"/>
    <w:rsid w:val="008A50F1"/>
    <w:rsid w:val="008A59D9"/>
    <w:rsid w:val="008A6819"/>
    <w:rsid w:val="008A773D"/>
    <w:rsid w:val="008B2EC0"/>
    <w:rsid w:val="008D063D"/>
    <w:rsid w:val="008D1B5C"/>
    <w:rsid w:val="008D3C82"/>
    <w:rsid w:val="008D447E"/>
    <w:rsid w:val="008D7A41"/>
    <w:rsid w:val="008E2C72"/>
    <w:rsid w:val="008E3680"/>
    <w:rsid w:val="008E5870"/>
    <w:rsid w:val="008F0213"/>
    <w:rsid w:val="008F1097"/>
    <w:rsid w:val="008F1434"/>
    <w:rsid w:val="008F54C3"/>
    <w:rsid w:val="008F7355"/>
    <w:rsid w:val="00900D00"/>
    <w:rsid w:val="009023DC"/>
    <w:rsid w:val="009027C5"/>
    <w:rsid w:val="009067B7"/>
    <w:rsid w:val="00914318"/>
    <w:rsid w:val="00917D69"/>
    <w:rsid w:val="009241F7"/>
    <w:rsid w:val="009245CC"/>
    <w:rsid w:val="00926560"/>
    <w:rsid w:val="00930937"/>
    <w:rsid w:val="009324A6"/>
    <w:rsid w:val="00933E6C"/>
    <w:rsid w:val="00935DBF"/>
    <w:rsid w:val="00937958"/>
    <w:rsid w:val="00941602"/>
    <w:rsid w:val="00942160"/>
    <w:rsid w:val="00947C31"/>
    <w:rsid w:val="00950B9A"/>
    <w:rsid w:val="0095146F"/>
    <w:rsid w:val="00957944"/>
    <w:rsid w:val="009602C5"/>
    <w:rsid w:val="009612BC"/>
    <w:rsid w:val="00962223"/>
    <w:rsid w:val="00963835"/>
    <w:rsid w:val="00966D0D"/>
    <w:rsid w:val="0096783C"/>
    <w:rsid w:val="009702F3"/>
    <w:rsid w:val="009722B3"/>
    <w:rsid w:val="009736D1"/>
    <w:rsid w:val="00974C21"/>
    <w:rsid w:val="00975948"/>
    <w:rsid w:val="00977BF3"/>
    <w:rsid w:val="009803E4"/>
    <w:rsid w:val="00980B0E"/>
    <w:rsid w:val="009836A3"/>
    <w:rsid w:val="009855A8"/>
    <w:rsid w:val="009913F4"/>
    <w:rsid w:val="0099465B"/>
    <w:rsid w:val="00994D4D"/>
    <w:rsid w:val="009A0CDD"/>
    <w:rsid w:val="009A3168"/>
    <w:rsid w:val="009A61CA"/>
    <w:rsid w:val="009B0C64"/>
    <w:rsid w:val="009B0F67"/>
    <w:rsid w:val="009C703C"/>
    <w:rsid w:val="009D0D7A"/>
    <w:rsid w:val="009D206E"/>
    <w:rsid w:val="009D254C"/>
    <w:rsid w:val="009D3CAA"/>
    <w:rsid w:val="009D6532"/>
    <w:rsid w:val="009E2E8E"/>
    <w:rsid w:val="009E40E1"/>
    <w:rsid w:val="009F0EFA"/>
    <w:rsid w:val="009F1763"/>
    <w:rsid w:val="009F3A8E"/>
    <w:rsid w:val="009F43F8"/>
    <w:rsid w:val="009F4E46"/>
    <w:rsid w:val="009F5B65"/>
    <w:rsid w:val="009F5F2E"/>
    <w:rsid w:val="00A01432"/>
    <w:rsid w:val="00A04B09"/>
    <w:rsid w:val="00A05DE4"/>
    <w:rsid w:val="00A06225"/>
    <w:rsid w:val="00A108A6"/>
    <w:rsid w:val="00A128E6"/>
    <w:rsid w:val="00A144D3"/>
    <w:rsid w:val="00A2240A"/>
    <w:rsid w:val="00A22AC3"/>
    <w:rsid w:val="00A23F3F"/>
    <w:rsid w:val="00A24067"/>
    <w:rsid w:val="00A2744D"/>
    <w:rsid w:val="00A34E6C"/>
    <w:rsid w:val="00A36398"/>
    <w:rsid w:val="00A37C8D"/>
    <w:rsid w:val="00A4020E"/>
    <w:rsid w:val="00A40FB5"/>
    <w:rsid w:val="00A42826"/>
    <w:rsid w:val="00A429B3"/>
    <w:rsid w:val="00A510E4"/>
    <w:rsid w:val="00A5273B"/>
    <w:rsid w:val="00A53A9D"/>
    <w:rsid w:val="00A55FEE"/>
    <w:rsid w:val="00A57422"/>
    <w:rsid w:val="00A62C1A"/>
    <w:rsid w:val="00A6426D"/>
    <w:rsid w:val="00A665C1"/>
    <w:rsid w:val="00A673A4"/>
    <w:rsid w:val="00A70622"/>
    <w:rsid w:val="00A70977"/>
    <w:rsid w:val="00A70D58"/>
    <w:rsid w:val="00A744F9"/>
    <w:rsid w:val="00A77613"/>
    <w:rsid w:val="00A81851"/>
    <w:rsid w:val="00A8390C"/>
    <w:rsid w:val="00A86AE0"/>
    <w:rsid w:val="00A928BD"/>
    <w:rsid w:val="00A97DE9"/>
    <w:rsid w:val="00AA12CD"/>
    <w:rsid w:val="00AA4D1C"/>
    <w:rsid w:val="00AA52FD"/>
    <w:rsid w:val="00AA586D"/>
    <w:rsid w:val="00AB5856"/>
    <w:rsid w:val="00AB7E7F"/>
    <w:rsid w:val="00AC193C"/>
    <w:rsid w:val="00AC194A"/>
    <w:rsid w:val="00AC35BE"/>
    <w:rsid w:val="00AC4DE5"/>
    <w:rsid w:val="00AC5206"/>
    <w:rsid w:val="00AD4322"/>
    <w:rsid w:val="00AE11A5"/>
    <w:rsid w:val="00AE13E2"/>
    <w:rsid w:val="00AE22D3"/>
    <w:rsid w:val="00AE50E1"/>
    <w:rsid w:val="00AE5A49"/>
    <w:rsid w:val="00AF62DF"/>
    <w:rsid w:val="00AF68CC"/>
    <w:rsid w:val="00AF70D7"/>
    <w:rsid w:val="00B04FA6"/>
    <w:rsid w:val="00B06478"/>
    <w:rsid w:val="00B07CFB"/>
    <w:rsid w:val="00B1059E"/>
    <w:rsid w:val="00B16273"/>
    <w:rsid w:val="00B170A5"/>
    <w:rsid w:val="00B176C8"/>
    <w:rsid w:val="00B17EE5"/>
    <w:rsid w:val="00B205AA"/>
    <w:rsid w:val="00B22E84"/>
    <w:rsid w:val="00B233AD"/>
    <w:rsid w:val="00B23E25"/>
    <w:rsid w:val="00B25F75"/>
    <w:rsid w:val="00B26B3F"/>
    <w:rsid w:val="00B2778F"/>
    <w:rsid w:val="00B33635"/>
    <w:rsid w:val="00B34F53"/>
    <w:rsid w:val="00B42AF4"/>
    <w:rsid w:val="00B43E90"/>
    <w:rsid w:val="00B467DC"/>
    <w:rsid w:val="00B5304E"/>
    <w:rsid w:val="00B5549E"/>
    <w:rsid w:val="00B56118"/>
    <w:rsid w:val="00B6773F"/>
    <w:rsid w:val="00B70EB3"/>
    <w:rsid w:val="00B7525E"/>
    <w:rsid w:val="00B760FB"/>
    <w:rsid w:val="00B767AB"/>
    <w:rsid w:val="00B801BA"/>
    <w:rsid w:val="00B82120"/>
    <w:rsid w:val="00B84A54"/>
    <w:rsid w:val="00B84D5C"/>
    <w:rsid w:val="00B92CD6"/>
    <w:rsid w:val="00B95184"/>
    <w:rsid w:val="00BA2DA8"/>
    <w:rsid w:val="00BA347C"/>
    <w:rsid w:val="00BB1275"/>
    <w:rsid w:val="00BB2316"/>
    <w:rsid w:val="00BB5C49"/>
    <w:rsid w:val="00BB69F5"/>
    <w:rsid w:val="00BB7EC3"/>
    <w:rsid w:val="00BC4B9A"/>
    <w:rsid w:val="00BD02C3"/>
    <w:rsid w:val="00BD7483"/>
    <w:rsid w:val="00BD784C"/>
    <w:rsid w:val="00BE020A"/>
    <w:rsid w:val="00BE13DF"/>
    <w:rsid w:val="00BF092C"/>
    <w:rsid w:val="00BF27A0"/>
    <w:rsid w:val="00BF4CB6"/>
    <w:rsid w:val="00BF7614"/>
    <w:rsid w:val="00C00DA7"/>
    <w:rsid w:val="00C04CDE"/>
    <w:rsid w:val="00C10B78"/>
    <w:rsid w:val="00C125E1"/>
    <w:rsid w:val="00C12768"/>
    <w:rsid w:val="00C12D70"/>
    <w:rsid w:val="00C21B09"/>
    <w:rsid w:val="00C2673A"/>
    <w:rsid w:val="00C27B58"/>
    <w:rsid w:val="00C35996"/>
    <w:rsid w:val="00C41F76"/>
    <w:rsid w:val="00C4747E"/>
    <w:rsid w:val="00C5151E"/>
    <w:rsid w:val="00C5342C"/>
    <w:rsid w:val="00C53B2B"/>
    <w:rsid w:val="00C57B43"/>
    <w:rsid w:val="00C60272"/>
    <w:rsid w:val="00C603D4"/>
    <w:rsid w:val="00C6256A"/>
    <w:rsid w:val="00C66411"/>
    <w:rsid w:val="00C710E2"/>
    <w:rsid w:val="00C71C3F"/>
    <w:rsid w:val="00C72652"/>
    <w:rsid w:val="00C7409E"/>
    <w:rsid w:val="00C74D6D"/>
    <w:rsid w:val="00C76E76"/>
    <w:rsid w:val="00C7700E"/>
    <w:rsid w:val="00C7758A"/>
    <w:rsid w:val="00C77891"/>
    <w:rsid w:val="00C91449"/>
    <w:rsid w:val="00C92D10"/>
    <w:rsid w:val="00CA48D9"/>
    <w:rsid w:val="00CA4A9B"/>
    <w:rsid w:val="00CB0FD2"/>
    <w:rsid w:val="00CB1193"/>
    <w:rsid w:val="00CB4767"/>
    <w:rsid w:val="00CB493D"/>
    <w:rsid w:val="00CC3B97"/>
    <w:rsid w:val="00CE10C4"/>
    <w:rsid w:val="00CE27B5"/>
    <w:rsid w:val="00CE3336"/>
    <w:rsid w:val="00CE6DAF"/>
    <w:rsid w:val="00CF410A"/>
    <w:rsid w:val="00CF5BDA"/>
    <w:rsid w:val="00D0068F"/>
    <w:rsid w:val="00D0321E"/>
    <w:rsid w:val="00D07A8A"/>
    <w:rsid w:val="00D10D74"/>
    <w:rsid w:val="00D1455A"/>
    <w:rsid w:val="00D165C7"/>
    <w:rsid w:val="00D169F5"/>
    <w:rsid w:val="00D22093"/>
    <w:rsid w:val="00D31150"/>
    <w:rsid w:val="00D3138B"/>
    <w:rsid w:val="00D3280C"/>
    <w:rsid w:val="00D3406A"/>
    <w:rsid w:val="00D40B11"/>
    <w:rsid w:val="00D429B4"/>
    <w:rsid w:val="00D441F1"/>
    <w:rsid w:val="00D455C5"/>
    <w:rsid w:val="00D4572C"/>
    <w:rsid w:val="00D469B2"/>
    <w:rsid w:val="00D54B09"/>
    <w:rsid w:val="00D55E9D"/>
    <w:rsid w:val="00D65658"/>
    <w:rsid w:val="00D72B6F"/>
    <w:rsid w:val="00D741EB"/>
    <w:rsid w:val="00D7679C"/>
    <w:rsid w:val="00D820F3"/>
    <w:rsid w:val="00D83605"/>
    <w:rsid w:val="00D84934"/>
    <w:rsid w:val="00D91271"/>
    <w:rsid w:val="00D919F5"/>
    <w:rsid w:val="00D94F03"/>
    <w:rsid w:val="00D95E27"/>
    <w:rsid w:val="00DA0A82"/>
    <w:rsid w:val="00DA0D14"/>
    <w:rsid w:val="00DA1FC9"/>
    <w:rsid w:val="00DA2CB5"/>
    <w:rsid w:val="00DA4BAC"/>
    <w:rsid w:val="00DA670C"/>
    <w:rsid w:val="00DB0151"/>
    <w:rsid w:val="00DC2C3E"/>
    <w:rsid w:val="00DC4880"/>
    <w:rsid w:val="00DE6D27"/>
    <w:rsid w:val="00DF01F8"/>
    <w:rsid w:val="00DF217D"/>
    <w:rsid w:val="00DF26A7"/>
    <w:rsid w:val="00DF3277"/>
    <w:rsid w:val="00DF3E3B"/>
    <w:rsid w:val="00DF7919"/>
    <w:rsid w:val="00E003F5"/>
    <w:rsid w:val="00E0207E"/>
    <w:rsid w:val="00E03912"/>
    <w:rsid w:val="00E078D9"/>
    <w:rsid w:val="00E10293"/>
    <w:rsid w:val="00E15627"/>
    <w:rsid w:val="00E164B3"/>
    <w:rsid w:val="00E16910"/>
    <w:rsid w:val="00E24E09"/>
    <w:rsid w:val="00E25DBF"/>
    <w:rsid w:val="00E27234"/>
    <w:rsid w:val="00E3495C"/>
    <w:rsid w:val="00E42BDB"/>
    <w:rsid w:val="00E4646B"/>
    <w:rsid w:val="00E57EEB"/>
    <w:rsid w:val="00E620A9"/>
    <w:rsid w:val="00E62D94"/>
    <w:rsid w:val="00E64F37"/>
    <w:rsid w:val="00E65E54"/>
    <w:rsid w:val="00E661C7"/>
    <w:rsid w:val="00E80155"/>
    <w:rsid w:val="00E8134B"/>
    <w:rsid w:val="00E81A40"/>
    <w:rsid w:val="00E81E0D"/>
    <w:rsid w:val="00E81F28"/>
    <w:rsid w:val="00E848C0"/>
    <w:rsid w:val="00E91B96"/>
    <w:rsid w:val="00E93D1E"/>
    <w:rsid w:val="00E941A1"/>
    <w:rsid w:val="00E95CE3"/>
    <w:rsid w:val="00EA252F"/>
    <w:rsid w:val="00EA2825"/>
    <w:rsid w:val="00EA2F1E"/>
    <w:rsid w:val="00EA6518"/>
    <w:rsid w:val="00EA7466"/>
    <w:rsid w:val="00EA7EDE"/>
    <w:rsid w:val="00EB0B63"/>
    <w:rsid w:val="00EB1936"/>
    <w:rsid w:val="00EB33EA"/>
    <w:rsid w:val="00EB37BE"/>
    <w:rsid w:val="00EB5088"/>
    <w:rsid w:val="00EB63DA"/>
    <w:rsid w:val="00ED1644"/>
    <w:rsid w:val="00ED2593"/>
    <w:rsid w:val="00ED7422"/>
    <w:rsid w:val="00ED7D55"/>
    <w:rsid w:val="00ED7D9C"/>
    <w:rsid w:val="00EE31A2"/>
    <w:rsid w:val="00EE32F3"/>
    <w:rsid w:val="00EF0069"/>
    <w:rsid w:val="00EF16C7"/>
    <w:rsid w:val="00EF44A0"/>
    <w:rsid w:val="00EF4FED"/>
    <w:rsid w:val="00EF6FB3"/>
    <w:rsid w:val="00F007C6"/>
    <w:rsid w:val="00F0172E"/>
    <w:rsid w:val="00F050BD"/>
    <w:rsid w:val="00F05657"/>
    <w:rsid w:val="00F17ED6"/>
    <w:rsid w:val="00F209E2"/>
    <w:rsid w:val="00F25578"/>
    <w:rsid w:val="00F258E5"/>
    <w:rsid w:val="00F25B9C"/>
    <w:rsid w:val="00F26CC6"/>
    <w:rsid w:val="00F300BC"/>
    <w:rsid w:val="00F31FB1"/>
    <w:rsid w:val="00F3263C"/>
    <w:rsid w:val="00F3334E"/>
    <w:rsid w:val="00F36CCB"/>
    <w:rsid w:val="00F374E5"/>
    <w:rsid w:val="00F37B93"/>
    <w:rsid w:val="00F37BAD"/>
    <w:rsid w:val="00F37ECA"/>
    <w:rsid w:val="00F43AF2"/>
    <w:rsid w:val="00F5007E"/>
    <w:rsid w:val="00F50EC4"/>
    <w:rsid w:val="00F52232"/>
    <w:rsid w:val="00F550CF"/>
    <w:rsid w:val="00F57A6D"/>
    <w:rsid w:val="00F638CC"/>
    <w:rsid w:val="00F64C9E"/>
    <w:rsid w:val="00F64CC1"/>
    <w:rsid w:val="00F72317"/>
    <w:rsid w:val="00F80475"/>
    <w:rsid w:val="00F8247A"/>
    <w:rsid w:val="00F82E5C"/>
    <w:rsid w:val="00F9629A"/>
    <w:rsid w:val="00F97EFC"/>
    <w:rsid w:val="00FA1BDD"/>
    <w:rsid w:val="00FA305C"/>
    <w:rsid w:val="00FA4DD5"/>
    <w:rsid w:val="00FA5883"/>
    <w:rsid w:val="00FA6055"/>
    <w:rsid w:val="00FB0B39"/>
    <w:rsid w:val="00FB322F"/>
    <w:rsid w:val="00FB442F"/>
    <w:rsid w:val="00FC118C"/>
    <w:rsid w:val="00FC1929"/>
    <w:rsid w:val="00FC5B46"/>
    <w:rsid w:val="00FD6D8E"/>
    <w:rsid w:val="00FD7462"/>
    <w:rsid w:val="00FE0663"/>
    <w:rsid w:val="00FE0E94"/>
    <w:rsid w:val="00FE3CD9"/>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15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new sty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Table Legend,Bullet1,Bullet 1,Bullet List,Section 5,ES Paragraph,PBAC ES Paragraph,PBAC normal points"/>
    <w:next w:val="ListBullet"/>
    <w:link w:val="ListParagraphChar"/>
    <w:uiPriority w:val="1"/>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Table Legend Char,Bullet1 Char,Bullet 1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character" w:styleId="FootnoteReference">
    <w:name w:val="footnote reference"/>
    <w:basedOn w:val="DefaultParagraphFont"/>
    <w:semiHidden/>
    <w:unhideWhenUsed/>
    <w:rsid w:val="003B36C2"/>
    <w:rPr>
      <w:vertAlign w:val="superscript"/>
    </w:rPr>
  </w:style>
  <w:style w:type="paragraph" w:customStyle="1" w:styleId="Body">
    <w:name w:val="Body"/>
    <w:basedOn w:val="Normal"/>
    <w:link w:val="BodyChar"/>
    <w:qFormat/>
    <w:rsid w:val="008712D6"/>
    <w:pPr>
      <w:spacing w:before="240" w:line="276" w:lineRule="auto"/>
    </w:pPr>
    <w:rPr>
      <w:rFonts w:eastAsia="Calibri" w:cs="Calibri"/>
      <w:sz w:val="22"/>
    </w:rPr>
  </w:style>
  <w:style w:type="character" w:customStyle="1" w:styleId="BodyChar">
    <w:name w:val="Body Char"/>
    <w:link w:val="Body"/>
    <w:rsid w:val="008712D6"/>
    <w:rPr>
      <w:rFonts w:ascii="Calibri" w:eastAsia="Calibri" w:hAnsi="Calibri" w:cs="Calibri"/>
      <w:sz w:val="22"/>
      <w:szCs w:val="24"/>
    </w:rPr>
  </w:style>
  <w:style w:type="paragraph" w:styleId="FootnoteText">
    <w:name w:val="footnote text"/>
    <w:basedOn w:val="Normal"/>
    <w:link w:val="FootnoteTextChar"/>
    <w:unhideWhenUsed/>
    <w:rsid w:val="005B3275"/>
    <w:rPr>
      <w:sz w:val="20"/>
      <w:szCs w:val="20"/>
    </w:rPr>
  </w:style>
  <w:style w:type="character" w:customStyle="1" w:styleId="FootnoteTextChar">
    <w:name w:val="Footnote Text Char"/>
    <w:basedOn w:val="DefaultParagraphFont"/>
    <w:link w:val="FootnoteText"/>
    <w:rsid w:val="005B3275"/>
    <w:rPr>
      <w:rFonts w:ascii="Calibri" w:hAnsi="Calibri"/>
    </w:rPr>
  </w:style>
  <w:style w:type="paragraph" w:customStyle="1" w:styleId="TableNotes0">
    <w:name w:val="TableNotes+0"/>
    <w:basedOn w:val="Normal"/>
    <w:rsid w:val="00DA670C"/>
    <w:pPr>
      <w:keepNext/>
      <w:keepLines/>
      <w:ind w:left="720"/>
      <w:jc w:val="left"/>
    </w:pPr>
    <w:rPr>
      <w:rFonts w:ascii="Arial Narrow" w:hAnsi="Arial Narrow" w:cs="Arial Narrow"/>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01922462">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C65A-77CA-45DA-8937-6A05C4DE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1490</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2021-03-03T22:47:00Z</dcterms:created>
  <dcterms:modified xsi:type="dcterms:W3CDTF">2021-03-03T22:47:00Z</dcterms:modified>
</cp:coreProperties>
</file>