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F3B0E" w14:textId="22B40A8E" w:rsidR="00FB59EC" w:rsidRPr="00717308" w:rsidRDefault="00FB59EC" w:rsidP="00FB59EC">
      <w:pPr>
        <w:pStyle w:val="1MainTitle"/>
        <w:rPr>
          <w:rFonts w:asciiTheme="minorHAnsi" w:hAnsiTheme="minorHAnsi" w:cstheme="minorHAnsi"/>
        </w:rPr>
      </w:pPr>
      <w:bookmarkStart w:id="0" w:name="_Toc440980439"/>
      <w:r w:rsidRPr="00717308">
        <w:rPr>
          <w:rFonts w:asciiTheme="minorHAnsi" w:hAnsiTheme="minorHAnsi" w:cstheme="minorHAnsi"/>
        </w:rPr>
        <w:t xml:space="preserve">Agenda item </w:t>
      </w:r>
      <w:r w:rsidR="007856D8">
        <w:rPr>
          <w:rFonts w:asciiTheme="minorHAnsi" w:hAnsiTheme="minorHAnsi" w:cstheme="minorHAnsi"/>
        </w:rPr>
        <w:t>12.01</w:t>
      </w:r>
      <w:r w:rsidR="0013532B" w:rsidRPr="00717308">
        <w:rPr>
          <w:rFonts w:asciiTheme="minorHAnsi" w:hAnsiTheme="minorHAnsi" w:cstheme="minorHAnsi"/>
        </w:rPr>
        <w:t xml:space="preserve"> </w:t>
      </w:r>
    </w:p>
    <w:p w14:paraId="567978ED" w14:textId="16512C45" w:rsidR="00FB59EC" w:rsidRPr="00717308" w:rsidRDefault="00BF4FC2" w:rsidP="00FB59EC">
      <w:pPr>
        <w:pStyle w:val="1MainTitle"/>
        <w:ind w:left="0" w:firstLine="0"/>
        <w:rPr>
          <w:rFonts w:asciiTheme="minorHAnsi" w:hAnsiTheme="minorHAnsi" w:cstheme="minorHAnsi"/>
        </w:rPr>
      </w:pPr>
      <w:r>
        <w:rPr>
          <w:rFonts w:asciiTheme="minorHAnsi" w:hAnsiTheme="minorHAnsi" w:cstheme="minorHAnsi"/>
        </w:rPr>
        <w:t xml:space="preserve">Nurse Practitioners as secondary reviewers for ongoing treatment </w:t>
      </w:r>
      <w:r w:rsidR="00342228">
        <w:rPr>
          <w:rFonts w:asciiTheme="minorHAnsi" w:hAnsiTheme="minorHAnsi" w:cstheme="minorHAnsi"/>
        </w:rPr>
        <w:t xml:space="preserve">with opioid medications </w:t>
      </w:r>
    </w:p>
    <w:p w14:paraId="0D210B12" w14:textId="77777777" w:rsidR="00FB59EC" w:rsidRPr="0071655B" w:rsidRDefault="00FB59EC" w:rsidP="00FB59EC">
      <w:pPr>
        <w:pStyle w:val="2Sections"/>
        <w:numPr>
          <w:ilvl w:val="0"/>
          <w:numId w:val="2"/>
        </w:numPr>
        <w:ind w:left="709" w:hanging="709"/>
      </w:pPr>
      <w:r w:rsidRPr="0071655B">
        <w:t xml:space="preserve">Purpose of </w:t>
      </w:r>
      <w:bookmarkEnd w:id="0"/>
      <w:r w:rsidRPr="0071655B">
        <w:t>Item</w:t>
      </w:r>
    </w:p>
    <w:p w14:paraId="47B26564" w14:textId="784ED1F6" w:rsidR="00FB59EC" w:rsidRDefault="005D7E17" w:rsidP="00FB1DE9">
      <w:pPr>
        <w:pStyle w:val="4Bodytextnumbered"/>
        <w:numPr>
          <w:ilvl w:val="1"/>
          <w:numId w:val="2"/>
        </w:numPr>
        <w:ind w:left="709" w:hanging="709"/>
      </w:pPr>
      <w:r>
        <w:t xml:space="preserve">To </w:t>
      </w:r>
      <w:r w:rsidR="00BF4FC2">
        <w:t>consider the request from the Australian College of Nurse Practitioners</w:t>
      </w:r>
      <w:r w:rsidR="00DB43D3">
        <w:t xml:space="preserve"> (ACNP)</w:t>
      </w:r>
      <w:r w:rsidR="00BF4FC2">
        <w:t xml:space="preserve"> to allow Nurse Practitioners </w:t>
      </w:r>
      <w:r w:rsidR="00DB43D3">
        <w:t xml:space="preserve">(NP) </w:t>
      </w:r>
      <w:r w:rsidR="00BF4FC2">
        <w:t xml:space="preserve">to </w:t>
      </w:r>
      <w:r w:rsidR="00BE22C8">
        <w:t xml:space="preserve">conduct the </w:t>
      </w:r>
      <w:r w:rsidR="00BF4FC2">
        <w:t>secondary</w:t>
      </w:r>
      <w:r w:rsidR="00BE22C8">
        <w:t xml:space="preserve"> annual</w:t>
      </w:r>
      <w:r w:rsidR="00BF4FC2">
        <w:t xml:space="preserve"> review </w:t>
      </w:r>
      <w:r w:rsidR="004A24BD">
        <w:t>required for</w:t>
      </w:r>
      <w:r w:rsidR="00BE22C8">
        <w:t xml:space="preserve"> patients </w:t>
      </w:r>
      <w:r w:rsidR="004A24BD">
        <w:t xml:space="preserve">to access </w:t>
      </w:r>
      <w:r w:rsidR="00BE22C8">
        <w:t>ongoing</w:t>
      </w:r>
      <w:r w:rsidR="00BF4FC2">
        <w:t xml:space="preserve"> treatment</w:t>
      </w:r>
      <w:r w:rsidR="00BE22C8">
        <w:t xml:space="preserve"> with PBS subsidised </w:t>
      </w:r>
      <w:r w:rsidR="00BF4FC2">
        <w:t>opioid medications</w:t>
      </w:r>
      <w:r w:rsidR="00442C2B">
        <w:t>.</w:t>
      </w:r>
      <w:r>
        <w:t xml:space="preserve"> </w:t>
      </w:r>
    </w:p>
    <w:p w14:paraId="302702AA" w14:textId="77777777" w:rsidR="00FB59EC" w:rsidRPr="00BF4FC2" w:rsidRDefault="00FB59EC" w:rsidP="00FB59EC">
      <w:pPr>
        <w:pStyle w:val="2Sections"/>
        <w:keepNext/>
        <w:numPr>
          <w:ilvl w:val="0"/>
          <w:numId w:val="2"/>
        </w:numPr>
        <w:ind w:left="709" w:hanging="709"/>
      </w:pPr>
      <w:r w:rsidRPr="00BF4FC2">
        <w:t>Background</w:t>
      </w:r>
    </w:p>
    <w:p w14:paraId="6070878B" w14:textId="11CB8DF1" w:rsidR="009632D7" w:rsidRDefault="00D27F22" w:rsidP="009632D7">
      <w:pPr>
        <w:pStyle w:val="4Bodytextnumbered"/>
        <w:rPr>
          <w:i/>
        </w:rPr>
      </w:pPr>
      <w:r>
        <w:rPr>
          <w:i/>
        </w:rPr>
        <w:t>Revised Opioids PBS listings</w:t>
      </w:r>
    </w:p>
    <w:p w14:paraId="15E287CA" w14:textId="284BA715" w:rsidR="005801A9" w:rsidRPr="000E3108" w:rsidRDefault="002615C1" w:rsidP="005E65CA">
      <w:pPr>
        <w:pStyle w:val="4Bodytextnumbered"/>
        <w:numPr>
          <w:ilvl w:val="1"/>
          <w:numId w:val="2"/>
        </w:numPr>
        <w:ind w:left="709" w:hanging="709"/>
      </w:pPr>
      <w:r>
        <w:t xml:space="preserve">A </w:t>
      </w:r>
      <w:r w:rsidR="00437F36" w:rsidRPr="00437F36">
        <w:t>number of changes to opioid listings which were recommended by the PBAC in December 2019 were implemented on 1 June 2020. These changes were intended to align the opioid listings with regulatory measures undertaken by the Therapeutic Goods Administration (TGA) to reduce the harms associated with prescription opioid dependence and inappropriate use, including overdose fatalities. The regulatory measures were based on the findings from the TGA’s 2018 prescription opioid review, and advice received from the Opioid Regulatory Advisory Group (ORAG).</w:t>
      </w:r>
    </w:p>
    <w:p w14:paraId="7B239719" w14:textId="3EC8C17D" w:rsidR="00012A12" w:rsidRDefault="00FF23B1" w:rsidP="00B6000B">
      <w:pPr>
        <w:pStyle w:val="4Bodytextnumbered"/>
        <w:numPr>
          <w:ilvl w:val="1"/>
          <w:numId w:val="2"/>
        </w:numPr>
        <w:ind w:left="709" w:hanging="709"/>
      </w:pPr>
      <w:r>
        <w:t xml:space="preserve">The 1 June 2020 changes included the addition of </w:t>
      </w:r>
      <w:r w:rsidR="005D013E">
        <w:t xml:space="preserve">the </w:t>
      </w:r>
      <w:r>
        <w:t>requirement</w:t>
      </w:r>
      <w:r w:rsidR="00FA0E2C">
        <w:t xml:space="preserve"> for patients who have</w:t>
      </w:r>
      <w:r w:rsidR="005D013E">
        <w:t xml:space="preserve"> received combined non-PBS and PBS opioid treatment</w:t>
      </w:r>
      <w:r>
        <w:t xml:space="preserve"> </w:t>
      </w:r>
      <w:r w:rsidR="005D013E">
        <w:t xml:space="preserve">for greater than 12 months to have their condition reviewed, and need for ongoing opioid treatment confirmed, annually by a second medical practitioner. This requirement applies only where authorisation to supply an increased quantity or repeats is requested by the prescriber. </w:t>
      </w:r>
    </w:p>
    <w:p w14:paraId="3E24E9F4" w14:textId="77777777" w:rsidR="000811F8" w:rsidRPr="000811F8" w:rsidRDefault="005E65CA" w:rsidP="001F255B">
      <w:pPr>
        <w:pStyle w:val="4Bodytextnumbered"/>
        <w:numPr>
          <w:ilvl w:val="1"/>
          <w:numId w:val="2"/>
        </w:numPr>
        <w:ind w:left="709" w:hanging="709"/>
      </w:pPr>
      <w:r>
        <w:t>At its</w:t>
      </w:r>
      <w:r w:rsidR="006C7E60">
        <w:t xml:space="preserve"> July 2020</w:t>
      </w:r>
      <w:r>
        <w:t xml:space="preserve"> meeting</w:t>
      </w:r>
      <w:r w:rsidR="006C7E60">
        <w:t xml:space="preserve">, the PBAC Executive noted </w:t>
      </w:r>
      <w:r w:rsidR="005D013E">
        <w:t xml:space="preserve">the implementation of this requirement had created unintended barriers in access to opioids </w:t>
      </w:r>
      <w:r w:rsidR="006C7E60">
        <w:t xml:space="preserve">for palliative care patients </w:t>
      </w:r>
      <w:r>
        <w:t xml:space="preserve">and recalled the PBAC’s intention </w:t>
      </w:r>
      <w:r w:rsidR="007D386A">
        <w:t xml:space="preserve">was </w:t>
      </w:r>
      <w:r w:rsidR="006C7E60">
        <w:rPr>
          <w:rFonts w:cstheme="minorHAnsi"/>
        </w:rPr>
        <w:t xml:space="preserve">to prevent disruption </w:t>
      </w:r>
      <w:r>
        <w:rPr>
          <w:rFonts w:cstheme="minorHAnsi"/>
        </w:rPr>
        <w:t>of</w:t>
      </w:r>
      <w:r w:rsidR="006C7E60">
        <w:rPr>
          <w:rFonts w:cstheme="minorHAnsi"/>
        </w:rPr>
        <w:t xml:space="preserve"> supply for these patients. </w:t>
      </w:r>
    </w:p>
    <w:p w14:paraId="1B35B530" w14:textId="21F13903" w:rsidR="005801A9" w:rsidRPr="00E928AC" w:rsidRDefault="001F255B" w:rsidP="001F255B">
      <w:pPr>
        <w:pStyle w:val="4Bodytextnumbered"/>
        <w:numPr>
          <w:ilvl w:val="1"/>
          <w:numId w:val="2"/>
        </w:numPr>
        <w:ind w:left="709" w:hanging="709"/>
      </w:pPr>
      <w:r>
        <w:rPr>
          <w:rFonts w:cstheme="minorHAnsi"/>
        </w:rPr>
        <w:t xml:space="preserve">A corrigendum was added to </w:t>
      </w:r>
      <w:r w:rsidR="006C7E60">
        <w:rPr>
          <w:rFonts w:cstheme="minorHAnsi"/>
        </w:rPr>
        <w:t>the December 2019 minutes, stating that, f</w:t>
      </w:r>
      <w:r w:rsidR="006C7E60" w:rsidRPr="00146DD7">
        <w:rPr>
          <w:rFonts w:cstheme="minorHAnsi"/>
        </w:rPr>
        <w:t xml:space="preserve">or palliative care patients, treatment </w:t>
      </w:r>
      <w:r w:rsidR="006C7E60">
        <w:rPr>
          <w:rFonts w:cstheme="minorHAnsi"/>
        </w:rPr>
        <w:t xml:space="preserve">review after 12 months </w:t>
      </w:r>
      <w:r w:rsidR="004A24BD">
        <w:rPr>
          <w:rFonts w:cstheme="minorHAnsi"/>
        </w:rPr>
        <w:t xml:space="preserve">could </w:t>
      </w:r>
      <w:r w:rsidR="006C7E60">
        <w:rPr>
          <w:rFonts w:cstheme="minorHAnsi"/>
        </w:rPr>
        <w:t>be</w:t>
      </w:r>
      <w:r w:rsidR="006C7E60" w:rsidRPr="00146DD7">
        <w:rPr>
          <w:rFonts w:cstheme="minorHAnsi"/>
        </w:rPr>
        <w:t xml:space="preserve"> in consultation with a palliative care </w:t>
      </w:r>
      <w:r w:rsidR="006C7E60">
        <w:rPr>
          <w:rFonts w:cstheme="minorHAnsi"/>
        </w:rPr>
        <w:t>nurse practitioner (in addition to a medical practitioner).</w:t>
      </w:r>
      <w:r>
        <w:rPr>
          <w:rFonts w:cstheme="minorHAnsi"/>
        </w:rPr>
        <w:t xml:space="preserve"> In addition, </w:t>
      </w:r>
      <w:r w:rsidR="006C7E60">
        <w:rPr>
          <w:rFonts w:cstheme="minorHAnsi"/>
        </w:rPr>
        <w:t>the</w:t>
      </w:r>
      <w:r w:rsidR="00BA0FE7">
        <w:rPr>
          <w:rFonts w:cstheme="minorHAnsi"/>
        </w:rPr>
        <w:t xml:space="preserve"> </w:t>
      </w:r>
      <w:r>
        <w:rPr>
          <w:rFonts w:cstheme="minorHAnsi"/>
        </w:rPr>
        <w:t xml:space="preserve">corrigendum advised that </w:t>
      </w:r>
      <w:r w:rsidR="00BA0FE7">
        <w:rPr>
          <w:rFonts w:cstheme="minorHAnsi"/>
        </w:rPr>
        <w:t>opioid</w:t>
      </w:r>
      <w:r w:rsidR="006C7E60">
        <w:rPr>
          <w:rFonts w:cstheme="minorHAnsi"/>
        </w:rPr>
        <w:t xml:space="preserve"> restrictions </w:t>
      </w:r>
      <w:r w:rsidR="00BA0FE7">
        <w:rPr>
          <w:rFonts w:cstheme="minorHAnsi"/>
        </w:rPr>
        <w:t xml:space="preserve">could </w:t>
      </w:r>
      <w:r w:rsidR="006C7E60">
        <w:rPr>
          <w:rFonts w:cstheme="minorHAnsi"/>
        </w:rPr>
        <w:t xml:space="preserve">be amended to exempt palliative patients, who have been prescribed </w:t>
      </w:r>
      <w:r w:rsidR="006C7E60" w:rsidRPr="007F018F">
        <w:rPr>
          <w:rFonts w:cstheme="minorHAnsi"/>
        </w:rPr>
        <w:t>opioids for greater than 12 months but are unable to attend a secondary consultation due to their clinical condition, from the annual review requirement.</w:t>
      </w:r>
      <w:r w:rsidR="006C7E60">
        <w:rPr>
          <w:rFonts w:cstheme="minorHAnsi"/>
        </w:rPr>
        <w:t xml:space="preserve"> </w:t>
      </w:r>
      <w:r w:rsidR="00DB43D3">
        <w:rPr>
          <w:rFonts w:cstheme="minorHAnsi"/>
        </w:rPr>
        <w:t xml:space="preserve">These changes were implemented on 1 October 2020. </w:t>
      </w:r>
    </w:p>
    <w:p w14:paraId="65C6F472" w14:textId="41C2A7EB" w:rsidR="00DB43D3" w:rsidRDefault="00DB43D3" w:rsidP="0093717C">
      <w:pPr>
        <w:pStyle w:val="2Sections"/>
        <w:keepNext/>
        <w:numPr>
          <w:ilvl w:val="0"/>
          <w:numId w:val="2"/>
        </w:numPr>
        <w:ind w:left="709" w:hanging="709"/>
      </w:pPr>
      <w:r w:rsidRPr="00DB43D3">
        <w:lastRenderedPageBreak/>
        <w:t>Current situation</w:t>
      </w:r>
    </w:p>
    <w:p w14:paraId="281A492A" w14:textId="5D1BC82B" w:rsidR="005B5ADB" w:rsidRDefault="005B5ADB" w:rsidP="00DB43D3">
      <w:pPr>
        <w:pStyle w:val="4Bodytextnumbered"/>
        <w:numPr>
          <w:ilvl w:val="1"/>
          <w:numId w:val="2"/>
        </w:numPr>
        <w:ind w:left="709" w:hanging="709"/>
      </w:pPr>
      <w:r>
        <w:t>The ACNP requested that NP be able to perform</w:t>
      </w:r>
      <w:r w:rsidR="000A36EA">
        <w:t xml:space="preserve"> the</w:t>
      </w:r>
      <w:r>
        <w:t xml:space="preserve"> secondary</w:t>
      </w:r>
      <w:r w:rsidR="000A36EA">
        <w:t xml:space="preserve"> annual</w:t>
      </w:r>
      <w:r>
        <w:t xml:space="preserve"> review on non-palliative</w:t>
      </w:r>
      <w:r w:rsidR="00A54D21">
        <w:t xml:space="preserve"> </w:t>
      </w:r>
      <w:r>
        <w:t xml:space="preserve">patients </w:t>
      </w:r>
      <w:r w:rsidR="000A36EA">
        <w:t xml:space="preserve">with chronic pain </w:t>
      </w:r>
      <w:r>
        <w:t xml:space="preserve">requiring </w:t>
      </w:r>
      <w:r w:rsidR="000A36EA">
        <w:t xml:space="preserve">more </w:t>
      </w:r>
      <w:r>
        <w:t xml:space="preserve">than 12 months of opioid treatment. </w:t>
      </w:r>
    </w:p>
    <w:p w14:paraId="624C77F1" w14:textId="3F230145" w:rsidR="00DB43D3" w:rsidRDefault="00DB43D3" w:rsidP="00DB43D3">
      <w:pPr>
        <w:pStyle w:val="4Bodytextnumbered"/>
        <w:numPr>
          <w:ilvl w:val="1"/>
          <w:numId w:val="2"/>
        </w:numPr>
        <w:ind w:left="709" w:hanging="709"/>
      </w:pPr>
      <w:r>
        <w:t xml:space="preserve">The ACNP stated that the addition of NP as second reviewer for ongoing treatment of </w:t>
      </w:r>
      <w:r w:rsidR="007D386A">
        <w:t xml:space="preserve">severe disabling </w:t>
      </w:r>
      <w:r w:rsidR="000A36EA">
        <w:t>c</w:t>
      </w:r>
      <w:r>
        <w:t xml:space="preserve">hronic </w:t>
      </w:r>
      <w:r w:rsidR="000A36EA">
        <w:t>p</w:t>
      </w:r>
      <w:r>
        <w:t>ain will assist in addressing the challenges of delivering health care in Australia including:</w:t>
      </w:r>
    </w:p>
    <w:p w14:paraId="59268780" w14:textId="018D5F5F" w:rsidR="00DB43D3" w:rsidRDefault="00DB43D3" w:rsidP="005B5ADB">
      <w:pPr>
        <w:pStyle w:val="4Bodytextnumbered"/>
        <w:numPr>
          <w:ilvl w:val="0"/>
          <w:numId w:val="18"/>
        </w:numPr>
        <w:spacing w:after="0"/>
      </w:pPr>
      <w:r>
        <w:t>Geographical challenges (regional, rural and remote)</w:t>
      </w:r>
    </w:p>
    <w:p w14:paraId="27908293" w14:textId="56EAAED7" w:rsidR="00DB43D3" w:rsidRDefault="00DB43D3" w:rsidP="005B5ADB">
      <w:pPr>
        <w:pStyle w:val="4Bodytextnumbered"/>
        <w:numPr>
          <w:ilvl w:val="0"/>
          <w:numId w:val="18"/>
        </w:numPr>
        <w:spacing w:after="0"/>
      </w:pPr>
      <w:r>
        <w:t>Economical cost (both patients and governments)</w:t>
      </w:r>
    </w:p>
    <w:p w14:paraId="044245ED" w14:textId="1E0B455A" w:rsidR="00DB43D3" w:rsidRDefault="00DB43D3" w:rsidP="005B5ADB">
      <w:pPr>
        <w:pStyle w:val="4Bodytextnumbered"/>
        <w:numPr>
          <w:ilvl w:val="0"/>
          <w:numId w:val="18"/>
        </w:numPr>
        <w:spacing w:after="0"/>
      </w:pPr>
      <w:r>
        <w:t>Improving access to treatment modalities/health care to all Australians (especially disadvantaged groups and in aged care)</w:t>
      </w:r>
    </w:p>
    <w:p w14:paraId="317057CD" w14:textId="31298632" w:rsidR="00DB43D3" w:rsidRDefault="00DB43D3" w:rsidP="005B5ADB">
      <w:pPr>
        <w:pStyle w:val="4Bodytextnumbered"/>
        <w:numPr>
          <w:ilvl w:val="0"/>
          <w:numId w:val="18"/>
        </w:numPr>
        <w:spacing w:after="0"/>
      </w:pPr>
      <w:r>
        <w:t>Provision of evidence-based health care</w:t>
      </w:r>
    </w:p>
    <w:p w14:paraId="210DF06D" w14:textId="6D950344" w:rsidR="00DB43D3" w:rsidRDefault="00DB43D3" w:rsidP="005B5ADB">
      <w:pPr>
        <w:pStyle w:val="4Bodytextnumbered"/>
        <w:numPr>
          <w:ilvl w:val="0"/>
          <w:numId w:val="18"/>
        </w:numPr>
        <w:spacing w:after="0"/>
      </w:pPr>
      <w:r>
        <w:t>Improving health outcomes for patients</w:t>
      </w:r>
    </w:p>
    <w:p w14:paraId="08F1662F" w14:textId="41B548FC" w:rsidR="00E421D6" w:rsidRDefault="00DB43D3" w:rsidP="001A747C">
      <w:pPr>
        <w:pStyle w:val="4Bodytextnumbered"/>
        <w:numPr>
          <w:ilvl w:val="0"/>
          <w:numId w:val="18"/>
        </w:numPr>
        <w:spacing w:after="0"/>
      </w:pPr>
      <w:r>
        <w:t>Recognition and acknowledgement of patient choice (who th</w:t>
      </w:r>
      <w:r w:rsidR="00F7221B">
        <w:t>ey want to conduct the review)</w:t>
      </w:r>
    </w:p>
    <w:p w14:paraId="5D46ADE1" w14:textId="1ACD9981" w:rsidR="000A6199" w:rsidRDefault="000A6199" w:rsidP="000A6199">
      <w:pPr>
        <w:pStyle w:val="2Sections"/>
        <w:keepNext/>
        <w:numPr>
          <w:ilvl w:val="0"/>
          <w:numId w:val="2"/>
        </w:numPr>
        <w:ind w:left="709" w:hanging="709"/>
      </w:pPr>
      <w:r>
        <w:t>PBAC Outcome</w:t>
      </w:r>
    </w:p>
    <w:p w14:paraId="526AED9C" w14:textId="57822CCC" w:rsidR="004C4DA3" w:rsidRPr="004C4DA3" w:rsidRDefault="004C4DA3" w:rsidP="004C4DA3">
      <w:pPr>
        <w:pStyle w:val="4Bodytextnumbered"/>
        <w:numPr>
          <w:ilvl w:val="1"/>
          <w:numId w:val="2"/>
        </w:numPr>
        <w:ind w:left="709" w:hanging="709"/>
        <w:rPr>
          <w:rFonts w:cstheme="minorHAnsi"/>
          <w:szCs w:val="24"/>
        </w:rPr>
      </w:pPr>
      <w:r w:rsidRPr="004C4DA3">
        <w:rPr>
          <w:rFonts w:cstheme="minorHAnsi"/>
          <w:szCs w:val="24"/>
        </w:rPr>
        <w:t>The PBAC did not support the request from the Australian College of Nurse Practitioners</w:t>
      </w:r>
      <w:r w:rsidR="003048FC">
        <w:rPr>
          <w:rFonts w:cstheme="minorHAnsi"/>
          <w:szCs w:val="24"/>
        </w:rPr>
        <w:t xml:space="preserve"> (ACNP)</w:t>
      </w:r>
      <w:r w:rsidRPr="004C4DA3">
        <w:rPr>
          <w:rFonts w:cstheme="minorHAnsi"/>
          <w:szCs w:val="24"/>
        </w:rPr>
        <w:t xml:space="preserve"> that Nurse Practitioners</w:t>
      </w:r>
      <w:r w:rsidR="003B1012">
        <w:rPr>
          <w:rFonts w:cstheme="minorHAnsi"/>
          <w:szCs w:val="24"/>
        </w:rPr>
        <w:t xml:space="preserve"> (NP)</w:t>
      </w:r>
      <w:r w:rsidRPr="004C4DA3">
        <w:rPr>
          <w:rFonts w:cstheme="minorHAnsi"/>
          <w:szCs w:val="24"/>
        </w:rPr>
        <w:t xml:space="preserve"> be able to perform the secondary annual review on non-palliative patients with chronic pain requiring more than 12 months of opioid treatment. </w:t>
      </w:r>
    </w:p>
    <w:p w14:paraId="7E5ACA6A" w14:textId="4590F070" w:rsidR="003B1012" w:rsidRDefault="003B1012" w:rsidP="00524501">
      <w:pPr>
        <w:pStyle w:val="4Bodytextnumbered"/>
        <w:numPr>
          <w:ilvl w:val="1"/>
          <w:numId w:val="2"/>
        </w:numPr>
        <w:ind w:left="709" w:hanging="709"/>
        <w:rPr>
          <w:rFonts w:cstheme="minorHAnsi"/>
          <w:szCs w:val="24"/>
        </w:rPr>
      </w:pPr>
      <w:r>
        <w:rPr>
          <w:rFonts w:cstheme="minorHAnsi"/>
          <w:szCs w:val="24"/>
        </w:rPr>
        <w:t xml:space="preserve">The PBAC noted there are only 2,097 NP registered with the Australian Health Practitioner Regulation Agency (AHPRA) nationally and considered it would not be in scope for all to be able to undertake the review. </w:t>
      </w:r>
    </w:p>
    <w:p w14:paraId="55DBB3EA" w14:textId="3D5A83C2" w:rsidR="003B1012" w:rsidRDefault="003B1012" w:rsidP="00524501">
      <w:pPr>
        <w:pStyle w:val="4Bodytextnumbered"/>
        <w:numPr>
          <w:ilvl w:val="1"/>
          <w:numId w:val="2"/>
        </w:numPr>
        <w:ind w:left="709" w:hanging="709"/>
        <w:rPr>
          <w:rFonts w:cstheme="minorHAnsi"/>
          <w:szCs w:val="24"/>
        </w:rPr>
      </w:pPr>
      <w:r>
        <w:rPr>
          <w:rFonts w:cstheme="minorHAnsi"/>
          <w:szCs w:val="24"/>
        </w:rPr>
        <w:t>The P</w:t>
      </w:r>
      <w:r w:rsidR="003048FC">
        <w:rPr>
          <w:rFonts w:cstheme="minorHAnsi"/>
          <w:szCs w:val="24"/>
        </w:rPr>
        <w:t xml:space="preserve">BAC considered that telehealth </w:t>
      </w:r>
      <w:r>
        <w:rPr>
          <w:rFonts w:cstheme="minorHAnsi"/>
          <w:szCs w:val="24"/>
        </w:rPr>
        <w:t>may be able to overcome some o</w:t>
      </w:r>
      <w:r w:rsidR="00B46591">
        <w:rPr>
          <w:rFonts w:cstheme="minorHAnsi"/>
          <w:szCs w:val="24"/>
        </w:rPr>
        <w:t xml:space="preserve">f </w:t>
      </w:r>
      <w:r w:rsidR="003048FC">
        <w:rPr>
          <w:rFonts w:cstheme="minorHAnsi"/>
          <w:szCs w:val="24"/>
        </w:rPr>
        <w:t xml:space="preserve">the ACNP’s </w:t>
      </w:r>
      <w:r w:rsidR="00B46591">
        <w:rPr>
          <w:rFonts w:cstheme="minorHAnsi"/>
          <w:szCs w:val="24"/>
        </w:rPr>
        <w:t>stated challenges of delivering health care in Australia</w:t>
      </w:r>
      <w:r w:rsidR="007B3346">
        <w:rPr>
          <w:rFonts w:cstheme="minorHAnsi"/>
          <w:szCs w:val="24"/>
        </w:rPr>
        <w:t xml:space="preserve"> outlined in paragraph 3.2, dependent on criteria changes</w:t>
      </w:r>
      <w:r w:rsidR="00BD1689">
        <w:rPr>
          <w:rFonts w:cstheme="minorHAnsi"/>
          <w:szCs w:val="24"/>
        </w:rPr>
        <w:t xml:space="preserve"> applied</w:t>
      </w:r>
      <w:r w:rsidR="007B3346">
        <w:rPr>
          <w:rFonts w:cstheme="minorHAnsi"/>
          <w:szCs w:val="24"/>
        </w:rPr>
        <w:t xml:space="preserve"> from March 2021. </w:t>
      </w:r>
    </w:p>
    <w:p w14:paraId="592361FC" w14:textId="776FF8A3" w:rsidR="00524501" w:rsidRDefault="004C4DA3" w:rsidP="00524501">
      <w:pPr>
        <w:pStyle w:val="4Bodytextnumbered"/>
        <w:numPr>
          <w:ilvl w:val="1"/>
          <w:numId w:val="2"/>
        </w:numPr>
        <w:ind w:left="709" w:hanging="709"/>
        <w:rPr>
          <w:rFonts w:cstheme="minorHAnsi"/>
          <w:szCs w:val="24"/>
        </w:rPr>
      </w:pPr>
      <w:r w:rsidRPr="004C4DA3">
        <w:rPr>
          <w:rFonts w:cstheme="minorHAnsi"/>
          <w:szCs w:val="24"/>
        </w:rPr>
        <w:t>The PBAC recalled that the changes to opioid listings (implemented on 1 June 2020) were intended to reduce the harms associated with prescription opioid dependence and inappropriate use, including overdose fatalities. In this context, the PBAC considered the request did not identify barriers to appropriate opioid access that the req</w:t>
      </w:r>
      <w:r w:rsidR="00D75868">
        <w:rPr>
          <w:rFonts w:cstheme="minorHAnsi"/>
          <w:szCs w:val="24"/>
        </w:rPr>
        <w:t xml:space="preserve">uested change would overcome. </w:t>
      </w:r>
    </w:p>
    <w:p w14:paraId="3E6BA819" w14:textId="77777777" w:rsidR="00524501" w:rsidRPr="00524501" w:rsidRDefault="00524501" w:rsidP="00524501">
      <w:pPr>
        <w:pStyle w:val="4Bodytextnumbered"/>
        <w:rPr>
          <w:rFonts w:cstheme="minorHAnsi"/>
          <w:szCs w:val="24"/>
        </w:rPr>
      </w:pPr>
    </w:p>
    <w:p w14:paraId="7597718A" w14:textId="31FA1AD7" w:rsidR="00384B54" w:rsidRDefault="00524501" w:rsidP="00524501">
      <w:pPr>
        <w:pStyle w:val="4Bodytextnumbered"/>
        <w:rPr>
          <w:rFonts w:cstheme="minorHAnsi"/>
          <w:szCs w:val="24"/>
        </w:rPr>
      </w:pPr>
      <w:r w:rsidRPr="00524501">
        <w:rPr>
          <w:rFonts w:cstheme="minorHAnsi"/>
          <w:b/>
          <w:szCs w:val="24"/>
        </w:rPr>
        <w:t>Outcome:</w:t>
      </w:r>
      <w:r>
        <w:rPr>
          <w:rFonts w:cstheme="minorHAnsi"/>
          <w:szCs w:val="24"/>
        </w:rPr>
        <w:t xml:space="preserve"> </w:t>
      </w:r>
      <w:r>
        <w:rPr>
          <w:rFonts w:cstheme="minorHAnsi"/>
          <w:szCs w:val="24"/>
        </w:rPr>
        <w:br/>
        <w:t xml:space="preserve">Advice provided </w:t>
      </w:r>
    </w:p>
    <w:p w14:paraId="3363E777" w14:textId="77777777" w:rsidR="00384B54" w:rsidRPr="00384B54" w:rsidRDefault="00384B54" w:rsidP="00384B54">
      <w:pPr>
        <w:pStyle w:val="2Sections"/>
        <w:keepNext/>
        <w:numPr>
          <w:ilvl w:val="0"/>
          <w:numId w:val="2"/>
        </w:numPr>
        <w:ind w:left="709" w:hanging="709"/>
      </w:pPr>
      <w:r w:rsidRPr="00C07617">
        <w:lastRenderedPageBreak/>
        <w:t>Context for Decision</w:t>
      </w:r>
    </w:p>
    <w:p w14:paraId="0BB2065D" w14:textId="66C0DBBF" w:rsidR="00D75868" w:rsidRPr="00AF3269" w:rsidRDefault="00384B54" w:rsidP="00AF3269">
      <w:pPr>
        <w:spacing w:after="1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bookmarkStart w:id="1" w:name="_GoBack"/>
      <w:bookmarkEnd w:id="1"/>
    </w:p>
    <w:sectPr w:rsidR="00D75868" w:rsidRPr="00AF3269" w:rsidSect="002A1ED4">
      <w:headerReference w:type="default" r:id="rId8"/>
      <w:footerReference w:type="default" r:id="rId9"/>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F0120" w14:textId="77777777" w:rsidR="002A1ED4" w:rsidRDefault="002A1ED4" w:rsidP="00FB59EC">
      <w:r>
        <w:separator/>
      </w:r>
    </w:p>
  </w:endnote>
  <w:endnote w:type="continuationSeparator" w:id="0">
    <w:p w14:paraId="76E1CD97" w14:textId="77777777" w:rsidR="002A1ED4" w:rsidRDefault="002A1ED4" w:rsidP="00FB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0546353"/>
      <w:docPartObj>
        <w:docPartGallery w:val="Page Numbers (Bottom of Page)"/>
        <w:docPartUnique/>
      </w:docPartObj>
    </w:sdtPr>
    <w:sdtEndPr>
      <w:rPr>
        <w:noProof/>
      </w:rPr>
    </w:sdtEndPr>
    <w:sdtContent>
      <w:p w14:paraId="700966A9" w14:textId="77777777" w:rsidR="0082678C" w:rsidRPr="0082678C" w:rsidRDefault="0082678C" w:rsidP="0082678C">
        <w:pPr>
          <w:pStyle w:val="Footer"/>
          <w:jc w:val="center"/>
          <w:rPr>
            <w:rFonts w:asciiTheme="minorHAnsi" w:hAnsiTheme="minorHAnsi" w:cstheme="minorHAnsi"/>
            <w:b/>
          </w:rPr>
        </w:pPr>
      </w:p>
      <w:p w14:paraId="69D51600" w14:textId="2CB81D49" w:rsidR="002A1ED4" w:rsidRPr="0082678C" w:rsidRDefault="0082678C" w:rsidP="0082678C">
        <w:pPr>
          <w:pStyle w:val="Footer"/>
          <w:jc w:val="center"/>
        </w:pPr>
        <w:r w:rsidRPr="0082678C">
          <w:rPr>
            <w:rFonts w:asciiTheme="minorHAnsi" w:hAnsiTheme="minorHAnsi" w:cstheme="minorHAnsi"/>
            <w:b/>
          </w:rPr>
          <w:fldChar w:fldCharType="begin"/>
        </w:r>
        <w:r w:rsidRPr="0082678C">
          <w:rPr>
            <w:rFonts w:asciiTheme="minorHAnsi" w:hAnsiTheme="minorHAnsi" w:cstheme="minorHAnsi"/>
            <w:b/>
          </w:rPr>
          <w:instrText xml:space="preserve"> PAGE   \* MERGEFORMAT </w:instrText>
        </w:r>
        <w:r w:rsidRPr="0082678C">
          <w:rPr>
            <w:rFonts w:asciiTheme="minorHAnsi" w:hAnsiTheme="minorHAnsi" w:cstheme="minorHAnsi"/>
            <w:b/>
          </w:rPr>
          <w:fldChar w:fldCharType="separate"/>
        </w:r>
        <w:r w:rsidR="00AF3269">
          <w:rPr>
            <w:rFonts w:asciiTheme="minorHAnsi" w:hAnsiTheme="minorHAnsi" w:cstheme="minorHAnsi"/>
            <w:b/>
            <w:noProof/>
          </w:rPr>
          <w:t>3</w:t>
        </w:r>
        <w:r w:rsidRPr="0082678C">
          <w:rPr>
            <w:rFonts w:asciiTheme="minorHAnsi" w:hAnsiTheme="minorHAnsi" w:cstheme="minorHAnsi"/>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CBD66" w14:textId="77777777" w:rsidR="002A1ED4" w:rsidRDefault="002A1ED4" w:rsidP="00FB59EC">
      <w:r>
        <w:separator/>
      </w:r>
    </w:p>
  </w:footnote>
  <w:footnote w:type="continuationSeparator" w:id="0">
    <w:p w14:paraId="76A40816" w14:textId="77777777" w:rsidR="002A1ED4" w:rsidRDefault="002A1ED4" w:rsidP="00FB5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B76B5" w14:textId="16836327" w:rsidR="00326ED8" w:rsidRPr="00056684" w:rsidRDefault="00384B54" w:rsidP="00326ED8">
    <w:pPr>
      <w:pStyle w:val="Header"/>
      <w:ind w:left="360"/>
      <w:jc w:val="center"/>
      <w:rPr>
        <w:rFonts w:asciiTheme="minorHAnsi" w:hAnsiTheme="minorHAnsi"/>
        <w:i/>
        <w:color w:val="808080"/>
      </w:rPr>
    </w:pPr>
    <w:r>
      <w:rPr>
        <w:rFonts w:asciiTheme="minorHAnsi" w:hAnsiTheme="minorHAnsi"/>
        <w:i/>
        <w:color w:val="808080"/>
      </w:rPr>
      <w:t>Public Summary Document</w:t>
    </w:r>
    <w:r w:rsidR="00524501">
      <w:rPr>
        <w:rFonts w:asciiTheme="minorHAnsi" w:hAnsiTheme="minorHAnsi"/>
        <w:i/>
        <w:color w:val="808080"/>
      </w:rPr>
      <w:t xml:space="preserve"> – December</w:t>
    </w:r>
    <w:r w:rsidR="00326ED8">
      <w:rPr>
        <w:rFonts w:asciiTheme="minorHAnsi" w:hAnsiTheme="minorHAnsi"/>
        <w:i/>
        <w:color w:val="808080"/>
      </w:rPr>
      <w:t xml:space="preserve"> 2020</w:t>
    </w:r>
    <w:r w:rsidR="00326ED8" w:rsidRPr="00056684">
      <w:rPr>
        <w:rFonts w:asciiTheme="minorHAnsi" w:hAnsiTheme="minorHAnsi"/>
        <w:i/>
        <w:color w:val="808080"/>
      </w:rPr>
      <w:t xml:space="preserve"> PBAC</w:t>
    </w:r>
    <w:r w:rsidR="00524501">
      <w:rPr>
        <w:rFonts w:asciiTheme="minorHAnsi" w:hAnsiTheme="minorHAnsi"/>
        <w:i/>
        <w:color w:val="808080"/>
      </w:rPr>
      <w:t xml:space="preserve"> </w:t>
    </w:r>
    <w:r w:rsidR="00326ED8" w:rsidRPr="00056684">
      <w:rPr>
        <w:rFonts w:asciiTheme="minorHAnsi" w:hAnsiTheme="minorHAnsi"/>
        <w:i/>
        <w:color w:val="808080"/>
      </w:rPr>
      <w:t>Meeting</w:t>
    </w:r>
  </w:p>
  <w:p w14:paraId="4948DA46" w14:textId="64A62013" w:rsidR="002A1ED4" w:rsidRPr="00144ECB" w:rsidRDefault="002A1ED4">
    <w:pPr>
      <w:rPr>
        <w:rFonts w:asciiTheme="minorHAnsi" w:hAnsiTheme="minorHAnsi"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1C6E"/>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D0434B"/>
    <w:multiLevelType w:val="hybridMultilevel"/>
    <w:tmpl w:val="8B1E8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3B31D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3B34B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A30ABE"/>
    <w:multiLevelType w:val="hybridMultilevel"/>
    <w:tmpl w:val="7298C5D8"/>
    <w:lvl w:ilvl="0" w:tplc="0C090001">
      <w:start w:val="1"/>
      <w:numFmt w:val="bullet"/>
      <w:lvlText w:val=""/>
      <w:lvlJc w:val="left"/>
      <w:pPr>
        <w:ind w:left="1484" w:hanging="360"/>
      </w:pPr>
      <w:rPr>
        <w:rFonts w:ascii="Symbol" w:hAnsi="Symbol" w:hint="default"/>
      </w:rPr>
    </w:lvl>
    <w:lvl w:ilvl="1" w:tplc="0C090003" w:tentative="1">
      <w:start w:val="1"/>
      <w:numFmt w:val="bullet"/>
      <w:lvlText w:val="o"/>
      <w:lvlJc w:val="left"/>
      <w:pPr>
        <w:ind w:left="2204" w:hanging="360"/>
      </w:pPr>
      <w:rPr>
        <w:rFonts w:ascii="Courier New" w:hAnsi="Courier New" w:cs="Courier New" w:hint="default"/>
      </w:rPr>
    </w:lvl>
    <w:lvl w:ilvl="2" w:tplc="0C090005" w:tentative="1">
      <w:start w:val="1"/>
      <w:numFmt w:val="bullet"/>
      <w:lvlText w:val=""/>
      <w:lvlJc w:val="left"/>
      <w:pPr>
        <w:ind w:left="2924" w:hanging="360"/>
      </w:pPr>
      <w:rPr>
        <w:rFonts w:ascii="Wingdings" w:hAnsi="Wingdings" w:hint="default"/>
      </w:rPr>
    </w:lvl>
    <w:lvl w:ilvl="3" w:tplc="0C090001" w:tentative="1">
      <w:start w:val="1"/>
      <w:numFmt w:val="bullet"/>
      <w:lvlText w:val=""/>
      <w:lvlJc w:val="left"/>
      <w:pPr>
        <w:ind w:left="3644" w:hanging="360"/>
      </w:pPr>
      <w:rPr>
        <w:rFonts w:ascii="Symbol" w:hAnsi="Symbol" w:hint="default"/>
      </w:rPr>
    </w:lvl>
    <w:lvl w:ilvl="4" w:tplc="0C090003" w:tentative="1">
      <w:start w:val="1"/>
      <w:numFmt w:val="bullet"/>
      <w:lvlText w:val="o"/>
      <w:lvlJc w:val="left"/>
      <w:pPr>
        <w:ind w:left="4364" w:hanging="360"/>
      </w:pPr>
      <w:rPr>
        <w:rFonts w:ascii="Courier New" w:hAnsi="Courier New" w:cs="Courier New" w:hint="default"/>
      </w:rPr>
    </w:lvl>
    <w:lvl w:ilvl="5" w:tplc="0C090005" w:tentative="1">
      <w:start w:val="1"/>
      <w:numFmt w:val="bullet"/>
      <w:lvlText w:val=""/>
      <w:lvlJc w:val="left"/>
      <w:pPr>
        <w:ind w:left="5084" w:hanging="360"/>
      </w:pPr>
      <w:rPr>
        <w:rFonts w:ascii="Wingdings" w:hAnsi="Wingdings" w:hint="default"/>
      </w:rPr>
    </w:lvl>
    <w:lvl w:ilvl="6" w:tplc="0C090001" w:tentative="1">
      <w:start w:val="1"/>
      <w:numFmt w:val="bullet"/>
      <w:lvlText w:val=""/>
      <w:lvlJc w:val="left"/>
      <w:pPr>
        <w:ind w:left="5804" w:hanging="360"/>
      </w:pPr>
      <w:rPr>
        <w:rFonts w:ascii="Symbol" w:hAnsi="Symbol" w:hint="default"/>
      </w:rPr>
    </w:lvl>
    <w:lvl w:ilvl="7" w:tplc="0C090003" w:tentative="1">
      <w:start w:val="1"/>
      <w:numFmt w:val="bullet"/>
      <w:lvlText w:val="o"/>
      <w:lvlJc w:val="left"/>
      <w:pPr>
        <w:ind w:left="6524" w:hanging="360"/>
      </w:pPr>
      <w:rPr>
        <w:rFonts w:ascii="Courier New" w:hAnsi="Courier New" w:cs="Courier New" w:hint="default"/>
      </w:rPr>
    </w:lvl>
    <w:lvl w:ilvl="8" w:tplc="0C090005" w:tentative="1">
      <w:start w:val="1"/>
      <w:numFmt w:val="bullet"/>
      <w:lvlText w:val=""/>
      <w:lvlJc w:val="left"/>
      <w:pPr>
        <w:ind w:left="7244" w:hanging="360"/>
      </w:pPr>
      <w:rPr>
        <w:rFonts w:ascii="Wingdings" w:hAnsi="Wingdings" w:hint="default"/>
      </w:rPr>
    </w:lvl>
  </w:abstractNum>
  <w:abstractNum w:abstractNumId="5" w15:restartNumberingAfterBreak="0">
    <w:nsid w:val="2C021499"/>
    <w:multiLevelType w:val="hybridMultilevel"/>
    <w:tmpl w:val="EB584D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6" w15:restartNumberingAfterBreak="0">
    <w:nsid w:val="350A7C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362596A"/>
    <w:multiLevelType w:val="multilevel"/>
    <w:tmpl w:val="D0A49C5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40930D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811D52"/>
    <w:multiLevelType w:val="hybridMultilevel"/>
    <w:tmpl w:val="2B32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3E15D6C"/>
    <w:multiLevelType w:val="hybridMultilevel"/>
    <w:tmpl w:val="650CDF8C"/>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11" w15:restartNumberingAfterBreak="0">
    <w:nsid w:val="75B4542D"/>
    <w:multiLevelType w:val="multilevel"/>
    <w:tmpl w:val="F3F6DE3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84D033C"/>
    <w:multiLevelType w:val="multilevel"/>
    <w:tmpl w:val="DFF8C32C"/>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hint="default"/>
        <w:b w:val="0"/>
        <w:i w:val="0"/>
        <w:color w:val="auto"/>
      </w:rPr>
    </w:lvl>
    <w:lvl w:ilvl="2">
      <w:numFmt w:val="bullet"/>
      <w:lvlText w:val="-"/>
      <w:lvlJc w:val="left"/>
      <w:pPr>
        <w:ind w:left="720" w:hanging="720"/>
      </w:pPr>
      <w:rPr>
        <w:rFonts w:ascii="Calibri" w:eastAsiaTheme="minorHAnsi" w:hAnsi="Calibri" w:cs="Calibri"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94552D"/>
    <w:multiLevelType w:val="hybridMultilevel"/>
    <w:tmpl w:val="D79C0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C2333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7"/>
  </w:num>
  <w:num w:numId="3">
    <w:abstractNumId w:val="5"/>
  </w:num>
  <w:num w:numId="4">
    <w:abstractNumId w:val="1"/>
  </w:num>
  <w:num w:numId="5">
    <w:abstractNumId w:val="14"/>
  </w:num>
  <w:num w:numId="6">
    <w:abstractNumId w:val="9"/>
  </w:num>
  <w:num w:numId="7">
    <w:abstractNumId w:val="10"/>
  </w:num>
  <w:num w:numId="8">
    <w:abstractNumId w:val="6"/>
  </w:num>
  <w:num w:numId="9">
    <w:abstractNumId w:val="15"/>
  </w:num>
  <w:num w:numId="10">
    <w:abstractNumId w:val="8"/>
  </w:num>
  <w:num w:numId="11">
    <w:abstractNumId w:val="0"/>
  </w:num>
  <w:num w:numId="12">
    <w:abstractNumId w:val="3"/>
  </w:num>
  <w:num w:numId="13">
    <w:abstractNumId w:val="2"/>
  </w:num>
  <w:num w:numId="14">
    <w:abstractNumId w:val="11"/>
  </w:num>
  <w:num w:numId="15">
    <w:abstractNumId w:val="13"/>
  </w:num>
  <w:num w:numId="16">
    <w:abstractNumId w:val="13"/>
  </w:num>
  <w:num w:numId="17">
    <w:abstractNumId w:val="1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EC"/>
    <w:rsid w:val="00002098"/>
    <w:rsid w:val="00006EC5"/>
    <w:rsid w:val="00012A12"/>
    <w:rsid w:val="00013029"/>
    <w:rsid w:val="00024742"/>
    <w:rsid w:val="0004089E"/>
    <w:rsid w:val="00043A09"/>
    <w:rsid w:val="000811F8"/>
    <w:rsid w:val="0008313C"/>
    <w:rsid w:val="00084BCE"/>
    <w:rsid w:val="00085CD1"/>
    <w:rsid w:val="000865A3"/>
    <w:rsid w:val="000A36EA"/>
    <w:rsid w:val="000A6199"/>
    <w:rsid w:val="000B1E18"/>
    <w:rsid w:val="000B3346"/>
    <w:rsid w:val="000B4F9D"/>
    <w:rsid w:val="000C0C61"/>
    <w:rsid w:val="000E06CC"/>
    <w:rsid w:val="000F1058"/>
    <w:rsid w:val="00133091"/>
    <w:rsid w:val="0013532B"/>
    <w:rsid w:val="00144ECB"/>
    <w:rsid w:val="00145F50"/>
    <w:rsid w:val="0015348F"/>
    <w:rsid w:val="0015754F"/>
    <w:rsid w:val="00161D72"/>
    <w:rsid w:val="001A747C"/>
    <w:rsid w:val="001B198C"/>
    <w:rsid w:val="001B5BB7"/>
    <w:rsid w:val="001F255B"/>
    <w:rsid w:val="002615C1"/>
    <w:rsid w:val="00286150"/>
    <w:rsid w:val="0029079F"/>
    <w:rsid w:val="002A1ED4"/>
    <w:rsid w:val="002D26F6"/>
    <w:rsid w:val="002D4089"/>
    <w:rsid w:val="002E0148"/>
    <w:rsid w:val="002E24A3"/>
    <w:rsid w:val="00302D98"/>
    <w:rsid w:val="003048FC"/>
    <w:rsid w:val="003121AC"/>
    <w:rsid w:val="0032167C"/>
    <w:rsid w:val="00326ED8"/>
    <w:rsid w:val="00342228"/>
    <w:rsid w:val="003570F8"/>
    <w:rsid w:val="00361019"/>
    <w:rsid w:val="00365D22"/>
    <w:rsid w:val="00372175"/>
    <w:rsid w:val="00384B54"/>
    <w:rsid w:val="00396357"/>
    <w:rsid w:val="003A3A34"/>
    <w:rsid w:val="003A44B2"/>
    <w:rsid w:val="003B1012"/>
    <w:rsid w:val="003B20F0"/>
    <w:rsid w:val="003B66F5"/>
    <w:rsid w:val="003E2A96"/>
    <w:rsid w:val="00407B72"/>
    <w:rsid w:val="004318CD"/>
    <w:rsid w:val="00432D7F"/>
    <w:rsid w:val="00437F36"/>
    <w:rsid w:val="00440AB6"/>
    <w:rsid w:val="00442C2B"/>
    <w:rsid w:val="004449E7"/>
    <w:rsid w:val="004850F8"/>
    <w:rsid w:val="00490782"/>
    <w:rsid w:val="00491048"/>
    <w:rsid w:val="004A24BD"/>
    <w:rsid w:val="004A5461"/>
    <w:rsid w:val="004C2A2F"/>
    <w:rsid w:val="004C4DA3"/>
    <w:rsid w:val="004F0145"/>
    <w:rsid w:val="00523B51"/>
    <w:rsid w:val="00524501"/>
    <w:rsid w:val="00541F5C"/>
    <w:rsid w:val="0054281D"/>
    <w:rsid w:val="0055422A"/>
    <w:rsid w:val="00560662"/>
    <w:rsid w:val="005801A9"/>
    <w:rsid w:val="0058107F"/>
    <w:rsid w:val="00597F3B"/>
    <w:rsid w:val="005A3552"/>
    <w:rsid w:val="005B5ADB"/>
    <w:rsid w:val="005B5FEE"/>
    <w:rsid w:val="005B74D3"/>
    <w:rsid w:val="005D013E"/>
    <w:rsid w:val="005D2DE0"/>
    <w:rsid w:val="005D7E17"/>
    <w:rsid w:val="005E65CA"/>
    <w:rsid w:val="005F6B6F"/>
    <w:rsid w:val="0060005C"/>
    <w:rsid w:val="00610CDC"/>
    <w:rsid w:val="006273FA"/>
    <w:rsid w:val="006525B2"/>
    <w:rsid w:val="0066043E"/>
    <w:rsid w:val="0068060C"/>
    <w:rsid w:val="0068462C"/>
    <w:rsid w:val="006B35EE"/>
    <w:rsid w:val="006B551E"/>
    <w:rsid w:val="006C2F59"/>
    <w:rsid w:val="006C7E60"/>
    <w:rsid w:val="006E47B0"/>
    <w:rsid w:val="006F4C37"/>
    <w:rsid w:val="00701ABA"/>
    <w:rsid w:val="00702985"/>
    <w:rsid w:val="00717308"/>
    <w:rsid w:val="00721B7C"/>
    <w:rsid w:val="00726424"/>
    <w:rsid w:val="00732761"/>
    <w:rsid w:val="007856D8"/>
    <w:rsid w:val="007B3346"/>
    <w:rsid w:val="007C07BE"/>
    <w:rsid w:val="007D386A"/>
    <w:rsid w:val="00805FF7"/>
    <w:rsid w:val="0082678C"/>
    <w:rsid w:val="0083569A"/>
    <w:rsid w:val="008876C4"/>
    <w:rsid w:val="008F489D"/>
    <w:rsid w:val="009150B9"/>
    <w:rsid w:val="00920BDA"/>
    <w:rsid w:val="00927971"/>
    <w:rsid w:val="0093717C"/>
    <w:rsid w:val="0095323C"/>
    <w:rsid w:val="00961175"/>
    <w:rsid w:val="009632D7"/>
    <w:rsid w:val="0098316F"/>
    <w:rsid w:val="009918BE"/>
    <w:rsid w:val="009C41D5"/>
    <w:rsid w:val="009E2A25"/>
    <w:rsid w:val="00A13833"/>
    <w:rsid w:val="00A54D21"/>
    <w:rsid w:val="00A762C3"/>
    <w:rsid w:val="00AA31AD"/>
    <w:rsid w:val="00AA336C"/>
    <w:rsid w:val="00AD09EF"/>
    <w:rsid w:val="00AD6550"/>
    <w:rsid w:val="00AE21E0"/>
    <w:rsid w:val="00AF3269"/>
    <w:rsid w:val="00B146F1"/>
    <w:rsid w:val="00B260EB"/>
    <w:rsid w:val="00B30F83"/>
    <w:rsid w:val="00B33A6F"/>
    <w:rsid w:val="00B46591"/>
    <w:rsid w:val="00B5192C"/>
    <w:rsid w:val="00B6000B"/>
    <w:rsid w:val="00B62FD9"/>
    <w:rsid w:val="00B64FDD"/>
    <w:rsid w:val="00B821A4"/>
    <w:rsid w:val="00B97B5A"/>
    <w:rsid w:val="00BA0FE7"/>
    <w:rsid w:val="00BA4A96"/>
    <w:rsid w:val="00BB60E9"/>
    <w:rsid w:val="00BC0309"/>
    <w:rsid w:val="00BC21CD"/>
    <w:rsid w:val="00BC5839"/>
    <w:rsid w:val="00BD1689"/>
    <w:rsid w:val="00BE22C8"/>
    <w:rsid w:val="00BE7814"/>
    <w:rsid w:val="00BF4FC2"/>
    <w:rsid w:val="00C41709"/>
    <w:rsid w:val="00C46D7A"/>
    <w:rsid w:val="00C6140F"/>
    <w:rsid w:val="00C628E9"/>
    <w:rsid w:val="00C67DF8"/>
    <w:rsid w:val="00CA253E"/>
    <w:rsid w:val="00CC78CE"/>
    <w:rsid w:val="00CD2F6F"/>
    <w:rsid w:val="00D27F22"/>
    <w:rsid w:val="00D31D97"/>
    <w:rsid w:val="00D35C6B"/>
    <w:rsid w:val="00D577B7"/>
    <w:rsid w:val="00D62B15"/>
    <w:rsid w:val="00D73EA2"/>
    <w:rsid w:val="00D75868"/>
    <w:rsid w:val="00D96B8E"/>
    <w:rsid w:val="00DB3702"/>
    <w:rsid w:val="00DB43D3"/>
    <w:rsid w:val="00DD570D"/>
    <w:rsid w:val="00E03E87"/>
    <w:rsid w:val="00E07FEC"/>
    <w:rsid w:val="00E126D0"/>
    <w:rsid w:val="00E160E8"/>
    <w:rsid w:val="00E22EB3"/>
    <w:rsid w:val="00E421D6"/>
    <w:rsid w:val="00E73DA0"/>
    <w:rsid w:val="00E74661"/>
    <w:rsid w:val="00E928AC"/>
    <w:rsid w:val="00E95ED8"/>
    <w:rsid w:val="00EC0783"/>
    <w:rsid w:val="00ED74EA"/>
    <w:rsid w:val="00EE3729"/>
    <w:rsid w:val="00EE67E5"/>
    <w:rsid w:val="00F163CA"/>
    <w:rsid w:val="00F32D20"/>
    <w:rsid w:val="00F35EF3"/>
    <w:rsid w:val="00F6157F"/>
    <w:rsid w:val="00F7221B"/>
    <w:rsid w:val="00F9020D"/>
    <w:rsid w:val="00FA0E2C"/>
    <w:rsid w:val="00FB1DE9"/>
    <w:rsid w:val="00FB59EC"/>
    <w:rsid w:val="00FC3C34"/>
    <w:rsid w:val="00FE45A7"/>
    <w:rsid w:val="00FF2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B0F9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9EF"/>
    <w:pPr>
      <w:spacing w:after="0" w:line="240" w:lineRule="auto"/>
    </w:pPr>
    <w:rPr>
      <w:rFonts w:ascii="Times New Roman" w:eastAsia="Times New Roman" w:hAnsi="Times New Roman" w:cs="Times New Roman"/>
      <w:sz w:val="24"/>
      <w:szCs w:val="24"/>
    </w:rPr>
  </w:style>
  <w:style w:type="paragraph" w:styleId="Heading2">
    <w:name w:val="heading 2"/>
    <w:aliases w:val="3. Subsection Heading"/>
    <w:basedOn w:val="Normal"/>
    <w:next w:val="Normal"/>
    <w:link w:val="Heading2Char"/>
    <w:uiPriority w:val="1"/>
    <w:qFormat/>
    <w:rsid w:val="00FB59EC"/>
    <w:pPr>
      <w:keepNext/>
      <w:spacing w:before="240" w:after="120"/>
      <w:outlineLvl w:val="1"/>
    </w:pPr>
    <w:rPr>
      <w:rFonts w:asciiTheme="minorHAnsi" w:eastAsiaTheme="majorEastAsia" w:hAnsiTheme="minorHAnsi"/>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3. Subsection Heading Char"/>
    <w:basedOn w:val="DefaultParagraphFont"/>
    <w:link w:val="Heading2"/>
    <w:uiPriority w:val="1"/>
    <w:rsid w:val="00FB59EC"/>
    <w:rPr>
      <w:rFonts w:eastAsiaTheme="majorEastAsia" w:cs="Times New Roman"/>
      <w:b/>
      <w:i/>
      <w:sz w:val="28"/>
      <w:szCs w:val="28"/>
    </w:rPr>
  </w:style>
  <w:style w:type="character" w:styleId="CommentReference">
    <w:name w:val="annotation reference"/>
    <w:aliases w:val="Table Title"/>
    <w:basedOn w:val="DefaultParagraphFont"/>
    <w:uiPriority w:val="99"/>
    <w:qFormat/>
    <w:rsid w:val="00FB59EC"/>
    <w:rPr>
      <w:sz w:val="16"/>
      <w:szCs w:val="16"/>
    </w:rPr>
  </w:style>
  <w:style w:type="paragraph" w:styleId="Header">
    <w:name w:val="header"/>
    <w:aliases w:val="Page Header,Header title,he=header,cntr/bld"/>
    <w:basedOn w:val="Normal"/>
    <w:link w:val="HeaderChar"/>
    <w:uiPriority w:val="99"/>
    <w:unhideWhenUsed/>
    <w:qFormat/>
    <w:rsid w:val="00FB59EC"/>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FB59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59EC"/>
    <w:pPr>
      <w:tabs>
        <w:tab w:val="center" w:pos="4513"/>
        <w:tab w:val="right" w:pos="9026"/>
      </w:tabs>
    </w:pPr>
  </w:style>
  <w:style w:type="character" w:customStyle="1" w:styleId="FooterChar">
    <w:name w:val="Footer Char"/>
    <w:basedOn w:val="DefaultParagraphFont"/>
    <w:link w:val="Footer"/>
    <w:uiPriority w:val="99"/>
    <w:rsid w:val="00FB59EC"/>
    <w:rPr>
      <w:rFonts w:ascii="Times New Roman" w:eastAsia="Times New Roman" w:hAnsi="Times New Roman" w:cs="Times New Roman"/>
      <w:sz w:val="24"/>
      <w:szCs w:val="24"/>
    </w:rPr>
  </w:style>
  <w:style w:type="paragraph" w:styleId="NoSpacing">
    <w:name w:val="No Spacing"/>
    <w:basedOn w:val="Normal"/>
    <w:link w:val="NoSpacingChar"/>
    <w:uiPriority w:val="1"/>
    <w:qFormat/>
    <w:rsid w:val="00FB59EC"/>
    <w:pPr>
      <w:jc w:val="both"/>
    </w:pPr>
    <w:rPr>
      <w:rFonts w:asciiTheme="minorHAnsi" w:hAnsiTheme="minorHAnsi" w:cstheme="minorHAnsi"/>
    </w:rPr>
  </w:style>
  <w:style w:type="paragraph" w:customStyle="1" w:styleId="4bulletpoint">
    <w:name w:val="4. bullet point"/>
    <w:basedOn w:val="ListParagraph"/>
    <w:link w:val="4bulletpointChar"/>
    <w:qFormat/>
    <w:rsid w:val="00FB59EC"/>
    <w:pPr>
      <w:widowControl w:val="0"/>
      <w:numPr>
        <w:numId w:val="1"/>
      </w:numPr>
      <w:spacing w:after="120"/>
      <w:contextualSpacing w:val="0"/>
      <w:jc w:val="both"/>
    </w:pPr>
    <w:rPr>
      <w:rFonts w:asciiTheme="minorHAnsi" w:hAnsiTheme="minorHAnsi" w:cs="Arial"/>
      <w:snapToGrid w:val="0"/>
    </w:rPr>
  </w:style>
  <w:style w:type="character" w:customStyle="1" w:styleId="4bulletpointChar">
    <w:name w:val="4. bullet point Char"/>
    <w:basedOn w:val="DefaultParagraphFont"/>
    <w:link w:val="4bulletpoint"/>
    <w:rsid w:val="00FB59EC"/>
    <w:rPr>
      <w:rFonts w:eastAsia="Times New Roman" w:cs="Arial"/>
      <w:snapToGrid w:val="0"/>
      <w:sz w:val="24"/>
      <w:szCs w:val="24"/>
    </w:rPr>
  </w:style>
  <w:style w:type="paragraph" w:customStyle="1" w:styleId="2Sections">
    <w:name w:val="2. Sections"/>
    <w:qFormat/>
    <w:rsid w:val="00FB59EC"/>
    <w:pPr>
      <w:spacing w:before="240" w:after="120" w:line="240" w:lineRule="auto"/>
      <w:outlineLvl w:val="0"/>
    </w:pPr>
    <w:rPr>
      <w:rFonts w:eastAsia="Times New Roman" w:cs="Arial"/>
      <w:b/>
      <w:snapToGrid w:val="0"/>
      <w:sz w:val="32"/>
      <w:szCs w:val="32"/>
    </w:rPr>
  </w:style>
  <w:style w:type="paragraph" w:customStyle="1" w:styleId="1MainTitle">
    <w:name w:val="1. Main Title"/>
    <w:basedOn w:val="Title"/>
    <w:link w:val="1MainTitleChar"/>
    <w:qFormat/>
    <w:rsid w:val="00FB59EC"/>
    <w:pPr>
      <w:spacing w:after="120"/>
      <w:ind w:left="720" w:hanging="720"/>
      <w:outlineLvl w:val="0"/>
    </w:pPr>
    <w:rPr>
      <w:b/>
      <w:spacing w:val="5"/>
      <w:sz w:val="36"/>
      <w:szCs w:val="36"/>
    </w:rPr>
  </w:style>
  <w:style w:type="character" w:customStyle="1" w:styleId="1MainTitleChar">
    <w:name w:val="1. Main Title Char"/>
    <w:basedOn w:val="TitleChar"/>
    <w:link w:val="1MainTitle"/>
    <w:rsid w:val="00FB59EC"/>
    <w:rPr>
      <w:rFonts w:asciiTheme="majorHAnsi" w:eastAsiaTheme="majorEastAsia" w:hAnsiTheme="majorHAnsi" w:cstheme="majorBidi"/>
      <w:b/>
      <w:spacing w:val="5"/>
      <w:kern w:val="28"/>
      <w:sz w:val="36"/>
      <w:szCs w:val="36"/>
    </w:rPr>
  </w:style>
  <w:style w:type="paragraph" w:customStyle="1" w:styleId="4Bodytextnumbered">
    <w:name w:val="4. Body text numbered"/>
    <w:basedOn w:val="ListParagraph"/>
    <w:qFormat/>
    <w:rsid w:val="00FB59EC"/>
    <w:pPr>
      <w:spacing w:after="120"/>
      <w:ind w:left="0"/>
      <w:contextualSpacing w:val="0"/>
      <w:jc w:val="both"/>
    </w:pPr>
    <w:rPr>
      <w:rFonts w:asciiTheme="minorHAnsi" w:eastAsiaTheme="minorHAnsi" w:hAnsiTheme="minorHAnsi" w:cstheme="minorBidi"/>
      <w:szCs w:val="22"/>
    </w:rPr>
  </w:style>
  <w:style w:type="character" w:customStyle="1" w:styleId="NoSpacingChar">
    <w:name w:val="No Spacing Char"/>
    <w:basedOn w:val="DefaultParagraphFont"/>
    <w:link w:val="NoSpacing"/>
    <w:uiPriority w:val="1"/>
    <w:rsid w:val="00FB59EC"/>
    <w:rPr>
      <w:rFonts w:eastAsia="Times New Roman" w:cstheme="minorHAnsi"/>
      <w:sz w:val="24"/>
      <w:szCs w:val="24"/>
    </w:rPr>
  </w:style>
  <w:style w:type="paragraph" w:customStyle="1" w:styleId="3Subheading1">
    <w:name w:val="3. Subheading 1"/>
    <w:basedOn w:val="Heading2"/>
    <w:link w:val="3Subheading1Char"/>
    <w:qFormat/>
    <w:rsid w:val="00FB59EC"/>
  </w:style>
  <w:style w:type="paragraph" w:customStyle="1" w:styleId="6attachments">
    <w:name w:val="6. attachments"/>
    <w:basedOn w:val="NoSpacing"/>
    <w:link w:val="6attachmentsChar"/>
    <w:qFormat/>
    <w:rsid w:val="00FB59EC"/>
    <w:rPr>
      <w:b/>
    </w:rPr>
  </w:style>
  <w:style w:type="character" w:customStyle="1" w:styleId="3Subheading1Char">
    <w:name w:val="3. Subheading 1 Char"/>
    <w:basedOn w:val="Heading2Char"/>
    <w:link w:val="3Subheading1"/>
    <w:rsid w:val="00FB59EC"/>
    <w:rPr>
      <w:rFonts w:eastAsiaTheme="majorEastAsia" w:cs="Times New Roman"/>
      <w:b/>
      <w:i/>
      <w:sz w:val="28"/>
      <w:szCs w:val="28"/>
    </w:rPr>
  </w:style>
  <w:style w:type="character" w:customStyle="1" w:styleId="6attachmentsChar">
    <w:name w:val="6. attachments Char"/>
    <w:basedOn w:val="NoSpacingChar"/>
    <w:link w:val="6attachments"/>
    <w:rsid w:val="00FB59EC"/>
    <w:rPr>
      <w:rFonts w:eastAsia="Times New Roman" w:cstheme="minorHAnsi"/>
      <w:b/>
      <w:sz w:val="24"/>
      <w:szCs w:val="24"/>
    </w:rPr>
  </w:style>
  <w:style w:type="character" w:styleId="Hyperlink">
    <w:name w:val="Hyperlink"/>
    <w:basedOn w:val="DefaultParagraphFont"/>
    <w:uiPriority w:val="99"/>
    <w:unhideWhenUsed/>
    <w:rsid w:val="00FB59EC"/>
    <w:rPr>
      <w:color w:val="0000FF" w:themeColor="hyperlink"/>
      <w:u w:val="single"/>
    </w:rPr>
  </w:style>
  <w:style w:type="paragraph" w:styleId="FootnoteText">
    <w:name w:val="footnote text"/>
    <w:basedOn w:val="Normal"/>
    <w:link w:val="FootnoteTextChar"/>
    <w:unhideWhenUsed/>
    <w:rsid w:val="00FB59EC"/>
    <w:rPr>
      <w:sz w:val="20"/>
      <w:szCs w:val="20"/>
    </w:rPr>
  </w:style>
  <w:style w:type="character" w:customStyle="1" w:styleId="FootnoteTextChar">
    <w:name w:val="Footnote Text Char"/>
    <w:basedOn w:val="DefaultParagraphFont"/>
    <w:link w:val="FootnoteText"/>
    <w:rsid w:val="00FB59EC"/>
    <w:rPr>
      <w:rFonts w:ascii="Times New Roman" w:eastAsia="Times New Roman" w:hAnsi="Times New Roman" w:cs="Times New Roman"/>
      <w:sz w:val="20"/>
      <w:szCs w:val="20"/>
    </w:rPr>
  </w:style>
  <w:style w:type="character" w:styleId="FootnoteReference">
    <w:name w:val="footnote reference"/>
    <w:basedOn w:val="DefaultParagraphFont"/>
    <w:unhideWhenUsed/>
    <w:rsid w:val="00FB59EC"/>
    <w:rPr>
      <w:vertAlign w:val="superscript"/>
    </w:rPr>
  </w:style>
  <w:style w:type="paragraph" w:styleId="ListParagraph">
    <w:name w:val="List Paragraph"/>
    <w:basedOn w:val="Normal"/>
    <w:uiPriority w:val="34"/>
    <w:qFormat/>
    <w:rsid w:val="00FB59EC"/>
    <w:pPr>
      <w:ind w:left="720"/>
      <w:contextualSpacing/>
    </w:pPr>
  </w:style>
  <w:style w:type="paragraph" w:styleId="Title">
    <w:name w:val="Title"/>
    <w:basedOn w:val="Normal"/>
    <w:next w:val="Normal"/>
    <w:link w:val="TitleChar"/>
    <w:uiPriority w:val="10"/>
    <w:qFormat/>
    <w:rsid w:val="00FB59E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59EC"/>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4907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782"/>
    <w:rPr>
      <w:rFonts w:ascii="Segoe UI" w:eastAsia="Times New Roman" w:hAnsi="Segoe UI" w:cs="Segoe UI"/>
      <w:sz w:val="18"/>
      <w:szCs w:val="18"/>
    </w:rPr>
  </w:style>
  <w:style w:type="paragraph" w:styleId="CommentText">
    <w:name w:val="annotation text"/>
    <w:basedOn w:val="Normal"/>
    <w:link w:val="CommentTextChar"/>
    <w:uiPriority w:val="99"/>
    <w:semiHidden/>
    <w:unhideWhenUsed/>
    <w:rsid w:val="0054281D"/>
    <w:rPr>
      <w:sz w:val="20"/>
      <w:szCs w:val="20"/>
    </w:rPr>
  </w:style>
  <w:style w:type="character" w:customStyle="1" w:styleId="CommentTextChar">
    <w:name w:val="Comment Text Char"/>
    <w:basedOn w:val="DefaultParagraphFont"/>
    <w:link w:val="CommentText"/>
    <w:uiPriority w:val="99"/>
    <w:semiHidden/>
    <w:rsid w:val="0054281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4281D"/>
    <w:rPr>
      <w:b/>
      <w:bCs/>
    </w:rPr>
  </w:style>
  <w:style w:type="character" w:customStyle="1" w:styleId="CommentSubjectChar">
    <w:name w:val="Comment Subject Char"/>
    <w:basedOn w:val="CommentTextChar"/>
    <w:link w:val="CommentSubject"/>
    <w:uiPriority w:val="99"/>
    <w:semiHidden/>
    <w:rsid w:val="0054281D"/>
    <w:rPr>
      <w:rFonts w:ascii="Times New Roman" w:eastAsia="Times New Roman" w:hAnsi="Times New Roman" w:cs="Times New Roman"/>
      <w:b/>
      <w:bCs/>
      <w:sz w:val="20"/>
      <w:szCs w:val="20"/>
    </w:rPr>
  </w:style>
  <w:style w:type="table" w:styleId="TableGrid">
    <w:name w:val="Table Grid"/>
    <w:basedOn w:val="TableNormal"/>
    <w:uiPriority w:val="59"/>
    <w:rsid w:val="00721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26F6"/>
    <w:rPr>
      <w:color w:val="800080" w:themeColor="followedHyperlink"/>
      <w:u w:val="single"/>
    </w:rPr>
  </w:style>
  <w:style w:type="paragraph" w:styleId="Caption">
    <w:name w:val="caption"/>
    <w:basedOn w:val="Normal"/>
    <w:next w:val="Normal"/>
    <w:uiPriority w:val="35"/>
    <w:unhideWhenUsed/>
    <w:qFormat/>
    <w:rsid w:val="00D96B8E"/>
    <w:pPr>
      <w:spacing w:after="200"/>
    </w:pPr>
    <w:rPr>
      <w:rFonts w:eastAsiaTheme="minorHAnsi"/>
      <w:i/>
      <w:iCs/>
      <w:color w:val="1F497D" w:themeColor="text2"/>
      <w:sz w:val="18"/>
      <w:szCs w:val="18"/>
    </w:rPr>
  </w:style>
  <w:style w:type="paragraph" w:styleId="Revision">
    <w:name w:val="Revision"/>
    <w:hidden/>
    <w:uiPriority w:val="99"/>
    <w:semiHidden/>
    <w:rsid w:val="005F6B6F"/>
    <w:pPr>
      <w:spacing w:after="0" w:line="240" w:lineRule="auto"/>
    </w:pPr>
    <w:rPr>
      <w:rFonts w:ascii="Times New Roman" w:eastAsia="Times New Roman" w:hAnsi="Times New Roman" w:cs="Times New Roman"/>
      <w:sz w:val="24"/>
      <w:szCs w:val="24"/>
    </w:rPr>
  </w:style>
  <w:style w:type="paragraph" w:customStyle="1" w:styleId="2-SectionHeading">
    <w:name w:val="2-Section Heading"/>
    <w:qFormat/>
    <w:rsid w:val="005801A9"/>
    <w:pPr>
      <w:keepNext/>
      <w:numPr>
        <w:numId w:val="17"/>
      </w:numPr>
      <w:spacing w:before="240" w:after="120" w:line="240" w:lineRule="auto"/>
      <w:outlineLvl w:val="0"/>
    </w:pPr>
    <w:rPr>
      <w:rFonts w:eastAsia="Times New Roman" w:cs="Arial"/>
      <w:b/>
      <w:snapToGrid w:val="0"/>
      <w:sz w:val="32"/>
      <w:szCs w:val="32"/>
    </w:rPr>
  </w:style>
  <w:style w:type="paragraph" w:customStyle="1" w:styleId="3-BodyText">
    <w:name w:val="3-Body Text"/>
    <w:link w:val="3-BodyTextChar"/>
    <w:qFormat/>
    <w:rsid w:val="005801A9"/>
    <w:pPr>
      <w:numPr>
        <w:ilvl w:val="1"/>
        <w:numId w:val="17"/>
      </w:numPr>
      <w:spacing w:before="120" w:after="120" w:line="240" w:lineRule="auto"/>
      <w:jc w:val="both"/>
    </w:pPr>
    <w:rPr>
      <w:sz w:val="24"/>
    </w:rPr>
  </w:style>
  <w:style w:type="character" w:customStyle="1" w:styleId="3-BodyTextChar">
    <w:name w:val="3-Body Text Char"/>
    <w:basedOn w:val="DefaultParagraphFont"/>
    <w:link w:val="3-BodyText"/>
    <w:rsid w:val="005801A9"/>
    <w:rPr>
      <w:sz w:val="24"/>
    </w:rPr>
  </w:style>
  <w:style w:type="paragraph" w:customStyle="1" w:styleId="Default">
    <w:name w:val="Default"/>
    <w:rsid w:val="0008313C"/>
    <w:pPr>
      <w:autoSpaceDE w:val="0"/>
      <w:autoSpaceDN w:val="0"/>
      <w:adjustRightInd w:val="0"/>
      <w:spacing w:after="0" w:line="240" w:lineRule="auto"/>
    </w:pPr>
    <w:rPr>
      <w:rFonts w:ascii="Arial" w:hAnsi="Arial" w:cs="Arial"/>
      <w:color w:val="000000"/>
      <w:sz w:val="24"/>
      <w:szCs w:val="24"/>
    </w:rPr>
  </w:style>
  <w:style w:type="paragraph" w:styleId="ListNumber">
    <w:name w:val="List Number"/>
    <w:basedOn w:val="Normal"/>
    <w:uiPriority w:val="99"/>
    <w:unhideWhenUsed/>
    <w:rsid w:val="00DB43D3"/>
    <w:pPr>
      <w:ind w:left="720" w:hanging="720"/>
      <w:contextualSpacing/>
    </w:pPr>
    <w:rPr>
      <w:lang w:eastAsia="en-AU"/>
    </w:rPr>
  </w:style>
  <w:style w:type="paragraph" w:customStyle="1" w:styleId="3Bodytext">
    <w:name w:val="3. Body text"/>
    <w:basedOn w:val="ListParagraph"/>
    <w:qFormat/>
    <w:rsid w:val="00432D7F"/>
    <w:pPr>
      <w:spacing w:after="120"/>
      <w:ind w:hanging="720"/>
      <w:contextualSpacing w:val="0"/>
      <w:jc w:val="both"/>
    </w:pPr>
    <w:rPr>
      <w:rFonts w:asciiTheme="minorHAnsi" w:eastAsiaTheme="minorHAnsi" w:hAnsiTheme="minorHAnsi" w:cstheme="minorBid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4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CBC4F-B37D-48DB-84B7-BDED73DDE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2021-02-04T02:53:00Z</dcterms:created>
  <dcterms:modified xsi:type="dcterms:W3CDTF">2021-02-25T01:16:00Z</dcterms:modified>
</cp:coreProperties>
</file>