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97324B" w:rsidRDefault="00D3625E" w:rsidP="00BF4D17">
      <w:pPr>
        <w:pStyle w:val="1-MainHeading"/>
      </w:pPr>
      <w:bookmarkStart w:id="0" w:name="_Toc62047552"/>
      <w:r w:rsidRPr="0097324B">
        <w:t>6.01</w:t>
      </w:r>
      <w:r w:rsidR="00163F66" w:rsidRPr="0097324B">
        <w:tab/>
      </w:r>
      <w:r w:rsidRPr="0097324B">
        <w:t>ABEMACICLIB</w:t>
      </w:r>
      <w:r w:rsidR="00163F66" w:rsidRPr="0097324B">
        <w:t>,</w:t>
      </w:r>
      <w:r w:rsidR="00163F66" w:rsidRPr="0097324B">
        <w:br/>
      </w:r>
      <w:r w:rsidRPr="0097324B">
        <w:t>T</w:t>
      </w:r>
      <w:r w:rsidR="00BF4D17" w:rsidRPr="0097324B">
        <w:t>ablet</w:t>
      </w:r>
      <w:r w:rsidRPr="0097324B">
        <w:t xml:space="preserve"> </w:t>
      </w:r>
      <w:r w:rsidR="00BF4D17" w:rsidRPr="0097324B">
        <w:t>50mg, 100mg, 150</w:t>
      </w:r>
      <w:r w:rsidR="007102DC" w:rsidRPr="0097324B">
        <w:t>mg,</w:t>
      </w:r>
      <w:r w:rsidR="00163F66" w:rsidRPr="0097324B">
        <w:br/>
      </w:r>
      <w:r w:rsidR="00BF4D17" w:rsidRPr="0097324B">
        <w:t>V</w:t>
      </w:r>
      <w:r w:rsidRPr="0097324B">
        <w:t>erzenio</w:t>
      </w:r>
      <w:r w:rsidR="00B60939" w:rsidRPr="0097324B">
        <w:rPr>
          <w:vertAlign w:val="superscript"/>
        </w:rPr>
        <w:t>®</w:t>
      </w:r>
      <w:r w:rsidR="004A6040" w:rsidRPr="0097324B">
        <w:t>,</w:t>
      </w:r>
      <w:r w:rsidR="004A6040" w:rsidRPr="0097324B">
        <w:br/>
      </w:r>
      <w:r w:rsidR="00BF4D17" w:rsidRPr="0097324B">
        <w:t xml:space="preserve">Eli Lilly </w:t>
      </w:r>
      <w:r w:rsidR="007102DC" w:rsidRPr="0097324B">
        <w:t>Australia</w:t>
      </w:r>
      <w:r w:rsidR="00BF4D17" w:rsidRPr="0097324B">
        <w:t xml:space="preserve"> Pty Ltd</w:t>
      </w:r>
      <w:bookmarkEnd w:id="0"/>
    </w:p>
    <w:p w:rsidR="00B50DB8" w:rsidRPr="0097324B" w:rsidRDefault="00B50DB8" w:rsidP="004A6040">
      <w:pPr>
        <w:pStyle w:val="2-SectionHeading"/>
      </w:pPr>
      <w:bookmarkStart w:id="1" w:name="_Toc62047554"/>
      <w:r w:rsidRPr="0097324B">
        <w:t xml:space="preserve">Purpose of </w:t>
      </w:r>
      <w:r w:rsidR="00CD7193" w:rsidRPr="0097324B">
        <w:t>s</w:t>
      </w:r>
      <w:r w:rsidR="00BB3A45" w:rsidRPr="0097324B">
        <w:t>ubmission</w:t>
      </w:r>
      <w:bookmarkEnd w:id="1"/>
    </w:p>
    <w:p w:rsidR="00B34FCB" w:rsidRPr="0097324B" w:rsidRDefault="007170DA" w:rsidP="00B34FCB">
      <w:pPr>
        <w:pStyle w:val="3-BodyText"/>
      </w:pPr>
      <w:r w:rsidRPr="0097324B">
        <w:t xml:space="preserve">The submission requested </w:t>
      </w:r>
      <w:r w:rsidR="00324028" w:rsidRPr="0097324B">
        <w:t>extension to</w:t>
      </w:r>
      <w:r w:rsidR="00F834B8" w:rsidRPr="0097324B">
        <w:t xml:space="preserve"> the </w:t>
      </w:r>
      <w:r w:rsidR="00007F38" w:rsidRPr="0097324B">
        <w:t xml:space="preserve">current </w:t>
      </w:r>
      <w:r w:rsidR="00B34FCB" w:rsidRPr="0097324B">
        <w:t>Section 85 (General Schedule) Authority Required (</w:t>
      </w:r>
      <w:r w:rsidR="000250C7" w:rsidRPr="0097324B">
        <w:t>T</w:t>
      </w:r>
      <w:r w:rsidR="00B34FCB" w:rsidRPr="0097324B">
        <w:t>elephone</w:t>
      </w:r>
      <w:r w:rsidR="000250C7" w:rsidRPr="0097324B">
        <w:t>/Online</w:t>
      </w:r>
      <w:r w:rsidR="00B34FCB" w:rsidRPr="0097324B">
        <w:t xml:space="preserve">) listing of abemaciclib to include use in combination with fulvestrant, for </w:t>
      </w:r>
      <w:r w:rsidR="000250C7" w:rsidRPr="0097324B">
        <w:t xml:space="preserve">the treatment of </w:t>
      </w:r>
      <w:r w:rsidR="00B34FCB" w:rsidRPr="0097324B">
        <w:t xml:space="preserve">non-premenopausal patients with </w:t>
      </w:r>
      <w:r w:rsidR="000250C7" w:rsidRPr="0097324B">
        <w:t>h</w:t>
      </w:r>
      <w:r w:rsidR="00B34FCB" w:rsidRPr="0097324B">
        <w:t xml:space="preserve">ormone </w:t>
      </w:r>
      <w:r w:rsidR="000250C7" w:rsidRPr="0097324B">
        <w:t>r</w:t>
      </w:r>
      <w:r w:rsidR="00B34FCB" w:rsidRPr="0097324B">
        <w:t>eceptor positive (HR+)</w:t>
      </w:r>
      <w:r w:rsidR="000250C7" w:rsidRPr="0097324B">
        <w:t xml:space="preserve"> and</w:t>
      </w:r>
      <w:r w:rsidR="00B34FCB" w:rsidRPr="0097324B">
        <w:t xml:space="preserve"> human epidermal growth factor receptor 2 negative (HER2-) inoperable locally advanced or metastatic breast cancer (mBC</w:t>
      </w:r>
      <w:r w:rsidR="00F92B2B" w:rsidRPr="0097324B">
        <w:t>).</w:t>
      </w:r>
      <w:r w:rsidR="0006343C" w:rsidRPr="0097324B">
        <w:t xml:space="preserve"> The PBAC has not previously considered the combination of </w:t>
      </w:r>
      <w:r w:rsidR="00007F38" w:rsidRPr="0097324B">
        <w:t xml:space="preserve">abemaciclib </w:t>
      </w:r>
      <w:r w:rsidR="00586587" w:rsidRPr="0097324B">
        <w:t xml:space="preserve">and </w:t>
      </w:r>
      <w:r w:rsidR="005B473D" w:rsidRPr="0097324B">
        <w:t>fulvestrant</w:t>
      </w:r>
      <w:r w:rsidR="00007F38" w:rsidRPr="0097324B">
        <w:t xml:space="preserve"> </w:t>
      </w:r>
      <w:r w:rsidR="0006343C" w:rsidRPr="0097324B">
        <w:t>for the proposed indication.</w:t>
      </w:r>
    </w:p>
    <w:p w:rsidR="00C2778B" w:rsidRPr="0097324B" w:rsidRDefault="00923C88" w:rsidP="00B34FCB">
      <w:pPr>
        <w:pStyle w:val="3-BodyText"/>
      </w:pPr>
      <w:r w:rsidRPr="0097324B">
        <w:t>The submission presented</w:t>
      </w:r>
      <w:r w:rsidR="005750C5" w:rsidRPr="0097324B">
        <w:t xml:space="preserve"> a cost-minimisation</w:t>
      </w:r>
      <w:r w:rsidR="00B34FCB" w:rsidRPr="0097324B">
        <w:t xml:space="preserve"> </w:t>
      </w:r>
      <w:r w:rsidR="005750C5" w:rsidRPr="0097324B">
        <w:t xml:space="preserve">analysis </w:t>
      </w:r>
      <w:r w:rsidRPr="0097324B">
        <w:t xml:space="preserve">(CMA) </w:t>
      </w:r>
      <w:r w:rsidR="005750C5" w:rsidRPr="0097324B">
        <w:t xml:space="preserve">versus </w:t>
      </w:r>
      <w:r w:rsidR="00B34FCB" w:rsidRPr="0097324B">
        <w:t>ribociclib</w:t>
      </w:r>
      <w:r w:rsidR="0097324B">
        <w:t xml:space="preserve">. </w:t>
      </w:r>
    </w:p>
    <w:p w:rsidR="008B1757" w:rsidRPr="0097324B" w:rsidRDefault="008B1757" w:rsidP="009E27BA">
      <w:pPr>
        <w:pStyle w:val="TableFigureHeading"/>
        <w:rPr>
          <w:rStyle w:val="CommentReference"/>
          <w:b/>
          <w:szCs w:val="24"/>
        </w:rPr>
      </w:pPr>
      <w:r w:rsidRPr="0097324B">
        <w:rPr>
          <w:rStyle w:val="CommentReference"/>
          <w:b/>
          <w:szCs w:val="24"/>
        </w:rPr>
        <w:t xml:space="preserve">Table </w:t>
      </w:r>
      <w:r w:rsidR="004E737A" w:rsidRPr="0097324B">
        <w:rPr>
          <w:rStyle w:val="CommentReference"/>
          <w:b/>
          <w:szCs w:val="24"/>
        </w:rPr>
        <w:t>1</w:t>
      </w:r>
      <w:r w:rsidRPr="0097324B">
        <w:rPr>
          <w:rStyle w:val="CommentReference"/>
          <w:b/>
          <w:szCs w:val="24"/>
        </w:rPr>
        <w:t>:</w:t>
      </w:r>
      <w:r w:rsidR="00BC591F" w:rsidRPr="0097324B">
        <w:rPr>
          <w:rStyle w:val="CommentReference"/>
          <w:b/>
          <w:szCs w:val="24"/>
        </w:rPr>
        <w:t xml:space="preserve"> </w:t>
      </w:r>
      <w:r w:rsidRPr="0097324B">
        <w:rPr>
          <w:rStyle w:val="CommentReference"/>
          <w:b/>
          <w:szCs w:val="24"/>
        </w:rPr>
        <w:t>Key components of the clinical issue addressed by the submission</w:t>
      </w:r>
      <w:r w:rsidR="007170DA" w:rsidRPr="0097324B">
        <w:rPr>
          <w:rStyle w:val="CommentReference"/>
          <w:b/>
          <w:szCs w:val="24"/>
        </w:rPr>
        <w:t xml:space="preserve"> (as stated in the submission)</w:t>
      </w:r>
    </w:p>
    <w:tbl>
      <w:tblPr>
        <w:tblStyle w:val="TableGrid1"/>
        <w:tblW w:w="0" w:type="auto"/>
        <w:tblLook w:val="04A0" w:firstRow="1" w:lastRow="0" w:firstColumn="1" w:lastColumn="0" w:noHBand="0" w:noVBand="1"/>
        <w:tblCaption w:val="Table 1"/>
        <w:tblDescription w:val="Key components of the clinical issue addressed by the submission "/>
      </w:tblPr>
      <w:tblGrid>
        <w:gridCol w:w="1651"/>
        <w:gridCol w:w="7366"/>
      </w:tblGrid>
      <w:tr w:rsidR="004E737A" w:rsidRPr="0097324B" w:rsidTr="004510A3">
        <w:trPr>
          <w:tblHeader/>
        </w:trPr>
        <w:tc>
          <w:tcPr>
            <w:tcW w:w="1651" w:type="dxa"/>
            <w:shd w:val="clear" w:color="auto" w:fill="auto"/>
          </w:tcPr>
          <w:p w:rsidR="004E737A" w:rsidRPr="0097324B" w:rsidRDefault="004E737A" w:rsidP="009E27BA">
            <w:pPr>
              <w:pStyle w:val="Table"/>
              <w:keepNext/>
              <w:rPr>
                <w:rFonts w:ascii="Arial Narrow" w:hAnsi="Arial Narrow"/>
                <w:b/>
                <w:sz w:val="18"/>
                <w:szCs w:val="18"/>
                <w:lang w:val="en-AU"/>
              </w:rPr>
            </w:pPr>
            <w:r w:rsidRPr="0097324B">
              <w:rPr>
                <w:rFonts w:ascii="Arial Narrow" w:hAnsi="Arial Narrow"/>
                <w:b/>
                <w:sz w:val="18"/>
                <w:szCs w:val="18"/>
                <w:lang w:val="en-AU"/>
              </w:rPr>
              <w:t>Component</w:t>
            </w:r>
          </w:p>
        </w:tc>
        <w:tc>
          <w:tcPr>
            <w:tcW w:w="7366" w:type="dxa"/>
            <w:shd w:val="clear" w:color="auto" w:fill="auto"/>
          </w:tcPr>
          <w:p w:rsidR="004E737A" w:rsidRPr="0097324B" w:rsidRDefault="004E737A" w:rsidP="009E27BA">
            <w:pPr>
              <w:pStyle w:val="Table"/>
              <w:keepNext/>
              <w:rPr>
                <w:rFonts w:ascii="Arial Narrow" w:hAnsi="Arial Narrow"/>
                <w:b/>
                <w:sz w:val="18"/>
                <w:szCs w:val="18"/>
                <w:lang w:val="en-AU"/>
              </w:rPr>
            </w:pPr>
            <w:r w:rsidRPr="0097324B">
              <w:rPr>
                <w:rFonts w:ascii="Arial Narrow" w:hAnsi="Arial Narrow"/>
                <w:b/>
                <w:sz w:val="18"/>
                <w:szCs w:val="18"/>
                <w:lang w:val="en-AU"/>
              </w:rPr>
              <w:t>Description</w:t>
            </w:r>
          </w:p>
        </w:tc>
      </w:tr>
      <w:tr w:rsidR="004E737A" w:rsidRPr="0097324B" w:rsidTr="004E737A">
        <w:tc>
          <w:tcPr>
            <w:tcW w:w="1651" w:type="dxa"/>
          </w:tcPr>
          <w:p w:rsidR="004E737A" w:rsidRPr="0097324B" w:rsidRDefault="004E737A" w:rsidP="009E27BA">
            <w:pPr>
              <w:pStyle w:val="Table"/>
              <w:keepNext/>
              <w:rPr>
                <w:rFonts w:ascii="Arial Narrow" w:hAnsi="Arial Narrow"/>
                <w:sz w:val="18"/>
                <w:szCs w:val="18"/>
                <w:lang w:val="en-AU"/>
              </w:rPr>
            </w:pPr>
            <w:r w:rsidRPr="0097324B">
              <w:rPr>
                <w:rFonts w:ascii="Arial Narrow" w:hAnsi="Arial Narrow"/>
                <w:sz w:val="18"/>
                <w:szCs w:val="18"/>
                <w:lang w:val="en-AU"/>
              </w:rPr>
              <w:t xml:space="preserve">Population </w:t>
            </w:r>
          </w:p>
        </w:tc>
        <w:tc>
          <w:tcPr>
            <w:tcW w:w="7366" w:type="dxa"/>
          </w:tcPr>
          <w:p w:rsidR="004E737A" w:rsidRPr="0097324B" w:rsidRDefault="004E737A" w:rsidP="009E27BA">
            <w:pPr>
              <w:pStyle w:val="Table"/>
              <w:keepNext/>
              <w:rPr>
                <w:rFonts w:ascii="Arial Narrow" w:hAnsi="Arial Narrow"/>
                <w:sz w:val="18"/>
                <w:szCs w:val="18"/>
                <w:lang w:val="en-AU"/>
              </w:rPr>
            </w:pPr>
            <w:r w:rsidRPr="0097324B">
              <w:rPr>
                <w:rFonts w:ascii="Arial Narrow" w:hAnsi="Arial Narrow"/>
                <w:sz w:val="18"/>
                <w:szCs w:val="18"/>
                <w:lang w:val="en-AU"/>
              </w:rPr>
              <w:t>Non-premenopausal patients with inoperable HR+/HER2- mBC who have:</w:t>
            </w:r>
          </w:p>
          <w:p w:rsidR="004E737A" w:rsidRPr="0097324B" w:rsidRDefault="004E737A" w:rsidP="009E27BA">
            <w:pPr>
              <w:pStyle w:val="TableBullets"/>
              <w:keepNext/>
              <w:rPr>
                <w:rFonts w:ascii="Arial Narrow" w:hAnsi="Arial Narrow"/>
                <w:sz w:val="18"/>
                <w:szCs w:val="18"/>
                <w:lang w:val="en-AU"/>
              </w:rPr>
            </w:pPr>
            <w:r w:rsidRPr="0097324B">
              <w:rPr>
                <w:rFonts w:ascii="Arial Narrow" w:hAnsi="Arial Narrow"/>
                <w:sz w:val="18"/>
                <w:szCs w:val="18"/>
                <w:lang w:val="en-AU"/>
              </w:rPr>
              <w:t xml:space="preserve">Received previous </w:t>
            </w:r>
            <w:r w:rsidR="00007F38" w:rsidRPr="0097324B">
              <w:rPr>
                <w:rFonts w:ascii="Arial Narrow" w:hAnsi="Arial Narrow"/>
                <w:sz w:val="18"/>
                <w:szCs w:val="18"/>
                <w:lang w:val="en-AU"/>
              </w:rPr>
              <w:t>endocrine therapy</w:t>
            </w:r>
            <w:r w:rsidRPr="0097324B">
              <w:rPr>
                <w:rFonts w:ascii="Arial Narrow" w:hAnsi="Arial Narrow"/>
                <w:sz w:val="18"/>
                <w:szCs w:val="18"/>
                <w:lang w:val="en-AU"/>
              </w:rPr>
              <w:t xml:space="preserve"> in the (neo)adjuvant or advanced/metastatic setting; and</w:t>
            </w:r>
          </w:p>
          <w:p w:rsidR="004E737A" w:rsidRPr="0097324B" w:rsidRDefault="004E737A" w:rsidP="009E27BA">
            <w:pPr>
              <w:pStyle w:val="TableBullets"/>
              <w:keepNext/>
              <w:rPr>
                <w:rFonts w:ascii="Arial Narrow" w:hAnsi="Arial Narrow"/>
                <w:sz w:val="18"/>
                <w:szCs w:val="18"/>
                <w:lang w:val="en-AU"/>
              </w:rPr>
            </w:pPr>
            <w:r w:rsidRPr="0097324B">
              <w:rPr>
                <w:rFonts w:ascii="Arial Narrow" w:hAnsi="Arial Narrow"/>
                <w:sz w:val="18"/>
                <w:szCs w:val="18"/>
                <w:lang w:val="en-AU"/>
              </w:rPr>
              <w:t>Experienced disease progression; and</w:t>
            </w:r>
          </w:p>
          <w:p w:rsidR="004E737A" w:rsidRPr="0097324B" w:rsidRDefault="004E737A" w:rsidP="009E27BA">
            <w:pPr>
              <w:pStyle w:val="TableBullets"/>
              <w:keepNext/>
              <w:rPr>
                <w:rFonts w:ascii="Arial Narrow" w:hAnsi="Arial Narrow"/>
                <w:sz w:val="18"/>
                <w:szCs w:val="18"/>
                <w:lang w:val="en-AU"/>
              </w:rPr>
            </w:pPr>
            <w:r w:rsidRPr="0097324B">
              <w:rPr>
                <w:rFonts w:ascii="Arial Narrow" w:hAnsi="Arial Narrow"/>
                <w:sz w:val="18"/>
                <w:szCs w:val="18"/>
                <w:lang w:val="en-AU"/>
              </w:rPr>
              <w:t>Developed endocrine resistance; and</w:t>
            </w:r>
          </w:p>
          <w:p w:rsidR="004E737A" w:rsidRPr="0097324B" w:rsidRDefault="004E737A" w:rsidP="009E27BA">
            <w:pPr>
              <w:pStyle w:val="TableBullets"/>
              <w:keepNext/>
              <w:rPr>
                <w:rFonts w:ascii="Arial Narrow" w:hAnsi="Arial Narrow"/>
                <w:sz w:val="18"/>
                <w:szCs w:val="18"/>
                <w:lang w:val="en-AU"/>
              </w:rPr>
            </w:pPr>
            <w:r w:rsidRPr="0097324B">
              <w:rPr>
                <w:rFonts w:ascii="Arial Narrow" w:hAnsi="Arial Narrow"/>
                <w:sz w:val="18"/>
                <w:szCs w:val="18"/>
                <w:lang w:val="en-AU"/>
              </w:rPr>
              <w:t>Not previously been treated with a CDK4/6 inhibitor</w:t>
            </w:r>
            <w:r w:rsidR="00007F38" w:rsidRPr="0097324B">
              <w:rPr>
                <w:rFonts w:ascii="Arial Narrow" w:hAnsi="Arial Narrow"/>
                <w:sz w:val="18"/>
                <w:szCs w:val="18"/>
                <w:lang w:val="en-AU"/>
              </w:rPr>
              <w:t xml:space="preserve"> or </w:t>
            </w:r>
            <w:r w:rsidRPr="0097324B">
              <w:rPr>
                <w:rFonts w:ascii="Arial Narrow" w:hAnsi="Arial Narrow"/>
                <w:sz w:val="18"/>
                <w:szCs w:val="18"/>
                <w:lang w:val="en-AU"/>
              </w:rPr>
              <w:t>who developed an intolerance to an alternative CDK4&amp;6 inhibitor necessitating withdrawal; and</w:t>
            </w:r>
          </w:p>
          <w:p w:rsidR="004E737A" w:rsidRPr="0097324B" w:rsidRDefault="004E737A" w:rsidP="009E27BA">
            <w:pPr>
              <w:pStyle w:val="TableBullets"/>
              <w:keepNext/>
              <w:rPr>
                <w:rStyle w:val="SmallItalics"/>
                <w:rFonts w:ascii="Arial Narrow" w:hAnsi="Arial Narrow"/>
                <w:sz w:val="18"/>
                <w:szCs w:val="18"/>
                <w:lang w:val="en-AU"/>
              </w:rPr>
            </w:pPr>
            <w:r w:rsidRPr="0097324B">
              <w:rPr>
                <w:rFonts w:ascii="Arial Narrow" w:hAnsi="Arial Narrow"/>
                <w:sz w:val="18"/>
                <w:szCs w:val="18"/>
                <w:lang w:val="en-AU"/>
              </w:rPr>
              <w:t>Have WHO ECOG status ≤2</w:t>
            </w:r>
          </w:p>
        </w:tc>
      </w:tr>
      <w:tr w:rsidR="004E737A" w:rsidRPr="0097324B" w:rsidTr="004E737A">
        <w:tc>
          <w:tcPr>
            <w:tcW w:w="1651" w:type="dxa"/>
          </w:tcPr>
          <w:p w:rsidR="004E737A" w:rsidRPr="0097324B" w:rsidRDefault="004E737A" w:rsidP="009E27BA">
            <w:pPr>
              <w:pStyle w:val="Table"/>
              <w:keepNext/>
              <w:rPr>
                <w:rFonts w:ascii="Arial Narrow" w:hAnsi="Arial Narrow"/>
                <w:sz w:val="18"/>
                <w:szCs w:val="18"/>
                <w:lang w:val="en-AU"/>
              </w:rPr>
            </w:pPr>
            <w:r w:rsidRPr="0097324B">
              <w:rPr>
                <w:rFonts w:ascii="Arial Narrow" w:hAnsi="Arial Narrow"/>
                <w:sz w:val="18"/>
                <w:szCs w:val="18"/>
                <w:lang w:val="en-AU"/>
              </w:rPr>
              <w:t xml:space="preserve">Intervention </w:t>
            </w:r>
          </w:p>
        </w:tc>
        <w:tc>
          <w:tcPr>
            <w:tcW w:w="7366" w:type="dxa"/>
          </w:tcPr>
          <w:p w:rsidR="004E737A" w:rsidRPr="0097324B" w:rsidRDefault="004E737A" w:rsidP="009E27BA">
            <w:pPr>
              <w:pStyle w:val="Table"/>
              <w:keepNext/>
              <w:rPr>
                <w:rFonts w:ascii="Arial Narrow" w:hAnsi="Arial Narrow"/>
                <w:sz w:val="18"/>
                <w:szCs w:val="18"/>
                <w:lang w:val="en-AU"/>
              </w:rPr>
            </w:pPr>
            <w:r w:rsidRPr="0097324B">
              <w:rPr>
                <w:rFonts w:ascii="Arial Narrow" w:hAnsi="Arial Narrow"/>
                <w:sz w:val="18"/>
                <w:szCs w:val="18"/>
                <w:lang w:val="en-AU"/>
              </w:rPr>
              <w:t xml:space="preserve">Abemaciclib (150 mg PO BD continuously) + </w:t>
            </w:r>
          </w:p>
          <w:p w:rsidR="004E737A" w:rsidRPr="0097324B" w:rsidRDefault="004E737A" w:rsidP="009E27BA">
            <w:pPr>
              <w:pStyle w:val="Table"/>
              <w:keepNext/>
              <w:rPr>
                <w:rStyle w:val="SmallItalics"/>
                <w:rFonts w:ascii="Arial Narrow" w:hAnsi="Arial Narrow"/>
                <w:sz w:val="18"/>
                <w:szCs w:val="18"/>
                <w:lang w:val="en-AU"/>
              </w:rPr>
            </w:pPr>
            <w:r w:rsidRPr="0097324B">
              <w:rPr>
                <w:rFonts w:ascii="Arial Narrow" w:hAnsi="Arial Narrow"/>
                <w:sz w:val="18"/>
                <w:szCs w:val="18"/>
                <w:lang w:val="en-AU"/>
              </w:rPr>
              <w:t>Fulvestrant (500 mg IM on days 1, 15 and 28, then 4-weekly)</w:t>
            </w:r>
          </w:p>
        </w:tc>
      </w:tr>
      <w:tr w:rsidR="004E737A" w:rsidRPr="0097324B" w:rsidTr="004E737A">
        <w:tc>
          <w:tcPr>
            <w:tcW w:w="1651" w:type="dxa"/>
          </w:tcPr>
          <w:p w:rsidR="004E737A" w:rsidRPr="0097324B" w:rsidRDefault="004E737A" w:rsidP="009E27BA">
            <w:pPr>
              <w:pStyle w:val="Table"/>
              <w:keepNext/>
              <w:rPr>
                <w:rFonts w:ascii="Arial Narrow" w:hAnsi="Arial Narrow"/>
                <w:sz w:val="18"/>
                <w:szCs w:val="18"/>
                <w:lang w:val="en-AU"/>
              </w:rPr>
            </w:pPr>
            <w:r w:rsidRPr="0097324B">
              <w:rPr>
                <w:rFonts w:ascii="Arial Narrow" w:hAnsi="Arial Narrow"/>
                <w:sz w:val="18"/>
                <w:szCs w:val="18"/>
                <w:lang w:val="en-AU"/>
              </w:rPr>
              <w:t>Comparator</w:t>
            </w:r>
          </w:p>
        </w:tc>
        <w:tc>
          <w:tcPr>
            <w:tcW w:w="7366" w:type="dxa"/>
          </w:tcPr>
          <w:p w:rsidR="004E737A" w:rsidRPr="0097324B" w:rsidRDefault="004E737A" w:rsidP="009E27BA">
            <w:pPr>
              <w:pStyle w:val="Table"/>
              <w:keepNext/>
              <w:rPr>
                <w:rFonts w:ascii="Arial Narrow" w:hAnsi="Arial Narrow"/>
                <w:sz w:val="18"/>
                <w:szCs w:val="18"/>
                <w:lang w:val="en-AU"/>
              </w:rPr>
            </w:pPr>
            <w:r w:rsidRPr="0097324B">
              <w:rPr>
                <w:rFonts w:ascii="Arial Narrow" w:hAnsi="Arial Narrow"/>
                <w:sz w:val="18"/>
                <w:szCs w:val="18"/>
                <w:lang w:val="en-AU"/>
              </w:rPr>
              <w:t xml:space="preserve">Main comparator: ribociclib (600 mg PO QD, 3 weeks on 1 week off) + </w:t>
            </w:r>
          </w:p>
          <w:p w:rsidR="004E737A" w:rsidRPr="0097324B" w:rsidRDefault="004E737A" w:rsidP="009E27BA">
            <w:pPr>
              <w:pStyle w:val="Table"/>
              <w:keepNext/>
              <w:rPr>
                <w:rStyle w:val="SmallItalics"/>
                <w:rFonts w:ascii="Arial Narrow" w:hAnsi="Arial Narrow"/>
                <w:i w:val="0"/>
                <w:sz w:val="18"/>
                <w:szCs w:val="18"/>
                <w:lang w:val="en-AU"/>
              </w:rPr>
            </w:pPr>
            <w:r w:rsidRPr="0097324B">
              <w:rPr>
                <w:rFonts w:ascii="Arial Narrow" w:hAnsi="Arial Narrow"/>
                <w:sz w:val="18"/>
                <w:szCs w:val="18"/>
                <w:lang w:val="en-AU"/>
              </w:rPr>
              <w:t xml:space="preserve">Fulvestrant (500 mg IM on days 1, 15 and 28, then 4-weekly); </w:t>
            </w:r>
          </w:p>
        </w:tc>
      </w:tr>
      <w:tr w:rsidR="004E737A" w:rsidRPr="0097324B" w:rsidTr="004E737A">
        <w:tc>
          <w:tcPr>
            <w:tcW w:w="1651" w:type="dxa"/>
          </w:tcPr>
          <w:p w:rsidR="004E737A" w:rsidRPr="0097324B" w:rsidRDefault="004E737A" w:rsidP="009E27BA">
            <w:pPr>
              <w:pStyle w:val="Table"/>
              <w:keepNext/>
              <w:rPr>
                <w:rFonts w:ascii="Arial Narrow" w:hAnsi="Arial Narrow"/>
                <w:sz w:val="18"/>
                <w:szCs w:val="18"/>
                <w:lang w:val="en-AU"/>
              </w:rPr>
            </w:pPr>
            <w:r w:rsidRPr="0097324B">
              <w:rPr>
                <w:rFonts w:ascii="Arial Narrow" w:hAnsi="Arial Narrow"/>
                <w:sz w:val="18"/>
                <w:szCs w:val="18"/>
                <w:lang w:val="en-AU"/>
              </w:rPr>
              <w:t>Outcomes</w:t>
            </w:r>
          </w:p>
        </w:tc>
        <w:tc>
          <w:tcPr>
            <w:tcW w:w="7366" w:type="dxa"/>
          </w:tcPr>
          <w:p w:rsidR="004E737A" w:rsidRPr="0097324B" w:rsidRDefault="00F92B2B" w:rsidP="009E27BA">
            <w:pPr>
              <w:pStyle w:val="Table"/>
              <w:keepNext/>
              <w:rPr>
                <w:rFonts w:ascii="Arial Narrow" w:hAnsi="Arial Narrow"/>
                <w:sz w:val="18"/>
                <w:szCs w:val="18"/>
                <w:lang w:val="en-AU"/>
              </w:rPr>
            </w:pPr>
            <w:r w:rsidRPr="0097324B">
              <w:rPr>
                <w:rFonts w:ascii="Arial Narrow" w:hAnsi="Arial Narrow"/>
                <w:sz w:val="18"/>
                <w:szCs w:val="18"/>
                <w:lang w:val="en-AU"/>
              </w:rPr>
              <w:t xml:space="preserve">Primary outcome: </w:t>
            </w:r>
            <w:r w:rsidR="004E737A" w:rsidRPr="0097324B">
              <w:rPr>
                <w:rFonts w:ascii="Arial Narrow" w:hAnsi="Arial Narrow"/>
                <w:sz w:val="18"/>
                <w:szCs w:val="18"/>
                <w:lang w:val="en-AU"/>
              </w:rPr>
              <w:t xml:space="preserve">Progression free survival (PFS) </w:t>
            </w:r>
          </w:p>
          <w:p w:rsidR="004E737A" w:rsidRPr="0097324B" w:rsidRDefault="00F92B2B" w:rsidP="009E27BA">
            <w:pPr>
              <w:pStyle w:val="Table"/>
              <w:keepNext/>
              <w:rPr>
                <w:rStyle w:val="SmallItalics"/>
                <w:rFonts w:ascii="Arial Narrow" w:hAnsi="Arial Narrow"/>
                <w:i w:val="0"/>
                <w:sz w:val="18"/>
                <w:szCs w:val="18"/>
                <w:lang w:val="en-AU"/>
              </w:rPr>
            </w:pPr>
            <w:r w:rsidRPr="0097324B">
              <w:rPr>
                <w:rFonts w:ascii="Arial Narrow" w:hAnsi="Arial Narrow"/>
                <w:sz w:val="18"/>
                <w:szCs w:val="18"/>
                <w:lang w:val="en-AU"/>
              </w:rPr>
              <w:t xml:space="preserve">Secondary outcomes: </w:t>
            </w:r>
            <w:r w:rsidR="004E737A" w:rsidRPr="0097324B">
              <w:rPr>
                <w:rFonts w:ascii="Arial Narrow" w:hAnsi="Arial Narrow"/>
                <w:sz w:val="18"/>
                <w:szCs w:val="18"/>
                <w:lang w:val="en-AU"/>
              </w:rPr>
              <w:t>Overall survival (OS)</w:t>
            </w:r>
            <w:r w:rsidRPr="0097324B">
              <w:rPr>
                <w:rFonts w:ascii="Arial Narrow" w:hAnsi="Arial Narrow"/>
                <w:sz w:val="18"/>
                <w:szCs w:val="18"/>
                <w:lang w:val="en-AU"/>
              </w:rPr>
              <w:t xml:space="preserve">, </w:t>
            </w:r>
            <w:r w:rsidR="004E737A" w:rsidRPr="0097324B">
              <w:rPr>
                <w:rFonts w:ascii="Arial Narrow" w:hAnsi="Arial Narrow"/>
                <w:sz w:val="18"/>
                <w:szCs w:val="18"/>
                <w:lang w:val="en-AU"/>
              </w:rPr>
              <w:t>Objective Response Rate (ORR)</w:t>
            </w:r>
            <w:r w:rsidRPr="0097324B">
              <w:rPr>
                <w:rFonts w:ascii="Arial Narrow" w:hAnsi="Arial Narrow"/>
                <w:sz w:val="18"/>
                <w:szCs w:val="18"/>
                <w:lang w:val="en-AU"/>
              </w:rPr>
              <w:t xml:space="preserve">, </w:t>
            </w:r>
            <w:r w:rsidR="004E737A" w:rsidRPr="0097324B">
              <w:rPr>
                <w:rFonts w:ascii="Arial Narrow" w:hAnsi="Arial Narrow"/>
                <w:sz w:val="18"/>
                <w:szCs w:val="18"/>
                <w:lang w:val="en-AU"/>
              </w:rPr>
              <w:t>Health related quality of life (HRQoL)</w:t>
            </w:r>
            <w:r w:rsidRPr="0097324B">
              <w:rPr>
                <w:rFonts w:ascii="Arial Narrow" w:hAnsi="Arial Narrow"/>
                <w:sz w:val="18"/>
                <w:szCs w:val="18"/>
                <w:lang w:val="en-AU"/>
              </w:rPr>
              <w:t xml:space="preserve">, </w:t>
            </w:r>
            <w:r w:rsidR="004E737A" w:rsidRPr="0097324B">
              <w:rPr>
                <w:rFonts w:ascii="Arial Narrow" w:hAnsi="Arial Narrow"/>
                <w:sz w:val="18"/>
                <w:szCs w:val="18"/>
                <w:lang w:val="en-AU"/>
              </w:rPr>
              <w:t>Safety</w:t>
            </w:r>
          </w:p>
        </w:tc>
      </w:tr>
      <w:tr w:rsidR="004E737A" w:rsidRPr="0097324B" w:rsidTr="004E737A">
        <w:tc>
          <w:tcPr>
            <w:tcW w:w="1651" w:type="dxa"/>
          </w:tcPr>
          <w:p w:rsidR="004E737A" w:rsidRPr="0097324B" w:rsidRDefault="004E737A" w:rsidP="009E27BA">
            <w:pPr>
              <w:pStyle w:val="Table"/>
              <w:keepNext/>
              <w:rPr>
                <w:rFonts w:ascii="Arial Narrow" w:hAnsi="Arial Narrow"/>
                <w:sz w:val="18"/>
                <w:szCs w:val="18"/>
                <w:lang w:val="en-AU"/>
              </w:rPr>
            </w:pPr>
            <w:r w:rsidRPr="0097324B">
              <w:rPr>
                <w:rFonts w:ascii="Arial Narrow" w:hAnsi="Arial Narrow"/>
                <w:sz w:val="18"/>
                <w:szCs w:val="18"/>
                <w:lang w:val="en-AU"/>
              </w:rPr>
              <w:t xml:space="preserve">Clinical claim </w:t>
            </w:r>
          </w:p>
          <w:p w:rsidR="004E737A" w:rsidRPr="0097324B" w:rsidRDefault="004E737A" w:rsidP="009E27BA">
            <w:pPr>
              <w:pStyle w:val="Table"/>
              <w:keepNext/>
              <w:rPr>
                <w:rFonts w:ascii="Arial Narrow" w:hAnsi="Arial Narrow"/>
                <w:sz w:val="18"/>
                <w:szCs w:val="18"/>
                <w:lang w:val="en-AU"/>
              </w:rPr>
            </w:pPr>
          </w:p>
        </w:tc>
        <w:tc>
          <w:tcPr>
            <w:tcW w:w="7366" w:type="dxa"/>
          </w:tcPr>
          <w:p w:rsidR="004E737A" w:rsidRPr="0097324B" w:rsidRDefault="00923C88" w:rsidP="009E27BA">
            <w:pPr>
              <w:pStyle w:val="TableBullets"/>
              <w:keepNext/>
              <w:numPr>
                <w:ilvl w:val="0"/>
                <w:numId w:val="0"/>
              </w:numPr>
              <w:rPr>
                <w:rStyle w:val="SmallItalics"/>
                <w:rFonts w:ascii="Arial Narrow" w:hAnsi="Arial Narrow"/>
                <w:i w:val="0"/>
                <w:sz w:val="18"/>
                <w:szCs w:val="18"/>
                <w:lang w:val="en-AU"/>
              </w:rPr>
            </w:pPr>
            <w:r w:rsidRPr="0097324B">
              <w:rPr>
                <w:rFonts w:ascii="Arial Narrow" w:hAnsi="Arial Narrow"/>
                <w:sz w:val="18"/>
                <w:szCs w:val="18"/>
                <w:lang w:val="en-AU"/>
              </w:rPr>
              <w:t xml:space="preserve">In non-premenopausal patients with inoperable HR+/HER2- mBC, abemaciclib plus fulvestrant is clinically equivalent to ribociclib and fulvestrant in terms of comparative effectiveness and has non-inferior safety </w:t>
            </w:r>
            <w:r w:rsidR="004E737A" w:rsidRPr="0097324B">
              <w:rPr>
                <w:rFonts w:ascii="Arial Narrow" w:hAnsi="Arial Narrow"/>
                <w:sz w:val="18"/>
                <w:szCs w:val="18"/>
                <w:lang w:val="en-AU"/>
              </w:rPr>
              <w:t xml:space="preserve"> </w:t>
            </w:r>
          </w:p>
        </w:tc>
      </w:tr>
    </w:tbl>
    <w:p w:rsidR="002A549B" w:rsidRPr="0097324B" w:rsidRDefault="002A549B" w:rsidP="002A549B">
      <w:pPr>
        <w:pStyle w:val="TableFooter"/>
        <w:keepNext/>
        <w:keepLines/>
      </w:pPr>
      <w:r w:rsidRPr="0097324B">
        <w:t xml:space="preserve">BD = </w:t>
      </w:r>
      <w:r w:rsidR="00627DE0" w:rsidRPr="0097324B">
        <w:t>twice daily</w:t>
      </w:r>
      <w:r w:rsidRPr="0097324B">
        <w:t xml:space="preserve">; ECOG = </w:t>
      </w:r>
      <w:r w:rsidR="00627DE0" w:rsidRPr="0097324B">
        <w:t>Eastern Cooperative Oncology Group</w:t>
      </w:r>
      <w:r w:rsidRPr="0097324B">
        <w:t xml:space="preserve">; HR+= hormone receptor positive; HER2- = human epidermal growth factor receptor 2-negative; IM= intramuscular; </w:t>
      </w:r>
      <w:r w:rsidR="002E1136" w:rsidRPr="0097324B">
        <w:t xml:space="preserve">mg=milligram; </w:t>
      </w:r>
      <w:r w:rsidRPr="0097324B">
        <w:t xml:space="preserve">NSAI= non-steroidal aromatase inhibitor; </w:t>
      </w:r>
      <w:r w:rsidR="002E1136" w:rsidRPr="0097324B">
        <w:t xml:space="preserve">po= per oral; </w:t>
      </w:r>
      <w:r w:rsidRPr="0097324B">
        <w:t xml:space="preserve">QD = </w:t>
      </w:r>
      <w:r w:rsidR="00627DE0" w:rsidRPr="0097324B">
        <w:t>once daily</w:t>
      </w:r>
      <w:r w:rsidRPr="0097324B">
        <w:t xml:space="preserve">; WHO = </w:t>
      </w:r>
      <w:r w:rsidR="00627DE0" w:rsidRPr="0097324B">
        <w:t>World Health Organisation</w:t>
      </w:r>
      <w:r w:rsidRPr="0097324B">
        <w:t>.</w:t>
      </w:r>
    </w:p>
    <w:p w:rsidR="004E43B2" w:rsidRPr="0097324B" w:rsidRDefault="008B1757" w:rsidP="004A6040">
      <w:pPr>
        <w:pStyle w:val="TableFigureFooter"/>
        <w:rPr>
          <w:szCs w:val="18"/>
        </w:rPr>
      </w:pPr>
      <w:r w:rsidRPr="0097324B">
        <w:rPr>
          <w:szCs w:val="18"/>
        </w:rPr>
        <w:t>Source: Table</w:t>
      </w:r>
      <w:r w:rsidR="0072764E" w:rsidRPr="0097324B">
        <w:rPr>
          <w:szCs w:val="18"/>
        </w:rPr>
        <w:t xml:space="preserve"> </w:t>
      </w:r>
      <w:r w:rsidR="004E737A" w:rsidRPr="0097324B">
        <w:rPr>
          <w:szCs w:val="18"/>
        </w:rPr>
        <w:t>1-</w:t>
      </w:r>
      <w:r w:rsidR="0072764E" w:rsidRPr="0097324B">
        <w:rPr>
          <w:szCs w:val="18"/>
        </w:rPr>
        <w:t>1, p</w:t>
      </w:r>
      <w:r w:rsidR="004E737A" w:rsidRPr="0097324B">
        <w:rPr>
          <w:szCs w:val="18"/>
        </w:rPr>
        <w:t>25</w:t>
      </w:r>
      <w:r w:rsidR="0072764E" w:rsidRPr="0097324B">
        <w:rPr>
          <w:szCs w:val="18"/>
        </w:rPr>
        <w:t xml:space="preserve"> </w:t>
      </w:r>
      <w:r w:rsidRPr="0097324B">
        <w:rPr>
          <w:szCs w:val="18"/>
        </w:rPr>
        <w:t>of the submission.</w:t>
      </w:r>
    </w:p>
    <w:p w:rsidR="005C25FF" w:rsidRPr="0097324B" w:rsidRDefault="005C25FF" w:rsidP="004A6040">
      <w:pPr>
        <w:pStyle w:val="2-SectionHeading"/>
      </w:pPr>
      <w:bookmarkStart w:id="2" w:name="_Toc62047555"/>
      <w:r w:rsidRPr="0097324B">
        <w:t>Background</w:t>
      </w:r>
      <w:bookmarkEnd w:id="2"/>
    </w:p>
    <w:p w:rsidR="005C25FF" w:rsidRPr="0097324B" w:rsidRDefault="005C25FF" w:rsidP="004A6040">
      <w:pPr>
        <w:pStyle w:val="4-SubsectionHeading"/>
      </w:pPr>
      <w:bookmarkStart w:id="3" w:name="_Toc22897638"/>
      <w:bookmarkStart w:id="4" w:name="_Toc62047556"/>
      <w:r w:rsidRPr="0097324B">
        <w:t>Registration status</w:t>
      </w:r>
      <w:bookmarkEnd w:id="3"/>
      <w:bookmarkEnd w:id="4"/>
    </w:p>
    <w:p w:rsidR="00007F38" w:rsidRPr="0097324B" w:rsidRDefault="00CE21D1" w:rsidP="00007F38">
      <w:pPr>
        <w:pStyle w:val="3-BodyText"/>
        <w:rPr>
          <w:rStyle w:val="FontItalics"/>
          <w:rFonts w:asciiTheme="minorHAnsi" w:hAnsiTheme="minorHAnsi"/>
          <w:i w:val="0"/>
        </w:rPr>
      </w:pPr>
      <w:r w:rsidRPr="0097324B">
        <w:t xml:space="preserve">Abemaciclib was approved by the TGA in April 2019 </w:t>
      </w:r>
      <w:r w:rsidRPr="0097324B">
        <w:rPr>
          <w:rStyle w:val="FontItalics"/>
          <w:i w:val="0"/>
          <w:iCs/>
        </w:rPr>
        <w:t>for the</w:t>
      </w:r>
      <w:r w:rsidR="00007F38" w:rsidRPr="0097324B">
        <w:rPr>
          <w:rStyle w:val="FontItalics"/>
          <w:i w:val="0"/>
          <w:iCs/>
        </w:rPr>
        <w:t xml:space="preserve"> following indication:</w:t>
      </w:r>
    </w:p>
    <w:p w:rsidR="00801A84" w:rsidRPr="0097324B" w:rsidRDefault="00007F38" w:rsidP="00007F38">
      <w:pPr>
        <w:pStyle w:val="3-BodyText"/>
        <w:numPr>
          <w:ilvl w:val="0"/>
          <w:numId w:val="0"/>
        </w:numPr>
        <w:ind w:left="720"/>
        <w:rPr>
          <w:rStyle w:val="FontItalics"/>
          <w:rFonts w:asciiTheme="minorHAnsi" w:hAnsiTheme="minorHAnsi"/>
          <w:i w:val="0"/>
        </w:rPr>
      </w:pPr>
      <w:r w:rsidRPr="0097324B">
        <w:rPr>
          <w:rStyle w:val="FontItalics"/>
          <w:i w:val="0"/>
          <w:iCs/>
        </w:rPr>
        <w:t>“</w:t>
      </w:r>
      <w:r w:rsidR="00A96CDB" w:rsidRPr="0097324B">
        <w:rPr>
          <w:rStyle w:val="FontItalics"/>
          <w:i w:val="0"/>
          <w:iCs/>
        </w:rPr>
        <w:t xml:space="preserve">VERZENIO is indicated for the </w:t>
      </w:r>
      <w:r w:rsidR="00CE21D1" w:rsidRPr="0097324B">
        <w:rPr>
          <w:rStyle w:val="FontItalics"/>
          <w:i w:val="0"/>
          <w:iCs/>
        </w:rPr>
        <w:t>treatment of hormone receptor (HR) positive, human epidermal growth factor receptor 2 (HER2) negative locally advanced or metastatic breast cancer in combination with an aromatase inhibitor or fulvestrant as initial endocrine-based therapy or following prior endocrine therapy.</w:t>
      </w:r>
    </w:p>
    <w:p w:rsidR="00CE21D1" w:rsidRPr="0097324B" w:rsidRDefault="00CE21D1" w:rsidP="00801A84">
      <w:pPr>
        <w:pStyle w:val="3-BodyText"/>
        <w:numPr>
          <w:ilvl w:val="0"/>
          <w:numId w:val="0"/>
        </w:numPr>
        <w:ind w:left="720"/>
        <w:rPr>
          <w:rStyle w:val="FontItalics"/>
          <w:rFonts w:asciiTheme="minorHAnsi" w:hAnsiTheme="minorHAnsi"/>
          <w:i w:val="0"/>
        </w:rPr>
      </w:pPr>
      <w:r w:rsidRPr="0097324B">
        <w:rPr>
          <w:rStyle w:val="FontItalics"/>
          <w:i w:val="0"/>
          <w:iCs/>
        </w:rPr>
        <w:lastRenderedPageBreak/>
        <w:t>In pre- or peri-menopausal women, the endocrine therapy should be combined with a luteinising hormone-releasing hormone (LHRH) agonist.</w:t>
      </w:r>
      <w:r w:rsidR="00007F38" w:rsidRPr="0097324B">
        <w:rPr>
          <w:rStyle w:val="FontItalics"/>
          <w:i w:val="0"/>
          <w:iCs/>
        </w:rPr>
        <w:t>”</w:t>
      </w:r>
    </w:p>
    <w:p w:rsidR="006477BA" w:rsidRPr="007D64DC" w:rsidRDefault="006477BA" w:rsidP="007D64DC">
      <w:pPr>
        <w:pStyle w:val="3-BodyText"/>
      </w:pPr>
      <w:r w:rsidRPr="0097324B">
        <w:t xml:space="preserve">Fulvestrant monotherapy </w:t>
      </w:r>
      <w:r w:rsidR="00A96CDB" w:rsidRPr="0097324B">
        <w:t xml:space="preserve">(Faslodex) </w:t>
      </w:r>
      <w:r w:rsidRPr="0097324B">
        <w:t>was</w:t>
      </w:r>
      <w:r w:rsidR="00E6242A" w:rsidRPr="0097324B">
        <w:t xml:space="preserve"> </w:t>
      </w:r>
      <w:r w:rsidRPr="0097324B">
        <w:t>TGA-approved in March 2006 for the treatment of postmenopausal women with HR+ advanced/metastatic breast cancer with progressive disease following prior tamoxifen therapy.</w:t>
      </w:r>
      <w:r w:rsidR="005C2D5E" w:rsidRPr="0097324B">
        <w:t xml:space="preserve"> </w:t>
      </w:r>
      <w:r w:rsidR="00A96CDB" w:rsidRPr="0097324B">
        <w:rPr>
          <w:iCs/>
        </w:rPr>
        <w:t>A</w:t>
      </w:r>
      <w:r w:rsidR="007C723C" w:rsidRPr="0097324B">
        <w:rPr>
          <w:iCs/>
        </w:rPr>
        <w:t xml:space="preserve"> number of</w:t>
      </w:r>
      <w:r w:rsidR="005C2D5E" w:rsidRPr="0097324B">
        <w:rPr>
          <w:iCs/>
        </w:rPr>
        <w:t xml:space="preserve"> generic </w:t>
      </w:r>
      <w:r w:rsidR="007C723C" w:rsidRPr="0097324B">
        <w:rPr>
          <w:iCs/>
        </w:rPr>
        <w:t xml:space="preserve">brands were </w:t>
      </w:r>
      <w:r w:rsidR="00A96CDB" w:rsidRPr="0097324B">
        <w:rPr>
          <w:iCs/>
        </w:rPr>
        <w:t xml:space="preserve">TGA </w:t>
      </w:r>
      <w:r w:rsidR="005C2D5E" w:rsidRPr="0097324B">
        <w:rPr>
          <w:iCs/>
        </w:rPr>
        <w:t>registered in 2020</w:t>
      </w:r>
      <w:r w:rsidR="00A96CDB" w:rsidRPr="0097324B">
        <w:rPr>
          <w:iCs/>
        </w:rPr>
        <w:t xml:space="preserve"> including </w:t>
      </w:r>
      <w:r w:rsidR="00ED7513" w:rsidRPr="0097324B">
        <w:rPr>
          <w:iCs/>
        </w:rPr>
        <w:t>Fulvestrant Accord, Fulvestrant Intas and Fulvestrant Sandoz</w:t>
      </w:r>
      <w:r w:rsidR="005C2D5E" w:rsidRPr="0097324B">
        <w:rPr>
          <w:iCs/>
        </w:rPr>
        <w:t>.</w:t>
      </w:r>
    </w:p>
    <w:p w:rsidR="00DA2FC0" w:rsidRPr="0097324B" w:rsidRDefault="00DA2FC0" w:rsidP="00DA2FC0">
      <w:pPr>
        <w:pStyle w:val="4-SubsectionHeading"/>
      </w:pPr>
      <w:bookmarkStart w:id="5" w:name="_Toc62047557"/>
      <w:r w:rsidRPr="0097324B">
        <w:t>Previous PBAC consideration</w:t>
      </w:r>
      <w:bookmarkEnd w:id="5"/>
    </w:p>
    <w:p w:rsidR="00CE5665" w:rsidRPr="0097324B" w:rsidRDefault="00DA2FC0" w:rsidP="000A6A0D">
      <w:pPr>
        <w:pStyle w:val="3-BodyText"/>
      </w:pPr>
      <w:r w:rsidRPr="0097324B">
        <w:rPr>
          <w:rStyle w:val="Font"/>
          <w:iCs/>
        </w:rPr>
        <w:t>The PBAC recommended listing ribociclib, in combination with fulvestrant, for the treatment of patients with HR+, HER2- unresectable advanced or metastatic breast cancer at its November 2020 meeting.</w:t>
      </w:r>
      <w:r w:rsidR="0056149B" w:rsidRPr="0097324B">
        <w:rPr>
          <w:rStyle w:val="Font"/>
          <w:iCs/>
        </w:rPr>
        <w:t xml:space="preserve"> </w:t>
      </w:r>
      <w:r w:rsidR="00CE5665" w:rsidRPr="0097324B">
        <w:t>The PBAC recommended ribociclib + fulvestrant based on a weighted price derived from a:</w:t>
      </w:r>
    </w:p>
    <w:p w:rsidR="00CE5665" w:rsidRPr="0097324B" w:rsidRDefault="00CE5665" w:rsidP="00E01C63">
      <w:pPr>
        <w:pStyle w:val="ListParagraph"/>
        <w:widowControl w:val="0"/>
        <w:numPr>
          <w:ilvl w:val="0"/>
          <w:numId w:val="30"/>
        </w:numPr>
        <w:ind w:left="1077" w:hanging="357"/>
      </w:pPr>
      <w:r w:rsidRPr="0097324B">
        <w:t xml:space="preserve">cost minimisation analysis, based on </w:t>
      </w:r>
      <w:r w:rsidR="007D64DC" w:rsidRPr="0097324B">
        <w:t>ribociclib + fulvestrant</w:t>
      </w:r>
      <w:r w:rsidRPr="0097324B">
        <w:t xml:space="preserve"> compared with </w:t>
      </w:r>
      <w:r w:rsidR="007D64DC">
        <w:t xml:space="preserve">ribociclib </w:t>
      </w:r>
      <w:r w:rsidRPr="0097324B">
        <w:t>+</w:t>
      </w:r>
      <w:r w:rsidR="007D64DC">
        <w:t xml:space="preserve"> </w:t>
      </w:r>
      <w:r w:rsidRPr="0097324B">
        <w:t xml:space="preserve">NSAI as first line treatment in the metastatic setting (i.e. including patients with de novo metastatic disease and those who received endocrine therapy in the (neo)adjuvant setting); and a </w:t>
      </w:r>
    </w:p>
    <w:p w:rsidR="00CE5665" w:rsidRPr="0097324B" w:rsidRDefault="00CE5665" w:rsidP="00E01C63">
      <w:pPr>
        <w:pStyle w:val="ListParagraph"/>
        <w:widowControl w:val="0"/>
        <w:numPr>
          <w:ilvl w:val="0"/>
          <w:numId w:val="30"/>
        </w:numPr>
        <w:ind w:left="1077" w:hanging="357"/>
      </w:pPr>
      <w:r w:rsidRPr="0097324B">
        <w:t xml:space="preserve">cost-effectiveness analysis, based on </w:t>
      </w:r>
      <w:r w:rsidR="007D64DC" w:rsidRPr="0097324B">
        <w:t xml:space="preserve">ribociclib + fulvestrant </w:t>
      </w:r>
      <w:r w:rsidRPr="0097324B">
        <w:t xml:space="preserve">versus </w:t>
      </w:r>
      <w:r w:rsidR="007D64DC">
        <w:t xml:space="preserve">everolimus + exemestane </w:t>
      </w:r>
      <w:r w:rsidRPr="0097324B">
        <w:t xml:space="preserve">in second/subsequent line treatment </w:t>
      </w:r>
    </w:p>
    <w:p w:rsidR="00CE5665" w:rsidRPr="0097324B" w:rsidRDefault="00CE5665" w:rsidP="00CE5665">
      <w:pPr>
        <w:pStyle w:val="3-BodyText"/>
        <w:numPr>
          <w:ilvl w:val="0"/>
          <w:numId w:val="0"/>
        </w:numPr>
        <w:ind w:left="720"/>
      </w:pPr>
      <w:r w:rsidRPr="0097324B">
        <w:t xml:space="preserve">Overall, in its November 2020 consideration of ribociclib + fulvestrant “the PBAC considered the prices proposed in each of the settings were reasonable, and the resubmission’s overall proposal of a price that is the same as the current price for use in combination with NSAIs was appropriate”. (para 5.9, ribociclib </w:t>
      </w:r>
      <w:r w:rsidR="00593D54" w:rsidRPr="0097324B">
        <w:t xml:space="preserve">Public Summary Document </w:t>
      </w:r>
      <w:r w:rsidR="00593D54">
        <w:t>(</w:t>
      </w:r>
      <w:r w:rsidRPr="0097324B">
        <w:t>PSD</w:t>
      </w:r>
      <w:r w:rsidR="00593D54">
        <w:t>)</w:t>
      </w:r>
      <w:r w:rsidRPr="0097324B">
        <w:t>, November 2020 PBAC meeting)</w:t>
      </w:r>
      <w:r w:rsidR="007110C0" w:rsidRPr="0097324B">
        <w:t xml:space="preserve">. At the time of PBAC consideration, ribociclib was not PBS-listed for this </w:t>
      </w:r>
      <w:r w:rsidR="00D05F87">
        <w:t>combination</w:t>
      </w:r>
      <w:r w:rsidR="007110C0" w:rsidRPr="0097324B">
        <w:t xml:space="preserve">. </w:t>
      </w:r>
    </w:p>
    <w:p w:rsidR="00DA2FC0" w:rsidRPr="0097324B" w:rsidRDefault="00DA2FC0" w:rsidP="00972D6B">
      <w:pPr>
        <w:pStyle w:val="3-BodyText"/>
        <w:rPr>
          <w:rStyle w:val="Font"/>
          <w:iCs/>
        </w:rPr>
      </w:pPr>
      <w:r w:rsidRPr="0097324B">
        <w:rPr>
          <w:rStyle w:val="Font"/>
          <w:iCs/>
        </w:rPr>
        <w:t xml:space="preserve">The PBAC recommended listing fulvestrant for the treatment of patients with HR+, HER2- unresectable advanced or metastatic breast cancer at its July 2020 meeting. </w:t>
      </w:r>
      <w:r w:rsidR="00011AB0" w:rsidRPr="0097324B">
        <w:rPr>
          <w:rStyle w:val="Font"/>
          <w:iCs/>
        </w:rPr>
        <w:t>The PBAC considered that the proposed listing for fulvestrant as monotherapy “</w:t>
      </w:r>
      <w:r w:rsidR="00011AB0" w:rsidRPr="0097324B">
        <w:t>would not specifically prohibit use in combination with other medicines, such as CDK4/6 inhibitors and this use would be consistent with the TGA indications for some CDK4/6 inhibitors.</w:t>
      </w:r>
      <w:r w:rsidR="00157842" w:rsidRPr="0097324B">
        <w:t xml:space="preserve"> However, such use is prohibited in the current CDK4/6 inhibitor restrictions, which state ‘treatment must be in combination with anastrozole or letrozole’</w:t>
      </w:r>
      <w:r w:rsidR="0022616A" w:rsidRPr="0097324B">
        <w:t xml:space="preserve"> </w:t>
      </w:r>
      <w:r w:rsidR="00011AB0" w:rsidRPr="0097324B">
        <w:t>(paragraph 7.4, Fulvestrant PSD, July 2020 PBAC meeting).</w:t>
      </w:r>
      <w:r w:rsidR="001E05AD" w:rsidRPr="0097324B">
        <w:t xml:space="preserve"> </w:t>
      </w:r>
      <w:r w:rsidR="00313546">
        <w:t>At the time of PBAC consideration, f</w:t>
      </w:r>
      <w:r w:rsidRPr="0097324B">
        <w:rPr>
          <w:rStyle w:val="Font"/>
          <w:iCs/>
        </w:rPr>
        <w:t xml:space="preserve">ulvestrant (as combination therapy or as monotherapy) </w:t>
      </w:r>
      <w:r w:rsidR="00313546">
        <w:rPr>
          <w:rStyle w:val="Font"/>
          <w:iCs/>
        </w:rPr>
        <w:t xml:space="preserve">was </w:t>
      </w:r>
      <w:r w:rsidRPr="0097324B">
        <w:rPr>
          <w:rStyle w:val="Font"/>
          <w:iCs/>
        </w:rPr>
        <w:t xml:space="preserve">not </w:t>
      </w:r>
      <w:r w:rsidR="00313546">
        <w:rPr>
          <w:rStyle w:val="Font"/>
          <w:iCs/>
        </w:rPr>
        <w:t>PBS-</w:t>
      </w:r>
      <w:r w:rsidRPr="0097324B">
        <w:rPr>
          <w:rStyle w:val="Font"/>
          <w:iCs/>
        </w:rPr>
        <w:t>listed for any indication.</w:t>
      </w:r>
    </w:p>
    <w:p w:rsidR="00B4068C" w:rsidRPr="0097324B" w:rsidRDefault="00B4068C" w:rsidP="00B4068C">
      <w:pPr>
        <w:pStyle w:val="3-BodyText"/>
        <w:numPr>
          <w:ilvl w:val="0"/>
          <w:numId w:val="0"/>
        </w:numPr>
        <w:ind w:left="720"/>
        <w:rPr>
          <w:rStyle w:val="Font"/>
          <w:iCs/>
        </w:rPr>
      </w:pPr>
      <w:r w:rsidRPr="0097324B">
        <w:rPr>
          <w:i/>
        </w:rPr>
        <w:t>For more detail on PBAC’s view, see section 7 PBAC outcome.</w:t>
      </w:r>
    </w:p>
    <w:p w:rsidR="00B60939" w:rsidRPr="0097324B" w:rsidRDefault="00B50DB8" w:rsidP="004E18E9">
      <w:pPr>
        <w:pStyle w:val="2-SectionHeading"/>
      </w:pPr>
      <w:bookmarkStart w:id="6" w:name="_Toc62047558"/>
      <w:r w:rsidRPr="0097324B">
        <w:t>Requested listing</w:t>
      </w:r>
      <w:bookmarkEnd w:id="6"/>
    </w:p>
    <w:p w:rsidR="00F352F9" w:rsidRPr="0097324B" w:rsidRDefault="00F352F9" w:rsidP="00F352F9">
      <w:pPr>
        <w:spacing w:after="120"/>
        <w:rPr>
          <w:rFonts w:asciiTheme="minorHAnsi" w:hAnsiTheme="minorHAnsi" w:cstheme="minorHAnsi"/>
        </w:rPr>
      </w:pPr>
      <w:r w:rsidRPr="0097324B">
        <w:rPr>
          <w:rFonts w:asciiTheme="minorHAnsi" w:hAnsiTheme="minorHAnsi" w:cstheme="minorHAnsi"/>
        </w:rPr>
        <w:t>Suggestions and additions proposed by the Secretariat are added in italics and suggested deletions are crossed out with strikethrough.</w:t>
      </w:r>
    </w:p>
    <w:p w:rsidR="00F352F9" w:rsidRPr="0097324B" w:rsidRDefault="00F352F9" w:rsidP="00F352F9">
      <w:pPr>
        <w:pStyle w:val="TableFigureHeading"/>
      </w:pPr>
      <w:r w:rsidRPr="0097324B">
        <w:lastRenderedPageBreak/>
        <w:t>Table 2: Details of proposed PBS listing and criteria</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gridCol w:w="1324"/>
        <w:gridCol w:w="841"/>
        <w:gridCol w:w="841"/>
        <w:gridCol w:w="841"/>
        <w:gridCol w:w="1324"/>
        <w:gridCol w:w="1375"/>
      </w:tblGrid>
      <w:tr w:rsidR="00F352F9" w:rsidRPr="0097324B" w:rsidTr="000A6A0D">
        <w:trPr>
          <w:cantSplit/>
          <w:trHeight w:val="471"/>
        </w:trPr>
        <w:tc>
          <w:tcPr>
            <w:tcW w:w="1390" w:type="pct"/>
          </w:tcPr>
          <w:p w:rsidR="00F352F9" w:rsidRPr="0097324B" w:rsidRDefault="00F352F9" w:rsidP="00A17EC3">
            <w:pPr>
              <w:keepNext/>
              <w:ind w:left="57"/>
              <w:rPr>
                <w:rFonts w:ascii="Arial Narrow" w:hAnsi="Arial Narrow"/>
                <w:b/>
                <w:sz w:val="18"/>
                <w:szCs w:val="18"/>
              </w:rPr>
            </w:pPr>
            <w:r w:rsidRPr="0097324B">
              <w:rPr>
                <w:rFonts w:ascii="Arial Narrow" w:hAnsi="Arial Narrow"/>
                <w:b/>
                <w:sz w:val="18"/>
                <w:szCs w:val="18"/>
              </w:rPr>
              <w:t>MEDICINAL PRODUCT</w:t>
            </w:r>
          </w:p>
          <w:p w:rsidR="00F352F9" w:rsidRPr="0097324B" w:rsidRDefault="00F352F9" w:rsidP="00A17EC3">
            <w:pPr>
              <w:keepNext/>
              <w:ind w:left="57"/>
              <w:rPr>
                <w:rFonts w:ascii="Arial Narrow" w:hAnsi="Arial Narrow"/>
                <w:b/>
                <w:sz w:val="18"/>
                <w:szCs w:val="18"/>
              </w:rPr>
            </w:pPr>
            <w:r w:rsidRPr="0097324B">
              <w:rPr>
                <w:rFonts w:ascii="Arial Narrow" w:hAnsi="Arial Narrow"/>
                <w:b/>
                <w:sz w:val="18"/>
                <w:szCs w:val="18"/>
              </w:rPr>
              <w:t>medicinal product pack</w:t>
            </w:r>
          </w:p>
        </w:tc>
        <w:tc>
          <w:tcPr>
            <w:tcW w:w="730" w:type="pct"/>
          </w:tcPr>
          <w:p w:rsidR="00F352F9" w:rsidRPr="0097324B" w:rsidRDefault="00F352F9" w:rsidP="00A17EC3">
            <w:pPr>
              <w:keepNext/>
              <w:ind w:left="-108"/>
              <w:jc w:val="center"/>
              <w:rPr>
                <w:rFonts w:ascii="Arial Narrow" w:hAnsi="Arial Narrow"/>
                <w:b/>
                <w:sz w:val="18"/>
                <w:szCs w:val="18"/>
              </w:rPr>
            </w:pPr>
            <w:r w:rsidRPr="0097324B">
              <w:rPr>
                <w:rFonts w:ascii="Arial Narrow" w:hAnsi="Arial Narrow"/>
                <w:b/>
                <w:sz w:val="18"/>
                <w:szCs w:val="18"/>
              </w:rPr>
              <w:t>PBS item code</w:t>
            </w:r>
          </w:p>
        </w:tc>
        <w:tc>
          <w:tcPr>
            <w:tcW w:w="464" w:type="pct"/>
          </w:tcPr>
          <w:p w:rsidR="00F352F9" w:rsidRPr="0097324B" w:rsidRDefault="00F352F9" w:rsidP="00A17EC3">
            <w:pPr>
              <w:keepNext/>
              <w:ind w:left="-108"/>
              <w:jc w:val="center"/>
              <w:rPr>
                <w:rFonts w:ascii="Arial Narrow" w:hAnsi="Arial Narrow"/>
                <w:b/>
                <w:sz w:val="18"/>
                <w:szCs w:val="18"/>
              </w:rPr>
            </w:pPr>
            <w:r w:rsidRPr="0097324B">
              <w:rPr>
                <w:rFonts w:ascii="Arial Narrow" w:hAnsi="Arial Narrow"/>
                <w:b/>
                <w:sz w:val="18"/>
                <w:szCs w:val="18"/>
              </w:rPr>
              <w:t>Max. qty packs</w:t>
            </w:r>
          </w:p>
        </w:tc>
        <w:tc>
          <w:tcPr>
            <w:tcW w:w="464" w:type="pct"/>
          </w:tcPr>
          <w:p w:rsidR="00F352F9" w:rsidRPr="0097324B" w:rsidRDefault="00F352F9" w:rsidP="00A17EC3">
            <w:pPr>
              <w:keepNext/>
              <w:ind w:left="-108"/>
              <w:jc w:val="center"/>
              <w:rPr>
                <w:rFonts w:ascii="Arial Narrow" w:hAnsi="Arial Narrow"/>
                <w:b/>
                <w:sz w:val="18"/>
                <w:szCs w:val="18"/>
              </w:rPr>
            </w:pPr>
            <w:r w:rsidRPr="0097324B">
              <w:rPr>
                <w:rFonts w:ascii="Arial Narrow" w:hAnsi="Arial Narrow"/>
                <w:b/>
                <w:sz w:val="18"/>
                <w:szCs w:val="18"/>
              </w:rPr>
              <w:t>Max. qty units</w:t>
            </w:r>
          </w:p>
        </w:tc>
        <w:tc>
          <w:tcPr>
            <w:tcW w:w="464" w:type="pct"/>
          </w:tcPr>
          <w:p w:rsidR="00F352F9" w:rsidRPr="0097324B" w:rsidRDefault="00F352F9" w:rsidP="00A17EC3">
            <w:pPr>
              <w:keepNext/>
              <w:ind w:left="-108"/>
              <w:jc w:val="center"/>
              <w:rPr>
                <w:rFonts w:ascii="Arial Narrow" w:hAnsi="Arial Narrow"/>
                <w:b/>
                <w:sz w:val="18"/>
                <w:szCs w:val="18"/>
              </w:rPr>
            </w:pPr>
            <w:r w:rsidRPr="0097324B">
              <w:rPr>
                <w:rFonts w:ascii="Arial Narrow" w:hAnsi="Arial Narrow"/>
                <w:b/>
                <w:sz w:val="18"/>
                <w:szCs w:val="18"/>
              </w:rPr>
              <w:t>№.of</w:t>
            </w:r>
          </w:p>
          <w:p w:rsidR="00F352F9" w:rsidRPr="0097324B" w:rsidRDefault="00F352F9" w:rsidP="00A17EC3">
            <w:pPr>
              <w:keepNext/>
              <w:ind w:left="-108"/>
              <w:jc w:val="center"/>
              <w:rPr>
                <w:rFonts w:ascii="Arial Narrow" w:hAnsi="Arial Narrow"/>
                <w:b/>
                <w:sz w:val="18"/>
                <w:szCs w:val="18"/>
              </w:rPr>
            </w:pPr>
            <w:r w:rsidRPr="0097324B">
              <w:rPr>
                <w:rFonts w:ascii="Arial Narrow" w:hAnsi="Arial Narrow"/>
                <w:b/>
                <w:sz w:val="18"/>
                <w:szCs w:val="18"/>
              </w:rPr>
              <w:t>Rpts</w:t>
            </w:r>
          </w:p>
        </w:tc>
        <w:tc>
          <w:tcPr>
            <w:tcW w:w="730" w:type="pct"/>
          </w:tcPr>
          <w:p w:rsidR="00F352F9" w:rsidRPr="0097324B" w:rsidRDefault="00F352F9" w:rsidP="00A17EC3">
            <w:pPr>
              <w:keepNext/>
              <w:rPr>
                <w:rFonts w:ascii="Arial Narrow" w:hAnsi="Arial Narrow"/>
                <w:b/>
                <w:sz w:val="18"/>
                <w:szCs w:val="18"/>
              </w:rPr>
            </w:pPr>
            <w:r w:rsidRPr="0097324B">
              <w:rPr>
                <w:rFonts w:ascii="Arial Narrow" w:hAnsi="Arial Narrow"/>
                <w:b/>
                <w:sz w:val="18"/>
                <w:szCs w:val="18"/>
              </w:rPr>
              <w:t>Dispensed Price for Max. Qty</w:t>
            </w:r>
          </w:p>
        </w:tc>
        <w:tc>
          <w:tcPr>
            <w:tcW w:w="758" w:type="pct"/>
          </w:tcPr>
          <w:p w:rsidR="00F352F9" w:rsidRPr="0097324B" w:rsidRDefault="00F352F9" w:rsidP="00A17EC3">
            <w:pPr>
              <w:keepNext/>
              <w:rPr>
                <w:rFonts w:ascii="Arial Narrow" w:hAnsi="Arial Narrow"/>
                <w:b/>
                <w:sz w:val="18"/>
                <w:szCs w:val="18"/>
              </w:rPr>
            </w:pPr>
            <w:r w:rsidRPr="0097324B">
              <w:rPr>
                <w:rFonts w:ascii="Arial Narrow" w:hAnsi="Arial Narrow"/>
                <w:b/>
                <w:sz w:val="18"/>
                <w:szCs w:val="18"/>
              </w:rPr>
              <w:t>Available brands</w:t>
            </w:r>
          </w:p>
        </w:tc>
      </w:tr>
      <w:tr w:rsidR="00F352F9" w:rsidRPr="0097324B" w:rsidTr="000A6A0D">
        <w:trPr>
          <w:cantSplit/>
          <w:trHeight w:val="322"/>
        </w:trPr>
        <w:tc>
          <w:tcPr>
            <w:tcW w:w="5000" w:type="pct"/>
            <w:gridSpan w:val="7"/>
          </w:tcPr>
          <w:p w:rsidR="00F352F9" w:rsidRPr="0097324B" w:rsidRDefault="00F352F9" w:rsidP="00F352F9">
            <w:pPr>
              <w:keepNext/>
              <w:rPr>
                <w:rFonts w:ascii="Arial Narrow" w:hAnsi="Arial Narrow"/>
                <w:sz w:val="18"/>
                <w:szCs w:val="18"/>
              </w:rPr>
            </w:pPr>
            <w:r w:rsidRPr="0097324B">
              <w:rPr>
                <w:rFonts w:ascii="Arial Narrow" w:hAnsi="Arial Narrow"/>
                <w:sz w:val="18"/>
                <w:szCs w:val="18"/>
              </w:rPr>
              <w:t>ABEMACICLIB</w:t>
            </w:r>
          </w:p>
        </w:tc>
      </w:tr>
      <w:tr w:rsidR="00EF2A6F" w:rsidRPr="0097324B" w:rsidTr="004730E0">
        <w:trPr>
          <w:cantSplit/>
          <w:trHeight w:val="333"/>
        </w:trPr>
        <w:tc>
          <w:tcPr>
            <w:tcW w:w="1390" w:type="pct"/>
            <w:shd w:val="clear" w:color="auto" w:fill="auto"/>
          </w:tcPr>
          <w:p w:rsidR="00F352F9" w:rsidRPr="0097324B" w:rsidRDefault="00F352F9" w:rsidP="00F352F9">
            <w:pPr>
              <w:keepNext/>
              <w:ind w:left="57"/>
              <w:rPr>
                <w:rFonts w:ascii="Arial Narrow" w:hAnsi="Arial Narrow"/>
                <w:sz w:val="18"/>
                <w:szCs w:val="18"/>
              </w:rPr>
            </w:pPr>
            <w:r w:rsidRPr="0097324B">
              <w:rPr>
                <w:rFonts w:ascii="Arial Narrow" w:hAnsi="Arial Narrow"/>
                <w:sz w:val="18"/>
                <w:szCs w:val="18"/>
              </w:rPr>
              <w:t>abemaciclib 150 mg tablet, 56</w:t>
            </w:r>
          </w:p>
        </w:tc>
        <w:tc>
          <w:tcPr>
            <w:tcW w:w="730" w:type="pct"/>
            <w:shd w:val="clear" w:color="auto" w:fill="auto"/>
          </w:tcPr>
          <w:p w:rsidR="00F352F9" w:rsidRPr="0097324B" w:rsidRDefault="00F352F9" w:rsidP="00F352F9">
            <w:pPr>
              <w:keepNext/>
              <w:ind w:left="-108"/>
              <w:jc w:val="center"/>
              <w:rPr>
                <w:rFonts w:ascii="Arial Narrow" w:hAnsi="Arial Narrow"/>
                <w:sz w:val="18"/>
                <w:szCs w:val="18"/>
              </w:rPr>
            </w:pPr>
            <w:r w:rsidRPr="0097324B">
              <w:rPr>
                <w:rFonts w:ascii="Arial Narrow" w:hAnsi="Arial Narrow"/>
                <w:sz w:val="18"/>
                <w:szCs w:val="18"/>
              </w:rPr>
              <w:t>11868P</w:t>
            </w:r>
          </w:p>
        </w:tc>
        <w:tc>
          <w:tcPr>
            <w:tcW w:w="464" w:type="pct"/>
            <w:shd w:val="clear" w:color="auto" w:fill="auto"/>
          </w:tcPr>
          <w:p w:rsidR="00F352F9" w:rsidRPr="0097324B" w:rsidRDefault="00F352F9" w:rsidP="00F352F9">
            <w:pPr>
              <w:keepNext/>
              <w:jc w:val="center"/>
              <w:rPr>
                <w:rFonts w:ascii="Arial Narrow" w:hAnsi="Arial Narrow"/>
                <w:sz w:val="18"/>
                <w:szCs w:val="18"/>
              </w:rPr>
            </w:pPr>
            <w:r w:rsidRPr="0097324B">
              <w:rPr>
                <w:rFonts w:ascii="Arial Narrow" w:hAnsi="Arial Narrow"/>
                <w:sz w:val="18"/>
                <w:szCs w:val="18"/>
              </w:rPr>
              <w:t>1</w:t>
            </w:r>
          </w:p>
        </w:tc>
        <w:tc>
          <w:tcPr>
            <w:tcW w:w="464" w:type="pct"/>
            <w:shd w:val="clear" w:color="auto" w:fill="auto"/>
          </w:tcPr>
          <w:p w:rsidR="00F352F9" w:rsidRPr="0097324B" w:rsidRDefault="00F352F9" w:rsidP="00F352F9">
            <w:pPr>
              <w:keepNext/>
              <w:ind w:left="-108"/>
              <w:jc w:val="center"/>
              <w:rPr>
                <w:rFonts w:ascii="Arial Narrow" w:hAnsi="Arial Narrow"/>
                <w:sz w:val="18"/>
                <w:szCs w:val="18"/>
              </w:rPr>
            </w:pPr>
            <w:r w:rsidRPr="0097324B">
              <w:rPr>
                <w:rFonts w:ascii="Arial Narrow" w:hAnsi="Arial Narrow"/>
                <w:sz w:val="18"/>
                <w:szCs w:val="18"/>
              </w:rPr>
              <w:t>56</w:t>
            </w:r>
          </w:p>
        </w:tc>
        <w:tc>
          <w:tcPr>
            <w:tcW w:w="464" w:type="pct"/>
            <w:shd w:val="clear" w:color="auto" w:fill="auto"/>
          </w:tcPr>
          <w:p w:rsidR="00F352F9" w:rsidRPr="0097324B" w:rsidRDefault="00F352F9" w:rsidP="00F352F9">
            <w:pPr>
              <w:keepNext/>
              <w:ind w:left="-108"/>
              <w:jc w:val="center"/>
              <w:rPr>
                <w:rFonts w:ascii="Arial Narrow" w:hAnsi="Arial Narrow"/>
                <w:sz w:val="18"/>
                <w:szCs w:val="18"/>
              </w:rPr>
            </w:pPr>
            <w:r w:rsidRPr="0097324B">
              <w:rPr>
                <w:rFonts w:ascii="Arial Narrow" w:hAnsi="Arial Narrow"/>
                <w:sz w:val="18"/>
                <w:szCs w:val="18"/>
              </w:rPr>
              <w:t>5</w:t>
            </w:r>
          </w:p>
        </w:tc>
        <w:tc>
          <w:tcPr>
            <w:tcW w:w="730" w:type="pct"/>
            <w:vAlign w:val="center"/>
          </w:tcPr>
          <w:p w:rsidR="00F352F9" w:rsidRPr="0097324B" w:rsidRDefault="00F352F9" w:rsidP="00F352F9">
            <w:pPr>
              <w:keepNext/>
              <w:rPr>
                <w:rFonts w:ascii="Arial Narrow" w:hAnsi="Arial Narrow"/>
                <w:sz w:val="18"/>
                <w:szCs w:val="18"/>
              </w:rPr>
            </w:pPr>
            <w:r w:rsidRPr="0097324B">
              <w:rPr>
                <w:rFonts w:ascii="Arial Narrow" w:hAnsi="Arial Narrow"/>
                <w:sz w:val="18"/>
                <w:szCs w:val="18"/>
              </w:rPr>
              <w:t>$5,542.46 (published)*</w:t>
            </w:r>
          </w:p>
        </w:tc>
        <w:tc>
          <w:tcPr>
            <w:tcW w:w="758" w:type="pct"/>
            <w:shd w:val="clear" w:color="auto" w:fill="auto"/>
          </w:tcPr>
          <w:p w:rsidR="00F352F9" w:rsidRPr="0097324B" w:rsidRDefault="00F352F9" w:rsidP="00F352F9">
            <w:pPr>
              <w:keepNext/>
              <w:rPr>
                <w:rFonts w:ascii="Arial Narrow" w:hAnsi="Arial Narrow"/>
                <w:sz w:val="18"/>
                <w:szCs w:val="18"/>
              </w:rPr>
            </w:pPr>
            <w:r w:rsidRPr="0097324B">
              <w:rPr>
                <w:rFonts w:ascii="Arial Narrow" w:hAnsi="Arial Narrow"/>
                <w:sz w:val="18"/>
                <w:szCs w:val="18"/>
              </w:rPr>
              <w:t>Verzenio</w:t>
            </w:r>
          </w:p>
        </w:tc>
      </w:tr>
      <w:tr w:rsidR="00EF2A6F" w:rsidRPr="0097324B" w:rsidTr="004730E0">
        <w:trPr>
          <w:cantSplit/>
          <w:trHeight w:val="347"/>
        </w:trPr>
        <w:tc>
          <w:tcPr>
            <w:tcW w:w="1390" w:type="pct"/>
            <w:shd w:val="clear" w:color="auto" w:fill="auto"/>
          </w:tcPr>
          <w:p w:rsidR="00F352F9" w:rsidRPr="0097324B" w:rsidRDefault="00F352F9" w:rsidP="00F352F9">
            <w:pPr>
              <w:keepNext/>
              <w:ind w:left="57"/>
              <w:rPr>
                <w:rFonts w:ascii="Arial Narrow" w:hAnsi="Arial Narrow"/>
                <w:sz w:val="18"/>
                <w:szCs w:val="18"/>
              </w:rPr>
            </w:pPr>
            <w:r w:rsidRPr="0097324B">
              <w:rPr>
                <w:rFonts w:ascii="Arial Narrow" w:hAnsi="Arial Narrow"/>
                <w:sz w:val="18"/>
                <w:szCs w:val="18"/>
              </w:rPr>
              <w:t>abemaciclib 100 mg tablet, 56</w:t>
            </w:r>
          </w:p>
        </w:tc>
        <w:tc>
          <w:tcPr>
            <w:tcW w:w="730" w:type="pct"/>
            <w:shd w:val="clear" w:color="auto" w:fill="auto"/>
          </w:tcPr>
          <w:p w:rsidR="00F352F9" w:rsidRPr="0097324B" w:rsidRDefault="00F352F9" w:rsidP="00F352F9">
            <w:pPr>
              <w:keepNext/>
              <w:ind w:left="-108"/>
              <w:jc w:val="center"/>
              <w:rPr>
                <w:rFonts w:ascii="Arial Narrow" w:hAnsi="Arial Narrow"/>
                <w:sz w:val="18"/>
                <w:szCs w:val="18"/>
              </w:rPr>
            </w:pPr>
            <w:r w:rsidRPr="0097324B">
              <w:rPr>
                <w:rFonts w:ascii="Arial Narrow" w:hAnsi="Arial Narrow"/>
                <w:sz w:val="18"/>
                <w:szCs w:val="18"/>
              </w:rPr>
              <w:t>11871T</w:t>
            </w:r>
          </w:p>
        </w:tc>
        <w:tc>
          <w:tcPr>
            <w:tcW w:w="464" w:type="pct"/>
            <w:shd w:val="clear" w:color="auto" w:fill="auto"/>
          </w:tcPr>
          <w:p w:rsidR="00F352F9" w:rsidRPr="0097324B" w:rsidRDefault="00F352F9" w:rsidP="00F352F9">
            <w:pPr>
              <w:keepNext/>
              <w:jc w:val="center"/>
              <w:rPr>
                <w:rFonts w:ascii="Arial Narrow" w:hAnsi="Arial Narrow"/>
                <w:sz w:val="18"/>
                <w:szCs w:val="18"/>
              </w:rPr>
            </w:pPr>
            <w:r w:rsidRPr="0097324B">
              <w:rPr>
                <w:rFonts w:ascii="Arial Narrow" w:hAnsi="Arial Narrow"/>
                <w:sz w:val="18"/>
                <w:szCs w:val="18"/>
              </w:rPr>
              <w:t>1</w:t>
            </w:r>
          </w:p>
        </w:tc>
        <w:tc>
          <w:tcPr>
            <w:tcW w:w="464" w:type="pct"/>
            <w:shd w:val="clear" w:color="auto" w:fill="auto"/>
          </w:tcPr>
          <w:p w:rsidR="00F352F9" w:rsidRPr="0097324B" w:rsidRDefault="00F352F9" w:rsidP="00F352F9">
            <w:pPr>
              <w:keepNext/>
              <w:ind w:left="-108"/>
              <w:jc w:val="center"/>
              <w:rPr>
                <w:rFonts w:ascii="Arial Narrow" w:hAnsi="Arial Narrow"/>
                <w:sz w:val="18"/>
                <w:szCs w:val="18"/>
              </w:rPr>
            </w:pPr>
            <w:r w:rsidRPr="0097324B">
              <w:rPr>
                <w:rFonts w:ascii="Arial Narrow" w:hAnsi="Arial Narrow"/>
                <w:sz w:val="18"/>
                <w:szCs w:val="18"/>
              </w:rPr>
              <w:t>56</w:t>
            </w:r>
          </w:p>
        </w:tc>
        <w:tc>
          <w:tcPr>
            <w:tcW w:w="464" w:type="pct"/>
            <w:shd w:val="clear" w:color="auto" w:fill="auto"/>
          </w:tcPr>
          <w:p w:rsidR="00F352F9" w:rsidRPr="0097324B" w:rsidRDefault="00F352F9" w:rsidP="00F352F9">
            <w:pPr>
              <w:keepNext/>
              <w:ind w:left="-108"/>
              <w:jc w:val="center"/>
              <w:rPr>
                <w:rFonts w:ascii="Arial Narrow" w:hAnsi="Arial Narrow"/>
                <w:sz w:val="18"/>
                <w:szCs w:val="18"/>
              </w:rPr>
            </w:pPr>
            <w:r w:rsidRPr="0097324B">
              <w:rPr>
                <w:rFonts w:ascii="Arial Narrow" w:hAnsi="Arial Narrow"/>
                <w:sz w:val="18"/>
                <w:szCs w:val="18"/>
              </w:rPr>
              <w:t>5</w:t>
            </w:r>
          </w:p>
        </w:tc>
        <w:tc>
          <w:tcPr>
            <w:tcW w:w="730" w:type="pct"/>
            <w:vAlign w:val="center"/>
          </w:tcPr>
          <w:p w:rsidR="00F352F9" w:rsidRPr="0097324B" w:rsidRDefault="00F352F9" w:rsidP="00F352F9">
            <w:pPr>
              <w:keepNext/>
              <w:rPr>
                <w:rFonts w:ascii="Arial Narrow" w:hAnsi="Arial Narrow"/>
                <w:sz w:val="18"/>
                <w:szCs w:val="18"/>
              </w:rPr>
            </w:pPr>
            <w:r w:rsidRPr="0097324B">
              <w:rPr>
                <w:rFonts w:ascii="Arial Narrow" w:hAnsi="Arial Narrow"/>
                <w:sz w:val="18"/>
                <w:szCs w:val="18"/>
              </w:rPr>
              <w:t>$5,542.46 (published)*</w:t>
            </w:r>
          </w:p>
        </w:tc>
        <w:tc>
          <w:tcPr>
            <w:tcW w:w="758" w:type="pct"/>
            <w:shd w:val="clear" w:color="auto" w:fill="auto"/>
          </w:tcPr>
          <w:p w:rsidR="00F352F9" w:rsidRPr="0097324B" w:rsidRDefault="00F352F9" w:rsidP="00F352F9">
            <w:pPr>
              <w:keepNext/>
              <w:rPr>
                <w:rFonts w:ascii="Arial Narrow" w:hAnsi="Arial Narrow"/>
                <w:sz w:val="18"/>
                <w:szCs w:val="18"/>
              </w:rPr>
            </w:pPr>
            <w:r w:rsidRPr="0097324B">
              <w:rPr>
                <w:rFonts w:ascii="Arial Narrow" w:hAnsi="Arial Narrow"/>
                <w:sz w:val="18"/>
                <w:szCs w:val="18"/>
              </w:rPr>
              <w:t>Verzenio</w:t>
            </w:r>
          </w:p>
        </w:tc>
      </w:tr>
      <w:tr w:rsidR="00EF2A6F" w:rsidRPr="0097324B" w:rsidTr="004730E0">
        <w:trPr>
          <w:cantSplit/>
          <w:trHeight w:val="347"/>
        </w:trPr>
        <w:tc>
          <w:tcPr>
            <w:tcW w:w="1390" w:type="pct"/>
            <w:shd w:val="clear" w:color="auto" w:fill="auto"/>
          </w:tcPr>
          <w:p w:rsidR="00F352F9" w:rsidRPr="0097324B" w:rsidRDefault="00F352F9" w:rsidP="00F352F9">
            <w:pPr>
              <w:keepNext/>
              <w:ind w:left="57"/>
              <w:rPr>
                <w:rFonts w:ascii="Arial Narrow" w:hAnsi="Arial Narrow"/>
                <w:sz w:val="18"/>
                <w:szCs w:val="18"/>
              </w:rPr>
            </w:pPr>
            <w:r w:rsidRPr="0097324B">
              <w:rPr>
                <w:rFonts w:ascii="Arial Narrow" w:hAnsi="Arial Narrow"/>
                <w:sz w:val="18"/>
                <w:szCs w:val="18"/>
              </w:rPr>
              <w:t>abemaciclib 50 mg tablet, 56</w:t>
            </w:r>
          </w:p>
        </w:tc>
        <w:tc>
          <w:tcPr>
            <w:tcW w:w="730" w:type="pct"/>
            <w:shd w:val="clear" w:color="auto" w:fill="auto"/>
          </w:tcPr>
          <w:p w:rsidR="00F352F9" w:rsidRPr="0097324B" w:rsidRDefault="00F352F9" w:rsidP="00F352F9">
            <w:pPr>
              <w:keepNext/>
              <w:ind w:left="-108"/>
              <w:jc w:val="center"/>
              <w:rPr>
                <w:rFonts w:ascii="Arial Narrow" w:hAnsi="Arial Narrow"/>
                <w:sz w:val="18"/>
                <w:szCs w:val="18"/>
              </w:rPr>
            </w:pPr>
            <w:r w:rsidRPr="0097324B">
              <w:rPr>
                <w:rFonts w:ascii="Arial Narrow" w:hAnsi="Arial Narrow"/>
                <w:sz w:val="18"/>
                <w:szCs w:val="18"/>
              </w:rPr>
              <w:t>11876C</w:t>
            </w:r>
          </w:p>
        </w:tc>
        <w:tc>
          <w:tcPr>
            <w:tcW w:w="464" w:type="pct"/>
            <w:shd w:val="clear" w:color="auto" w:fill="auto"/>
          </w:tcPr>
          <w:p w:rsidR="00F352F9" w:rsidRPr="0097324B" w:rsidRDefault="00F352F9" w:rsidP="00F352F9">
            <w:pPr>
              <w:keepNext/>
              <w:jc w:val="center"/>
              <w:rPr>
                <w:rFonts w:ascii="Arial Narrow" w:hAnsi="Arial Narrow"/>
                <w:sz w:val="18"/>
                <w:szCs w:val="18"/>
              </w:rPr>
            </w:pPr>
            <w:r w:rsidRPr="0097324B">
              <w:rPr>
                <w:rFonts w:ascii="Arial Narrow" w:hAnsi="Arial Narrow"/>
                <w:sz w:val="18"/>
                <w:szCs w:val="18"/>
              </w:rPr>
              <w:t>1</w:t>
            </w:r>
          </w:p>
        </w:tc>
        <w:tc>
          <w:tcPr>
            <w:tcW w:w="464" w:type="pct"/>
            <w:shd w:val="clear" w:color="auto" w:fill="auto"/>
          </w:tcPr>
          <w:p w:rsidR="00F352F9" w:rsidRPr="0097324B" w:rsidRDefault="00F352F9" w:rsidP="00F352F9">
            <w:pPr>
              <w:keepNext/>
              <w:ind w:left="-108"/>
              <w:jc w:val="center"/>
              <w:rPr>
                <w:rFonts w:ascii="Arial Narrow" w:hAnsi="Arial Narrow"/>
                <w:sz w:val="18"/>
                <w:szCs w:val="18"/>
              </w:rPr>
            </w:pPr>
            <w:r w:rsidRPr="0097324B">
              <w:rPr>
                <w:rFonts w:ascii="Arial Narrow" w:hAnsi="Arial Narrow"/>
                <w:sz w:val="18"/>
                <w:szCs w:val="18"/>
              </w:rPr>
              <w:t>56</w:t>
            </w:r>
          </w:p>
        </w:tc>
        <w:tc>
          <w:tcPr>
            <w:tcW w:w="464" w:type="pct"/>
            <w:shd w:val="clear" w:color="auto" w:fill="auto"/>
          </w:tcPr>
          <w:p w:rsidR="00F352F9" w:rsidRPr="0097324B" w:rsidRDefault="00F352F9" w:rsidP="00F352F9">
            <w:pPr>
              <w:keepNext/>
              <w:ind w:left="-108"/>
              <w:jc w:val="center"/>
              <w:rPr>
                <w:rFonts w:ascii="Arial Narrow" w:hAnsi="Arial Narrow"/>
                <w:sz w:val="18"/>
                <w:szCs w:val="18"/>
              </w:rPr>
            </w:pPr>
            <w:r w:rsidRPr="0097324B">
              <w:rPr>
                <w:rFonts w:ascii="Arial Narrow" w:hAnsi="Arial Narrow"/>
                <w:sz w:val="18"/>
                <w:szCs w:val="18"/>
              </w:rPr>
              <w:t>5</w:t>
            </w:r>
          </w:p>
        </w:tc>
        <w:tc>
          <w:tcPr>
            <w:tcW w:w="730" w:type="pct"/>
          </w:tcPr>
          <w:p w:rsidR="00F352F9" w:rsidRPr="0097324B" w:rsidRDefault="00F352F9" w:rsidP="00F352F9">
            <w:pPr>
              <w:keepNext/>
              <w:rPr>
                <w:rFonts w:ascii="Arial Narrow" w:hAnsi="Arial Narrow"/>
                <w:sz w:val="18"/>
                <w:szCs w:val="18"/>
              </w:rPr>
            </w:pPr>
            <w:r w:rsidRPr="0097324B">
              <w:rPr>
                <w:rFonts w:ascii="Arial Narrow" w:hAnsi="Arial Narrow"/>
                <w:sz w:val="18"/>
                <w:szCs w:val="18"/>
              </w:rPr>
              <w:t>$5,542.46 (published)*</w:t>
            </w:r>
          </w:p>
        </w:tc>
        <w:tc>
          <w:tcPr>
            <w:tcW w:w="758" w:type="pct"/>
            <w:shd w:val="clear" w:color="auto" w:fill="auto"/>
          </w:tcPr>
          <w:p w:rsidR="00F352F9" w:rsidRPr="0097324B" w:rsidRDefault="00F352F9" w:rsidP="00F352F9">
            <w:pPr>
              <w:keepNext/>
              <w:rPr>
                <w:rFonts w:ascii="Arial Narrow" w:hAnsi="Arial Narrow"/>
                <w:sz w:val="18"/>
                <w:szCs w:val="18"/>
              </w:rPr>
            </w:pPr>
            <w:r w:rsidRPr="0097324B">
              <w:rPr>
                <w:rFonts w:ascii="Arial Narrow" w:hAnsi="Arial Narrow"/>
                <w:sz w:val="18"/>
                <w:szCs w:val="18"/>
              </w:rPr>
              <w:t>Verzenio</w:t>
            </w:r>
          </w:p>
        </w:tc>
      </w:tr>
      <w:tr w:rsidR="004730E0" w:rsidRPr="0097324B" w:rsidTr="00187A54">
        <w:trPr>
          <w:cantSplit/>
          <w:trHeight w:val="347"/>
        </w:trPr>
        <w:tc>
          <w:tcPr>
            <w:tcW w:w="5000" w:type="pct"/>
            <w:gridSpan w:val="7"/>
            <w:shd w:val="clear" w:color="auto" w:fill="auto"/>
          </w:tcPr>
          <w:p w:rsidR="004730E0" w:rsidRPr="0097324B" w:rsidRDefault="004730E0" w:rsidP="00F352F9">
            <w:pPr>
              <w:keepNext/>
              <w:rPr>
                <w:rFonts w:ascii="Arial Narrow" w:hAnsi="Arial Narrow"/>
                <w:sz w:val="18"/>
                <w:szCs w:val="18"/>
              </w:rPr>
            </w:pPr>
            <w:r w:rsidRPr="0097324B">
              <w:rPr>
                <w:rFonts w:ascii="Arial Narrow" w:hAnsi="Arial Narrow"/>
                <w:sz w:val="18"/>
                <w:szCs w:val="18"/>
              </w:rPr>
              <w:t>* The proposed published price is based on the current published price for ribociclib</w:t>
            </w:r>
          </w:p>
        </w:tc>
      </w:tr>
      <w:tr w:rsidR="004730E0" w:rsidRPr="0097324B" w:rsidTr="00187A54">
        <w:trPr>
          <w:cantSplit/>
          <w:trHeight w:val="275"/>
        </w:trPr>
        <w:tc>
          <w:tcPr>
            <w:tcW w:w="5000" w:type="pct"/>
            <w:gridSpan w:val="7"/>
            <w:shd w:val="clear" w:color="auto" w:fill="auto"/>
          </w:tcPr>
          <w:p w:rsidR="004730E0" w:rsidRPr="0097324B" w:rsidRDefault="004730E0" w:rsidP="00A17EC3">
            <w:pPr>
              <w:keepNext/>
              <w:rPr>
                <w:rFonts w:ascii="Arial Narrow" w:hAnsi="Arial Narrow"/>
                <w:b/>
                <w:sz w:val="18"/>
                <w:szCs w:val="18"/>
              </w:rPr>
            </w:pPr>
          </w:p>
        </w:tc>
      </w:tr>
      <w:tr w:rsidR="00F352F9" w:rsidRPr="0097324B" w:rsidTr="00187A54">
        <w:trPr>
          <w:cantSplit/>
          <w:trHeight w:val="275"/>
        </w:trPr>
        <w:tc>
          <w:tcPr>
            <w:tcW w:w="5000" w:type="pct"/>
            <w:gridSpan w:val="7"/>
            <w:shd w:val="clear" w:color="auto" w:fill="auto"/>
          </w:tcPr>
          <w:p w:rsidR="00F352F9" w:rsidRPr="0097324B" w:rsidRDefault="00F352F9" w:rsidP="00A17EC3">
            <w:pPr>
              <w:keepNext/>
              <w:rPr>
                <w:rFonts w:ascii="Arial Narrow" w:hAnsi="Arial Narrow"/>
                <w:b/>
                <w:sz w:val="18"/>
                <w:szCs w:val="18"/>
              </w:rPr>
            </w:pPr>
            <w:r w:rsidRPr="0097324B">
              <w:rPr>
                <w:rFonts w:ascii="Arial Narrow" w:hAnsi="Arial Narrow"/>
                <w:b/>
                <w:sz w:val="18"/>
                <w:szCs w:val="18"/>
              </w:rPr>
              <w:t xml:space="preserve">Restriction Summary 10039 / ToC: 10032 </w:t>
            </w:r>
          </w:p>
        </w:tc>
      </w:tr>
      <w:tr w:rsidR="00E01C63" w:rsidRPr="0097324B" w:rsidTr="00E01C63">
        <w:tblPrEx>
          <w:tblCellMar>
            <w:top w:w="15" w:type="dxa"/>
            <w:left w:w="15" w:type="dxa"/>
            <w:bottom w:w="15" w:type="dxa"/>
            <w:right w:w="15" w:type="dxa"/>
          </w:tblCellMar>
        </w:tblPrEx>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01C63" w:rsidRPr="0097324B" w:rsidRDefault="00E01C63" w:rsidP="00A17EC3">
            <w:pPr>
              <w:rPr>
                <w:rFonts w:ascii="Arial Narrow" w:hAnsi="Arial Narrow"/>
                <w:sz w:val="18"/>
                <w:szCs w:val="18"/>
              </w:rPr>
            </w:pPr>
            <w:r w:rsidRPr="0097324B">
              <w:rPr>
                <w:rFonts w:ascii="Arial Narrow" w:hAnsi="Arial Narrow"/>
                <w:b/>
                <w:sz w:val="18"/>
                <w:szCs w:val="18"/>
              </w:rPr>
              <w:t xml:space="preserve">Category / Program:   </w:t>
            </w:r>
            <w:r w:rsidRPr="0097324B">
              <w:rPr>
                <w:rFonts w:ascii="Arial Narrow" w:hAnsi="Arial Narrow"/>
                <w:sz w:val="18"/>
                <w:szCs w:val="18"/>
              </w:rPr>
              <w:t xml:space="preserve">GENERAL – General Schedule (Code GE) </w:t>
            </w:r>
          </w:p>
        </w:tc>
      </w:tr>
      <w:tr w:rsidR="00E01C63" w:rsidRPr="0097324B" w:rsidTr="00E01C63">
        <w:tblPrEx>
          <w:tblCellMar>
            <w:top w:w="15" w:type="dxa"/>
            <w:left w:w="15" w:type="dxa"/>
            <w:bottom w:w="15" w:type="dxa"/>
            <w:right w:w="15" w:type="dxa"/>
          </w:tblCellMar>
        </w:tblPrEx>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01C63" w:rsidRPr="0097324B" w:rsidRDefault="00E01C63" w:rsidP="00A17EC3">
            <w:pPr>
              <w:widowControl w:val="0"/>
              <w:rPr>
                <w:rFonts w:ascii="Arial Narrow" w:hAnsi="Arial Narrow"/>
                <w:b/>
                <w:bCs/>
                <w:snapToGrid w:val="0"/>
                <w:sz w:val="18"/>
                <w:szCs w:val="18"/>
              </w:rPr>
            </w:pPr>
            <w:r w:rsidRPr="0097324B">
              <w:rPr>
                <w:rFonts w:ascii="Arial Narrow" w:hAnsi="Arial Narrow"/>
                <w:b/>
                <w:sz w:val="18"/>
                <w:szCs w:val="18"/>
              </w:rPr>
              <w:t xml:space="preserve">Prescriber type:   </w:t>
            </w:r>
            <w:r w:rsidRPr="0097324B">
              <w:rPr>
                <w:rFonts w:ascii="Arial Narrow" w:hAnsi="Arial Narrow"/>
                <w:sz w:val="18"/>
                <w:szCs w:val="18"/>
              </w:rPr>
              <w:fldChar w:fldCharType="begin">
                <w:ffData>
                  <w:name w:val=""/>
                  <w:enabled/>
                  <w:calcOnExit w:val="0"/>
                  <w:checkBox>
                    <w:sizeAuto/>
                    <w:default w:val="1"/>
                  </w:checkBox>
                </w:ffData>
              </w:fldChar>
            </w:r>
            <w:r w:rsidRPr="0097324B">
              <w:rPr>
                <w:rFonts w:ascii="Arial Narrow" w:hAnsi="Arial Narrow"/>
                <w:sz w:val="18"/>
                <w:szCs w:val="18"/>
              </w:rPr>
              <w:instrText xml:space="preserve"> FORMCHECKBOX </w:instrText>
            </w:r>
            <w:r w:rsidR="00BE74BF">
              <w:rPr>
                <w:rFonts w:ascii="Arial Narrow" w:hAnsi="Arial Narrow"/>
                <w:sz w:val="18"/>
                <w:szCs w:val="18"/>
              </w:rPr>
            </w:r>
            <w:r w:rsidR="00BE74BF">
              <w:rPr>
                <w:rFonts w:ascii="Arial Narrow" w:hAnsi="Arial Narrow"/>
                <w:sz w:val="18"/>
                <w:szCs w:val="18"/>
              </w:rPr>
              <w:fldChar w:fldCharType="separate"/>
            </w:r>
            <w:r w:rsidRPr="0097324B">
              <w:rPr>
                <w:rFonts w:ascii="Arial Narrow" w:hAnsi="Arial Narrow"/>
                <w:sz w:val="18"/>
                <w:szCs w:val="18"/>
              </w:rPr>
              <w:fldChar w:fldCharType="end"/>
            </w:r>
            <w:r w:rsidRPr="0097324B">
              <w:rPr>
                <w:rFonts w:ascii="Arial Narrow" w:hAnsi="Arial Narrow"/>
                <w:sz w:val="18"/>
                <w:szCs w:val="18"/>
              </w:rPr>
              <w:t xml:space="preserve"> Medical Practitioners    </w:t>
            </w:r>
          </w:p>
        </w:tc>
      </w:tr>
      <w:tr w:rsidR="00E01C63" w:rsidRPr="0097324B" w:rsidTr="00E01C63">
        <w:tblPrEx>
          <w:tblCellMar>
            <w:top w:w="15" w:type="dxa"/>
            <w:left w:w="15" w:type="dxa"/>
            <w:bottom w:w="15" w:type="dxa"/>
            <w:right w:w="15" w:type="dxa"/>
          </w:tblCellMar>
        </w:tblPrEx>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01C63" w:rsidRPr="0097324B" w:rsidRDefault="00E01C63" w:rsidP="00A17EC3">
            <w:pPr>
              <w:rPr>
                <w:rFonts w:ascii="Arial Narrow" w:hAnsi="Arial Narrow"/>
                <w:b/>
                <w:sz w:val="18"/>
                <w:szCs w:val="18"/>
              </w:rPr>
            </w:pPr>
            <w:r w:rsidRPr="0097324B">
              <w:rPr>
                <w:rFonts w:ascii="Arial Narrow" w:hAnsi="Arial Narrow"/>
                <w:b/>
                <w:sz w:val="18"/>
                <w:szCs w:val="18"/>
              </w:rPr>
              <w:t xml:space="preserve">Restriction Type: </w:t>
            </w:r>
            <w:r w:rsidRPr="0097324B">
              <w:rPr>
                <w:rFonts w:ascii="Arial Narrow" w:eastAsia="Calibri" w:hAnsi="Arial Narrow"/>
                <w:sz w:val="18"/>
                <w:szCs w:val="18"/>
              </w:rPr>
              <w:fldChar w:fldCharType="begin">
                <w:ffData>
                  <w:name w:val="Check3"/>
                  <w:enabled/>
                  <w:calcOnExit w:val="0"/>
                  <w:checkBox>
                    <w:sizeAuto/>
                    <w:default w:val="1"/>
                  </w:checkBox>
                </w:ffData>
              </w:fldChar>
            </w:r>
            <w:r w:rsidRPr="0097324B">
              <w:rPr>
                <w:rFonts w:ascii="Arial Narrow" w:eastAsia="Calibri" w:hAnsi="Arial Narrow"/>
                <w:sz w:val="18"/>
                <w:szCs w:val="18"/>
              </w:rPr>
              <w:instrText xml:space="preserve"> FORMCHECKBOX </w:instrText>
            </w:r>
            <w:r w:rsidR="00BE74BF">
              <w:rPr>
                <w:rFonts w:ascii="Arial Narrow" w:eastAsia="Calibri" w:hAnsi="Arial Narrow"/>
                <w:sz w:val="18"/>
                <w:szCs w:val="18"/>
              </w:rPr>
            </w:r>
            <w:r w:rsidR="00BE74BF">
              <w:rPr>
                <w:rFonts w:ascii="Arial Narrow" w:eastAsia="Calibri" w:hAnsi="Arial Narrow"/>
                <w:sz w:val="18"/>
                <w:szCs w:val="18"/>
              </w:rPr>
              <w:fldChar w:fldCharType="separate"/>
            </w:r>
            <w:r w:rsidRPr="0097324B">
              <w:rPr>
                <w:rFonts w:ascii="Arial Narrow" w:eastAsia="Calibri" w:hAnsi="Arial Narrow"/>
                <w:sz w:val="18"/>
                <w:szCs w:val="18"/>
              </w:rPr>
              <w:fldChar w:fldCharType="end"/>
            </w:r>
            <w:r w:rsidRPr="0097324B">
              <w:rPr>
                <w:rFonts w:ascii="Arial Narrow" w:eastAsia="Calibri" w:hAnsi="Arial Narrow"/>
                <w:sz w:val="18"/>
                <w:szCs w:val="18"/>
              </w:rPr>
              <w:t xml:space="preserve"> Authority Required – immediate/real time assessment by Services Australia </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tcPr>
          <w:p w:rsidR="00E01C63" w:rsidRPr="0097324B" w:rsidRDefault="00E01C63" w:rsidP="00A17EC3">
            <w:pPr>
              <w:widowControl w:val="0"/>
              <w:rPr>
                <w:rFonts w:ascii="Arial Narrow" w:hAnsi="Arial Narrow"/>
                <w:b/>
                <w:bCs/>
                <w:i/>
                <w:iCs/>
                <w:snapToGrid w:val="0"/>
                <w:sz w:val="18"/>
                <w:szCs w:val="18"/>
              </w:rPr>
            </w:pPr>
            <w:r w:rsidRPr="0097324B">
              <w:rPr>
                <w:rFonts w:ascii="Arial Narrow" w:hAnsi="Arial Narrow"/>
                <w:b/>
                <w:bCs/>
                <w:i/>
                <w:iCs/>
                <w:snapToGrid w:val="0"/>
                <w:sz w:val="18"/>
                <w:szCs w:val="18"/>
              </w:rPr>
              <w:t>Administrative Advice:</w:t>
            </w:r>
          </w:p>
          <w:p w:rsidR="00E01C63" w:rsidRPr="0097324B" w:rsidRDefault="00E01C63" w:rsidP="00A17EC3">
            <w:pPr>
              <w:widowControl w:val="0"/>
              <w:rPr>
                <w:rFonts w:ascii="Arial Narrow" w:hAnsi="Arial Narrow"/>
                <w:bCs/>
                <w:snapToGrid w:val="0"/>
                <w:sz w:val="18"/>
                <w:szCs w:val="18"/>
              </w:rPr>
            </w:pPr>
            <w:r w:rsidRPr="0097324B">
              <w:rPr>
                <w:rFonts w:ascii="Arial Narrow" w:hAnsi="Arial Narrow"/>
                <w:bCs/>
                <w:i/>
                <w:snapToGrid w:val="0"/>
                <w:sz w:val="18"/>
                <w:szCs w:val="18"/>
              </w:rPr>
              <w:t>Applications for authorisation under this restriction may be made in real time using the Online PBS Authorities system (see www.servicesaustralia.gov.au/HPOS) or by telephone by contacting Services Australia on 1800 888 333.</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hideMark/>
          </w:tcPr>
          <w:p w:rsidR="00E01C63" w:rsidRPr="0097324B" w:rsidRDefault="00E01C63" w:rsidP="00A17EC3">
            <w:pPr>
              <w:widowControl w:val="0"/>
              <w:rPr>
                <w:rFonts w:ascii="Arial Narrow" w:hAnsi="Arial Narrow"/>
                <w:bCs/>
                <w:i/>
                <w:snapToGrid w:val="0"/>
                <w:sz w:val="18"/>
                <w:szCs w:val="18"/>
              </w:rPr>
            </w:pPr>
            <w:r w:rsidRPr="0097324B">
              <w:rPr>
                <w:rFonts w:ascii="Arial Narrow" w:hAnsi="Arial Narrow"/>
                <w:b/>
                <w:bCs/>
                <w:i/>
                <w:snapToGrid w:val="0"/>
                <w:sz w:val="18"/>
                <w:szCs w:val="18"/>
              </w:rPr>
              <w:t>Administrative Advice:</w:t>
            </w:r>
            <w:r w:rsidRPr="0097324B">
              <w:rPr>
                <w:rFonts w:ascii="Arial Narrow" w:hAnsi="Arial Narrow"/>
                <w:bCs/>
                <w:i/>
                <w:snapToGrid w:val="0"/>
                <w:sz w:val="18"/>
                <w:szCs w:val="18"/>
              </w:rPr>
              <w:t xml:space="preserve"> No increase in the maximum quantity or number of units may be authorised.</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hideMark/>
          </w:tcPr>
          <w:p w:rsidR="00E01C63" w:rsidRPr="0097324B" w:rsidRDefault="00E01C63" w:rsidP="00A17EC3">
            <w:pPr>
              <w:widowControl w:val="0"/>
              <w:rPr>
                <w:rFonts w:ascii="Arial Narrow" w:hAnsi="Arial Narrow"/>
                <w:bCs/>
                <w:i/>
                <w:snapToGrid w:val="0"/>
                <w:sz w:val="18"/>
                <w:szCs w:val="18"/>
              </w:rPr>
            </w:pPr>
            <w:r w:rsidRPr="0097324B">
              <w:rPr>
                <w:rFonts w:ascii="Arial Narrow" w:hAnsi="Arial Narrow"/>
                <w:b/>
                <w:bCs/>
                <w:i/>
                <w:snapToGrid w:val="0"/>
                <w:sz w:val="18"/>
                <w:szCs w:val="18"/>
              </w:rPr>
              <w:t>Administrative Advice:</w:t>
            </w:r>
            <w:r w:rsidRPr="0097324B">
              <w:rPr>
                <w:rFonts w:ascii="Arial Narrow" w:hAnsi="Arial Narrow"/>
                <w:bCs/>
                <w:i/>
                <w:snapToGrid w:val="0"/>
                <w:sz w:val="18"/>
                <w:szCs w:val="18"/>
              </w:rPr>
              <w:t xml:space="preserve"> No increase in the maximum number of repeats may be authorised.</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hideMark/>
          </w:tcPr>
          <w:p w:rsidR="00E01C63" w:rsidRPr="0097324B" w:rsidRDefault="00E01C63" w:rsidP="00A17EC3">
            <w:pPr>
              <w:widowControl w:val="0"/>
              <w:rPr>
                <w:rFonts w:ascii="Arial Narrow" w:hAnsi="Arial Narrow"/>
                <w:bCs/>
                <w:i/>
                <w:snapToGrid w:val="0"/>
                <w:sz w:val="18"/>
                <w:szCs w:val="18"/>
              </w:rPr>
            </w:pPr>
            <w:r w:rsidRPr="0097324B">
              <w:rPr>
                <w:rFonts w:ascii="Arial Narrow" w:hAnsi="Arial Narrow"/>
                <w:b/>
                <w:bCs/>
                <w:i/>
                <w:snapToGrid w:val="0"/>
                <w:sz w:val="18"/>
                <w:szCs w:val="18"/>
              </w:rPr>
              <w:t>Administrative Advice:</w:t>
            </w:r>
            <w:r w:rsidRPr="0097324B">
              <w:rPr>
                <w:rFonts w:ascii="Arial Narrow" w:hAnsi="Arial Narrow"/>
                <w:bCs/>
                <w:i/>
                <w:snapToGrid w:val="0"/>
                <w:sz w:val="18"/>
                <w:szCs w:val="18"/>
              </w:rPr>
              <w:t xml:space="preserve"> Special Pricing Arrangements apply.</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
                <w:bCs/>
                <w:snapToGrid w:val="0"/>
                <w:sz w:val="18"/>
                <w:szCs w:val="18"/>
              </w:rPr>
              <w:t>Indication:</w:t>
            </w:r>
            <w:r w:rsidRPr="0097324B">
              <w:rPr>
                <w:rFonts w:ascii="Arial Narrow" w:hAnsi="Arial Narrow"/>
                <w:bCs/>
                <w:snapToGrid w:val="0"/>
                <w:sz w:val="18"/>
                <w:szCs w:val="18"/>
              </w:rPr>
              <w:t xml:space="preserve"> Locally advanced or metastatic breast cancer</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
                <w:bCs/>
                <w:snapToGrid w:val="0"/>
                <w:sz w:val="18"/>
                <w:szCs w:val="18"/>
              </w:rPr>
              <w:t>Treatment Phase:</w:t>
            </w:r>
            <w:r w:rsidRPr="0097324B">
              <w:rPr>
                <w:rFonts w:ascii="Arial Narrow" w:hAnsi="Arial Narrow"/>
                <w:bCs/>
                <w:snapToGrid w:val="0"/>
                <w:sz w:val="18"/>
                <w:szCs w:val="18"/>
              </w:rPr>
              <w:t xml:space="preserve"> Initial treatment</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tcPr>
          <w:p w:rsidR="00E01C63" w:rsidRPr="0097324B" w:rsidRDefault="00E01C63" w:rsidP="00A17EC3">
            <w:pPr>
              <w:widowControl w:val="0"/>
              <w:rPr>
                <w:rFonts w:ascii="Arial Narrow" w:hAnsi="Arial Narrow"/>
                <w:b/>
                <w:bCs/>
                <w:strike/>
                <w:snapToGrid w:val="0"/>
                <w:sz w:val="18"/>
                <w:szCs w:val="18"/>
              </w:rPr>
            </w:pPr>
            <w:r w:rsidRPr="0097324B">
              <w:rPr>
                <w:rStyle w:val="SmallBold"/>
                <w:rFonts w:ascii="Arial Narrow" w:hAnsi="Arial Narrow"/>
                <w:strike/>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tcBorders>
              <w:top w:val="nil"/>
              <w:bottom w:val="nil"/>
            </w:tcBorders>
            <w:shd w:val="clear" w:color="auto" w:fill="auto"/>
            <w:vAlign w:val="center"/>
          </w:tcPr>
          <w:p w:rsidR="00E01C63" w:rsidRPr="0097324B" w:rsidRDefault="00E01C63" w:rsidP="00A17EC3">
            <w:pPr>
              <w:widowControl w:val="0"/>
              <w:rPr>
                <w:rFonts w:ascii="Arial Narrow" w:hAnsi="Arial Narrow"/>
                <w:b/>
                <w:bCs/>
                <w:strike/>
                <w:snapToGrid w:val="0"/>
                <w:sz w:val="18"/>
                <w:szCs w:val="18"/>
              </w:rPr>
            </w:pPr>
            <w:r w:rsidRPr="0097324B">
              <w:rPr>
                <w:rFonts w:ascii="Arial Narrow" w:hAnsi="Arial Narrow"/>
                <w:strike/>
                <w:sz w:val="18"/>
                <w:szCs w:val="18"/>
              </w:rPr>
              <w:t xml:space="preserve">The condition must have endocrine resistance as demonstrated by progression of disease during or after treatment with an endocrine therapy. </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bottom w:val="single" w:sz="4" w:space="0" w:color="auto"/>
            </w:tcBorders>
            <w:shd w:val="clear" w:color="auto" w:fill="auto"/>
            <w:vAlign w:val="center"/>
          </w:tcPr>
          <w:p w:rsidR="00E01C63" w:rsidRPr="0097324B" w:rsidRDefault="00E01C63" w:rsidP="00A17EC3">
            <w:pPr>
              <w:widowControl w:val="0"/>
              <w:rPr>
                <w:rFonts w:ascii="Arial Narrow" w:hAnsi="Arial Narrow"/>
                <w:b/>
                <w:strike/>
                <w:sz w:val="18"/>
                <w:szCs w:val="18"/>
              </w:rPr>
            </w:pPr>
            <w:r w:rsidRPr="0097324B">
              <w:rPr>
                <w:rFonts w:ascii="Arial Narrow" w:hAnsi="Arial Narrow"/>
                <w:b/>
                <w:strike/>
                <w:sz w:val="18"/>
                <w:szCs w:val="18"/>
              </w:rPr>
              <w:t>AND</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hideMark/>
          </w:tcPr>
          <w:p w:rsidR="00E01C63" w:rsidRPr="0097324B" w:rsidRDefault="00E01C63" w:rsidP="00A17EC3">
            <w:pPr>
              <w:widowControl w:val="0"/>
              <w:rPr>
                <w:rFonts w:ascii="Arial Narrow" w:hAnsi="Arial Narrow"/>
                <w:bCs/>
                <w:strike/>
                <w:snapToGrid w:val="0"/>
                <w:sz w:val="18"/>
                <w:szCs w:val="18"/>
              </w:rPr>
            </w:pPr>
            <w:r w:rsidRPr="0097324B">
              <w:rPr>
                <w:rFonts w:ascii="Arial Narrow" w:hAnsi="Arial Narrow"/>
                <w:bCs/>
                <w:strike/>
                <w:snapToGrid w:val="0"/>
                <w:sz w:val="18"/>
                <w:szCs w:val="18"/>
              </w:rPr>
              <w:t>Patient must not have previously been treated with palbociclib or ribociclib or abemaciclib; or</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Cs/>
                <w:i/>
                <w:snapToGrid w:val="0"/>
                <w:sz w:val="18"/>
                <w:szCs w:val="18"/>
              </w:rPr>
              <w:t>Patient must be untreated with each of: (i) abemaciclib, (ii) palbociclib, (iii) ribociclib; or</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Cs/>
                <w:snapToGrid w:val="0"/>
                <w:sz w:val="18"/>
                <w:szCs w:val="18"/>
              </w:rPr>
              <w:t>Patient must have developed an intolerance to palbociclib or ribociclib of a severity necessitating permanent treatment withdrawal</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
                <w:bCs/>
                <w:snapToGrid w:val="0"/>
                <w:sz w:val="18"/>
                <w:szCs w:val="18"/>
              </w:rPr>
              <w:t>AND</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tcPr>
          <w:p w:rsidR="00E01C63" w:rsidRPr="0097324B" w:rsidRDefault="00E01C63" w:rsidP="00A17EC3">
            <w:pPr>
              <w:widowControl w:val="0"/>
              <w:rPr>
                <w:rFonts w:ascii="Arial Narrow" w:hAnsi="Arial Narrow"/>
                <w:b/>
                <w:bCs/>
                <w:strike/>
                <w:snapToGrid w:val="0"/>
                <w:sz w:val="18"/>
                <w:szCs w:val="18"/>
              </w:rPr>
            </w:pPr>
            <w:r w:rsidRPr="0097324B">
              <w:rPr>
                <w:rFonts w:ascii="Arial Narrow" w:hAnsi="Arial Narrow"/>
                <w:b/>
                <w:bCs/>
                <w:strike/>
                <w:snapToGrid w:val="0"/>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tcPr>
          <w:p w:rsidR="00E01C63" w:rsidRPr="0097324B" w:rsidRDefault="00E01C63" w:rsidP="00A17EC3">
            <w:pPr>
              <w:widowControl w:val="0"/>
              <w:rPr>
                <w:rFonts w:ascii="Arial Narrow" w:hAnsi="Arial Narrow"/>
                <w:b/>
                <w:bCs/>
                <w:strike/>
                <w:snapToGrid w:val="0"/>
                <w:sz w:val="18"/>
                <w:szCs w:val="18"/>
              </w:rPr>
            </w:pPr>
            <w:r w:rsidRPr="0097324B">
              <w:rPr>
                <w:rFonts w:ascii="Arial Narrow" w:hAnsi="Arial Narrow"/>
                <w:strike/>
                <w:sz w:val="18"/>
                <w:szCs w:val="18"/>
              </w:rPr>
              <w:t>Patient must not have previously been treated with fulvestrant,</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tcPr>
          <w:p w:rsidR="00E01C63" w:rsidRPr="0097324B" w:rsidRDefault="00E01C63" w:rsidP="00A17EC3">
            <w:pPr>
              <w:widowControl w:val="0"/>
              <w:rPr>
                <w:rFonts w:ascii="Arial Narrow" w:hAnsi="Arial Narrow"/>
                <w:b/>
                <w:bCs/>
                <w:snapToGrid w:val="0"/>
                <w:sz w:val="18"/>
                <w:szCs w:val="18"/>
              </w:rPr>
            </w:pPr>
            <w:r w:rsidRPr="0097324B">
              <w:rPr>
                <w:rFonts w:ascii="Arial Narrow" w:hAnsi="Arial Narrow"/>
                <w:b/>
                <w:sz w:val="18"/>
                <w:szCs w:val="18"/>
              </w:rPr>
              <w:t>AND</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Cs/>
                <w:snapToGrid w:val="0"/>
                <w:sz w:val="18"/>
                <w:szCs w:val="18"/>
              </w:rPr>
              <w:t>The condition must be hormone receptor positive</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
                <w:bCs/>
                <w:snapToGrid w:val="0"/>
                <w:sz w:val="18"/>
                <w:szCs w:val="18"/>
              </w:rPr>
              <w:t>AND</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Cs/>
                <w:snapToGrid w:val="0"/>
                <w:sz w:val="18"/>
                <w:szCs w:val="18"/>
              </w:rPr>
              <w:t>The condition must be human epidermal growth factor receptor 2 (HER2) negative</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
                <w:bCs/>
                <w:snapToGrid w:val="0"/>
                <w:sz w:val="18"/>
                <w:szCs w:val="18"/>
              </w:rPr>
              <w:t>AND</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Cs/>
                <w:snapToGrid w:val="0"/>
                <w:sz w:val="18"/>
                <w:szCs w:val="18"/>
              </w:rPr>
              <w:t>The condition must be inoperable</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
                <w:bCs/>
                <w:snapToGrid w:val="0"/>
                <w:sz w:val="18"/>
                <w:szCs w:val="18"/>
              </w:rPr>
              <w:t>AND</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Cs/>
                <w:snapToGrid w:val="0"/>
                <w:sz w:val="18"/>
                <w:szCs w:val="18"/>
              </w:rPr>
              <w:t>Patient must have a World Health Organisation (WHO) Eastern Cooperative Oncology Group (ECOG) performance status score of 2 or less</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
                <w:bCs/>
                <w:snapToGrid w:val="0"/>
                <w:sz w:val="18"/>
                <w:szCs w:val="18"/>
              </w:rPr>
              <w:t>AND</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tcPr>
          <w:p w:rsidR="00E01C63" w:rsidRPr="0097324B" w:rsidRDefault="00E01C63" w:rsidP="00A17EC3">
            <w:pPr>
              <w:widowControl w:val="0"/>
              <w:rPr>
                <w:rFonts w:ascii="Arial Narrow" w:hAnsi="Arial Narrow"/>
                <w:b/>
                <w:bCs/>
                <w:strike/>
                <w:snapToGrid w:val="0"/>
                <w:sz w:val="18"/>
                <w:szCs w:val="18"/>
              </w:rPr>
            </w:pPr>
            <w:r w:rsidRPr="0097324B">
              <w:rPr>
                <w:rStyle w:val="SmallBold"/>
                <w:rFonts w:ascii="Arial Narrow" w:hAnsi="Arial Narrow"/>
                <w:strike/>
                <w:sz w:val="18"/>
                <w:szCs w:val="18"/>
              </w:rPr>
              <w:t>Treatment criteria:</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tcPr>
          <w:p w:rsidR="00E01C63" w:rsidRPr="0097324B" w:rsidRDefault="00E01C63" w:rsidP="00A17EC3">
            <w:pPr>
              <w:widowControl w:val="0"/>
              <w:rPr>
                <w:rFonts w:ascii="Arial Narrow" w:hAnsi="Arial Narrow"/>
                <w:b/>
                <w:bCs/>
                <w:strike/>
                <w:snapToGrid w:val="0"/>
                <w:sz w:val="18"/>
                <w:szCs w:val="18"/>
              </w:rPr>
            </w:pPr>
            <w:r w:rsidRPr="0097324B">
              <w:rPr>
                <w:rFonts w:ascii="Arial Narrow" w:hAnsi="Arial Narrow"/>
                <w:strike/>
                <w:sz w:val="18"/>
                <w:szCs w:val="18"/>
              </w:rPr>
              <w:t>Patient must not have previously received PBS-subsidised treatment with this drug for this condition,</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tcPr>
          <w:p w:rsidR="00E01C63" w:rsidRPr="0097324B" w:rsidRDefault="00E01C63" w:rsidP="00A17EC3">
            <w:pPr>
              <w:widowControl w:val="0"/>
              <w:rPr>
                <w:rFonts w:ascii="Arial Narrow" w:hAnsi="Arial Narrow"/>
                <w:b/>
                <w:bCs/>
                <w:strike/>
                <w:snapToGrid w:val="0"/>
                <w:sz w:val="18"/>
                <w:szCs w:val="18"/>
              </w:rPr>
            </w:pPr>
            <w:r w:rsidRPr="0097324B">
              <w:rPr>
                <w:rFonts w:ascii="Arial Narrow" w:hAnsi="Arial Narrow"/>
                <w:strike/>
                <w:sz w:val="18"/>
                <w:szCs w:val="18"/>
              </w:rPr>
              <w:t>AND</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tcPr>
          <w:p w:rsidR="00E01C63" w:rsidRPr="0097324B" w:rsidRDefault="00E01C63" w:rsidP="00A17EC3">
            <w:pPr>
              <w:widowControl w:val="0"/>
              <w:rPr>
                <w:rFonts w:ascii="Arial Narrow" w:hAnsi="Arial Narrow"/>
                <w:strike/>
                <w:sz w:val="18"/>
                <w:szCs w:val="18"/>
              </w:rPr>
            </w:pPr>
            <w:r w:rsidRPr="0097324B">
              <w:rPr>
                <w:rStyle w:val="SmallBold"/>
                <w:rFonts w:ascii="Arial Narrow" w:hAnsi="Arial Narrow"/>
                <w:strike/>
                <w:sz w:val="18"/>
                <w:szCs w:val="18"/>
              </w:rPr>
              <w:lastRenderedPageBreak/>
              <w:t>Treatment criteria:</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tcPr>
          <w:p w:rsidR="00E01C63" w:rsidRPr="0097324B" w:rsidRDefault="00E01C63" w:rsidP="00A17EC3">
            <w:pPr>
              <w:widowControl w:val="0"/>
              <w:rPr>
                <w:rFonts w:ascii="Arial Narrow" w:hAnsi="Arial Narrow"/>
                <w:strike/>
                <w:sz w:val="18"/>
                <w:szCs w:val="18"/>
              </w:rPr>
            </w:pPr>
            <w:r w:rsidRPr="0097324B">
              <w:rPr>
                <w:rFonts w:ascii="Arial Narrow" w:hAnsi="Arial Narrow"/>
                <w:strike/>
                <w:sz w:val="18"/>
                <w:szCs w:val="18"/>
              </w:rPr>
              <w:t>The treatment must be in combination with fulvestrant,</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tcPr>
          <w:p w:rsidR="00E01C63" w:rsidRPr="0097324B" w:rsidRDefault="00E01C63" w:rsidP="00A17EC3">
            <w:pPr>
              <w:widowControl w:val="0"/>
              <w:rPr>
                <w:rFonts w:ascii="Arial Narrow" w:hAnsi="Arial Narrow"/>
                <w:strike/>
                <w:sz w:val="18"/>
                <w:szCs w:val="18"/>
              </w:rPr>
            </w:pPr>
            <w:r w:rsidRPr="0097324B">
              <w:rPr>
                <w:rFonts w:ascii="Arial Narrow" w:hAnsi="Arial Narrow"/>
                <w:strike/>
                <w:sz w:val="18"/>
                <w:szCs w:val="18"/>
              </w:rPr>
              <w:t>AND</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hideMark/>
          </w:tcPr>
          <w:p w:rsidR="00E01C63" w:rsidRPr="0097324B" w:rsidRDefault="00E01C63" w:rsidP="00A17EC3">
            <w:pPr>
              <w:widowControl w:val="0"/>
              <w:rPr>
                <w:rFonts w:ascii="Arial Narrow" w:hAnsi="Arial Narrow"/>
                <w:bCs/>
                <w:strike/>
                <w:snapToGrid w:val="0"/>
                <w:sz w:val="18"/>
                <w:szCs w:val="18"/>
              </w:rPr>
            </w:pPr>
            <w:r w:rsidRPr="0097324B">
              <w:rPr>
                <w:rFonts w:ascii="Arial Narrow" w:hAnsi="Arial Narrow"/>
                <w:bCs/>
                <w:strike/>
                <w:snapToGrid w:val="0"/>
                <w:sz w:val="18"/>
                <w:szCs w:val="18"/>
              </w:rPr>
              <w:t>The treatment must be in combination with anastrozole or letrozole</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tcPr>
          <w:p w:rsidR="00E01C63" w:rsidRPr="0097324B" w:rsidRDefault="00E01C63" w:rsidP="00A17EC3">
            <w:pPr>
              <w:widowControl w:val="0"/>
              <w:rPr>
                <w:rFonts w:ascii="Arial Narrow" w:hAnsi="Arial Narrow"/>
                <w:bCs/>
                <w:i/>
                <w:snapToGrid w:val="0"/>
                <w:sz w:val="18"/>
                <w:szCs w:val="18"/>
              </w:rPr>
            </w:pPr>
            <w:r w:rsidRPr="0097324B">
              <w:rPr>
                <w:rFonts w:ascii="Arial Narrow" w:hAnsi="Arial Narrow"/>
                <w:bCs/>
                <w:i/>
                <w:snapToGrid w:val="0"/>
                <w:sz w:val="18"/>
                <w:szCs w:val="18"/>
              </w:rPr>
              <w:t>The treatment must be in combination, where the patient has never been treated with endocrine therapy for advanced/metastatic disease, with one of: (i) anastrozole, (ii) letrozole, (iii) fulvestrant; or</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tcPr>
          <w:p w:rsidR="00E01C63" w:rsidRPr="0097324B" w:rsidRDefault="00E01C63" w:rsidP="00A17EC3">
            <w:pPr>
              <w:widowControl w:val="0"/>
              <w:rPr>
                <w:rFonts w:ascii="Arial Narrow" w:hAnsi="Arial Narrow"/>
                <w:bCs/>
                <w:i/>
                <w:snapToGrid w:val="0"/>
                <w:sz w:val="18"/>
                <w:szCs w:val="18"/>
              </w:rPr>
            </w:pPr>
            <w:r w:rsidRPr="0097324B">
              <w:rPr>
                <w:rFonts w:ascii="Arial Narrow" w:hAnsi="Arial Narrow"/>
                <w:bCs/>
                <w:i/>
                <w:snapToGrid w:val="0"/>
                <w:sz w:val="18"/>
                <w:szCs w:val="18"/>
              </w:rPr>
              <w:t>The treatment must be in combination, where the patient has recurrence/progressive disease despite being treated with endocrine therapy for advanced/metastatic disease, with fulvestrant only</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tcPr>
          <w:p w:rsidR="00E01C63" w:rsidRPr="0097324B" w:rsidRDefault="00E01C63" w:rsidP="00A17EC3">
            <w:pPr>
              <w:widowControl w:val="0"/>
              <w:rPr>
                <w:rFonts w:ascii="Arial Narrow" w:hAnsi="Arial Narrow"/>
                <w:bCs/>
                <w:i/>
                <w:snapToGrid w:val="0"/>
                <w:sz w:val="18"/>
                <w:szCs w:val="18"/>
              </w:rPr>
            </w:pPr>
            <w:r w:rsidRPr="0097324B">
              <w:rPr>
                <w:rFonts w:ascii="Arial Narrow" w:hAnsi="Arial Narrow"/>
                <w:b/>
                <w:bCs/>
                <w:snapToGrid w:val="0"/>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tcPr>
          <w:p w:rsidR="00E01C63" w:rsidRPr="0097324B" w:rsidRDefault="00E01C63" w:rsidP="00A17EC3">
            <w:pPr>
              <w:widowControl w:val="0"/>
              <w:rPr>
                <w:rFonts w:ascii="Arial Narrow" w:hAnsi="Arial Narrow"/>
                <w:bCs/>
                <w:i/>
                <w:snapToGrid w:val="0"/>
                <w:sz w:val="18"/>
                <w:szCs w:val="18"/>
              </w:rPr>
            </w:pPr>
            <w:r w:rsidRPr="0097324B">
              <w:rPr>
                <w:rFonts w:ascii="Arial Narrow" w:hAnsi="Arial Narrow"/>
                <w:sz w:val="18"/>
                <w:szCs w:val="18"/>
              </w:rPr>
              <w:t>The treatment must not be in combination with palbociclib or ribociclib.</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tcPr>
          <w:p w:rsidR="00E01C63" w:rsidRPr="0097324B" w:rsidRDefault="00E01C63" w:rsidP="00A17EC3">
            <w:pPr>
              <w:widowControl w:val="0"/>
              <w:rPr>
                <w:rFonts w:ascii="Arial Narrow" w:hAnsi="Arial Narrow"/>
                <w:bCs/>
                <w:i/>
                <w:snapToGrid w:val="0"/>
                <w:sz w:val="18"/>
                <w:szCs w:val="18"/>
              </w:rPr>
            </w:pPr>
            <w:r w:rsidRPr="0097324B">
              <w:rPr>
                <w:rFonts w:ascii="Arial Narrow" w:hAnsi="Arial Narrow"/>
                <w:b/>
                <w:bCs/>
                <w:snapToGrid w:val="0"/>
                <w:sz w:val="18"/>
                <w:szCs w:val="18"/>
              </w:rPr>
              <w:t>Population criteria:</w:t>
            </w:r>
          </w:p>
        </w:tc>
      </w:tr>
      <w:tr w:rsidR="00E01C63" w:rsidRPr="0097324B" w:rsidTr="00E01C63">
        <w:tblPrEx>
          <w:tblCellMar>
            <w:top w:w="15" w:type="dxa"/>
            <w:left w:w="15" w:type="dxa"/>
            <w:bottom w:w="15" w:type="dxa"/>
            <w:right w:w="15" w:type="dxa"/>
          </w:tblCellMar>
        </w:tblPrEx>
        <w:tc>
          <w:tcPr>
            <w:tcW w:w="5000" w:type="pct"/>
            <w:gridSpan w:val="7"/>
            <w:tcBorders>
              <w:left w:val="single" w:sz="4" w:space="0" w:color="auto"/>
            </w:tcBorders>
            <w:shd w:val="clear" w:color="auto" w:fill="auto"/>
            <w:vAlign w:val="center"/>
          </w:tcPr>
          <w:p w:rsidR="00E01C63" w:rsidRPr="0097324B" w:rsidRDefault="00E01C63" w:rsidP="00A17EC3">
            <w:pPr>
              <w:widowControl w:val="0"/>
              <w:rPr>
                <w:rFonts w:ascii="Arial Narrow" w:hAnsi="Arial Narrow"/>
                <w:bCs/>
                <w:i/>
                <w:snapToGrid w:val="0"/>
                <w:sz w:val="18"/>
                <w:szCs w:val="18"/>
              </w:rPr>
            </w:pPr>
            <w:r w:rsidRPr="0097324B">
              <w:rPr>
                <w:rFonts w:ascii="Arial Narrow" w:hAnsi="Arial Narrow"/>
                <w:bCs/>
                <w:snapToGrid w:val="0"/>
                <w:sz w:val="18"/>
                <w:szCs w:val="18"/>
              </w:rPr>
              <w:t>Patient must not be premenopausal</w:t>
            </w:r>
          </w:p>
        </w:tc>
      </w:tr>
      <w:tr w:rsidR="00F352F9" w:rsidRPr="0097324B" w:rsidTr="00187A54">
        <w:tblPrEx>
          <w:tblCellMar>
            <w:top w:w="15" w:type="dxa"/>
            <w:left w:w="15" w:type="dxa"/>
            <w:bottom w:w="15" w:type="dxa"/>
            <w:right w:w="15" w:type="dxa"/>
          </w:tblCellMar>
        </w:tblPrEx>
        <w:tc>
          <w:tcPr>
            <w:tcW w:w="5000" w:type="pct"/>
            <w:gridSpan w:val="7"/>
            <w:shd w:val="clear" w:color="auto" w:fill="auto"/>
          </w:tcPr>
          <w:p w:rsidR="00F352F9" w:rsidRPr="0097324B" w:rsidRDefault="00F352F9" w:rsidP="00A17EC3">
            <w:pPr>
              <w:widowControl w:val="0"/>
              <w:rPr>
                <w:rFonts w:ascii="Arial Narrow" w:hAnsi="Arial Narrow"/>
                <w:b/>
                <w:bCs/>
                <w:snapToGrid w:val="0"/>
                <w:sz w:val="18"/>
                <w:szCs w:val="18"/>
              </w:rPr>
            </w:pPr>
          </w:p>
        </w:tc>
      </w:tr>
      <w:tr w:rsidR="00F352F9" w:rsidRPr="0097324B" w:rsidTr="00187A54">
        <w:tblPrEx>
          <w:tblCellMar>
            <w:top w:w="15" w:type="dxa"/>
            <w:left w:w="15" w:type="dxa"/>
            <w:bottom w:w="15" w:type="dxa"/>
            <w:right w:w="15" w:type="dxa"/>
          </w:tblCellMar>
        </w:tblPrEx>
        <w:tc>
          <w:tcPr>
            <w:tcW w:w="5000" w:type="pct"/>
            <w:gridSpan w:val="7"/>
            <w:shd w:val="clear" w:color="auto" w:fill="auto"/>
          </w:tcPr>
          <w:p w:rsidR="00F352F9" w:rsidRPr="0097324B" w:rsidRDefault="00F352F9" w:rsidP="00A17EC3">
            <w:pPr>
              <w:widowControl w:val="0"/>
              <w:rPr>
                <w:rFonts w:ascii="Arial Narrow" w:hAnsi="Arial Narrow"/>
                <w:b/>
                <w:bCs/>
                <w:snapToGrid w:val="0"/>
                <w:sz w:val="18"/>
                <w:szCs w:val="18"/>
              </w:rPr>
            </w:pPr>
            <w:r w:rsidRPr="0097324B">
              <w:rPr>
                <w:rFonts w:ascii="Arial Narrow" w:hAnsi="Arial Narrow"/>
                <w:b/>
                <w:bCs/>
                <w:snapToGrid w:val="0"/>
                <w:sz w:val="18"/>
                <w:szCs w:val="18"/>
              </w:rPr>
              <w:t xml:space="preserve">Restriction Summary 10050 / ToC: 10019 </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rPr>
                <w:rFonts w:ascii="Arial Narrow" w:hAnsi="Arial Narrow"/>
                <w:b/>
                <w:bCs/>
                <w:i/>
                <w:iCs/>
                <w:snapToGrid w:val="0"/>
                <w:sz w:val="18"/>
                <w:szCs w:val="18"/>
              </w:rPr>
            </w:pPr>
            <w:r w:rsidRPr="0097324B">
              <w:rPr>
                <w:rFonts w:ascii="Arial Narrow" w:hAnsi="Arial Narrow"/>
                <w:b/>
                <w:bCs/>
                <w:i/>
                <w:iCs/>
                <w:snapToGrid w:val="0"/>
                <w:sz w:val="18"/>
                <w:szCs w:val="18"/>
              </w:rPr>
              <w:t>Administrative Advice:</w:t>
            </w:r>
          </w:p>
          <w:p w:rsidR="00E01C63" w:rsidRPr="0097324B" w:rsidRDefault="00E01C63" w:rsidP="00A17EC3">
            <w:pPr>
              <w:widowControl w:val="0"/>
              <w:rPr>
                <w:rFonts w:ascii="Arial Narrow" w:hAnsi="Arial Narrow"/>
                <w:b/>
                <w:bCs/>
                <w:snapToGrid w:val="0"/>
                <w:sz w:val="18"/>
                <w:szCs w:val="18"/>
              </w:rPr>
            </w:pPr>
            <w:r w:rsidRPr="0097324B">
              <w:rPr>
                <w:rFonts w:ascii="Arial Narrow" w:hAnsi="Arial Narrow"/>
                <w:bCs/>
                <w:i/>
                <w:snapToGrid w:val="0"/>
                <w:sz w:val="18"/>
                <w:szCs w:val="18"/>
              </w:rPr>
              <w:t>Applications for authorisation under this restriction may be made in real time using the Online PBS Authorities system (see www.servicesaustralia.gov.au/HPOS) or by telephone by contacting Services Australia on 1800 888 333.</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rPr>
                <w:rFonts w:ascii="Arial Narrow" w:hAnsi="Arial Narrow"/>
                <w:bCs/>
                <w:i/>
                <w:snapToGrid w:val="0"/>
                <w:sz w:val="18"/>
                <w:szCs w:val="18"/>
              </w:rPr>
            </w:pPr>
            <w:r w:rsidRPr="0097324B">
              <w:rPr>
                <w:rFonts w:ascii="Arial Narrow" w:hAnsi="Arial Narrow"/>
                <w:b/>
                <w:bCs/>
                <w:i/>
                <w:snapToGrid w:val="0"/>
                <w:sz w:val="18"/>
                <w:szCs w:val="18"/>
              </w:rPr>
              <w:t>Administrative Advice:</w:t>
            </w:r>
            <w:r w:rsidRPr="0097324B">
              <w:rPr>
                <w:rFonts w:ascii="Arial Narrow" w:hAnsi="Arial Narrow"/>
                <w:bCs/>
                <w:i/>
                <w:snapToGrid w:val="0"/>
                <w:sz w:val="18"/>
                <w:szCs w:val="18"/>
              </w:rPr>
              <w:t xml:space="preserve"> No increase in the maximum quantity or number of units may be authorised.</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rPr>
                <w:rFonts w:ascii="Arial Narrow" w:hAnsi="Arial Narrow"/>
                <w:bCs/>
                <w:i/>
                <w:snapToGrid w:val="0"/>
                <w:sz w:val="18"/>
                <w:szCs w:val="18"/>
              </w:rPr>
            </w:pPr>
            <w:r w:rsidRPr="0097324B">
              <w:rPr>
                <w:rFonts w:ascii="Arial Narrow" w:hAnsi="Arial Narrow"/>
                <w:b/>
                <w:bCs/>
                <w:i/>
                <w:snapToGrid w:val="0"/>
                <w:sz w:val="18"/>
                <w:szCs w:val="18"/>
              </w:rPr>
              <w:t>Administrative Advice:</w:t>
            </w:r>
            <w:r w:rsidRPr="0097324B">
              <w:rPr>
                <w:rFonts w:ascii="Arial Narrow" w:hAnsi="Arial Narrow"/>
                <w:bCs/>
                <w:i/>
                <w:snapToGrid w:val="0"/>
                <w:sz w:val="18"/>
                <w:szCs w:val="18"/>
              </w:rPr>
              <w:t xml:space="preserve"> No increase in the maximum number of repeats may be authorised.</w:t>
            </w:r>
          </w:p>
        </w:tc>
      </w:tr>
      <w:tr w:rsidR="00E01C63" w:rsidRPr="0097324B" w:rsidTr="00E01C63">
        <w:tblPrEx>
          <w:tblCellMar>
            <w:top w:w="15" w:type="dxa"/>
            <w:left w:w="15" w:type="dxa"/>
            <w:bottom w:w="15" w:type="dxa"/>
            <w:right w:w="15" w:type="dxa"/>
          </w:tblCellMar>
        </w:tblPrEx>
        <w:trPr>
          <w:trHeight w:val="77"/>
        </w:trPr>
        <w:tc>
          <w:tcPr>
            <w:tcW w:w="5000" w:type="pct"/>
            <w:gridSpan w:val="7"/>
            <w:shd w:val="clear" w:color="auto" w:fill="auto"/>
            <w:vAlign w:val="center"/>
            <w:hideMark/>
          </w:tcPr>
          <w:p w:rsidR="00E01C63" w:rsidRPr="0097324B" w:rsidRDefault="00E01C63" w:rsidP="00A17EC3">
            <w:pPr>
              <w:widowControl w:val="0"/>
              <w:rPr>
                <w:rFonts w:ascii="Arial Narrow" w:hAnsi="Arial Narrow"/>
                <w:bCs/>
                <w:i/>
                <w:snapToGrid w:val="0"/>
                <w:sz w:val="18"/>
                <w:szCs w:val="18"/>
              </w:rPr>
            </w:pPr>
            <w:r w:rsidRPr="0097324B">
              <w:rPr>
                <w:rFonts w:ascii="Arial Narrow" w:hAnsi="Arial Narrow"/>
                <w:b/>
                <w:bCs/>
                <w:i/>
                <w:snapToGrid w:val="0"/>
                <w:sz w:val="18"/>
                <w:szCs w:val="18"/>
              </w:rPr>
              <w:t>Administrative Advice:</w:t>
            </w:r>
            <w:r w:rsidRPr="0097324B">
              <w:rPr>
                <w:rFonts w:ascii="Arial Narrow" w:hAnsi="Arial Narrow"/>
                <w:bCs/>
                <w:i/>
                <w:snapToGrid w:val="0"/>
                <w:sz w:val="18"/>
                <w:szCs w:val="18"/>
              </w:rPr>
              <w:t xml:space="preserve"> Special Pricing Arrangements apply.</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
                <w:bCs/>
                <w:snapToGrid w:val="0"/>
                <w:sz w:val="18"/>
                <w:szCs w:val="18"/>
              </w:rPr>
              <w:t>Indication:</w:t>
            </w:r>
            <w:r w:rsidRPr="0097324B">
              <w:rPr>
                <w:rFonts w:ascii="Arial Narrow" w:hAnsi="Arial Narrow"/>
                <w:bCs/>
                <w:snapToGrid w:val="0"/>
                <w:sz w:val="18"/>
                <w:szCs w:val="18"/>
              </w:rPr>
              <w:t xml:space="preserve"> Locally advanced or metastatic breast cancer</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
                <w:bCs/>
                <w:snapToGrid w:val="0"/>
                <w:sz w:val="18"/>
                <w:szCs w:val="18"/>
              </w:rPr>
              <w:t>Treatment Phase:</w:t>
            </w:r>
            <w:r w:rsidRPr="0097324B">
              <w:rPr>
                <w:rFonts w:ascii="Arial Narrow" w:hAnsi="Arial Narrow"/>
                <w:bCs/>
                <w:snapToGrid w:val="0"/>
                <w:sz w:val="18"/>
                <w:szCs w:val="18"/>
              </w:rPr>
              <w:t xml:space="preserve"> Continuing treatment</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Cs/>
                <w:snapToGrid w:val="0"/>
                <w:sz w:val="18"/>
                <w:szCs w:val="18"/>
              </w:rPr>
              <w:t>Patient must have previously received PBS-subsidised treatment with this drug for this condition</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
                <w:bCs/>
                <w:snapToGrid w:val="0"/>
                <w:sz w:val="18"/>
                <w:szCs w:val="18"/>
              </w:rPr>
              <w:t>AND</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rPr>
                <w:rFonts w:ascii="Arial Narrow" w:hAnsi="Arial Narrow"/>
                <w:bCs/>
                <w:strike/>
                <w:snapToGrid w:val="0"/>
                <w:sz w:val="18"/>
                <w:szCs w:val="18"/>
              </w:rPr>
            </w:pPr>
            <w:r w:rsidRPr="0097324B">
              <w:rPr>
                <w:rFonts w:ascii="Arial Narrow" w:hAnsi="Arial Narrow"/>
                <w:bCs/>
                <w:strike/>
                <w:snapToGrid w:val="0"/>
                <w:sz w:val="18"/>
                <w:szCs w:val="18"/>
              </w:rPr>
              <w:t>Patient must not develop disease progression while receiving treatment with this drug for this condition</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rPr>
                <w:rFonts w:ascii="Arial Narrow" w:hAnsi="Arial Narrow"/>
                <w:bCs/>
                <w:i/>
                <w:snapToGrid w:val="0"/>
                <w:sz w:val="18"/>
                <w:szCs w:val="18"/>
              </w:rPr>
            </w:pPr>
            <w:r w:rsidRPr="0097324B">
              <w:rPr>
                <w:rFonts w:ascii="Arial Narrow" w:hAnsi="Arial Narrow"/>
                <w:bCs/>
                <w:i/>
                <w:snapToGrid w:val="0"/>
                <w:sz w:val="18"/>
                <w:szCs w:val="18"/>
              </w:rPr>
              <w:t>Patient must not have developed disease progression while being treated with this drug for this condition</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rPr>
                <w:rFonts w:ascii="Arial Narrow" w:hAnsi="Arial Narrow"/>
                <w:bCs/>
                <w:strike/>
                <w:snapToGrid w:val="0"/>
                <w:sz w:val="18"/>
                <w:szCs w:val="18"/>
              </w:rPr>
            </w:pPr>
            <w:r w:rsidRPr="0097324B">
              <w:rPr>
                <w:rFonts w:ascii="Arial Narrow" w:hAnsi="Arial Narrow"/>
                <w:b/>
                <w:bCs/>
                <w:strike/>
                <w:snapToGrid w:val="0"/>
                <w:sz w:val="18"/>
                <w:szCs w:val="18"/>
              </w:rPr>
              <w:t>AND</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rPr>
                <w:rFonts w:ascii="Arial Narrow" w:hAnsi="Arial Narrow"/>
                <w:bCs/>
                <w:strike/>
                <w:snapToGrid w:val="0"/>
                <w:sz w:val="18"/>
                <w:szCs w:val="18"/>
              </w:rPr>
            </w:pPr>
            <w:r w:rsidRPr="0097324B">
              <w:rPr>
                <w:rFonts w:ascii="Arial Narrow" w:hAnsi="Arial Narrow"/>
                <w:b/>
                <w:bCs/>
                <w:strike/>
                <w:snapToGrid w:val="0"/>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rPr>
                <w:rFonts w:ascii="Arial Narrow" w:hAnsi="Arial Narrow"/>
                <w:bCs/>
                <w:strike/>
                <w:snapToGrid w:val="0"/>
                <w:sz w:val="18"/>
                <w:szCs w:val="18"/>
              </w:rPr>
            </w:pPr>
            <w:r w:rsidRPr="0097324B">
              <w:rPr>
                <w:rFonts w:ascii="Arial Narrow" w:hAnsi="Arial Narrow"/>
                <w:bCs/>
                <w:strike/>
                <w:snapToGrid w:val="0"/>
                <w:sz w:val="18"/>
                <w:szCs w:val="18"/>
              </w:rPr>
              <w:t>Patient must have stable or responding disease</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rPr>
                <w:rFonts w:ascii="Arial Narrow" w:hAnsi="Arial Narrow"/>
                <w:bCs/>
                <w:strike/>
                <w:snapToGrid w:val="0"/>
                <w:sz w:val="18"/>
                <w:szCs w:val="18"/>
              </w:rPr>
            </w:pPr>
            <w:r w:rsidRPr="0097324B">
              <w:rPr>
                <w:rFonts w:ascii="Arial Narrow" w:hAnsi="Arial Narrow"/>
                <w:b/>
                <w:bCs/>
                <w:strike/>
                <w:snapToGrid w:val="0"/>
                <w:sz w:val="18"/>
                <w:szCs w:val="18"/>
              </w:rPr>
              <w:t>AND</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rPr>
                <w:rFonts w:ascii="Arial Narrow" w:hAnsi="Arial Narrow"/>
                <w:b/>
                <w:bCs/>
                <w:strike/>
                <w:snapToGrid w:val="0"/>
                <w:sz w:val="18"/>
                <w:szCs w:val="18"/>
              </w:rPr>
            </w:pPr>
            <w:r w:rsidRPr="0097324B">
              <w:rPr>
                <w:rFonts w:ascii="Arial Narrow" w:hAnsi="Arial Narrow"/>
                <w:b/>
                <w:bCs/>
                <w:strike/>
                <w:snapToGrid w:val="0"/>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rPr>
                <w:rFonts w:ascii="Arial Narrow" w:hAnsi="Arial Narrow"/>
                <w:b/>
                <w:bCs/>
                <w:strike/>
                <w:snapToGrid w:val="0"/>
                <w:sz w:val="18"/>
                <w:szCs w:val="18"/>
              </w:rPr>
            </w:pPr>
            <w:r w:rsidRPr="0097324B">
              <w:rPr>
                <w:rFonts w:ascii="Arial Narrow" w:hAnsi="Arial Narrow"/>
                <w:strike/>
                <w:sz w:val="18"/>
                <w:szCs w:val="18"/>
              </w:rPr>
              <w:t>The treatment must be in combination with fulvestrant,</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rPr>
                <w:rFonts w:ascii="Arial Narrow" w:hAnsi="Arial Narrow"/>
                <w:b/>
                <w:bCs/>
                <w:strike/>
                <w:snapToGrid w:val="0"/>
                <w:sz w:val="18"/>
                <w:szCs w:val="18"/>
              </w:rPr>
            </w:pPr>
            <w:r w:rsidRPr="0097324B">
              <w:rPr>
                <w:rFonts w:ascii="Arial Narrow" w:hAnsi="Arial Narrow"/>
                <w:strike/>
                <w:sz w:val="18"/>
                <w:szCs w:val="18"/>
              </w:rPr>
              <w:t>AND</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rPr>
                <w:rFonts w:ascii="Arial Narrow" w:hAnsi="Arial Narrow"/>
                <w:bCs/>
                <w:strike/>
                <w:snapToGrid w:val="0"/>
                <w:sz w:val="18"/>
                <w:szCs w:val="18"/>
              </w:rPr>
            </w:pPr>
            <w:r w:rsidRPr="0097324B">
              <w:rPr>
                <w:rFonts w:ascii="Arial Narrow" w:hAnsi="Arial Narrow"/>
                <w:bCs/>
                <w:strike/>
                <w:snapToGrid w:val="0"/>
                <w:sz w:val="18"/>
                <w:szCs w:val="18"/>
              </w:rPr>
              <w:t>The treatment must be in combination with anastrozole or letrozole</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rPr>
                <w:rFonts w:ascii="Arial Narrow" w:hAnsi="Arial Narrow"/>
                <w:bCs/>
                <w:strike/>
                <w:snapToGrid w:val="0"/>
                <w:sz w:val="18"/>
                <w:szCs w:val="18"/>
              </w:rPr>
            </w:pPr>
            <w:r w:rsidRPr="0097324B">
              <w:rPr>
                <w:rFonts w:ascii="Arial Narrow" w:hAnsi="Arial Narrow"/>
                <w:bCs/>
                <w:i/>
                <w:snapToGrid w:val="0"/>
                <w:sz w:val="18"/>
                <w:szCs w:val="18"/>
              </w:rPr>
              <w:t>The treatment must be in combination with one of: (i) anastrozole, (ii) letrozole, (iii) fulvestrant</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
                <w:bCs/>
                <w:snapToGrid w:val="0"/>
                <w:sz w:val="18"/>
                <w:szCs w:val="18"/>
              </w:rPr>
              <w:t>AND</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Cs/>
                <w:snapToGrid w:val="0"/>
                <w:sz w:val="18"/>
                <w:szCs w:val="18"/>
              </w:rPr>
              <w:t>The treatment must not be in combination with palbociclib or ribociclib</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
                <w:bCs/>
                <w:snapToGrid w:val="0"/>
                <w:sz w:val="18"/>
                <w:szCs w:val="18"/>
              </w:rPr>
              <w:t>AND</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
                <w:bCs/>
                <w:snapToGrid w:val="0"/>
                <w:sz w:val="18"/>
                <w:szCs w:val="18"/>
              </w:rPr>
              <w:t>Population criteria:</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rPr>
                <w:rFonts w:ascii="Arial Narrow" w:hAnsi="Arial Narrow"/>
                <w:bCs/>
                <w:snapToGrid w:val="0"/>
                <w:sz w:val="18"/>
                <w:szCs w:val="18"/>
              </w:rPr>
            </w:pPr>
            <w:r w:rsidRPr="0097324B">
              <w:rPr>
                <w:rFonts w:ascii="Arial Narrow" w:hAnsi="Arial Narrow"/>
                <w:bCs/>
                <w:snapToGrid w:val="0"/>
                <w:sz w:val="18"/>
                <w:szCs w:val="18"/>
              </w:rPr>
              <w:t>Patient must not be premenopausal</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rPr>
                <w:rFonts w:ascii="Arial Narrow" w:hAnsi="Arial Narrow"/>
                <w:bCs/>
                <w:strike/>
                <w:snapToGrid w:val="0"/>
                <w:sz w:val="18"/>
                <w:szCs w:val="18"/>
              </w:rPr>
            </w:pPr>
            <w:r w:rsidRPr="0097324B">
              <w:rPr>
                <w:rFonts w:ascii="Arial Narrow" w:hAnsi="Arial Narrow"/>
                <w:b/>
                <w:bCs/>
                <w:strike/>
                <w:snapToGrid w:val="0"/>
                <w:sz w:val="18"/>
                <w:szCs w:val="18"/>
              </w:rPr>
              <w:t>Prescribing Instructions:</w:t>
            </w:r>
          </w:p>
          <w:p w:rsidR="00E01C63" w:rsidRPr="0097324B" w:rsidRDefault="00E01C63" w:rsidP="00A17EC3">
            <w:pPr>
              <w:widowControl w:val="0"/>
              <w:rPr>
                <w:rFonts w:ascii="Arial Narrow" w:hAnsi="Arial Narrow"/>
                <w:bCs/>
                <w:snapToGrid w:val="0"/>
                <w:sz w:val="18"/>
                <w:szCs w:val="18"/>
              </w:rPr>
            </w:pPr>
            <w:r w:rsidRPr="0097324B">
              <w:rPr>
                <w:rFonts w:ascii="Arial Narrow" w:hAnsi="Arial Narrow"/>
                <w:bCs/>
                <w:strike/>
                <w:snapToGrid w:val="0"/>
                <w:sz w:val="18"/>
                <w:szCs w:val="18"/>
              </w:rPr>
              <w:t>A patient who has progressive disease when treated with this drug is no longer eligible for PBS-subsidised treatment with this drug.</w:t>
            </w:r>
            <w:r w:rsidRPr="0097324B">
              <w:rPr>
                <w:rFonts w:ascii="Arial Narrow" w:hAnsi="Arial Narrow"/>
                <w:bCs/>
                <w:snapToGrid w:val="0"/>
                <w:sz w:val="18"/>
                <w:szCs w:val="18"/>
              </w:rPr>
              <w:t xml:space="preserve"> </w:t>
            </w:r>
          </w:p>
        </w:tc>
      </w:tr>
      <w:tr w:rsidR="00F352F9" w:rsidRPr="0097324B" w:rsidTr="00187A54">
        <w:tblPrEx>
          <w:tblCellMar>
            <w:top w:w="15" w:type="dxa"/>
            <w:left w:w="15" w:type="dxa"/>
            <w:bottom w:w="15" w:type="dxa"/>
            <w:right w:w="15" w:type="dxa"/>
          </w:tblCellMar>
        </w:tblPrEx>
        <w:tc>
          <w:tcPr>
            <w:tcW w:w="5000" w:type="pct"/>
            <w:gridSpan w:val="7"/>
          </w:tcPr>
          <w:p w:rsidR="00F352F9" w:rsidRPr="0097324B" w:rsidRDefault="00F352F9" w:rsidP="00A17EC3">
            <w:pPr>
              <w:widowControl w:val="0"/>
              <w:ind w:left="57" w:right="57"/>
              <w:rPr>
                <w:rFonts w:ascii="Arial Narrow" w:hAnsi="Arial Narrow"/>
                <w:b/>
                <w:bCs/>
                <w:strike/>
                <w:snapToGrid w:val="0"/>
                <w:sz w:val="18"/>
                <w:szCs w:val="18"/>
              </w:rPr>
            </w:pPr>
          </w:p>
        </w:tc>
      </w:tr>
      <w:tr w:rsidR="00F352F9" w:rsidRPr="0097324B" w:rsidTr="00187A54">
        <w:tblPrEx>
          <w:tblCellMar>
            <w:top w:w="15" w:type="dxa"/>
            <w:left w:w="15" w:type="dxa"/>
            <w:bottom w:w="15" w:type="dxa"/>
            <w:right w:w="15" w:type="dxa"/>
          </w:tblCellMar>
        </w:tblPrEx>
        <w:tc>
          <w:tcPr>
            <w:tcW w:w="5000" w:type="pct"/>
            <w:gridSpan w:val="7"/>
            <w:shd w:val="clear" w:color="auto" w:fill="auto"/>
          </w:tcPr>
          <w:p w:rsidR="00F352F9" w:rsidRPr="0097324B" w:rsidRDefault="00F352F9" w:rsidP="00A17EC3">
            <w:pPr>
              <w:widowControl w:val="0"/>
              <w:ind w:left="57" w:right="57"/>
              <w:rPr>
                <w:rFonts w:ascii="Arial Narrow" w:hAnsi="Arial Narrow"/>
                <w:b/>
                <w:bCs/>
                <w:strike/>
                <w:snapToGrid w:val="0"/>
                <w:sz w:val="18"/>
                <w:szCs w:val="18"/>
              </w:rPr>
            </w:pPr>
            <w:r w:rsidRPr="0097324B">
              <w:rPr>
                <w:rFonts w:ascii="Arial Narrow" w:hAnsi="Arial Narrow"/>
                <w:b/>
                <w:sz w:val="18"/>
                <w:szCs w:val="18"/>
              </w:rPr>
              <w:t>Add Restriction Summary: NEW / ToC: NEW</w:t>
            </w:r>
          </w:p>
        </w:tc>
      </w:tr>
      <w:tr w:rsidR="00E01C63" w:rsidRPr="0097324B" w:rsidTr="00E01C63">
        <w:tblPrEx>
          <w:tblCellMar>
            <w:top w:w="15" w:type="dxa"/>
            <w:left w:w="15" w:type="dxa"/>
            <w:bottom w:w="15" w:type="dxa"/>
            <w:right w:w="15" w:type="dxa"/>
          </w:tblCellMar>
        </w:tblPrEx>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01C63" w:rsidRPr="0097324B" w:rsidRDefault="00E01C63" w:rsidP="00A17EC3">
            <w:pPr>
              <w:ind w:left="57"/>
              <w:rPr>
                <w:rFonts w:ascii="Arial Narrow" w:hAnsi="Arial Narrow"/>
                <w:sz w:val="18"/>
                <w:szCs w:val="18"/>
              </w:rPr>
            </w:pPr>
            <w:r w:rsidRPr="0097324B">
              <w:rPr>
                <w:rFonts w:ascii="Arial Narrow" w:hAnsi="Arial Narrow"/>
                <w:b/>
                <w:sz w:val="18"/>
                <w:szCs w:val="18"/>
              </w:rPr>
              <w:t xml:space="preserve">Category / Program:   </w:t>
            </w:r>
            <w:r w:rsidRPr="0097324B">
              <w:rPr>
                <w:rFonts w:ascii="Arial Narrow" w:hAnsi="Arial Narrow"/>
                <w:sz w:val="18"/>
                <w:szCs w:val="18"/>
              </w:rPr>
              <w:t xml:space="preserve">GENERAL – General Schedule (Code GE) </w:t>
            </w:r>
          </w:p>
        </w:tc>
      </w:tr>
      <w:tr w:rsidR="00E01C63" w:rsidRPr="0097324B" w:rsidTr="00E01C63">
        <w:tblPrEx>
          <w:tblCellMar>
            <w:top w:w="15" w:type="dxa"/>
            <w:left w:w="15" w:type="dxa"/>
            <w:bottom w:w="15" w:type="dxa"/>
            <w:right w:w="15" w:type="dxa"/>
          </w:tblCellMar>
        </w:tblPrEx>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01C63" w:rsidRPr="0097324B" w:rsidRDefault="00E01C63" w:rsidP="00A17EC3">
            <w:pPr>
              <w:widowControl w:val="0"/>
              <w:ind w:left="57"/>
              <w:rPr>
                <w:rFonts w:ascii="Arial Narrow" w:hAnsi="Arial Narrow"/>
                <w:b/>
                <w:bCs/>
                <w:snapToGrid w:val="0"/>
                <w:sz w:val="18"/>
                <w:szCs w:val="18"/>
              </w:rPr>
            </w:pPr>
            <w:r w:rsidRPr="0097324B">
              <w:rPr>
                <w:rFonts w:ascii="Arial Narrow" w:hAnsi="Arial Narrow"/>
                <w:b/>
                <w:sz w:val="18"/>
                <w:szCs w:val="18"/>
              </w:rPr>
              <w:t xml:space="preserve">Prescriber type:   </w:t>
            </w:r>
            <w:r w:rsidRPr="0097324B">
              <w:rPr>
                <w:rFonts w:ascii="Arial Narrow" w:hAnsi="Arial Narrow"/>
                <w:sz w:val="18"/>
                <w:szCs w:val="18"/>
              </w:rPr>
              <w:fldChar w:fldCharType="begin">
                <w:ffData>
                  <w:name w:val=""/>
                  <w:enabled/>
                  <w:calcOnExit w:val="0"/>
                  <w:checkBox>
                    <w:sizeAuto/>
                    <w:default w:val="1"/>
                  </w:checkBox>
                </w:ffData>
              </w:fldChar>
            </w:r>
            <w:r w:rsidRPr="0097324B">
              <w:rPr>
                <w:rFonts w:ascii="Arial Narrow" w:hAnsi="Arial Narrow"/>
                <w:sz w:val="18"/>
                <w:szCs w:val="18"/>
              </w:rPr>
              <w:instrText xml:space="preserve"> FORMCHECKBOX </w:instrText>
            </w:r>
            <w:r w:rsidR="00BE74BF">
              <w:rPr>
                <w:rFonts w:ascii="Arial Narrow" w:hAnsi="Arial Narrow"/>
                <w:sz w:val="18"/>
                <w:szCs w:val="18"/>
              </w:rPr>
            </w:r>
            <w:r w:rsidR="00BE74BF">
              <w:rPr>
                <w:rFonts w:ascii="Arial Narrow" w:hAnsi="Arial Narrow"/>
                <w:sz w:val="18"/>
                <w:szCs w:val="18"/>
              </w:rPr>
              <w:fldChar w:fldCharType="separate"/>
            </w:r>
            <w:r w:rsidRPr="0097324B">
              <w:rPr>
                <w:rFonts w:ascii="Arial Narrow" w:hAnsi="Arial Narrow"/>
                <w:sz w:val="18"/>
                <w:szCs w:val="18"/>
              </w:rPr>
              <w:fldChar w:fldCharType="end"/>
            </w:r>
            <w:r w:rsidRPr="0097324B">
              <w:rPr>
                <w:rFonts w:ascii="Arial Narrow" w:hAnsi="Arial Narrow"/>
                <w:sz w:val="18"/>
                <w:szCs w:val="18"/>
              </w:rPr>
              <w:t xml:space="preserve"> Medical Practitioners    </w:t>
            </w:r>
          </w:p>
        </w:tc>
      </w:tr>
      <w:tr w:rsidR="00E01C63" w:rsidRPr="0097324B" w:rsidTr="00E01C63">
        <w:tblPrEx>
          <w:tblCellMar>
            <w:top w:w="15" w:type="dxa"/>
            <w:left w:w="15" w:type="dxa"/>
            <w:bottom w:w="15" w:type="dxa"/>
            <w:right w:w="15" w:type="dxa"/>
          </w:tblCellMar>
        </w:tblPrEx>
        <w:trPr>
          <w:trHeight w:val="19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01C63" w:rsidRPr="0097324B" w:rsidRDefault="00E01C63" w:rsidP="00A17EC3">
            <w:pPr>
              <w:ind w:left="57"/>
              <w:rPr>
                <w:rFonts w:ascii="Arial Narrow" w:hAnsi="Arial Narrow"/>
                <w:b/>
                <w:sz w:val="18"/>
                <w:szCs w:val="18"/>
              </w:rPr>
            </w:pPr>
            <w:r w:rsidRPr="0097324B">
              <w:rPr>
                <w:rFonts w:ascii="Arial Narrow" w:hAnsi="Arial Narrow"/>
                <w:b/>
                <w:sz w:val="18"/>
                <w:szCs w:val="18"/>
              </w:rPr>
              <w:t xml:space="preserve">Restriction Type: </w:t>
            </w:r>
            <w:r w:rsidRPr="0097324B">
              <w:rPr>
                <w:rFonts w:ascii="Arial Narrow" w:eastAsia="Calibri" w:hAnsi="Arial Narrow"/>
                <w:sz w:val="18"/>
                <w:szCs w:val="18"/>
              </w:rPr>
              <w:fldChar w:fldCharType="begin">
                <w:ffData>
                  <w:name w:val="Check3"/>
                  <w:enabled/>
                  <w:calcOnExit w:val="0"/>
                  <w:checkBox>
                    <w:sizeAuto/>
                    <w:default w:val="1"/>
                  </w:checkBox>
                </w:ffData>
              </w:fldChar>
            </w:r>
            <w:r w:rsidRPr="0097324B">
              <w:rPr>
                <w:rFonts w:ascii="Arial Narrow" w:eastAsia="Calibri" w:hAnsi="Arial Narrow"/>
                <w:sz w:val="18"/>
                <w:szCs w:val="18"/>
              </w:rPr>
              <w:instrText xml:space="preserve"> FORMCHECKBOX </w:instrText>
            </w:r>
            <w:r w:rsidR="00BE74BF">
              <w:rPr>
                <w:rFonts w:ascii="Arial Narrow" w:eastAsia="Calibri" w:hAnsi="Arial Narrow"/>
                <w:sz w:val="18"/>
                <w:szCs w:val="18"/>
              </w:rPr>
            </w:r>
            <w:r w:rsidR="00BE74BF">
              <w:rPr>
                <w:rFonts w:ascii="Arial Narrow" w:eastAsia="Calibri" w:hAnsi="Arial Narrow"/>
                <w:sz w:val="18"/>
                <w:szCs w:val="18"/>
              </w:rPr>
              <w:fldChar w:fldCharType="separate"/>
            </w:r>
            <w:r w:rsidRPr="0097324B">
              <w:rPr>
                <w:rFonts w:ascii="Arial Narrow" w:eastAsia="Calibri" w:hAnsi="Arial Narrow"/>
                <w:sz w:val="18"/>
                <w:szCs w:val="18"/>
              </w:rPr>
              <w:fldChar w:fldCharType="end"/>
            </w:r>
            <w:r w:rsidRPr="0097324B">
              <w:rPr>
                <w:rFonts w:ascii="Arial Narrow" w:eastAsia="Calibri" w:hAnsi="Arial Narrow"/>
                <w:sz w:val="18"/>
                <w:szCs w:val="18"/>
              </w:rPr>
              <w:t xml:space="preserve"> Authority Required – immediate/real time assessment by Services Australia (telephone/online)</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ind w:left="57"/>
              <w:rPr>
                <w:rFonts w:ascii="Arial Narrow" w:hAnsi="Arial Narrow"/>
                <w:b/>
                <w:bCs/>
                <w:i/>
                <w:iCs/>
                <w:snapToGrid w:val="0"/>
                <w:sz w:val="18"/>
                <w:szCs w:val="18"/>
              </w:rPr>
            </w:pPr>
            <w:r w:rsidRPr="0097324B">
              <w:rPr>
                <w:rFonts w:ascii="Arial Narrow" w:hAnsi="Arial Narrow"/>
                <w:b/>
                <w:bCs/>
                <w:i/>
                <w:iCs/>
                <w:snapToGrid w:val="0"/>
                <w:sz w:val="18"/>
                <w:szCs w:val="18"/>
              </w:rPr>
              <w:lastRenderedPageBreak/>
              <w:t>Administrative Advice:</w:t>
            </w:r>
          </w:p>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Cs/>
                <w:i/>
                <w:snapToGrid w:val="0"/>
                <w:sz w:val="18"/>
                <w:szCs w:val="18"/>
              </w:rPr>
              <w:t>Applications for authorisation under this restriction may be made in real time using the Online PBS Authorities system (see www.servicesaustralia.gov.au/HPOS) or by telephone by contacting Services Australia on 1800 888 333.</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
                <w:bCs/>
                <w:i/>
                <w:snapToGrid w:val="0"/>
                <w:sz w:val="18"/>
                <w:szCs w:val="18"/>
              </w:rPr>
              <w:t>Administrative Advice:</w:t>
            </w:r>
            <w:r w:rsidRPr="0097324B">
              <w:rPr>
                <w:rFonts w:ascii="Arial Narrow" w:hAnsi="Arial Narrow"/>
                <w:bCs/>
                <w:i/>
                <w:snapToGrid w:val="0"/>
                <w:sz w:val="18"/>
                <w:szCs w:val="18"/>
              </w:rPr>
              <w:t xml:space="preserve"> No increase in the maximum quantity or number of units may be authorised.</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
                <w:bCs/>
                <w:i/>
                <w:snapToGrid w:val="0"/>
                <w:sz w:val="18"/>
                <w:szCs w:val="18"/>
              </w:rPr>
              <w:t>Administrative Advice:</w:t>
            </w:r>
            <w:r w:rsidRPr="0097324B">
              <w:rPr>
                <w:rFonts w:ascii="Arial Narrow" w:hAnsi="Arial Narrow"/>
                <w:bCs/>
                <w:i/>
                <w:snapToGrid w:val="0"/>
                <w:sz w:val="18"/>
                <w:szCs w:val="18"/>
              </w:rPr>
              <w:t xml:space="preserve"> No increase in the maximum number of repeats may be authorised.</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
                <w:bCs/>
                <w:i/>
                <w:snapToGrid w:val="0"/>
                <w:sz w:val="18"/>
                <w:szCs w:val="18"/>
              </w:rPr>
              <w:t>Administrative Advice:</w:t>
            </w:r>
            <w:r w:rsidRPr="0097324B">
              <w:rPr>
                <w:rFonts w:ascii="Arial Narrow" w:hAnsi="Arial Narrow"/>
                <w:bCs/>
                <w:i/>
                <w:snapToGrid w:val="0"/>
                <w:sz w:val="18"/>
                <w:szCs w:val="18"/>
              </w:rPr>
              <w:t xml:space="preserve"> Special Pricing Arrangements apply.</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
                <w:bCs/>
                <w:i/>
                <w:snapToGrid w:val="0"/>
                <w:sz w:val="18"/>
                <w:szCs w:val="18"/>
              </w:rPr>
              <w:t>Administrative Advice:</w:t>
            </w:r>
            <w:r w:rsidRPr="0097324B">
              <w:rPr>
                <w:rFonts w:ascii="Arial Narrow" w:hAnsi="Arial Narrow"/>
                <w:bCs/>
                <w:i/>
                <w:snapToGrid w:val="0"/>
                <w:sz w:val="18"/>
                <w:szCs w:val="18"/>
              </w:rPr>
              <w:t xml:space="preserve"> This grandfather restriction will cease to operate from 12 months after the date specified in the clinical criteria.</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
                <w:bCs/>
                <w:i/>
                <w:snapToGrid w:val="0"/>
                <w:sz w:val="18"/>
                <w:szCs w:val="18"/>
              </w:rPr>
              <w:t>Administrative Advice:</w:t>
            </w:r>
            <w:r w:rsidRPr="0097324B">
              <w:rPr>
                <w:rFonts w:ascii="Arial Narrow" w:hAnsi="Arial Narrow"/>
                <w:bCs/>
                <w:i/>
                <w:snapToGrid w:val="0"/>
                <w:sz w:val="18"/>
                <w:szCs w:val="18"/>
              </w:rPr>
              <w:t xml:space="preserve"> Patients may qualify for PBS-subsidised treatment under this restriction once only. For continuing PBS-subsidised treatment, a 'Grandfathered' patient must qualify under the 'Continuing treatment' criteria.</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Indication:</w:t>
            </w:r>
            <w:r w:rsidRPr="0097324B">
              <w:rPr>
                <w:rFonts w:ascii="Arial Narrow" w:hAnsi="Arial Narrow"/>
                <w:bCs/>
                <w:snapToGrid w:val="0"/>
                <w:sz w:val="18"/>
                <w:szCs w:val="18"/>
              </w:rPr>
              <w:t xml:space="preserve"> Locally advanced or metastatic breast cancer</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
                <w:bCs/>
                <w:i/>
                <w:snapToGrid w:val="0"/>
                <w:sz w:val="18"/>
                <w:szCs w:val="18"/>
              </w:rPr>
              <w:t>Treatment Phase:</w:t>
            </w:r>
            <w:r w:rsidRPr="0097324B">
              <w:rPr>
                <w:rFonts w:ascii="Arial Narrow" w:hAnsi="Arial Narrow"/>
                <w:bCs/>
                <w:i/>
                <w:snapToGrid w:val="0"/>
                <w:sz w:val="18"/>
                <w:szCs w:val="18"/>
              </w:rPr>
              <w:t xml:space="preserve"> Transitioning from non-PBS to PBS-subsidised supply  - ‘Grandfather’ treatment</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ind w:left="57"/>
              <w:rPr>
                <w:rFonts w:ascii="Arial Narrow" w:hAnsi="Arial Narrow"/>
                <w:b/>
                <w:bCs/>
                <w:snapToGrid w:val="0"/>
                <w:sz w:val="18"/>
                <w:szCs w:val="18"/>
              </w:rPr>
            </w:pPr>
            <w:r w:rsidRPr="0097324B">
              <w:rPr>
                <w:rFonts w:ascii="Arial Narrow" w:hAnsi="Arial Narrow"/>
                <w:b/>
                <w:bCs/>
                <w:snapToGrid w:val="0"/>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ind w:left="57"/>
              <w:rPr>
                <w:rFonts w:ascii="Arial Narrow" w:hAnsi="Arial Narrow"/>
                <w:bCs/>
                <w:snapToGrid w:val="0"/>
                <w:sz w:val="18"/>
                <w:szCs w:val="18"/>
              </w:rPr>
            </w:pPr>
            <w:r w:rsidRPr="0097324B">
              <w:rPr>
                <w:rFonts w:ascii="Arial Narrow" w:hAnsi="Arial Narrow"/>
                <w:bCs/>
                <w:snapToGrid w:val="0"/>
                <w:sz w:val="18"/>
                <w:szCs w:val="18"/>
              </w:rPr>
              <w:t>Patient must have received non-PBS-subsidised treatment with this drug for this PBS-indication prior to [insert date of PBS listing]</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ind w:left="57"/>
              <w:rPr>
                <w:rFonts w:ascii="Arial Narrow" w:hAnsi="Arial Narrow"/>
                <w:b/>
                <w:bCs/>
                <w:snapToGrid w:val="0"/>
                <w:sz w:val="18"/>
                <w:szCs w:val="18"/>
              </w:rPr>
            </w:pPr>
            <w:r w:rsidRPr="0097324B">
              <w:rPr>
                <w:rFonts w:ascii="Arial Narrow" w:hAnsi="Arial Narrow"/>
                <w:b/>
                <w:bCs/>
                <w:snapToGrid w:val="0"/>
                <w:sz w:val="18"/>
                <w:szCs w:val="18"/>
              </w:rPr>
              <w:t>AND</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ind w:left="57"/>
              <w:rPr>
                <w:rFonts w:ascii="Arial Narrow" w:hAnsi="Arial Narrow"/>
                <w:b/>
                <w:bCs/>
                <w:snapToGrid w:val="0"/>
                <w:sz w:val="18"/>
                <w:szCs w:val="18"/>
              </w:rPr>
            </w:pPr>
            <w:r w:rsidRPr="0097324B">
              <w:rPr>
                <w:rFonts w:ascii="Arial Narrow" w:hAnsi="Arial Narrow"/>
                <w:b/>
                <w:bCs/>
                <w:snapToGrid w:val="0"/>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ind w:left="57"/>
              <w:rPr>
                <w:rFonts w:ascii="Arial Narrow" w:hAnsi="Arial Narrow"/>
                <w:b/>
                <w:bCs/>
                <w:snapToGrid w:val="0"/>
                <w:sz w:val="18"/>
                <w:szCs w:val="18"/>
              </w:rPr>
            </w:pPr>
            <w:r w:rsidRPr="0097324B">
              <w:rPr>
                <w:rFonts w:ascii="Arial Narrow" w:hAnsi="Arial Narrow"/>
                <w:bCs/>
                <w:snapToGrid w:val="0"/>
                <w:sz w:val="18"/>
                <w:szCs w:val="18"/>
              </w:rPr>
              <w:t>Patient must not have developed disease progression while being treated with this drug for this condition</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ind w:left="57"/>
              <w:rPr>
                <w:rFonts w:ascii="Arial Narrow" w:hAnsi="Arial Narrow"/>
                <w:b/>
                <w:bCs/>
                <w:snapToGrid w:val="0"/>
                <w:sz w:val="18"/>
                <w:szCs w:val="18"/>
              </w:rPr>
            </w:pPr>
            <w:r w:rsidRPr="0097324B">
              <w:rPr>
                <w:rFonts w:ascii="Arial Narrow" w:hAnsi="Arial Narrow"/>
                <w:b/>
                <w:bCs/>
                <w:snapToGrid w:val="0"/>
                <w:sz w:val="18"/>
                <w:szCs w:val="18"/>
              </w:rPr>
              <w:t>AND</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ind w:left="57"/>
              <w:rPr>
                <w:rFonts w:ascii="Arial Narrow" w:hAnsi="Arial Narrow"/>
                <w:b/>
                <w:bCs/>
                <w:snapToGrid w:val="0"/>
                <w:sz w:val="18"/>
                <w:szCs w:val="18"/>
              </w:rPr>
            </w:pPr>
            <w:r w:rsidRPr="0097324B">
              <w:rPr>
                <w:rFonts w:ascii="Arial Narrow" w:hAnsi="Arial Narrow"/>
                <w:b/>
                <w:bCs/>
                <w:strike/>
                <w:snapToGrid w:val="0"/>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ind w:left="57"/>
              <w:rPr>
                <w:rFonts w:ascii="Arial Narrow" w:hAnsi="Arial Narrow"/>
                <w:b/>
                <w:bCs/>
                <w:snapToGrid w:val="0"/>
                <w:sz w:val="18"/>
                <w:szCs w:val="18"/>
              </w:rPr>
            </w:pPr>
            <w:r w:rsidRPr="0097324B">
              <w:rPr>
                <w:rFonts w:ascii="Arial Narrow" w:hAnsi="Arial Narrow"/>
                <w:bCs/>
                <w:strike/>
                <w:snapToGrid w:val="0"/>
                <w:sz w:val="18"/>
                <w:szCs w:val="18"/>
              </w:rPr>
              <w:t>Patient must have stable or responding disease</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ind w:left="57"/>
              <w:rPr>
                <w:rFonts w:ascii="Arial Narrow" w:hAnsi="Arial Narrow"/>
                <w:b/>
                <w:bCs/>
                <w:snapToGrid w:val="0"/>
                <w:sz w:val="18"/>
                <w:szCs w:val="18"/>
              </w:rPr>
            </w:pPr>
            <w:r w:rsidRPr="0097324B">
              <w:rPr>
                <w:rFonts w:ascii="Arial Narrow" w:hAnsi="Arial Narrow"/>
                <w:b/>
                <w:bCs/>
                <w:snapToGrid w:val="0"/>
                <w:sz w:val="18"/>
                <w:szCs w:val="18"/>
              </w:rPr>
              <w:t>AND</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Cs/>
                <w:i/>
                <w:snapToGrid w:val="0"/>
                <w:sz w:val="18"/>
                <w:szCs w:val="18"/>
              </w:rPr>
              <w:t>Patient must have been untreated with each of: (i) abemaciclib, (ii) palbociclib, (iii) ribociclib, at the time non-PBS supply was initiated; or</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Cs/>
                <w:i/>
                <w:snapToGrid w:val="0"/>
                <w:sz w:val="18"/>
                <w:szCs w:val="18"/>
              </w:rPr>
              <w:t>Patient must have developed an intolerance to palbociclib or ribociclib of a severity necessitating permanent treatment withdrawal</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
                <w:bCs/>
                <w:i/>
                <w:snapToGrid w:val="0"/>
                <w:sz w:val="18"/>
                <w:szCs w:val="18"/>
              </w:rPr>
              <w:t>AND</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
                <w:bCs/>
                <w:i/>
                <w:snapToGrid w:val="0"/>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Cs/>
                <w:i/>
                <w:snapToGrid w:val="0"/>
                <w:sz w:val="18"/>
                <w:szCs w:val="18"/>
              </w:rPr>
              <w:t>The condition must be hormone receptor positive</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
                <w:bCs/>
                <w:i/>
                <w:snapToGrid w:val="0"/>
                <w:sz w:val="18"/>
                <w:szCs w:val="18"/>
              </w:rPr>
              <w:t>AND</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
                <w:bCs/>
                <w:i/>
                <w:snapToGrid w:val="0"/>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Cs/>
                <w:i/>
                <w:snapToGrid w:val="0"/>
                <w:sz w:val="18"/>
                <w:szCs w:val="18"/>
              </w:rPr>
              <w:t>The condition must be human epidermal growth factor receptor 2 (HER2) negative</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
                <w:bCs/>
                <w:i/>
                <w:snapToGrid w:val="0"/>
                <w:sz w:val="18"/>
                <w:szCs w:val="18"/>
              </w:rPr>
              <w:t>AND</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
                <w:bCs/>
                <w:i/>
                <w:snapToGrid w:val="0"/>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Cs/>
                <w:i/>
                <w:snapToGrid w:val="0"/>
                <w:sz w:val="18"/>
                <w:szCs w:val="18"/>
              </w:rPr>
              <w:t>The condition must be inoperable</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
                <w:bCs/>
                <w:i/>
                <w:snapToGrid w:val="0"/>
                <w:sz w:val="18"/>
                <w:szCs w:val="18"/>
              </w:rPr>
              <w:t>AND</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
                <w:bCs/>
                <w:i/>
                <w:snapToGrid w:val="0"/>
                <w:sz w:val="18"/>
                <w:szCs w:val="18"/>
              </w:rPr>
              <w:t>Clinical criteria:</w:t>
            </w:r>
          </w:p>
        </w:tc>
      </w:tr>
      <w:tr w:rsidR="00E01C63" w:rsidRPr="0097324B" w:rsidTr="00E01C63">
        <w:tblPrEx>
          <w:tblCellMar>
            <w:top w:w="15" w:type="dxa"/>
            <w:left w:w="15" w:type="dxa"/>
            <w:bottom w:w="15" w:type="dxa"/>
            <w:right w:w="15" w:type="dxa"/>
          </w:tblCellMar>
        </w:tblPrEx>
        <w:trPr>
          <w:trHeight w:val="529"/>
        </w:trPr>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Cs/>
                <w:i/>
                <w:snapToGrid w:val="0"/>
                <w:sz w:val="18"/>
                <w:szCs w:val="18"/>
              </w:rPr>
              <w:t xml:space="preserve">Patient must have had a World Health Organisation (WHO) Eastern Cooperative Oncology Group (ECOG) performance status score no higher than 2 at the time of non-PBS supply was initiated </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
                <w:bCs/>
                <w:i/>
                <w:snapToGrid w:val="0"/>
                <w:sz w:val="18"/>
                <w:szCs w:val="18"/>
              </w:rPr>
              <w:t>AND</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ind w:left="57"/>
              <w:rPr>
                <w:rFonts w:ascii="Arial Narrow" w:hAnsi="Arial Narrow"/>
                <w:b/>
                <w:bCs/>
                <w:strike/>
                <w:snapToGrid w:val="0"/>
                <w:sz w:val="18"/>
                <w:szCs w:val="18"/>
              </w:rPr>
            </w:pPr>
            <w:r w:rsidRPr="0097324B">
              <w:rPr>
                <w:rFonts w:ascii="Arial Narrow" w:hAnsi="Arial Narrow"/>
                <w:b/>
                <w:bCs/>
                <w:strike/>
                <w:snapToGrid w:val="0"/>
                <w:sz w:val="18"/>
                <w:szCs w:val="18"/>
              </w:rPr>
              <w:t>Treatment criteria:</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ind w:left="57"/>
              <w:rPr>
                <w:rFonts w:ascii="Arial Narrow" w:hAnsi="Arial Narrow"/>
                <w:b/>
                <w:bCs/>
                <w:strike/>
                <w:snapToGrid w:val="0"/>
                <w:sz w:val="18"/>
                <w:szCs w:val="18"/>
              </w:rPr>
            </w:pPr>
            <w:r w:rsidRPr="0097324B">
              <w:rPr>
                <w:rFonts w:ascii="Arial Narrow" w:hAnsi="Arial Narrow"/>
                <w:strike/>
                <w:sz w:val="18"/>
                <w:szCs w:val="18"/>
              </w:rPr>
              <w:t>The treatment must be in combination with fulvestrant,</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Cs/>
                <w:i/>
                <w:snapToGrid w:val="0"/>
                <w:sz w:val="18"/>
                <w:szCs w:val="18"/>
              </w:rPr>
              <w:t>The treatment must be in combination with one of: (i) anastrozole, (ii) letrozole, (iii) fulvestrant, where the patient had never been treated with endocrine therapy for advanced/metastatic disease at the time non-PBS supply was initiated; or</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ind w:left="57"/>
              <w:rPr>
                <w:rFonts w:ascii="Arial Narrow" w:hAnsi="Arial Narrow"/>
                <w:bCs/>
                <w:i/>
                <w:snapToGrid w:val="0"/>
                <w:sz w:val="18"/>
                <w:szCs w:val="18"/>
              </w:rPr>
            </w:pPr>
            <w:r w:rsidRPr="0097324B">
              <w:rPr>
                <w:rFonts w:ascii="Arial Narrow" w:hAnsi="Arial Narrow"/>
                <w:bCs/>
                <w:i/>
                <w:snapToGrid w:val="0"/>
                <w:sz w:val="18"/>
                <w:szCs w:val="18"/>
              </w:rPr>
              <w:t>The treatment must be in combination with fulvestrant only, where at the time non-PBS supply was initiated, the patient had recurrent/progressive disease despite being treated with endocrine therapy for advanced/metastatic disease</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AND</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snapToGrid w:val="0"/>
                <w:sz w:val="18"/>
                <w:szCs w:val="18"/>
              </w:rPr>
            </w:pPr>
            <w:r w:rsidRPr="0097324B">
              <w:rPr>
                <w:rFonts w:ascii="Arial Narrow" w:hAnsi="Arial Narrow"/>
                <w:bCs/>
                <w:snapToGrid w:val="0"/>
                <w:sz w:val="18"/>
                <w:szCs w:val="18"/>
              </w:rPr>
              <w:t>The treatment must not be in combination with palbociclib or ribociclib</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AND</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Population criteria:</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hideMark/>
          </w:tcPr>
          <w:p w:rsidR="00E01C63" w:rsidRPr="0097324B" w:rsidRDefault="00E01C63" w:rsidP="00A17EC3">
            <w:pPr>
              <w:widowControl w:val="0"/>
              <w:ind w:left="57"/>
              <w:rPr>
                <w:rFonts w:ascii="Arial Narrow" w:hAnsi="Arial Narrow"/>
                <w:bCs/>
                <w:snapToGrid w:val="0"/>
                <w:sz w:val="18"/>
                <w:szCs w:val="18"/>
              </w:rPr>
            </w:pPr>
            <w:r w:rsidRPr="0097324B">
              <w:rPr>
                <w:rFonts w:ascii="Arial Narrow" w:hAnsi="Arial Narrow"/>
                <w:bCs/>
                <w:snapToGrid w:val="0"/>
                <w:sz w:val="18"/>
                <w:szCs w:val="18"/>
              </w:rPr>
              <w:t>Patient must not be premenopausal</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ind w:left="57"/>
              <w:rPr>
                <w:rFonts w:ascii="Arial Narrow" w:hAnsi="Arial Narrow"/>
                <w:bCs/>
                <w:strike/>
                <w:snapToGrid w:val="0"/>
                <w:sz w:val="18"/>
                <w:szCs w:val="18"/>
              </w:rPr>
            </w:pPr>
            <w:r w:rsidRPr="0097324B">
              <w:rPr>
                <w:rStyle w:val="SmallBold"/>
                <w:rFonts w:ascii="Arial Narrow" w:hAnsi="Arial Narrow"/>
                <w:strike/>
                <w:sz w:val="18"/>
                <w:szCs w:val="18"/>
              </w:rPr>
              <w:t xml:space="preserve">Prescribing Instructions: </w:t>
            </w:r>
          </w:p>
        </w:tc>
      </w:tr>
      <w:tr w:rsidR="00E01C63" w:rsidRPr="0097324B" w:rsidTr="00E01C63">
        <w:tblPrEx>
          <w:tblCellMar>
            <w:top w:w="15" w:type="dxa"/>
            <w:left w:w="15" w:type="dxa"/>
            <w:bottom w:w="15" w:type="dxa"/>
            <w:right w:w="15" w:type="dxa"/>
          </w:tblCellMar>
        </w:tblPrEx>
        <w:tc>
          <w:tcPr>
            <w:tcW w:w="5000" w:type="pct"/>
            <w:gridSpan w:val="7"/>
            <w:shd w:val="clear" w:color="auto" w:fill="auto"/>
            <w:vAlign w:val="center"/>
          </w:tcPr>
          <w:p w:rsidR="00E01C63" w:rsidRPr="0097324B" w:rsidRDefault="00E01C63" w:rsidP="00A17EC3">
            <w:pPr>
              <w:widowControl w:val="0"/>
              <w:ind w:left="57"/>
              <w:rPr>
                <w:rFonts w:ascii="Arial Narrow" w:hAnsi="Arial Narrow"/>
                <w:bCs/>
                <w:strike/>
                <w:snapToGrid w:val="0"/>
                <w:sz w:val="18"/>
                <w:szCs w:val="18"/>
              </w:rPr>
            </w:pPr>
            <w:r w:rsidRPr="0097324B">
              <w:rPr>
                <w:rFonts w:ascii="Arial Narrow" w:hAnsi="Arial Narrow"/>
                <w:strike/>
                <w:sz w:val="18"/>
                <w:szCs w:val="18"/>
              </w:rPr>
              <w:t>A patient who has progressive disease when treated with this drug is no longer eligible for PBS-subsidised treatment with this drug.</w:t>
            </w:r>
          </w:p>
        </w:tc>
      </w:tr>
    </w:tbl>
    <w:p w:rsidR="004E1B4D" w:rsidRPr="0097324B" w:rsidRDefault="00C95723" w:rsidP="00082C1A">
      <w:pPr>
        <w:pStyle w:val="3-BodyText"/>
        <w:spacing w:before="120"/>
        <w:rPr>
          <w:color w:val="000000" w:themeColor="text1"/>
        </w:rPr>
      </w:pPr>
      <w:r w:rsidRPr="0097324B">
        <w:rPr>
          <w:color w:val="000000" w:themeColor="text1"/>
        </w:rPr>
        <w:lastRenderedPageBreak/>
        <w:t>The proposed restrictions aligned with the clinical data in the pivotal study MONARCH-2 and</w:t>
      </w:r>
      <w:r w:rsidR="00481874" w:rsidRPr="0097324B">
        <w:rPr>
          <w:color w:val="000000" w:themeColor="text1"/>
        </w:rPr>
        <w:t xml:space="preserve"> </w:t>
      </w:r>
      <w:r w:rsidR="00073C40" w:rsidRPr="0097324B">
        <w:rPr>
          <w:color w:val="000000" w:themeColor="text1"/>
        </w:rPr>
        <w:t>are</w:t>
      </w:r>
      <w:r w:rsidR="00481874" w:rsidRPr="0097324B">
        <w:rPr>
          <w:color w:val="000000" w:themeColor="text1"/>
        </w:rPr>
        <w:t xml:space="preserve"> narrow</w:t>
      </w:r>
      <w:r w:rsidR="00D04D03" w:rsidRPr="0097324B">
        <w:rPr>
          <w:color w:val="000000" w:themeColor="text1"/>
        </w:rPr>
        <w:t>er</w:t>
      </w:r>
      <w:r w:rsidR="00481874" w:rsidRPr="0097324B">
        <w:rPr>
          <w:color w:val="000000" w:themeColor="text1"/>
        </w:rPr>
        <w:t xml:space="preserve"> than</w:t>
      </w:r>
      <w:r w:rsidRPr="0097324B">
        <w:rPr>
          <w:color w:val="000000" w:themeColor="text1"/>
        </w:rPr>
        <w:t xml:space="preserve"> the approved TGA indication</w:t>
      </w:r>
      <w:r w:rsidR="00C4057F">
        <w:rPr>
          <w:color w:val="000000" w:themeColor="text1"/>
        </w:rPr>
        <w:t xml:space="preserve"> </w:t>
      </w:r>
      <w:r w:rsidR="00C4057F" w:rsidRPr="00F96B62">
        <w:rPr>
          <w:bCs/>
        </w:rPr>
        <w:t>as the TGA indication allows use as the initial endocrine-based therapy, while the proposed PBS listing requires patients to have received prior endocrine-based therapy (and be endocrine-resistant)</w:t>
      </w:r>
      <w:r w:rsidRPr="0097324B">
        <w:rPr>
          <w:color w:val="000000" w:themeColor="text1"/>
        </w:rPr>
        <w:t>.</w:t>
      </w:r>
      <w:r w:rsidRPr="0097324B">
        <w:rPr>
          <w:iCs/>
        </w:rPr>
        <w:t xml:space="preserve"> The submission</w:t>
      </w:r>
      <w:r w:rsidR="006E488E" w:rsidRPr="0097324B">
        <w:rPr>
          <w:iCs/>
        </w:rPr>
        <w:t xml:space="preserve"> </w:t>
      </w:r>
      <w:r w:rsidRPr="0097324B">
        <w:rPr>
          <w:iCs/>
        </w:rPr>
        <w:t xml:space="preserve">noted </w:t>
      </w:r>
      <w:r w:rsidR="006E488E" w:rsidRPr="0097324B">
        <w:rPr>
          <w:iCs/>
        </w:rPr>
        <w:t>that “</w:t>
      </w:r>
      <w:r w:rsidR="006E488E" w:rsidRPr="0097324B">
        <w:t xml:space="preserve">some modification may be required [to the restriction] based on the detailed recommendations from the PBACs consideration of RIB+FUL and FUL at the July and November 2020 meetings”. </w:t>
      </w:r>
    </w:p>
    <w:p w:rsidR="006E488E" w:rsidRPr="0097324B" w:rsidRDefault="004E1B4D" w:rsidP="00F42FCC">
      <w:pPr>
        <w:pStyle w:val="3-BodyText"/>
      </w:pPr>
      <w:r w:rsidRPr="0097324B">
        <w:t xml:space="preserve">The proposed population </w:t>
      </w:r>
      <w:r w:rsidR="006E488E" w:rsidRPr="0097324B">
        <w:t xml:space="preserve">is narrower than the population </w:t>
      </w:r>
      <w:r w:rsidR="00ED3087">
        <w:t>recommended for the listing of ribociclib plus fulvestrant at the November 2020 PBAC meeting</w:t>
      </w:r>
      <w:r w:rsidR="006E488E" w:rsidRPr="0097324B">
        <w:t xml:space="preserve">, which also included patients without prior endocrine therapy. Unlike the MONALEESA-3 study (in ribociclib + fulvestrant), the patient population in the MONARCH-2 study (abemaciclib + fulvestrant) excluded untreated patients with de novo metastatic disease following an early protocol amendment. Therefore, there is only limited evidence from a post hoc exploratory analysis of 44 patients enrolled prior to that amendment to inform treatment with abemaciclib plus fulvestrant in this population. </w:t>
      </w:r>
      <w:r w:rsidR="00707A10" w:rsidRPr="0097324B">
        <w:t xml:space="preserve">The ESC considered that </w:t>
      </w:r>
      <w:r w:rsidR="00707A10" w:rsidRPr="0097324B">
        <w:rPr>
          <w:color w:val="000000" w:themeColor="text1"/>
        </w:rPr>
        <w:t xml:space="preserve">use of CDKI+fulvestrant </w:t>
      </w:r>
      <w:r w:rsidR="00F347A4" w:rsidRPr="0097324B">
        <w:rPr>
          <w:color w:val="000000" w:themeColor="text1"/>
        </w:rPr>
        <w:t>may</w:t>
      </w:r>
      <w:r w:rsidR="00707A10" w:rsidRPr="0097324B">
        <w:rPr>
          <w:color w:val="000000" w:themeColor="text1"/>
        </w:rPr>
        <w:t xml:space="preserve"> be minimal in de novo</w:t>
      </w:r>
      <w:r w:rsidR="00A6231A" w:rsidRPr="0097324B">
        <w:rPr>
          <w:color w:val="000000" w:themeColor="text1"/>
        </w:rPr>
        <w:t xml:space="preserve"> </w:t>
      </w:r>
      <w:r w:rsidR="00707A10" w:rsidRPr="0097324B">
        <w:rPr>
          <w:color w:val="000000" w:themeColor="text1"/>
        </w:rPr>
        <w:t xml:space="preserve">patients as these patients would likely prefer </w:t>
      </w:r>
      <w:r w:rsidR="00766594" w:rsidRPr="0097324B">
        <w:rPr>
          <w:color w:val="000000" w:themeColor="text1"/>
        </w:rPr>
        <w:t xml:space="preserve">an </w:t>
      </w:r>
      <w:r w:rsidR="00707A10" w:rsidRPr="0097324B">
        <w:rPr>
          <w:color w:val="000000" w:themeColor="text1"/>
        </w:rPr>
        <w:t xml:space="preserve">oral NSAI than IM injections of fulvestrant. </w:t>
      </w:r>
      <w:r w:rsidR="00766594" w:rsidRPr="0097324B">
        <w:rPr>
          <w:color w:val="000000" w:themeColor="text1"/>
        </w:rPr>
        <w:t xml:space="preserve">The PBAC previously considered that the key clinical need for this combination in the first-line metastatic setting was for patients who relapse on or within 12 months of prior (neo)adjuvant treatment with an aromatase inhibitor for early breast cancer (i.e. a group of patients who are included in the requested restriction), rather than in the de novo population (para 7.3, Ribociclib Public Summary Document, July 2020 PBAC Meeting). </w:t>
      </w:r>
      <w:r w:rsidR="00BF5E46" w:rsidRPr="0097324B">
        <w:t>The PBAC considered that a combined listing</w:t>
      </w:r>
      <w:r w:rsidR="00073C40" w:rsidRPr="0097324B">
        <w:t>, including de novo metastatic patients, consistent with that recommended for ribociclib at the November 2020 PBAC meeting, would be appropriate for abemaciclib.</w:t>
      </w:r>
      <w:r w:rsidR="00BF5E46" w:rsidRPr="0097324B">
        <w:t xml:space="preserve"> </w:t>
      </w:r>
    </w:p>
    <w:p w:rsidR="00BA7847" w:rsidRPr="0097324B" w:rsidRDefault="00223206" w:rsidP="00BA7847">
      <w:pPr>
        <w:pStyle w:val="3-BodyText"/>
        <w:rPr>
          <w:color w:val="000000" w:themeColor="text1"/>
        </w:rPr>
      </w:pPr>
      <w:r w:rsidRPr="0097324B">
        <w:t xml:space="preserve">The </w:t>
      </w:r>
      <w:r w:rsidR="00BA7847" w:rsidRPr="0097324B">
        <w:t xml:space="preserve">submission </w:t>
      </w:r>
      <w:r w:rsidRPr="0097324B">
        <w:t>proposed that the extension to the PBS listing be enabled t</w:t>
      </w:r>
      <w:r w:rsidR="00BA7847" w:rsidRPr="0097324B">
        <w:t>hrough the addition of new item codes</w:t>
      </w:r>
      <w:r w:rsidRPr="0097324B">
        <w:t xml:space="preserve"> for each dose form, with restriction criteria that are separate and independent of the existing </w:t>
      </w:r>
      <w:r w:rsidR="00BA7847" w:rsidRPr="0097324B">
        <w:t xml:space="preserve">abemaciclib </w:t>
      </w:r>
      <w:r w:rsidRPr="0097324B">
        <w:t>items (11868P, 11871T, 11876C).</w:t>
      </w:r>
      <w:r w:rsidR="00BF5E46" w:rsidRPr="0097324B">
        <w:t xml:space="preserve"> </w:t>
      </w:r>
      <w:r w:rsidR="004730E0" w:rsidRPr="0097324B">
        <w:t xml:space="preserve">The Secretariat advised </w:t>
      </w:r>
      <w:r w:rsidR="004B15F4" w:rsidRPr="0097324B">
        <w:t>that this would be inconsistent with the recommended listing of ribociclib from the November 2020 PBAC meeting.</w:t>
      </w:r>
      <w:r w:rsidR="004730E0" w:rsidRPr="0097324B">
        <w:t xml:space="preserve"> </w:t>
      </w:r>
    </w:p>
    <w:p w:rsidR="00BA7847" w:rsidRPr="0097324B" w:rsidRDefault="00D16FB5" w:rsidP="00BA7847">
      <w:pPr>
        <w:pStyle w:val="3-BodyText"/>
        <w:rPr>
          <w:color w:val="000000" w:themeColor="text1"/>
        </w:rPr>
      </w:pPr>
      <w:r w:rsidRPr="0097324B">
        <w:rPr>
          <w:color w:val="000000" w:themeColor="text1"/>
        </w:rPr>
        <w:t xml:space="preserve">Grandfathering was </w:t>
      </w:r>
      <w:r w:rsidR="00096171" w:rsidRPr="0097324B">
        <w:rPr>
          <w:color w:val="000000" w:themeColor="text1"/>
        </w:rPr>
        <w:t>prop</w:t>
      </w:r>
      <w:r w:rsidRPr="0097324B">
        <w:rPr>
          <w:color w:val="000000" w:themeColor="text1"/>
        </w:rPr>
        <w:t>o</w:t>
      </w:r>
      <w:r w:rsidR="00096171" w:rsidRPr="0097324B">
        <w:rPr>
          <w:color w:val="000000" w:themeColor="text1"/>
        </w:rPr>
        <w:t>s</w:t>
      </w:r>
      <w:r w:rsidRPr="0097324B">
        <w:rPr>
          <w:color w:val="000000" w:themeColor="text1"/>
        </w:rPr>
        <w:t>ed</w:t>
      </w:r>
      <w:r w:rsidR="00BA7847" w:rsidRPr="0097324B">
        <w:rPr>
          <w:color w:val="000000" w:themeColor="text1"/>
        </w:rPr>
        <w:t xml:space="preserve"> to accommodate 50-70 patients that will be enrolled to an early access program.</w:t>
      </w:r>
    </w:p>
    <w:p w:rsidR="00D16FB5" w:rsidRPr="0097324B" w:rsidRDefault="00BA7847" w:rsidP="00D16FB5">
      <w:pPr>
        <w:pStyle w:val="3-BodyText"/>
      </w:pPr>
      <w:r w:rsidRPr="0097324B">
        <w:t xml:space="preserve">The submission </w:t>
      </w:r>
      <w:r w:rsidR="00BA089F" w:rsidRPr="0097324B">
        <w:t xml:space="preserve">requested that the Special Pricing Arrangement (SPA) pertaining to the current </w:t>
      </w:r>
      <w:r w:rsidR="009005EB" w:rsidRPr="0097324B">
        <w:t xml:space="preserve">abemaciclib </w:t>
      </w:r>
      <w:r w:rsidR="00BA089F" w:rsidRPr="0097324B">
        <w:t xml:space="preserve">listing be applied to the extended listing. </w:t>
      </w:r>
      <w:r w:rsidR="00D16FB5" w:rsidRPr="0097324B">
        <w:t>The submission did not request a specific effective price. A cost-minimisation price against ribociclib was requested and would be finalised when the effective ribociclib price is made available.</w:t>
      </w:r>
    </w:p>
    <w:p w:rsidR="00B4068C" w:rsidRPr="0097324B" w:rsidRDefault="00B4068C" w:rsidP="005C1119">
      <w:pPr>
        <w:pStyle w:val="3-BodyText"/>
        <w:numPr>
          <w:ilvl w:val="0"/>
          <w:numId w:val="0"/>
        </w:numPr>
        <w:ind w:left="720"/>
        <w:rPr>
          <w:i/>
        </w:rPr>
      </w:pPr>
      <w:r w:rsidRPr="0097324B">
        <w:rPr>
          <w:i/>
        </w:rPr>
        <w:t>For more detail on PBAC’s view, see section 7 PBAC outcome.</w:t>
      </w:r>
    </w:p>
    <w:p w:rsidR="00F92B2B" w:rsidRPr="0097324B" w:rsidRDefault="00F92B2B" w:rsidP="00F92B2B">
      <w:pPr>
        <w:pStyle w:val="2-SectionHeading"/>
      </w:pPr>
      <w:bookmarkStart w:id="7" w:name="_Toc62047559"/>
      <w:r w:rsidRPr="0097324B">
        <w:t>Population and disease</w:t>
      </w:r>
      <w:bookmarkEnd w:id="7"/>
    </w:p>
    <w:p w:rsidR="00894489" w:rsidRPr="0097324B" w:rsidRDefault="00E6242A" w:rsidP="007864CE">
      <w:pPr>
        <w:pStyle w:val="3-BodyText"/>
      </w:pPr>
      <w:r w:rsidRPr="0097324B">
        <w:t>The disease</w:t>
      </w:r>
      <w:r w:rsidR="006477BA" w:rsidRPr="0097324B">
        <w:t xml:space="preserve"> </w:t>
      </w:r>
      <w:r w:rsidR="001B037C" w:rsidRPr="0097324B">
        <w:t>and target population</w:t>
      </w:r>
      <w:r w:rsidR="00591C59" w:rsidRPr="0097324B">
        <w:t xml:space="preserve"> in the submission was</w:t>
      </w:r>
      <w:r w:rsidR="001B037C" w:rsidRPr="0097324B">
        <w:t xml:space="preserve"> similar to that presented </w:t>
      </w:r>
      <w:r w:rsidRPr="0097324B">
        <w:t>for ribociclib in combination with fulvestrant</w:t>
      </w:r>
      <w:r w:rsidR="007864CE" w:rsidRPr="0097324B">
        <w:t xml:space="preserve"> at the July 2020 PBAC meeting </w:t>
      </w:r>
      <w:r w:rsidR="001B037C" w:rsidRPr="0097324B">
        <w:t>i.e.</w:t>
      </w:r>
      <w:r w:rsidRPr="0097324B">
        <w:t xml:space="preserve"> </w:t>
      </w:r>
      <w:r w:rsidR="007426E1" w:rsidRPr="0097324B">
        <w:t xml:space="preserve">patients </w:t>
      </w:r>
      <w:r w:rsidR="007426E1" w:rsidRPr="0097324B">
        <w:lastRenderedPageBreak/>
        <w:t>with HR+</w:t>
      </w:r>
      <w:r w:rsidR="0076440A" w:rsidRPr="0097324B">
        <w:t xml:space="preserve"> and </w:t>
      </w:r>
      <w:r w:rsidR="007426E1" w:rsidRPr="0097324B">
        <w:t xml:space="preserve">HER2- mBC who have received previous endocrine therapies in either the (neo)adjuvant or advanced metastatic treatment settings, experienced disease progression and developed endocrine resistance, and remain CDK 4&amp;6i naïve. </w:t>
      </w:r>
      <w:r w:rsidR="007864CE" w:rsidRPr="0097324B">
        <w:t xml:space="preserve">The </w:t>
      </w:r>
      <w:r w:rsidR="005F486F">
        <w:t xml:space="preserve">recommended </w:t>
      </w:r>
      <w:r w:rsidR="007864CE" w:rsidRPr="0097324B">
        <w:t xml:space="preserve">restriction for ribociclib + fulvestrant included treatment of patients who present with </w:t>
      </w:r>
      <w:r w:rsidR="007864CE" w:rsidRPr="0097324B">
        <w:rPr>
          <w:color w:val="000000" w:themeColor="text1"/>
        </w:rPr>
        <w:t>de-novo advanced/metastatic disease (treatment naive) (</w:t>
      </w:r>
      <w:r w:rsidR="007864CE" w:rsidRPr="0097324B">
        <w:t xml:space="preserve">para </w:t>
      </w:r>
      <w:r w:rsidR="00F90222">
        <w:t>3.5</w:t>
      </w:r>
      <w:r w:rsidR="007864CE" w:rsidRPr="0097324B">
        <w:t xml:space="preserve">, Ribociclib PSD, </w:t>
      </w:r>
      <w:r w:rsidR="00F90222">
        <w:t xml:space="preserve">November </w:t>
      </w:r>
      <w:r w:rsidR="007864CE" w:rsidRPr="0097324B">
        <w:t xml:space="preserve">2020 PBAC meeting). </w:t>
      </w:r>
      <w:r w:rsidR="001B037C" w:rsidRPr="0097324B">
        <w:t>The clinical algorithm presented</w:t>
      </w:r>
      <w:r w:rsidR="009B5499" w:rsidRPr="0097324B">
        <w:t xml:space="preserve"> </w:t>
      </w:r>
      <w:r w:rsidR="00153994" w:rsidRPr="0097324B">
        <w:t xml:space="preserve">in the submission </w:t>
      </w:r>
      <w:r w:rsidR="009B5499" w:rsidRPr="0097324B">
        <w:t>(Figure 1)</w:t>
      </w:r>
      <w:r w:rsidR="001B037C" w:rsidRPr="0097324B">
        <w:t xml:space="preserve"> </w:t>
      </w:r>
      <w:r w:rsidR="0067651E" w:rsidRPr="0097324B">
        <w:t>reflect</w:t>
      </w:r>
      <w:r w:rsidR="00153994" w:rsidRPr="0097324B">
        <w:t>ed</w:t>
      </w:r>
      <w:r w:rsidR="0067651E" w:rsidRPr="0097324B">
        <w:t xml:space="preserve"> Australian clinical practice</w:t>
      </w:r>
      <w:r w:rsidR="001B037C" w:rsidRPr="0097324B">
        <w:t xml:space="preserve"> and </w:t>
      </w:r>
      <w:r w:rsidR="00591C59" w:rsidRPr="0097324B">
        <w:t>wa</w:t>
      </w:r>
      <w:r w:rsidR="001B037C" w:rsidRPr="0097324B">
        <w:t xml:space="preserve">s similar to that has been previously considered by PBAC for abemaciclib plus non-steroidal aromatase inhibitor. </w:t>
      </w:r>
    </w:p>
    <w:p w:rsidR="001B037C" w:rsidRPr="0097324B" w:rsidRDefault="002E74D3" w:rsidP="001B037C">
      <w:pPr>
        <w:pStyle w:val="3-BodyText"/>
        <w:rPr>
          <w:color w:val="000000" w:themeColor="text1"/>
        </w:rPr>
      </w:pPr>
      <w:r w:rsidRPr="0097324B">
        <w:t xml:space="preserve">Abemaciclib is a </w:t>
      </w:r>
      <w:r w:rsidR="001B037C" w:rsidRPr="0097324B">
        <w:t>cyclin D-dependent kinases (CDK) 4 and 6 inhibitor</w:t>
      </w:r>
      <w:r w:rsidR="0076440A" w:rsidRPr="0097324B">
        <w:t>.</w:t>
      </w:r>
      <w:r w:rsidR="006477BA" w:rsidRPr="0097324B">
        <w:rPr>
          <w:color w:val="000000" w:themeColor="text1"/>
        </w:rPr>
        <w:t xml:space="preserve"> </w:t>
      </w:r>
    </w:p>
    <w:p w:rsidR="006477BA" w:rsidRPr="0097324B" w:rsidRDefault="009C2962" w:rsidP="009C2962">
      <w:pPr>
        <w:pStyle w:val="3-BodyText"/>
        <w:rPr>
          <w:color w:val="000000" w:themeColor="text1"/>
        </w:rPr>
      </w:pPr>
      <w:r w:rsidRPr="0097324B">
        <w:t xml:space="preserve">For those patients who </w:t>
      </w:r>
      <w:r w:rsidR="00D866A9" w:rsidRPr="0097324B">
        <w:t xml:space="preserve">have </w:t>
      </w:r>
      <w:r w:rsidRPr="0097324B">
        <w:t>experience</w:t>
      </w:r>
      <w:r w:rsidR="00D866A9" w:rsidRPr="0097324B">
        <w:t>d</w:t>
      </w:r>
      <w:r w:rsidRPr="0097324B">
        <w:t xml:space="preserve"> disease progression in the adjuvant setting, abemaciclib plus fulvestrant </w:t>
      </w:r>
      <w:r w:rsidR="00073C40" w:rsidRPr="0097324B">
        <w:t>was</w:t>
      </w:r>
      <w:r w:rsidRPr="0097324B">
        <w:t xml:space="preserve"> proposed as first-line endocrine therapy</w:t>
      </w:r>
      <w:r w:rsidR="00184D90" w:rsidRPr="0097324B">
        <w:t xml:space="preserve"> in the metastatic setting</w:t>
      </w:r>
      <w:r w:rsidRPr="0097324B">
        <w:t>, which would replace other PBS-listed abemaciclib or ribociclib combination regimens, voiding subsequent usage of CD</w:t>
      </w:r>
      <w:r w:rsidR="003C5F6A" w:rsidRPr="0097324B">
        <w:t>KIs</w:t>
      </w:r>
      <w:r w:rsidRPr="0097324B">
        <w:t>. PBS-listing of abemaciclib plus fulvestrant would also displace regimens such as everolimus and exemestane or chemotherapy or clinical trial participation as a subsequent line of therapy, potentially to second-line or third-line depending on when the</w:t>
      </w:r>
      <w:r w:rsidR="00153994" w:rsidRPr="0097324B">
        <w:t xml:space="preserve"> abemaciclib plus fulvestrant i</w:t>
      </w:r>
      <w:r w:rsidRPr="0097324B">
        <w:t>s introduced in the clinical management of the patients. This was reflected in the post-discontinuation therapies in the MONARCH-2 clinical trial</w:t>
      </w:r>
      <w:r w:rsidR="007864CE" w:rsidRPr="0097324B">
        <w:t>.</w:t>
      </w:r>
      <w:r w:rsidRPr="0097324B">
        <w:t xml:space="preserve"> It is unlikely to alter substantially the treatment options offered as later lines of therapy, although fewer patients may seek or be able to continue therapy as their disease progresses.</w:t>
      </w:r>
    </w:p>
    <w:p w:rsidR="001B7551" w:rsidRPr="0097324B" w:rsidRDefault="001B7551" w:rsidP="006477BA">
      <w:pPr>
        <w:pStyle w:val="TableFigureHeading"/>
      </w:pPr>
    </w:p>
    <w:p w:rsidR="006477BA" w:rsidRPr="0097324B" w:rsidRDefault="00E35619" w:rsidP="006477BA">
      <w:pPr>
        <w:pStyle w:val="TableFigureHeading"/>
      </w:pPr>
      <w:r w:rsidRPr="0097324B">
        <w:t xml:space="preserve">Figure 1: </w:t>
      </w:r>
      <w:r w:rsidR="00E6242A" w:rsidRPr="0097324B">
        <w:t xml:space="preserve">Summary of Australian clinical management algorithm for </w:t>
      </w:r>
      <w:r w:rsidR="00862138" w:rsidRPr="0097324B">
        <w:t xml:space="preserve">HR+/HER2- </w:t>
      </w:r>
      <w:r w:rsidR="00E6242A" w:rsidRPr="0097324B">
        <w:t xml:space="preserve">metastatic breast cancer, including </w:t>
      </w:r>
      <w:r w:rsidR="00B162DB" w:rsidRPr="0097324B">
        <w:t xml:space="preserve">current (dark grey) and </w:t>
      </w:r>
      <w:r w:rsidR="00E6242A" w:rsidRPr="0097324B">
        <w:t>proposed</w:t>
      </w:r>
      <w:r w:rsidR="00B162DB" w:rsidRPr="0097324B">
        <w:t xml:space="preserve"> (light grey) </w:t>
      </w:r>
      <w:r w:rsidR="007B7A86" w:rsidRPr="0097324B">
        <w:t>placement of abemaciclib.</w:t>
      </w:r>
    </w:p>
    <w:p w:rsidR="006B433A" w:rsidRPr="0097324B" w:rsidRDefault="006B433A" w:rsidP="006B433A">
      <w:pPr>
        <w:pStyle w:val="CaptionFootnote"/>
      </w:pPr>
    </w:p>
    <w:p w:rsidR="006477BA" w:rsidRPr="0097324B" w:rsidRDefault="006477BA" w:rsidP="006B433A">
      <w:pPr>
        <w:pStyle w:val="3-BodyText"/>
        <w:numPr>
          <w:ilvl w:val="0"/>
          <w:numId w:val="0"/>
        </w:numPr>
        <w:ind w:left="720" w:hanging="720"/>
        <w:rPr>
          <w:color w:val="0066FF"/>
        </w:rPr>
      </w:pPr>
      <w:r w:rsidRPr="0097324B">
        <w:rPr>
          <w:noProof/>
        </w:rPr>
        <w:lastRenderedPageBreak/>
        <w:drawing>
          <wp:inline distT="0" distB="0" distL="0" distR="0" wp14:anchorId="156E507C" wp14:editId="3ED25E2A">
            <wp:extent cx="5732145" cy="4418355"/>
            <wp:effectExtent l="0" t="0" r="0" b="127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pic:nvPicPr>
                  <pic:blipFill>
                    <a:blip r:embed="rId8"/>
                    <a:stretch>
                      <a:fillRect/>
                    </a:stretch>
                  </pic:blipFill>
                  <pic:spPr>
                    <a:xfrm>
                      <a:off x="0" y="0"/>
                      <a:ext cx="5732145" cy="4418355"/>
                    </a:xfrm>
                    <a:prstGeom prst="rect">
                      <a:avLst/>
                    </a:prstGeom>
                  </pic:spPr>
                </pic:pic>
              </a:graphicData>
            </a:graphic>
          </wp:inline>
        </w:drawing>
      </w:r>
    </w:p>
    <w:p w:rsidR="006B433A" w:rsidRPr="0097324B" w:rsidRDefault="006B433A" w:rsidP="006B433A">
      <w:pPr>
        <w:pStyle w:val="TableFigureFooter"/>
      </w:pPr>
      <w:r w:rsidRPr="0097324B">
        <w:t>Source: Figure 1-1, p31 of the submission</w:t>
      </w:r>
    </w:p>
    <w:p w:rsidR="006B433A" w:rsidRPr="0097324B" w:rsidRDefault="006B433A" w:rsidP="006B433A">
      <w:pPr>
        <w:pStyle w:val="TableFigureFooter"/>
      </w:pPr>
      <w:r w:rsidRPr="0097324B">
        <w:t>Abbreviations: HR+ = hormone receptor positive; HER2- = human epidermal growth factor receptor 2 negative; EBC = early breast cancer;    mBC = advanced or metastatic breast cancer; NSAI = non-steroidal aromatase inhibitor (letrozole or anastrozole); SERM = selective estrogen receptor modulator (tamoxifen); EXE = exemestane; EVE = everolimus; FUL = Fulvestrant; CDK 4&amp;6 = cyclin dependent kinase 4&amp;6 inhibitor (abemaciclib, ribociclib, palbociclib); ABE = abemaciclib; CHEMO = chemotherapy (any); ET = endocrine therapy (any)</w:t>
      </w:r>
    </w:p>
    <w:p w:rsidR="00B4068C" w:rsidRPr="0097324B" w:rsidRDefault="00B4068C" w:rsidP="00B4068C">
      <w:pPr>
        <w:pStyle w:val="3-BodyText"/>
        <w:numPr>
          <w:ilvl w:val="0"/>
          <w:numId w:val="0"/>
        </w:numPr>
        <w:ind w:left="720"/>
        <w:rPr>
          <w:rStyle w:val="Font"/>
          <w:iCs/>
        </w:rPr>
      </w:pPr>
      <w:r w:rsidRPr="0097324B">
        <w:rPr>
          <w:i/>
        </w:rPr>
        <w:t>For more detail on PBAC’s view, see section 7 PBAC outcome.</w:t>
      </w:r>
    </w:p>
    <w:p w:rsidR="00B50DB8" w:rsidRPr="0097324B" w:rsidRDefault="00B50DB8" w:rsidP="004E18E9">
      <w:pPr>
        <w:pStyle w:val="2-SectionHeading"/>
      </w:pPr>
      <w:bookmarkStart w:id="8" w:name="_Toc62047560"/>
      <w:r w:rsidRPr="0097324B">
        <w:t>Comparator</w:t>
      </w:r>
      <w:bookmarkEnd w:id="8"/>
    </w:p>
    <w:p w:rsidR="00956789" w:rsidRPr="0097324B" w:rsidRDefault="00DA5D02" w:rsidP="007864CE">
      <w:pPr>
        <w:pStyle w:val="3-BodyText"/>
        <w:rPr>
          <w:iCs/>
          <w:snapToGrid/>
        </w:rPr>
      </w:pPr>
      <w:r w:rsidRPr="0097324B">
        <w:t xml:space="preserve">The </w:t>
      </w:r>
      <w:r w:rsidR="00DF5439" w:rsidRPr="0097324B">
        <w:t xml:space="preserve">submission </w:t>
      </w:r>
      <w:r w:rsidRPr="0097324B">
        <w:t>nominated ribociclib</w:t>
      </w:r>
      <w:r w:rsidR="00DF5439" w:rsidRPr="0097324B">
        <w:t xml:space="preserve"> </w:t>
      </w:r>
      <w:r w:rsidRPr="0097324B">
        <w:t>in combination with fulvestrant</w:t>
      </w:r>
      <w:r w:rsidR="00DF5439" w:rsidRPr="0097324B">
        <w:t xml:space="preserve"> as the main comparator</w:t>
      </w:r>
      <w:r w:rsidRPr="0097324B">
        <w:t xml:space="preserve">. </w:t>
      </w:r>
      <w:r w:rsidR="00DF5439" w:rsidRPr="0097324B">
        <w:t xml:space="preserve">The submission noted that </w:t>
      </w:r>
      <w:r w:rsidR="00DF5439" w:rsidRPr="0097324B">
        <w:rPr>
          <w:color w:val="000000" w:themeColor="text1"/>
        </w:rPr>
        <w:t>ribociclib was a close pharmacological analogue to abemaciclib, and the submission had a similar target population to that proposed for abemaciclib in combination with fulvestrant.</w:t>
      </w:r>
      <w:r w:rsidR="00DF5439" w:rsidRPr="0097324B">
        <w:t xml:space="preserve"> </w:t>
      </w:r>
      <w:r w:rsidRPr="0097324B">
        <w:rPr>
          <w:iCs/>
        </w:rPr>
        <w:t>This</w:t>
      </w:r>
      <w:r w:rsidR="00DF5439" w:rsidRPr="0097324B">
        <w:rPr>
          <w:iCs/>
        </w:rPr>
        <w:t xml:space="preserve"> was reasonable</w:t>
      </w:r>
      <w:r w:rsidRPr="0097324B">
        <w:rPr>
          <w:iCs/>
        </w:rPr>
        <w:t>.</w:t>
      </w:r>
    </w:p>
    <w:p w:rsidR="00B4068C" w:rsidRPr="0097324B" w:rsidRDefault="00B4068C" w:rsidP="00B4068C">
      <w:pPr>
        <w:pStyle w:val="3-BodyText"/>
        <w:numPr>
          <w:ilvl w:val="0"/>
          <w:numId w:val="0"/>
        </w:numPr>
        <w:ind w:left="720"/>
        <w:rPr>
          <w:i/>
          <w:iCs/>
          <w:snapToGrid/>
        </w:rPr>
      </w:pPr>
      <w:r w:rsidRPr="0097324B">
        <w:rPr>
          <w:i/>
          <w:iCs/>
          <w:snapToGrid/>
        </w:rPr>
        <w:t>For more detail on PBAC’s view, see section 7 PBAC outcome.</w:t>
      </w:r>
    </w:p>
    <w:p w:rsidR="00223D5A" w:rsidRPr="0097324B" w:rsidRDefault="00223D5A" w:rsidP="00223D5A">
      <w:pPr>
        <w:pStyle w:val="2-SectionHeading"/>
        <w:numPr>
          <w:ilvl w:val="0"/>
          <w:numId w:val="1"/>
        </w:numPr>
      </w:pPr>
      <w:bookmarkStart w:id="9" w:name="_Toc62047561"/>
      <w:bookmarkStart w:id="10" w:name="_Toc22897640"/>
      <w:r w:rsidRPr="0097324B">
        <w:t>Consideration of the evidence</w:t>
      </w:r>
      <w:bookmarkEnd w:id="9"/>
    </w:p>
    <w:p w:rsidR="00B4068C" w:rsidRPr="0097324B" w:rsidRDefault="00B4068C" w:rsidP="004C0453">
      <w:pPr>
        <w:widowControl w:val="0"/>
        <w:spacing w:before="240" w:line="276" w:lineRule="auto"/>
        <w:outlineLvl w:val="1"/>
        <w:rPr>
          <w:rFonts w:asciiTheme="minorHAnsi" w:hAnsiTheme="minorHAnsi"/>
          <w:b/>
          <w:bCs/>
          <w:i/>
          <w:snapToGrid w:val="0"/>
          <w:sz w:val="28"/>
          <w:szCs w:val="28"/>
        </w:rPr>
      </w:pPr>
      <w:bookmarkStart w:id="11" w:name="_Toc62047562"/>
      <w:r w:rsidRPr="0097324B">
        <w:rPr>
          <w:rFonts w:asciiTheme="minorHAnsi" w:hAnsiTheme="minorHAnsi"/>
          <w:b/>
          <w:bCs/>
          <w:i/>
          <w:snapToGrid w:val="0"/>
          <w:sz w:val="28"/>
          <w:szCs w:val="28"/>
        </w:rPr>
        <w:t>Sponsor hearing</w:t>
      </w:r>
    </w:p>
    <w:p w:rsidR="00B4068C" w:rsidRPr="0097324B" w:rsidRDefault="00B4068C" w:rsidP="00B4068C">
      <w:pPr>
        <w:widowControl w:val="0"/>
        <w:numPr>
          <w:ilvl w:val="1"/>
          <w:numId w:val="1"/>
        </w:numPr>
        <w:spacing w:after="120"/>
        <w:rPr>
          <w:rFonts w:asciiTheme="minorHAnsi" w:hAnsiTheme="minorHAnsi"/>
          <w:bCs/>
          <w:snapToGrid w:val="0"/>
        </w:rPr>
      </w:pPr>
      <w:r w:rsidRPr="0097324B">
        <w:rPr>
          <w:rFonts w:asciiTheme="minorHAnsi" w:hAnsiTheme="minorHAnsi"/>
          <w:bCs/>
          <w:snapToGrid w:val="0"/>
        </w:rPr>
        <w:t>The</w:t>
      </w:r>
      <w:r w:rsidR="000372DB" w:rsidRPr="0097324B">
        <w:rPr>
          <w:rFonts w:asciiTheme="minorHAnsi" w:hAnsiTheme="minorHAnsi"/>
          <w:bCs/>
          <w:snapToGrid w:val="0"/>
        </w:rPr>
        <w:t>re was no hearing for this item</w:t>
      </w:r>
      <w:r w:rsidRPr="0097324B">
        <w:rPr>
          <w:rFonts w:asciiTheme="minorHAnsi" w:hAnsiTheme="minorHAnsi"/>
          <w:bCs/>
          <w:snapToGrid w:val="0"/>
        </w:rPr>
        <w:t>.</w:t>
      </w:r>
    </w:p>
    <w:p w:rsidR="00B4068C" w:rsidRPr="0097324B" w:rsidRDefault="00B4068C" w:rsidP="004C0453">
      <w:pPr>
        <w:widowControl w:val="0"/>
        <w:spacing w:before="240" w:line="276" w:lineRule="auto"/>
        <w:outlineLvl w:val="1"/>
        <w:rPr>
          <w:rFonts w:asciiTheme="minorHAnsi" w:hAnsiTheme="minorHAnsi"/>
          <w:b/>
          <w:bCs/>
          <w:i/>
          <w:snapToGrid w:val="0"/>
          <w:sz w:val="28"/>
          <w:szCs w:val="28"/>
        </w:rPr>
      </w:pPr>
      <w:r w:rsidRPr="0097324B">
        <w:rPr>
          <w:rFonts w:asciiTheme="minorHAnsi" w:hAnsiTheme="minorHAnsi"/>
          <w:b/>
          <w:bCs/>
          <w:i/>
          <w:snapToGrid w:val="0"/>
          <w:sz w:val="28"/>
          <w:szCs w:val="28"/>
        </w:rPr>
        <w:lastRenderedPageBreak/>
        <w:t>Consumer comments</w:t>
      </w:r>
    </w:p>
    <w:p w:rsidR="00B4068C" w:rsidRPr="0097324B" w:rsidRDefault="00B4068C" w:rsidP="00B4068C">
      <w:pPr>
        <w:widowControl w:val="0"/>
        <w:numPr>
          <w:ilvl w:val="1"/>
          <w:numId w:val="1"/>
        </w:numPr>
        <w:spacing w:after="120"/>
        <w:rPr>
          <w:rFonts w:asciiTheme="minorHAnsi" w:hAnsiTheme="minorHAnsi"/>
          <w:bCs/>
          <w:snapToGrid w:val="0"/>
        </w:rPr>
      </w:pPr>
      <w:r w:rsidRPr="0097324B">
        <w:rPr>
          <w:rFonts w:asciiTheme="minorHAnsi" w:hAnsiTheme="minorHAnsi"/>
          <w:bCs/>
          <w:snapToGrid w:val="0"/>
        </w:rPr>
        <w:t>The PBAC noted and welcomed the input from individuals (</w:t>
      </w:r>
      <w:r w:rsidR="000372DB" w:rsidRPr="0097324B">
        <w:rPr>
          <w:rFonts w:asciiTheme="minorHAnsi" w:hAnsiTheme="minorHAnsi"/>
          <w:bCs/>
          <w:snapToGrid w:val="0"/>
        </w:rPr>
        <w:t>3</w:t>
      </w:r>
      <w:r w:rsidRPr="0097324B">
        <w:rPr>
          <w:rFonts w:asciiTheme="minorHAnsi" w:hAnsiTheme="minorHAnsi"/>
          <w:bCs/>
          <w:snapToGrid w:val="0"/>
        </w:rPr>
        <w:t>)</w:t>
      </w:r>
      <w:r w:rsidR="000372DB" w:rsidRPr="0097324B">
        <w:rPr>
          <w:rFonts w:asciiTheme="minorHAnsi" w:hAnsiTheme="minorHAnsi"/>
          <w:bCs/>
          <w:snapToGrid w:val="0"/>
        </w:rPr>
        <w:t xml:space="preserve"> and</w:t>
      </w:r>
      <w:r w:rsidRPr="0097324B">
        <w:rPr>
          <w:rFonts w:asciiTheme="minorHAnsi" w:hAnsiTheme="minorHAnsi"/>
          <w:bCs/>
          <w:snapToGrid w:val="0"/>
        </w:rPr>
        <w:t xml:space="preserve"> organisations (</w:t>
      </w:r>
      <w:r w:rsidR="000372DB" w:rsidRPr="0097324B">
        <w:rPr>
          <w:rFonts w:asciiTheme="minorHAnsi" w:hAnsiTheme="minorHAnsi"/>
          <w:bCs/>
          <w:snapToGrid w:val="0"/>
        </w:rPr>
        <w:t>2</w:t>
      </w:r>
      <w:r w:rsidRPr="0097324B">
        <w:rPr>
          <w:rFonts w:asciiTheme="minorHAnsi" w:hAnsiTheme="minorHAnsi"/>
          <w:bCs/>
          <w:snapToGrid w:val="0"/>
        </w:rPr>
        <w:t>) via the Consumer Comments facility on the PBS website</w:t>
      </w:r>
      <w:r w:rsidR="0097324B">
        <w:rPr>
          <w:rFonts w:asciiTheme="minorHAnsi" w:hAnsiTheme="minorHAnsi"/>
          <w:bCs/>
          <w:snapToGrid w:val="0"/>
        </w:rPr>
        <w:t xml:space="preserve">. </w:t>
      </w:r>
      <w:r w:rsidRPr="0097324B">
        <w:rPr>
          <w:rFonts w:asciiTheme="minorHAnsi" w:hAnsiTheme="minorHAnsi"/>
          <w:bCs/>
          <w:snapToGrid w:val="0"/>
        </w:rPr>
        <w:t xml:space="preserve">The comments described </w:t>
      </w:r>
      <w:r w:rsidR="000372DB" w:rsidRPr="0097324B">
        <w:rPr>
          <w:rFonts w:asciiTheme="minorHAnsi" w:hAnsiTheme="minorHAnsi"/>
          <w:bCs/>
          <w:snapToGrid w:val="0"/>
        </w:rPr>
        <w:t>that treatment with abemaciclib</w:t>
      </w:r>
      <w:r w:rsidRPr="0097324B">
        <w:rPr>
          <w:rFonts w:asciiTheme="minorHAnsi" w:hAnsiTheme="minorHAnsi"/>
          <w:bCs/>
          <w:snapToGrid w:val="0"/>
        </w:rPr>
        <w:t xml:space="preserve"> </w:t>
      </w:r>
      <w:r w:rsidR="000260C3" w:rsidRPr="0097324B">
        <w:rPr>
          <w:rFonts w:asciiTheme="minorHAnsi" w:hAnsiTheme="minorHAnsi"/>
          <w:bCs/>
          <w:snapToGrid w:val="0"/>
        </w:rPr>
        <w:t xml:space="preserve">improved quality of life and reduced the risk of </w:t>
      </w:r>
      <w:r w:rsidR="00547907" w:rsidRPr="0097324B">
        <w:rPr>
          <w:rFonts w:asciiTheme="minorHAnsi" w:hAnsiTheme="minorHAnsi"/>
          <w:bCs/>
          <w:snapToGrid w:val="0"/>
        </w:rPr>
        <w:t xml:space="preserve">disease </w:t>
      </w:r>
      <w:r w:rsidR="000260C3" w:rsidRPr="0097324B">
        <w:rPr>
          <w:rFonts w:asciiTheme="minorHAnsi" w:hAnsiTheme="minorHAnsi"/>
          <w:bCs/>
          <w:snapToGrid w:val="0"/>
        </w:rPr>
        <w:t xml:space="preserve">recurrence </w:t>
      </w:r>
      <w:r w:rsidR="000372DB" w:rsidRPr="0097324B">
        <w:rPr>
          <w:rFonts w:asciiTheme="minorHAnsi" w:hAnsiTheme="minorHAnsi"/>
          <w:bCs/>
          <w:snapToGrid w:val="0"/>
        </w:rPr>
        <w:t>and</w:t>
      </w:r>
      <w:r w:rsidR="002176BD">
        <w:rPr>
          <w:rFonts w:asciiTheme="minorHAnsi" w:hAnsiTheme="minorHAnsi"/>
          <w:bCs/>
          <w:snapToGrid w:val="0"/>
        </w:rPr>
        <w:t>,</w:t>
      </w:r>
      <w:r w:rsidR="000372DB" w:rsidRPr="0097324B">
        <w:rPr>
          <w:rFonts w:asciiTheme="minorHAnsi" w:hAnsiTheme="minorHAnsi"/>
          <w:bCs/>
          <w:snapToGrid w:val="0"/>
        </w:rPr>
        <w:t xml:space="preserve"> although there are side effects such as hair thinning, diarrh</w:t>
      </w:r>
      <w:r w:rsidR="002176BD">
        <w:rPr>
          <w:rFonts w:asciiTheme="minorHAnsi" w:hAnsiTheme="minorHAnsi"/>
          <w:bCs/>
          <w:snapToGrid w:val="0"/>
        </w:rPr>
        <w:t>o</w:t>
      </w:r>
      <w:r w:rsidR="000372DB" w:rsidRPr="0097324B">
        <w:rPr>
          <w:rFonts w:asciiTheme="minorHAnsi" w:hAnsiTheme="minorHAnsi"/>
          <w:bCs/>
          <w:snapToGrid w:val="0"/>
        </w:rPr>
        <w:t xml:space="preserve">ea and fatigue, abemaciclib </w:t>
      </w:r>
      <w:r w:rsidR="00547907" w:rsidRPr="0097324B">
        <w:rPr>
          <w:rFonts w:asciiTheme="minorHAnsi" w:hAnsiTheme="minorHAnsi"/>
          <w:bCs/>
          <w:snapToGrid w:val="0"/>
        </w:rPr>
        <w:t xml:space="preserve">was </w:t>
      </w:r>
      <w:r w:rsidR="00073C40" w:rsidRPr="0097324B">
        <w:rPr>
          <w:rFonts w:asciiTheme="minorHAnsi" w:hAnsiTheme="minorHAnsi"/>
          <w:bCs/>
          <w:snapToGrid w:val="0"/>
        </w:rPr>
        <w:t xml:space="preserve">considered </w:t>
      </w:r>
      <w:r w:rsidR="000372DB" w:rsidRPr="0097324B">
        <w:rPr>
          <w:rFonts w:asciiTheme="minorHAnsi" w:hAnsiTheme="minorHAnsi"/>
          <w:bCs/>
          <w:snapToGrid w:val="0"/>
        </w:rPr>
        <w:t>more tolerable than chemotherapy</w:t>
      </w:r>
      <w:r w:rsidR="0097324B">
        <w:rPr>
          <w:rFonts w:asciiTheme="minorHAnsi" w:hAnsiTheme="minorHAnsi"/>
          <w:bCs/>
          <w:snapToGrid w:val="0"/>
        </w:rPr>
        <w:t xml:space="preserve">. </w:t>
      </w:r>
      <w:r w:rsidRPr="0097324B">
        <w:rPr>
          <w:rFonts w:asciiTheme="minorHAnsi" w:hAnsiTheme="minorHAnsi"/>
          <w:bCs/>
          <w:snapToGrid w:val="0"/>
        </w:rPr>
        <w:t xml:space="preserve"> </w:t>
      </w:r>
    </w:p>
    <w:p w:rsidR="00B4068C" w:rsidRPr="0097324B" w:rsidRDefault="00B4068C" w:rsidP="00B4068C">
      <w:pPr>
        <w:widowControl w:val="0"/>
        <w:numPr>
          <w:ilvl w:val="1"/>
          <w:numId w:val="1"/>
        </w:numPr>
        <w:spacing w:after="120"/>
        <w:rPr>
          <w:rFonts w:asciiTheme="minorHAnsi" w:hAnsiTheme="minorHAnsi"/>
          <w:bCs/>
          <w:snapToGrid w:val="0"/>
        </w:rPr>
      </w:pPr>
      <w:r w:rsidRPr="0097324B">
        <w:rPr>
          <w:rFonts w:asciiTheme="minorHAnsi" w:hAnsiTheme="minorHAnsi"/>
          <w:bCs/>
          <w:snapToGrid w:val="0"/>
        </w:rPr>
        <w:t xml:space="preserve">The PBAC noted the advice received from </w:t>
      </w:r>
      <w:r w:rsidR="00E02E5E" w:rsidRPr="0097324B">
        <w:rPr>
          <w:rFonts w:asciiTheme="minorHAnsi" w:hAnsiTheme="minorHAnsi"/>
          <w:bCs/>
          <w:snapToGrid w:val="0"/>
        </w:rPr>
        <w:t>Breast Cancer Network Australia</w:t>
      </w:r>
      <w:r w:rsidRPr="0097324B">
        <w:rPr>
          <w:rFonts w:asciiTheme="minorHAnsi" w:hAnsiTheme="minorHAnsi"/>
          <w:bCs/>
          <w:snapToGrid w:val="0"/>
        </w:rPr>
        <w:t xml:space="preserve"> </w:t>
      </w:r>
      <w:r w:rsidR="00E02E5E" w:rsidRPr="0097324B">
        <w:rPr>
          <w:rFonts w:asciiTheme="minorHAnsi" w:hAnsiTheme="minorHAnsi"/>
          <w:bCs/>
          <w:snapToGrid w:val="0"/>
        </w:rPr>
        <w:t>(BCNA) supporting the submission for abemaciclib in combination with fulvestrant.</w:t>
      </w:r>
      <w:r w:rsidRPr="0097324B">
        <w:rPr>
          <w:rFonts w:asciiTheme="minorHAnsi" w:hAnsiTheme="minorHAnsi"/>
          <w:bCs/>
          <w:snapToGrid w:val="0"/>
        </w:rPr>
        <w:t xml:space="preserve"> The PBAC specifically noted the advice that the use of </w:t>
      </w:r>
      <w:r w:rsidR="00E02E5E" w:rsidRPr="0097324B">
        <w:rPr>
          <w:rFonts w:asciiTheme="minorHAnsi" w:hAnsiTheme="minorHAnsi"/>
          <w:bCs/>
          <w:snapToGrid w:val="0"/>
        </w:rPr>
        <w:t xml:space="preserve">abemaciclib </w:t>
      </w:r>
      <w:r w:rsidRPr="0097324B">
        <w:rPr>
          <w:rFonts w:asciiTheme="minorHAnsi" w:hAnsiTheme="minorHAnsi"/>
          <w:bCs/>
          <w:snapToGrid w:val="0"/>
        </w:rPr>
        <w:t xml:space="preserve">may </w:t>
      </w:r>
      <w:r w:rsidR="00E02E5E" w:rsidRPr="0097324B">
        <w:rPr>
          <w:rFonts w:asciiTheme="minorHAnsi" w:hAnsiTheme="minorHAnsi"/>
          <w:bCs/>
          <w:snapToGrid w:val="0"/>
        </w:rPr>
        <w:t xml:space="preserve">provide </w:t>
      </w:r>
      <w:r w:rsidR="00795DD5" w:rsidRPr="0097324B">
        <w:rPr>
          <w:rFonts w:asciiTheme="minorHAnsi" w:hAnsiTheme="minorHAnsi"/>
          <w:bCs/>
          <w:snapToGrid w:val="0"/>
        </w:rPr>
        <w:t xml:space="preserve">more </w:t>
      </w:r>
      <w:r w:rsidR="00E02E5E" w:rsidRPr="0097324B">
        <w:rPr>
          <w:rFonts w:asciiTheme="minorHAnsi" w:hAnsiTheme="minorHAnsi"/>
          <w:bCs/>
          <w:snapToGrid w:val="0"/>
        </w:rPr>
        <w:t xml:space="preserve">treatment options for patients diagnosed with metastatic disease. The BCNA also noted that treatment with abemaciclib </w:t>
      </w:r>
      <w:r w:rsidR="00795DD5" w:rsidRPr="0097324B">
        <w:rPr>
          <w:rFonts w:asciiTheme="minorHAnsi" w:hAnsiTheme="minorHAnsi"/>
          <w:bCs/>
          <w:snapToGrid w:val="0"/>
        </w:rPr>
        <w:t xml:space="preserve">was </w:t>
      </w:r>
      <w:r w:rsidR="00E02E5E" w:rsidRPr="0097324B">
        <w:rPr>
          <w:rFonts w:asciiTheme="minorHAnsi" w:hAnsiTheme="minorHAnsi"/>
          <w:bCs/>
          <w:snapToGrid w:val="0"/>
        </w:rPr>
        <w:t>less likely</w:t>
      </w:r>
      <w:r w:rsidR="00795DD5" w:rsidRPr="0097324B">
        <w:rPr>
          <w:rFonts w:asciiTheme="minorHAnsi" w:hAnsiTheme="minorHAnsi"/>
          <w:bCs/>
          <w:snapToGrid w:val="0"/>
        </w:rPr>
        <w:t xml:space="preserve"> </w:t>
      </w:r>
      <w:r w:rsidR="005F486F">
        <w:rPr>
          <w:rFonts w:asciiTheme="minorHAnsi" w:hAnsiTheme="minorHAnsi"/>
          <w:bCs/>
          <w:snapToGrid w:val="0"/>
        </w:rPr>
        <w:t xml:space="preserve">than ribociclib </w:t>
      </w:r>
      <w:r w:rsidR="00795DD5" w:rsidRPr="0097324B">
        <w:rPr>
          <w:rFonts w:asciiTheme="minorHAnsi" w:hAnsiTheme="minorHAnsi"/>
          <w:bCs/>
          <w:snapToGrid w:val="0"/>
        </w:rPr>
        <w:t>to</w:t>
      </w:r>
      <w:r w:rsidR="00E02E5E" w:rsidRPr="0097324B">
        <w:rPr>
          <w:rFonts w:asciiTheme="minorHAnsi" w:hAnsiTheme="minorHAnsi"/>
          <w:bCs/>
          <w:snapToGrid w:val="0"/>
        </w:rPr>
        <w:t xml:space="preserve"> result in cardiac issues and neutropenia and may be preferred by </w:t>
      </w:r>
      <w:r w:rsidR="001475B8" w:rsidRPr="0097324B">
        <w:rPr>
          <w:rFonts w:asciiTheme="minorHAnsi" w:hAnsiTheme="minorHAnsi"/>
          <w:bCs/>
          <w:snapToGrid w:val="0"/>
        </w:rPr>
        <w:t xml:space="preserve">patients </w:t>
      </w:r>
      <w:r w:rsidR="00E02E5E" w:rsidRPr="0097324B">
        <w:rPr>
          <w:rFonts w:asciiTheme="minorHAnsi" w:hAnsiTheme="minorHAnsi"/>
          <w:bCs/>
          <w:snapToGrid w:val="0"/>
        </w:rPr>
        <w:t>with hear</w:t>
      </w:r>
      <w:r w:rsidR="001475B8" w:rsidRPr="0097324B">
        <w:rPr>
          <w:rFonts w:asciiTheme="minorHAnsi" w:hAnsiTheme="minorHAnsi"/>
          <w:bCs/>
          <w:snapToGrid w:val="0"/>
        </w:rPr>
        <w:t>t</w:t>
      </w:r>
      <w:r w:rsidR="00E02E5E" w:rsidRPr="0097324B">
        <w:rPr>
          <w:rFonts w:asciiTheme="minorHAnsi" w:hAnsiTheme="minorHAnsi"/>
          <w:bCs/>
          <w:snapToGrid w:val="0"/>
        </w:rPr>
        <w:t xml:space="preserve"> problems or </w:t>
      </w:r>
      <w:r w:rsidR="001475B8" w:rsidRPr="0097324B">
        <w:rPr>
          <w:rFonts w:asciiTheme="minorHAnsi" w:hAnsiTheme="minorHAnsi"/>
          <w:bCs/>
          <w:snapToGrid w:val="0"/>
        </w:rPr>
        <w:t xml:space="preserve">bone </w:t>
      </w:r>
      <w:r w:rsidR="00E02E5E" w:rsidRPr="0097324B">
        <w:rPr>
          <w:rFonts w:asciiTheme="minorHAnsi" w:hAnsiTheme="minorHAnsi"/>
          <w:bCs/>
          <w:snapToGrid w:val="0"/>
        </w:rPr>
        <w:t>disease and marrow compromise.</w:t>
      </w:r>
    </w:p>
    <w:p w:rsidR="00B4068C" w:rsidRPr="0097324B" w:rsidRDefault="00B4068C" w:rsidP="000372DB">
      <w:pPr>
        <w:widowControl w:val="0"/>
        <w:numPr>
          <w:ilvl w:val="1"/>
          <w:numId w:val="1"/>
        </w:numPr>
        <w:spacing w:after="120"/>
        <w:rPr>
          <w:rFonts w:asciiTheme="minorHAnsi" w:hAnsiTheme="minorHAnsi"/>
          <w:bCs/>
          <w:snapToGrid w:val="0"/>
        </w:rPr>
      </w:pPr>
      <w:r w:rsidRPr="0097324B">
        <w:rPr>
          <w:rFonts w:asciiTheme="minorHAnsi" w:hAnsiTheme="minorHAnsi"/>
          <w:bCs/>
          <w:snapToGrid w:val="0"/>
        </w:rPr>
        <w:t xml:space="preserve">The Medical Oncology Group of Australia (MOGA) also expressed its strong support for the </w:t>
      </w:r>
      <w:r w:rsidR="009F799B" w:rsidRPr="0097324B">
        <w:rPr>
          <w:rFonts w:asciiTheme="minorHAnsi" w:hAnsiTheme="minorHAnsi"/>
          <w:bCs/>
          <w:snapToGrid w:val="0"/>
        </w:rPr>
        <w:t xml:space="preserve">abemaciclib </w:t>
      </w:r>
      <w:r w:rsidRPr="0097324B">
        <w:rPr>
          <w:rFonts w:asciiTheme="minorHAnsi" w:hAnsiTheme="minorHAnsi"/>
          <w:bCs/>
          <w:snapToGrid w:val="0"/>
        </w:rPr>
        <w:t xml:space="preserve">submission, categorising it as one of the therapies of “high priority for PBS listing” on the basis of the </w:t>
      </w:r>
      <w:r w:rsidR="009F799B" w:rsidRPr="0097324B">
        <w:rPr>
          <w:rFonts w:asciiTheme="minorHAnsi" w:hAnsiTheme="minorHAnsi"/>
          <w:bCs/>
          <w:snapToGrid w:val="0"/>
        </w:rPr>
        <w:t xml:space="preserve">MONARCH-2 </w:t>
      </w:r>
      <w:r w:rsidRPr="0097324B">
        <w:rPr>
          <w:rFonts w:asciiTheme="minorHAnsi" w:hAnsiTheme="minorHAnsi"/>
          <w:bCs/>
          <w:snapToGrid w:val="0"/>
        </w:rPr>
        <w:t xml:space="preserve">trial. The PBAC noted that the MOGA presented a European Society for Medical Oncology Magnitude of Clinical Benefit Scale (ESMO-MCBS) for </w:t>
      </w:r>
      <w:r w:rsidR="009F799B" w:rsidRPr="0097324B">
        <w:rPr>
          <w:rFonts w:asciiTheme="minorHAnsi" w:hAnsiTheme="minorHAnsi"/>
          <w:bCs/>
          <w:snapToGrid w:val="0"/>
        </w:rPr>
        <w:t>abemaciclib in combination with fulvestrant</w:t>
      </w:r>
      <w:r w:rsidRPr="0097324B">
        <w:rPr>
          <w:rFonts w:asciiTheme="minorHAnsi" w:hAnsiTheme="minorHAnsi"/>
          <w:bCs/>
          <w:snapToGrid w:val="0"/>
        </w:rPr>
        <w:t xml:space="preserve">, which was limited to </w:t>
      </w:r>
      <w:r w:rsidR="009F799B" w:rsidRPr="0097324B">
        <w:rPr>
          <w:rFonts w:asciiTheme="minorHAnsi" w:hAnsiTheme="minorHAnsi"/>
          <w:bCs/>
          <w:snapToGrid w:val="0"/>
        </w:rPr>
        <w:t>4</w:t>
      </w:r>
      <w:r w:rsidRPr="0097324B">
        <w:rPr>
          <w:rFonts w:asciiTheme="minorHAnsi" w:hAnsiTheme="minorHAnsi"/>
          <w:bCs/>
          <w:snapToGrid w:val="0"/>
        </w:rPr>
        <w:t xml:space="preserve"> (out of a maximum of 5, where 5 and 4 represent the grades with substantial improvement)</w:t>
      </w:r>
      <w:r w:rsidR="009F799B" w:rsidRPr="0097324B">
        <w:rPr>
          <w:rStyle w:val="FootnoteReference"/>
          <w:rFonts w:asciiTheme="minorHAnsi" w:hAnsiTheme="minorHAnsi"/>
          <w:bCs/>
          <w:snapToGrid w:val="0"/>
        </w:rPr>
        <w:footnoteReference w:id="2"/>
      </w:r>
      <w:r w:rsidRPr="0097324B">
        <w:rPr>
          <w:rFonts w:asciiTheme="minorHAnsi" w:hAnsiTheme="minorHAnsi"/>
          <w:bCs/>
          <w:snapToGrid w:val="0"/>
        </w:rPr>
        <w:t xml:space="preserve">, based on a comparison </w:t>
      </w:r>
      <w:r w:rsidR="009F799B" w:rsidRPr="0097324B">
        <w:rPr>
          <w:rFonts w:asciiTheme="minorHAnsi" w:hAnsiTheme="minorHAnsi"/>
          <w:bCs/>
          <w:snapToGrid w:val="0"/>
        </w:rPr>
        <w:t xml:space="preserve">of </w:t>
      </w:r>
      <w:r w:rsidR="008E44BC" w:rsidRPr="0097324B">
        <w:rPr>
          <w:rFonts w:asciiTheme="minorHAnsi" w:hAnsiTheme="minorHAnsi"/>
          <w:bCs/>
          <w:snapToGrid w:val="0"/>
        </w:rPr>
        <w:t xml:space="preserve">PFS and </w:t>
      </w:r>
      <w:r w:rsidR="009F799B" w:rsidRPr="0097324B">
        <w:rPr>
          <w:rFonts w:asciiTheme="minorHAnsi" w:hAnsiTheme="minorHAnsi"/>
          <w:bCs/>
          <w:snapToGrid w:val="0"/>
        </w:rPr>
        <w:t xml:space="preserve">OS </w:t>
      </w:r>
      <w:r w:rsidRPr="0097324B">
        <w:rPr>
          <w:rFonts w:asciiTheme="minorHAnsi" w:hAnsiTheme="minorHAnsi"/>
          <w:bCs/>
          <w:snapToGrid w:val="0"/>
        </w:rPr>
        <w:t xml:space="preserve">with </w:t>
      </w:r>
      <w:r w:rsidR="009F799B" w:rsidRPr="0097324B">
        <w:rPr>
          <w:rFonts w:asciiTheme="minorHAnsi" w:hAnsiTheme="minorHAnsi"/>
          <w:bCs/>
          <w:snapToGrid w:val="0"/>
        </w:rPr>
        <w:t>fulvestrant + placebo.</w:t>
      </w:r>
    </w:p>
    <w:p w:rsidR="00B60939" w:rsidRPr="0097324B" w:rsidRDefault="00B60939" w:rsidP="002E4F02">
      <w:pPr>
        <w:pStyle w:val="4-SubsectionHeading"/>
        <w:rPr>
          <w:i w:val="0"/>
          <w:iCs/>
        </w:rPr>
      </w:pPr>
      <w:r w:rsidRPr="0097324B">
        <w:rPr>
          <w:i w:val="0"/>
          <w:iCs/>
        </w:rPr>
        <w:t xml:space="preserve">Clinical </w:t>
      </w:r>
      <w:bookmarkEnd w:id="10"/>
      <w:r w:rsidR="0059639F" w:rsidRPr="0097324B">
        <w:rPr>
          <w:i w:val="0"/>
          <w:iCs/>
        </w:rPr>
        <w:t>trials</w:t>
      </w:r>
      <w:bookmarkEnd w:id="11"/>
    </w:p>
    <w:p w:rsidR="00070B70" w:rsidRPr="0097324B" w:rsidRDefault="00CD43BC" w:rsidP="00070B70">
      <w:pPr>
        <w:pStyle w:val="3-BodyText"/>
      </w:pPr>
      <w:r w:rsidRPr="0097324B">
        <w:t xml:space="preserve">No direct randomised trials </w:t>
      </w:r>
      <w:r w:rsidR="00D866A9" w:rsidRPr="0097324B">
        <w:t xml:space="preserve">were available to </w:t>
      </w:r>
      <w:r w:rsidRPr="0097324B">
        <w:t xml:space="preserve">inform the comparison. </w:t>
      </w:r>
      <w:r w:rsidR="00070B70" w:rsidRPr="0097324B">
        <w:t>Key trials presented in the submission include</w:t>
      </w:r>
      <w:r w:rsidR="00710C7C" w:rsidRPr="0097324B">
        <w:t>d</w:t>
      </w:r>
      <w:r w:rsidR="00070B70" w:rsidRPr="0097324B">
        <w:t>:</w:t>
      </w:r>
    </w:p>
    <w:p w:rsidR="00070B70" w:rsidRPr="0097324B" w:rsidRDefault="00070B70" w:rsidP="00277755">
      <w:pPr>
        <w:pStyle w:val="NormalBulletList"/>
        <w:spacing w:after="120" w:line="240" w:lineRule="auto"/>
        <w:ind w:left="714" w:hanging="357"/>
        <w:contextualSpacing w:val="0"/>
        <w:jc w:val="both"/>
      </w:pPr>
      <w:r w:rsidRPr="0097324B">
        <w:t>MONARCH-2, A randomised, double-blind, placebo-controlled, Phase 3 study of fulvestrant with or without abemaciclib, a CDK4&amp;6 inhibitor, for women with HR+/HER2- locally advanced or metastatic breast cancer.</w:t>
      </w:r>
    </w:p>
    <w:p w:rsidR="007F1017" w:rsidRPr="0097324B" w:rsidRDefault="00070B70" w:rsidP="00277755">
      <w:pPr>
        <w:pStyle w:val="NormalBulletList"/>
        <w:spacing w:after="120" w:line="240" w:lineRule="auto"/>
        <w:ind w:left="714" w:hanging="357"/>
        <w:contextualSpacing w:val="0"/>
        <w:jc w:val="both"/>
      </w:pPr>
      <w:r w:rsidRPr="0097324B">
        <w:t>MONALEESA-3, A randomised, double-blind, placebo-controlled, Phase 3 study of ribociclib and fulvestrant in HR+/HER2- advanced breast cancer.</w:t>
      </w:r>
    </w:p>
    <w:p w:rsidR="002F2ACA" w:rsidRPr="0097324B" w:rsidRDefault="00A73134" w:rsidP="002F2ACA">
      <w:pPr>
        <w:pStyle w:val="3-BodyText"/>
      </w:pPr>
      <w:r w:rsidRPr="0097324B">
        <w:rPr>
          <w:snapToGrid/>
        </w:rPr>
        <w:t xml:space="preserve">Details of the </w:t>
      </w:r>
      <w:r w:rsidR="001717E6" w:rsidRPr="0097324B">
        <w:rPr>
          <w:snapToGrid/>
        </w:rPr>
        <w:t>trials</w:t>
      </w:r>
      <w:r w:rsidRPr="0097324B">
        <w:rPr>
          <w:snapToGrid/>
        </w:rPr>
        <w:t xml:space="preserve"> presented in the submission are provided in the table below.</w:t>
      </w:r>
      <w:r w:rsidR="00BC591F" w:rsidRPr="0097324B">
        <w:rPr>
          <w:snapToGrid/>
        </w:rPr>
        <w:t xml:space="preserve"> </w:t>
      </w:r>
    </w:p>
    <w:p w:rsidR="008E0D3C" w:rsidRPr="0097324B" w:rsidRDefault="008E0D3C" w:rsidP="002E4F02">
      <w:pPr>
        <w:pStyle w:val="TableFigureHeading"/>
        <w:rPr>
          <w:rStyle w:val="CommentReference"/>
          <w:b/>
          <w:szCs w:val="24"/>
        </w:rPr>
      </w:pPr>
      <w:r w:rsidRPr="0097324B">
        <w:rPr>
          <w:rStyle w:val="CommentReference"/>
          <w:b/>
          <w:szCs w:val="24"/>
        </w:rPr>
        <w:lastRenderedPageBreak/>
        <w:t xml:space="preserve">Table </w:t>
      </w:r>
      <w:r w:rsidR="001717E6" w:rsidRPr="0097324B">
        <w:rPr>
          <w:rStyle w:val="CommentReference"/>
          <w:b/>
          <w:szCs w:val="24"/>
        </w:rPr>
        <w:t>3</w:t>
      </w:r>
      <w:r w:rsidRPr="0097324B">
        <w:rPr>
          <w:rStyle w:val="CommentReference"/>
          <w:b/>
          <w:szCs w:val="24"/>
        </w:rPr>
        <w:t>:</w:t>
      </w:r>
      <w:r w:rsidR="00BC591F" w:rsidRPr="0097324B">
        <w:rPr>
          <w:rStyle w:val="CommentReference"/>
          <w:b/>
          <w:szCs w:val="24"/>
        </w:rPr>
        <w:t xml:space="preserve"> </w:t>
      </w:r>
      <w:r w:rsidR="002F2ACA" w:rsidRPr="0097324B">
        <w:rPr>
          <w:rStyle w:val="CommentReference"/>
          <w:b/>
          <w:szCs w:val="24"/>
        </w:rPr>
        <w:t>Trials</w:t>
      </w:r>
      <w:r w:rsidRPr="0097324B">
        <w:rPr>
          <w:rStyle w:val="CommentReference"/>
          <w:b/>
          <w:szCs w:val="24"/>
        </w:rPr>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04"/>
        <w:gridCol w:w="4929"/>
        <w:gridCol w:w="2884"/>
      </w:tblGrid>
      <w:tr w:rsidR="00401B5C" w:rsidRPr="0097324B" w:rsidTr="00CB17F1">
        <w:trPr>
          <w:tblHeader/>
        </w:trPr>
        <w:tc>
          <w:tcPr>
            <w:tcW w:w="668" w:type="pct"/>
            <w:vAlign w:val="center"/>
          </w:tcPr>
          <w:p w:rsidR="00401B5C" w:rsidRPr="0097324B" w:rsidRDefault="00401B5C" w:rsidP="00CB17F1">
            <w:pPr>
              <w:pStyle w:val="In-tableHeading"/>
              <w:rPr>
                <w:sz w:val="18"/>
                <w:szCs w:val="18"/>
                <w:lang w:val="en-AU"/>
              </w:rPr>
            </w:pPr>
            <w:r w:rsidRPr="0097324B">
              <w:rPr>
                <w:sz w:val="18"/>
                <w:szCs w:val="18"/>
                <w:lang w:val="en-AU"/>
              </w:rPr>
              <w:t>Trial ID</w:t>
            </w:r>
          </w:p>
        </w:tc>
        <w:tc>
          <w:tcPr>
            <w:tcW w:w="2733" w:type="pct"/>
            <w:vAlign w:val="center"/>
          </w:tcPr>
          <w:p w:rsidR="00401B5C" w:rsidRPr="0097324B" w:rsidRDefault="00401B5C" w:rsidP="00CB17F1">
            <w:pPr>
              <w:pStyle w:val="In-tableHeading"/>
              <w:rPr>
                <w:sz w:val="18"/>
                <w:szCs w:val="18"/>
                <w:lang w:val="en-AU"/>
              </w:rPr>
            </w:pPr>
            <w:r w:rsidRPr="0097324B">
              <w:rPr>
                <w:sz w:val="18"/>
                <w:szCs w:val="18"/>
                <w:lang w:val="en-AU"/>
              </w:rPr>
              <w:t>Protocol title/ Publication title</w:t>
            </w:r>
          </w:p>
        </w:tc>
        <w:tc>
          <w:tcPr>
            <w:tcW w:w="1599" w:type="pct"/>
            <w:vAlign w:val="center"/>
          </w:tcPr>
          <w:p w:rsidR="00401B5C" w:rsidRPr="0097324B" w:rsidRDefault="00401B5C" w:rsidP="00CB17F1">
            <w:pPr>
              <w:pStyle w:val="In-tableHeading"/>
              <w:rPr>
                <w:sz w:val="18"/>
                <w:szCs w:val="18"/>
                <w:lang w:val="en-AU"/>
              </w:rPr>
            </w:pPr>
            <w:r w:rsidRPr="0097324B">
              <w:rPr>
                <w:sz w:val="18"/>
                <w:szCs w:val="18"/>
                <w:lang w:val="en-AU"/>
              </w:rPr>
              <w:t>Publication citation</w:t>
            </w:r>
          </w:p>
        </w:tc>
      </w:tr>
      <w:tr w:rsidR="00401B5C" w:rsidRPr="0097324B" w:rsidTr="00CB17F1">
        <w:tc>
          <w:tcPr>
            <w:tcW w:w="668" w:type="pct"/>
            <w:tcBorders>
              <w:bottom w:val="nil"/>
            </w:tcBorders>
            <w:vAlign w:val="center"/>
          </w:tcPr>
          <w:p w:rsidR="00401B5C" w:rsidRPr="0097324B" w:rsidRDefault="00401B5C" w:rsidP="00CB17F1">
            <w:pPr>
              <w:pStyle w:val="TableText0"/>
              <w:rPr>
                <w:sz w:val="18"/>
                <w:szCs w:val="18"/>
              </w:rPr>
            </w:pPr>
          </w:p>
        </w:tc>
        <w:tc>
          <w:tcPr>
            <w:tcW w:w="2733" w:type="pct"/>
            <w:tcBorders>
              <w:bottom w:val="nil"/>
            </w:tcBorders>
            <w:vAlign w:val="center"/>
          </w:tcPr>
          <w:p w:rsidR="00401B5C" w:rsidRPr="0097324B" w:rsidRDefault="00401B5C" w:rsidP="00CB17F1">
            <w:pPr>
              <w:pStyle w:val="TableText0"/>
              <w:rPr>
                <w:sz w:val="18"/>
                <w:szCs w:val="18"/>
              </w:rPr>
            </w:pPr>
            <w:r w:rsidRPr="0097324B">
              <w:rPr>
                <w:sz w:val="18"/>
                <w:szCs w:val="18"/>
              </w:rPr>
              <w:t xml:space="preserve">MONARCH 2: A Randomized, Double-Blind, Placebo-Controlled, Phase 3 Study of Fulvestrant with or without Abemaciclib, a CDK4/6 Inhibitor, for Women with Hormone Receptor Positive, HER2 Negative Locally Advanced or Metastatic Breast Cancer. </w:t>
            </w:r>
          </w:p>
        </w:tc>
        <w:tc>
          <w:tcPr>
            <w:tcW w:w="1599" w:type="pct"/>
            <w:tcBorders>
              <w:bottom w:val="nil"/>
            </w:tcBorders>
            <w:vAlign w:val="center"/>
          </w:tcPr>
          <w:p w:rsidR="002A3BEF" w:rsidRPr="0097324B" w:rsidRDefault="002A3BEF" w:rsidP="00016B6C">
            <w:pPr>
              <w:pStyle w:val="TableText0"/>
              <w:rPr>
                <w:sz w:val="18"/>
                <w:szCs w:val="18"/>
              </w:rPr>
            </w:pPr>
            <w:r w:rsidRPr="0097324B">
              <w:rPr>
                <w:sz w:val="18"/>
                <w:szCs w:val="18"/>
              </w:rPr>
              <w:t>JPBL Clinical Study Report 2 May 2017</w:t>
            </w:r>
          </w:p>
          <w:p w:rsidR="00016B6C" w:rsidRPr="0097324B" w:rsidRDefault="00016B6C" w:rsidP="00016B6C">
            <w:pPr>
              <w:pStyle w:val="TableText0"/>
              <w:rPr>
                <w:sz w:val="18"/>
                <w:szCs w:val="18"/>
              </w:rPr>
            </w:pPr>
            <w:r w:rsidRPr="0097324B">
              <w:rPr>
                <w:sz w:val="18"/>
                <w:szCs w:val="18"/>
              </w:rPr>
              <w:t>JPBL Clinical Study Report Addendum for the Interim Overall Survival Analysis</w:t>
            </w:r>
          </w:p>
          <w:p w:rsidR="00401B5C" w:rsidRPr="0097324B" w:rsidRDefault="00401B5C" w:rsidP="00CB17F1">
            <w:pPr>
              <w:pStyle w:val="TableText0"/>
              <w:rPr>
                <w:sz w:val="18"/>
                <w:szCs w:val="18"/>
              </w:rPr>
            </w:pPr>
            <w:r w:rsidRPr="0097324B">
              <w:rPr>
                <w:sz w:val="18"/>
                <w:szCs w:val="18"/>
              </w:rPr>
              <w:t>September 2019</w:t>
            </w:r>
          </w:p>
        </w:tc>
      </w:tr>
      <w:tr w:rsidR="00401B5C" w:rsidRPr="0097324B" w:rsidTr="00CB17F1">
        <w:trPr>
          <w:trHeight w:val="1041"/>
        </w:trPr>
        <w:tc>
          <w:tcPr>
            <w:tcW w:w="668" w:type="pct"/>
            <w:tcBorders>
              <w:top w:val="nil"/>
              <w:bottom w:val="nil"/>
            </w:tcBorders>
            <w:vAlign w:val="center"/>
          </w:tcPr>
          <w:p w:rsidR="00972D6B" w:rsidRPr="0097324B" w:rsidRDefault="00401B5C" w:rsidP="00972D6B">
            <w:pPr>
              <w:pStyle w:val="TableText0"/>
              <w:rPr>
                <w:rStyle w:val="SmallBold"/>
                <w:rFonts w:ascii="Arial Narrow" w:hAnsi="Arial Narrow"/>
                <w:sz w:val="18"/>
                <w:szCs w:val="18"/>
              </w:rPr>
            </w:pPr>
            <w:r w:rsidRPr="0097324B">
              <w:rPr>
                <w:rStyle w:val="SmallBold"/>
                <w:rFonts w:ascii="Arial Narrow" w:hAnsi="Arial Narrow"/>
                <w:sz w:val="18"/>
                <w:szCs w:val="18"/>
              </w:rPr>
              <w:t>MONARCH-2</w:t>
            </w:r>
          </w:p>
          <w:p w:rsidR="00972D6B" w:rsidRPr="0097324B" w:rsidRDefault="00401B5C" w:rsidP="00972D6B">
            <w:pPr>
              <w:pStyle w:val="TableText0"/>
              <w:rPr>
                <w:rStyle w:val="SmallBold"/>
                <w:rFonts w:ascii="Arial Narrow" w:hAnsi="Arial Narrow"/>
                <w:b w:val="0"/>
                <w:sz w:val="18"/>
                <w:szCs w:val="18"/>
              </w:rPr>
            </w:pPr>
            <w:r w:rsidRPr="0097324B">
              <w:rPr>
                <w:rStyle w:val="SmallBold"/>
                <w:rFonts w:ascii="Arial Narrow" w:hAnsi="Arial Narrow"/>
                <w:b w:val="0"/>
                <w:sz w:val="18"/>
                <w:szCs w:val="18"/>
              </w:rPr>
              <w:t>NCT02107703</w:t>
            </w:r>
          </w:p>
          <w:p w:rsidR="00401B5C" w:rsidRPr="0097324B" w:rsidRDefault="00401B5C" w:rsidP="00972D6B">
            <w:pPr>
              <w:pStyle w:val="TableText0"/>
              <w:rPr>
                <w:sz w:val="18"/>
                <w:szCs w:val="18"/>
              </w:rPr>
            </w:pPr>
            <w:r w:rsidRPr="0097324B">
              <w:rPr>
                <w:rStyle w:val="SmallBold"/>
                <w:rFonts w:ascii="Arial Narrow" w:hAnsi="Arial Narrow"/>
                <w:b w:val="0"/>
                <w:sz w:val="18"/>
                <w:szCs w:val="18"/>
              </w:rPr>
              <w:t>I3Y-MC-JPBL</w:t>
            </w:r>
          </w:p>
        </w:tc>
        <w:tc>
          <w:tcPr>
            <w:tcW w:w="2733" w:type="pct"/>
            <w:tcBorders>
              <w:top w:val="nil"/>
              <w:bottom w:val="nil"/>
            </w:tcBorders>
            <w:vAlign w:val="center"/>
          </w:tcPr>
          <w:p w:rsidR="00401B5C" w:rsidRPr="0097324B" w:rsidRDefault="00401B5C" w:rsidP="00CB17F1">
            <w:pPr>
              <w:pStyle w:val="TableText0"/>
              <w:rPr>
                <w:sz w:val="18"/>
                <w:szCs w:val="18"/>
              </w:rPr>
            </w:pPr>
            <w:r w:rsidRPr="0097324B">
              <w:rPr>
                <w:sz w:val="18"/>
                <w:szCs w:val="18"/>
              </w:rPr>
              <w:t xml:space="preserve">Sledge, G. W., Toi, M. et al. 2017. "MONARCH 2: abemaciclib in Combination with Fulvestrant in Women With HR+/HER2- Advanced Breast Cancer Who Had Progressed While Receiving Endocrine Therapy."  </w:t>
            </w:r>
          </w:p>
        </w:tc>
        <w:tc>
          <w:tcPr>
            <w:tcW w:w="1599" w:type="pct"/>
            <w:tcBorders>
              <w:top w:val="nil"/>
              <w:bottom w:val="nil"/>
            </w:tcBorders>
            <w:vAlign w:val="center"/>
          </w:tcPr>
          <w:p w:rsidR="00401B5C" w:rsidRPr="0097324B" w:rsidRDefault="00401B5C" w:rsidP="00CB17F1">
            <w:pPr>
              <w:pStyle w:val="TableText0"/>
              <w:rPr>
                <w:sz w:val="18"/>
                <w:szCs w:val="18"/>
              </w:rPr>
            </w:pPr>
            <w:r w:rsidRPr="0097324B">
              <w:rPr>
                <w:sz w:val="18"/>
                <w:szCs w:val="18"/>
              </w:rPr>
              <w:t>J Clin Oncol 2015 35 (25):2875</w:t>
            </w:r>
            <w:r w:rsidRPr="0097324B">
              <w:rPr>
                <w:rFonts w:ascii="Cambria Math" w:hAnsi="Cambria Math" w:cs="Cambria Math"/>
                <w:sz w:val="18"/>
                <w:szCs w:val="18"/>
              </w:rPr>
              <w:t>‐</w:t>
            </w:r>
            <w:r w:rsidRPr="0097324B">
              <w:rPr>
                <w:sz w:val="18"/>
                <w:szCs w:val="18"/>
              </w:rPr>
              <w:t>2884.</w:t>
            </w:r>
          </w:p>
        </w:tc>
      </w:tr>
      <w:tr w:rsidR="00401B5C" w:rsidRPr="0097324B" w:rsidTr="00CB17F1">
        <w:trPr>
          <w:trHeight w:val="836"/>
        </w:trPr>
        <w:tc>
          <w:tcPr>
            <w:tcW w:w="668" w:type="pct"/>
            <w:tcBorders>
              <w:top w:val="nil"/>
              <w:bottom w:val="nil"/>
            </w:tcBorders>
            <w:vAlign w:val="center"/>
          </w:tcPr>
          <w:p w:rsidR="00401B5C" w:rsidRPr="0097324B" w:rsidRDefault="00401B5C" w:rsidP="00CB17F1">
            <w:pPr>
              <w:pStyle w:val="TableText0"/>
              <w:rPr>
                <w:rStyle w:val="SmallBold"/>
                <w:rFonts w:ascii="Arial Narrow" w:hAnsi="Arial Narrow"/>
                <w:sz w:val="18"/>
                <w:szCs w:val="18"/>
              </w:rPr>
            </w:pPr>
          </w:p>
        </w:tc>
        <w:tc>
          <w:tcPr>
            <w:tcW w:w="2733" w:type="pct"/>
            <w:tcBorders>
              <w:top w:val="nil"/>
              <w:bottom w:val="nil"/>
            </w:tcBorders>
            <w:vAlign w:val="center"/>
          </w:tcPr>
          <w:p w:rsidR="001C4A28" w:rsidRPr="0097324B" w:rsidRDefault="00401B5C" w:rsidP="00CB17F1">
            <w:pPr>
              <w:pStyle w:val="TableText0"/>
              <w:rPr>
                <w:sz w:val="18"/>
                <w:szCs w:val="18"/>
              </w:rPr>
            </w:pPr>
            <w:r w:rsidRPr="0097324B">
              <w:rPr>
                <w:sz w:val="18"/>
                <w:szCs w:val="18"/>
              </w:rPr>
              <w:t>Sledge, G. W., Toi, M. et al. 2019. "The Effect of Abemaciclib plus Fulvestrant on Overall Survival in Hormone Receptor-Positive, ERBB2-Negative Breast Cancer That Progressed on Endocrine Therapy - MONARCH 2: A Randomized Clinical Trial."</w:t>
            </w:r>
          </w:p>
        </w:tc>
        <w:tc>
          <w:tcPr>
            <w:tcW w:w="1599" w:type="pct"/>
            <w:tcBorders>
              <w:top w:val="nil"/>
              <w:bottom w:val="nil"/>
            </w:tcBorders>
            <w:vAlign w:val="center"/>
          </w:tcPr>
          <w:p w:rsidR="00401B5C" w:rsidRPr="0097324B" w:rsidRDefault="00401B5C" w:rsidP="00CB17F1">
            <w:pPr>
              <w:pStyle w:val="TableText0"/>
              <w:rPr>
                <w:sz w:val="18"/>
                <w:szCs w:val="18"/>
              </w:rPr>
            </w:pPr>
            <w:r w:rsidRPr="0097324B">
              <w:rPr>
                <w:iCs/>
                <w:sz w:val="18"/>
                <w:szCs w:val="18"/>
              </w:rPr>
              <w:t>JAMA Oncol</w:t>
            </w:r>
            <w:r w:rsidRPr="0097324B">
              <w:rPr>
                <w:sz w:val="18"/>
                <w:szCs w:val="18"/>
              </w:rPr>
              <w:t xml:space="preserve">. 2020;6(1):116-124. doi:10.1001/jamaoncol.2019.4782 Published online September 29, 2019. </w:t>
            </w:r>
          </w:p>
        </w:tc>
      </w:tr>
      <w:tr w:rsidR="00401B5C" w:rsidRPr="0097324B" w:rsidTr="00CB17F1">
        <w:tc>
          <w:tcPr>
            <w:tcW w:w="668" w:type="pct"/>
            <w:tcBorders>
              <w:bottom w:val="nil"/>
            </w:tcBorders>
            <w:vAlign w:val="center"/>
          </w:tcPr>
          <w:p w:rsidR="00401B5C" w:rsidRPr="0097324B" w:rsidRDefault="00401B5C" w:rsidP="00CB17F1">
            <w:pPr>
              <w:pStyle w:val="TableText0"/>
              <w:rPr>
                <w:sz w:val="18"/>
                <w:szCs w:val="18"/>
              </w:rPr>
            </w:pPr>
          </w:p>
        </w:tc>
        <w:tc>
          <w:tcPr>
            <w:tcW w:w="2733" w:type="pct"/>
            <w:tcBorders>
              <w:bottom w:val="nil"/>
            </w:tcBorders>
            <w:vAlign w:val="center"/>
          </w:tcPr>
          <w:p w:rsidR="00401B5C" w:rsidRPr="0097324B" w:rsidRDefault="00401B5C" w:rsidP="00CB17F1">
            <w:pPr>
              <w:pStyle w:val="TableText0"/>
              <w:rPr>
                <w:sz w:val="18"/>
                <w:szCs w:val="18"/>
              </w:rPr>
            </w:pPr>
            <w:r w:rsidRPr="0097324B">
              <w:rPr>
                <w:sz w:val="18"/>
                <w:szCs w:val="18"/>
              </w:rPr>
              <w:t xml:space="preserve">Slamon, D. J., Neven, P. et al. 2018. "Phase III randomized study of ribociclib and fulvestrant in hormone receptor-positive, human epidermal growth factor receptor 2-negative advanced breast cancer: MONALEESA-3."  </w:t>
            </w:r>
          </w:p>
        </w:tc>
        <w:tc>
          <w:tcPr>
            <w:tcW w:w="1599" w:type="pct"/>
            <w:tcBorders>
              <w:bottom w:val="nil"/>
            </w:tcBorders>
            <w:vAlign w:val="center"/>
          </w:tcPr>
          <w:p w:rsidR="00401B5C" w:rsidRPr="0097324B" w:rsidRDefault="00401B5C" w:rsidP="00CB17F1">
            <w:pPr>
              <w:pStyle w:val="TableText0"/>
              <w:rPr>
                <w:sz w:val="18"/>
                <w:szCs w:val="18"/>
              </w:rPr>
            </w:pPr>
            <w:r w:rsidRPr="0097324B">
              <w:rPr>
                <w:sz w:val="18"/>
                <w:szCs w:val="18"/>
              </w:rPr>
              <w:t>Journal of Clinical Oncology 36 (24):2465-2472.</w:t>
            </w:r>
          </w:p>
        </w:tc>
      </w:tr>
      <w:tr w:rsidR="00401B5C" w:rsidRPr="0097324B" w:rsidTr="00CB17F1">
        <w:tc>
          <w:tcPr>
            <w:tcW w:w="668" w:type="pct"/>
            <w:tcBorders>
              <w:top w:val="nil"/>
              <w:bottom w:val="nil"/>
            </w:tcBorders>
            <w:vAlign w:val="center"/>
          </w:tcPr>
          <w:p w:rsidR="00972D6B" w:rsidRPr="0097324B" w:rsidRDefault="00401B5C" w:rsidP="00972D6B">
            <w:pPr>
              <w:pStyle w:val="TableText0"/>
              <w:rPr>
                <w:rStyle w:val="SmallBold"/>
                <w:rFonts w:ascii="Arial Narrow" w:hAnsi="Arial Narrow"/>
                <w:sz w:val="18"/>
                <w:szCs w:val="18"/>
              </w:rPr>
            </w:pPr>
            <w:r w:rsidRPr="0097324B">
              <w:rPr>
                <w:rStyle w:val="SmallBold"/>
                <w:rFonts w:ascii="Arial Narrow" w:hAnsi="Arial Narrow"/>
                <w:sz w:val="18"/>
                <w:szCs w:val="18"/>
              </w:rPr>
              <w:t>MONALEESA-3</w:t>
            </w:r>
          </w:p>
          <w:p w:rsidR="00401B5C" w:rsidRPr="0097324B" w:rsidRDefault="00401B5C" w:rsidP="00972D6B">
            <w:pPr>
              <w:pStyle w:val="TableText0"/>
              <w:rPr>
                <w:b/>
                <w:sz w:val="18"/>
                <w:szCs w:val="18"/>
              </w:rPr>
            </w:pPr>
            <w:r w:rsidRPr="0097324B">
              <w:rPr>
                <w:rStyle w:val="SmallBold"/>
                <w:rFonts w:ascii="Arial Narrow" w:hAnsi="Arial Narrow"/>
                <w:b w:val="0"/>
                <w:sz w:val="18"/>
                <w:szCs w:val="18"/>
              </w:rPr>
              <w:t>NCT02422615</w:t>
            </w:r>
          </w:p>
        </w:tc>
        <w:tc>
          <w:tcPr>
            <w:tcW w:w="2733" w:type="pct"/>
            <w:tcBorders>
              <w:top w:val="nil"/>
              <w:bottom w:val="nil"/>
            </w:tcBorders>
            <w:vAlign w:val="center"/>
          </w:tcPr>
          <w:p w:rsidR="00401B5C" w:rsidRPr="0097324B" w:rsidRDefault="00401B5C" w:rsidP="00CB17F1">
            <w:pPr>
              <w:pStyle w:val="TableText0"/>
              <w:rPr>
                <w:sz w:val="18"/>
                <w:szCs w:val="18"/>
              </w:rPr>
            </w:pPr>
            <w:r w:rsidRPr="0097324B">
              <w:rPr>
                <w:sz w:val="18"/>
                <w:szCs w:val="18"/>
              </w:rPr>
              <w:t>Slamon, D. J., Neven, P. et al. 2020. "Overall Survival with RIB+FUL in Advanced Breast Cancer."  The New England journal of medicine 382 (6):514-524.</w:t>
            </w:r>
          </w:p>
        </w:tc>
        <w:tc>
          <w:tcPr>
            <w:tcW w:w="1599" w:type="pct"/>
            <w:tcBorders>
              <w:top w:val="nil"/>
              <w:bottom w:val="nil"/>
            </w:tcBorders>
            <w:vAlign w:val="center"/>
          </w:tcPr>
          <w:p w:rsidR="00401B5C" w:rsidRPr="0097324B" w:rsidRDefault="00401B5C" w:rsidP="00CB17F1">
            <w:pPr>
              <w:pStyle w:val="TableText0"/>
              <w:rPr>
                <w:sz w:val="18"/>
                <w:szCs w:val="18"/>
              </w:rPr>
            </w:pPr>
            <w:r w:rsidRPr="0097324B">
              <w:rPr>
                <w:sz w:val="18"/>
                <w:szCs w:val="18"/>
              </w:rPr>
              <w:t>NEJM 382 (6):514-524.</w:t>
            </w:r>
          </w:p>
        </w:tc>
      </w:tr>
      <w:tr w:rsidR="00401B5C" w:rsidRPr="0097324B" w:rsidTr="00CB17F1">
        <w:tc>
          <w:tcPr>
            <w:tcW w:w="668" w:type="pct"/>
            <w:tcBorders>
              <w:top w:val="nil"/>
              <w:bottom w:val="single" w:sz="4" w:space="0" w:color="auto"/>
            </w:tcBorders>
            <w:vAlign w:val="bottom"/>
          </w:tcPr>
          <w:p w:rsidR="00401B5C" w:rsidRPr="0097324B" w:rsidRDefault="00401B5C" w:rsidP="00CB17F1">
            <w:pPr>
              <w:pStyle w:val="TableText0"/>
              <w:rPr>
                <w:sz w:val="18"/>
                <w:szCs w:val="18"/>
              </w:rPr>
            </w:pPr>
          </w:p>
        </w:tc>
        <w:tc>
          <w:tcPr>
            <w:tcW w:w="2733" w:type="pct"/>
            <w:tcBorders>
              <w:top w:val="nil"/>
              <w:bottom w:val="single" w:sz="4" w:space="0" w:color="auto"/>
            </w:tcBorders>
            <w:vAlign w:val="bottom"/>
          </w:tcPr>
          <w:p w:rsidR="00401B5C" w:rsidRPr="0097324B" w:rsidRDefault="00401B5C" w:rsidP="00CB17F1">
            <w:pPr>
              <w:pStyle w:val="TableText0"/>
              <w:rPr>
                <w:sz w:val="18"/>
                <w:szCs w:val="18"/>
              </w:rPr>
            </w:pPr>
            <w:r w:rsidRPr="0097324B">
              <w:rPr>
                <w:sz w:val="18"/>
                <w:szCs w:val="18"/>
              </w:rPr>
              <w:t>Beck JT, Neven P et al. 2019. "Patient-reported outcomes with ribociclib-based therapy in hormone receptor-positive, HER2-negative advanced breast cancer: results from the phase III MONALEESA-3, -3, and-7 trials."</w:t>
            </w:r>
          </w:p>
        </w:tc>
        <w:tc>
          <w:tcPr>
            <w:tcW w:w="1599" w:type="pct"/>
            <w:tcBorders>
              <w:top w:val="nil"/>
              <w:bottom w:val="single" w:sz="4" w:space="0" w:color="auto"/>
            </w:tcBorders>
            <w:vAlign w:val="bottom"/>
          </w:tcPr>
          <w:p w:rsidR="00401B5C" w:rsidRPr="0097324B" w:rsidRDefault="00401B5C" w:rsidP="00CB17F1">
            <w:pPr>
              <w:pStyle w:val="TableText0"/>
              <w:rPr>
                <w:sz w:val="18"/>
                <w:szCs w:val="18"/>
              </w:rPr>
            </w:pPr>
            <w:r w:rsidRPr="0097324B">
              <w:rPr>
                <w:b/>
                <w:sz w:val="18"/>
                <w:szCs w:val="18"/>
              </w:rPr>
              <w:t xml:space="preserve">DOI: </w:t>
            </w:r>
            <w:r w:rsidRPr="0097324B">
              <w:rPr>
                <w:sz w:val="18"/>
                <w:szCs w:val="18"/>
              </w:rPr>
              <w:t>10.1158/1538-7445.SABCS18-P6-18-14 Published February 2019</w:t>
            </w:r>
          </w:p>
          <w:p w:rsidR="00401B5C" w:rsidRPr="0097324B" w:rsidRDefault="00401B5C" w:rsidP="00CB17F1">
            <w:pPr>
              <w:pStyle w:val="TableText0"/>
              <w:rPr>
                <w:sz w:val="18"/>
                <w:szCs w:val="18"/>
              </w:rPr>
            </w:pPr>
          </w:p>
        </w:tc>
      </w:tr>
    </w:tbl>
    <w:p w:rsidR="007003C5" w:rsidRPr="0097324B" w:rsidRDefault="008E0D3C" w:rsidP="00EC5836">
      <w:pPr>
        <w:pStyle w:val="TableFigureFooter"/>
      </w:pPr>
      <w:r w:rsidRPr="0097324B">
        <w:t xml:space="preserve">Source: </w:t>
      </w:r>
      <w:r w:rsidR="00401B5C" w:rsidRPr="0097324B">
        <w:t xml:space="preserve">Table 2-4, 43 </w:t>
      </w:r>
      <w:r w:rsidRPr="0097324B">
        <w:t>of the submission</w:t>
      </w:r>
      <w:r w:rsidR="00401B5C" w:rsidRPr="0097324B">
        <w:t>, reproduced in part</w:t>
      </w:r>
      <w:r w:rsidRPr="0097324B">
        <w:t>.</w:t>
      </w:r>
    </w:p>
    <w:p w:rsidR="00C9469D" w:rsidRPr="0097324B" w:rsidRDefault="008F120A" w:rsidP="00DB193B">
      <w:pPr>
        <w:pStyle w:val="3-BodyText"/>
        <w:rPr>
          <w:iCs/>
          <w:color w:val="0066FF"/>
        </w:rPr>
      </w:pPr>
      <w:r w:rsidRPr="0097324B">
        <w:t>The key features of the randomised trial</w:t>
      </w:r>
      <w:r w:rsidR="006F5142" w:rsidRPr="0097324B">
        <w:t xml:space="preserve">s </w:t>
      </w:r>
      <w:r w:rsidRPr="0097324B">
        <w:t>are summarised in the table below</w:t>
      </w:r>
      <w:r w:rsidR="00CB17F1" w:rsidRPr="0097324B">
        <w:t xml:space="preserve"> in the submission</w:t>
      </w:r>
      <w:r w:rsidRPr="0097324B">
        <w:t>.</w:t>
      </w:r>
      <w:r w:rsidR="00BC591F" w:rsidRPr="0097324B">
        <w:t xml:space="preserve"> </w:t>
      </w:r>
    </w:p>
    <w:p w:rsidR="009B5BA9" w:rsidRPr="0097324B" w:rsidRDefault="009B5BA9">
      <w:pPr>
        <w:jc w:val="left"/>
        <w:rPr>
          <w:rStyle w:val="CommentReference"/>
          <w:rFonts w:eastAsiaTheme="majorEastAsia" w:cstheme="majorBidi"/>
          <w:bCs/>
          <w:szCs w:val="24"/>
        </w:rPr>
      </w:pPr>
      <w:r w:rsidRPr="0097324B">
        <w:rPr>
          <w:rStyle w:val="CommentReference"/>
          <w:b w:val="0"/>
          <w:szCs w:val="24"/>
        </w:rPr>
        <w:br w:type="page"/>
      </w:r>
    </w:p>
    <w:p w:rsidR="007F1017" w:rsidRPr="0097324B" w:rsidRDefault="007F1017" w:rsidP="00EC5836">
      <w:pPr>
        <w:pStyle w:val="TableFigureHeading"/>
        <w:rPr>
          <w:rStyle w:val="CommentReference"/>
          <w:b/>
          <w:szCs w:val="24"/>
        </w:rPr>
      </w:pPr>
      <w:r w:rsidRPr="0097324B">
        <w:rPr>
          <w:rStyle w:val="CommentReference"/>
          <w:b/>
          <w:szCs w:val="24"/>
        </w:rPr>
        <w:lastRenderedPageBreak/>
        <w:t xml:space="preserve">Table </w:t>
      </w:r>
      <w:r w:rsidR="00E9024C" w:rsidRPr="0097324B">
        <w:rPr>
          <w:rStyle w:val="CommentReference"/>
          <w:b/>
          <w:szCs w:val="24"/>
        </w:rPr>
        <w:t>4:</w:t>
      </w:r>
      <w:r w:rsidRPr="0097324B">
        <w:rPr>
          <w:rStyle w:val="CommentReference"/>
          <w:b/>
          <w:szCs w:val="24"/>
        </w:rPr>
        <w:t xml:space="preserve"> Key features of the included evidence</w:t>
      </w:r>
      <w:r w:rsidR="00B81A8A" w:rsidRPr="0097324B">
        <w:rPr>
          <w:rStyle w:val="CommentReference"/>
          <w:b/>
          <w:szCs w:val="24"/>
        </w:rPr>
        <w:t xml:space="preserve"> – indirect comparison</w:t>
      </w:r>
    </w:p>
    <w:tbl>
      <w:tblPr>
        <w:tblStyle w:val="TableGrid"/>
        <w:tblW w:w="5000" w:type="pct"/>
        <w:tblCellMar>
          <w:left w:w="28" w:type="dxa"/>
          <w:right w:w="28" w:type="dxa"/>
        </w:tblCellMar>
        <w:tblLook w:val="04A0" w:firstRow="1" w:lastRow="0" w:firstColumn="1" w:lastColumn="0" w:noHBand="0" w:noVBand="1"/>
        <w:tblCaption w:val="Table 4: Key features of the included evidence"/>
      </w:tblPr>
      <w:tblGrid>
        <w:gridCol w:w="1152"/>
        <w:gridCol w:w="691"/>
        <w:gridCol w:w="1158"/>
        <w:gridCol w:w="1389"/>
        <w:gridCol w:w="3008"/>
        <w:gridCol w:w="1619"/>
      </w:tblGrid>
      <w:tr w:rsidR="00972D6B" w:rsidRPr="0097324B" w:rsidTr="004510A3">
        <w:trPr>
          <w:tblHeader/>
        </w:trPr>
        <w:tc>
          <w:tcPr>
            <w:tcW w:w="639" w:type="pct"/>
            <w:shd w:val="clear" w:color="auto" w:fill="auto"/>
            <w:vAlign w:val="center"/>
          </w:tcPr>
          <w:p w:rsidR="00972D6B" w:rsidRPr="0097324B" w:rsidRDefault="00972D6B" w:rsidP="00961B33">
            <w:pPr>
              <w:pStyle w:val="TableText0"/>
              <w:rPr>
                <w:b/>
                <w:sz w:val="18"/>
                <w:szCs w:val="18"/>
              </w:rPr>
            </w:pPr>
            <w:r w:rsidRPr="0097324B">
              <w:rPr>
                <w:b/>
                <w:sz w:val="18"/>
                <w:szCs w:val="18"/>
              </w:rPr>
              <w:t>Trial</w:t>
            </w:r>
          </w:p>
        </w:tc>
        <w:tc>
          <w:tcPr>
            <w:tcW w:w="383" w:type="pct"/>
          </w:tcPr>
          <w:p w:rsidR="00972D6B" w:rsidRPr="0097324B" w:rsidRDefault="00972D6B" w:rsidP="00972D6B">
            <w:pPr>
              <w:pStyle w:val="TableText0"/>
              <w:jc w:val="center"/>
              <w:rPr>
                <w:b/>
                <w:sz w:val="18"/>
                <w:szCs w:val="18"/>
              </w:rPr>
            </w:pPr>
            <w:r w:rsidRPr="0097324B">
              <w:rPr>
                <w:b/>
                <w:sz w:val="18"/>
                <w:szCs w:val="18"/>
              </w:rPr>
              <w:t>N</w:t>
            </w:r>
          </w:p>
        </w:tc>
        <w:tc>
          <w:tcPr>
            <w:tcW w:w="642" w:type="pct"/>
            <w:shd w:val="clear" w:color="auto" w:fill="auto"/>
            <w:vAlign w:val="center"/>
          </w:tcPr>
          <w:p w:rsidR="00972D6B" w:rsidRPr="0097324B" w:rsidRDefault="00972D6B" w:rsidP="00961B33">
            <w:pPr>
              <w:pStyle w:val="TableText0"/>
              <w:rPr>
                <w:b/>
                <w:sz w:val="18"/>
                <w:szCs w:val="18"/>
              </w:rPr>
            </w:pPr>
            <w:r w:rsidRPr="0097324B">
              <w:rPr>
                <w:b/>
                <w:sz w:val="18"/>
                <w:szCs w:val="18"/>
              </w:rPr>
              <w:t>Design / duration</w:t>
            </w:r>
          </w:p>
        </w:tc>
        <w:tc>
          <w:tcPr>
            <w:tcW w:w="770" w:type="pct"/>
            <w:shd w:val="clear" w:color="auto" w:fill="auto"/>
            <w:vAlign w:val="center"/>
          </w:tcPr>
          <w:p w:rsidR="00972D6B" w:rsidRPr="0097324B" w:rsidRDefault="00972D6B" w:rsidP="00961B33">
            <w:pPr>
              <w:pStyle w:val="TableText0"/>
              <w:rPr>
                <w:b/>
                <w:sz w:val="18"/>
                <w:szCs w:val="18"/>
              </w:rPr>
            </w:pPr>
            <w:r w:rsidRPr="0097324B">
              <w:rPr>
                <w:b/>
                <w:sz w:val="18"/>
                <w:szCs w:val="18"/>
              </w:rPr>
              <w:t>Relevant comparison</w:t>
            </w:r>
          </w:p>
        </w:tc>
        <w:tc>
          <w:tcPr>
            <w:tcW w:w="1668" w:type="pct"/>
            <w:shd w:val="clear" w:color="auto" w:fill="auto"/>
            <w:vAlign w:val="center"/>
          </w:tcPr>
          <w:p w:rsidR="00972D6B" w:rsidRPr="0097324B" w:rsidRDefault="00972D6B" w:rsidP="00961B33">
            <w:pPr>
              <w:pStyle w:val="TableText0"/>
              <w:rPr>
                <w:b/>
                <w:sz w:val="18"/>
                <w:szCs w:val="18"/>
              </w:rPr>
            </w:pPr>
            <w:r w:rsidRPr="0097324B">
              <w:rPr>
                <w:b/>
                <w:sz w:val="18"/>
                <w:szCs w:val="18"/>
              </w:rPr>
              <w:t>Patient population</w:t>
            </w:r>
          </w:p>
        </w:tc>
        <w:tc>
          <w:tcPr>
            <w:tcW w:w="897" w:type="pct"/>
            <w:shd w:val="clear" w:color="auto" w:fill="auto"/>
            <w:vAlign w:val="center"/>
          </w:tcPr>
          <w:p w:rsidR="00972D6B" w:rsidRPr="0097324B" w:rsidRDefault="00972D6B" w:rsidP="00961B33">
            <w:pPr>
              <w:pStyle w:val="Tabletext"/>
              <w:rPr>
                <w:b/>
                <w:sz w:val="18"/>
                <w:szCs w:val="18"/>
              </w:rPr>
            </w:pPr>
            <w:r w:rsidRPr="0097324B">
              <w:rPr>
                <w:b/>
                <w:sz w:val="18"/>
                <w:szCs w:val="18"/>
              </w:rPr>
              <w:t>Available outcomes</w:t>
            </w:r>
          </w:p>
        </w:tc>
      </w:tr>
      <w:tr w:rsidR="00972D6B" w:rsidRPr="0097324B" w:rsidTr="00C8767D">
        <w:trPr>
          <w:trHeight w:val="294"/>
        </w:trPr>
        <w:tc>
          <w:tcPr>
            <w:tcW w:w="5000" w:type="pct"/>
            <w:gridSpan w:val="6"/>
            <w:shd w:val="clear" w:color="auto" w:fill="auto"/>
          </w:tcPr>
          <w:p w:rsidR="00972D6B" w:rsidRPr="0097324B" w:rsidRDefault="00972D6B" w:rsidP="00961B33">
            <w:pPr>
              <w:pStyle w:val="Tabletext"/>
              <w:rPr>
                <w:b/>
                <w:sz w:val="18"/>
                <w:szCs w:val="18"/>
              </w:rPr>
            </w:pPr>
            <w:r w:rsidRPr="0097324B">
              <w:rPr>
                <w:b/>
                <w:sz w:val="18"/>
                <w:szCs w:val="18"/>
              </w:rPr>
              <w:t>Abemaciclib plus fulvestrant vs placebo plus fulvestrant</w:t>
            </w:r>
          </w:p>
        </w:tc>
      </w:tr>
      <w:tr w:rsidR="00C8767D" w:rsidRPr="0097324B" w:rsidTr="00C8767D">
        <w:trPr>
          <w:trHeight w:val="924"/>
        </w:trPr>
        <w:tc>
          <w:tcPr>
            <w:tcW w:w="639" w:type="pct"/>
            <w:shd w:val="clear" w:color="auto" w:fill="auto"/>
            <w:vAlign w:val="center"/>
          </w:tcPr>
          <w:p w:rsidR="00C8767D" w:rsidRPr="0097324B" w:rsidRDefault="00C61C82" w:rsidP="00972D6B">
            <w:pPr>
              <w:pStyle w:val="TableText0"/>
              <w:rPr>
                <w:bCs w:val="0"/>
                <w:sz w:val="18"/>
                <w:szCs w:val="18"/>
              </w:rPr>
            </w:pPr>
            <w:r w:rsidRPr="0097324B">
              <w:rPr>
                <w:bCs w:val="0"/>
                <w:sz w:val="18"/>
                <w:szCs w:val="18"/>
              </w:rPr>
              <w:t>MONARCH-2</w:t>
            </w:r>
          </w:p>
        </w:tc>
        <w:tc>
          <w:tcPr>
            <w:tcW w:w="383" w:type="pct"/>
            <w:vAlign w:val="center"/>
          </w:tcPr>
          <w:p w:rsidR="00C8767D" w:rsidRPr="0097324B" w:rsidRDefault="00C8767D" w:rsidP="00C8767D">
            <w:pPr>
              <w:pStyle w:val="TableText0"/>
              <w:jc w:val="center"/>
              <w:rPr>
                <w:sz w:val="18"/>
                <w:szCs w:val="18"/>
              </w:rPr>
            </w:pPr>
            <w:r w:rsidRPr="0097324B">
              <w:rPr>
                <w:sz w:val="18"/>
                <w:szCs w:val="18"/>
              </w:rPr>
              <w:t>669</w:t>
            </w:r>
          </w:p>
        </w:tc>
        <w:tc>
          <w:tcPr>
            <w:tcW w:w="642" w:type="pct"/>
            <w:shd w:val="clear" w:color="auto" w:fill="auto"/>
            <w:vAlign w:val="center"/>
          </w:tcPr>
          <w:p w:rsidR="00C8767D" w:rsidRPr="0097324B" w:rsidRDefault="00C61C82" w:rsidP="00961B33">
            <w:pPr>
              <w:pStyle w:val="TableText0"/>
              <w:rPr>
                <w:sz w:val="18"/>
                <w:szCs w:val="18"/>
              </w:rPr>
            </w:pPr>
            <w:r w:rsidRPr="0097324B">
              <w:rPr>
                <w:sz w:val="18"/>
                <w:szCs w:val="18"/>
              </w:rPr>
              <w:t xml:space="preserve">P3, MC, R, DB </w:t>
            </w:r>
          </w:p>
        </w:tc>
        <w:tc>
          <w:tcPr>
            <w:tcW w:w="770" w:type="pct"/>
            <w:shd w:val="clear" w:color="auto" w:fill="auto"/>
            <w:vAlign w:val="center"/>
          </w:tcPr>
          <w:p w:rsidR="00C8767D" w:rsidRPr="0097324B" w:rsidRDefault="00C8767D" w:rsidP="00961B33">
            <w:pPr>
              <w:pStyle w:val="TableText0"/>
              <w:rPr>
                <w:sz w:val="18"/>
                <w:szCs w:val="18"/>
              </w:rPr>
            </w:pPr>
            <w:r w:rsidRPr="0097324B">
              <w:rPr>
                <w:sz w:val="18"/>
                <w:szCs w:val="18"/>
              </w:rPr>
              <w:t>Abemaciclib + fulvestrant HD 500mg</w:t>
            </w:r>
          </w:p>
          <w:p w:rsidR="00C8767D" w:rsidRPr="0097324B" w:rsidRDefault="00C8767D" w:rsidP="00961B33">
            <w:pPr>
              <w:pStyle w:val="TableText0"/>
              <w:rPr>
                <w:sz w:val="18"/>
                <w:szCs w:val="18"/>
              </w:rPr>
            </w:pPr>
            <w:r w:rsidRPr="0097324B">
              <w:rPr>
                <w:sz w:val="18"/>
                <w:szCs w:val="18"/>
              </w:rPr>
              <w:t>FUL HD 500</w:t>
            </w:r>
          </w:p>
        </w:tc>
        <w:tc>
          <w:tcPr>
            <w:tcW w:w="1668" w:type="pct"/>
            <w:shd w:val="clear" w:color="auto" w:fill="auto"/>
            <w:vAlign w:val="center"/>
          </w:tcPr>
          <w:p w:rsidR="00C8767D" w:rsidRPr="0097324B" w:rsidRDefault="00C8767D" w:rsidP="00961B33">
            <w:pPr>
              <w:pStyle w:val="TableText0"/>
              <w:rPr>
                <w:sz w:val="18"/>
                <w:szCs w:val="18"/>
              </w:rPr>
            </w:pPr>
            <w:r w:rsidRPr="0097324B">
              <w:rPr>
                <w:sz w:val="18"/>
                <w:szCs w:val="18"/>
              </w:rPr>
              <w:t>Acquired ET resistance</w:t>
            </w:r>
            <w:r w:rsidRPr="0097324B">
              <w:rPr>
                <w:iCs/>
                <w:sz w:val="18"/>
                <w:szCs w:val="18"/>
              </w:rPr>
              <w:t>:</w:t>
            </w:r>
            <w:r w:rsidRPr="0097324B">
              <w:rPr>
                <w:sz w:val="18"/>
                <w:szCs w:val="18"/>
              </w:rPr>
              <w:t xml:space="preserve"> either during/</w:t>
            </w:r>
            <w:r w:rsidRPr="0097324B">
              <w:rPr>
                <w:sz w:val="18"/>
                <w:szCs w:val="18"/>
                <w:u w:val="single"/>
              </w:rPr>
              <w:t>&lt;</w:t>
            </w:r>
            <w:r w:rsidRPr="0097324B">
              <w:rPr>
                <w:sz w:val="18"/>
                <w:szCs w:val="18"/>
              </w:rPr>
              <w:t xml:space="preserve">12m of adjuvant ET (primary) </w:t>
            </w:r>
            <w:r w:rsidRPr="0097324B">
              <w:rPr>
                <w:iCs/>
                <w:sz w:val="18"/>
                <w:szCs w:val="18"/>
              </w:rPr>
              <w:t>OR</w:t>
            </w:r>
            <w:r w:rsidRPr="0097324B">
              <w:rPr>
                <w:sz w:val="18"/>
                <w:szCs w:val="18"/>
              </w:rPr>
              <w:t xml:space="preserve"> &gt;12m from adjuvant ET </w:t>
            </w:r>
            <w:r w:rsidRPr="0097324B">
              <w:rPr>
                <w:iCs/>
                <w:sz w:val="18"/>
                <w:szCs w:val="18"/>
              </w:rPr>
              <w:t>OR</w:t>
            </w:r>
            <w:r w:rsidRPr="0097324B">
              <w:rPr>
                <w:sz w:val="18"/>
                <w:szCs w:val="18"/>
              </w:rPr>
              <w:t xml:space="preserve"> </w:t>
            </w:r>
            <w:r w:rsidRPr="0097324B">
              <w:rPr>
                <w:iCs/>
                <w:sz w:val="18"/>
                <w:szCs w:val="18"/>
              </w:rPr>
              <w:t>during</w:t>
            </w:r>
            <w:r w:rsidRPr="0097324B">
              <w:rPr>
                <w:sz w:val="18"/>
                <w:szCs w:val="18"/>
              </w:rPr>
              <w:t xml:space="preserve"> 1L ET for de novo metastatic disease.</w:t>
            </w:r>
          </w:p>
        </w:tc>
        <w:tc>
          <w:tcPr>
            <w:tcW w:w="897" w:type="pct"/>
            <w:shd w:val="clear" w:color="auto" w:fill="auto"/>
            <w:vAlign w:val="center"/>
          </w:tcPr>
          <w:p w:rsidR="00C8767D" w:rsidRPr="0097324B" w:rsidRDefault="00C8767D" w:rsidP="00961B33">
            <w:pPr>
              <w:pStyle w:val="Tabletext"/>
              <w:rPr>
                <w:sz w:val="18"/>
                <w:szCs w:val="18"/>
              </w:rPr>
            </w:pPr>
            <w:r w:rsidRPr="0097324B">
              <w:rPr>
                <w:sz w:val="18"/>
                <w:szCs w:val="18"/>
              </w:rPr>
              <w:t>Primary: Inv-PFS</w:t>
            </w:r>
          </w:p>
          <w:p w:rsidR="00C8767D" w:rsidRPr="0097324B" w:rsidRDefault="00C8767D" w:rsidP="00961B33">
            <w:pPr>
              <w:pStyle w:val="Tabletext"/>
              <w:rPr>
                <w:sz w:val="18"/>
                <w:szCs w:val="18"/>
              </w:rPr>
            </w:pPr>
            <w:r w:rsidRPr="0097324B">
              <w:rPr>
                <w:sz w:val="18"/>
                <w:szCs w:val="18"/>
              </w:rPr>
              <w:t>Secondary: OS, ORR, DOR, CBR, QOL and safety.</w:t>
            </w:r>
          </w:p>
        </w:tc>
      </w:tr>
      <w:tr w:rsidR="00972D6B" w:rsidRPr="0097324B" w:rsidTr="00C8767D">
        <w:trPr>
          <w:trHeight w:val="340"/>
        </w:trPr>
        <w:tc>
          <w:tcPr>
            <w:tcW w:w="5000" w:type="pct"/>
            <w:gridSpan w:val="6"/>
            <w:shd w:val="clear" w:color="auto" w:fill="auto"/>
          </w:tcPr>
          <w:p w:rsidR="00972D6B" w:rsidRPr="0097324B" w:rsidRDefault="00972D6B" w:rsidP="00961B33">
            <w:pPr>
              <w:pStyle w:val="Tabletext"/>
              <w:rPr>
                <w:b/>
                <w:sz w:val="18"/>
                <w:szCs w:val="18"/>
              </w:rPr>
            </w:pPr>
            <w:r w:rsidRPr="0097324B">
              <w:rPr>
                <w:b/>
                <w:sz w:val="18"/>
                <w:szCs w:val="18"/>
              </w:rPr>
              <w:t>Ribociclib plus fulvestrant vs fulvestrant</w:t>
            </w:r>
          </w:p>
        </w:tc>
      </w:tr>
      <w:tr w:rsidR="00972D6B" w:rsidRPr="0097324B" w:rsidTr="00C8767D">
        <w:trPr>
          <w:trHeight w:val="529"/>
        </w:trPr>
        <w:tc>
          <w:tcPr>
            <w:tcW w:w="639" w:type="pct"/>
            <w:shd w:val="clear" w:color="auto" w:fill="auto"/>
            <w:vAlign w:val="center"/>
          </w:tcPr>
          <w:p w:rsidR="00972D6B" w:rsidRPr="0097324B" w:rsidRDefault="00C61C82" w:rsidP="00961B33">
            <w:pPr>
              <w:pStyle w:val="TableText0"/>
              <w:rPr>
                <w:sz w:val="18"/>
                <w:szCs w:val="18"/>
              </w:rPr>
            </w:pPr>
            <w:r w:rsidRPr="0097324B">
              <w:rPr>
                <w:rStyle w:val="SmallBold"/>
                <w:rFonts w:ascii="Arial Narrow" w:hAnsi="Arial Narrow"/>
                <w:b w:val="0"/>
                <w:sz w:val="18"/>
                <w:szCs w:val="18"/>
              </w:rPr>
              <w:t>MONALEESA-3</w:t>
            </w:r>
          </w:p>
        </w:tc>
        <w:tc>
          <w:tcPr>
            <w:tcW w:w="383" w:type="pct"/>
            <w:vAlign w:val="center"/>
          </w:tcPr>
          <w:p w:rsidR="00972D6B" w:rsidRPr="0097324B" w:rsidRDefault="00C8767D" w:rsidP="00C8767D">
            <w:pPr>
              <w:pStyle w:val="TableText0"/>
              <w:jc w:val="center"/>
              <w:rPr>
                <w:sz w:val="18"/>
                <w:szCs w:val="18"/>
              </w:rPr>
            </w:pPr>
            <w:r w:rsidRPr="0097324B">
              <w:rPr>
                <w:sz w:val="18"/>
                <w:szCs w:val="18"/>
              </w:rPr>
              <w:t>726</w:t>
            </w:r>
          </w:p>
        </w:tc>
        <w:tc>
          <w:tcPr>
            <w:tcW w:w="642" w:type="pct"/>
            <w:shd w:val="clear" w:color="auto" w:fill="auto"/>
            <w:vAlign w:val="center"/>
          </w:tcPr>
          <w:p w:rsidR="00972D6B" w:rsidRPr="0097324B" w:rsidRDefault="00972D6B" w:rsidP="00961B33">
            <w:pPr>
              <w:pStyle w:val="TableText0"/>
              <w:rPr>
                <w:sz w:val="18"/>
                <w:szCs w:val="18"/>
              </w:rPr>
            </w:pPr>
            <w:r w:rsidRPr="0097324B">
              <w:rPr>
                <w:sz w:val="18"/>
                <w:szCs w:val="18"/>
              </w:rPr>
              <w:t xml:space="preserve"> MC, R, DB</w:t>
            </w:r>
          </w:p>
        </w:tc>
        <w:tc>
          <w:tcPr>
            <w:tcW w:w="770" w:type="pct"/>
            <w:shd w:val="clear" w:color="auto" w:fill="auto"/>
            <w:vAlign w:val="center"/>
          </w:tcPr>
          <w:p w:rsidR="00972D6B" w:rsidRPr="0097324B" w:rsidRDefault="00972D6B" w:rsidP="00961B33">
            <w:pPr>
              <w:pStyle w:val="TableText0"/>
              <w:rPr>
                <w:sz w:val="18"/>
                <w:szCs w:val="18"/>
              </w:rPr>
            </w:pPr>
            <w:r w:rsidRPr="0097324B">
              <w:rPr>
                <w:sz w:val="18"/>
                <w:szCs w:val="18"/>
              </w:rPr>
              <w:t xml:space="preserve">FUL HD 500mg + </w:t>
            </w:r>
          </w:p>
          <w:p w:rsidR="00972D6B" w:rsidRPr="0097324B" w:rsidRDefault="00972D6B" w:rsidP="00961B33">
            <w:pPr>
              <w:pStyle w:val="TableText0"/>
              <w:rPr>
                <w:sz w:val="18"/>
                <w:szCs w:val="18"/>
              </w:rPr>
            </w:pPr>
            <w:r w:rsidRPr="0097324B">
              <w:rPr>
                <w:sz w:val="18"/>
                <w:szCs w:val="18"/>
              </w:rPr>
              <w:t>Ribociclib 600mg</w:t>
            </w:r>
          </w:p>
        </w:tc>
        <w:tc>
          <w:tcPr>
            <w:tcW w:w="1668" w:type="pct"/>
            <w:shd w:val="clear" w:color="auto" w:fill="auto"/>
            <w:vAlign w:val="center"/>
          </w:tcPr>
          <w:p w:rsidR="00972D6B" w:rsidRPr="0097324B" w:rsidRDefault="00972D6B" w:rsidP="00961B33">
            <w:pPr>
              <w:pStyle w:val="TableText0"/>
              <w:rPr>
                <w:sz w:val="18"/>
                <w:szCs w:val="18"/>
              </w:rPr>
            </w:pPr>
            <w:r w:rsidRPr="0097324B">
              <w:rPr>
                <w:sz w:val="18"/>
                <w:szCs w:val="18"/>
              </w:rPr>
              <w:t xml:space="preserve">De novo advanced BC, or relapsed &gt;12m from completing (neo)adjuvant ET and no treatment for adv or met disease, OR </w:t>
            </w:r>
          </w:p>
          <w:p w:rsidR="00972D6B" w:rsidRPr="0097324B" w:rsidRDefault="00972D6B" w:rsidP="00961B33">
            <w:pPr>
              <w:pStyle w:val="TableText0"/>
              <w:rPr>
                <w:sz w:val="18"/>
                <w:szCs w:val="18"/>
              </w:rPr>
            </w:pPr>
            <w:r w:rsidRPr="0097324B">
              <w:rPr>
                <w:sz w:val="18"/>
                <w:szCs w:val="18"/>
              </w:rPr>
              <w:t>relapsing on or within 12m from (neo)adjuvant ET and no treatment for adv or met disease (early relapse), or relapse &gt;12 m from (neo)adjuvant therapy and after one line of ET for adv or met disease, OR adv or met at diagnosis that progressed after one line of ET with no prior (neo)adjuvant treatment for early disease.</w:t>
            </w:r>
          </w:p>
        </w:tc>
        <w:tc>
          <w:tcPr>
            <w:tcW w:w="897" w:type="pct"/>
            <w:shd w:val="clear" w:color="auto" w:fill="auto"/>
            <w:vAlign w:val="center"/>
          </w:tcPr>
          <w:p w:rsidR="00972D6B" w:rsidRPr="0097324B" w:rsidRDefault="00972D6B" w:rsidP="00961B33">
            <w:pPr>
              <w:pStyle w:val="Tabletext"/>
              <w:rPr>
                <w:sz w:val="18"/>
                <w:szCs w:val="18"/>
              </w:rPr>
            </w:pPr>
            <w:r w:rsidRPr="0097324B">
              <w:rPr>
                <w:sz w:val="18"/>
                <w:szCs w:val="18"/>
              </w:rPr>
              <w:t>Primary: PFS inv</w:t>
            </w:r>
          </w:p>
          <w:p w:rsidR="00972D6B" w:rsidRPr="0097324B" w:rsidRDefault="00972D6B" w:rsidP="00961B33">
            <w:pPr>
              <w:pStyle w:val="Tabletext"/>
              <w:rPr>
                <w:sz w:val="18"/>
                <w:szCs w:val="18"/>
              </w:rPr>
            </w:pPr>
            <w:r w:rsidRPr="0097324B">
              <w:rPr>
                <w:sz w:val="18"/>
                <w:szCs w:val="18"/>
              </w:rPr>
              <w:t>Secondary: OS, ORR and safety.</w:t>
            </w:r>
          </w:p>
        </w:tc>
      </w:tr>
    </w:tbl>
    <w:p w:rsidR="00E9024C" w:rsidRPr="0097324B" w:rsidRDefault="00E9024C" w:rsidP="00E9024C">
      <w:pPr>
        <w:pStyle w:val="TableFooter"/>
      </w:pPr>
      <w:r w:rsidRPr="0097324B">
        <w:t>Source: Figure 2-5, p44 of the submission.</w:t>
      </w:r>
    </w:p>
    <w:p w:rsidR="00620C25" w:rsidRPr="0097324B" w:rsidRDefault="00E9024C" w:rsidP="00C61C82">
      <w:pPr>
        <w:pStyle w:val="TableFooter"/>
        <w:spacing w:after="120"/>
      </w:pPr>
      <w:r w:rsidRPr="0097324B">
        <w:rPr>
          <w:bCs/>
        </w:rPr>
        <w:t>Abbreviations: P3=Phase 3; P2=Phase 2; MC=multi-centre; R=randomised; DB=Double blind; wk=week; LD=loading dose; HD=High dose; AD=Approved dose</w:t>
      </w:r>
      <w:r w:rsidR="00CE3E9F">
        <w:rPr>
          <w:bCs/>
        </w:rPr>
        <w:t>;</w:t>
      </w:r>
      <w:r w:rsidR="006848ED" w:rsidRPr="0097324B">
        <w:rPr>
          <w:bCs/>
        </w:rPr>
        <w:t xml:space="preserve"> </w:t>
      </w:r>
      <w:r w:rsidR="00620C25" w:rsidRPr="0097324B">
        <w:t>OS=overall survival; PFS=progression-free survival; R=randomised</w:t>
      </w:r>
      <w:r w:rsidR="00CD43BC" w:rsidRPr="0097324B">
        <w:t>; FUL HD=fulvestrant high dose</w:t>
      </w:r>
      <w:r w:rsidR="00961B33" w:rsidRPr="0097324B">
        <w:t>; inv=investigator</w:t>
      </w:r>
      <w:r w:rsidR="00CE3E9F">
        <w:t>.</w:t>
      </w:r>
    </w:p>
    <w:p w:rsidR="00360D46" w:rsidRPr="0097324B" w:rsidRDefault="004165EF" w:rsidP="000430AC">
      <w:pPr>
        <w:pStyle w:val="3-BodyText"/>
      </w:pPr>
      <w:r w:rsidRPr="0097324B">
        <w:t>A key difference between the study designs is that</w:t>
      </w:r>
      <w:r w:rsidR="00C04926" w:rsidRPr="0097324B">
        <w:t xml:space="preserve"> the MONARCH-2 study examined the treatment effect of abemaciclib plus fulvestrant</w:t>
      </w:r>
      <w:r w:rsidR="00981807" w:rsidRPr="0097324B">
        <w:t xml:space="preserve"> only</w:t>
      </w:r>
      <w:r w:rsidR="00C04926" w:rsidRPr="0097324B">
        <w:t xml:space="preserve"> in patients with varying degrees of endocrine resistance</w:t>
      </w:r>
      <w:r w:rsidR="00FF58C9" w:rsidRPr="0097324B">
        <w:t xml:space="preserve"> after</w:t>
      </w:r>
      <w:r w:rsidR="00981807" w:rsidRPr="0097324B">
        <w:t xml:space="preserve"> patients with de novo metastatic disease were excluded from MONARCH-2 following an early protocol amendment</w:t>
      </w:r>
      <w:r w:rsidR="00FF58C9" w:rsidRPr="0097324B">
        <w:t xml:space="preserve">; </w:t>
      </w:r>
      <w:r w:rsidR="00981807" w:rsidRPr="0097324B">
        <w:t xml:space="preserve">those already enrolled were not included in the ITT population for the primary efficacy analyses. </w:t>
      </w:r>
      <w:r w:rsidR="00FF58C9" w:rsidRPr="0097324B">
        <w:t xml:space="preserve">Currently, there is only limited evidence from a post hoc exploratory analysis of 44 patients enrolled prior to that amendment to inform treatment with abemaciclib plus fulvestrant in this population. </w:t>
      </w:r>
      <w:r w:rsidR="00981807" w:rsidRPr="0097324B">
        <w:t>By comparison,</w:t>
      </w:r>
      <w:r w:rsidRPr="0097324B">
        <w:t xml:space="preserve"> those with de novo (</w:t>
      </w:r>
      <w:r w:rsidR="00FF58C9" w:rsidRPr="0097324B">
        <w:t xml:space="preserve">newly diagnosed and </w:t>
      </w:r>
      <w:r w:rsidRPr="0097324B">
        <w:t>previously untreated) metastatic disease were enrolled in MONALEESA-3</w:t>
      </w:r>
      <w:r w:rsidR="00981807" w:rsidRPr="0097324B">
        <w:t xml:space="preserve"> and are included in th</w:t>
      </w:r>
      <w:r w:rsidR="00FF58C9" w:rsidRPr="0097324B">
        <w:t>at study’s</w:t>
      </w:r>
      <w:r w:rsidR="00981807" w:rsidRPr="0097324B">
        <w:t xml:space="preserve"> ITT population.</w:t>
      </w:r>
      <w:r w:rsidR="00EF50E1" w:rsidRPr="0097324B">
        <w:t xml:space="preserve"> In</w:t>
      </w:r>
      <w:r w:rsidRPr="0097324B">
        <w:t xml:space="preserve"> </w:t>
      </w:r>
      <w:r w:rsidR="00C04926" w:rsidRPr="0097324B">
        <w:t>the indirect comparison</w:t>
      </w:r>
      <w:r w:rsidRPr="0097324B">
        <w:t>, the hazard ratios</w:t>
      </w:r>
      <w:r w:rsidR="00C04926" w:rsidRPr="0097324B">
        <w:t xml:space="preserve"> </w:t>
      </w:r>
      <w:r w:rsidRPr="0097324B">
        <w:t xml:space="preserve">for </w:t>
      </w:r>
      <w:r w:rsidR="00C04926" w:rsidRPr="0097324B">
        <w:t>ITT populations</w:t>
      </w:r>
      <w:r w:rsidRPr="0097324B">
        <w:t xml:space="preserve"> of both studies were compared</w:t>
      </w:r>
      <w:r w:rsidR="00C04926" w:rsidRPr="0097324B">
        <w:t>, a</w:t>
      </w:r>
      <w:r w:rsidRPr="0097324B">
        <w:t>s well as</w:t>
      </w:r>
      <w:r w:rsidR="00C04926" w:rsidRPr="0097324B">
        <w:t xml:space="preserve"> </w:t>
      </w:r>
      <w:r w:rsidRPr="0097324B">
        <w:t xml:space="preserve">the hazard ratios for the prespecified subgroup in MONALEESA-3 study of patients with </w:t>
      </w:r>
      <w:r w:rsidR="000214DD" w:rsidRPr="0097324B">
        <w:t>endocrine</w:t>
      </w:r>
      <w:r w:rsidRPr="0097324B">
        <w:t xml:space="preserve"> resistance to inform a more comparable population</w:t>
      </w:r>
      <w:r w:rsidR="00EF50E1" w:rsidRPr="0097324B">
        <w:t xml:space="preserve"> with the ITT population in MONARCH-2</w:t>
      </w:r>
      <w:r w:rsidRPr="0097324B">
        <w:t>.</w:t>
      </w:r>
      <w:r w:rsidR="00EF50E1" w:rsidRPr="0097324B">
        <w:t xml:space="preserve"> The listing for abemaciclib </w:t>
      </w:r>
      <w:r w:rsidR="005361D5" w:rsidRPr="0097324B">
        <w:t xml:space="preserve">requested by the submission </w:t>
      </w:r>
      <w:r w:rsidR="00EF50E1" w:rsidRPr="0097324B">
        <w:t>d</w:t>
      </w:r>
      <w:r w:rsidR="005361D5" w:rsidRPr="0097324B">
        <w:t>id</w:t>
      </w:r>
      <w:r w:rsidR="00EF50E1" w:rsidRPr="0097324B">
        <w:t xml:space="preserve"> not include this de novo population.</w:t>
      </w:r>
      <w:r w:rsidR="00EC5DFE" w:rsidRPr="0097324B">
        <w:t xml:space="preserve"> </w:t>
      </w:r>
      <w:r w:rsidR="000430AC" w:rsidRPr="0097324B">
        <w:t>As noted above, t</w:t>
      </w:r>
      <w:r w:rsidR="00EC5DFE" w:rsidRPr="0097324B">
        <w:t xml:space="preserve">he ESC considered this </w:t>
      </w:r>
      <w:r w:rsidR="000430AC" w:rsidRPr="0097324B">
        <w:t xml:space="preserve">that use of CDKI+fulvestrant would be minimal in de novo patients as these patients would likely prefer oral NSAI than </w:t>
      </w:r>
      <w:r w:rsidR="0027536A" w:rsidRPr="0097324B">
        <w:t xml:space="preserve">intramuscular </w:t>
      </w:r>
      <w:r w:rsidR="000430AC" w:rsidRPr="0097324B">
        <w:t>injections of fulvestrant.</w:t>
      </w:r>
      <w:r w:rsidR="000430AC" w:rsidRPr="0097324B">
        <w:rPr>
          <w:i/>
        </w:rPr>
        <w:t xml:space="preserve"> </w:t>
      </w:r>
    </w:p>
    <w:p w:rsidR="000C1DAF" w:rsidRPr="0097324B" w:rsidRDefault="0036570C" w:rsidP="009903B1">
      <w:pPr>
        <w:pStyle w:val="3-BodyText"/>
        <w:rPr>
          <w:iCs/>
        </w:rPr>
      </w:pPr>
      <w:r w:rsidRPr="0097324B">
        <w:t>Following a key protocol amendment,</w:t>
      </w:r>
      <w:r w:rsidR="006E51FF" w:rsidRPr="0097324B">
        <w:t xml:space="preserve"> the starting dose </w:t>
      </w:r>
      <w:r w:rsidRPr="0097324B">
        <w:t xml:space="preserve">for abemaciclib </w:t>
      </w:r>
      <w:r w:rsidR="006E51FF" w:rsidRPr="0097324B">
        <w:t xml:space="preserve">was lowered </w:t>
      </w:r>
      <w:r w:rsidRPr="0097324B">
        <w:t xml:space="preserve">from 200mg twice daily to 150mg twice daily </w:t>
      </w:r>
      <w:r w:rsidR="000C1DAF" w:rsidRPr="0097324B">
        <w:t>to improve tolerability</w:t>
      </w:r>
      <w:r w:rsidRPr="0097324B">
        <w:t>. At this time, 121/441 patients were already enrolled, and a</w:t>
      </w:r>
      <w:r w:rsidR="000C1DAF" w:rsidRPr="0097324B">
        <w:t xml:space="preserve">ll patients were required to switch to the lower dose. </w:t>
      </w:r>
      <w:r w:rsidRPr="0097324B">
        <w:t xml:space="preserve">All patients were included in the safety study (a potential source of bias given the higher rates of discontinuation and dose reduction from the higher dose), and the sample size was expanded to ensure sufficient patients were enrolled at the lower starting dose to assess efficacy. </w:t>
      </w:r>
    </w:p>
    <w:p w:rsidR="007F1017" w:rsidRPr="0097324B" w:rsidRDefault="009F612C" w:rsidP="00EC5836">
      <w:pPr>
        <w:pStyle w:val="3-BodyText"/>
        <w:rPr>
          <w:color w:val="000000" w:themeColor="text1"/>
        </w:rPr>
      </w:pPr>
      <w:r w:rsidRPr="0097324B">
        <w:rPr>
          <w:color w:val="000000" w:themeColor="text1"/>
        </w:rPr>
        <w:lastRenderedPageBreak/>
        <w:t>The two randomised clinical trials identified inform</w:t>
      </w:r>
      <w:r w:rsidR="00D86DD1" w:rsidRPr="0097324B">
        <w:rPr>
          <w:color w:val="000000" w:themeColor="text1"/>
        </w:rPr>
        <w:t>ed</w:t>
      </w:r>
      <w:r w:rsidRPr="0097324B">
        <w:rPr>
          <w:color w:val="000000" w:themeColor="text1"/>
        </w:rPr>
        <w:t xml:space="preserve"> the indirect comparison with the common reference arm of placebo plus fulvestrant 500</w:t>
      </w:r>
      <w:r w:rsidR="00D86DD1" w:rsidRPr="0097324B">
        <w:rPr>
          <w:color w:val="000000" w:themeColor="text1"/>
        </w:rPr>
        <w:t xml:space="preserve"> </w:t>
      </w:r>
      <w:r w:rsidRPr="0097324B">
        <w:rPr>
          <w:color w:val="000000" w:themeColor="text1"/>
        </w:rPr>
        <w:t>mg.</w:t>
      </w:r>
    </w:p>
    <w:p w:rsidR="007F1017" w:rsidRPr="0097324B" w:rsidRDefault="00031E96" w:rsidP="00EC5836">
      <w:pPr>
        <w:pStyle w:val="TableFigureHeading"/>
        <w:rPr>
          <w:rStyle w:val="CommentReference"/>
          <w:b/>
          <w:szCs w:val="24"/>
        </w:rPr>
      </w:pPr>
      <w:r w:rsidRPr="0097324B">
        <w:rPr>
          <w:rStyle w:val="CommentReference"/>
          <w:b/>
          <w:szCs w:val="24"/>
        </w:rPr>
        <w:t>Figure 2</w:t>
      </w:r>
      <w:r w:rsidR="007F1017" w:rsidRPr="0097324B">
        <w:rPr>
          <w:rStyle w:val="CommentReference"/>
          <w:b/>
          <w:szCs w:val="24"/>
        </w:rPr>
        <w:t xml:space="preserve">: </w:t>
      </w:r>
      <w:r w:rsidRPr="0097324B">
        <w:rPr>
          <w:rStyle w:val="CommentReference"/>
          <w:b/>
          <w:szCs w:val="24"/>
        </w:rPr>
        <w:t xml:space="preserve">Network diagram of the trials included to inform an </w:t>
      </w:r>
      <w:r w:rsidR="007F1017" w:rsidRPr="0097324B">
        <w:rPr>
          <w:rStyle w:val="CommentReference"/>
          <w:b/>
          <w:szCs w:val="24"/>
        </w:rPr>
        <w:t>indirect comparison</w:t>
      </w:r>
    </w:p>
    <w:p w:rsidR="00031E96" w:rsidRPr="0097324B" w:rsidRDefault="005B6786" w:rsidP="00EC5836">
      <w:pPr>
        <w:pStyle w:val="TableFigureFooter"/>
      </w:pPr>
      <w:r w:rsidRPr="0097324B">
        <w:rPr>
          <w:noProof/>
        </w:rPr>
        <w:drawing>
          <wp:inline distT="0" distB="0" distL="0" distR="0" wp14:anchorId="5DA46471" wp14:editId="06AE237D">
            <wp:extent cx="4739097" cy="652007"/>
            <wp:effectExtent l="0" t="0" r="4445" b="0"/>
            <wp:docPr id="5" name="Picture 5" descr="A picture containing shoji,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hoji, mirror&#10;&#10;Description automatically generated"/>
                    <pic:cNvPicPr/>
                  </pic:nvPicPr>
                  <pic:blipFill>
                    <a:blip r:embed="rId9"/>
                    <a:stretch>
                      <a:fillRect/>
                    </a:stretch>
                  </pic:blipFill>
                  <pic:spPr>
                    <a:xfrm>
                      <a:off x="0" y="0"/>
                      <a:ext cx="5008396" cy="689057"/>
                    </a:xfrm>
                    <a:prstGeom prst="rect">
                      <a:avLst/>
                    </a:prstGeom>
                  </pic:spPr>
                </pic:pic>
              </a:graphicData>
            </a:graphic>
          </wp:inline>
        </w:drawing>
      </w:r>
    </w:p>
    <w:p w:rsidR="00B60939" w:rsidRPr="0097324B" w:rsidRDefault="00045017" w:rsidP="00EC5836">
      <w:pPr>
        <w:pStyle w:val="TableFigureFooter"/>
      </w:pPr>
      <w:r w:rsidRPr="0097324B">
        <w:t xml:space="preserve">Source: </w:t>
      </w:r>
      <w:r w:rsidR="00391E80" w:rsidRPr="0097324B">
        <w:t>Figure 2-2, p45</w:t>
      </w:r>
      <w:r w:rsidRPr="0097324B">
        <w:t xml:space="preserve"> of the submission.</w:t>
      </w:r>
    </w:p>
    <w:p w:rsidR="00981149" w:rsidRPr="0097324B" w:rsidRDefault="00620C25" w:rsidP="00EC5836">
      <w:pPr>
        <w:pStyle w:val="TableFigureFooter"/>
        <w:rPr>
          <w:szCs w:val="18"/>
        </w:rPr>
      </w:pPr>
      <w:r w:rsidRPr="0097324B">
        <w:t>DB = double blind; MC = multi-centre; OL = open label; OS = overall survival; PFS = progression-free survival; R = randomised.</w:t>
      </w:r>
      <w:r w:rsidR="00981149" w:rsidRPr="0097324B">
        <w:t xml:space="preserve"> FUL500= fulvestrant 500mg; ABE=abemaciclib; RIB=ribociclib.</w:t>
      </w:r>
    </w:p>
    <w:p w:rsidR="00BF7815" w:rsidRPr="0097324B" w:rsidRDefault="00B60939" w:rsidP="001C4A28">
      <w:pPr>
        <w:pStyle w:val="4-SubsectionHeading"/>
      </w:pPr>
      <w:bookmarkStart w:id="12" w:name="_Toc22897641"/>
      <w:bookmarkStart w:id="13" w:name="_Toc62047563"/>
      <w:r w:rsidRPr="0097324B">
        <w:t>Comparative effectiveness</w:t>
      </w:r>
      <w:bookmarkEnd w:id="12"/>
      <w:bookmarkEnd w:id="13"/>
    </w:p>
    <w:p w:rsidR="00360D46" w:rsidRPr="0097324B" w:rsidRDefault="001356C2" w:rsidP="009903B1">
      <w:pPr>
        <w:pStyle w:val="3-BodyText"/>
        <w:rPr>
          <w:color w:val="0066FF"/>
        </w:rPr>
      </w:pPr>
      <w:r w:rsidRPr="0097324B">
        <w:t>Both trials met their primary efficacy endpoint, demonstrating a statistically significant improvement in PFS with the addition of either abemaciclib to fulvestrant (MONARCH-2) or ribociclib to fulvestrant (MONALEESA-3) compared with placebo plus fulvestrant (Table 5).</w:t>
      </w:r>
    </w:p>
    <w:p w:rsidR="0085481A" w:rsidRPr="0097324B" w:rsidRDefault="00886333" w:rsidP="009903B1">
      <w:pPr>
        <w:pStyle w:val="3-BodyText"/>
        <w:rPr>
          <w:color w:val="0066FF"/>
        </w:rPr>
      </w:pPr>
      <w:r w:rsidRPr="0097324B">
        <w:t xml:space="preserve">In MONARCH 2, the addition of abemaciclib to fulvestrant led </w:t>
      </w:r>
      <w:r w:rsidR="008376D9" w:rsidRPr="0097324B">
        <w:t>to</w:t>
      </w:r>
      <w:r w:rsidRPr="0097324B">
        <w:t xml:space="preserve"> a statistically significant improvement in investigator-assessed median PFS of 7.</w:t>
      </w:r>
      <w:r w:rsidR="00F97A20" w:rsidRPr="0097324B">
        <w:t>1</w:t>
      </w:r>
      <w:r w:rsidRPr="0097324B">
        <w:t xml:space="preserve"> months compared with placebo plus fulvestrant. The median PFS was 16.4 months versus 9.3 months (HR = 0.56 [95% CI:0.45, 0.68], p&lt;.0000001), respectively</w:t>
      </w:r>
      <w:r w:rsidR="000678BA" w:rsidRPr="0097324B">
        <w:t>. See Table 5 and Figure 3.</w:t>
      </w:r>
      <w:r w:rsidR="00F97A20" w:rsidRPr="0097324B">
        <w:t xml:space="preserve"> PFS assessment based on a blinded independent radiological review was consistent with the investigator assessment.</w:t>
      </w:r>
    </w:p>
    <w:p w:rsidR="001C4A28" w:rsidRPr="0097324B" w:rsidRDefault="001C4A28" w:rsidP="001C4A28">
      <w:pPr>
        <w:pStyle w:val="TableFigureHeading"/>
      </w:pPr>
      <w:r w:rsidRPr="0097324B">
        <w:t>Table 5</w:t>
      </w:r>
      <w:r w:rsidR="005F172C" w:rsidRPr="0097324B">
        <w:t>:</w:t>
      </w:r>
      <w:r w:rsidRPr="0097324B">
        <w:t xml:space="preserve"> </w:t>
      </w:r>
      <w:r w:rsidR="005D7D98" w:rsidRPr="0097324B">
        <w:t xml:space="preserve">Results of PFS </w:t>
      </w:r>
      <w:r w:rsidR="00686B6D" w:rsidRPr="0097324B">
        <w:t xml:space="preserve">per investigator </w:t>
      </w:r>
      <w:r w:rsidR="005D7D98" w:rsidRPr="0097324B">
        <w:t>and OS in MONARCH-2</w:t>
      </w:r>
      <w:r w:rsidR="00686B6D" w:rsidRPr="0097324B">
        <w:t xml:space="preserve"> (ITT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802"/>
        <w:gridCol w:w="1803"/>
        <w:gridCol w:w="1804"/>
        <w:gridCol w:w="1814"/>
      </w:tblGrid>
      <w:tr w:rsidR="001C4A28" w:rsidRPr="0097324B" w:rsidTr="00DF7F08">
        <w:tc>
          <w:tcPr>
            <w:tcW w:w="1794" w:type="dxa"/>
            <w:vAlign w:val="center"/>
          </w:tcPr>
          <w:p w:rsidR="001C4A28" w:rsidRPr="0097324B" w:rsidRDefault="001C4A28" w:rsidP="00DF7F08">
            <w:pPr>
              <w:pStyle w:val="In-tableHeading"/>
              <w:rPr>
                <w:lang w:val="en-AU"/>
              </w:rPr>
            </w:pPr>
          </w:p>
        </w:tc>
        <w:tc>
          <w:tcPr>
            <w:tcW w:w="1802" w:type="dxa"/>
            <w:vAlign w:val="center"/>
          </w:tcPr>
          <w:p w:rsidR="001C4A28" w:rsidRPr="0097324B" w:rsidRDefault="001C4A28" w:rsidP="00DF7F08">
            <w:pPr>
              <w:pStyle w:val="In-tableHeading"/>
              <w:jc w:val="center"/>
              <w:rPr>
                <w:lang w:val="en-AU"/>
              </w:rPr>
            </w:pPr>
            <w:r w:rsidRPr="0097324B">
              <w:rPr>
                <w:lang w:val="en-AU"/>
              </w:rPr>
              <w:t>ABE+FUL n/N (%)</w:t>
            </w:r>
          </w:p>
        </w:tc>
        <w:tc>
          <w:tcPr>
            <w:tcW w:w="1803" w:type="dxa"/>
            <w:vAlign w:val="center"/>
          </w:tcPr>
          <w:p w:rsidR="001C4A28" w:rsidRPr="0097324B" w:rsidRDefault="001C4A28" w:rsidP="00DF7F08">
            <w:pPr>
              <w:pStyle w:val="In-tableHeading"/>
              <w:jc w:val="center"/>
              <w:rPr>
                <w:lang w:val="en-AU"/>
              </w:rPr>
            </w:pPr>
            <w:r w:rsidRPr="0097324B">
              <w:rPr>
                <w:lang w:val="en-AU"/>
              </w:rPr>
              <w:t>PBO+FUL n/N (%)</w:t>
            </w:r>
          </w:p>
        </w:tc>
        <w:tc>
          <w:tcPr>
            <w:tcW w:w="1804" w:type="dxa"/>
            <w:vAlign w:val="center"/>
          </w:tcPr>
          <w:p w:rsidR="001C4A28" w:rsidRPr="0097324B" w:rsidRDefault="001C4A28" w:rsidP="00DF7F08">
            <w:pPr>
              <w:pStyle w:val="In-tableHeading"/>
              <w:jc w:val="center"/>
              <w:rPr>
                <w:lang w:val="en-AU"/>
              </w:rPr>
            </w:pPr>
            <w:r w:rsidRPr="0097324B">
              <w:rPr>
                <w:lang w:val="en-AU"/>
              </w:rPr>
              <w:t>Absolute difference</w:t>
            </w:r>
          </w:p>
        </w:tc>
        <w:tc>
          <w:tcPr>
            <w:tcW w:w="1814" w:type="dxa"/>
            <w:vAlign w:val="center"/>
          </w:tcPr>
          <w:p w:rsidR="001C4A28" w:rsidRPr="0097324B" w:rsidRDefault="001C4A28" w:rsidP="00DF7F08">
            <w:pPr>
              <w:pStyle w:val="In-tableHeading"/>
              <w:jc w:val="center"/>
              <w:rPr>
                <w:lang w:val="en-AU"/>
              </w:rPr>
            </w:pPr>
            <w:r w:rsidRPr="0097324B">
              <w:rPr>
                <w:lang w:val="en-AU"/>
              </w:rPr>
              <w:t>HR (95% CI)</w:t>
            </w:r>
          </w:p>
        </w:tc>
      </w:tr>
      <w:tr w:rsidR="001C4A28" w:rsidRPr="0097324B" w:rsidTr="00DF7F08">
        <w:tc>
          <w:tcPr>
            <w:tcW w:w="9017" w:type="dxa"/>
            <w:gridSpan w:val="5"/>
            <w:vAlign w:val="center"/>
          </w:tcPr>
          <w:p w:rsidR="001C4A28" w:rsidRPr="0097324B" w:rsidRDefault="001C4A28" w:rsidP="00DF7F08">
            <w:pPr>
              <w:pStyle w:val="In-tableHeading"/>
              <w:rPr>
                <w:lang w:val="en-AU"/>
              </w:rPr>
            </w:pPr>
            <w:r w:rsidRPr="0097324B">
              <w:rPr>
                <w:lang w:val="en-AU"/>
              </w:rPr>
              <w:t>Progression-free survival as primary PFS analysis at 14 February 2017</w:t>
            </w:r>
          </w:p>
        </w:tc>
      </w:tr>
      <w:tr w:rsidR="001C4A28" w:rsidRPr="0097324B" w:rsidTr="00DF7F08">
        <w:tc>
          <w:tcPr>
            <w:tcW w:w="1794" w:type="dxa"/>
            <w:vAlign w:val="center"/>
          </w:tcPr>
          <w:p w:rsidR="001C4A28" w:rsidRPr="0097324B" w:rsidRDefault="001C4A28" w:rsidP="00DF7F08">
            <w:pPr>
              <w:pStyle w:val="TableText0"/>
            </w:pPr>
            <w:r w:rsidRPr="0097324B">
              <w:t>Patients with event</w:t>
            </w:r>
          </w:p>
        </w:tc>
        <w:tc>
          <w:tcPr>
            <w:tcW w:w="1802" w:type="dxa"/>
            <w:vAlign w:val="center"/>
          </w:tcPr>
          <w:p w:rsidR="001C4A28" w:rsidRPr="0097324B" w:rsidRDefault="001C4A28" w:rsidP="00DF7F08">
            <w:pPr>
              <w:pStyle w:val="TableText0"/>
              <w:jc w:val="center"/>
            </w:pPr>
            <w:r w:rsidRPr="0097324B">
              <w:t>222/446 (49.8%)</w:t>
            </w:r>
          </w:p>
        </w:tc>
        <w:tc>
          <w:tcPr>
            <w:tcW w:w="1803" w:type="dxa"/>
            <w:vAlign w:val="center"/>
          </w:tcPr>
          <w:p w:rsidR="001C4A28" w:rsidRPr="0097324B" w:rsidRDefault="001C4A28" w:rsidP="00DF7F08">
            <w:pPr>
              <w:pStyle w:val="TableText0"/>
              <w:jc w:val="center"/>
            </w:pPr>
            <w:r w:rsidRPr="0097324B">
              <w:t xml:space="preserve">157/223 </w:t>
            </w:r>
            <w:r w:rsidR="00D86DD1" w:rsidRPr="0097324B">
              <w:t>(</w:t>
            </w:r>
            <w:r w:rsidRPr="0097324B">
              <w:t>70.4%)</w:t>
            </w:r>
          </w:p>
        </w:tc>
        <w:tc>
          <w:tcPr>
            <w:tcW w:w="1804" w:type="dxa"/>
            <w:vAlign w:val="center"/>
          </w:tcPr>
          <w:p w:rsidR="001C4A28" w:rsidRPr="0097324B" w:rsidRDefault="001C4A28" w:rsidP="00DF7F08">
            <w:pPr>
              <w:pStyle w:val="TableText0"/>
              <w:jc w:val="center"/>
            </w:pPr>
            <w:r w:rsidRPr="0097324B">
              <w:t>20.6%</w:t>
            </w:r>
          </w:p>
        </w:tc>
        <w:tc>
          <w:tcPr>
            <w:tcW w:w="1814" w:type="dxa"/>
            <w:vAlign w:val="center"/>
          </w:tcPr>
          <w:p w:rsidR="001C4A28" w:rsidRPr="0097324B" w:rsidRDefault="001C4A28" w:rsidP="00DF7F08">
            <w:pPr>
              <w:pStyle w:val="TableText0"/>
              <w:jc w:val="center"/>
            </w:pPr>
            <w:r w:rsidRPr="0097324B">
              <w:t>-</w:t>
            </w:r>
          </w:p>
        </w:tc>
      </w:tr>
      <w:tr w:rsidR="001C4A28" w:rsidRPr="0097324B" w:rsidTr="00DF7F08">
        <w:tc>
          <w:tcPr>
            <w:tcW w:w="1794" w:type="dxa"/>
            <w:vAlign w:val="center"/>
          </w:tcPr>
          <w:p w:rsidR="001C4A28" w:rsidRPr="0097324B" w:rsidRDefault="001C4A28" w:rsidP="00DF7F08">
            <w:pPr>
              <w:pStyle w:val="TableText0"/>
            </w:pPr>
            <w:r w:rsidRPr="0097324B">
              <w:t>Median PFS months (95% CI)</w:t>
            </w:r>
          </w:p>
        </w:tc>
        <w:tc>
          <w:tcPr>
            <w:tcW w:w="1802" w:type="dxa"/>
            <w:vAlign w:val="center"/>
          </w:tcPr>
          <w:p w:rsidR="001C4A28" w:rsidRPr="0097324B" w:rsidRDefault="001C4A28" w:rsidP="00DF7F08">
            <w:pPr>
              <w:pStyle w:val="TableText0"/>
              <w:jc w:val="center"/>
            </w:pPr>
            <w:r w:rsidRPr="0097324B">
              <w:t>16.4</w:t>
            </w:r>
          </w:p>
        </w:tc>
        <w:tc>
          <w:tcPr>
            <w:tcW w:w="1803" w:type="dxa"/>
            <w:vAlign w:val="center"/>
          </w:tcPr>
          <w:p w:rsidR="001C4A28" w:rsidRPr="0097324B" w:rsidRDefault="001C4A28" w:rsidP="00DF7F08">
            <w:pPr>
              <w:pStyle w:val="TableText0"/>
              <w:jc w:val="center"/>
            </w:pPr>
            <w:r w:rsidRPr="0097324B">
              <w:t>9.3</w:t>
            </w:r>
          </w:p>
        </w:tc>
        <w:tc>
          <w:tcPr>
            <w:tcW w:w="1804" w:type="dxa"/>
            <w:vAlign w:val="center"/>
          </w:tcPr>
          <w:p w:rsidR="001C4A28" w:rsidRPr="0097324B" w:rsidRDefault="001C4A28" w:rsidP="00DF7F08">
            <w:pPr>
              <w:pStyle w:val="TableText0"/>
              <w:jc w:val="center"/>
            </w:pPr>
            <w:r w:rsidRPr="0097324B">
              <w:t>7.1 months</w:t>
            </w:r>
          </w:p>
        </w:tc>
        <w:tc>
          <w:tcPr>
            <w:tcW w:w="1814" w:type="dxa"/>
            <w:vAlign w:val="center"/>
          </w:tcPr>
          <w:p w:rsidR="001C4A28" w:rsidRPr="0097324B" w:rsidRDefault="001C4A28" w:rsidP="00DF7F08">
            <w:pPr>
              <w:pStyle w:val="TableText0"/>
              <w:jc w:val="center"/>
            </w:pPr>
            <w:r w:rsidRPr="0097324B">
              <w:t>0.55 [95% CI:0.45, 0.68], p&lt;0.0000001</w:t>
            </w:r>
          </w:p>
        </w:tc>
      </w:tr>
      <w:tr w:rsidR="001C4A28" w:rsidRPr="0097324B" w:rsidTr="00DF7F08">
        <w:tc>
          <w:tcPr>
            <w:tcW w:w="9017" w:type="dxa"/>
            <w:gridSpan w:val="5"/>
            <w:vAlign w:val="center"/>
          </w:tcPr>
          <w:p w:rsidR="001C4A28" w:rsidRPr="0097324B" w:rsidRDefault="001C4A28" w:rsidP="00D86DD1">
            <w:pPr>
              <w:pStyle w:val="In-tableHeading"/>
              <w:rPr>
                <w:lang w:val="en-AU"/>
              </w:rPr>
            </w:pPr>
            <w:r w:rsidRPr="0097324B">
              <w:rPr>
                <w:lang w:val="en-AU"/>
              </w:rPr>
              <w:t xml:space="preserve">Overall survival as at </w:t>
            </w:r>
            <w:r w:rsidR="00D86DD1" w:rsidRPr="0097324B">
              <w:rPr>
                <w:lang w:val="en-AU"/>
              </w:rPr>
              <w:t>i</w:t>
            </w:r>
            <w:r w:rsidRPr="0097324B">
              <w:rPr>
                <w:lang w:val="en-AU"/>
              </w:rPr>
              <w:t xml:space="preserve">nterim OS analysis </w:t>
            </w:r>
            <w:r w:rsidR="00D86DD1" w:rsidRPr="0097324B">
              <w:rPr>
                <w:lang w:val="en-AU"/>
              </w:rPr>
              <w:t xml:space="preserve">at 20 </w:t>
            </w:r>
            <w:r w:rsidRPr="0097324B">
              <w:rPr>
                <w:lang w:val="en-AU"/>
              </w:rPr>
              <w:t>June 2019</w:t>
            </w:r>
          </w:p>
        </w:tc>
      </w:tr>
      <w:tr w:rsidR="001C4A28" w:rsidRPr="0097324B" w:rsidTr="00DF7F08">
        <w:tc>
          <w:tcPr>
            <w:tcW w:w="1794" w:type="dxa"/>
            <w:vAlign w:val="center"/>
          </w:tcPr>
          <w:p w:rsidR="001C4A28" w:rsidRPr="0097324B" w:rsidRDefault="001C4A28" w:rsidP="00DF7F08">
            <w:pPr>
              <w:pStyle w:val="TableText0"/>
            </w:pPr>
            <w:r w:rsidRPr="0097324B">
              <w:t>Patients with event</w:t>
            </w:r>
          </w:p>
        </w:tc>
        <w:tc>
          <w:tcPr>
            <w:tcW w:w="1802" w:type="dxa"/>
            <w:vAlign w:val="center"/>
          </w:tcPr>
          <w:p w:rsidR="001C4A28" w:rsidRPr="0097324B" w:rsidRDefault="001C4A28" w:rsidP="00D86DD1">
            <w:pPr>
              <w:pStyle w:val="TableText0"/>
              <w:jc w:val="center"/>
            </w:pPr>
            <w:r w:rsidRPr="0097324B">
              <w:t xml:space="preserve">211/466 </w:t>
            </w:r>
            <w:r w:rsidR="00D86DD1" w:rsidRPr="0097324B">
              <w:t>(</w:t>
            </w:r>
            <w:r w:rsidRPr="0097324B">
              <w:t>47 %)</w:t>
            </w:r>
          </w:p>
        </w:tc>
        <w:tc>
          <w:tcPr>
            <w:tcW w:w="1803" w:type="dxa"/>
            <w:vAlign w:val="center"/>
          </w:tcPr>
          <w:p w:rsidR="001C4A28" w:rsidRPr="0097324B" w:rsidRDefault="001C4A28" w:rsidP="00DF7F08">
            <w:pPr>
              <w:pStyle w:val="TableText0"/>
              <w:jc w:val="center"/>
            </w:pPr>
            <w:r w:rsidRPr="0097324B">
              <w:t>127/223 (57%)</w:t>
            </w:r>
          </w:p>
        </w:tc>
        <w:tc>
          <w:tcPr>
            <w:tcW w:w="1804" w:type="dxa"/>
            <w:vAlign w:val="center"/>
          </w:tcPr>
          <w:p w:rsidR="001C4A28" w:rsidRPr="0097324B" w:rsidRDefault="001C4A28" w:rsidP="00DF7F08">
            <w:pPr>
              <w:pStyle w:val="TableText0"/>
              <w:jc w:val="center"/>
            </w:pPr>
            <w:r w:rsidRPr="0097324B">
              <w:t>9.7%</w:t>
            </w:r>
          </w:p>
        </w:tc>
        <w:tc>
          <w:tcPr>
            <w:tcW w:w="1814" w:type="dxa"/>
            <w:vAlign w:val="center"/>
          </w:tcPr>
          <w:p w:rsidR="001C4A28" w:rsidRPr="0097324B" w:rsidRDefault="001C4A28" w:rsidP="00DF7F08">
            <w:pPr>
              <w:pStyle w:val="TableText0"/>
              <w:jc w:val="center"/>
            </w:pPr>
            <w:r w:rsidRPr="0097324B">
              <w:t>-</w:t>
            </w:r>
          </w:p>
        </w:tc>
      </w:tr>
      <w:tr w:rsidR="001C4A28" w:rsidRPr="0097324B" w:rsidTr="00DF7F08">
        <w:tc>
          <w:tcPr>
            <w:tcW w:w="1794" w:type="dxa"/>
            <w:vAlign w:val="center"/>
          </w:tcPr>
          <w:p w:rsidR="001C4A28" w:rsidRPr="0097324B" w:rsidRDefault="001C4A28" w:rsidP="00DF7F08">
            <w:pPr>
              <w:pStyle w:val="TableText0"/>
            </w:pPr>
            <w:r w:rsidRPr="0097324B">
              <w:t>Median months OS (95% CI)</w:t>
            </w:r>
          </w:p>
        </w:tc>
        <w:tc>
          <w:tcPr>
            <w:tcW w:w="1802" w:type="dxa"/>
            <w:vAlign w:val="center"/>
          </w:tcPr>
          <w:p w:rsidR="001C4A28" w:rsidRPr="0097324B" w:rsidRDefault="001C4A28" w:rsidP="00DF7F08">
            <w:pPr>
              <w:pStyle w:val="TableText0"/>
              <w:jc w:val="center"/>
            </w:pPr>
            <w:r w:rsidRPr="0097324B">
              <w:t xml:space="preserve">46.7 (39.2, 52.2) </w:t>
            </w:r>
          </w:p>
        </w:tc>
        <w:tc>
          <w:tcPr>
            <w:tcW w:w="1803" w:type="dxa"/>
            <w:vAlign w:val="center"/>
          </w:tcPr>
          <w:p w:rsidR="001C4A28" w:rsidRPr="0097324B" w:rsidRDefault="001C4A28" w:rsidP="00DF7F08">
            <w:pPr>
              <w:pStyle w:val="TableText0"/>
              <w:jc w:val="center"/>
            </w:pPr>
            <w:r w:rsidRPr="0097324B">
              <w:t xml:space="preserve">37.2 (34.36, 43.20) </w:t>
            </w:r>
          </w:p>
        </w:tc>
        <w:tc>
          <w:tcPr>
            <w:tcW w:w="1804" w:type="dxa"/>
            <w:vAlign w:val="center"/>
          </w:tcPr>
          <w:p w:rsidR="001C4A28" w:rsidRPr="0097324B" w:rsidRDefault="001C4A28" w:rsidP="00DF7F08">
            <w:pPr>
              <w:pStyle w:val="TableText0"/>
              <w:jc w:val="center"/>
            </w:pPr>
            <w:r w:rsidRPr="0097324B">
              <w:t>9.5 months</w:t>
            </w:r>
          </w:p>
        </w:tc>
        <w:tc>
          <w:tcPr>
            <w:tcW w:w="1814" w:type="dxa"/>
            <w:vAlign w:val="center"/>
          </w:tcPr>
          <w:p w:rsidR="001C4A28" w:rsidRPr="0097324B" w:rsidRDefault="001C4A28" w:rsidP="00DF7F08">
            <w:pPr>
              <w:pStyle w:val="TableText0"/>
              <w:jc w:val="center"/>
            </w:pPr>
            <w:r w:rsidRPr="0097324B">
              <w:t xml:space="preserve">0.757 (0.606, 0.945) </w:t>
            </w:r>
          </w:p>
          <w:p w:rsidR="001C4A28" w:rsidRPr="0097324B" w:rsidRDefault="001C4A28" w:rsidP="00DF7F08">
            <w:pPr>
              <w:pStyle w:val="TableText0"/>
              <w:jc w:val="center"/>
            </w:pPr>
            <w:r w:rsidRPr="0097324B">
              <w:t>p=0.014</w:t>
            </w:r>
          </w:p>
        </w:tc>
      </w:tr>
    </w:tbl>
    <w:p w:rsidR="001C4A28" w:rsidRPr="0097324B" w:rsidRDefault="001C4A28" w:rsidP="001C4A28">
      <w:pPr>
        <w:pStyle w:val="TableFigureFooter"/>
        <w:rPr>
          <w:sz w:val="20"/>
        </w:rPr>
      </w:pPr>
      <w:r w:rsidRPr="0097324B">
        <w:t>Source: Table JPBL.7.1., p19 of CSR Addendum</w:t>
      </w:r>
    </w:p>
    <w:p w:rsidR="000678BA" w:rsidRPr="0097324B" w:rsidRDefault="000678BA" w:rsidP="000678BA">
      <w:pPr>
        <w:pStyle w:val="TableFigureHeading"/>
      </w:pPr>
      <w:r w:rsidRPr="0097324B">
        <w:lastRenderedPageBreak/>
        <w:t>Figure 3</w:t>
      </w:r>
      <w:r w:rsidR="005F172C" w:rsidRPr="0097324B">
        <w:t>:</w:t>
      </w:r>
      <w:r w:rsidRPr="0097324B">
        <w:t xml:space="preserve"> Kaplan-Meier plot of investigator-assessed PFS in MONARCH-2 (ITT population)</w:t>
      </w:r>
    </w:p>
    <w:p w:rsidR="000678BA" w:rsidRPr="0097324B" w:rsidRDefault="00E52564" w:rsidP="000678BA">
      <w:pPr>
        <w:pStyle w:val="3-BodyText"/>
        <w:numPr>
          <w:ilvl w:val="0"/>
          <w:numId w:val="0"/>
        </w:numPr>
        <w:ind w:left="720" w:hanging="720"/>
        <w:rPr>
          <w:color w:val="0066FF"/>
        </w:rPr>
      </w:pPr>
      <w:r w:rsidRPr="0097324B">
        <w:rPr>
          <w:noProof/>
        </w:rPr>
        <w:drawing>
          <wp:inline distT="0" distB="0" distL="0" distR="0" wp14:anchorId="5BCB24C6" wp14:editId="1B4E9F17">
            <wp:extent cx="5526156" cy="3649311"/>
            <wp:effectExtent l="0" t="0" r="0" b="889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pic:nvPicPr>
                  <pic:blipFill>
                    <a:blip r:embed="rId10"/>
                    <a:stretch>
                      <a:fillRect/>
                    </a:stretch>
                  </pic:blipFill>
                  <pic:spPr>
                    <a:xfrm>
                      <a:off x="0" y="0"/>
                      <a:ext cx="5650405" cy="3731362"/>
                    </a:xfrm>
                    <a:prstGeom prst="rect">
                      <a:avLst/>
                    </a:prstGeom>
                  </pic:spPr>
                </pic:pic>
              </a:graphicData>
            </a:graphic>
          </wp:inline>
        </w:drawing>
      </w:r>
    </w:p>
    <w:p w:rsidR="000678BA" w:rsidRPr="0097324B" w:rsidRDefault="000678BA" w:rsidP="00BC6C98">
      <w:pPr>
        <w:pStyle w:val="TableFigureFooter"/>
      </w:pPr>
      <w:r w:rsidRPr="0097324B">
        <w:t xml:space="preserve">Source: Figure </w:t>
      </w:r>
      <w:r w:rsidR="00FA4FC7" w:rsidRPr="0097324B">
        <w:t xml:space="preserve">2-5 </w:t>
      </w:r>
      <w:r w:rsidRPr="0097324B">
        <w:t>of ES of the submission</w:t>
      </w:r>
    </w:p>
    <w:p w:rsidR="000B2C44" w:rsidRPr="0097324B" w:rsidRDefault="00344171" w:rsidP="000B2C44">
      <w:pPr>
        <w:pStyle w:val="3-BodyText"/>
        <w:rPr>
          <w:color w:val="0066FF"/>
        </w:rPr>
      </w:pPr>
      <w:r w:rsidRPr="0097324B">
        <w:t xml:space="preserve">Secondary efficacy endpoints of overall survival and objective response rates were also statistically significantly improved in </w:t>
      </w:r>
      <w:r w:rsidR="008D29D1" w:rsidRPr="0097324B">
        <w:t>MONARCH 2</w:t>
      </w:r>
      <w:r w:rsidR="000B2C44" w:rsidRPr="0097324B">
        <w:t xml:space="preserve">, with </w:t>
      </w:r>
      <w:r w:rsidR="008D29D1" w:rsidRPr="0097324B">
        <w:t xml:space="preserve">the addition of </w:t>
      </w:r>
      <w:r w:rsidR="007102DC" w:rsidRPr="0097324B">
        <w:t>abemaciclib</w:t>
      </w:r>
      <w:r w:rsidR="008D29D1" w:rsidRPr="0097324B">
        <w:t xml:space="preserve"> to fulvestrant</w:t>
      </w:r>
      <w:r w:rsidR="00FC22AF" w:rsidRPr="0097324B">
        <w:t>,</w:t>
      </w:r>
      <w:r w:rsidR="008872FB" w:rsidRPr="0097324B">
        <w:t xml:space="preserve"> compared </w:t>
      </w:r>
      <w:r w:rsidR="00FC22AF" w:rsidRPr="0097324B">
        <w:t>with</w:t>
      </w:r>
      <w:r w:rsidR="008872FB" w:rsidRPr="0097324B">
        <w:t xml:space="preserve"> fulvestrant alone</w:t>
      </w:r>
      <w:r w:rsidR="000B2C44" w:rsidRPr="0097324B">
        <w:t xml:space="preserve">: </w:t>
      </w:r>
      <w:r w:rsidR="003D48FE" w:rsidRPr="0097324B">
        <w:t xml:space="preserve">after median follow-up of 47 months, </w:t>
      </w:r>
      <w:r w:rsidR="000B2C44" w:rsidRPr="0097324B">
        <w:t>the risk of death was reduced by 24% (HR, 0.757; 95%CI, 0.606-0.945; P =0.01), and the median OS was improved by 9.5 months (47 months vs 37.3 months)</w:t>
      </w:r>
      <w:r w:rsidR="00DA2F6B" w:rsidRPr="0097324B">
        <w:t xml:space="preserve"> </w:t>
      </w:r>
      <w:r w:rsidR="003D48FE" w:rsidRPr="0097324B">
        <w:t>(Figure</w:t>
      </w:r>
      <w:r w:rsidR="00314516" w:rsidRPr="0097324B">
        <w:t xml:space="preserve"> </w:t>
      </w:r>
      <w:r w:rsidR="003D48FE" w:rsidRPr="0097324B">
        <w:t>4)</w:t>
      </w:r>
      <w:r w:rsidR="000B2C44" w:rsidRPr="0097324B">
        <w:t>.</w:t>
      </w:r>
      <w:r w:rsidR="003D48FE" w:rsidRPr="0097324B">
        <w:t xml:space="preserve"> Subgroup analyses were consistent with the ITT analysis. </w:t>
      </w:r>
    </w:p>
    <w:p w:rsidR="003D48FE" w:rsidRPr="0097324B" w:rsidRDefault="003D48FE" w:rsidP="003D48FE">
      <w:pPr>
        <w:pStyle w:val="TableFigureHeading"/>
      </w:pPr>
      <w:r w:rsidRPr="0097324B">
        <w:lastRenderedPageBreak/>
        <w:t>Figure 4</w:t>
      </w:r>
      <w:r w:rsidR="005F172C" w:rsidRPr="0097324B">
        <w:t>:</w:t>
      </w:r>
      <w:r w:rsidRPr="0097324B">
        <w:t xml:space="preserve"> Kaplan-Meier plot of overall survival in MONARCH-2 study (ITT population)</w:t>
      </w:r>
    </w:p>
    <w:p w:rsidR="003D48FE" w:rsidRPr="0097324B" w:rsidRDefault="003D48FE" w:rsidP="003D48FE">
      <w:pPr>
        <w:pStyle w:val="3-BodyText"/>
        <w:keepNext/>
        <w:numPr>
          <w:ilvl w:val="0"/>
          <w:numId w:val="0"/>
        </w:numPr>
        <w:rPr>
          <w:color w:val="0066FF"/>
        </w:rPr>
      </w:pPr>
      <w:r w:rsidRPr="0097324B">
        <w:rPr>
          <w:noProof/>
        </w:rPr>
        <w:drawing>
          <wp:inline distT="0" distB="0" distL="0" distR="0" wp14:anchorId="53936658" wp14:editId="4450B83A">
            <wp:extent cx="5732145" cy="2804099"/>
            <wp:effectExtent l="0" t="0" r="0" b="3175"/>
            <wp:docPr id="11" name="Picture 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line chart&#10;&#10;Description automatically generated"/>
                    <pic:cNvPicPr/>
                  </pic:nvPicPr>
                  <pic:blipFill>
                    <a:blip r:embed="rId11"/>
                    <a:stretch>
                      <a:fillRect/>
                    </a:stretch>
                  </pic:blipFill>
                  <pic:spPr>
                    <a:xfrm>
                      <a:off x="0" y="0"/>
                      <a:ext cx="5732145" cy="2804099"/>
                    </a:xfrm>
                    <a:prstGeom prst="rect">
                      <a:avLst/>
                    </a:prstGeom>
                  </pic:spPr>
                </pic:pic>
              </a:graphicData>
            </a:graphic>
          </wp:inline>
        </w:drawing>
      </w:r>
    </w:p>
    <w:p w:rsidR="00760C4E" w:rsidRPr="0097324B" w:rsidRDefault="00314516" w:rsidP="00EC5836">
      <w:pPr>
        <w:pStyle w:val="3-BodyText"/>
        <w:rPr>
          <w:color w:val="000000" w:themeColor="text1"/>
        </w:rPr>
      </w:pPr>
      <w:r w:rsidRPr="0097324B">
        <w:rPr>
          <w:color w:val="000000" w:themeColor="text1"/>
        </w:rPr>
        <w:t xml:space="preserve">Objective response rates (mostly partial responses) in the MONARCH-2 study were increased two-fold with abemaciclib added to fulvestrant </w:t>
      </w:r>
      <w:r w:rsidRPr="0097324B">
        <w:rPr>
          <w:snapToGrid/>
          <w:color w:val="000000" w:themeColor="text1"/>
        </w:rPr>
        <w:t>(35.2 % vs 16.1%)</w:t>
      </w:r>
      <w:r w:rsidR="00815B29" w:rsidRPr="0097324B">
        <w:rPr>
          <w:snapToGrid/>
          <w:color w:val="000000" w:themeColor="text1"/>
        </w:rPr>
        <w:t>.</w:t>
      </w:r>
    </w:p>
    <w:p w:rsidR="0036570C" w:rsidRPr="0097324B" w:rsidRDefault="0036570C" w:rsidP="00EC5836">
      <w:pPr>
        <w:pStyle w:val="3-BodyText"/>
        <w:rPr>
          <w:color w:val="000000" w:themeColor="text1"/>
        </w:rPr>
      </w:pPr>
      <w:r w:rsidRPr="0097324B">
        <w:t>Efficacy data do not appear to have been affected by the lowering of the initial starting dose, and the median duration of treatment at the higher dose was only 34 days.</w:t>
      </w:r>
    </w:p>
    <w:p w:rsidR="00B34FE2" w:rsidRPr="0097324B" w:rsidRDefault="006F1079" w:rsidP="00EC5836">
      <w:pPr>
        <w:pStyle w:val="3-BodyText"/>
        <w:rPr>
          <w:color w:val="000000" w:themeColor="text1"/>
        </w:rPr>
      </w:pPr>
      <w:r>
        <w:rPr>
          <w:snapToGrid/>
          <w:color w:val="000000" w:themeColor="text1"/>
        </w:rPr>
        <w:t>The available quality of life data indicated a</w:t>
      </w:r>
      <w:r w:rsidR="00777348" w:rsidRPr="0097324B">
        <w:rPr>
          <w:snapToGrid/>
          <w:color w:val="000000" w:themeColor="text1"/>
        </w:rPr>
        <w:t xml:space="preserve"> significant decrease in </w:t>
      </w:r>
      <w:r w:rsidR="00F82A77" w:rsidRPr="0097324B">
        <w:rPr>
          <w:snapToGrid/>
          <w:color w:val="000000" w:themeColor="text1"/>
        </w:rPr>
        <w:t xml:space="preserve">the </w:t>
      </w:r>
      <w:r w:rsidR="00777348" w:rsidRPr="0097324B">
        <w:rPr>
          <w:snapToGrid/>
          <w:color w:val="000000" w:themeColor="text1"/>
        </w:rPr>
        <w:t>quality of life</w:t>
      </w:r>
      <w:r w:rsidR="00F82A77" w:rsidRPr="0097324B">
        <w:rPr>
          <w:snapToGrid/>
          <w:color w:val="000000" w:themeColor="text1"/>
        </w:rPr>
        <w:t xml:space="preserve"> domain</w:t>
      </w:r>
      <w:r w:rsidR="00777348" w:rsidRPr="0097324B">
        <w:rPr>
          <w:snapToGrid/>
          <w:color w:val="000000" w:themeColor="text1"/>
        </w:rPr>
        <w:t xml:space="preserve"> </w:t>
      </w:r>
      <w:r w:rsidR="00F82A77" w:rsidRPr="0097324B">
        <w:rPr>
          <w:snapToGrid/>
          <w:color w:val="000000" w:themeColor="text1"/>
        </w:rPr>
        <w:t>assessing the impact of</w:t>
      </w:r>
      <w:r w:rsidR="00777348" w:rsidRPr="0097324B">
        <w:rPr>
          <w:snapToGrid/>
          <w:color w:val="000000" w:themeColor="text1"/>
        </w:rPr>
        <w:t xml:space="preserve"> diarrhoea, but improvements</w:t>
      </w:r>
      <w:r w:rsidR="007F688C" w:rsidRPr="0097324B">
        <w:rPr>
          <w:snapToGrid/>
          <w:color w:val="000000" w:themeColor="text1"/>
        </w:rPr>
        <w:t xml:space="preserve"> in</w:t>
      </w:r>
      <w:r w:rsidR="00777348" w:rsidRPr="0097324B">
        <w:rPr>
          <w:snapToGrid/>
          <w:color w:val="000000" w:themeColor="text1"/>
        </w:rPr>
        <w:t xml:space="preserve"> </w:t>
      </w:r>
      <w:r w:rsidR="00F82A77" w:rsidRPr="0097324B">
        <w:rPr>
          <w:snapToGrid/>
          <w:color w:val="000000" w:themeColor="text1"/>
        </w:rPr>
        <w:t>two other domains (</w:t>
      </w:r>
      <w:r w:rsidR="00777348" w:rsidRPr="0097324B">
        <w:rPr>
          <w:snapToGrid/>
          <w:color w:val="000000" w:themeColor="text1"/>
        </w:rPr>
        <w:t xml:space="preserve">pain and time to symptom </w:t>
      </w:r>
      <w:r w:rsidR="00F82A77" w:rsidRPr="0097324B">
        <w:rPr>
          <w:snapToGrid/>
          <w:color w:val="000000" w:themeColor="text1"/>
        </w:rPr>
        <w:t>development)</w:t>
      </w:r>
      <w:r w:rsidR="00777348" w:rsidRPr="0097324B">
        <w:rPr>
          <w:snapToGrid/>
          <w:color w:val="000000" w:themeColor="text1"/>
        </w:rPr>
        <w:t xml:space="preserve"> with abemaciclib plus fulvestrant</w:t>
      </w:r>
      <w:r w:rsidR="007F688C" w:rsidRPr="0097324B">
        <w:rPr>
          <w:snapToGrid/>
          <w:color w:val="000000" w:themeColor="text1"/>
        </w:rPr>
        <w:t xml:space="preserve"> compared with fulvestrant alone</w:t>
      </w:r>
      <w:r w:rsidR="00777348" w:rsidRPr="0097324B">
        <w:rPr>
          <w:snapToGrid/>
          <w:color w:val="000000" w:themeColor="text1"/>
        </w:rPr>
        <w:t>.</w:t>
      </w:r>
    </w:p>
    <w:p w:rsidR="00BA07BF" w:rsidRPr="0097324B" w:rsidRDefault="00BA07BF" w:rsidP="00477314">
      <w:pPr>
        <w:pStyle w:val="3-BodyText"/>
        <w:rPr>
          <w:szCs w:val="18"/>
        </w:rPr>
      </w:pPr>
      <w:r w:rsidRPr="0097324B">
        <w:rPr>
          <w:snapToGrid/>
        </w:rPr>
        <w:t>Table</w:t>
      </w:r>
      <w:r w:rsidR="00C04926" w:rsidRPr="0097324B">
        <w:rPr>
          <w:snapToGrid/>
        </w:rPr>
        <w:t>s</w:t>
      </w:r>
      <w:r w:rsidRPr="0097324B">
        <w:rPr>
          <w:snapToGrid/>
        </w:rPr>
        <w:t xml:space="preserve"> 6</w:t>
      </w:r>
      <w:r w:rsidR="00FF58C9" w:rsidRPr="0097324B">
        <w:rPr>
          <w:snapToGrid/>
        </w:rPr>
        <w:t xml:space="preserve"> and 7</w:t>
      </w:r>
      <w:r w:rsidR="00C04926" w:rsidRPr="0097324B">
        <w:rPr>
          <w:snapToGrid/>
        </w:rPr>
        <w:t xml:space="preserve"> </w:t>
      </w:r>
      <w:r w:rsidRPr="0097324B">
        <w:rPr>
          <w:snapToGrid/>
        </w:rPr>
        <w:t>present the indirect comparison of PFS by investigator assessment</w:t>
      </w:r>
      <w:r w:rsidR="00F6188C" w:rsidRPr="0097324B">
        <w:rPr>
          <w:snapToGrid/>
        </w:rPr>
        <w:t xml:space="preserve"> </w:t>
      </w:r>
      <w:r w:rsidR="00C04926" w:rsidRPr="0097324B">
        <w:rPr>
          <w:snapToGrid/>
        </w:rPr>
        <w:t xml:space="preserve">and OS, respectively </w:t>
      </w:r>
      <w:r w:rsidR="001111F4" w:rsidRPr="0097324B">
        <w:rPr>
          <w:snapToGrid/>
        </w:rPr>
        <w:t>from the MONARCH-2 and MONALEESA-3 studies</w:t>
      </w:r>
      <w:r w:rsidRPr="0097324B">
        <w:rPr>
          <w:snapToGrid/>
        </w:rPr>
        <w:t xml:space="preserve">. </w:t>
      </w:r>
      <w:r w:rsidR="00C04926" w:rsidRPr="0097324B">
        <w:rPr>
          <w:snapToGrid/>
        </w:rPr>
        <w:t>U</w:t>
      </w:r>
      <w:r w:rsidR="003735C2" w:rsidRPr="0097324B">
        <w:rPr>
          <w:snapToGrid/>
        </w:rPr>
        <w:t xml:space="preserve">pdated </w:t>
      </w:r>
      <w:r w:rsidRPr="0097324B">
        <w:rPr>
          <w:snapToGrid/>
        </w:rPr>
        <w:t>PFS</w:t>
      </w:r>
      <w:r w:rsidR="003735C2" w:rsidRPr="0097324B">
        <w:rPr>
          <w:snapToGrid/>
        </w:rPr>
        <w:t xml:space="preserve"> </w:t>
      </w:r>
      <w:r w:rsidR="0016543D" w:rsidRPr="0097324B">
        <w:rPr>
          <w:snapToGrid/>
        </w:rPr>
        <w:t>analyses</w:t>
      </w:r>
      <w:r w:rsidR="003735C2" w:rsidRPr="0097324B">
        <w:rPr>
          <w:snapToGrid/>
        </w:rPr>
        <w:t xml:space="preserve"> </w:t>
      </w:r>
      <w:r w:rsidR="003735C2" w:rsidRPr="0097324B">
        <w:rPr>
          <w:iCs/>
          <w:snapToGrid/>
        </w:rPr>
        <w:t>(rather than data from the primary efficacy timepoint)</w:t>
      </w:r>
      <w:r w:rsidRPr="0097324B">
        <w:rPr>
          <w:snapToGrid/>
        </w:rPr>
        <w:t xml:space="preserve"> and OS</w:t>
      </w:r>
      <w:r w:rsidR="0016543D" w:rsidRPr="0097324B">
        <w:rPr>
          <w:snapToGrid/>
        </w:rPr>
        <w:t xml:space="preserve"> analyses</w:t>
      </w:r>
      <w:r w:rsidR="003735C2" w:rsidRPr="0097324B">
        <w:rPr>
          <w:snapToGrid/>
        </w:rPr>
        <w:t xml:space="preserve"> were </w:t>
      </w:r>
      <w:r w:rsidR="00C04926" w:rsidRPr="0097324B">
        <w:rPr>
          <w:snapToGrid/>
        </w:rPr>
        <w:t>indirectly compared</w:t>
      </w:r>
      <w:r w:rsidR="003735C2" w:rsidRPr="0097324B">
        <w:rPr>
          <w:snapToGrid/>
        </w:rPr>
        <w:t xml:space="preserve"> in the ITT populations of both </w:t>
      </w:r>
      <w:r w:rsidR="00C04926" w:rsidRPr="0097324B">
        <w:rPr>
          <w:snapToGrid/>
        </w:rPr>
        <w:t>studies</w:t>
      </w:r>
      <w:r w:rsidR="00FF58C9" w:rsidRPr="0097324B">
        <w:rPr>
          <w:snapToGrid/>
        </w:rPr>
        <w:t>.</w:t>
      </w:r>
      <w:r w:rsidR="001111F4" w:rsidRPr="0097324B">
        <w:rPr>
          <w:snapToGrid/>
        </w:rPr>
        <w:t xml:space="preserve"> </w:t>
      </w:r>
      <w:r w:rsidR="00FF58C9" w:rsidRPr="0097324B">
        <w:rPr>
          <w:snapToGrid/>
        </w:rPr>
        <w:t>T</w:t>
      </w:r>
      <w:r w:rsidR="00C04926" w:rsidRPr="0097324B">
        <w:rPr>
          <w:snapToGrid/>
        </w:rPr>
        <w:t xml:space="preserve">he main difference between the studies </w:t>
      </w:r>
      <w:r w:rsidR="00464E03" w:rsidRPr="0097324B">
        <w:rPr>
          <w:snapToGrid/>
        </w:rPr>
        <w:t>likely to influence the</w:t>
      </w:r>
      <w:r w:rsidR="00C04926" w:rsidRPr="0097324B">
        <w:rPr>
          <w:snapToGrid/>
        </w:rPr>
        <w:t xml:space="preserve"> treatment effect, was the inclusion of</w:t>
      </w:r>
      <w:r w:rsidR="00FF58C9" w:rsidRPr="0097324B">
        <w:rPr>
          <w:snapToGrid/>
        </w:rPr>
        <w:t xml:space="preserve"> </w:t>
      </w:r>
      <w:r w:rsidR="00C04926" w:rsidRPr="0097324B">
        <w:rPr>
          <w:snapToGrid/>
        </w:rPr>
        <w:t xml:space="preserve">patients </w:t>
      </w:r>
      <w:r w:rsidR="00FF58C9" w:rsidRPr="0097324B">
        <w:rPr>
          <w:snapToGrid/>
        </w:rPr>
        <w:t xml:space="preserve">with </w:t>
      </w:r>
      <w:r w:rsidR="00FF58C9" w:rsidRPr="0097324B">
        <w:rPr>
          <w:iCs/>
          <w:snapToGrid/>
        </w:rPr>
        <w:t>de novo</w:t>
      </w:r>
      <w:r w:rsidR="00FF58C9" w:rsidRPr="0097324B">
        <w:rPr>
          <w:snapToGrid/>
        </w:rPr>
        <w:t xml:space="preserve"> metastatic disease </w:t>
      </w:r>
      <w:r w:rsidR="00C04926" w:rsidRPr="0097324B">
        <w:rPr>
          <w:snapToGrid/>
        </w:rPr>
        <w:t>in the MONALEESA-3 study</w:t>
      </w:r>
      <w:r w:rsidR="00464E03" w:rsidRPr="0097324B">
        <w:rPr>
          <w:snapToGrid/>
        </w:rPr>
        <w:t xml:space="preserve"> due to their inherently better prognosis and treatment-responsiveness</w:t>
      </w:r>
      <w:r w:rsidR="00FF58C9" w:rsidRPr="0097324B">
        <w:rPr>
          <w:snapToGrid/>
        </w:rPr>
        <w:t>. This is addressed by</w:t>
      </w:r>
      <w:r w:rsidR="001111F4" w:rsidRPr="0097324B">
        <w:rPr>
          <w:snapToGrid/>
        </w:rPr>
        <w:t xml:space="preserve"> a subsequent comparison between the prespecified subgroup of patients </w:t>
      </w:r>
      <w:r w:rsidR="00FF58C9" w:rsidRPr="0097324B">
        <w:rPr>
          <w:snapToGrid/>
        </w:rPr>
        <w:t xml:space="preserve">with endocrine-resistant disease </w:t>
      </w:r>
      <w:r w:rsidR="001111F4" w:rsidRPr="0097324B">
        <w:rPr>
          <w:snapToGrid/>
        </w:rPr>
        <w:t xml:space="preserve">in the MONALEESA-3 study </w:t>
      </w:r>
      <w:r w:rsidR="001111F4" w:rsidRPr="0097324B">
        <w:rPr>
          <w:szCs w:val="18"/>
        </w:rPr>
        <w:t xml:space="preserve">(i.e. excluding those with endocrine therapy-naïve </w:t>
      </w:r>
      <w:r w:rsidR="001111F4" w:rsidRPr="0097324B">
        <w:rPr>
          <w:iCs/>
          <w:szCs w:val="18"/>
        </w:rPr>
        <w:t>de novo</w:t>
      </w:r>
      <w:r w:rsidR="001111F4" w:rsidRPr="0097324B">
        <w:rPr>
          <w:szCs w:val="18"/>
        </w:rPr>
        <w:t xml:space="preserve"> metastatic disease in the MONALEESA-3), and the MONARCH-2 ITT population (all of whom had endocrine-resistan</w:t>
      </w:r>
      <w:r w:rsidR="00BD379E" w:rsidRPr="0097324B">
        <w:rPr>
          <w:szCs w:val="18"/>
        </w:rPr>
        <w:t>t disease</w:t>
      </w:r>
      <w:r w:rsidR="001111F4" w:rsidRPr="0097324B">
        <w:rPr>
          <w:szCs w:val="18"/>
        </w:rPr>
        <w:t>).</w:t>
      </w:r>
      <w:r w:rsidR="00464E03" w:rsidRPr="0097324B">
        <w:rPr>
          <w:szCs w:val="18"/>
        </w:rPr>
        <w:t xml:space="preserve"> </w:t>
      </w:r>
      <w:r w:rsidR="00B94459" w:rsidRPr="0097324B">
        <w:rPr>
          <w:iCs/>
          <w:snapToGrid/>
          <w:color w:val="000000" w:themeColor="text1"/>
        </w:rPr>
        <w:t>The data used have been corrected to show the PFS at the time of prespecified analysis of the primary efficacy endpoint.</w:t>
      </w:r>
      <w:r w:rsidR="00D75865" w:rsidRPr="0097324B">
        <w:rPr>
          <w:iCs/>
          <w:snapToGrid/>
          <w:color w:val="000000" w:themeColor="text1"/>
        </w:rPr>
        <w:t xml:space="preserve"> </w:t>
      </w:r>
    </w:p>
    <w:p w:rsidR="0034537A" w:rsidRPr="0097324B" w:rsidRDefault="00110E49" w:rsidP="0034537A">
      <w:pPr>
        <w:pStyle w:val="TableFigureHeading"/>
      </w:pPr>
      <w:r w:rsidRPr="0097324B">
        <w:lastRenderedPageBreak/>
        <w:t xml:space="preserve">Table </w:t>
      </w:r>
      <w:r w:rsidR="0034537A" w:rsidRPr="0097324B">
        <w:t>6</w:t>
      </w:r>
      <w:r w:rsidR="005F172C" w:rsidRPr="0097324B">
        <w:t>:</w:t>
      </w:r>
      <w:r w:rsidR="0034537A" w:rsidRPr="0097324B">
        <w:t xml:space="preserve"> Indirect comparisons of the primary endpoint, PFS - investigator assessed </w:t>
      </w:r>
      <w:r w:rsidR="0034537A" w:rsidRPr="0097324B">
        <w:rPr>
          <w:szCs w:val="22"/>
        </w:rPr>
        <w:t xml:space="preserve">in MONARCH-2 </w:t>
      </w:r>
      <w:r w:rsidR="0034537A" w:rsidRPr="0097324B">
        <w:t>(ITT Population)</w:t>
      </w:r>
      <w:r w:rsidR="0034537A" w:rsidRPr="0097324B">
        <w:rPr>
          <w:szCs w:val="22"/>
        </w:rPr>
        <w:t xml:space="preserve"> and MONALEESA-3 </w:t>
      </w:r>
      <w:r w:rsidR="0034537A" w:rsidRPr="0097324B">
        <w:t>(ITT Population &amp; Endocrine resistant subgroup</w:t>
      </w:r>
      <w:r w:rsidR="0034537A" w:rsidRPr="0097324B">
        <w:rPr>
          <w:szCs w:val="22"/>
        </w:rPr>
        <w:t>)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8"/>
        <w:gridCol w:w="1327"/>
        <w:gridCol w:w="1196"/>
        <w:gridCol w:w="1196"/>
        <w:gridCol w:w="1461"/>
        <w:gridCol w:w="1365"/>
        <w:gridCol w:w="1154"/>
      </w:tblGrid>
      <w:tr w:rsidR="0034537A" w:rsidRPr="0097324B" w:rsidTr="00E01C63">
        <w:tc>
          <w:tcPr>
            <w:tcW w:w="731" w:type="pct"/>
            <w:shd w:val="clear" w:color="auto" w:fill="auto"/>
            <w:tcMar>
              <w:top w:w="0" w:type="dxa"/>
              <w:left w:w="108" w:type="dxa"/>
              <w:bottom w:w="0" w:type="dxa"/>
              <w:right w:w="108" w:type="dxa"/>
            </w:tcMar>
            <w:vAlign w:val="center"/>
            <w:hideMark/>
          </w:tcPr>
          <w:p w:rsidR="0034537A" w:rsidRPr="0097324B" w:rsidRDefault="0034537A" w:rsidP="0034537A">
            <w:pPr>
              <w:pStyle w:val="TableFigureHeading"/>
              <w:rPr>
                <w:sz w:val="18"/>
                <w:szCs w:val="18"/>
              </w:rPr>
            </w:pPr>
            <w:r w:rsidRPr="0097324B">
              <w:rPr>
                <w:sz w:val="18"/>
                <w:szCs w:val="18"/>
              </w:rPr>
              <w:t>Trial</w:t>
            </w:r>
          </w:p>
        </w:tc>
        <w:tc>
          <w:tcPr>
            <w:tcW w:w="736" w:type="pct"/>
            <w:shd w:val="clear" w:color="auto" w:fill="auto"/>
            <w:tcMar>
              <w:top w:w="0" w:type="dxa"/>
              <w:left w:w="108" w:type="dxa"/>
              <w:bottom w:w="0" w:type="dxa"/>
              <w:right w:w="108" w:type="dxa"/>
            </w:tcMar>
            <w:vAlign w:val="center"/>
            <w:hideMark/>
          </w:tcPr>
          <w:p w:rsidR="0034537A" w:rsidRPr="0097324B" w:rsidRDefault="0034537A" w:rsidP="0034537A">
            <w:pPr>
              <w:pStyle w:val="TableFigureHeading"/>
              <w:rPr>
                <w:sz w:val="18"/>
                <w:szCs w:val="18"/>
              </w:rPr>
            </w:pPr>
            <w:r w:rsidRPr="0097324B">
              <w:rPr>
                <w:sz w:val="18"/>
                <w:szCs w:val="18"/>
              </w:rPr>
              <w:t>Comparison</w:t>
            </w:r>
          </w:p>
        </w:tc>
        <w:tc>
          <w:tcPr>
            <w:tcW w:w="663" w:type="pct"/>
            <w:shd w:val="clear" w:color="auto" w:fill="auto"/>
            <w:tcMar>
              <w:top w:w="0" w:type="dxa"/>
              <w:left w:w="108" w:type="dxa"/>
              <w:bottom w:w="0" w:type="dxa"/>
              <w:right w:w="108" w:type="dxa"/>
            </w:tcMar>
            <w:vAlign w:val="center"/>
            <w:hideMark/>
          </w:tcPr>
          <w:p w:rsidR="0034537A" w:rsidRPr="0097324B" w:rsidRDefault="0034537A" w:rsidP="00C15E36">
            <w:pPr>
              <w:pStyle w:val="TableFigureHeading"/>
              <w:jc w:val="center"/>
              <w:rPr>
                <w:sz w:val="18"/>
                <w:szCs w:val="18"/>
              </w:rPr>
            </w:pPr>
            <w:r w:rsidRPr="0097324B">
              <w:rPr>
                <w:sz w:val="18"/>
                <w:szCs w:val="18"/>
              </w:rPr>
              <w:t>Test</w:t>
            </w:r>
          </w:p>
          <w:p w:rsidR="0034537A" w:rsidRPr="0097324B" w:rsidRDefault="0034537A" w:rsidP="00C15E36">
            <w:pPr>
              <w:pStyle w:val="TableFigureHeading"/>
              <w:jc w:val="center"/>
              <w:rPr>
                <w:sz w:val="18"/>
                <w:szCs w:val="18"/>
              </w:rPr>
            </w:pPr>
            <w:r w:rsidRPr="0097324B">
              <w:rPr>
                <w:sz w:val="18"/>
                <w:szCs w:val="18"/>
              </w:rPr>
              <w:t>n/N (%)</w:t>
            </w:r>
          </w:p>
        </w:tc>
        <w:tc>
          <w:tcPr>
            <w:tcW w:w="663" w:type="pct"/>
            <w:shd w:val="clear" w:color="auto" w:fill="auto"/>
            <w:tcMar>
              <w:top w:w="0" w:type="dxa"/>
              <w:left w:w="108" w:type="dxa"/>
              <w:bottom w:w="0" w:type="dxa"/>
              <w:right w:w="108" w:type="dxa"/>
            </w:tcMar>
            <w:vAlign w:val="center"/>
            <w:hideMark/>
          </w:tcPr>
          <w:p w:rsidR="0034537A" w:rsidRPr="0097324B" w:rsidRDefault="0034537A" w:rsidP="00C15E36">
            <w:pPr>
              <w:pStyle w:val="TableFigureHeading"/>
              <w:jc w:val="center"/>
              <w:rPr>
                <w:sz w:val="18"/>
                <w:szCs w:val="18"/>
              </w:rPr>
            </w:pPr>
            <w:r w:rsidRPr="0097324B">
              <w:rPr>
                <w:sz w:val="18"/>
                <w:szCs w:val="18"/>
              </w:rPr>
              <w:t>Control</w:t>
            </w:r>
          </w:p>
          <w:p w:rsidR="0034537A" w:rsidRPr="0097324B" w:rsidRDefault="0034537A" w:rsidP="00C15E36">
            <w:pPr>
              <w:pStyle w:val="TableFigureHeading"/>
              <w:jc w:val="center"/>
              <w:rPr>
                <w:sz w:val="18"/>
                <w:szCs w:val="18"/>
              </w:rPr>
            </w:pPr>
            <w:r w:rsidRPr="0097324B">
              <w:rPr>
                <w:sz w:val="18"/>
                <w:szCs w:val="18"/>
              </w:rPr>
              <w:t>n/N (%)</w:t>
            </w:r>
          </w:p>
        </w:tc>
        <w:tc>
          <w:tcPr>
            <w:tcW w:w="810" w:type="pct"/>
            <w:shd w:val="clear" w:color="auto" w:fill="auto"/>
            <w:tcMar>
              <w:top w:w="0" w:type="dxa"/>
              <w:left w:w="108" w:type="dxa"/>
              <w:bottom w:w="0" w:type="dxa"/>
              <w:right w:w="108" w:type="dxa"/>
            </w:tcMar>
            <w:vAlign w:val="center"/>
            <w:hideMark/>
          </w:tcPr>
          <w:p w:rsidR="0034537A" w:rsidRPr="0097324B" w:rsidRDefault="0034537A" w:rsidP="00C15E36">
            <w:pPr>
              <w:pStyle w:val="TableFigureHeading"/>
              <w:jc w:val="center"/>
              <w:rPr>
                <w:sz w:val="18"/>
                <w:szCs w:val="18"/>
              </w:rPr>
            </w:pPr>
            <w:r w:rsidRPr="0097324B">
              <w:rPr>
                <w:sz w:val="18"/>
                <w:szCs w:val="18"/>
              </w:rPr>
              <w:t xml:space="preserve">Test Median, </w:t>
            </w:r>
            <w:r w:rsidRPr="0097324B">
              <w:rPr>
                <w:sz w:val="18"/>
                <w:szCs w:val="18"/>
              </w:rPr>
              <w:br/>
              <w:t>Months (95% CI)</w:t>
            </w:r>
          </w:p>
        </w:tc>
        <w:tc>
          <w:tcPr>
            <w:tcW w:w="757" w:type="pct"/>
            <w:shd w:val="clear" w:color="auto" w:fill="auto"/>
            <w:tcMar>
              <w:top w:w="0" w:type="dxa"/>
              <w:left w:w="108" w:type="dxa"/>
              <w:bottom w:w="0" w:type="dxa"/>
              <w:right w:w="108" w:type="dxa"/>
            </w:tcMar>
            <w:vAlign w:val="center"/>
            <w:hideMark/>
          </w:tcPr>
          <w:p w:rsidR="0034537A" w:rsidRPr="0097324B" w:rsidRDefault="0034537A" w:rsidP="00C15E36">
            <w:pPr>
              <w:pStyle w:val="TableFigureHeading"/>
              <w:jc w:val="center"/>
              <w:rPr>
                <w:sz w:val="18"/>
                <w:szCs w:val="18"/>
              </w:rPr>
            </w:pPr>
            <w:r w:rsidRPr="0097324B">
              <w:rPr>
                <w:sz w:val="18"/>
                <w:szCs w:val="18"/>
              </w:rPr>
              <w:t xml:space="preserve">Control Median, </w:t>
            </w:r>
            <w:r w:rsidRPr="0097324B">
              <w:rPr>
                <w:sz w:val="18"/>
                <w:szCs w:val="18"/>
              </w:rPr>
              <w:br/>
              <w:t>Months (95% CI)</w:t>
            </w:r>
          </w:p>
        </w:tc>
        <w:tc>
          <w:tcPr>
            <w:tcW w:w="641" w:type="pct"/>
            <w:shd w:val="clear" w:color="auto" w:fill="auto"/>
            <w:tcMar>
              <w:top w:w="0" w:type="dxa"/>
              <w:left w:w="108" w:type="dxa"/>
              <w:bottom w:w="0" w:type="dxa"/>
              <w:right w:w="108" w:type="dxa"/>
            </w:tcMar>
            <w:vAlign w:val="center"/>
            <w:hideMark/>
          </w:tcPr>
          <w:p w:rsidR="0034537A" w:rsidRPr="0097324B" w:rsidRDefault="0034537A" w:rsidP="00C15E36">
            <w:pPr>
              <w:pStyle w:val="TableFigureHeading"/>
              <w:jc w:val="center"/>
              <w:rPr>
                <w:sz w:val="18"/>
                <w:szCs w:val="18"/>
              </w:rPr>
            </w:pPr>
            <w:r w:rsidRPr="0097324B">
              <w:rPr>
                <w:sz w:val="18"/>
                <w:szCs w:val="18"/>
              </w:rPr>
              <w:t>Hazard Ratio</w:t>
            </w:r>
          </w:p>
          <w:p w:rsidR="0034537A" w:rsidRPr="0097324B" w:rsidRDefault="0034537A" w:rsidP="00C15E36">
            <w:pPr>
              <w:pStyle w:val="TableFigureHeading"/>
              <w:jc w:val="center"/>
              <w:rPr>
                <w:sz w:val="18"/>
                <w:szCs w:val="18"/>
              </w:rPr>
            </w:pPr>
            <w:r w:rsidRPr="0097324B">
              <w:rPr>
                <w:sz w:val="18"/>
                <w:szCs w:val="18"/>
              </w:rPr>
              <w:t>(95% CI)</w:t>
            </w:r>
          </w:p>
          <w:p w:rsidR="0034537A" w:rsidRPr="0097324B" w:rsidRDefault="0034537A" w:rsidP="00C15E36">
            <w:pPr>
              <w:pStyle w:val="TableFigureHeading"/>
              <w:jc w:val="center"/>
              <w:rPr>
                <w:sz w:val="18"/>
                <w:szCs w:val="18"/>
              </w:rPr>
            </w:pPr>
            <w:r w:rsidRPr="0097324B">
              <w:rPr>
                <w:sz w:val="18"/>
                <w:szCs w:val="18"/>
              </w:rPr>
              <w:t>p-value</w:t>
            </w:r>
          </w:p>
        </w:tc>
      </w:tr>
      <w:tr w:rsidR="0034537A" w:rsidRPr="0097324B" w:rsidTr="00E01C63">
        <w:trPr>
          <w:trHeight w:val="360"/>
        </w:trPr>
        <w:tc>
          <w:tcPr>
            <w:tcW w:w="5000" w:type="pct"/>
            <w:gridSpan w:val="7"/>
            <w:tcMar>
              <w:top w:w="0" w:type="dxa"/>
              <w:left w:w="108" w:type="dxa"/>
              <w:bottom w:w="0" w:type="dxa"/>
              <w:right w:w="108" w:type="dxa"/>
            </w:tcMar>
            <w:vAlign w:val="center"/>
          </w:tcPr>
          <w:p w:rsidR="0034537A" w:rsidRPr="0097324B" w:rsidRDefault="0034537A" w:rsidP="00755BFD">
            <w:pPr>
              <w:pStyle w:val="Table"/>
              <w:rPr>
                <w:rFonts w:ascii="Arial Narrow" w:hAnsi="Arial Narrow"/>
                <w:sz w:val="18"/>
                <w:szCs w:val="18"/>
              </w:rPr>
            </w:pPr>
            <w:r w:rsidRPr="0097324B">
              <w:rPr>
                <w:rStyle w:val="SmallBold"/>
                <w:rFonts w:ascii="Arial Narrow" w:hAnsi="Arial Narrow"/>
                <w:sz w:val="18"/>
                <w:szCs w:val="18"/>
              </w:rPr>
              <w:t>Progression free survival; ITT population</w:t>
            </w:r>
          </w:p>
        </w:tc>
      </w:tr>
      <w:tr w:rsidR="0034537A" w:rsidRPr="0097324B" w:rsidTr="00E01C63">
        <w:trPr>
          <w:trHeight w:val="360"/>
        </w:trPr>
        <w:tc>
          <w:tcPr>
            <w:tcW w:w="731" w:type="pct"/>
            <w:tcMar>
              <w:top w:w="0" w:type="dxa"/>
              <w:left w:w="108" w:type="dxa"/>
              <w:bottom w:w="0" w:type="dxa"/>
              <w:right w:w="108" w:type="dxa"/>
            </w:tcMar>
            <w:vAlign w:val="center"/>
            <w:hideMark/>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MONARCH-2</w:t>
            </w:r>
          </w:p>
        </w:tc>
        <w:tc>
          <w:tcPr>
            <w:tcW w:w="736" w:type="pct"/>
            <w:tcMar>
              <w:top w:w="0" w:type="dxa"/>
              <w:left w:w="108" w:type="dxa"/>
              <w:bottom w:w="0" w:type="dxa"/>
              <w:right w:w="108" w:type="dxa"/>
            </w:tcMar>
            <w:vAlign w:val="center"/>
            <w:hideMark/>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 xml:space="preserve">ABE+FUL vs. </w:t>
            </w:r>
          </w:p>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PBO+FUL</w:t>
            </w:r>
          </w:p>
        </w:tc>
        <w:tc>
          <w:tcPr>
            <w:tcW w:w="663" w:type="pct"/>
            <w:tcMar>
              <w:top w:w="0" w:type="dxa"/>
              <w:left w:w="108" w:type="dxa"/>
              <w:bottom w:w="0" w:type="dxa"/>
              <w:right w:w="108" w:type="dxa"/>
            </w:tcMar>
            <w:vAlign w:val="center"/>
            <w:hideMark/>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297/446 (66.6)</w:t>
            </w:r>
          </w:p>
        </w:tc>
        <w:tc>
          <w:tcPr>
            <w:tcW w:w="663" w:type="pct"/>
            <w:tcMar>
              <w:top w:w="0" w:type="dxa"/>
              <w:left w:w="108" w:type="dxa"/>
              <w:bottom w:w="0" w:type="dxa"/>
              <w:right w:w="108" w:type="dxa"/>
            </w:tcMar>
            <w:vAlign w:val="center"/>
            <w:hideMark/>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193/223 (86.5)</w:t>
            </w:r>
          </w:p>
        </w:tc>
        <w:tc>
          <w:tcPr>
            <w:tcW w:w="810"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16.9</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[NR; NR]</w:t>
            </w:r>
          </w:p>
        </w:tc>
        <w:tc>
          <w:tcPr>
            <w:tcW w:w="757"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9.3</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[NR; NR]</w:t>
            </w:r>
          </w:p>
        </w:tc>
        <w:tc>
          <w:tcPr>
            <w:tcW w:w="641"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0.54</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[0.45; 0.64]</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&lt;0.0001</w:t>
            </w:r>
          </w:p>
        </w:tc>
      </w:tr>
      <w:tr w:rsidR="0034537A" w:rsidRPr="0097324B" w:rsidTr="00E01C63">
        <w:trPr>
          <w:trHeight w:val="360"/>
        </w:trPr>
        <w:tc>
          <w:tcPr>
            <w:tcW w:w="731" w:type="pct"/>
            <w:tcMar>
              <w:top w:w="0" w:type="dxa"/>
              <w:left w:w="108" w:type="dxa"/>
              <w:bottom w:w="0" w:type="dxa"/>
              <w:right w:w="108" w:type="dxa"/>
            </w:tcMar>
            <w:vAlign w:val="center"/>
            <w:hideMark/>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MONALEESA-3</w:t>
            </w:r>
          </w:p>
        </w:tc>
        <w:tc>
          <w:tcPr>
            <w:tcW w:w="736" w:type="pct"/>
            <w:tcMar>
              <w:top w:w="0" w:type="dxa"/>
              <w:left w:w="108" w:type="dxa"/>
              <w:bottom w:w="0" w:type="dxa"/>
              <w:right w:w="108" w:type="dxa"/>
            </w:tcMar>
            <w:vAlign w:val="center"/>
            <w:hideMark/>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 xml:space="preserve">RIB+FUL vs. </w:t>
            </w:r>
          </w:p>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PBO+FUL</w:t>
            </w:r>
          </w:p>
        </w:tc>
        <w:tc>
          <w:tcPr>
            <w:tcW w:w="663" w:type="pct"/>
            <w:tcMar>
              <w:top w:w="0" w:type="dxa"/>
              <w:left w:w="108" w:type="dxa"/>
              <w:bottom w:w="0" w:type="dxa"/>
              <w:right w:w="108" w:type="dxa"/>
            </w:tcMar>
            <w:vAlign w:val="center"/>
            <w:hideMark/>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283/484 (58.5)</w:t>
            </w:r>
          </w:p>
        </w:tc>
        <w:tc>
          <w:tcPr>
            <w:tcW w:w="663" w:type="pct"/>
            <w:tcMar>
              <w:top w:w="0" w:type="dxa"/>
              <w:left w:w="108" w:type="dxa"/>
              <w:bottom w:w="0" w:type="dxa"/>
              <w:right w:w="108" w:type="dxa"/>
            </w:tcMar>
            <w:vAlign w:val="center"/>
            <w:hideMark/>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193/242 (79.8)</w:t>
            </w:r>
          </w:p>
        </w:tc>
        <w:tc>
          <w:tcPr>
            <w:tcW w:w="810"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20.6</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[NR; NR]</w:t>
            </w:r>
          </w:p>
        </w:tc>
        <w:tc>
          <w:tcPr>
            <w:tcW w:w="757"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12.8</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[NR; NR]</w:t>
            </w:r>
          </w:p>
        </w:tc>
        <w:tc>
          <w:tcPr>
            <w:tcW w:w="641"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0.59</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[0.49; 0.71]</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&lt;0.0001</w:t>
            </w:r>
          </w:p>
        </w:tc>
      </w:tr>
      <w:tr w:rsidR="0034537A" w:rsidRPr="0097324B" w:rsidTr="00E01C63">
        <w:tc>
          <w:tcPr>
            <w:tcW w:w="731" w:type="pct"/>
            <w:tcMar>
              <w:top w:w="0" w:type="dxa"/>
              <w:left w:w="108" w:type="dxa"/>
              <w:bottom w:w="0" w:type="dxa"/>
              <w:right w:w="108" w:type="dxa"/>
            </w:tcMar>
            <w:vAlign w:val="center"/>
            <w:hideMark/>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Indirect Comparison</w:t>
            </w:r>
          </w:p>
        </w:tc>
        <w:tc>
          <w:tcPr>
            <w:tcW w:w="736" w:type="pct"/>
            <w:tcMar>
              <w:top w:w="0" w:type="dxa"/>
              <w:left w:w="108" w:type="dxa"/>
              <w:bottom w:w="0" w:type="dxa"/>
              <w:right w:w="108" w:type="dxa"/>
            </w:tcMar>
            <w:vAlign w:val="center"/>
            <w:hideMark/>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 xml:space="preserve">ABE+FUL vs. </w:t>
            </w:r>
          </w:p>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RIB+FUL</w:t>
            </w:r>
          </w:p>
        </w:tc>
        <w:tc>
          <w:tcPr>
            <w:tcW w:w="663" w:type="pct"/>
            <w:tcMar>
              <w:top w:w="0" w:type="dxa"/>
              <w:left w:w="108" w:type="dxa"/>
              <w:bottom w:w="0" w:type="dxa"/>
              <w:right w:w="108" w:type="dxa"/>
            </w:tcMar>
            <w:vAlign w:val="center"/>
            <w:hideMark/>
          </w:tcPr>
          <w:p w:rsidR="0034537A" w:rsidRPr="0097324B" w:rsidRDefault="0034537A" w:rsidP="00C15E36">
            <w:pPr>
              <w:pStyle w:val="Table"/>
              <w:jc w:val="center"/>
              <w:rPr>
                <w:rStyle w:val="Small"/>
                <w:rFonts w:ascii="Arial Narrow" w:hAnsi="Arial Narrow"/>
                <w:sz w:val="18"/>
                <w:szCs w:val="18"/>
              </w:rPr>
            </w:pPr>
            <w:r w:rsidRPr="0097324B">
              <w:rPr>
                <w:rStyle w:val="Small"/>
                <w:rFonts w:ascii="Arial Narrow" w:hAnsi="Arial Narrow"/>
                <w:sz w:val="18"/>
                <w:szCs w:val="18"/>
              </w:rPr>
              <w:t>-</w:t>
            </w:r>
          </w:p>
        </w:tc>
        <w:tc>
          <w:tcPr>
            <w:tcW w:w="663" w:type="pct"/>
            <w:tcMar>
              <w:top w:w="0" w:type="dxa"/>
              <w:left w:w="108" w:type="dxa"/>
              <w:bottom w:w="0" w:type="dxa"/>
              <w:right w:w="108" w:type="dxa"/>
            </w:tcMar>
            <w:vAlign w:val="center"/>
            <w:hideMark/>
          </w:tcPr>
          <w:p w:rsidR="0034537A" w:rsidRPr="0097324B" w:rsidRDefault="0034537A" w:rsidP="00C15E36">
            <w:pPr>
              <w:pStyle w:val="Table"/>
              <w:jc w:val="center"/>
              <w:rPr>
                <w:rStyle w:val="Small"/>
                <w:rFonts w:ascii="Arial Narrow" w:hAnsi="Arial Narrow"/>
                <w:sz w:val="18"/>
                <w:szCs w:val="18"/>
              </w:rPr>
            </w:pPr>
            <w:r w:rsidRPr="0097324B">
              <w:rPr>
                <w:rStyle w:val="Small"/>
                <w:rFonts w:ascii="Arial Narrow" w:hAnsi="Arial Narrow"/>
                <w:sz w:val="18"/>
                <w:szCs w:val="18"/>
              </w:rPr>
              <w:t>-</w:t>
            </w:r>
          </w:p>
        </w:tc>
        <w:tc>
          <w:tcPr>
            <w:tcW w:w="810" w:type="pct"/>
            <w:tcMar>
              <w:top w:w="0" w:type="dxa"/>
              <w:left w:w="108" w:type="dxa"/>
              <w:bottom w:w="0" w:type="dxa"/>
              <w:right w:w="108" w:type="dxa"/>
            </w:tcMar>
            <w:vAlign w:val="center"/>
            <w:hideMark/>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w:t>
            </w:r>
          </w:p>
        </w:tc>
        <w:tc>
          <w:tcPr>
            <w:tcW w:w="757" w:type="pct"/>
            <w:tcMar>
              <w:top w:w="0" w:type="dxa"/>
              <w:left w:w="108" w:type="dxa"/>
              <w:bottom w:w="0" w:type="dxa"/>
              <w:right w:w="108" w:type="dxa"/>
            </w:tcMar>
            <w:vAlign w:val="center"/>
            <w:hideMark/>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w:t>
            </w:r>
          </w:p>
        </w:tc>
        <w:tc>
          <w:tcPr>
            <w:tcW w:w="641" w:type="pct"/>
            <w:tcMar>
              <w:top w:w="0" w:type="dxa"/>
              <w:left w:w="108" w:type="dxa"/>
              <w:bottom w:w="0" w:type="dxa"/>
              <w:right w:w="108" w:type="dxa"/>
            </w:tcMar>
            <w:vAlign w:val="center"/>
            <w:hideMark/>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0.91</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[0.70; 1.18]</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0.4724</w:t>
            </w:r>
          </w:p>
        </w:tc>
      </w:tr>
      <w:tr w:rsidR="0034537A" w:rsidRPr="0097324B" w:rsidTr="00E01C63">
        <w:tc>
          <w:tcPr>
            <w:tcW w:w="5000" w:type="pct"/>
            <w:gridSpan w:val="7"/>
            <w:tcMar>
              <w:top w:w="0" w:type="dxa"/>
              <w:left w:w="108" w:type="dxa"/>
              <w:bottom w:w="0" w:type="dxa"/>
              <w:right w:w="108" w:type="dxa"/>
            </w:tcMar>
            <w:vAlign w:val="center"/>
          </w:tcPr>
          <w:p w:rsidR="0034537A" w:rsidRPr="0097324B" w:rsidRDefault="0034537A" w:rsidP="00755BFD">
            <w:pPr>
              <w:pStyle w:val="Table"/>
              <w:rPr>
                <w:rStyle w:val="SmallBold"/>
                <w:rFonts w:ascii="Arial Narrow" w:hAnsi="Arial Narrow"/>
                <w:sz w:val="18"/>
                <w:szCs w:val="18"/>
              </w:rPr>
            </w:pPr>
            <w:r w:rsidRPr="0097324B">
              <w:rPr>
                <w:rStyle w:val="SmallBold"/>
                <w:rFonts w:ascii="Arial Narrow" w:hAnsi="Arial Narrow"/>
                <w:sz w:val="18"/>
                <w:szCs w:val="18"/>
              </w:rPr>
              <w:t>Progression free survival; endocrine-resistant subgroup of MONALEESA-3 study, ITT population of MONARCH-2</w:t>
            </w:r>
          </w:p>
        </w:tc>
      </w:tr>
      <w:tr w:rsidR="0034537A" w:rsidRPr="0097324B" w:rsidTr="00E01C63">
        <w:tc>
          <w:tcPr>
            <w:tcW w:w="731" w:type="pct"/>
            <w:tcMar>
              <w:top w:w="0" w:type="dxa"/>
              <w:left w:w="108" w:type="dxa"/>
              <w:bottom w:w="0" w:type="dxa"/>
              <w:right w:w="108" w:type="dxa"/>
            </w:tcMar>
            <w:vAlign w:val="center"/>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MONARCH-2</w:t>
            </w:r>
          </w:p>
        </w:tc>
        <w:tc>
          <w:tcPr>
            <w:tcW w:w="736" w:type="pct"/>
            <w:tcMar>
              <w:top w:w="0" w:type="dxa"/>
              <w:left w:w="108" w:type="dxa"/>
              <w:bottom w:w="0" w:type="dxa"/>
              <w:right w:w="108" w:type="dxa"/>
            </w:tcMar>
            <w:vAlign w:val="center"/>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 xml:space="preserve">ABE+FUL vs. </w:t>
            </w:r>
          </w:p>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PBO+FUL</w:t>
            </w:r>
          </w:p>
        </w:tc>
        <w:tc>
          <w:tcPr>
            <w:tcW w:w="663"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297/446 (66.6)</w:t>
            </w:r>
          </w:p>
        </w:tc>
        <w:tc>
          <w:tcPr>
            <w:tcW w:w="663"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193/223 (86.5)</w:t>
            </w:r>
          </w:p>
        </w:tc>
        <w:tc>
          <w:tcPr>
            <w:tcW w:w="810"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16.9</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[NR; NR]</w:t>
            </w:r>
          </w:p>
        </w:tc>
        <w:tc>
          <w:tcPr>
            <w:tcW w:w="757"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9.3</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[NR; NR]</w:t>
            </w:r>
          </w:p>
        </w:tc>
        <w:tc>
          <w:tcPr>
            <w:tcW w:w="641"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0.54</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[0.45; 0.64]</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&lt;0.0001</w:t>
            </w:r>
          </w:p>
        </w:tc>
      </w:tr>
      <w:tr w:rsidR="0034537A" w:rsidRPr="0097324B" w:rsidTr="00E01C63">
        <w:tc>
          <w:tcPr>
            <w:tcW w:w="731" w:type="pct"/>
            <w:tcMar>
              <w:top w:w="0" w:type="dxa"/>
              <w:left w:w="108" w:type="dxa"/>
              <w:bottom w:w="0" w:type="dxa"/>
              <w:right w:w="108" w:type="dxa"/>
            </w:tcMar>
            <w:vAlign w:val="center"/>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MONALEESA-3</w:t>
            </w:r>
          </w:p>
        </w:tc>
        <w:tc>
          <w:tcPr>
            <w:tcW w:w="736" w:type="pct"/>
            <w:tcMar>
              <w:top w:w="0" w:type="dxa"/>
              <w:left w:w="108" w:type="dxa"/>
              <w:bottom w:w="0" w:type="dxa"/>
              <w:right w:w="108" w:type="dxa"/>
            </w:tcMar>
            <w:vAlign w:val="center"/>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 xml:space="preserve">RIB+FUL vs. </w:t>
            </w:r>
          </w:p>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PBO+FUL</w:t>
            </w:r>
          </w:p>
        </w:tc>
        <w:tc>
          <w:tcPr>
            <w:tcW w:w="663"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167/237 (70.46)</w:t>
            </w:r>
          </w:p>
        </w:tc>
        <w:tc>
          <w:tcPr>
            <w:tcW w:w="663"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95/109</w:t>
            </w:r>
            <w:r w:rsidR="00EC6019">
              <w:rPr>
                <w:rFonts w:ascii="Arial Narrow" w:hAnsi="Arial Narrow"/>
                <w:sz w:val="18"/>
                <w:szCs w:val="18"/>
              </w:rPr>
              <w:t xml:space="preserve"> </w:t>
            </w:r>
            <w:r w:rsidRPr="0097324B">
              <w:rPr>
                <w:rFonts w:ascii="Arial Narrow" w:hAnsi="Arial Narrow"/>
                <w:sz w:val="18"/>
                <w:szCs w:val="18"/>
              </w:rPr>
              <w:t>(87.15)</w:t>
            </w:r>
          </w:p>
        </w:tc>
        <w:tc>
          <w:tcPr>
            <w:tcW w:w="810"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14.6</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[NR; NR]</w:t>
            </w:r>
          </w:p>
        </w:tc>
        <w:tc>
          <w:tcPr>
            <w:tcW w:w="757"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9.1</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[NR; NR]</w:t>
            </w:r>
          </w:p>
        </w:tc>
        <w:tc>
          <w:tcPr>
            <w:tcW w:w="641"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0.57</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[0.44; 0.74]</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&lt;0.0001</w:t>
            </w:r>
          </w:p>
        </w:tc>
      </w:tr>
      <w:tr w:rsidR="0034537A" w:rsidRPr="0097324B" w:rsidTr="00E01C63">
        <w:tc>
          <w:tcPr>
            <w:tcW w:w="731" w:type="pct"/>
            <w:tcMar>
              <w:top w:w="0" w:type="dxa"/>
              <w:left w:w="108" w:type="dxa"/>
              <w:bottom w:w="0" w:type="dxa"/>
              <w:right w:w="108" w:type="dxa"/>
            </w:tcMar>
            <w:vAlign w:val="center"/>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Indirect Comparison</w:t>
            </w:r>
          </w:p>
        </w:tc>
        <w:tc>
          <w:tcPr>
            <w:tcW w:w="736" w:type="pct"/>
            <w:tcMar>
              <w:top w:w="0" w:type="dxa"/>
              <w:left w:w="108" w:type="dxa"/>
              <w:bottom w:w="0" w:type="dxa"/>
              <w:right w:w="108" w:type="dxa"/>
            </w:tcMar>
            <w:vAlign w:val="center"/>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 xml:space="preserve">ABE+FUL vs. </w:t>
            </w:r>
          </w:p>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RIB+FUL</w:t>
            </w:r>
          </w:p>
        </w:tc>
        <w:tc>
          <w:tcPr>
            <w:tcW w:w="663"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p>
        </w:tc>
        <w:tc>
          <w:tcPr>
            <w:tcW w:w="663"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p>
        </w:tc>
        <w:tc>
          <w:tcPr>
            <w:tcW w:w="810"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p>
        </w:tc>
        <w:tc>
          <w:tcPr>
            <w:tcW w:w="757"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p>
        </w:tc>
        <w:tc>
          <w:tcPr>
            <w:tcW w:w="641"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0.94</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[0.68; 1.29]</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0.7064</w:t>
            </w:r>
          </w:p>
        </w:tc>
      </w:tr>
    </w:tbl>
    <w:p w:rsidR="0034537A" w:rsidRPr="0097324B" w:rsidRDefault="0034537A" w:rsidP="0034537A">
      <w:pPr>
        <w:pStyle w:val="TableFooter"/>
      </w:pPr>
      <w:r w:rsidRPr="0097324B">
        <w:t>Source: Table 2-37, p111 of the submission.</w:t>
      </w:r>
    </w:p>
    <w:p w:rsidR="0034537A" w:rsidRPr="0097324B" w:rsidRDefault="0034537A" w:rsidP="0034537A">
      <w:pPr>
        <w:pStyle w:val="TableFooter"/>
      </w:pPr>
      <w:r w:rsidRPr="0097324B">
        <w:t>Data cut-off date 3 June 2019 for MONALEESA-3; Data cut-off date June 20, 2019 MONARCH-2</w:t>
      </w:r>
    </w:p>
    <w:p w:rsidR="0034537A" w:rsidRPr="0097324B" w:rsidRDefault="0034537A" w:rsidP="0034537A">
      <w:pPr>
        <w:pStyle w:val="TableFooter"/>
      </w:pPr>
      <w:r w:rsidRPr="0097324B">
        <w:t>No confidence intervals were provided in the submission for the updated median PFS or OS for MONARCH-2</w:t>
      </w:r>
    </w:p>
    <w:p w:rsidR="00BA07BF" w:rsidRPr="0097324B" w:rsidRDefault="00BA07BF" w:rsidP="00110E49">
      <w:pPr>
        <w:pStyle w:val="TableFigureFooter"/>
      </w:pPr>
    </w:p>
    <w:p w:rsidR="0034537A" w:rsidRPr="0097324B" w:rsidRDefault="00610C04" w:rsidP="0034537A">
      <w:pPr>
        <w:pStyle w:val="TableFigureHeading"/>
        <w:rPr>
          <w:szCs w:val="22"/>
        </w:rPr>
      </w:pPr>
      <w:r w:rsidRPr="0097324B">
        <w:t>Table</w:t>
      </w:r>
      <w:r w:rsidR="0034537A" w:rsidRPr="0097324B">
        <w:t xml:space="preserve"> 7</w:t>
      </w:r>
      <w:r w:rsidR="005F172C" w:rsidRPr="0097324B">
        <w:t>:</w:t>
      </w:r>
      <w:r w:rsidRPr="0097324B">
        <w:t xml:space="preserve"> </w:t>
      </w:r>
      <w:r w:rsidR="0034537A" w:rsidRPr="0097324B">
        <w:t xml:space="preserve">Indirect comparisons of the secondary endpoint, </w:t>
      </w:r>
      <w:r w:rsidR="00C15E36" w:rsidRPr="0097324B">
        <w:t xml:space="preserve">OS, </w:t>
      </w:r>
      <w:r w:rsidR="0034537A" w:rsidRPr="0097324B">
        <w:t xml:space="preserve">investigator assessed </w:t>
      </w:r>
      <w:r w:rsidR="0034537A" w:rsidRPr="0097324B">
        <w:rPr>
          <w:szCs w:val="22"/>
        </w:rPr>
        <w:t xml:space="preserve">in MONARCH-2 </w:t>
      </w:r>
      <w:r w:rsidR="0034537A" w:rsidRPr="0097324B">
        <w:t>(ITT Population)</w:t>
      </w:r>
      <w:r w:rsidR="0034537A" w:rsidRPr="0097324B">
        <w:rPr>
          <w:szCs w:val="22"/>
        </w:rPr>
        <w:t xml:space="preserve"> and MONALEESA-3 </w:t>
      </w:r>
      <w:r w:rsidR="0034537A" w:rsidRPr="0097324B">
        <w:t>(ITT Population &amp; Endocrine resistant subgroup</w:t>
      </w:r>
      <w:r w:rsidR="0034537A" w:rsidRPr="0097324B">
        <w:rPr>
          <w:szCs w:val="22"/>
        </w:rPr>
        <w:t>)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3"/>
        <w:gridCol w:w="1233"/>
        <w:gridCol w:w="1218"/>
        <w:gridCol w:w="1192"/>
        <w:gridCol w:w="1457"/>
        <w:gridCol w:w="1376"/>
        <w:gridCol w:w="1138"/>
      </w:tblGrid>
      <w:tr w:rsidR="0034537A" w:rsidRPr="0097324B" w:rsidTr="00E01C63">
        <w:tc>
          <w:tcPr>
            <w:tcW w:w="780" w:type="pct"/>
            <w:shd w:val="clear" w:color="auto" w:fill="auto"/>
            <w:tcMar>
              <w:top w:w="0" w:type="dxa"/>
              <w:left w:w="108" w:type="dxa"/>
              <w:bottom w:w="0" w:type="dxa"/>
              <w:right w:w="108" w:type="dxa"/>
            </w:tcMar>
            <w:vAlign w:val="center"/>
            <w:hideMark/>
          </w:tcPr>
          <w:p w:rsidR="0034537A" w:rsidRPr="0097324B" w:rsidRDefault="0034537A" w:rsidP="00755BFD">
            <w:pPr>
              <w:pStyle w:val="Table"/>
              <w:rPr>
                <w:rFonts w:ascii="Arial Narrow" w:hAnsi="Arial Narrow"/>
                <w:b/>
                <w:sz w:val="18"/>
                <w:szCs w:val="18"/>
              </w:rPr>
            </w:pPr>
            <w:r w:rsidRPr="0097324B">
              <w:rPr>
                <w:rFonts w:ascii="Arial Narrow" w:hAnsi="Arial Narrow"/>
                <w:b/>
                <w:sz w:val="18"/>
                <w:szCs w:val="18"/>
              </w:rPr>
              <w:t>Trial</w:t>
            </w:r>
          </w:p>
        </w:tc>
        <w:tc>
          <w:tcPr>
            <w:tcW w:w="686" w:type="pct"/>
            <w:shd w:val="clear" w:color="auto" w:fill="auto"/>
            <w:tcMar>
              <w:top w:w="0" w:type="dxa"/>
              <w:left w:w="108" w:type="dxa"/>
              <w:bottom w:w="0" w:type="dxa"/>
              <w:right w:w="108" w:type="dxa"/>
            </w:tcMar>
            <w:vAlign w:val="center"/>
            <w:hideMark/>
          </w:tcPr>
          <w:p w:rsidR="0034537A" w:rsidRPr="0097324B" w:rsidRDefault="0034537A" w:rsidP="00755BFD">
            <w:pPr>
              <w:pStyle w:val="Table"/>
              <w:rPr>
                <w:rFonts w:ascii="Arial Narrow" w:hAnsi="Arial Narrow"/>
                <w:b/>
                <w:sz w:val="18"/>
                <w:szCs w:val="18"/>
              </w:rPr>
            </w:pPr>
            <w:r w:rsidRPr="0097324B">
              <w:rPr>
                <w:rFonts w:ascii="Arial Narrow" w:hAnsi="Arial Narrow"/>
                <w:b/>
                <w:sz w:val="18"/>
                <w:szCs w:val="18"/>
              </w:rPr>
              <w:t>Comparison</w:t>
            </w:r>
          </w:p>
        </w:tc>
        <w:tc>
          <w:tcPr>
            <w:tcW w:w="663" w:type="pct"/>
            <w:shd w:val="clear" w:color="auto" w:fill="auto"/>
            <w:tcMar>
              <w:top w:w="0" w:type="dxa"/>
              <w:left w:w="108" w:type="dxa"/>
              <w:bottom w:w="0" w:type="dxa"/>
              <w:right w:w="108" w:type="dxa"/>
            </w:tcMar>
            <w:vAlign w:val="center"/>
            <w:hideMark/>
          </w:tcPr>
          <w:p w:rsidR="0034537A" w:rsidRPr="0097324B" w:rsidRDefault="0034537A" w:rsidP="00755BFD">
            <w:pPr>
              <w:pStyle w:val="Table"/>
              <w:rPr>
                <w:rFonts w:ascii="Arial Narrow" w:hAnsi="Arial Narrow"/>
                <w:b/>
                <w:sz w:val="18"/>
                <w:szCs w:val="18"/>
              </w:rPr>
            </w:pPr>
            <w:r w:rsidRPr="0097324B">
              <w:rPr>
                <w:rFonts w:ascii="Arial Narrow" w:hAnsi="Arial Narrow"/>
                <w:b/>
                <w:sz w:val="18"/>
                <w:szCs w:val="18"/>
              </w:rPr>
              <w:t>Test</w:t>
            </w:r>
          </w:p>
          <w:p w:rsidR="0034537A" w:rsidRPr="0097324B" w:rsidRDefault="0034537A" w:rsidP="00755BFD">
            <w:pPr>
              <w:pStyle w:val="Table"/>
              <w:rPr>
                <w:rFonts w:ascii="Arial Narrow" w:hAnsi="Arial Narrow"/>
                <w:b/>
                <w:sz w:val="18"/>
                <w:szCs w:val="18"/>
              </w:rPr>
            </w:pPr>
            <w:r w:rsidRPr="0097324B">
              <w:rPr>
                <w:rFonts w:ascii="Arial Narrow" w:hAnsi="Arial Narrow"/>
                <w:b/>
                <w:sz w:val="18"/>
                <w:szCs w:val="18"/>
              </w:rPr>
              <w:t>n/N (%)</w:t>
            </w:r>
          </w:p>
        </w:tc>
        <w:tc>
          <w:tcPr>
            <w:tcW w:w="663" w:type="pct"/>
            <w:shd w:val="clear" w:color="auto" w:fill="auto"/>
            <w:tcMar>
              <w:top w:w="0" w:type="dxa"/>
              <w:left w:w="108" w:type="dxa"/>
              <w:bottom w:w="0" w:type="dxa"/>
              <w:right w:w="108" w:type="dxa"/>
            </w:tcMar>
            <w:vAlign w:val="center"/>
            <w:hideMark/>
          </w:tcPr>
          <w:p w:rsidR="0034537A" w:rsidRPr="0097324B" w:rsidRDefault="0034537A" w:rsidP="00755BFD">
            <w:pPr>
              <w:pStyle w:val="Table"/>
              <w:rPr>
                <w:rFonts w:ascii="Arial Narrow" w:hAnsi="Arial Narrow"/>
                <w:b/>
                <w:sz w:val="18"/>
                <w:szCs w:val="18"/>
              </w:rPr>
            </w:pPr>
            <w:r w:rsidRPr="0097324B">
              <w:rPr>
                <w:rFonts w:ascii="Arial Narrow" w:hAnsi="Arial Narrow"/>
                <w:b/>
                <w:sz w:val="18"/>
                <w:szCs w:val="18"/>
              </w:rPr>
              <w:t>Control</w:t>
            </w:r>
          </w:p>
          <w:p w:rsidR="0034537A" w:rsidRPr="0097324B" w:rsidRDefault="0034537A" w:rsidP="00755BFD">
            <w:pPr>
              <w:pStyle w:val="Table"/>
              <w:rPr>
                <w:rFonts w:ascii="Arial Narrow" w:hAnsi="Arial Narrow"/>
                <w:b/>
                <w:sz w:val="18"/>
                <w:szCs w:val="18"/>
              </w:rPr>
            </w:pPr>
            <w:r w:rsidRPr="0097324B">
              <w:rPr>
                <w:rFonts w:ascii="Arial Narrow" w:hAnsi="Arial Narrow"/>
                <w:b/>
                <w:sz w:val="18"/>
                <w:szCs w:val="18"/>
              </w:rPr>
              <w:t>n/N (%)</w:t>
            </w:r>
          </w:p>
        </w:tc>
        <w:tc>
          <w:tcPr>
            <w:tcW w:w="810" w:type="pct"/>
            <w:shd w:val="clear" w:color="auto" w:fill="auto"/>
            <w:tcMar>
              <w:top w:w="0" w:type="dxa"/>
              <w:left w:w="108" w:type="dxa"/>
              <w:bottom w:w="0" w:type="dxa"/>
              <w:right w:w="108" w:type="dxa"/>
            </w:tcMar>
            <w:vAlign w:val="center"/>
            <w:hideMark/>
          </w:tcPr>
          <w:p w:rsidR="0034537A" w:rsidRPr="0097324B" w:rsidRDefault="0034537A" w:rsidP="00755BFD">
            <w:pPr>
              <w:pStyle w:val="Table"/>
              <w:rPr>
                <w:rFonts w:ascii="Arial Narrow" w:hAnsi="Arial Narrow"/>
                <w:b/>
                <w:sz w:val="18"/>
                <w:szCs w:val="18"/>
              </w:rPr>
            </w:pPr>
            <w:r w:rsidRPr="0097324B">
              <w:rPr>
                <w:rFonts w:ascii="Arial Narrow" w:hAnsi="Arial Narrow"/>
                <w:b/>
                <w:sz w:val="18"/>
                <w:szCs w:val="18"/>
              </w:rPr>
              <w:t xml:space="preserve">Test Median, </w:t>
            </w:r>
            <w:r w:rsidRPr="0097324B">
              <w:rPr>
                <w:rFonts w:ascii="Arial Narrow" w:hAnsi="Arial Narrow"/>
                <w:b/>
                <w:sz w:val="18"/>
                <w:szCs w:val="18"/>
              </w:rPr>
              <w:br/>
              <w:t>Months (95% CI)</w:t>
            </w:r>
          </w:p>
        </w:tc>
        <w:tc>
          <w:tcPr>
            <w:tcW w:w="765" w:type="pct"/>
            <w:shd w:val="clear" w:color="auto" w:fill="auto"/>
            <w:tcMar>
              <w:top w:w="0" w:type="dxa"/>
              <w:left w:w="108" w:type="dxa"/>
              <w:bottom w:w="0" w:type="dxa"/>
              <w:right w:w="108" w:type="dxa"/>
            </w:tcMar>
            <w:vAlign w:val="center"/>
            <w:hideMark/>
          </w:tcPr>
          <w:p w:rsidR="0034537A" w:rsidRPr="0097324B" w:rsidRDefault="0034537A" w:rsidP="00755BFD">
            <w:pPr>
              <w:pStyle w:val="Table"/>
              <w:rPr>
                <w:rFonts w:ascii="Arial Narrow" w:hAnsi="Arial Narrow"/>
                <w:b/>
                <w:sz w:val="18"/>
                <w:szCs w:val="18"/>
              </w:rPr>
            </w:pPr>
            <w:r w:rsidRPr="0097324B">
              <w:rPr>
                <w:rFonts w:ascii="Arial Narrow" w:hAnsi="Arial Narrow"/>
                <w:b/>
                <w:sz w:val="18"/>
                <w:szCs w:val="18"/>
              </w:rPr>
              <w:t xml:space="preserve">Control Median, </w:t>
            </w:r>
            <w:r w:rsidRPr="0097324B">
              <w:rPr>
                <w:rFonts w:ascii="Arial Narrow" w:hAnsi="Arial Narrow"/>
                <w:b/>
                <w:sz w:val="18"/>
                <w:szCs w:val="18"/>
              </w:rPr>
              <w:br/>
              <w:t>Months (95% CI)</w:t>
            </w:r>
          </w:p>
        </w:tc>
        <w:tc>
          <w:tcPr>
            <w:tcW w:w="634" w:type="pct"/>
            <w:shd w:val="clear" w:color="auto" w:fill="auto"/>
            <w:tcMar>
              <w:top w:w="0" w:type="dxa"/>
              <w:left w:w="108" w:type="dxa"/>
              <w:bottom w:w="0" w:type="dxa"/>
              <w:right w:w="108" w:type="dxa"/>
            </w:tcMar>
            <w:vAlign w:val="center"/>
            <w:hideMark/>
          </w:tcPr>
          <w:p w:rsidR="0034537A" w:rsidRPr="0097324B" w:rsidRDefault="0034537A" w:rsidP="00755BFD">
            <w:pPr>
              <w:pStyle w:val="Table"/>
              <w:rPr>
                <w:rFonts w:ascii="Arial Narrow" w:hAnsi="Arial Narrow"/>
                <w:b/>
                <w:sz w:val="18"/>
                <w:szCs w:val="18"/>
              </w:rPr>
            </w:pPr>
            <w:r w:rsidRPr="0097324B">
              <w:rPr>
                <w:rFonts w:ascii="Arial Narrow" w:hAnsi="Arial Narrow"/>
                <w:b/>
                <w:sz w:val="18"/>
                <w:szCs w:val="18"/>
              </w:rPr>
              <w:t>Hazard Ratio</w:t>
            </w:r>
          </w:p>
          <w:p w:rsidR="0034537A" w:rsidRPr="0097324B" w:rsidRDefault="0034537A" w:rsidP="00755BFD">
            <w:pPr>
              <w:pStyle w:val="Table"/>
              <w:rPr>
                <w:rFonts w:ascii="Arial Narrow" w:hAnsi="Arial Narrow"/>
                <w:b/>
                <w:sz w:val="18"/>
                <w:szCs w:val="18"/>
              </w:rPr>
            </w:pPr>
            <w:r w:rsidRPr="0097324B">
              <w:rPr>
                <w:rFonts w:ascii="Arial Narrow" w:hAnsi="Arial Narrow"/>
                <w:b/>
                <w:sz w:val="18"/>
                <w:szCs w:val="18"/>
              </w:rPr>
              <w:t>(95% CI)</w:t>
            </w:r>
          </w:p>
          <w:p w:rsidR="0034537A" w:rsidRPr="0097324B" w:rsidRDefault="0034537A" w:rsidP="00755BFD">
            <w:pPr>
              <w:pStyle w:val="Table"/>
              <w:rPr>
                <w:rFonts w:ascii="Arial Narrow" w:hAnsi="Arial Narrow"/>
                <w:b/>
                <w:sz w:val="18"/>
                <w:szCs w:val="18"/>
              </w:rPr>
            </w:pPr>
            <w:r w:rsidRPr="0097324B">
              <w:rPr>
                <w:rFonts w:ascii="Arial Narrow" w:hAnsi="Arial Narrow"/>
                <w:b/>
                <w:sz w:val="18"/>
                <w:szCs w:val="18"/>
              </w:rPr>
              <w:t>p-value</w:t>
            </w:r>
          </w:p>
        </w:tc>
      </w:tr>
      <w:tr w:rsidR="0034537A" w:rsidRPr="0097324B" w:rsidTr="00E01C63">
        <w:trPr>
          <w:trHeight w:val="360"/>
        </w:trPr>
        <w:tc>
          <w:tcPr>
            <w:tcW w:w="5000" w:type="pct"/>
            <w:gridSpan w:val="7"/>
            <w:tcMar>
              <w:top w:w="0" w:type="dxa"/>
              <w:left w:w="108" w:type="dxa"/>
              <w:bottom w:w="0" w:type="dxa"/>
              <w:right w:w="108" w:type="dxa"/>
            </w:tcMar>
            <w:vAlign w:val="center"/>
          </w:tcPr>
          <w:p w:rsidR="0034537A" w:rsidRPr="0097324B" w:rsidRDefault="0034537A" w:rsidP="00755BFD">
            <w:pPr>
              <w:pStyle w:val="Table"/>
              <w:rPr>
                <w:rFonts w:ascii="Arial Narrow" w:hAnsi="Arial Narrow"/>
                <w:sz w:val="18"/>
                <w:szCs w:val="18"/>
              </w:rPr>
            </w:pPr>
            <w:r w:rsidRPr="0097324B">
              <w:rPr>
                <w:rStyle w:val="SmallBold"/>
                <w:rFonts w:ascii="Arial Narrow" w:hAnsi="Arial Narrow"/>
                <w:sz w:val="18"/>
                <w:szCs w:val="18"/>
              </w:rPr>
              <w:t>Overall survival; ITT population</w:t>
            </w:r>
          </w:p>
        </w:tc>
      </w:tr>
      <w:tr w:rsidR="0034537A" w:rsidRPr="0097324B" w:rsidTr="00E01C63">
        <w:trPr>
          <w:trHeight w:val="360"/>
        </w:trPr>
        <w:tc>
          <w:tcPr>
            <w:tcW w:w="780" w:type="pct"/>
            <w:tcMar>
              <w:top w:w="0" w:type="dxa"/>
              <w:left w:w="108" w:type="dxa"/>
              <w:bottom w:w="0" w:type="dxa"/>
              <w:right w:w="108" w:type="dxa"/>
            </w:tcMar>
            <w:vAlign w:val="center"/>
            <w:hideMark/>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MONARCH-2</w:t>
            </w:r>
          </w:p>
        </w:tc>
        <w:tc>
          <w:tcPr>
            <w:tcW w:w="686" w:type="pct"/>
            <w:tcMar>
              <w:top w:w="0" w:type="dxa"/>
              <w:left w:w="108" w:type="dxa"/>
              <w:bottom w:w="0" w:type="dxa"/>
              <w:right w:w="108" w:type="dxa"/>
            </w:tcMar>
            <w:vAlign w:val="center"/>
            <w:hideMark/>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 xml:space="preserve">ABE+FUL vs. </w:t>
            </w:r>
          </w:p>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PBO+FUL</w:t>
            </w:r>
          </w:p>
        </w:tc>
        <w:tc>
          <w:tcPr>
            <w:tcW w:w="663" w:type="pct"/>
            <w:tcMar>
              <w:top w:w="0" w:type="dxa"/>
              <w:left w:w="108" w:type="dxa"/>
              <w:bottom w:w="0" w:type="dxa"/>
              <w:right w:w="108" w:type="dxa"/>
            </w:tcMar>
            <w:vAlign w:val="center"/>
            <w:hideMark/>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211/446 (47.3)</w:t>
            </w:r>
          </w:p>
        </w:tc>
        <w:tc>
          <w:tcPr>
            <w:tcW w:w="663" w:type="pct"/>
            <w:tcMar>
              <w:top w:w="0" w:type="dxa"/>
              <w:left w:w="108" w:type="dxa"/>
              <w:bottom w:w="0" w:type="dxa"/>
              <w:right w:w="108" w:type="dxa"/>
            </w:tcMar>
            <w:vAlign w:val="center"/>
            <w:hideMark/>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127/223 (57.0)</w:t>
            </w:r>
          </w:p>
        </w:tc>
        <w:tc>
          <w:tcPr>
            <w:tcW w:w="810"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46.7</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[NR; NR]</w:t>
            </w:r>
          </w:p>
        </w:tc>
        <w:tc>
          <w:tcPr>
            <w:tcW w:w="765"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37.3</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[NR; NR]</w:t>
            </w:r>
          </w:p>
        </w:tc>
        <w:tc>
          <w:tcPr>
            <w:tcW w:w="634"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0.76</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[0.61; 0.94]</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0.0139</w:t>
            </w:r>
          </w:p>
        </w:tc>
      </w:tr>
      <w:tr w:rsidR="0034537A" w:rsidRPr="0097324B" w:rsidTr="00E01C63">
        <w:trPr>
          <w:trHeight w:val="360"/>
        </w:trPr>
        <w:tc>
          <w:tcPr>
            <w:tcW w:w="780" w:type="pct"/>
            <w:tcMar>
              <w:top w:w="0" w:type="dxa"/>
              <w:left w:w="108" w:type="dxa"/>
              <w:bottom w:w="0" w:type="dxa"/>
              <w:right w:w="108" w:type="dxa"/>
            </w:tcMar>
            <w:vAlign w:val="center"/>
            <w:hideMark/>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MONALEESA-3</w:t>
            </w:r>
          </w:p>
        </w:tc>
        <w:tc>
          <w:tcPr>
            <w:tcW w:w="686" w:type="pct"/>
            <w:tcMar>
              <w:top w:w="0" w:type="dxa"/>
              <w:left w:w="108" w:type="dxa"/>
              <w:bottom w:w="0" w:type="dxa"/>
              <w:right w:w="108" w:type="dxa"/>
            </w:tcMar>
            <w:vAlign w:val="center"/>
            <w:hideMark/>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 xml:space="preserve">RIB+FUL vs. </w:t>
            </w:r>
          </w:p>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PBO+FUL</w:t>
            </w:r>
          </w:p>
        </w:tc>
        <w:tc>
          <w:tcPr>
            <w:tcW w:w="663" w:type="pct"/>
            <w:tcMar>
              <w:top w:w="0" w:type="dxa"/>
              <w:left w:w="108" w:type="dxa"/>
              <w:bottom w:w="0" w:type="dxa"/>
              <w:right w:w="108" w:type="dxa"/>
            </w:tcMar>
            <w:vAlign w:val="center"/>
            <w:hideMark/>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167/484 (34.5)</w:t>
            </w:r>
          </w:p>
        </w:tc>
        <w:tc>
          <w:tcPr>
            <w:tcW w:w="663" w:type="pct"/>
            <w:tcMar>
              <w:top w:w="0" w:type="dxa"/>
              <w:left w:w="108" w:type="dxa"/>
              <w:bottom w:w="0" w:type="dxa"/>
              <w:right w:w="108" w:type="dxa"/>
            </w:tcMar>
            <w:vAlign w:val="center"/>
            <w:hideMark/>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108/242 (44.6)</w:t>
            </w:r>
          </w:p>
        </w:tc>
        <w:tc>
          <w:tcPr>
            <w:tcW w:w="810"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NR</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[NR; NR]</w:t>
            </w:r>
          </w:p>
        </w:tc>
        <w:tc>
          <w:tcPr>
            <w:tcW w:w="765"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40.0</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[NR; NR]</w:t>
            </w:r>
          </w:p>
        </w:tc>
        <w:tc>
          <w:tcPr>
            <w:tcW w:w="634"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0.72</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[0.56; 0.92]</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0.0086</w:t>
            </w:r>
          </w:p>
        </w:tc>
      </w:tr>
      <w:tr w:rsidR="0034537A" w:rsidRPr="0097324B" w:rsidTr="00E01C63">
        <w:tc>
          <w:tcPr>
            <w:tcW w:w="780" w:type="pct"/>
            <w:tcMar>
              <w:top w:w="0" w:type="dxa"/>
              <w:left w:w="108" w:type="dxa"/>
              <w:bottom w:w="0" w:type="dxa"/>
              <w:right w:w="108" w:type="dxa"/>
            </w:tcMar>
            <w:vAlign w:val="center"/>
            <w:hideMark/>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Indirect Comparison</w:t>
            </w:r>
          </w:p>
        </w:tc>
        <w:tc>
          <w:tcPr>
            <w:tcW w:w="686" w:type="pct"/>
            <w:tcMar>
              <w:top w:w="0" w:type="dxa"/>
              <w:left w:w="108" w:type="dxa"/>
              <w:bottom w:w="0" w:type="dxa"/>
              <w:right w:w="108" w:type="dxa"/>
            </w:tcMar>
            <w:vAlign w:val="center"/>
            <w:hideMark/>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 xml:space="preserve">ABE+FUL vs. </w:t>
            </w:r>
          </w:p>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RIB+FUL</w:t>
            </w:r>
          </w:p>
        </w:tc>
        <w:tc>
          <w:tcPr>
            <w:tcW w:w="663" w:type="pct"/>
            <w:tcMar>
              <w:top w:w="0" w:type="dxa"/>
              <w:left w:w="108" w:type="dxa"/>
              <w:bottom w:w="0" w:type="dxa"/>
              <w:right w:w="108" w:type="dxa"/>
            </w:tcMar>
            <w:vAlign w:val="center"/>
            <w:hideMark/>
          </w:tcPr>
          <w:p w:rsidR="0034537A" w:rsidRPr="0097324B" w:rsidRDefault="0034537A" w:rsidP="00C15E36">
            <w:pPr>
              <w:pStyle w:val="Table"/>
              <w:jc w:val="center"/>
              <w:rPr>
                <w:rStyle w:val="Small"/>
                <w:rFonts w:ascii="Arial Narrow" w:hAnsi="Arial Narrow"/>
                <w:sz w:val="18"/>
                <w:szCs w:val="18"/>
              </w:rPr>
            </w:pPr>
            <w:r w:rsidRPr="0097324B">
              <w:rPr>
                <w:rStyle w:val="Small"/>
                <w:rFonts w:ascii="Arial Narrow" w:hAnsi="Arial Narrow"/>
                <w:sz w:val="18"/>
                <w:szCs w:val="18"/>
              </w:rPr>
              <w:t>-</w:t>
            </w:r>
          </w:p>
        </w:tc>
        <w:tc>
          <w:tcPr>
            <w:tcW w:w="663" w:type="pct"/>
            <w:tcMar>
              <w:top w:w="0" w:type="dxa"/>
              <w:left w:w="108" w:type="dxa"/>
              <w:bottom w:w="0" w:type="dxa"/>
              <w:right w:w="108" w:type="dxa"/>
            </w:tcMar>
            <w:vAlign w:val="center"/>
            <w:hideMark/>
          </w:tcPr>
          <w:p w:rsidR="0034537A" w:rsidRPr="0097324B" w:rsidRDefault="0034537A" w:rsidP="00C15E36">
            <w:pPr>
              <w:pStyle w:val="Table"/>
              <w:jc w:val="center"/>
              <w:rPr>
                <w:rStyle w:val="Small"/>
                <w:rFonts w:ascii="Arial Narrow" w:hAnsi="Arial Narrow"/>
                <w:sz w:val="18"/>
                <w:szCs w:val="18"/>
              </w:rPr>
            </w:pPr>
            <w:r w:rsidRPr="0097324B">
              <w:rPr>
                <w:rStyle w:val="Small"/>
                <w:rFonts w:ascii="Arial Narrow" w:hAnsi="Arial Narrow"/>
                <w:sz w:val="18"/>
                <w:szCs w:val="18"/>
              </w:rPr>
              <w:t>-</w:t>
            </w:r>
          </w:p>
        </w:tc>
        <w:tc>
          <w:tcPr>
            <w:tcW w:w="810" w:type="pct"/>
            <w:tcMar>
              <w:top w:w="0" w:type="dxa"/>
              <w:left w:w="108" w:type="dxa"/>
              <w:bottom w:w="0" w:type="dxa"/>
              <w:right w:w="108" w:type="dxa"/>
            </w:tcMar>
            <w:vAlign w:val="center"/>
          </w:tcPr>
          <w:p w:rsidR="0034537A" w:rsidRPr="0097324B" w:rsidRDefault="0034537A" w:rsidP="00C15E36">
            <w:pPr>
              <w:pStyle w:val="Table"/>
              <w:jc w:val="center"/>
              <w:rPr>
                <w:rStyle w:val="Small"/>
                <w:rFonts w:ascii="Arial Narrow" w:hAnsi="Arial Narrow"/>
                <w:sz w:val="18"/>
                <w:szCs w:val="18"/>
              </w:rPr>
            </w:pPr>
            <w:r w:rsidRPr="0097324B">
              <w:rPr>
                <w:rStyle w:val="Small"/>
                <w:rFonts w:ascii="Arial Narrow" w:hAnsi="Arial Narrow"/>
                <w:sz w:val="18"/>
                <w:szCs w:val="18"/>
              </w:rPr>
              <w:t>-</w:t>
            </w:r>
          </w:p>
        </w:tc>
        <w:tc>
          <w:tcPr>
            <w:tcW w:w="765" w:type="pct"/>
            <w:tcMar>
              <w:top w:w="0" w:type="dxa"/>
              <w:left w:w="108" w:type="dxa"/>
              <w:bottom w:w="0" w:type="dxa"/>
              <w:right w:w="108" w:type="dxa"/>
            </w:tcMar>
            <w:vAlign w:val="center"/>
          </w:tcPr>
          <w:p w:rsidR="0034537A" w:rsidRPr="0097324B" w:rsidRDefault="0034537A" w:rsidP="00C15E36">
            <w:pPr>
              <w:pStyle w:val="Table"/>
              <w:jc w:val="center"/>
              <w:rPr>
                <w:rStyle w:val="Small"/>
                <w:rFonts w:ascii="Arial Narrow" w:hAnsi="Arial Narrow"/>
                <w:sz w:val="18"/>
                <w:szCs w:val="18"/>
              </w:rPr>
            </w:pPr>
            <w:r w:rsidRPr="0097324B">
              <w:rPr>
                <w:rStyle w:val="Small"/>
                <w:rFonts w:ascii="Arial Narrow" w:hAnsi="Arial Narrow"/>
                <w:sz w:val="18"/>
                <w:szCs w:val="18"/>
              </w:rPr>
              <w:t>-</w:t>
            </w:r>
          </w:p>
        </w:tc>
        <w:tc>
          <w:tcPr>
            <w:tcW w:w="634"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1.05</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[0.76; 1.46]</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0.7664</w:t>
            </w:r>
          </w:p>
        </w:tc>
      </w:tr>
      <w:tr w:rsidR="0034537A" w:rsidRPr="0097324B" w:rsidTr="00E01C63">
        <w:tc>
          <w:tcPr>
            <w:tcW w:w="5000" w:type="pct"/>
            <w:gridSpan w:val="7"/>
            <w:tcMar>
              <w:top w:w="0" w:type="dxa"/>
              <w:left w:w="108" w:type="dxa"/>
              <w:bottom w:w="0" w:type="dxa"/>
              <w:right w:w="108" w:type="dxa"/>
            </w:tcMar>
            <w:vAlign w:val="center"/>
          </w:tcPr>
          <w:p w:rsidR="0034537A" w:rsidRPr="0097324B" w:rsidRDefault="0034537A" w:rsidP="00755BFD">
            <w:pPr>
              <w:pStyle w:val="Table"/>
              <w:rPr>
                <w:rStyle w:val="SmallBold"/>
                <w:rFonts w:ascii="Arial Narrow" w:hAnsi="Arial Narrow"/>
                <w:sz w:val="18"/>
                <w:szCs w:val="18"/>
              </w:rPr>
            </w:pPr>
            <w:r w:rsidRPr="0097324B">
              <w:rPr>
                <w:rStyle w:val="SmallBold"/>
                <w:rFonts w:ascii="Arial Narrow" w:hAnsi="Arial Narrow"/>
                <w:sz w:val="18"/>
                <w:szCs w:val="18"/>
              </w:rPr>
              <w:t>Overall survival; endocrine-resistant subgroup of MONALEESA-3 study, ITT population of MONARCH-2</w:t>
            </w:r>
          </w:p>
        </w:tc>
      </w:tr>
      <w:tr w:rsidR="0034537A" w:rsidRPr="0097324B" w:rsidTr="00E01C63">
        <w:tc>
          <w:tcPr>
            <w:tcW w:w="780" w:type="pct"/>
            <w:tcMar>
              <w:top w:w="0" w:type="dxa"/>
              <w:left w:w="108" w:type="dxa"/>
              <w:bottom w:w="0" w:type="dxa"/>
              <w:right w:w="108" w:type="dxa"/>
            </w:tcMar>
            <w:vAlign w:val="center"/>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MONARCH-2</w:t>
            </w:r>
          </w:p>
        </w:tc>
        <w:tc>
          <w:tcPr>
            <w:tcW w:w="686" w:type="pct"/>
            <w:tcMar>
              <w:top w:w="0" w:type="dxa"/>
              <w:left w:w="108" w:type="dxa"/>
              <w:bottom w:w="0" w:type="dxa"/>
              <w:right w:w="108" w:type="dxa"/>
            </w:tcMar>
            <w:vAlign w:val="center"/>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 xml:space="preserve">ABE+FUL vs. </w:t>
            </w:r>
          </w:p>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PBO+FUL</w:t>
            </w:r>
          </w:p>
        </w:tc>
        <w:tc>
          <w:tcPr>
            <w:tcW w:w="663"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211/446 (47.3)</w:t>
            </w:r>
          </w:p>
        </w:tc>
        <w:tc>
          <w:tcPr>
            <w:tcW w:w="663"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127/223 (57.0)</w:t>
            </w:r>
          </w:p>
        </w:tc>
        <w:tc>
          <w:tcPr>
            <w:tcW w:w="810"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46.7</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[NR; NR]</w:t>
            </w:r>
          </w:p>
        </w:tc>
        <w:tc>
          <w:tcPr>
            <w:tcW w:w="765"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37.3</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[NR; NR]</w:t>
            </w:r>
          </w:p>
        </w:tc>
        <w:tc>
          <w:tcPr>
            <w:tcW w:w="634"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0.76</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[0.61; 0.94]</w:t>
            </w:r>
          </w:p>
        </w:tc>
      </w:tr>
      <w:tr w:rsidR="0034537A" w:rsidRPr="0097324B" w:rsidTr="00E01C63">
        <w:tc>
          <w:tcPr>
            <w:tcW w:w="780" w:type="pct"/>
            <w:tcMar>
              <w:top w:w="0" w:type="dxa"/>
              <w:left w:w="108" w:type="dxa"/>
              <w:bottom w:w="0" w:type="dxa"/>
              <w:right w:w="108" w:type="dxa"/>
            </w:tcMar>
            <w:vAlign w:val="center"/>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MONALEESA-3</w:t>
            </w:r>
          </w:p>
        </w:tc>
        <w:tc>
          <w:tcPr>
            <w:tcW w:w="686" w:type="pct"/>
            <w:tcMar>
              <w:top w:w="0" w:type="dxa"/>
              <w:left w:w="108" w:type="dxa"/>
              <w:bottom w:w="0" w:type="dxa"/>
              <w:right w:w="108" w:type="dxa"/>
            </w:tcMar>
            <w:vAlign w:val="center"/>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 xml:space="preserve">RIB+FUL vs. </w:t>
            </w:r>
          </w:p>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PBO+FUL</w:t>
            </w:r>
          </w:p>
        </w:tc>
        <w:tc>
          <w:tcPr>
            <w:tcW w:w="663"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102/237(43.03)</w:t>
            </w:r>
          </w:p>
        </w:tc>
        <w:tc>
          <w:tcPr>
            <w:tcW w:w="663"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60/109(55.04)</w:t>
            </w:r>
          </w:p>
        </w:tc>
        <w:tc>
          <w:tcPr>
            <w:tcW w:w="810"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40.02</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[NR; NR]</w:t>
            </w:r>
          </w:p>
        </w:tc>
        <w:tc>
          <w:tcPr>
            <w:tcW w:w="765"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32.5</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[37; NR]</w:t>
            </w:r>
          </w:p>
        </w:tc>
        <w:tc>
          <w:tcPr>
            <w:tcW w:w="634"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0.73</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[0.53; 1.00]</w:t>
            </w:r>
          </w:p>
        </w:tc>
      </w:tr>
      <w:tr w:rsidR="0034537A" w:rsidRPr="0097324B" w:rsidTr="00E01C63">
        <w:tc>
          <w:tcPr>
            <w:tcW w:w="780" w:type="pct"/>
            <w:tcMar>
              <w:top w:w="0" w:type="dxa"/>
              <w:left w:w="108" w:type="dxa"/>
              <w:bottom w:w="0" w:type="dxa"/>
              <w:right w:w="108" w:type="dxa"/>
            </w:tcMar>
            <w:vAlign w:val="center"/>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Indirect Comparison</w:t>
            </w:r>
          </w:p>
        </w:tc>
        <w:tc>
          <w:tcPr>
            <w:tcW w:w="686" w:type="pct"/>
            <w:tcMar>
              <w:top w:w="0" w:type="dxa"/>
              <w:left w:w="108" w:type="dxa"/>
              <w:bottom w:w="0" w:type="dxa"/>
              <w:right w:w="108" w:type="dxa"/>
            </w:tcMar>
            <w:vAlign w:val="center"/>
          </w:tcPr>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 xml:space="preserve">ABE+FUL vs. </w:t>
            </w:r>
          </w:p>
          <w:p w:rsidR="0034537A" w:rsidRPr="0097324B" w:rsidRDefault="0034537A" w:rsidP="00755BFD">
            <w:pPr>
              <w:pStyle w:val="Table"/>
              <w:rPr>
                <w:rFonts w:ascii="Arial Narrow" w:hAnsi="Arial Narrow"/>
                <w:sz w:val="18"/>
                <w:szCs w:val="18"/>
              </w:rPr>
            </w:pPr>
            <w:r w:rsidRPr="0097324B">
              <w:rPr>
                <w:rFonts w:ascii="Arial Narrow" w:hAnsi="Arial Narrow"/>
                <w:sz w:val="18"/>
                <w:szCs w:val="18"/>
              </w:rPr>
              <w:t>RIB+FUL</w:t>
            </w:r>
          </w:p>
        </w:tc>
        <w:tc>
          <w:tcPr>
            <w:tcW w:w="663" w:type="pct"/>
            <w:tcMar>
              <w:top w:w="0" w:type="dxa"/>
              <w:left w:w="108" w:type="dxa"/>
              <w:bottom w:w="0" w:type="dxa"/>
              <w:right w:w="108" w:type="dxa"/>
            </w:tcMar>
            <w:vAlign w:val="center"/>
          </w:tcPr>
          <w:p w:rsidR="0034537A" w:rsidRPr="0097324B" w:rsidRDefault="0034537A" w:rsidP="00C15E36">
            <w:pPr>
              <w:pStyle w:val="Table"/>
              <w:jc w:val="center"/>
              <w:rPr>
                <w:rStyle w:val="Small"/>
                <w:rFonts w:ascii="Arial Narrow" w:hAnsi="Arial Narrow"/>
                <w:sz w:val="18"/>
                <w:szCs w:val="18"/>
              </w:rPr>
            </w:pPr>
            <w:r w:rsidRPr="0097324B">
              <w:rPr>
                <w:rStyle w:val="Small"/>
                <w:rFonts w:ascii="Arial Narrow" w:hAnsi="Arial Narrow"/>
                <w:sz w:val="18"/>
                <w:szCs w:val="18"/>
              </w:rPr>
              <w:t>-</w:t>
            </w:r>
          </w:p>
        </w:tc>
        <w:tc>
          <w:tcPr>
            <w:tcW w:w="663" w:type="pct"/>
            <w:tcMar>
              <w:top w:w="0" w:type="dxa"/>
              <w:left w:w="108" w:type="dxa"/>
              <w:bottom w:w="0" w:type="dxa"/>
              <w:right w:w="108" w:type="dxa"/>
            </w:tcMar>
            <w:vAlign w:val="center"/>
          </w:tcPr>
          <w:p w:rsidR="0034537A" w:rsidRPr="0097324B" w:rsidRDefault="0034537A" w:rsidP="00C15E36">
            <w:pPr>
              <w:pStyle w:val="Table"/>
              <w:jc w:val="center"/>
              <w:rPr>
                <w:rStyle w:val="Small"/>
                <w:rFonts w:ascii="Arial Narrow" w:hAnsi="Arial Narrow"/>
                <w:sz w:val="18"/>
                <w:szCs w:val="18"/>
              </w:rPr>
            </w:pPr>
            <w:r w:rsidRPr="0097324B">
              <w:rPr>
                <w:rStyle w:val="Small"/>
                <w:rFonts w:ascii="Arial Narrow" w:hAnsi="Arial Narrow"/>
                <w:sz w:val="18"/>
                <w:szCs w:val="18"/>
              </w:rPr>
              <w:t>-</w:t>
            </w:r>
          </w:p>
        </w:tc>
        <w:tc>
          <w:tcPr>
            <w:tcW w:w="810" w:type="pct"/>
            <w:tcMar>
              <w:top w:w="0" w:type="dxa"/>
              <w:left w:w="108" w:type="dxa"/>
              <w:bottom w:w="0" w:type="dxa"/>
              <w:right w:w="108" w:type="dxa"/>
            </w:tcMar>
            <w:vAlign w:val="center"/>
          </w:tcPr>
          <w:p w:rsidR="0034537A" w:rsidRPr="0097324B" w:rsidRDefault="0034537A" w:rsidP="00C15E36">
            <w:pPr>
              <w:pStyle w:val="Table"/>
              <w:jc w:val="center"/>
              <w:rPr>
                <w:rStyle w:val="Small"/>
                <w:rFonts w:ascii="Arial Narrow" w:hAnsi="Arial Narrow"/>
                <w:sz w:val="18"/>
                <w:szCs w:val="18"/>
              </w:rPr>
            </w:pPr>
            <w:r w:rsidRPr="0097324B">
              <w:rPr>
                <w:rStyle w:val="Small"/>
                <w:rFonts w:ascii="Arial Narrow" w:hAnsi="Arial Narrow"/>
                <w:sz w:val="18"/>
                <w:szCs w:val="18"/>
              </w:rPr>
              <w:t>-</w:t>
            </w:r>
          </w:p>
        </w:tc>
        <w:tc>
          <w:tcPr>
            <w:tcW w:w="765" w:type="pct"/>
            <w:tcMar>
              <w:top w:w="0" w:type="dxa"/>
              <w:left w:w="108" w:type="dxa"/>
              <w:bottom w:w="0" w:type="dxa"/>
              <w:right w:w="108" w:type="dxa"/>
            </w:tcMar>
            <w:vAlign w:val="center"/>
          </w:tcPr>
          <w:p w:rsidR="0034537A" w:rsidRPr="0097324B" w:rsidRDefault="0034537A" w:rsidP="00C15E36">
            <w:pPr>
              <w:pStyle w:val="Table"/>
              <w:jc w:val="center"/>
              <w:rPr>
                <w:rStyle w:val="Small"/>
                <w:rFonts w:ascii="Arial Narrow" w:hAnsi="Arial Narrow"/>
                <w:sz w:val="18"/>
                <w:szCs w:val="18"/>
              </w:rPr>
            </w:pPr>
            <w:r w:rsidRPr="0097324B">
              <w:rPr>
                <w:rStyle w:val="Small"/>
                <w:rFonts w:ascii="Arial Narrow" w:hAnsi="Arial Narrow"/>
                <w:sz w:val="18"/>
                <w:szCs w:val="18"/>
              </w:rPr>
              <w:t>-</w:t>
            </w:r>
          </w:p>
        </w:tc>
        <w:tc>
          <w:tcPr>
            <w:tcW w:w="634" w:type="pct"/>
            <w:tcMar>
              <w:top w:w="0" w:type="dxa"/>
              <w:left w:w="108" w:type="dxa"/>
              <w:bottom w:w="0" w:type="dxa"/>
              <w:right w:w="108" w:type="dxa"/>
            </w:tcMar>
            <w:vAlign w:val="center"/>
          </w:tcPr>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1.04</w:t>
            </w:r>
          </w:p>
          <w:p w:rsidR="0034537A" w:rsidRPr="0097324B" w:rsidRDefault="0034537A" w:rsidP="00C15E36">
            <w:pPr>
              <w:pStyle w:val="Table"/>
              <w:jc w:val="center"/>
              <w:rPr>
                <w:rFonts w:ascii="Arial Narrow" w:hAnsi="Arial Narrow"/>
                <w:sz w:val="18"/>
                <w:szCs w:val="18"/>
              </w:rPr>
            </w:pPr>
            <w:r w:rsidRPr="0097324B">
              <w:rPr>
                <w:rFonts w:ascii="Arial Narrow" w:hAnsi="Arial Narrow"/>
                <w:sz w:val="18"/>
                <w:szCs w:val="18"/>
              </w:rPr>
              <w:t>[0.71; 1.52]</w:t>
            </w:r>
          </w:p>
        </w:tc>
      </w:tr>
    </w:tbl>
    <w:p w:rsidR="0034537A" w:rsidRPr="0097324B" w:rsidRDefault="0034537A" w:rsidP="0034537A">
      <w:pPr>
        <w:pStyle w:val="TableFooter"/>
      </w:pPr>
      <w:r w:rsidRPr="0097324B">
        <w:t>Source: Table 2-36, p111 of the submission.</w:t>
      </w:r>
    </w:p>
    <w:p w:rsidR="0034537A" w:rsidRPr="0097324B" w:rsidRDefault="0034537A" w:rsidP="0034537A">
      <w:pPr>
        <w:pStyle w:val="TableFooter"/>
      </w:pPr>
      <w:r w:rsidRPr="0097324B">
        <w:t>Data cut-off date 3 June 2019 for MONALEESA-3; Data cut-off date June 20, 2019 MONARCH-2.</w:t>
      </w:r>
    </w:p>
    <w:p w:rsidR="0034537A" w:rsidRPr="0097324B" w:rsidRDefault="0034537A" w:rsidP="0034537A">
      <w:pPr>
        <w:pStyle w:val="TableFooter"/>
      </w:pPr>
      <w:r w:rsidRPr="0097324B">
        <w:t>No confidence intervals were provided in the submission for the updated median PFS or OS for MONARCH-2</w:t>
      </w:r>
    </w:p>
    <w:p w:rsidR="00A00F56" w:rsidRPr="0097324B" w:rsidRDefault="00A00F56" w:rsidP="0034537A">
      <w:pPr>
        <w:pStyle w:val="TableFigureHeading"/>
      </w:pPr>
    </w:p>
    <w:p w:rsidR="00FC3112" w:rsidRPr="0097324B" w:rsidRDefault="00BE100F" w:rsidP="001B76A5">
      <w:pPr>
        <w:pStyle w:val="3-BodyText"/>
      </w:pPr>
      <w:r w:rsidRPr="00BE100F">
        <w:rPr>
          <w:rFonts w:cs="Calibri"/>
          <w:lang w:eastAsia="en-GB"/>
        </w:rPr>
        <w:t>The submission did not specify a non-inferiority margin.</w:t>
      </w:r>
      <w:r w:rsidRPr="0097324B">
        <w:rPr>
          <w:rFonts w:cs="Calibri"/>
          <w:lang w:eastAsia="en-GB"/>
        </w:rPr>
        <w:t xml:space="preserve"> </w:t>
      </w:r>
      <w:r w:rsidR="00BA07BF" w:rsidRPr="0097324B">
        <w:rPr>
          <w:rFonts w:cs="Calibri"/>
          <w:lang w:eastAsia="en-GB"/>
        </w:rPr>
        <w:t xml:space="preserve">The </w:t>
      </w:r>
      <w:r w:rsidR="00064A09" w:rsidRPr="0097324B">
        <w:rPr>
          <w:rFonts w:cs="Calibri"/>
          <w:lang w:eastAsia="en-GB"/>
        </w:rPr>
        <w:t xml:space="preserve">precedent of a non-inferiority margin </w:t>
      </w:r>
      <w:r w:rsidR="00BA07BF" w:rsidRPr="0097324B">
        <w:rPr>
          <w:rFonts w:cs="Calibri"/>
          <w:lang w:eastAsia="en-GB"/>
        </w:rPr>
        <w:t xml:space="preserve">of 1.4 </w:t>
      </w:r>
      <w:r>
        <w:rPr>
          <w:rFonts w:cs="Calibri"/>
          <w:lang w:eastAsia="en-GB"/>
        </w:rPr>
        <w:t xml:space="preserve">was </w:t>
      </w:r>
      <w:r w:rsidR="00064A09" w:rsidRPr="0097324B">
        <w:rPr>
          <w:rFonts w:cs="Calibri"/>
          <w:lang w:eastAsia="en-GB"/>
        </w:rPr>
        <w:t xml:space="preserve">previously accepted </w:t>
      </w:r>
      <w:r w:rsidR="00AF7C18" w:rsidRPr="0097324B">
        <w:rPr>
          <w:rFonts w:cs="Calibri"/>
          <w:lang w:eastAsia="en-GB"/>
        </w:rPr>
        <w:t xml:space="preserve">by </w:t>
      </w:r>
      <w:r w:rsidR="001B76A5" w:rsidRPr="0097324B">
        <w:rPr>
          <w:rFonts w:cs="Calibri"/>
          <w:lang w:eastAsia="en-GB"/>
        </w:rPr>
        <w:t>P</w:t>
      </w:r>
      <w:r w:rsidR="00AF7C18" w:rsidRPr="0097324B">
        <w:rPr>
          <w:rFonts w:cs="Calibri"/>
          <w:lang w:eastAsia="en-GB"/>
        </w:rPr>
        <w:t>BAC during</w:t>
      </w:r>
      <w:r w:rsidR="00064A09" w:rsidRPr="0097324B">
        <w:rPr>
          <w:rFonts w:cs="Calibri"/>
          <w:lang w:eastAsia="en-GB"/>
        </w:rPr>
        <w:t xml:space="preserve"> consideration of </w:t>
      </w:r>
      <w:r w:rsidR="00064A09" w:rsidRPr="0097324B">
        <w:rPr>
          <w:rFonts w:cs="Calibri"/>
          <w:lang w:eastAsia="en-GB"/>
        </w:rPr>
        <w:lastRenderedPageBreak/>
        <w:t>palbociclib (palbociclib PSD, March 2018 PBAC meeting, paragraph 5.11)</w:t>
      </w:r>
      <w:r w:rsidR="00064A09" w:rsidRPr="0097324B">
        <w:rPr>
          <w:rStyle w:val="FootnoteReference"/>
          <w:rFonts w:cs="Calibri"/>
          <w:lang w:eastAsia="en-GB"/>
        </w:rPr>
        <w:footnoteReference w:id="3"/>
      </w:r>
      <w:r w:rsidR="00064A09" w:rsidRPr="0097324B">
        <w:rPr>
          <w:rFonts w:cs="Calibri"/>
          <w:lang w:eastAsia="en-GB"/>
        </w:rPr>
        <w:t xml:space="preserve"> and abemaciclib (abemaciclib PSD, March 2019 PBAC meeting, paragraph 6.13</w:t>
      </w:r>
      <w:r w:rsidR="00AF7C18" w:rsidRPr="0097324B">
        <w:rPr>
          <w:rFonts w:cs="Calibri"/>
          <w:lang w:eastAsia="en-GB"/>
        </w:rPr>
        <w:t>)</w:t>
      </w:r>
      <w:r w:rsidR="001C4C7B" w:rsidRPr="0097324B">
        <w:rPr>
          <w:rFonts w:cs="Calibri"/>
          <w:lang w:eastAsia="en-GB"/>
        </w:rPr>
        <w:t xml:space="preserve"> for use in conjunction with a non-steroidal aromatase inhibitor</w:t>
      </w:r>
      <w:r w:rsidR="008B43F8" w:rsidRPr="0097324B">
        <w:rPr>
          <w:rFonts w:cs="Calibri"/>
          <w:lang w:eastAsia="en-GB"/>
        </w:rPr>
        <w:t xml:space="preserve"> in a similar indication</w:t>
      </w:r>
      <w:r w:rsidR="001C4C7B" w:rsidRPr="0097324B">
        <w:rPr>
          <w:rFonts w:cs="Calibri"/>
          <w:lang w:eastAsia="en-GB"/>
        </w:rPr>
        <w:t>.</w:t>
      </w:r>
      <w:r w:rsidR="001B76A5" w:rsidRPr="0097324B">
        <w:t xml:space="preserve"> </w:t>
      </w:r>
      <w:r w:rsidR="00FC3112" w:rsidRPr="0097324B">
        <w:rPr>
          <w:rFonts w:cs="Calibri"/>
          <w:lang w:eastAsia="en-GB"/>
        </w:rPr>
        <w:t>The indirect comparison of PFS by investigator review results in a HR of 0.9</w:t>
      </w:r>
      <w:r w:rsidR="0004711C" w:rsidRPr="0097324B">
        <w:rPr>
          <w:rFonts w:cs="Calibri"/>
          <w:lang w:eastAsia="en-GB"/>
        </w:rPr>
        <w:t>1</w:t>
      </w:r>
      <w:r w:rsidR="00FC3112" w:rsidRPr="0097324B">
        <w:rPr>
          <w:rFonts w:cs="Calibri"/>
          <w:lang w:eastAsia="en-GB"/>
        </w:rPr>
        <w:t xml:space="preserve"> (95% CI: 0.</w:t>
      </w:r>
      <w:r w:rsidR="0004711C" w:rsidRPr="0097324B">
        <w:rPr>
          <w:rFonts w:cs="Calibri"/>
          <w:lang w:eastAsia="en-GB"/>
        </w:rPr>
        <w:t>7</w:t>
      </w:r>
      <w:r w:rsidR="00FC3112" w:rsidRPr="0097324B">
        <w:rPr>
          <w:rFonts w:cs="Calibri"/>
          <w:lang w:eastAsia="en-GB"/>
        </w:rPr>
        <w:t>, 1.</w:t>
      </w:r>
      <w:r w:rsidR="0004711C" w:rsidRPr="0097324B">
        <w:rPr>
          <w:rFonts w:cs="Calibri"/>
          <w:lang w:eastAsia="en-GB"/>
        </w:rPr>
        <w:t>18</w:t>
      </w:r>
      <w:r w:rsidR="00FC3112" w:rsidRPr="0097324B">
        <w:rPr>
          <w:rFonts w:cs="Calibri"/>
          <w:lang w:eastAsia="en-GB"/>
        </w:rPr>
        <w:t>; p=0.</w:t>
      </w:r>
      <w:r w:rsidR="0004711C" w:rsidRPr="0097324B">
        <w:rPr>
          <w:rFonts w:cs="Calibri"/>
          <w:lang w:eastAsia="en-GB"/>
        </w:rPr>
        <w:t>47</w:t>
      </w:r>
      <w:r w:rsidR="00FC3112" w:rsidRPr="0097324B">
        <w:rPr>
          <w:rFonts w:cs="Calibri"/>
          <w:lang w:eastAsia="en-GB"/>
        </w:rPr>
        <w:t xml:space="preserve">). </w:t>
      </w:r>
      <w:r w:rsidR="000C18B6" w:rsidRPr="0097324B">
        <w:rPr>
          <w:rFonts w:cs="Calibri"/>
          <w:lang w:eastAsia="en-GB"/>
        </w:rPr>
        <w:t xml:space="preserve">The </w:t>
      </w:r>
      <w:r w:rsidR="00FC3112" w:rsidRPr="0097324B">
        <w:rPr>
          <w:rFonts w:cs="Calibri"/>
          <w:iCs/>
          <w:lang w:eastAsia="en-GB"/>
        </w:rPr>
        <w:t>upper 95% confidence interval of the indirect comparison presented in the abemaciclib submission meets the non-inferiority margin of 1.4, w</w:t>
      </w:r>
      <w:r w:rsidR="00946E1F" w:rsidRPr="0097324B">
        <w:rPr>
          <w:rFonts w:cs="Calibri"/>
          <w:iCs/>
          <w:lang w:eastAsia="en-GB"/>
        </w:rPr>
        <w:t>h</w:t>
      </w:r>
      <w:r w:rsidR="00FC3112" w:rsidRPr="0097324B">
        <w:rPr>
          <w:rFonts w:cs="Calibri"/>
          <w:iCs/>
          <w:lang w:eastAsia="en-GB"/>
        </w:rPr>
        <w:t xml:space="preserve">ich was nominated in the March 2018 PBAC submission for </w:t>
      </w:r>
      <w:r w:rsidR="00946E1F" w:rsidRPr="0097324B">
        <w:rPr>
          <w:rFonts w:cs="Calibri"/>
          <w:iCs/>
          <w:lang w:eastAsia="en-GB"/>
        </w:rPr>
        <w:t>p</w:t>
      </w:r>
      <w:r w:rsidR="00FC3112" w:rsidRPr="0097324B">
        <w:rPr>
          <w:rFonts w:cs="Calibri"/>
          <w:iCs/>
          <w:lang w:eastAsia="en-GB"/>
        </w:rPr>
        <w:t>albociclib.</w:t>
      </w:r>
    </w:p>
    <w:p w:rsidR="00946E1F" w:rsidRPr="0097324B" w:rsidRDefault="00C02EAD" w:rsidP="00946E1F">
      <w:pPr>
        <w:pStyle w:val="3-BodyText"/>
        <w:rPr>
          <w:color w:val="0066FF"/>
        </w:rPr>
      </w:pPr>
      <w:r w:rsidRPr="0097324B">
        <w:t>Although t</w:t>
      </w:r>
      <w:r w:rsidR="00946E1F" w:rsidRPr="0097324B">
        <w:t>here was a shorter median PFS in both arms of the MONARCH-2 trial compared with the respective arms in the MONALEESA-3 study</w:t>
      </w:r>
      <w:r w:rsidRPr="0097324B">
        <w:t>,</w:t>
      </w:r>
      <w:r w:rsidR="00946E1F" w:rsidRPr="0097324B">
        <w:rPr>
          <w:iCs/>
        </w:rPr>
        <w:t xml:space="preserve"> </w:t>
      </w:r>
      <w:r w:rsidRPr="0097324B">
        <w:t xml:space="preserve">the indirect comparison of PFS in the prespecified subgroup of patients with demonstrated endocrine-resistance showed a similar reduction in the risk of progression or death in both clinical trials: </w:t>
      </w:r>
      <w:r w:rsidRPr="0097324B">
        <w:rPr>
          <w:rFonts w:cs="Calibri"/>
          <w:lang w:eastAsia="en-GB"/>
        </w:rPr>
        <w:t xml:space="preserve">HR of 0.94 (95% CI: 0.68, 1.29; p=0.71). </w:t>
      </w:r>
      <w:r w:rsidRPr="0097324B">
        <w:rPr>
          <w:iCs/>
        </w:rPr>
        <w:t xml:space="preserve">This supports that the difference in PFS </w:t>
      </w:r>
      <w:r w:rsidR="00F40EEF" w:rsidRPr="0097324B">
        <w:rPr>
          <w:iCs/>
        </w:rPr>
        <w:t xml:space="preserve">is </w:t>
      </w:r>
      <w:r w:rsidRPr="0097324B">
        <w:rPr>
          <w:iCs/>
        </w:rPr>
        <w:t>most likely explained</w:t>
      </w:r>
      <w:r w:rsidR="00946E1F" w:rsidRPr="0097324B">
        <w:rPr>
          <w:iCs/>
        </w:rPr>
        <w:t xml:space="preserve"> by eligibility criteria requiring demonstrated endocrine-resistance in MONARCH-2, whereas </w:t>
      </w:r>
      <w:r w:rsidR="00F40EEF" w:rsidRPr="0097324B">
        <w:rPr>
          <w:iCs/>
        </w:rPr>
        <w:t xml:space="preserve">the ITT population in </w:t>
      </w:r>
      <w:r w:rsidR="00946E1F" w:rsidRPr="0097324B">
        <w:rPr>
          <w:iCs/>
        </w:rPr>
        <w:t xml:space="preserve">the MONALEESA-3 study </w:t>
      </w:r>
      <w:r w:rsidRPr="0097324B">
        <w:rPr>
          <w:iCs/>
        </w:rPr>
        <w:t>included</w:t>
      </w:r>
      <w:r w:rsidR="00946E1F" w:rsidRPr="0097324B">
        <w:rPr>
          <w:iCs/>
        </w:rPr>
        <w:t xml:space="preserve"> patients with de novo metastatic disease, who have an intrinsically better prognosis and greater treatment-responsiveness. </w:t>
      </w:r>
    </w:p>
    <w:p w:rsidR="00946E1F" w:rsidRPr="0097324B" w:rsidRDefault="00946E1F" w:rsidP="00946E1F">
      <w:pPr>
        <w:pStyle w:val="3-BodyText"/>
        <w:rPr>
          <w:color w:val="0066FF"/>
        </w:rPr>
      </w:pPr>
      <w:r w:rsidRPr="0097324B">
        <w:t>Other subgroup analyses were consistent with the primary efficacy outcome</w:t>
      </w:r>
      <w:r w:rsidR="004B0656" w:rsidRPr="0097324B">
        <w:t xml:space="preserve"> within each study</w:t>
      </w:r>
      <w:r w:rsidRPr="0097324B">
        <w:t>.</w:t>
      </w:r>
    </w:p>
    <w:p w:rsidR="00B60939" w:rsidRPr="0097324B" w:rsidRDefault="00B60939" w:rsidP="00D86231">
      <w:pPr>
        <w:pStyle w:val="4-SubsectionHeading"/>
      </w:pPr>
      <w:bookmarkStart w:id="14" w:name="_Toc22897642"/>
      <w:bookmarkStart w:id="15" w:name="_Toc62047564"/>
      <w:r w:rsidRPr="0097324B">
        <w:t>Comparative harms</w:t>
      </w:r>
      <w:bookmarkEnd w:id="14"/>
      <w:bookmarkEnd w:id="15"/>
    </w:p>
    <w:p w:rsidR="00A81D27" w:rsidRPr="0097324B" w:rsidRDefault="006F75DE" w:rsidP="00A81D27">
      <w:pPr>
        <w:pStyle w:val="3-BodyText"/>
        <w:rPr>
          <w:iCs/>
        </w:rPr>
      </w:pPr>
      <w:r w:rsidRPr="0097324B">
        <w:t xml:space="preserve">The evaluation noted that the adverse event profiles of abemaciclib and ribociclib differ (making comparison of individual adverse event rates of limited value), that the safety data utilised in the analyses were for different durations of exposure and follow-up from the abemaciclib and ribociclib trials (likely to increase the rate of adverse events reported for ribociclib), and included the patients initially dosed at the higher dose of abemaciclib. This raised uncertainties about the use of indirect comparisons of events rates between the trials. </w:t>
      </w:r>
    </w:p>
    <w:p w:rsidR="004368EC" w:rsidRPr="0097324B" w:rsidRDefault="004368EC" w:rsidP="00A81D27">
      <w:pPr>
        <w:pStyle w:val="3-BodyText"/>
        <w:rPr>
          <w:i/>
          <w:iCs/>
        </w:rPr>
      </w:pPr>
      <w:r w:rsidRPr="0097324B">
        <w:t xml:space="preserve">To improve tolerability, a protocol amendment lowered the initial starting dose for abemaciclib from 200mg twice daily to 150mg twice daily, after 121/441 patients commenced were already enrolled. All patients were required to switch to the lower dose. </w:t>
      </w:r>
      <w:r w:rsidRPr="0097324B">
        <w:rPr>
          <w:iCs/>
        </w:rPr>
        <w:t>Adverse event rates were higher at the higher dose and their inclusion in the safety population has inflated the event rates including dose modifications and</w:t>
      </w:r>
      <w:r w:rsidRPr="0097324B">
        <w:rPr>
          <w:i/>
          <w:iCs/>
        </w:rPr>
        <w:t xml:space="preserve"> </w:t>
      </w:r>
      <w:r w:rsidRPr="0097324B">
        <w:rPr>
          <w:iCs/>
        </w:rPr>
        <w:t>discontinuations. The median duration of treatment at the higher dose was only 34 days.</w:t>
      </w:r>
    </w:p>
    <w:p w:rsidR="00B60939" w:rsidRPr="0097324B" w:rsidRDefault="00173565" w:rsidP="00D86231">
      <w:pPr>
        <w:pStyle w:val="TableFigureHeading"/>
        <w:rPr>
          <w:rStyle w:val="CommentReference"/>
          <w:b/>
          <w:szCs w:val="24"/>
        </w:rPr>
      </w:pPr>
      <w:r w:rsidRPr="0097324B">
        <w:rPr>
          <w:rStyle w:val="CommentReference"/>
          <w:b/>
          <w:szCs w:val="24"/>
        </w:rPr>
        <w:lastRenderedPageBreak/>
        <w:t xml:space="preserve">Table </w:t>
      </w:r>
      <w:r w:rsidR="004368EC" w:rsidRPr="0097324B">
        <w:rPr>
          <w:rStyle w:val="CommentReference"/>
          <w:b/>
          <w:szCs w:val="24"/>
        </w:rPr>
        <w:t>8</w:t>
      </w:r>
      <w:r w:rsidR="005D26B4" w:rsidRPr="0097324B">
        <w:rPr>
          <w:rStyle w:val="CommentReference"/>
          <w:b/>
          <w:szCs w:val="24"/>
        </w:rPr>
        <w:t>:</w:t>
      </w:r>
      <w:r w:rsidR="00BC591F" w:rsidRPr="0097324B">
        <w:rPr>
          <w:rStyle w:val="CommentReference"/>
          <w:b/>
          <w:szCs w:val="24"/>
        </w:rPr>
        <w:t xml:space="preserve"> </w:t>
      </w:r>
      <w:r w:rsidR="005D26B4" w:rsidRPr="0097324B">
        <w:rPr>
          <w:rStyle w:val="CommentReference"/>
          <w:b/>
          <w:szCs w:val="24"/>
        </w:rPr>
        <w:t xml:space="preserve">Summary of key adverse events in the </w:t>
      </w:r>
      <w:r w:rsidR="001F3020" w:rsidRPr="0097324B">
        <w:rPr>
          <w:rStyle w:val="CommentReference"/>
          <w:b/>
          <w:szCs w:val="24"/>
        </w:rPr>
        <w:t>MONARCH</w:t>
      </w:r>
      <w:r w:rsidR="00BD41FB" w:rsidRPr="0097324B">
        <w:rPr>
          <w:rStyle w:val="CommentReference"/>
          <w:b/>
          <w:szCs w:val="24"/>
        </w:rPr>
        <w:t>-</w:t>
      </w:r>
      <w:r w:rsidR="001F3020" w:rsidRPr="0097324B">
        <w:rPr>
          <w:rStyle w:val="CommentReference"/>
          <w:b/>
          <w:szCs w:val="24"/>
        </w:rPr>
        <w:t xml:space="preserve">2 </w:t>
      </w:r>
      <w:r w:rsidR="00BD41FB" w:rsidRPr="0097324B">
        <w:rPr>
          <w:rStyle w:val="CommentReference"/>
          <w:b/>
          <w:szCs w:val="24"/>
        </w:rPr>
        <w:t>(Safety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8"/>
        <w:gridCol w:w="1841"/>
        <w:gridCol w:w="1984"/>
        <w:gridCol w:w="1794"/>
      </w:tblGrid>
      <w:tr w:rsidR="005D26B4" w:rsidRPr="0097324B" w:rsidTr="004B2FC9">
        <w:trPr>
          <w:cantSplit/>
          <w:trHeight w:val="527"/>
          <w:tblHeader/>
        </w:trPr>
        <w:tc>
          <w:tcPr>
            <w:tcW w:w="1884" w:type="pct"/>
            <w:vAlign w:val="center"/>
          </w:tcPr>
          <w:p w:rsidR="005D26B4" w:rsidRPr="006B4AF9" w:rsidRDefault="00BD41FB" w:rsidP="00D86231">
            <w:pPr>
              <w:pStyle w:val="In-tableHeading"/>
              <w:rPr>
                <w:vertAlign w:val="superscript"/>
                <w:lang w:val="en-AU"/>
              </w:rPr>
            </w:pPr>
            <w:r w:rsidRPr="0097324B">
              <w:rPr>
                <w:lang w:val="en-AU"/>
              </w:rPr>
              <w:t>MONARCH-2</w:t>
            </w:r>
            <w:r w:rsidR="006B4AF9">
              <w:rPr>
                <w:vertAlign w:val="superscript"/>
                <w:lang w:val="en-AU"/>
              </w:rPr>
              <w:t>a</w:t>
            </w:r>
          </w:p>
        </w:tc>
        <w:tc>
          <w:tcPr>
            <w:tcW w:w="1021" w:type="pct"/>
            <w:vAlign w:val="center"/>
          </w:tcPr>
          <w:p w:rsidR="005D26B4" w:rsidRPr="0097324B" w:rsidRDefault="00BD41FB" w:rsidP="00D86231">
            <w:pPr>
              <w:pStyle w:val="In-tableHeading"/>
              <w:jc w:val="center"/>
              <w:rPr>
                <w:lang w:val="en-AU"/>
              </w:rPr>
            </w:pPr>
            <w:r w:rsidRPr="0097324B">
              <w:rPr>
                <w:lang w:val="en-AU"/>
              </w:rPr>
              <w:t>Abemaciclib plus fulvestrant</w:t>
            </w:r>
          </w:p>
          <w:p w:rsidR="005D26B4" w:rsidRPr="0097324B" w:rsidRDefault="00BD41FB" w:rsidP="00D86231">
            <w:pPr>
              <w:pStyle w:val="In-tableHeading"/>
              <w:jc w:val="center"/>
              <w:rPr>
                <w:lang w:val="en-AU"/>
              </w:rPr>
            </w:pPr>
            <w:r w:rsidRPr="0097324B">
              <w:rPr>
                <w:lang w:val="en-AU"/>
              </w:rPr>
              <w:t>N=441</w:t>
            </w:r>
            <w:r w:rsidR="005D26B4" w:rsidRPr="0097324B">
              <w:rPr>
                <w:lang w:val="en-AU"/>
              </w:rPr>
              <w:t xml:space="preserve"> </w:t>
            </w:r>
          </w:p>
        </w:tc>
        <w:tc>
          <w:tcPr>
            <w:tcW w:w="1100" w:type="pct"/>
            <w:vAlign w:val="center"/>
          </w:tcPr>
          <w:p w:rsidR="005D26B4" w:rsidRPr="0097324B" w:rsidRDefault="00BD41FB" w:rsidP="00D86231">
            <w:pPr>
              <w:pStyle w:val="In-tableHeading"/>
              <w:jc w:val="center"/>
              <w:rPr>
                <w:lang w:val="en-AU"/>
              </w:rPr>
            </w:pPr>
            <w:r w:rsidRPr="0097324B">
              <w:rPr>
                <w:lang w:val="en-AU"/>
              </w:rPr>
              <w:t>Placebo plus fulvestrant</w:t>
            </w:r>
          </w:p>
          <w:p w:rsidR="005D26B4" w:rsidRPr="0097324B" w:rsidRDefault="00BD41FB" w:rsidP="00D86231">
            <w:pPr>
              <w:pStyle w:val="In-tableHeading"/>
              <w:jc w:val="center"/>
              <w:rPr>
                <w:lang w:val="en-AU"/>
              </w:rPr>
            </w:pPr>
            <w:r w:rsidRPr="0097324B">
              <w:rPr>
                <w:lang w:val="en-AU"/>
              </w:rPr>
              <w:t>N=223</w:t>
            </w:r>
          </w:p>
        </w:tc>
        <w:tc>
          <w:tcPr>
            <w:tcW w:w="995" w:type="pct"/>
            <w:vAlign w:val="center"/>
          </w:tcPr>
          <w:p w:rsidR="005D26B4" w:rsidRPr="0097324B" w:rsidRDefault="005D26B4" w:rsidP="00D86231">
            <w:pPr>
              <w:pStyle w:val="In-tableHeading"/>
              <w:jc w:val="center"/>
              <w:rPr>
                <w:lang w:val="en-AU"/>
              </w:rPr>
            </w:pPr>
            <w:r w:rsidRPr="0097324B">
              <w:rPr>
                <w:lang w:val="en-AU"/>
              </w:rPr>
              <w:t>R</w:t>
            </w:r>
            <w:r w:rsidR="00394DEA" w:rsidRPr="0097324B">
              <w:rPr>
                <w:lang w:val="en-AU"/>
              </w:rPr>
              <w:t>D</w:t>
            </w:r>
            <w:r w:rsidRPr="0097324B">
              <w:rPr>
                <w:lang w:val="en-AU"/>
              </w:rPr>
              <w:t xml:space="preserve"> </w:t>
            </w:r>
          </w:p>
        </w:tc>
      </w:tr>
      <w:tr w:rsidR="004B2FC9" w:rsidRPr="0097324B" w:rsidTr="004B2FC9">
        <w:trPr>
          <w:cantSplit/>
        </w:trPr>
        <w:tc>
          <w:tcPr>
            <w:tcW w:w="1884" w:type="pct"/>
          </w:tcPr>
          <w:p w:rsidR="004B2FC9" w:rsidRPr="0097324B" w:rsidRDefault="004B2FC9" w:rsidP="004B2FC9">
            <w:pPr>
              <w:pStyle w:val="TableText0"/>
            </w:pPr>
            <w:r w:rsidRPr="0097324B">
              <w:t xml:space="preserve">with </w:t>
            </w:r>
            <w:r w:rsidRPr="0097324B">
              <w:rPr>
                <w:rFonts w:cs="Calibri"/>
              </w:rPr>
              <w:t>≥</w:t>
            </w:r>
            <w:r w:rsidRPr="0097324B">
              <w:t>1 TEAE</w:t>
            </w:r>
          </w:p>
        </w:tc>
        <w:tc>
          <w:tcPr>
            <w:tcW w:w="1021" w:type="pct"/>
          </w:tcPr>
          <w:p w:rsidR="004B2FC9" w:rsidRPr="0097324B" w:rsidRDefault="004B2FC9" w:rsidP="004B2FC9">
            <w:pPr>
              <w:pStyle w:val="TableText0"/>
              <w:jc w:val="center"/>
            </w:pPr>
            <w:r w:rsidRPr="0097324B">
              <w:t>435 (98.6)</w:t>
            </w:r>
          </w:p>
        </w:tc>
        <w:tc>
          <w:tcPr>
            <w:tcW w:w="1100" w:type="pct"/>
          </w:tcPr>
          <w:p w:rsidR="004B2FC9" w:rsidRPr="0097324B" w:rsidRDefault="004B2FC9" w:rsidP="004B2FC9">
            <w:pPr>
              <w:pStyle w:val="TableText0"/>
              <w:jc w:val="center"/>
            </w:pPr>
            <w:r w:rsidRPr="0097324B">
              <w:t>199 (89.2)</w:t>
            </w:r>
          </w:p>
        </w:tc>
        <w:tc>
          <w:tcPr>
            <w:tcW w:w="995" w:type="pct"/>
            <w:vAlign w:val="center"/>
          </w:tcPr>
          <w:p w:rsidR="004B2FC9" w:rsidRPr="0097324B" w:rsidRDefault="00394DEA" w:rsidP="004B2FC9">
            <w:pPr>
              <w:pStyle w:val="TableText0"/>
              <w:jc w:val="center"/>
            </w:pPr>
            <w:r w:rsidRPr="0097324B">
              <w:t>9.4</w:t>
            </w:r>
            <w:r w:rsidR="001129F2" w:rsidRPr="0097324B">
              <w:t>%</w:t>
            </w:r>
          </w:p>
        </w:tc>
      </w:tr>
      <w:tr w:rsidR="004B2FC9" w:rsidRPr="0097324B" w:rsidTr="004B2FC9">
        <w:trPr>
          <w:cantSplit/>
        </w:trPr>
        <w:tc>
          <w:tcPr>
            <w:tcW w:w="1884" w:type="pct"/>
          </w:tcPr>
          <w:p w:rsidR="004B2FC9" w:rsidRPr="0032250E" w:rsidRDefault="004B2FC9" w:rsidP="004B2FC9">
            <w:pPr>
              <w:pStyle w:val="TableText0"/>
              <w:rPr>
                <w:vertAlign w:val="superscript"/>
              </w:rPr>
            </w:pPr>
            <w:r w:rsidRPr="0097324B">
              <w:t xml:space="preserve">with ≥1 CTCAE with ≥Grade 3 TEAE </w:t>
            </w:r>
            <w:r w:rsidR="0032250E">
              <w:rPr>
                <w:vertAlign w:val="superscript"/>
              </w:rPr>
              <w:t>b</w:t>
            </w:r>
          </w:p>
        </w:tc>
        <w:tc>
          <w:tcPr>
            <w:tcW w:w="1021" w:type="pct"/>
          </w:tcPr>
          <w:p w:rsidR="004B2FC9" w:rsidRPr="0097324B" w:rsidRDefault="004B2FC9" w:rsidP="004B2FC9">
            <w:pPr>
              <w:pStyle w:val="TableText0"/>
              <w:jc w:val="center"/>
            </w:pPr>
            <w:r w:rsidRPr="0097324B">
              <w:t>276 (62.6)</w:t>
            </w:r>
          </w:p>
        </w:tc>
        <w:tc>
          <w:tcPr>
            <w:tcW w:w="1100" w:type="pct"/>
          </w:tcPr>
          <w:p w:rsidR="004B2FC9" w:rsidRPr="0097324B" w:rsidRDefault="004B2FC9" w:rsidP="004B2FC9">
            <w:pPr>
              <w:pStyle w:val="TableText0"/>
              <w:jc w:val="center"/>
            </w:pPr>
            <w:r w:rsidRPr="0097324B">
              <w:t>53 (23.8)</w:t>
            </w:r>
          </w:p>
        </w:tc>
        <w:tc>
          <w:tcPr>
            <w:tcW w:w="995" w:type="pct"/>
          </w:tcPr>
          <w:p w:rsidR="004B2FC9" w:rsidRPr="0097324B" w:rsidRDefault="00394DEA" w:rsidP="004B2FC9">
            <w:pPr>
              <w:pStyle w:val="TableText0"/>
              <w:jc w:val="center"/>
            </w:pPr>
            <w:r w:rsidRPr="0097324B">
              <w:t>38.8</w:t>
            </w:r>
            <w:r w:rsidR="001129F2" w:rsidRPr="0097324B">
              <w:t>%</w:t>
            </w:r>
          </w:p>
        </w:tc>
      </w:tr>
      <w:tr w:rsidR="004B2FC9" w:rsidRPr="0097324B" w:rsidTr="004B2FC9">
        <w:trPr>
          <w:cantSplit/>
        </w:trPr>
        <w:tc>
          <w:tcPr>
            <w:tcW w:w="1884" w:type="pct"/>
          </w:tcPr>
          <w:p w:rsidR="004B2FC9" w:rsidRPr="0097324B" w:rsidRDefault="004B2FC9" w:rsidP="004B2FC9">
            <w:pPr>
              <w:pStyle w:val="TableText0"/>
            </w:pPr>
            <w:r w:rsidRPr="0097324B">
              <w:t xml:space="preserve">with ≥1 </w:t>
            </w:r>
            <w:r w:rsidR="00FE0496" w:rsidRPr="0097324B">
              <w:t>S</w:t>
            </w:r>
            <w:r w:rsidRPr="0097324B">
              <w:t>AE</w:t>
            </w:r>
          </w:p>
        </w:tc>
        <w:tc>
          <w:tcPr>
            <w:tcW w:w="1021" w:type="pct"/>
          </w:tcPr>
          <w:p w:rsidR="004B2FC9" w:rsidRPr="0097324B" w:rsidRDefault="004B2FC9" w:rsidP="004B2FC9">
            <w:pPr>
              <w:pStyle w:val="TableText0"/>
              <w:jc w:val="center"/>
            </w:pPr>
            <w:r w:rsidRPr="0097324B">
              <w:t>99 (22.4)</w:t>
            </w:r>
          </w:p>
        </w:tc>
        <w:tc>
          <w:tcPr>
            <w:tcW w:w="1100" w:type="pct"/>
          </w:tcPr>
          <w:p w:rsidR="004B2FC9" w:rsidRPr="0097324B" w:rsidRDefault="004B2FC9" w:rsidP="004B2FC9">
            <w:pPr>
              <w:pStyle w:val="TableText0"/>
              <w:jc w:val="center"/>
            </w:pPr>
            <w:r w:rsidRPr="0097324B">
              <w:t>24 (10.8)</w:t>
            </w:r>
          </w:p>
        </w:tc>
        <w:tc>
          <w:tcPr>
            <w:tcW w:w="995" w:type="pct"/>
            <w:vAlign w:val="center"/>
          </w:tcPr>
          <w:p w:rsidR="004B2FC9" w:rsidRPr="0097324B" w:rsidRDefault="00394DEA" w:rsidP="004B2FC9">
            <w:pPr>
              <w:pStyle w:val="TableText0"/>
              <w:jc w:val="center"/>
            </w:pPr>
            <w:r w:rsidRPr="0097324B">
              <w:t>11.6</w:t>
            </w:r>
            <w:r w:rsidR="001129F2" w:rsidRPr="0097324B">
              <w:t>%</w:t>
            </w:r>
          </w:p>
        </w:tc>
      </w:tr>
      <w:tr w:rsidR="004B2FC9" w:rsidRPr="0097324B" w:rsidTr="004B2FC9">
        <w:trPr>
          <w:cantSplit/>
        </w:trPr>
        <w:tc>
          <w:tcPr>
            <w:tcW w:w="1884" w:type="pct"/>
          </w:tcPr>
          <w:p w:rsidR="004B2FC9" w:rsidRPr="0097324B" w:rsidRDefault="004B2FC9" w:rsidP="004B2FC9">
            <w:pPr>
              <w:pStyle w:val="TableText0"/>
            </w:pPr>
            <w:r w:rsidRPr="0097324B">
              <w:t xml:space="preserve">Discontinued study treatment due to AE </w:t>
            </w:r>
            <w:r w:rsidRPr="0097324B">
              <w:rPr>
                <w:rStyle w:val="SmallSuperscript"/>
              </w:rPr>
              <w:t>c</w:t>
            </w:r>
          </w:p>
        </w:tc>
        <w:tc>
          <w:tcPr>
            <w:tcW w:w="1021" w:type="pct"/>
          </w:tcPr>
          <w:p w:rsidR="004B2FC9" w:rsidRPr="0097324B" w:rsidRDefault="004B2FC9" w:rsidP="004B2FC9">
            <w:pPr>
              <w:pStyle w:val="TableText0"/>
              <w:jc w:val="center"/>
            </w:pPr>
            <w:r w:rsidRPr="0097324B">
              <w:t>38 (8.6)</w:t>
            </w:r>
          </w:p>
        </w:tc>
        <w:tc>
          <w:tcPr>
            <w:tcW w:w="1100" w:type="pct"/>
          </w:tcPr>
          <w:p w:rsidR="004B2FC9" w:rsidRPr="0097324B" w:rsidRDefault="004B2FC9" w:rsidP="004B2FC9">
            <w:pPr>
              <w:pStyle w:val="TableText0"/>
              <w:jc w:val="center"/>
            </w:pPr>
            <w:r w:rsidRPr="0097324B">
              <w:t>7 (3.1)</w:t>
            </w:r>
          </w:p>
        </w:tc>
        <w:tc>
          <w:tcPr>
            <w:tcW w:w="995" w:type="pct"/>
            <w:vAlign w:val="center"/>
          </w:tcPr>
          <w:p w:rsidR="004B2FC9" w:rsidRPr="0097324B" w:rsidRDefault="00394DEA" w:rsidP="004B2FC9">
            <w:pPr>
              <w:pStyle w:val="TableText0"/>
              <w:jc w:val="center"/>
            </w:pPr>
            <w:r w:rsidRPr="0097324B">
              <w:t>2.77</w:t>
            </w:r>
            <w:r w:rsidR="001129F2" w:rsidRPr="0097324B">
              <w:t>%</w:t>
            </w:r>
          </w:p>
        </w:tc>
      </w:tr>
      <w:tr w:rsidR="004B2FC9" w:rsidRPr="0097324B" w:rsidTr="004B2FC9">
        <w:trPr>
          <w:cantSplit/>
        </w:trPr>
        <w:tc>
          <w:tcPr>
            <w:tcW w:w="1884" w:type="pct"/>
          </w:tcPr>
          <w:p w:rsidR="004B2FC9" w:rsidRPr="0097324B" w:rsidRDefault="004B2FC9" w:rsidP="004B2FC9">
            <w:pPr>
              <w:pStyle w:val="TableText0"/>
            </w:pPr>
            <w:r w:rsidRPr="0097324B">
              <w:t xml:space="preserve">Discontinued study treatment due to SAE </w:t>
            </w:r>
            <w:r w:rsidRPr="0097324B">
              <w:rPr>
                <w:rStyle w:val="SmallSuperscript"/>
              </w:rPr>
              <w:t>c</w:t>
            </w:r>
          </w:p>
        </w:tc>
        <w:tc>
          <w:tcPr>
            <w:tcW w:w="1021" w:type="pct"/>
          </w:tcPr>
          <w:p w:rsidR="004B2FC9" w:rsidRPr="0097324B" w:rsidRDefault="004B2FC9" w:rsidP="004B2FC9">
            <w:pPr>
              <w:pStyle w:val="TableText0"/>
              <w:jc w:val="center"/>
            </w:pPr>
            <w:r w:rsidRPr="0097324B">
              <w:t>18 (4.1)</w:t>
            </w:r>
          </w:p>
        </w:tc>
        <w:tc>
          <w:tcPr>
            <w:tcW w:w="1100" w:type="pct"/>
          </w:tcPr>
          <w:p w:rsidR="004B2FC9" w:rsidRPr="0097324B" w:rsidRDefault="004B2FC9" w:rsidP="004B2FC9">
            <w:pPr>
              <w:pStyle w:val="TableText0"/>
              <w:jc w:val="center"/>
            </w:pPr>
            <w:r w:rsidRPr="0097324B">
              <w:t>3 (1.3)</w:t>
            </w:r>
          </w:p>
        </w:tc>
        <w:tc>
          <w:tcPr>
            <w:tcW w:w="995" w:type="pct"/>
            <w:vAlign w:val="center"/>
          </w:tcPr>
          <w:p w:rsidR="004B2FC9" w:rsidRPr="0097324B" w:rsidRDefault="00394DEA" w:rsidP="004B2FC9">
            <w:pPr>
              <w:pStyle w:val="TableText0"/>
              <w:jc w:val="center"/>
            </w:pPr>
            <w:r w:rsidRPr="0097324B">
              <w:t>5.5</w:t>
            </w:r>
            <w:r w:rsidR="001129F2" w:rsidRPr="0097324B">
              <w:t>%</w:t>
            </w:r>
          </w:p>
        </w:tc>
      </w:tr>
      <w:tr w:rsidR="004B2FC9" w:rsidRPr="0097324B" w:rsidTr="004B2FC9">
        <w:trPr>
          <w:cantSplit/>
        </w:trPr>
        <w:tc>
          <w:tcPr>
            <w:tcW w:w="1884" w:type="pct"/>
          </w:tcPr>
          <w:p w:rsidR="004B2FC9" w:rsidRPr="0097324B" w:rsidRDefault="004B2FC9" w:rsidP="004B2FC9">
            <w:pPr>
              <w:pStyle w:val="TableText0"/>
            </w:pPr>
            <w:r w:rsidRPr="0097324B">
              <w:t xml:space="preserve">Death due to AE on study treatment </w:t>
            </w:r>
            <w:r w:rsidRPr="0097324B">
              <w:rPr>
                <w:rStyle w:val="SmallSuperscript"/>
              </w:rPr>
              <w:t>d</w:t>
            </w:r>
          </w:p>
        </w:tc>
        <w:tc>
          <w:tcPr>
            <w:tcW w:w="1021" w:type="pct"/>
          </w:tcPr>
          <w:p w:rsidR="004B2FC9" w:rsidRPr="0097324B" w:rsidRDefault="004B2FC9" w:rsidP="004B2FC9">
            <w:pPr>
              <w:pStyle w:val="TableText0"/>
              <w:jc w:val="center"/>
            </w:pPr>
            <w:r w:rsidRPr="0097324B">
              <w:t>6 (1.4)</w:t>
            </w:r>
          </w:p>
        </w:tc>
        <w:tc>
          <w:tcPr>
            <w:tcW w:w="1100" w:type="pct"/>
          </w:tcPr>
          <w:p w:rsidR="004B2FC9" w:rsidRPr="0097324B" w:rsidRDefault="004B2FC9" w:rsidP="004B2FC9">
            <w:pPr>
              <w:pStyle w:val="TableText0"/>
              <w:jc w:val="center"/>
            </w:pPr>
            <w:r w:rsidRPr="0097324B">
              <w:t>1 (0.4)</w:t>
            </w:r>
          </w:p>
        </w:tc>
        <w:tc>
          <w:tcPr>
            <w:tcW w:w="995" w:type="pct"/>
            <w:vAlign w:val="center"/>
          </w:tcPr>
          <w:p w:rsidR="004B2FC9" w:rsidRPr="0097324B" w:rsidRDefault="00394DEA" w:rsidP="004B2FC9">
            <w:pPr>
              <w:pStyle w:val="TableText0"/>
              <w:jc w:val="center"/>
            </w:pPr>
            <w:r w:rsidRPr="0097324B">
              <w:t>1</w:t>
            </w:r>
            <w:r w:rsidR="001129F2" w:rsidRPr="0097324B">
              <w:t>%</w:t>
            </w:r>
          </w:p>
        </w:tc>
      </w:tr>
      <w:tr w:rsidR="004B2FC9" w:rsidRPr="0097324B" w:rsidTr="00E01C63">
        <w:trPr>
          <w:cantSplit/>
        </w:trPr>
        <w:tc>
          <w:tcPr>
            <w:tcW w:w="1884" w:type="pct"/>
          </w:tcPr>
          <w:p w:rsidR="004B2FC9" w:rsidRPr="0097324B" w:rsidRDefault="004B2FC9" w:rsidP="004B2FC9">
            <w:pPr>
              <w:pStyle w:val="TableText0"/>
            </w:pPr>
            <w:r w:rsidRPr="0097324B">
              <w:t>Death due to an AE within 30 days of discontinuing study treatment</w:t>
            </w:r>
          </w:p>
        </w:tc>
        <w:tc>
          <w:tcPr>
            <w:tcW w:w="1021" w:type="pct"/>
            <w:vAlign w:val="center"/>
          </w:tcPr>
          <w:p w:rsidR="004B2FC9" w:rsidRPr="0097324B" w:rsidRDefault="004B2FC9" w:rsidP="00E01C63">
            <w:pPr>
              <w:pStyle w:val="TableText0"/>
              <w:jc w:val="center"/>
            </w:pPr>
            <w:r w:rsidRPr="0097324B">
              <w:t>3 (0.7)</w:t>
            </w:r>
          </w:p>
        </w:tc>
        <w:tc>
          <w:tcPr>
            <w:tcW w:w="1100" w:type="pct"/>
            <w:vAlign w:val="center"/>
          </w:tcPr>
          <w:p w:rsidR="004B2FC9" w:rsidRPr="0097324B" w:rsidRDefault="004B2FC9" w:rsidP="00E01C63">
            <w:pPr>
              <w:pStyle w:val="TableText0"/>
              <w:jc w:val="center"/>
            </w:pPr>
            <w:r w:rsidRPr="0097324B">
              <w:t>1 (0.4)</w:t>
            </w:r>
          </w:p>
        </w:tc>
        <w:tc>
          <w:tcPr>
            <w:tcW w:w="995" w:type="pct"/>
            <w:vAlign w:val="center"/>
          </w:tcPr>
          <w:p w:rsidR="004B2FC9" w:rsidRPr="0097324B" w:rsidRDefault="00394DEA" w:rsidP="004B2FC9">
            <w:pPr>
              <w:pStyle w:val="TableText0"/>
              <w:jc w:val="center"/>
            </w:pPr>
            <w:r w:rsidRPr="0097324B">
              <w:t>+0.3</w:t>
            </w:r>
            <w:r w:rsidR="001129F2" w:rsidRPr="0097324B">
              <w:t>%</w:t>
            </w:r>
          </w:p>
        </w:tc>
      </w:tr>
    </w:tbl>
    <w:p w:rsidR="005D26B4" w:rsidRPr="0097324B" w:rsidRDefault="005D26B4" w:rsidP="00D86231">
      <w:pPr>
        <w:pStyle w:val="TableFigureFooter"/>
        <w:rPr>
          <w:rFonts w:eastAsia="Calibri"/>
        </w:rPr>
      </w:pPr>
      <w:r w:rsidRPr="0097324B">
        <w:t xml:space="preserve">Source: </w:t>
      </w:r>
      <w:r w:rsidR="004B2FC9" w:rsidRPr="0097324B">
        <w:t>Source Table 2-22, p88 of the submission</w:t>
      </w:r>
      <w:r w:rsidR="00021755" w:rsidRPr="0097324B">
        <w:t>;</w:t>
      </w:r>
      <w:r w:rsidR="00021755" w:rsidRPr="0097324B">
        <w:rPr>
          <w:rFonts w:eastAsia="Calibri"/>
        </w:rPr>
        <w:t xml:space="preserve"> </w:t>
      </w:r>
    </w:p>
    <w:p w:rsidR="004368EC" w:rsidRDefault="005D26B4" w:rsidP="00D86231">
      <w:pPr>
        <w:pStyle w:val="TableFigureFooter"/>
        <w:rPr>
          <w:rFonts w:eastAsia="Calibri"/>
        </w:rPr>
      </w:pPr>
      <w:r w:rsidRPr="0097324B">
        <w:rPr>
          <w:rFonts w:eastAsia="Calibri"/>
        </w:rPr>
        <w:t>CI = confidence interval; n = number of participants reporting data; N = total participants in group; RD = risk difference; RR = relative risk</w:t>
      </w:r>
      <w:r w:rsidR="00FE0496" w:rsidRPr="0097324B">
        <w:rPr>
          <w:rFonts w:eastAsia="Calibri"/>
        </w:rPr>
        <w:t xml:space="preserve">; TEAE=treatment-emergent adverse event; CTCAE = Common Treatment Criteria for Adverse Event; AE= </w:t>
      </w:r>
      <w:r w:rsidR="007102DC" w:rsidRPr="0097324B">
        <w:rPr>
          <w:rFonts w:eastAsia="Calibri"/>
        </w:rPr>
        <w:t>adverse</w:t>
      </w:r>
      <w:r w:rsidR="00FE0496" w:rsidRPr="0097324B">
        <w:rPr>
          <w:rFonts w:eastAsia="Calibri"/>
        </w:rPr>
        <w:t xml:space="preserve"> event; SAE = serious adverse event.</w:t>
      </w:r>
    </w:p>
    <w:p w:rsidR="0032250E" w:rsidRDefault="0032250E" w:rsidP="00D86231">
      <w:pPr>
        <w:pStyle w:val="TableFigureFooter"/>
      </w:pPr>
      <w:r w:rsidRPr="00BA43AD">
        <w:t>a Patient</w:t>
      </w:r>
      <w:r>
        <w:t>s may be counted in &gt;1 category</w:t>
      </w:r>
    </w:p>
    <w:p w:rsidR="0032250E" w:rsidRDefault="0032250E" w:rsidP="00D86231">
      <w:pPr>
        <w:pStyle w:val="TableFigureFooter"/>
      </w:pPr>
      <w:r w:rsidRPr="00BA43AD">
        <w:t>b Includes events that were considered related to study treatmen</w:t>
      </w:r>
      <w:r>
        <w:t>t as judged by the investigator</w:t>
      </w:r>
    </w:p>
    <w:p w:rsidR="0032250E" w:rsidRDefault="000559ED" w:rsidP="00D86231">
      <w:pPr>
        <w:pStyle w:val="TableFigureFooter"/>
      </w:pPr>
      <w:r>
        <w:t xml:space="preserve">c </w:t>
      </w:r>
      <w:r w:rsidR="0032250E" w:rsidRPr="00BA43AD">
        <w:t>Patients who died on study treatment with primary cause as AE or SAE are also included as discontinuations.</w:t>
      </w:r>
    </w:p>
    <w:p w:rsidR="0032250E" w:rsidRPr="0097324B" w:rsidRDefault="0032250E" w:rsidP="00D86231">
      <w:pPr>
        <w:pStyle w:val="TableFigureFooter"/>
        <w:rPr>
          <w:rFonts w:eastAsia="Calibri"/>
        </w:rPr>
      </w:pPr>
      <w:r w:rsidRPr="00BA43AD">
        <w:t>d Deaths are also included as SAEs and discontinuations due to AEs.</w:t>
      </w:r>
    </w:p>
    <w:p w:rsidR="004368EC" w:rsidRPr="0097324B" w:rsidRDefault="004368EC" w:rsidP="004368EC">
      <w:pPr>
        <w:pStyle w:val="3-BodyText"/>
        <w:rPr>
          <w:iCs/>
        </w:rPr>
      </w:pPr>
      <w:r w:rsidRPr="0097324B">
        <w:t>The most common adverse reactions in the abemaciclib plus fulvestrant arm compared with the control arm of MONARCH 2 (incidence ≥20% in either arm and with ≥10% difference between the arms) were diarrhoea (87% vs 28%), neutropenia (50% vs 4%), nausea (49% vs 25%), fatigue (49% vs 25%), abdominal pain (37% vs 17%), anaemia (35% vs 4%), leukopenia (33 vs 2%), vomiting (29% vs 12%), decreased appetite (29% VS 14%). Grade 3 events occurring at ≥10% of patients in the abemaciclib arm included neutropenia (27%), diarrhoea (15%) and leukopenia (11%).</w:t>
      </w:r>
    </w:p>
    <w:p w:rsidR="004368EC" w:rsidRPr="0097324B" w:rsidRDefault="004368EC" w:rsidP="004368EC">
      <w:pPr>
        <w:pStyle w:val="3-BodyText"/>
        <w:rPr>
          <w:iCs/>
        </w:rPr>
      </w:pPr>
      <w:r w:rsidRPr="0097324B">
        <w:t>Adverse events (most commonly diarrhoea and neutropenia) leading to dose interruptions, dose reductions and treatment discontinuations (one or both study medications) occurred in 62%, 55% and 10.7% of patients, respectively. Reasons for discontinuation included adverse events (9%) and withdrawal by patient (6.3%).</w:t>
      </w:r>
    </w:p>
    <w:p w:rsidR="00A81133" w:rsidRPr="0097324B" w:rsidRDefault="00A81133" w:rsidP="00A81133">
      <w:pPr>
        <w:pStyle w:val="3-BodyText"/>
        <w:rPr>
          <w:iCs/>
        </w:rPr>
      </w:pPr>
      <w:r w:rsidRPr="0097324B">
        <w:t>Antidiarrhoeal medication were required per protocol and were taken by 69% of patients in the abemaciclib plus fulvestrant arm.</w:t>
      </w:r>
    </w:p>
    <w:p w:rsidR="00BD1E75" w:rsidRPr="0097324B" w:rsidRDefault="00BD1E75" w:rsidP="00BD1E75">
      <w:pPr>
        <w:pStyle w:val="3-BodyText"/>
        <w:rPr>
          <w:iCs/>
        </w:rPr>
      </w:pPr>
      <w:r w:rsidRPr="0097324B">
        <w:t xml:space="preserve">The most common adverse events in the ribociclib plus fulvestrant arm (incidence ≥20%) </w:t>
      </w:r>
      <w:r w:rsidR="00F40EEF" w:rsidRPr="0097324B">
        <w:t xml:space="preserve">compared with the control arm of MONALEESA-3 </w:t>
      </w:r>
      <w:r w:rsidRPr="0097324B">
        <w:t>were</w:t>
      </w:r>
      <w:r w:rsidR="004368EC" w:rsidRPr="0097324B">
        <w:t>:</w:t>
      </w:r>
      <w:r w:rsidR="00F40EEF" w:rsidRPr="0097324B">
        <w:t xml:space="preserve"> </w:t>
      </w:r>
      <w:r w:rsidRPr="0097324B">
        <w:t>neutropenia</w:t>
      </w:r>
      <w:r w:rsidR="00CB4A35" w:rsidRPr="0097324B">
        <w:t xml:space="preserve"> (70% vs 2.1%)</w:t>
      </w:r>
      <w:r w:rsidRPr="0097324B">
        <w:t>, nausea</w:t>
      </w:r>
      <w:r w:rsidR="00CB4A35" w:rsidRPr="0097324B">
        <w:t xml:space="preserve"> (45% vs 28%)</w:t>
      </w:r>
      <w:r w:rsidRPr="0097324B">
        <w:t>, fatigue</w:t>
      </w:r>
      <w:r w:rsidR="00CB4A35" w:rsidRPr="0097324B">
        <w:t xml:space="preserve"> (32% vs 33%)</w:t>
      </w:r>
      <w:r w:rsidRPr="0097324B">
        <w:t>, diarrhoea</w:t>
      </w:r>
      <w:r w:rsidR="00CB4A35" w:rsidRPr="0097324B">
        <w:t xml:space="preserve"> (29% vs 20%)</w:t>
      </w:r>
      <w:r w:rsidRPr="0097324B">
        <w:t>, leukopenia</w:t>
      </w:r>
      <w:r w:rsidR="00CB4A35" w:rsidRPr="0097324B">
        <w:t xml:space="preserve"> (28% vs 2%)</w:t>
      </w:r>
      <w:r w:rsidRPr="0097324B">
        <w:t>, vomiting</w:t>
      </w:r>
      <w:r w:rsidR="00CB4A35" w:rsidRPr="0097324B">
        <w:t xml:space="preserve"> (27% vs 13%)</w:t>
      </w:r>
      <w:r w:rsidRPr="0097324B">
        <w:t xml:space="preserve">, constipation </w:t>
      </w:r>
      <w:r w:rsidR="00CB4A35" w:rsidRPr="0097324B">
        <w:t xml:space="preserve">(25% vs 12%), </w:t>
      </w:r>
      <w:r w:rsidRPr="0097324B">
        <w:t>arthralgia</w:t>
      </w:r>
      <w:r w:rsidR="00CB4A35" w:rsidRPr="0097324B">
        <w:t xml:space="preserve"> (24% vs 27%)</w:t>
      </w:r>
      <w:r w:rsidRPr="0097324B">
        <w:t>, cough</w:t>
      </w:r>
      <w:r w:rsidR="00CB4A35" w:rsidRPr="0097324B">
        <w:t xml:space="preserve"> (22% vs 15%)</w:t>
      </w:r>
      <w:r w:rsidRPr="0097324B">
        <w:t xml:space="preserve"> and headache</w:t>
      </w:r>
      <w:r w:rsidR="00CB4A35" w:rsidRPr="0097324B">
        <w:t xml:space="preserve"> (22% vs 20%)</w:t>
      </w:r>
      <w:r w:rsidRPr="0097324B">
        <w:t>.</w:t>
      </w:r>
    </w:p>
    <w:p w:rsidR="0004711C" w:rsidRPr="0097324B" w:rsidRDefault="00A81133" w:rsidP="00C0523B">
      <w:pPr>
        <w:pStyle w:val="3-BodyText"/>
      </w:pPr>
      <w:r w:rsidRPr="0097324B">
        <w:t xml:space="preserve">Compared with ribociclib plus fulvestrant, fewer patients treated with abemaciclib plus fulvestrant experienced neutropenia </w:t>
      </w:r>
      <w:r w:rsidR="00CA0EC7" w:rsidRPr="0097324B">
        <w:t>(any grade)</w:t>
      </w:r>
      <w:r w:rsidR="004F2CEE" w:rsidRPr="0097324B">
        <w:t xml:space="preserve"> or leukopenia</w:t>
      </w:r>
      <w:r w:rsidR="00CA0EC7" w:rsidRPr="0097324B">
        <w:t>, or QT prolongation. However, these patients were more likely to experience diarrhoea</w:t>
      </w:r>
      <w:r w:rsidR="00F93C92" w:rsidRPr="0097324B">
        <w:t>,</w:t>
      </w:r>
      <w:r w:rsidR="00CA0EC7" w:rsidRPr="0097324B">
        <w:t xml:space="preserve"> and </w:t>
      </w:r>
      <w:r w:rsidR="004F2CEE" w:rsidRPr="0097324B">
        <w:t xml:space="preserve">anaemia, and </w:t>
      </w:r>
      <w:r w:rsidR="00F93C92" w:rsidRPr="0097324B">
        <w:t>events of neutropenia</w:t>
      </w:r>
      <w:r w:rsidR="004F2CEE" w:rsidRPr="0097324B">
        <w:t xml:space="preserve"> </w:t>
      </w:r>
      <w:r w:rsidR="00F93C92" w:rsidRPr="0097324B">
        <w:t xml:space="preserve">and leukopenia were still common and required dose modifications. Discontinuations </w:t>
      </w:r>
      <w:r w:rsidR="004F2CEE" w:rsidRPr="0097324B">
        <w:t xml:space="preserve">from either study occurred at similar rates, and for abemaciclib were </w:t>
      </w:r>
      <w:r w:rsidR="00F93C92" w:rsidRPr="0097324B">
        <w:t xml:space="preserve">due to adverse events in 10.7% </w:t>
      </w:r>
      <w:r w:rsidR="00D8773B" w:rsidRPr="0097324B">
        <w:t>o</w:t>
      </w:r>
      <w:r w:rsidR="00CF0EEC" w:rsidRPr="0097324B">
        <w:t xml:space="preserve">f patients </w:t>
      </w:r>
      <w:r w:rsidR="00F93C92" w:rsidRPr="0097324B">
        <w:t>and a further 6.3% of patients withdrew from treatment</w:t>
      </w:r>
      <w:r w:rsidR="0079489A" w:rsidRPr="0097324B">
        <w:t xml:space="preserve"> in the MONARCH-2 study</w:t>
      </w:r>
      <w:r w:rsidR="00F93C92" w:rsidRPr="0097324B">
        <w:t xml:space="preserve">. Infections and abnormal liver function tests occurred at similar rates in both </w:t>
      </w:r>
      <w:r w:rsidR="00186B70" w:rsidRPr="0097324B">
        <w:t xml:space="preserve">arms of the </w:t>
      </w:r>
      <w:r w:rsidR="00264DFC" w:rsidRPr="0097324B">
        <w:t>MONARCH</w:t>
      </w:r>
      <w:r w:rsidR="00186B70" w:rsidRPr="0097324B">
        <w:t>-2 study</w:t>
      </w:r>
      <w:r w:rsidR="00F93C92" w:rsidRPr="0097324B">
        <w:t xml:space="preserve">. </w:t>
      </w:r>
    </w:p>
    <w:p w:rsidR="007F1017" w:rsidRPr="0097324B" w:rsidRDefault="007F1017" w:rsidP="00D86231">
      <w:pPr>
        <w:pStyle w:val="4-SubsectionHeading"/>
      </w:pPr>
      <w:bookmarkStart w:id="16" w:name="_Toc22897643"/>
      <w:bookmarkStart w:id="17" w:name="_Toc62047565"/>
      <w:r w:rsidRPr="0097324B">
        <w:lastRenderedPageBreak/>
        <w:t>Benefits/harms</w:t>
      </w:r>
      <w:bookmarkEnd w:id="16"/>
      <w:bookmarkEnd w:id="17"/>
    </w:p>
    <w:p w:rsidR="00BA771B" w:rsidRPr="0097324B" w:rsidRDefault="00E926A5" w:rsidP="00E62865">
      <w:pPr>
        <w:pStyle w:val="3-BodyText"/>
      </w:pPr>
      <w:r w:rsidRPr="0097324B">
        <w:rPr>
          <w:snapToGrid/>
        </w:rPr>
        <w:t>The indirect comparison presented in the submission</w:t>
      </w:r>
      <w:r w:rsidR="00FC3917" w:rsidRPr="0097324B">
        <w:rPr>
          <w:snapToGrid/>
        </w:rPr>
        <w:t xml:space="preserve"> support</w:t>
      </w:r>
      <w:r w:rsidR="00C56BD7" w:rsidRPr="0097324B">
        <w:rPr>
          <w:snapToGrid/>
        </w:rPr>
        <w:t>ed</w:t>
      </w:r>
      <w:r w:rsidR="00FC3917" w:rsidRPr="0097324B">
        <w:rPr>
          <w:snapToGrid/>
        </w:rPr>
        <w:t xml:space="preserve"> the claim of non-inferiority of efficacy for abemaciclib compared with ribociclib but</w:t>
      </w:r>
      <w:r w:rsidRPr="0097324B">
        <w:rPr>
          <w:snapToGrid/>
        </w:rPr>
        <w:t xml:space="preserve"> did not allow for a </w:t>
      </w:r>
      <w:r w:rsidR="007043D2" w:rsidRPr="0097324B">
        <w:rPr>
          <w:snapToGrid/>
        </w:rPr>
        <w:t xml:space="preserve">meaningful </w:t>
      </w:r>
      <w:r w:rsidR="0085309D" w:rsidRPr="0097324B">
        <w:rPr>
          <w:snapToGrid/>
        </w:rPr>
        <w:t xml:space="preserve">quantitative </w:t>
      </w:r>
      <w:r w:rsidRPr="0097324B">
        <w:rPr>
          <w:snapToGrid/>
        </w:rPr>
        <w:t xml:space="preserve">comparison of the harms of </w:t>
      </w:r>
      <w:r w:rsidR="00777348" w:rsidRPr="0097324B">
        <w:rPr>
          <w:snapToGrid/>
        </w:rPr>
        <w:t>abemaciclib</w:t>
      </w:r>
      <w:r w:rsidRPr="0097324B">
        <w:rPr>
          <w:snapToGrid/>
        </w:rPr>
        <w:t xml:space="preserve"> and </w:t>
      </w:r>
      <w:r w:rsidR="00777348" w:rsidRPr="0097324B">
        <w:rPr>
          <w:snapToGrid/>
        </w:rPr>
        <w:t>ribociclib</w:t>
      </w:r>
      <w:r w:rsidR="00FC3917" w:rsidRPr="0097324B">
        <w:rPr>
          <w:snapToGrid/>
        </w:rPr>
        <w:t xml:space="preserve"> due to the differing side effect profiles</w:t>
      </w:r>
      <w:r w:rsidR="00F65E24" w:rsidRPr="0097324B">
        <w:rPr>
          <w:snapToGrid/>
        </w:rPr>
        <w:t>, and the impact of the higher initial abemaciclib starting dose on dose reductions and discontinuations</w:t>
      </w:r>
      <w:r w:rsidRPr="0097324B">
        <w:rPr>
          <w:snapToGrid/>
        </w:rPr>
        <w:t>. Accordingly, a benefits/harms table has not been presented.</w:t>
      </w:r>
    </w:p>
    <w:p w:rsidR="00B60939" w:rsidRPr="0097324B" w:rsidRDefault="00B60939" w:rsidP="00E9094A">
      <w:pPr>
        <w:pStyle w:val="4-SubsectionHeading"/>
      </w:pPr>
      <w:bookmarkStart w:id="18" w:name="_Toc22897644"/>
      <w:bookmarkStart w:id="19" w:name="_Toc62047566"/>
      <w:r w:rsidRPr="0097324B">
        <w:t>Clinical claim</w:t>
      </w:r>
      <w:bookmarkEnd w:id="18"/>
      <w:bookmarkEnd w:id="19"/>
    </w:p>
    <w:p w:rsidR="005F7588" w:rsidRPr="0097324B" w:rsidRDefault="005F7588" w:rsidP="00E9094A">
      <w:pPr>
        <w:pStyle w:val="3-BodyText"/>
        <w:rPr>
          <w:rFonts w:eastAsia="Calibri"/>
        </w:rPr>
      </w:pPr>
      <w:r w:rsidRPr="0097324B">
        <w:rPr>
          <w:rFonts w:eastAsia="Calibri"/>
        </w:rPr>
        <w:t xml:space="preserve">The submission described </w:t>
      </w:r>
      <w:r w:rsidR="00BC2043" w:rsidRPr="0097324B">
        <w:rPr>
          <w:rFonts w:eastAsia="Calibri"/>
        </w:rPr>
        <w:t>abemaciclib</w:t>
      </w:r>
      <w:r w:rsidRPr="0097324B">
        <w:rPr>
          <w:rFonts w:eastAsia="Calibri"/>
        </w:rPr>
        <w:t xml:space="preserve"> as non-inferior in terms of effectiveness compared </w:t>
      </w:r>
      <w:r w:rsidR="00BC2043" w:rsidRPr="0097324B">
        <w:rPr>
          <w:rFonts w:eastAsia="Calibri"/>
        </w:rPr>
        <w:t>with ribociclib</w:t>
      </w:r>
      <w:r w:rsidRPr="0097324B">
        <w:rPr>
          <w:rFonts w:eastAsia="Calibri"/>
        </w:rPr>
        <w:t xml:space="preserve">. </w:t>
      </w:r>
      <w:r w:rsidRPr="0097324B">
        <w:rPr>
          <w:rFonts w:eastAsia="Calibri"/>
          <w:iCs/>
        </w:rPr>
        <w:t>This claim</w:t>
      </w:r>
      <w:r w:rsidRPr="0097324B">
        <w:rPr>
          <w:rFonts w:eastAsia="Calibri"/>
        </w:rPr>
        <w:t xml:space="preserve"> was </w:t>
      </w:r>
      <w:r w:rsidR="007C70FF" w:rsidRPr="0097324B">
        <w:rPr>
          <w:rFonts w:eastAsia="Calibri"/>
        </w:rPr>
        <w:t xml:space="preserve">adequately supported </w:t>
      </w:r>
      <w:r w:rsidR="00C56BD7" w:rsidRPr="0097324B">
        <w:rPr>
          <w:rFonts w:eastAsia="Calibri"/>
        </w:rPr>
        <w:t>by the clinical data provided in the submission</w:t>
      </w:r>
      <w:r w:rsidRPr="0097324B">
        <w:rPr>
          <w:rFonts w:eastAsia="Calibri"/>
        </w:rPr>
        <w:t>.</w:t>
      </w:r>
      <w:r w:rsidR="007C70FF" w:rsidRPr="0097324B">
        <w:rPr>
          <w:rFonts w:eastAsia="Calibri"/>
        </w:rPr>
        <w:t xml:space="preserve"> </w:t>
      </w:r>
    </w:p>
    <w:p w:rsidR="00165965" w:rsidRPr="0097324B" w:rsidRDefault="005F7588" w:rsidP="00E9094A">
      <w:pPr>
        <w:pStyle w:val="3-BodyText"/>
        <w:rPr>
          <w:rFonts w:eastAsia="Calibri"/>
          <w:iCs/>
        </w:rPr>
      </w:pPr>
      <w:r w:rsidRPr="0097324B">
        <w:rPr>
          <w:rFonts w:eastAsia="Calibri"/>
        </w:rPr>
        <w:t xml:space="preserve">The submission described </w:t>
      </w:r>
      <w:r w:rsidR="000D237F" w:rsidRPr="0097324B">
        <w:rPr>
          <w:rFonts w:eastAsia="Calibri"/>
        </w:rPr>
        <w:t xml:space="preserve">abemaciclib </w:t>
      </w:r>
      <w:r w:rsidRPr="0097324B">
        <w:rPr>
          <w:rFonts w:eastAsia="Calibri"/>
        </w:rPr>
        <w:t xml:space="preserve">as </w:t>
      </w:r>
      <w:r w:rsidR="00E63C2E" w:rsidRPr="0097324B">
        <w:rPr>
          <w:rFonts w:eastAsia="Calibri"/>
        </w:rPr>
        <w:t xml:space="preserve">non-inferior </w:t>
      </w:r>
      <w:r w:rsidRPr="0097324B">
        <w:rPr>
          <w:rFonts w:eastAsia="Calibri"/>
        </w:rPr>
        <w:t>in term</w:t>
      </w:r>
      <w:r w:rsidR="00156F8F" w:rsidRPr="0097324B">
        <w:rPr>
          <w:rFonts w:eastAsia="Calibri"/>
        </w:rPr>
        <w:t>s</w:t>
      </w:r>
      <w:r w:rsidRPr="0097324B">
        <w:rPr>
          <w:rFonts w:eastAsia="Calibri"/>
        </w:rPr>
        <w:t xml:space="preserve"> of safety compared </w:t>
      </w:r>
      <w:r w:rsidR="00E63C2E" w:rsidRPr="0097324B">
        <w:rPr>
          <w:rFonts w:eastAsia="Calibri"/>
        </w:rPr>
        <w:t>with</w:t>
      </w:r>
      <w:r w:rsidRPr="0097324B">
        <w:rPr>
          <w:rFonts w:eastAsia="Calibri"/>
        </w:rPr>
        <w:t xml:space="preserve"> </w:t>
      </w:r>
      <w:r w:rsidR="00E63C2E" w:rsidRPr="0097324B">
        <w:rPr>
          <w:rFonts w:eastAsia="Calibri"/>
        </w:rPr>
        <w:t>ribociclib</w:t>
      </w:r>
      <w:r w:rsidRPr="0097324B">
        <w:rPr>
          <w:rFonts w:eastAsia="Calibri"/>
        </w:rPr>
        <w:t xml:space="preserve">. </w:t>
      </w:r>
      <w:r w:rsidR="00442ED2" w:rsidRPr="0097324B">
        <w:rPr>
          <w:rFonts w:eastAsia="Calibri"/>
          <w:iCs/>
        </w:rPr>
        <w:t>The following issues were identified</w:t>
      </w:r>
      <w:r w:rsidR="00165965" w:rsidRPr="0097324B">
        <w:rPr>
          <w:rFonts w:eastAsia="Calibri"/>
          <w:iCs/>
        </w:rPr>
        <w:t>:</w:t>
      </w:r>
    </w:p>
    <w:p w:rsidR="00165965" w:rsidRPr="0097324B" w:rsidRDefault="00EB16A7" w:rsidP="0096333B">
      <w:pPr>
        <w:pStyle w:val="3-BodyText"/>
        <w:numPr>
          <w:ilvl w:val="0"/>
          <w:numId w:val="10"/>
        </w:numPr>
        <w:rPr>
          <w:rFonts w:eastAsia="Calibri"/>
          <w:iCs/>
        </w:rPr>
      </w:pPr>
      <w:r w:rsidRPr="0097324B">
        <w:rPr>
          <w:rFonts w:eastAsia="Calibri"/>
          <w:iCs/>
        </w:rPr>
        <w:t>D</w:t>
      </w:r>
      <w:r w:rsidR="00165965" w:rsidRPr="0097324B">
        <w:rPr>
          <w:rFonts w:eastAsia="Calibri"/>
          <w:iCs/>
        </w:rPr>
        <w:t>ata were presented</w:t>
      </w:r>
      <w:r w:rsidR="0013571D" w:rsidRPr="0097324B">
        <w:rPr>
          <w:rFonts w:eastAsia="Calibri"/>
          <w:iCs/>
        </w:rPr>
        <w:t xml:space="preserve"> from different durations of follow-up for the two trials</w:t>
      </w:r>
      <w:r w:rsidR="00165965" w:rsidRPr="0097324B">
        <w:rPr>
          <w:rFonts w:eastAsia="Calibri"/>
          <w:iCs/>
        </w:rPr>
        <w:t>, favouring the abemaciclib arm</w:t>
      </w:r>
      <w:r w:rsidR="002D2753" w:rsidRPr="0097324B">
        <w:rPr>
          <w:rFonts w:eastAsia="Calibri"/>
          <w:iCs/>
        </w:rPr>
        <w:t>.</w:t>
      </w:r>
    </w:p>
    <w:p w:rsidR="00165965" w:rsidRPr="0097324B" w:rsidRDefault="00165965" w:rsidP="0096333B">
      <w:pPr>
        <w:pStyle w:val="3-BodyText"/>
        <w:numPr>
          <w:ilvl w:val="0"/>
          <w:numId w:val="10"/>
        </w:numPr>
        <w:rPr>
          <w:rFonts w:eastAsia="Calibri"/>
          <w:iCs/>
        </w:rPr>
      </w:pPr>
      <w:r w:rsidRPr="0097324B">
        <w:rPr>
          <w:rFonts w:eastAsia="Calibri"/>
          <w:iCs/>
        </w:rPr>
        <w:t>121/441</w:t>
      </w:r>
      <w:r w:rsidR="00080E62" w:rsidRPr="0097324B">
        <w:rPr>
          <w:rFonts w:eastAsia="Calibri"/>
          <w:iCs/>
        </w:rPr>
        <w:t xml:space="preserve"> (27%)</w:t>
      </w:r>
      <w:r w:rsidRPr="0097324B">
        <w:rPr>
          <w:rFonts w:eastAsia="Calibri"/>
          <w:iCs/>
        </w:rPr>
        <w:t xml:space="preserve"> patients in the safety population in the abemaciclib arm </w:t>
      </w:r>
      <w:r w:rsidR="00BE3414" w:rsidRPr="0097324B">
        <w:rPr>
          <w:rFonts w:eastAsia="Calibri"/>
          <w:iCs/>
        </w:rPr>
        <w:t>commenced</w:t>
      </w:r>
      <w:r w:rsidRPr="0097324B">
        <w:rPr>
          <w:rFonts w:eastAsia="Calibri"/>
          <w:iCs/>
        </w:rPr>
        <w:t xml:space="preserve"> at a higher dose</w:t>
      </w:r>
      <w:r w:rsidR="00FA07C0" w:rsidRPr="0097324B">
        <w:rPr>
          <w:rFonts w:eastAsia="Calibri"/>
          <w:iCs/>
        </w:rPr>
        <w:t xml:space="preserve"> no longer recommended</w:t>
      </w:r>
      <w:r w:rsidRPr="0097324B">
        <w:rPr>
          <w:rFonts w:eastAsia="Calibri"/>
          <w:iCs/>
        </w:rPr>
        <w:t xml:space="preserve">, </w:t>
      </w:r>
      <w:r w:rsidR="00383345" w:rsidRPr="0097324B">
        <w:rPr>
          <w:rFonts w:eastAsia="Calibri"/>
          <w:iCs/>
        </w:rPr>
        <w:t>resulting in</w:t>
      </w:r>
      <w:r w:rsidRPr="0097324B">
        <w:rPr>
          <w:rFonts w:eastAsia="Calibri"/>
          <w:iCs/>
        </w:rPr>
        <w:t xml:space="preserve"> higher rate</w:t>
      </w:r>
      <w:r w:rsidR="00FA07C0" w:rsidRPr="0097324B">
        <w:rPr>
          <w:rFonts w:eastAsia="Calibri"/>
          <w:iCs/>
        </w:rPr>
        <w:t>s</w:t>
      </w:r>
      <w:r w:rsidRPr="0097324B">
        <w:rPr>
          <w:rFonts w:eastAsia="Calibri"/>
          <w:iCs/>
        </w:rPr>
        <w:t xml:space="preserve"> of adverse events, dose modifications and </w:t>
      </w:r>
      <w:r w:rsidR="00FA07C0" w:rsidRPr="0097324B">
        <w:rPr>
          <w:rFonts w:eastAsia="Calibri"/>
          <w:iCs/>
        </w:rPr>
        <w:t>discontinuations</w:t>
      </w:r>
      <w:r w:rsidRPr="0097324B">
        <w:rPr>
          <w:rFonts w:eastAsia="Calibri"/>
          <w:iCs/>
        </w:rPr>
        <w:t xml:space="preserve"> – this favours the ribociclib arm</w:t>
      </w:r>
      <w:r w:rsidR="002D2753" w:rsidRPr="0097324B">
        <w:rPr>
          <w:rFonts w:eastAsia="Calibri"/>
          <w:iCs/>
        </w:rPr>
        <w:t>.</w:t>
      </w:r>
      <w:r w:rsidRPr="0097324B">
        <w:rPr>
          <w:rFonts w:eastAsia="Calibri"/>
          <w:iCs/>
        </w:rPr>
        <w:t xml:space="preserve"> </w:t>
      </w:r>
    </w:p>
    <w:p w:rsidR="007F06BE" w:rsidRPr="0097324B" w:rsidRDefault="00427E31" w:rsidP="00427E31">
      <w:pPr>
        <w:pStyle w:val="3-BodyText"/>
        <w:rPr>
          <w:rFonts w:eastAsia="Calibri"/>
          <w:iCs/>
        </w:rPr>
      </w:pPr>
      <w:r w:rsidRPr="00427E31">
        <w:rPr>
          <w:rFonts w:eastAsia="Calibri"/>
          <w:iCs/>
        </w:rPr>
        <w:t>The PBAC considered that abemaciclib + NSAI was non-inferior in terms of comparative effectiveness and safety compared with ribociclib + NSAI while noting there were differences between the safety profiles of abemaciclib and ribociclib.</w:t>
      </w:r>
    </w:p>
    <w:p w:rsidR="00B60939" w:rsidRPr="0097324B" w:rsidRDefault="00B60939" w:rsidP="00E9094A">
      <w:pPr>
        <w:pStyle w:val="4-SubsectionHeading"/>
      </w:pPr>
      <w:bookmarkStart w:id="20" w:name="_Toc22897645"/>
      <w:bookmarkStart w:id="21" w:name="_Toc62047567"/>
      <w:r w:rsidRPr="0097324B">
        <w:t>Economic analysis</w:t>
      </w:r>
      <w:bookmarkEnd w:id="20"/>
      <w:bookmarkEnd w:id="21"/>
      <w:r w:rsidR="00491B3A" w:rsidRPr="0097324B">
        <w:t xml:space="preserve"> </w:t>
      </w:r>
    </w:p>
    <w:p w:rsidR="005F172C" w:rsidRPr="0097324B" w:rsidRDefault="005F172C" w:rsidP="005F172C">
      <w:pPr>
        <w:pStyle w:val="ListParagraph"/>
        <w:numPr>
          <w:ilvl w:val="1"/>
          <w:numId w:val="1"/>
        </w:numPr>
      </w:pPr>
      <w:bookmarkStart w:id="22" w:name="_Toc22897647"/>
      <w:r w:rsidRPr="0097324B">
        <w:rPr>
          <w:rFonts w:cs="Calibri"/>
          <w:snapToGrid/>
        </w:rPr>
        <w:t xml:space="preserve">The submission presented a cost-minimisation analysis on the basis that abemaciclib and ribociclib are clinically equivalent in terms of effectiveness and </w:t>
      </w:r>
      <w:r w:rsidRPr="0097324B">
        <w:t xml:space="preserve">have non-inferior safety. </w:t>
      </w:r>
    </w:p>
    <w:p w:rsidR="005F172C" w:rsidRPr="0097324B" w:rsidRDefault="00E613E2" w:rsidP="005F172C">
      <w:pPr>
        <w:pStyle w:val="3-BodyText"/>
      </w:pPr>
      <w:r w:rsidRPr="0097324B">
        <w:t>In the submission, t</w:t>
      </w:r>
      <w:r w:rsidR="005F172C" w:rsidRPr="0097324B">
        <w:t xml:space="preserve">he equi-effective doses were estimated as: </w:t>
      </w:r>
    </w:p>
    <w:p w:rsidR="005F172C" w:rsidRPr="0097324B" w:rsidRDefault="005F172C" w:rsidP="0096333B">
      <w:pPr>
        <w:pStyle w:val="3-BodyText"/>
        <w:numPr>
          <w:ilvl w:val="0"/>
          <w:numId w:val="11"/>
        </w:numPr>
        <w:spacing w:after="0"/>
        <w:ind w:left="1077" w:hanging="357"/>
      </w:pPr>
      <w:r w:rsidRPr="0097324B">
        <w:t>abemaciclib 273.10 mg/day (based on a median relative dose intensity (RDI) of 90.1%) for 28 days every 28-day cycle is equivalent to</w:t>
      </w:r>
    </w:p>
    <w:p w:rsidR="005F172C" w:rsidRPr="0097324B" w:rsidRDefault="005F172C" w:rsidP="0096333B">
      <w:pPr>
        <w:pStyle w:val="3-BodyText"/>
        <w:numPr>
          <w:ilvl w:val="0"/>
          <w:numId w:val="11"/>
        </w:numPr>
      </w:pPr>
      <w:r w:rsidRPr="0097324B">
        <w:t>ribociclib 552.6 mg/day (based on a median RDI 92.1%) for 21 days every 28-days.</w:t>
      </w:r>
    </w:p>
    <w:p w:rsidR="005F172C" w:rsidRPr="0097324B" w:rsidRDefault="005F172C" w:rsidP="005F172C">
      <w:pPr>
        <w:pStyle w:val="3-BodyText"/>
      </w:pPr>
      <w:r w:rsidRPr="0097324B">
        <w:t xml:space="preserve">The dose intensities were based on the doses reported in MONARCH-2 and MONALEESA-3. The submission stated that median RDIs were used as the mean RDI was not publicly available for MONALEESA-3. However, the PBAC </w:t>
      </w:r>
      <w:r w:rsidR="00791FE2" w:rsidRPr="0097324B">
        <w:t>PSD</w:t>
      </w:r>
      <w:r w:rsidRPr="0097324B">
        <w:t xml:space="preserve"> for ribociclib from July 2020 (which would not have been publicly available at the time the submission was prepared) states that ‘the relative dose intensity of ribociclib when used with fulvestrant in the MONALEESA-3 trial’ was 85.2% (para 6.54, Ribociclib PSD, July 2020 PBAC meeting). </w:t>
      </w:r>
    </w:p>
    <w:p w:rsidR="00E613E2" w:rsidRPr="0097324B" w:rsidRDefault="00E613E2" w:rsidP="00593D54">
      <w:pPr>
        <w:pStyle w:val="3-BodyText"/>
      </w:pPr>
      <w:r w:rsidRPr="0097324B">
        <w:lastRenderedPageBreak/>
        <w:t xml:space="preserve">The </w:t>
      </w:r>
      <w:r w:rsidR="00593D54" w:rsidRPr="00593D54">
        <w:t xml:space="preserve">Pre-Sub-Committee Response </w:t>
      </w:r>
      <w:r w:rsidR="00593D54">
        <w:t>(</w:t>
      </w:r>
      <w:r w:rsidRPr="0097324B">
        <w:t>PSCR</w:t>
      </w:r>
      <w:r w:rsidR="00593D54">
        <w:t>)</w:t>
      </w:r>
      <w:r w:rsidRPr="0097324B">
        <w:t xml:space="preserve"> incorporated the mean dose intensities into a revised cost-minimisation analysis (also corrected for an error, as outlined in the Table 9 footnote). Thus, the revised equi-effective doses proposed in the PSCR were: </w:t>
      </w:r>
    </w:p>
    <w:p w:rsidR="00E613E2" w:rsidRPr="0097324B" w:rsidRDefault="00E613E2" w:rsidP="0096333B">
      <w:pPr>
        <w:pStyle w:val="3-BodyText"/>
        <w:numPr>
          <w:ilvl w:val="0"/>
          <w:numId w:val="11"/>
        </w:numPr>
        <w:spacing w:after="0"/>
        <w:ind w:left="1077" w:hanging="357"/>
      </w:pPr>
      <w:r w:rsidRPr="0097324B">
        <w:t>abemaciclib 260.7 mg/day (based on a mean RDI of 86.9%) for 28 days every 28-day cycle is equivalent to</w:t>
      </w:r>
    </w:p>
    <w:p w:rsidR="00E613E2" w:rsidRPr="0097324B" w:rsidRDefault="00E613E2" w:rsidP="0096333B">
      <w:pPr>
        <w:pStyle w:val="3-BodyText"/>
        <w:numPr>
          <w:ilvl w:val="0"/>
          <w:numId w:val="11"/>
        </w:numPr>
        <w:ind w:left="1077" w:hanging="357"/>
      </w:pPr>
      <w:r w:rsidRPr="0097324B">
        <w:t>ribociclib 5</w:t>
      </w:r>
      <w:r w:rsidR="00904217" w:rsidRPr="0097324B">
        <w:t>11.2</w:t>
      </w:r>
      <w:r w:rsidRPr="0097324B">
        <w:t xml:space="preserve"> mg/day (based on a </w:t>
      </w:r>
      <w:r w:rsidR="00B70C0A">
        <w:t>mean</w:t>
      </w:r>
      <w:r w:rsidR="00B70C0A" w:rsidRPr="0097324B">
        <w:t xml:space="preserve"> </w:t>
      </w:r>
      <w:r w:rsidRPr="0097324B">
        <w:t xml:space="preserve">RDI </w:t>
      </w:r>
      <w:r w:rsidR="00904217" w:rsidRPr="0097324B">
        <w:t>85.2</w:t>
      </w:r>
      <w:r w:rsidRPr="0097324B">
        <w:t>%) for 21 days every 28-days.</w:t>
      </w:r>
    </w:p>
    <w:p w:rsidR="005F172C" w:rsidRPr="0097324B" w:rsidRDefault="00E613E2" w:rsidP="005F172C">
      <w:pPr>
        <w:pStyle w:val="3-BodyText"/>
      </w:pPr>
      <w:r w:rsidRPr="0097324B">
        <w:t>The evaluation considered that</w:t>
      </w:r>
      <w:r w:rsidR="005F172C" w:rsidRPr="0097324B">
        <w:t xml:space="preserve"> it may have been more appropriate to use the dose intensities that were used to calculate the equi-effective doses of abemaciclib versus ribociclib in its existing listing, i.e. for use in combination with a non-steroidal aromatase inhibitor (NSAI) i.e. anastrozole or letrozole because:</w:t>
      </w:r>
    </w:p>
    <w:p w:rsidR="005F172C" w:rsidRPr="0097324B" w:rsidRDefault="005F172C" w:rsidP="0096333B">
      <w:pPr>
        <w:pStyle w:val="3-BodyText"/>
        <w:numPr>
          <w:ilvl w:val="0"/>
          <w:numId w:val="11"/>
        </w:numPr>
        <w:spacing w:after="0"/>
        <w:ind w:left="1077" w:hanging="357"/>
      </w:pPr>
      <w:r w:rsidRPr="0097324B">
        <w:t>It is unclear whether the dose intensity of CDK inhibitors would be likely to change when administered with fulvestrant rather than with an NSAI. In its July 2020 consideration of ribociclib + fulvestrant in the first-line setting, which was cost-minimised to ribociclib + NSAI, the ESC considered that “there did not appear to be a clinical reason why dose intensities for ribociclib would differ depending on its combination with fulvestrant or NSAI” (para 6.54, Ribociclib PSD, July 2020 PBAC meeting). The cost-minimisation analysis applied the same relative dose intensity (85.2%) for ribociclib regardless of whether it was used in combination with fulvestrant or an NSAI, despite differences in ribociclib dose intensity having been reported in the trial of ribociclib + fulvestrant (MONALEESA-3) compared with the trial of ribociclib + an NSAI (MONALEESA-2) (para 6.54 and Table 12, Ribociclib PSD, July 2020 PBAC meeting).</w:t>
      </w:r>
    </w:p>
    <w:p w:rsidR="005F172C" w:rsidRPr="0097324B" w:rsidRDefault="005F172C" w:rsidP="0096333B">
      <w:pPr>
        <w:pStyle w:val="ListParagraph"/>
        <w:numPr>
          <w:ilvl w:val="0"/>
          <w:numId w:val="11"/>
        </w:numPr>
      </w:pPr>
      <w:r w:rsidRPr="0097324B">
        <w:t>The median dose intensities used in the submission were based on the ITT populations of the two trials, which may have transitivity issues given over 50% of patients in the MONALEESA-3 trial population had de novo disease, while no patients with de novo disease were included in the ITT population of MONARCH-2. Dose intensity data were not available for the endocrine-resistant subgroup in MONALEESA-3, which may have been more comparable to the MONARCH-2 ITT population</w:t>
      </w:r>
      <w:r w:rsidR="0097324B">
        <w:t xml:space="preserve">. </w:t>
      </w:r>
    </w:p>
    <w:p w:rsidR="001D304A" w:rsidRPr="0097324B" w:rsidRDefault="001D304A" w:rsidP="00BB1236">
      <w:pPr>
        <w:pStyle w:val="3-BodyText"/>
      </w:pPr>
      <w:r w:rsidRPr="0097324B">
        <w:t xml:space="preserve">The </w:t>
      </w:r>
      <w:r w:rsidR="00B8237B" w:rsidRPr="0097324B">
        <w:t>PSCR and pre-PBAC response</w:t>
      </w:r>
      <w:r w:rsidRPr="0097324B">
        <w:t xml:space="preserve"> </w:t>
      </w:r>
      <w:r w:rsidR="00BB1236" w:rsidRPr="0097324B">
        <w:t xml:space="preserve">did not agree that it would be appropriate to use </w:t>
      </w:r>
      <w:r w:rsidRPr="0097324B">
        <w:t xml:space="preserve">the same dose intensities that were used to calculate the equi-effective doses of abemaciclib versus ribociclib in its existing listing. The </w:t>
      </w:r>
      <w:r w:rsidR="00B8237B" w:rsidRPr="0097324B">
        <w:t>PSCR and pre-PBAC response</w:t>
      </w:r>
      <w:r w:rsidRPr="0097324B">
        <w:t xml:space="preserve"> argued that the listings were based on different sources of evidence with a different concomitant therapy. </w:t>
      </w:r>
    </w:p>
    <w:p w:rsidR="005F172C" w:rsidRPr="0097324B" w:rsidRDefault="005F172C" w:rsidP="005F172C">
      <w:pPr>
        <w:pStyle w:val="3-BodyText"/>
      </w:pPr>
      <w:r w:rsidRPr="0097324B">
        <w:t>The submission did not include an adjustment for treatment duration. The median duration of treatment in the trials was 11.9 months for abemaciclib versus 15.8 months</w:t>
      </w:r>
      <w:r w:rsidR="009D6B2A" w:rsidRPr="0097324B">
        <w:t xml:space="preserve"> for</w:t>
      </w:r>
      <w:r w:rsidRPr="0097324B">
        <w:t xml:space="preserve"> ribociclib. The </w:t>
      </w:r>
      <w:r w:rsidR="009903B1" w:rsidRPr="0097324B">
        <w:t xml:space="preserve">median </w:t>
      </w:r>
      <w:r w:rsidRPr="0097324B">
        <w:t xml:space="preserve">duration of treatment was also shorter in the placebo arm of the abemaciclib trial (the median duration of treatment with placebo was 7.9 months in MONARCH-2 and 12.0 months in MONALEESA-3). Exclusion of the duration of treatment from the cost-minimisation analysis was appropriate given: the differences between the trial populations; it would be consistent with the claim of </w:t>
      </w:r>
      <w:r w:rsidRPr="0097324B">
        <w:lastRenderedPageBreak/>
        <w:t>non-inferior comparative effectiveness; and it would be consistent with the calculation of the equi</w:t>
      </w:r>
      <w:r w:rsidRPr="0097324B">
        <w:noBreakHyphen/>
        <w:t>effective doses for the existing listing of abemaciclib. Taking into account a shorter duration of treatment with abemaciclib would result in a higher price for abemaciclib.</w:t>
      </w:r>
    </w:p>
    <w:p w:rsidR="005F172C" w:rsidRPr="0097324B" w:rsidRDefault="005F172C" w:rsidP="005F172C">
      <w:pPr>
        <w:pStyle w:val="ListParagraph"/>
        <w:numPr>
          <w:ilvl w:val="1"/>
          <w:numId w:val="1"/>
        </w:numPr>
        <w:spacing w:before="120"/>
      </w:pPr>
      <w:r w:rsidRPr="0097324B">
        <w:t>The submission claimed that abemaciclib would result in decreased use of ECG monitoring, which is required with ribociclib but not abemaciclib, and included a cost offset (resulting in a price advantage) for this. The submission assumed that patients treated with ribociclib would require three ECGs over the first 15 months of treatment, while patients treated with abemaciclib would not require any ECG monitoring. The submission estimated this would result in a reduction in the total cost per treatment cycle of $</w:t>
      </w:r>
      <w:r w:rsidRPr="00043460">
        <w:t xml:space="preserve">5.49 </w:t>
      </w:r>
      <w:r w:rsidRPr="0097324B">
        <w:t>for abemaciclib compared with ribociclib. Th</w:t>
      </w:r>
      <w:r w:rsidR="00904217" w:rsidRPr="0097324B">
        <w:t xml:space="preserve">e evaluation </w:t>
      </w:r>
      <w:r w:rsidR="0085595E" w:rsidRPr="0097324B">
        <w:t xml:space="preserve">and the ESC </w:t>
      </w:r>
      <w:r w:rsidR="00904217" w:rsidRPr="0097324B">
        <w:t>considered th</w:t>
      </w:r>
      <w:r w:rsidRPr="0097324B">
        <w:t>is was not appropriate, as outlined in the three paragraphs below.</w:t>
      </w:r>
    </w:p>
    <w:p w:rsidR="005F172C" w:rsidRPr="0097324B" w:rsidRDefault="005F172C" w:rsidP="005F172C">
      <w:pPr>
        <w:pStyle w:val="3-BodyText"/>
      </w:pPr>
      <w:r w:rsidRPr="0097324B">
        <w:t>The submission acknowledged that abemaciclib is associated with higher rates of diarrhoea than ribociclib, but did not include any additional costs for the treatment of diarrhoea, stating that the cost impact would be minimal. The submission stated that limited amounts of loperamide are used through the PBS as it is generally cheaper for patients to purchase loperamide over-the-counter rather than via a PBS script.</w:t>
      </w:r>
    </w:p>
    <w:p w:rsidR="005F172C" w:rsidRPr="0097324B" w:rsidRDefault="005F172C" w:rsidP="005F172C">
      <w:pPr>
        <w:pStyle w:val="3-BodyText"/>
      </w:pPr>
      <w:r w:rsidRPr="0097324B">
        <w:t xml:space="preserve">However, in its March 2019 consideration of abemaciclib for its existing indication, the PBAC “considered that diarrhoea was a meaningful adverse event associated with the treatment with abemaciclib that will have an impact on a patient’s QoL. Therefore, the PBAC was of the view that a listing for abemaciclib should result in a cost saving to Government” </w:t>
      </w:r>
      <w:r w:rsidRPr="0097324B">
        <w:rPr>
          <w:bCs/>
        </w:rPr>
        <w:t>(para 10.7</w:t>
      </w:r>
      <w:r w:rsidRPr="0097324B">
        <w:t xml:space="preserve"> Abemaciclib PSD, March 2019 PBAC meeting</w:t>
      </w:r>
      <w:r w:rsidRPr="0097324B">
        <w:rPr>
          <w:bCs/>
        </w:rPr>
        <w:t>).</w:t>
      </w:r>
      <w:r w:rsidRPr="0097324B">
        <w:t xml:space="preserve"> The PBAC also “noted that there are potential differences in costs between abemaciclib and ribociclib which cannot be estimated accurately. The PBAC noted the PSCR demonstrated the impact of these costs on the price was small and therefore, the PBAC considered that the additional costs were not required to be included in the cost-minimisation analysis”</w:t>
      </w:r>
      <w:r w:rsidRPr="0097324B">
        <w:rPr>
          <w:bCs/>
        </w:rPr>
        <w:t xml:space="preserve"> (para 7.9</w:t>
      </w:r>
      <w:r w:rsidRPr="0097324B">
        <w:t xml:space="preserve"> Abemaciclib PSD, March 2019 PBAC meeting). </w:t>
      </w:r>
      <w:r w:rsidRPr="0097324B">
        <w:rPr>
          <w:bCs/>
        </w:rPr>
        <w:t>Thus, no</w:t>
      </w:r>
      <w:r w:rsidRPr="0097324B">
        <w:t xml:space="preserve"> additional costs or cost offsets were included in the cost-minimisation analysis on which the existing price of abemaciclib is based (i.e. </w:t>
      </w:r>
      <w:r w:rsidRPr="0097324B">
        <w:rPr>
          <w:bCs/>
        </w:rPr>
        <w:t xml:space="preserve">cost-offsets for reductions in ECG monitoring with abemaciclib were not included in the existing </w:t>
      </w:r>
      <w:r w:rsidRPr="0097324B">
        <w:t>cost-minimisation analysis).</w:t>
      </w:r>
    </w:p>
    <w:p w:rsidR="005C094D" w:rsidRPr="0097324B" w:rsidRDefault="005C094D" w:rsidP="00D1125B">
      <w:pPr>
        <w:pStyle w:val="3-BodyText"/>
      </w:pPr>
      <w:r w:rsidRPr="0097324B">
        <w:t>The revised analysis provided in the PSCR removed the ECG costs from the cost-minimisation calculations, which the ESC considered was appropriate.</w:t>
      </w:r>
    </w:p>
    <w:p w:rsidR="005F172C" w:rsidRPr="0097324B" w:rsidRDefault="005F172C" w:rsidP="005F172C">
      <w:pPr>
        <w:pStyle w:val="ListParagraph"/>
        <w:numPr>
          <w:ilvl w:val="1"/>
          <w:numId w:val="1"/>
        </w:numPr>
        <w:spacing w:before="120"/>
        <w:rPr>
          <w:color w:val="3366FF"/>
        </w:rPr>
      </w:pPr>
      <w:r w:rsidRPr="0097324B">
        <w:t xml:space="preserve">The submission </w:t>
      </w:r>
      <w:r w:rsidR="00345084">
        <w:t>noted</w:t>
      </w:r>
      <w:r w:rsidR="00345084" w:rsidRPr="0097324B">
        <w:t xml:space="preserve"> </w:t>
      </w:r>
      <w:r w:rsidRPr="0097324B">
        <w:t>that there is a Special Pricing Arrangement (SPA) in place for ribociclib and thus the published ex-manufacturer price of $</w:t>
      </w:r>
      <w:r w:rsidRPr="00043460">
        <w:t>5,36</w:t>
      </w:r>
      <w:r w:rsidR="005805B9" w:rsidRPr="00043460">
        <w:t>0</w:t>
      </w:r>
      <w:r w:rsidRPr="00043460">
        <w:t>.</w:t>
      </w:r>
      <w:r w:rsidR="005805B9" w:rsidRPr="00043460">
        <w:t>50</w:t>
      </w:r>
      <w:r w:rsidRPr="0097324B">
        <w:t xml:space="preserve"> (for 600mg/day dose) was used in the cost-minimisation analysis. The results of the </w:t>
      </w:r>
      <w:r w:rsidR="005B738D" w:rsidRPr="0097324B">
        <w:t xml:space="preserve">revised </w:t>
      </w:r>
      <w:r w:rsidRPr="0097324B">
        <w:t xml:space="preserve">cost-minimisation analysis presented in the </w:t>
      </w:r>
      <w:r w:rsidR="005B738D" w:rsidRPr="0097324B">
        <w:t xml:space="preserve">PSCR </w:t>
      </w:r>
      <w:r w:rsidRPr="0097324B">
        <w:t>are shown in the table below</w:t>
      </w:r>
      <w:r w:rsidR="005B738D" w:rsidRPr="0097324B">
        <w:t>, including and excluding ECG costs</w:t>
      </w:r>
      <w:r w:rsidRPr="0097324B">
        <w:t xml:space="preserve">. </w:t>
      </w:r>
    </w:p>
    <w:p w:rsidR="005F172C" w:rsidRPr="0097324B" w:rsidRDefault="005F172C" w:rsidP="005F172C">
      <w:pPr>
        <w:pStyle w:val="TableFigureHeading"/>
        <w:rPr>
          <w:rStyle w:val="CommentReference"/>
          <w:b/>
          <w:szCs w:val="24"/>
        </w:rPr>
      </w:pPr>
      <w:r w:rsidRPr="0097324B">
        <w:rPr>
          <w:rStyle w:val="CommentReference"/>
          <w:b/>
          <w:szCs w:val="24"/>
        </w:rPr>
        <w:lastRenderedPageBreak/>
        <w:t xml:space="preserve">Table </w:t>
      </w:r>
      <w:r w:rsidR="00F9321A" w:rsidRPr="0097324B">
        <w:rPr>
          <w:rStyle w:val="CommentReference"/>
          <w:b/>
          <w:szCs w:val="24"/>
        </w:rPr>
        <w:t>9</w:t>
      </w:r>
      <w:r w:rsidRPr="0097324B">
        <w:rPr>
          <w:rStyle w:val="CommentReference"/>
          <w:b/>
          <w:szCs w:val="24"/>
        </w:rPr>
        <w:t xml:space="preserve">: Results of the cost-minimisation analysis </w:t>
      </w:r>
      <w:r w:rsidR="00904217" w:rsidRPr="0097324B">
        <w:rPr>
          <w:rStyle w:val="CommentReference"/>
          <w:b/>
          <w:szCs w:val="24"/>
        </w:rPr>
        <w:t xml:space="preserve">– updated to reflect </w:t>
      </w:r>
      <w:r w:rsidR="00A155EB" w:rsidRPr="0097324B">
        <w:rPr>
          <w:rStyle w:val="CommentReference"/>
          <w:b/>
          <w:szCs w:val="24"/>
        </w:rPr>
        <w:t xml:space="preserve">the </w:t>
      </w:r>
      <w:r w:rsidR="00904217" w:rsidRPr="0097324B">
        <w:rPr>
          <w:rStyle w:val="CommentReference"/>
          <w:b/>
          <w:szCs w:val="24"/>
        </w:rPr>
        <w:t>mean dose intensity per PSCR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10"/>
        <w:gridCol w:w="2810"/>
      </w:tblGrid>
      <w:tr w:rsidR="005F172C" w:rsidRPr="0097324B" w:rsidTr="002C2832">
        <w:tc>
          <w:tcPr>
            <w:tcW w:w="3397" w:type="dxa"/>
          </w:tcPr>
          <w:p w:rsidR="005F172C" w:rsidRPr="0097324B" w:rsidRDefault="005F172C" w:rsidP="00755BFD">
            <w:pPr>
              <w:pStyle w:val="In-tableHeading"/>
              <w:rPr>
                <w:lang w:val="en-AU"/>
              </w:rPr>
            </w:pPr>
            <w:r w:rsidRPr="0097324B">
              <w:rPr>
                <w:lang w:val="en-AU"/>
              </w:rPr>
              <w:t>Component</w:t>
            </w:r>
          </w:p>
        </w:tc>
        <w:tc>
          <w:tcPr>
            <w:tcW w:w="2810" w:type="dxa"/>
          </w:tcPr>
          <w:p w:rsidR="005F172C" w:rsidRPr="0097324B" w:rsidRDefault="005F172C" w:rsidP="00755BFD">
            <w:pPr>
              <w:pStyle w:val="In-tableHeading"/>
              <w:jc w:val="center"/>
              <w:rPr>
                <w:lang w:val="en-AU"/>
              </w:rPr>
            </w:pPr>
            <w:r w:rsidRPr="0097324B">
              <w:rPr>
                <w:lang w:val="en-AU"/>
              </w:rPr>
              <w:t>Abemaciclib</w:t>
            </w:r>
          </w:p>
        </w:tc>
        <w:tc>
          <w:tcPr>
            <w:tcW w:w="2810" w:type="dxa"/>
          </w:tcPr>
          <w:p w:rsidR="005F172C" w:rsidRPr="0097324B" w:rsidRDefault="005F172C" w:rsidP="00755BFD">
            <w:pPr>
              <w:pStyle w:val="In-tableHeading"/>
              <w:jc w:val="center"/>
              <w:rPr>
                <w:lang w:val="en-AU"/>
              </w:rPr>
            </w:pPr>
            <w:r w:rsidRPr="0097324B">
              <w:rPr>
                <w:lang w:val="en-AU"/>
              </w:rPr>
              <w:t>Ribociclib</w:t>
            </w:r>
          </w:p>
        </w:tc>
      </w:tr>
      <w:tr w:rsidR="005F172C" w:rsidRPr="0097324B" w:rsidTr="002C2832">
        <w:tc>
          <w:tcPr>
            <w:tcW w:w="3397" w:type="dxa"/>
          </w:tcPr>
          <w:p w:rsidR="005F172C" w:rsidRPr="0097324B" w:rsidRDefault="005F172C" w:rsidP="00755BFD">
            <w:pPr>
              <w:pStyle w:val="TableText0"/>
            </w:pPr>
            <w:r w:rsidRPr="0097324B">
              <w:t>Recommended Dose</w:t>
            </w:r>
          </w:p>
        </w:tc>
        <w:tc>
          <w:tcPr>
            <w:tcW w:w="2810" w:type="dxa"/>
          </w:tcPr>
          <w:p w:rsidR="005F172C" w:rsidRPr="0097324B" w:rsidRDefault="005F172C" w:rsidP="00755BFD">
            <w:pPr>
              <w:pStyle w:val="TableText0"/>
              <w:jc w:val="center"/>
            </w:pPr>
            <w:r w:rsidRPr="0097324B">
              <w:t>300 mg daily (150 mg twice daily)</w:t>
            </w:r>
          </w:p>
        </w:tc>
        <w:tc>
          <w:tcPr>
            <w:tcW w:w="2810" w:type="dxa"/>
          </w:tcPr>
          <w:p w:rsidR="005F172C" w:rsidRPr="0097324B" w:rsidRDefault="005F172C" w:rsidP="00755BFD">
            <w:pPr>
              <w:pStyle w:val="TableText0"/>
              <w:jc w:val="center"/>
            </w:pPr>
            <w:r w:rsidRPr="0097324B">
              <w:t>600 mg daily</w:t>
            </w:r>
          </w:p>
        </w:tc>
      </w:tr>
      <w:tr w:rsidR="005F172C" w:rsidRPr="0097324B" w:rsidTr="002C2832">
        <w:tc>
          <w:tcPr>
            <w:tcW w:w="3397" w:type="dxa"/>
          </w:tcPr>
          <w:p w:rsidR="005F172C" w:rsidRPr="0097324B" w:rsidRDefault="005F172C" w:rsidP="00904217">
            <w:pPr>
              <w:pStyle w:val="TableText0"/>
            </w:pPr>
            <w:r w:rsidRPr="0097324B">
              <w:t>Dose intensity (me</w:t>
            </w:r>
            <w:r w:rsidR="00904217" w:rsidRPr="0097324B">
              <w:t>an</w:t>
            </w:r>
            <w:r w:rsidRPr="0097324B">
              <w:t>)</w:t>
            </w:r>
          </w:p>
        </w:tc>
        <w:tc>
          <w:tcPr>
            <w:tcW w:w="2810" w:type="dxa"/>
          </w:tcPr>
          <w:p w:rsidR="005F172C" w:rsidRPr="0097324B" w:rsidRDefault="00904217" w:rsidP="00755BFD">
            <w:pPr>
              <w:pStyle w:val="TableText0"/>
              <w:jc w:val="center"/>
            </w:pPr>
            <w:r w:rsidRPr="0097324B">
              <w:t>86.9%</w:t>
            </w:r>
          </w:p>
        </w:tc>
        <w:tc>
          <w:tcPr>
            <w:tcW w:w="2810" w:type="dxa"/>
          </w:tcPr>
          <w:p w:rsidR="005F172C" w:rsidRPr="0097324B" w:rsidRDefault="00904217" w:rsidP="00755BFD">
            <w:pPr>
              <w:pStyle w:val="TableText0"/>
              <w:jc w:val="center"/>
            </w:pPr>
            <w:r w:rsidRPr="0097324B">
              <w:t>85.2%</w:t>
            </w:r>
          </w:p>
        </w:tc>
      </w:tr>
      <w:tr w:rsidR="005F172C" w:rsidRPr="0097324B" w:rsidTr="002C2832">
        <w:tc>
          <w:tcPr>
            <w:tcW w:w="3397" w:type="dxa"/>
          </w:tcPr>
          <w:p w:rsidR="005F172C" w:rsidRPr="0097324B" w:rsidRDefault="005F172C" w:rsidP="00755BFD">
            <w:pPr>
              <w:pStyle w:val="TableText0"/>
            </w:pPr>
            <w:r w:rsidRPr="0097324B">
              <w:t>Dose (mg /day)</w:t>
            </w:r>
          </w:p>
        </w:tc>
        <w:tc>
          <w:tcPr>
            <w:tcW w:w="2810" w:type="dxa"/>
          </w:tcPr>
          <w:p w:rsidR="005F172C" w:rsidRPr="0097324B" w:rsidRDefault="005F172C" w:rsidP="00452261">
            <w:pPr>
              <w:pStyle w:val="TableText0"/>
              <w:jc w:val="center"/>
            </w:pPr>
            <w:r w:rsidRPr="0097324B">
              <w:t>2</w:t>
            </w:r>
            <w:r w:rsidR="00452261" w:rsidRPr="0097324B">
              <w:t>60.7</w:t>
            </w:r>
            <w:r w:rsidRPr="0097324B">
              <w:t xml:space="preserve"> mg per day</w:t>
            </w:r>
          </w:p>
        </w:tc>
        <w:tc>
          <w:tcPr>
            <w:tcW w:w="2810" w:type="dxa"/>
          </w:tcPr>
          <w:p w:rsidR="005F172C" w:rsidRPr="0097324B" w:rsidRDefault="005F172C" w:rsidP="00452261">
            <w:pPr>
              <w:pStyle w:val="TableText0"/>
              <w:jc w:val="center"/>
            </w:pPr>
            <w:r w:rsidRPr="0097324B">
              <w:t>5</w:t>
            </w:r>
            <w:r w:rsidR="00452261" w:rsidRPr="0097324B">
              <w:t>11.2</w:t>
            </w:r>
            <w:r w:rsidRPr="0097324B">
              <w:t xml:space="preserve"> mg per day</w:t>
            </w:r>
          </w:p>
        </w:tc>
      </w:tr>
      <w:tr w:rsidR="005F172C" w:rsidRPr="0097324B" w:rsidTr="002C2832">
        <w:tc>
          <w:tcPr>
            <w:tcW w:w="3397" w:type="dxa"/>
          </w:tcPr>
          <w:p w:rsidR="005F172C" w:rsidRPr="0097324B" w:rsidRDefault="005F172C" w:rsidP="00755BFD">
            <w:pPr>
              <w:pStyle w:val="TableText0"/>
            </w:pPr>
            <w:r w:rsidRPr="0097324B">
              <w:t>Treatment days per cycle</w:t>
            </w:r>
          </w:p>
        </w:tc>
        <w:tc>
          <w:tcPr>
            <w:tcW w:w="2810" w:type="dxa"/>
          </w:tcPr>
          <w:p w:rsidR="005F172C" w:rsidRPr="0097324B" w:rsidRDefault="005F172C" w:rsidP="00755BFD">
            <w:pPr>
              <w:pStyle w:val="TableText0"/>
              <w:jc w:val="center"/>
            </w:pPr>
            <w:r w:rsidRPr="0097324B">
              <w:t>28 days of a 28-day cycle</w:t>
            </w:r>
          </w:p>
        </w:tc>
        <w:tc>
          <w:tcPr>
            <w:tcW w:w="2810" w:type="dxa"/>
          </w:tcPr>
          <w:p w:rsidR="005F172C" w:rsidRPr="0097324B" w:rsidRDefault="005F172C" w:rsidP="00755BFD">
            <w:pPr>
              <w:pStyle w:val="TableText0"/>
              <w:jc w:val="center"/>
            </w:pPr>
            <w:r w:rsidRPr="0097324B">
              <w:t>21 days of a 28-day cycle</w:t>
            </w:r>
          </w:p>
        </w:tc>
      </w:tr>
      <w:tr w:rsidR="005F172C" w:rsidRPr="0097324B" w:rsidTr="002C2832">
        <w:tc>
          <w:tcPr>
            <w:tcW w:w="3397" w:type="dxa"/>
          </w:tcPr>
          <w:p w:rsidR="005F172C" w:rsidRPr="0097324B" w:rsidRDefault="005F172C" w:rsidP="00755BFD">
            <w:pPr>
              <w:pStyle w:val="TableText0"/>
            </w:pPr>
            <w:r w:rsidRPr="0097324B">
              <w:t>mg used per 28-day cycle</w:t>
            </w:r>
          </w:p>
        </w:tc>
        <w:tc>
          <w:tcPr>
            <w:tcW w:w="2810" w:type="dxa"/>
          </w:tcPr>
          <w:p w:rsidR="005F172C" w:rsidRPr="0097324B" w:rsidRDefault="005F172C" w:rsidP="005B738D">
            <w:pPr>
              <w:pStyle w:val="TableText0"/>
              <w:jc w:val="center"/>
            </w:pPr>
            <w:r w:rsidRPr="0097324B">
              <w:t>7,</w:t>
            </w:r>
            <w:r w:rsidR="005B738D" w:rsidRPr="0097324B">
              <w:t>300</w:t>
            </w:r>
            <w:r w:rsidRPr="0097324B">
              <w:t xml:space="preserve"> mg</w:t>
            </w:r>
          </w:p>
        </w:tc>
        <w:tc>
          <w:tcPr>
            <w:tcW w:w="2810" w:type="dxa"/>
          </w:tcPr>
          <w:p w:rsidR="005F172C" w:rsidRPr="0097324B" w:rsidRDefault="005F172C" w:rsidP="005B738D">
            <w:pPr>
              <w:pStyle w:val="TableText0"/>
              <w:jc w:val="center"/>
            </w:pPr>
            <w:r w:rsidRPr="0097324B">
              <w:t>1</w:t>
            </w:r>
            <w:r w:rsidR="005B738D" w:rsidRPr="0097324B">
              <w:t>0</w:t>
            </w:r>
            <w:r w:rsidRPr="0097324B">
              <w:t>,</w:t>
            </w:r>
            <w:r w:rsidR="005B738D" w:rsidRPr="0097324B">
              <w:t>735</w:t>
            </w:r>
            <w:r w:rsidRPr="0097324B">
              <w:t xml:space="preserve"> mg</w:t>
            </w:r>
          </w:p>
        </w:tc>
      </w:tr>
      <w:tr w:rsidR="0075288B" w:rsidRPr="0097324B" w:rsidTr="00F30A64">
        <w:tc>
          <w:tcPr>
            <w:tcW w:w="9017" w:type="dxa"/>
            <w:gridSpan w:val="3"/>
          </w:tcPr>
          <w:p w:rsidR="0075288B" w:rsidRPr="0097324B" w:rsidRDefault="0075288B" w:rsidP="0075288B">
            <w:pPr>
              <w:pStyle w:val="TableText0"/>
              <w:rPr>
                <w:b/>
              </w:rPr>
            </w:pPr>
            <w:r w:rsidRPr="0097324B">
              <w:rPr>
                <w:b/>
              </w:rPr>
              <w:t>Including ECG cost offsets</w:t>
            </w:r>
          </w:p>
        </w:tc>
      </w:tr>
      <w:tr w:rsidR="005F172C" w:rsidRPr="0097324B" w:rsidTr="002C2832">
        <w:tc>
          <w:tcPr>
            <w:tcW w:w="3397" w:type="dxa"/>
          </w:tcPr>
          <w:p w:rsidR="005F172C" w:rsidRPr="0097324B" w:rsidRDefault="005F172C" w:rsidP="00755BFD">
            <w:pPr>
              <w:pStyle w:val="TableText0"/>
            </w:pPr>
            <w:r w:rsidRPr="0097324B">
              <w:t>Cost offsets (ECG)</w:t>
            </w:r>
          </w:p>
        </w:tc>
        <w:tc>
          <w:tcPr>
            <w:tcW w:w="2810" w:type="dxa"/>
          </w:tcPr>
          <w:p w:rsidR="005F172C" w:rsidRPr="0097324B" w:rsidRDefault="005F172C" w:rsidP="00755BFD">
            <w:pPr>
              <w:pStyle w:val="TableText0"/>
              <w:jc w:val="center"/>
            </w:pPr>
            <w:r w:rsidRPr="0097324B">
              <w:t>$</w:t>
            </w:r>
            <w:r w:rsidRPr="00043460">
              <w:t>0</w:t>
            </w:r>
          </w:p>
        </w:tc>
        <w:tc>
          <w:tcPr>
            <w:tcW w:w="2810" w:type="dxa"/>
          </w:tcPr>
          <w:p w:rsidR="005F172C" w:rsidRPr="0097324B" w:rsidRDefault="005F172C" w:rsidP="00755BFD">
            <w:pPr>
              <w:pStyle w:val="TableText0"/>
              <w:jc w:val="center"/>
            </w:pPr>
            <w:r w:rsidRPr="0097324B">
              <w:t>$</w:t>
            </w:r>
            <w:r w:rsidRPr="00043460">
              <w:t>5.49</w:t>
            </w:r>
          </w:p>
        </w:tc>
      </w:tr>
      <w:tr w:rsidR="005F172C" w:rsidRPr="0097324B" w:rsidTr="002C2832">
        <w:tc>
          <w:tcPr>
            <w:tcW w:w="3397" w:type="dxa"/>
          </w:tcPr>
          <w:p w:rsidR="005F172C" w:rsidRPr="0097324B" w:rsidRDefault="005F172C" w:rsidP="00E613E2">
            <w:pPr>
              <w:pStyle w:val="TableText0"/>
              <w:rPr>
                <w:vertAlign w:val="superscript"/>
              </w:rPr>
            </w:pPr>
            <w:r w:rsidRPr="0097324B">
              <w:t>Cost per mg</w:t>
            </w:r>
            <w:r w:rsidR="00E613E2" w:rsidRPr="0097324B">
              <w:t xml:space="preserve"> </w:t>
            </w:r>
          </w:p>
        </w:tc>
        <w:tc>
          <w:tcPr>
            <w:tcW w:w="2810" w:type="dxa"/>
          </w:tcPr>
          <w:p w:rsidR="005F172C" w:rsidRPr="0097324B" w:rsidRDefault="005F172C" w:rsidP="00F32057">
            <w:pPr>
              <w:pStyle w:val="TableText0"/>
              <w:jc w:val="center"/>
            </w:pPr>
            <w:r w:rsidRPr="0097324B">
              <w:t>$</w:t>
            </w:r>
            <w:r w:rsidRPr="00043460">
              <w:t>0.6</w:t>
            </w:r>
            <w:r w:rsidR="005B738D" w:rsidRPr="00043460">
              <w:t>26</w:t>
            </w:r>
          </w:p>
        </w:tc>
        <w:tc>
          <w:tcPr>
            <w:tcW w:w="2810" w:type="dxa"/>
          </w:tcPr>
          <w:p w:rsidR="005F172C" w:rsidRPr="0097324B" w:rsidRDefault="005F172C" w:rsidP="00F32057">
            <w:pPr>
              <w:pStyle w:val="TableText0"/>
              <w:jc w:val="center"/>
              <w:rPr>
                <w:vertAlign w:val="superscript"/>
              </w:rPr>
            </w:pPr>
            <w:r w:rsidRPr="0097324B">
              <w:t>$</w:t>
            </w:r>
            <w:r w:rsidRPr="00043460">
              <w:t>0.425</w:t>
            </w:r>
            <w:r w:rsidRPr="0097324B">
              <w:t xml:space="preserve"> </w:t>
            </w:r>
            <w:r w:rsidRPr="0097324B">
              <w:rPr>
                <w:vertAlign w:val="superscript"/>
              </w:rPr>
              <w:t>a</w:t>
            </w:r>
          </w:p>
        </w:tc>
      </w:tr>
      <w:tr w:rsidR="005F172C" w:rsidRPr="0097324B" w:rsidTr="002C2832">
        <w:tc>
          <w:tcPr>
            <w:tcW w:w="3397" w:type="dxa"/>
          </w:tcPr>
          <w:p w:rsidR="005F172C" w:rsidRPr="0097324B" w:rsidRDefault="005F172C" w:rsidP="002C2832">
            <w:pPr>
              <w:pStyle w:val="TableText0"/>
            </w:pPr>
            <w:r w:rsidRPr="0097324B">
              <w:t>Total</w:t>
            </w:r>
            <w:r w:rsidR="002C2832" w:rsidRPr="0097324B">
              <w:t>: Average cost per patient per cycle</w:t>
            </w:r>
          </w:p>
        </w:tc>
        <w:tc>
          <w:tcPr>
            <w:tcW w:w="2810" w:type="dxa"/>
          </w:tcPr>
          <w:p w:rsidR="005F172C" w:rsidRPr="0097324B" w:rsidRDefault="005F172C" w:rsidP="00F32057">
            <w:pPr>
              <w:pStyle w:val="TableText0"/>
              <w:jc w:val="center"/>
            </w:pPr>
            <w:r w:rsidRPr="0097324B">
              <w:t>$</w:t>
            </w:r>
            <w:r w:rsidRPr="00043460">
              <w:t>4,</w:t>
            </w:r>
            <w:r w:rsidR="005B738D" w:rsidRPr="00043460">
              <w:t>572</w:t>
            </w:r>
          </w:p>
        </w:tc>
        <w:tc>
          <w:tcPr>
            <w:tcW w:w="2810" w:type="dxa"/>
          </w:tcPr>
          <w:p w:rsidR="005F172C" w:rsidRPr="0097324B" w:rsidRDefault="005F172C" w:rsidP="00F32057">
            <w:pPr>
              <w:pStyle w:val="TableText0"/>
              <w:jc w:val="center"/>
            </w:pPr>
            <w:r w:rsidRPr="0097324B">
              <w:t>$</w:t>
            </w:r>
            <w:r w:rsidRPr="00043460">
              <w:t>4,</w:t>
            </w:r>
            <w:r w:rsidR="005B738D" w:rsidRPr="00043460">
              <w:t>572</w:t>
            </w:r>
          </w:p>
        </w:tc>
      </w:tr>
      <w:tr w:rsidR="005F172C" w:rsidRPr="0097324B" w:rsidTr="00755BFD">
        <w:tc>
          <w:tcPr>
            <w:tcW w:w="9017" w:type="dxa"/>
            <w:gridSpan w:val="3"/>
          </w:tcPr>
          <w:p w:rsidR="005F172C" w:rsidRPr="0097324B" w:rsidRDefault="005F172C" w:rsidP="00F323CB">
            <w:pPr>
              <w:pStyle w:val="TableText0"/>
              <w:rPr>
                <w:b/>
              </w:rPr>
            </w:pPr>
            <w:r w:rsidRPr="0097324B">
              <w:rPr>
                <w:b/>
              </w:rPr>
              <w:t xml:space="preserve">Revised </w:t>
            </w:r>
            <w:r w:rsidR="00F323CB" w:rsidRPr="0097324B">
              <w:rPr>
                <w:b/>
              </w:rPr>
              <w:t>analysis</w:t>
            </w:r>
            <w:r w:rsidRPr="0097324B">
              <w:rPr>
                <w:b/>
              </w:rPr>
              <w:t xml:space="preserve"> excluding</w:t>
            </w:r>
            <w:r w:rsidR="00F96B62" w:rsidRPr="0097324B">
              <w:rPr>
                <w:b/>
              </w:rPr>
              <w:t xml:space="preserve"> ECG costs</w:t>
            </w:r>
            <w:r w:rsidR="005B738D" w:rsidRPr="0097324B">
              <w:rPr>
                <w:b/>
              </w:rPr>
              <w:t xml:space="preserve"> – per Table 2 of PSCR</w:t>
            </w:r>
          </w:p>
        </w:tc>
      </w:tr>
      <w:tr w:rsidR="005F172C" w:rsidRPr="0097324B" w:rsidTr="002C2832">
        <w:tc>
          <w:tcPr>
            <w:tcW w:w="3397" w:type="dxa"/>
          </w:tcPr>
          <w:p w:rsidR="005F172C" w:rsidRPr="0097324B" w:rsidRDefault="005F172C" w:rsidP="00755BFD">
            <w:pPr>
              <w:pStyle w:val="TableText0"/>
            </w:pPr>
            <w:r w:rsidRPr="0097324B">
              <w:t>Cost offsets (ECG)</w:t>
            </w:r>
          </w:p>
        </w:tc>
        <w:tc>
          <w:tcPr>
            <w:tcW w:w="2810" w:type="dxa"/>
          </w:tcPr>
          <w:p w:rsidR="005F172C" w:rsidRPr="0097324B" w:rsidRDefault="005F172C" w:rsidP="00755BFD">
            <w:pPr>
              <w:pStyle w:val="TableText0"/>
              <w:jc w:val="center"/>
            </w:pPr>
            <w:r w:rsidRPr="0097324B">
              <w:t>$</w:t>
            </w:r>
            <w:r w:rsidRPr="00043460">
              <w:t>0</w:t>
            </w:r>
          </w:p>
        </w:tc>
        <w:tc>
          <w:tcPr>
            <w:tcW w:w="2810" w:type="dxa"/>
          </w:tcPr>
          <w:p w:rsidR="005F172C" w:rsidRPr="0097324B" w:rsidRDefault="005F172C" w:rsidP="00755BFD">
            <w:pPr>
              <w:pStyle w:val="TableText0"/>
              <w:jc w:val="center"/>
            </w:pPr>
            <w:r w:rsidRPr="0097324B">
              <w:t>$</w:t>
            </w:r>
            <w:r w:rsidRPr="00043460">
              <w:t>0</w:t>
            </w:r>
          </w:p>
        </w:tc>
      </w:tr>
      <w:tr w:rsidR="005F172C" w:rsidRPr="0097324B" w:rsidTr="002C2832">
        <w:tc>
          <w:tcPr>
            <w:tcW w:w="3397" w:type="dxa"/>
          </w:tcPr>
          <w:p w:rsidR="005F172C" w:rsidRPr="0097324B" w:rsidRDefault="005F172C" w:rsidP="00755BFD">
            <w:pPr>
              <w:pStyle w:val="TableText0"/>
            </w:pPr>
            <w:r w:rsidRPr="0097324B">
              <w:t>Cost per mg</w:t>
            </w:r>
          </w:p>
        </w:tc>
        <w:tc>
          <w:tcPr>
            <w:tcW w:w="2810" w:type="dxa"/>
          </w:tcPr>
          <w:p w:rsidR="005F172C" w:rsidRPr="0097324B" w:rsidRDefault="005F172C" w:rsidP="00F32057">
            <w:pPr>
              <w:pStyle w:val="TableText0"/>
              <w:jc w:val="center"/>
            </w:pPr>
            <w:r w:rsidRPr="0097324B">
              <w:t>$</w:t>
            </w:r>
            <w:r w:rsidRPr="00043460">
              <w:t>0.6</w:t>
            </w:r>
            <w:r w:rsidR="005B738D" w:rsidRPr="00043460">
              <w:t>2</w:t>
            </w:r>
            <w:r w:rsidR="00F32057" w:rsidRPr="00043460">
              <w:t>6</w:t>
            </w:r>
          </w:p>
        </w:tc>
        <w:tc>
          <w:tcPr>
            <w:tcW w:w="2810" w:type="dxa"/>
          </w:tcPr>
          <w:p w:rsidR="005F172C" w:rsidRPr="0097324B" w:rsidRDefault="005F172C" w:rsidP="00F32057">
            <w:pPr>
              <w:pStyle w:val="TableText0"/>
              <w:jc w:val="center"/>
            </w:pPr>
            <w:r w:rsidRPr="0097324B">
              <w:t>$</w:t>
            </w:r>
            <w:r w:rsidRPr="00043460">
              <w:t>0.425</w:t>
            </w:r>
          </w:p>
        </w:tc>
      </w:tr>
      <w:tr w:rsidR="005F172C" w:rsidRPr="0097324B" w:rsidTr="002C2832">
        <w:tc>
          <w:tcPr>
            <w:tcW w:w="3397" w:type="dxa"/>
          </w:tcPr>
          <w:p w:rsidR="005F172C" w:rsidRPr="0097324B" w:rsidRDefault="002C2832" w:rsidP="00755BFD">
            <w:pPr>
              <w:pStyle w:val="TableText0"/>
            </w:pPr>
            <w:r w:rsidRPr="0097324B">
              <w:t>Total: Average cost per patient per cycle</w:t>
            </w:r>
          </w:p>
        </w:tc>
        <w:tc>
          <w:tcPr>
            <w:tcW w:w="2810" w:type="dxa"/>
          </w:tcPr>
          <w:p w:rsidR="005F172C" w:rsidRPr="0097324B" w:rsidRDefault="005F172C" w:rsidP="00F32057">
            <w:pPr>
              <w:pStyle w:val="TableText0"/>
              <w:jc w:val="center"/>
            </w:pPr>
            <w:r w:rsidRPr="0097324B">
              <w:t>$</w:t>
            </w:r>
            <w:r w:rsidRPr="00043460">
              <w:t>4,</w:t>
            </w:r>
            <w:r w:rsidR="005B738D" w:rsidRPr="00043460">
              <w:t>56</w:t>
            </w:r>
            <w:r w:rsidR="00F32057" w:rsidRPr="00043460">
              <w:t>6</w:t>
            </w:r>
          </w:p>
        </w:tc>
        <w:tc>
          <w:tcPr>
            <w:tcW w:w="2810" w:type="dxa"/>
          </w:tcPr>
          <w:p w:rsidR="005F172C" w:rsidRPr="0097324B" w:rsidRDefault="005B738D" w:rsidP="00F32057">
            <w:pPr>
              <w:pStyle w:val="TableText0"/>
              <w:jc w:val="center"/>
            </w:pPr>
            <w:r w:rsidRPr="0097324B">
              <w:t>$</w:t>
            </w:r>
            <w:r w:rsidRPr="00043460">
              <w:t>4,567</w:t>
            </w:r>
          </w:p>
        </w:tc>
      </w:tr>
    </w:tbl>
    <w:p w:rsidR="005F172C" w:rsidRPr="0097324B" w:rsidRDefault="005F172C" w:rsidP="005F172C">
      <w:pPr>
        <w:pStyle w:val="TableFigureFooter"/>
      </w:pPr>
      <w:r w:rsidRPr="0097324B">
        <w:t xml:space="preserve">Source: Table 3-5 of the submission; </w:t>
      </w:r>
      <w:r w:rsidR="002C2832" w:rsidRPr="0097324B">
        <w:t xml:space="preserve">Table 2 of the PSCR; </w:t>
      </w:r>
      <w:r w:rsidRPr="0097324B">
        <w:t>calculated during evaluation using Attachment 4 - Cost Minimisation workbook (abemaciclib).xlsx.</w:t>
      </w:r>
    </w:p>
    <w:p w:rsidR="005F172C" w:rsidRPr="0097324B" w:rsidRDefault="005F172C" w:rsidP="005F172C">
      <w:pPr>
        <w:pStyle w:val="TableFigureFooter"/>
      </w:pPr>
      <w:r w:rsidRPr="0097324B">
        <w:rPr>
          <w:vertAlign w:val="superscript"/>
        </w:rPr>
        <w:t>a</w:t>
      </w:r>
      <w:r w:rsidRPr="0097324B">
        <w:t xml:space="preserve"> </w:t>
      </w:r>
      <w:r w:rsidR="005B738D" w:rsidRPr="0097324B">
        <w:t>Th</w:t>
      </w:r>
      <w:r w:rsidR="00412FD0" w:rsidRPr="0097324B">
        <w:t>e PSCR also c</w:t>
      </w:r>
      <w:r w:rsidR="005B738D" w:rsidRPr="0097324B">
        <w:t>orrect</w:t>
      </w:r>
      <w:r w:rsidR="00412FD0" w:rsidRPr="0097324B">
        <w:t>ed</w:t>
      </w:r>
      <w:r w:rsidR="005B738D" w:rsidRPr="0097324B">
        <w:t xml:space="preserve"> for an issue identified during evaluation. </w:t>
      </w:r>
      <w:r w:rsidRPr="0097324B">
        <w:t>In the submission, the cost per mg of ribociclib was incorrectly based on the price of one pack (200 mg, quantity 63) divided by the mg used per 28-day cycle taking dose intensity into account, rather than the actual number of mg in a pack (i.e. in ‘CMA, by cycle’ worksheet, cell C18 should have been divided by 12,600 mg (actual dose in pack of 200 mg * 63 tablets) rather than by 11,605 mg (cell C17, which is the average dose used per cycle accounting for dose intensity). This is consistent with the methodology used in the agreed cost-minimisation analysis for the existing listing of abemaciclib.</w:t>
      </w:r>
    </w:p>
    <w:p w:rsidR="005F172C" w:rsidRPr="0097324B" w:rsidRDefault="005F172C" w:rsidP="005F172C">
      <w:pPr>
        <w:pStyle w:val="3-BodyText"/>
      </w:pPr>
      <w:r w:rsidRPr="0097324B">
        <w:t xml:space="preserve">The table below shows sensitivity analyses conducted during evaluation using the published prices. </w:t>
      </w:r>
      <w:r w:rsidR="002C2832" w:rsidRPr="0097324B">
        <w:t xml:space="preserve">Note that the financial estimates use the ‘average cost per patient per cycle’ as a flat price for all dose strengths of abemaciclib. </w:t>
      </w:r>
    </w:p>
    <w:p w:rsidR="005F172C" w:rsidRPr="0097324B" w:rsidRDefault="005F172C" w:rsidP="005F172C">
      <w:pPr>
        <w:pStyle w:val="TableFigureHeading"/>
        <w:rPr>
          <w:rStyle w:val="CommentReference"/>
          <w:b/>
          <w:szCs w:val="24"/>
        </w:rPr>
      </w:pPr>
      <w:r w:rsidRPr="0097324B">
        <w:rPr>
          <w:rStyle w:val="CommentReference"/>
          <w:b/>
          <w:szCs w:val="24"/>
        </w:rPr>
        <w:t xml:space="preserve">Table </w:t>
      </w:r>
      <w:r w:rsidR="00F9321A" w:rsidRPr="0097324B">
        <w:rPr>
          <w:rStyle w:val="CommentReference"/>
          <w:b/>
          <w:szCs w:val="24"/>
        </w:rPr>
        <w:t>10</w:t>
      </w:r>
      <w:r w:rsidRPr="0097324B">
        <w:rPr>
          <w:rStyle w:val="CommentReference"/>
          <w:b/>
          <w:szCs w:val="24"/>
        </w:rPr>
        <w:t xml:space="preserve">: Sensitivity analyses conducted during evaluation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119"/>
        <w:gridCol w:w="1934"/>
      </w:tblGrid>
      <w:tr w:rsidR="005F172C" w:rsidRPr="0097324B" w:rsidTr="002C2832">
        <w:tc>
          <w:tcPr>
            <w:tcW w:w="3964" w:type="dxa"/>
            <w:vMerge w:val="restart"/>
          </w:tcPr>
          <w:p w:rsidR="005F172C" w:rsidRPr="0097324B" w:rsidRDefault="005F172C" w:rsidP="00755BFD">
            <w:pPr>
              <w:pStyle w:val="In-tableHeading"/>
              <w:rPr>
                <w:lang w:val="en-AU"/>
              </w:rPr>
            </w:pPr>
          </w:p>
        </w:tc>
        <w:tc>
          <w:tcPr>
            <w:tcW w:w="5053" w:type="dxa"/>
            <w:gridSpan w:val="2"/>
          </w:tcPr>
          <w:p w:rsidR="005F172C" w:rsidRPr="0097324B" w:rsidRDefault="005F172C" w:rsidP="00755BFD">
            <w:pPr>
              <w:jc w:val="center"/>
              <w:rPr>
                <w:rFonts w:ascii="Arial Narrow" w:eastAsiaTheme="majorEastAsia" w:hAnsi="Arial Narrow" w:cs="Times New Roman"/>
                <w:b/>
                <w:sz w:val="20"/>
              </w:rPr>
            </w:pPr>
            <w:r w:rsidRPr="0097324B">
              <w:rPr>
                <w:rFonts w:ascii="Arial Narrow" w:eastAsiaTheme="majorEastAsia" w:hAnsi="Arial Narrow" w:cs="Times New Roman"/>
                <w:b/>
                <w:sz w:val="20"/>
              </w:rPr>
              <w:t>Abemaciclib AEMP</w:t>
            </w:r>
          </w:p>
        </w:tc>
      </w:tr>
      <w:tr w:rsidR="00463416" w:rsidRPr="0097324B" w:rsidTr="002C2832">
        <w:tc>
          <w:tcPr>
            <w:tcW w:w="3964" w:type="dxa"/>
            <w:vMerge/>
          </w:tcPr>
          <w:p w:rsidR="00463416" w:rsidRPr="0097324B" w:rsidRDefault="00463416" w:rsidP="00755BFD">
            <w:pPr>
              <w:pStyle w:val="In-tableHeading"/>
              <w:rPr>
                <w:lang w:val="en-AU"/>
              </w:rPr>
            </w:pPr>
          </w:p>
        </w:tc>
        <w:tc>
          <w:tcPr>
            <w:tcW w:w="3119" w:type="dxa"/>
          </w:tcPr>
          <w:p w:rsidR="00463416" w:rsidRPr="0097324B" w:rsidRDefault="00463416" w:rsidP="00755BFD">
            <w:pPr>
              <w:pStyle w:val="In-tableHeading"/>
              <w:jc w:val="center"/>
              <w:rPr>
                <w:lang w:val="en-AU"/>
              </w:rPr>
            </w:pPr>
            <w:r w:rsidRPr="0097324B">
              <w:rPr>
                <w:lang w:val="en-AU"/>
              </w:rPr>
              <w:t>Average cost per patient</w:t>
            </w:r>
            <w:r w:rsidR="002C2832" w:rsidRPr="0097324B">
              <w:rPr>
                <w:lang w:val="en-AU"/>
              </w:rPr>
              <w:t xml:space="preserve"> per cycle</w:t>
            </w:r>
          </w:p>
        </w:tc>
        <w:tc>
          <w:tcPr>
            <w:tcW w:w="1934" w:type="dxa"/>
          </w:tcPr>
          <w:p w:rsidR="00463416" w:rsidRPr="0097324B" w:rsidRDefault="00463416" w:rsidP="00755BFD">
            <w:pPr>
              <w:jc w:val="center"/>
              <w:rPr>
                <w:rFonts w:ascii="Arial Narrow" w:eastAsiaTheme="majorEastAsia" w:hAnsi="Arial Narrow" w:cs="Times New Roman"/>
                <w:b/>
                <w:sz w:val="20"/>
              </w:rPr>
            </w:pPr>
            <w:r w:rsidRPr="0097324B">
              <w:rPr>
                <w:rFonts w:ascii="Arial Narrow" w:eastAsiaTheme="majorEastAsia" w:hAnsi="Arial Narrow" w:cs="Times New Roman"/>
                <w:b/>
                <w:sz w:val="20"/>
              </w:rPr>
              <w:t>Cost per mg</w:t>
            </w:r>
          </w:p>
        </w:tc>
      </w:tr>
      <w:tr w:rsidR="00463416" w:rsidRPr="0097324B" w:rsidTr="002C2832">
        <w:tc>
          <w:tcPr>
            <w:tcW w:w="3964" w:type="dxa"/>
          </w:tcPr>
          <w:p w:rsidR="00463416" w:rsidRPr="0097324B" w:rsidRDefault="00463416" w:rsidP="00755BFD">
            <w:pPr>
              <w:pStyle w:val="TableText0"/>
            </w:pPr>
            <w:r w:rsidRPr="0097324B">
              <w:rPr>
                <w:b/>
              </w:rPr>
              <w:t xml:space="preserve">Revised base case excluding ECG costs </w:t>
            </w:r>
          </w:p>
        </w:tc>
        <w:tc>
          <w:tcPr>
            <w:tcW w:w="3119" w:type="dxa"/>
          </w:tcPr>
          <w:p w:rsidR="00463416" w:rsidRPr="0097324B" w:rsidRDefault="00463416" w:rsidP="00F323CB">
            <w:pPr>
              <w:pStyle w:val="TableText0"/>
              <w:jc w:val="center"/>
            </w:pPr>
            <w:r w:rsidRPr="0097324B">
              <w:t>$</w:t>
            </w:r>
            <w:r w:rsidRPr="00043460">
              <w:t>4,</w:t>
            </w:r>
            <w:r w:rsidR="00F323CB" w:rsidRPr="00043460">
              <w:t>567</w:t>
            </w:r>
          </w:p>
        </w:tc>
        <w:tc>
          <w:tcPr>
            <w:tcW w:w="1934" w:type="dxa"/>
          </w:tcPr>
          <w:p w:rsidR="00463416" w:rsidRPr="0097324B" w:rsidRDefault="00F323CB" w:rsidP="00F32057">
            <w:pPr>
              <w:pStyle w:val="TableText0"/>
              <w:jc w:val="center"/>
            </w:pPr>
            <w:r w:rsidRPr="0097324B">
              <w:t>$</w:t>
            </w:r>
            <w:r w:rsidRPr="00043460">
              <w:t>0.626</w:t>
            </w:r>
          </w:p>
        </w:tc>
      </w:tr>
      <w:tr w:rsidR="00463416" w:rsidRPr="0097324B" w:rsidTr="002C2832">
        <w:tc>
          <w:tcPr>
            <w:tcW w:w="3964" w:type="dxa"/>
          </w:tcPr>
          <w:p w:rsidR="00463416" w:rsidRPr="0097324B" w:rsidRDefault="00463416" w:rsidP="00755BFD">
            <w:pPr>
              <w:pStyle w:val="TableText0"/>
            </w:pPr>
            <w:r w:rsidRPr="0097324B">
              <w:t>Dose intensity based on existing listing</w:t>
            </w:r>
          </w:p>
          <w:p w:rsidR="00463416" w:rsidRPr="0097324B" w:rsidRDefault="00463416" w:rsidP="00755BFD">
            <w:pPr>
              <w:pStyle w:val="TableText0"/>
            </w:pPr>
            <w:r w:rsidRPr="0097324B">
              <w:t xml:space="preserve">79.2% for abemaciclib, 79.5% for ribociclib </w:t>
            </w:r>
          </w:p>
        </w:tc>
        <w:tc>
          <w:tcPr>
            <w:tcW w:w="3119" w:type="dxa"/>
          </w:tcPr>
          <w:p w:rsidR="00463416" w:rsidRPr="0097324B" w:rsidRDefault="00463416" w:rsidP="00755BFD">
            <w:pPr>
              <w:pStyle w:val="TableText0"/>
              <w:jc w:val="center"/>
              <w:rPr>
                <w:vertAlign w:val="superscript"/>
              </w:rPr>
            </w:pPr>
            <w:r w:rsidRPr="0097324B">
              <w:t>$</w:t>
            </w:r>
            <w:r w:rsidRPr="00043460">
              <w:t>4,261</w:t>
            </w:r>
          </w:p>
        </w:tc>
        <w:tc>
          <w:tcPr>
            <w:tcW w:w="1934" w:type="dxa"/>
          </w:tcPr>
          <w:p w:rsidR="00463416" w:rsidRPr="0097324B" w:rsidRDefault="00463416" w:rsidP="00F32057">
            <w:pPr>
              <w:pStyle w:val="TableText0"/>
              <w:jc w:val="center"/>
            </w:pPr>
            <w:r w:rsidRPr="0097324B">
              <w:t>$</w:t>
            </w:r>
            <w:r w:rsidRPr="00043460">
              <w:t>0.64</w:t>
            </w:r>
            <w:r w:rsidR="00F32057" w:rsidRPr="00043460">
              <w:t>1</w:t>
            </w:r>
          </w:p>
        </w:tc>
      </w:tr>
    </w:tbl>
    <w:p w:rsidR="005F172C" w:rsidRPr="0097324B" w:rsidRDefault="005F172C" w:rsidP="002C2832">
      <w:pPr>
        <w:pStyle w:val="TableFigureFooter"/>
        <w:spacing w:after="240"/>
        <w:contextualSpacing w:val="0"/>
      </w:pPr>
      <w:r w:rsidRPr="0097324B">
        <w:t>Source: calculated during evaluation using Attachment 4 - Cost Minimisation workbook (abemaciclib).xlsx.</w:t>
      </w:r>
    </w:p>
    <w:p w:rsidR="005C094D" w:rsidRPr="0097324B" w:rsidRDefault="005C094D" w:rsidP="007110C0">
      <w:pPr>
        <w:pStyle w:val="3-BodyText"/>
      </w:pPr>
      <w:r w:rsidRPr="0097324B">
        <w:t xml:space="preserve">The </w:t>
      </w:r>
      <w:r w:rsidR="0045408F" w:rsidRPr="0097324B">
        <w:t xml:space="preserve">PBAC </w:t>
      </w:r>
      <w:r w:rsidRPr="0097324B">
        <w:t>considered that the price of abemaciclib, when used in combination with fulvestrant, should be no higher than the price for the existing list</w:t>
      </w:r>
      <w:r w:rsidR="00CE5665" w:rsidRPr="0097324B">
        <w:t>ing in combination with an NSAI</w:t>
      </w:r>
      <w:r w:rsidR="007110C0" w:rsidRPr="0097324B">
        <w:t>, which is consistent with its November 2020 consideration of ribociclib + fulvestrant where “the PBAC considered the prices proposed in each of the settings were reasonable, and the resubmission’s overall proposal of a price that is the same as the current price for use in combination with NSAIs was appropriate”. (para 5.9, ribociclib PSD, November 2020 PBAC meeting).</w:t>
      </w:r>
    </w:p>
    <w:p w:rsidR="005F172C" w:rsidRPr="0097324B" w:rsidRDefault="005F172C" w:rsidP="005F172C">
      <w:pPr>
        <w:pStyle w:val="4-SubsectionHeading"/>
      </w:pPr>
      <w:bookmarkStart w:id="23" w:name="_Toc22897646"/>
      <w:bookmarkStart w:id="24" w:name="_Toc22898858"/>
      <w:bookmarkStart w:id="25" w:name="_Toc62047568"/>
      <w:r w:rsidRPr="0097324B">
        <w:lastRenderedPageBreak/>
        <w:t>Drug cost/patient/course</w:t>
      </w:r>
      <w:bookmarkEnd w:id="23"/>
      <w:bookmarkEnd w:id="24"/>
      <w:bookmarkEnd w:id="25"/>
    </w:p>
    <w:p w:rsidR="005F172C" w:rsidRPr="0097324B" w:rsidRDefault="005F172C" w:rsidP="005F172C">
      <w:pPr>
        <w:pStyle w:val="TableFigureHeading"/>
        <w:rPr>
          <w:rStyle w:val="CommentReference"/>
          <w:b/>
          <w:szCs w:val="24"/>
        </w:rPr>
      </w:pPr>
      <w:r w:rsidRPr="0097324B">
        <w:rPr>
          <w:rStyle w:val="CommentReference"/>
          <w:b/>
          <w:szCs w:val="24"/>
        </w:rPr>
        <w:t>Table 1</w:t>
      </w:r>
      <w:r w:rsidR="006507C5" w:rsidRPr="0097324B">
        <w:rPr>
          <w:rStyle w:val="CommentReference"/>
          <w:b/>
          <w:szCs w:val="24"/>
        </w:rPr>
        <w:t>1</w:t>
      </w:r>
      <w:r w:rsidRPr="0097324B">
        <w:rPr>
          <w:rStyle w:val="CommentReference"/>
          <w:b/>
          <w:szCs w:val="24"/>
        </w:rPr>
        <w:t xml:space="preserve">: Drug cost per patient for abemaciclib and ribociclib </w:t>
      </w:r>
      <w:r w:rsidR="005D0373" w:rsidRPr="0097324B">
        <w:rPr>
          <w:rStyle w:val="CommentReference"/>
          <w:b/>
          <w:szCs w:val="24"/>
        </w:rPr>
        <w:t>– based on revised prices in Table 2 of PSCR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1257"/>
        <w:gridCol w:w="1255"/>
        <w:gridCol w:w="1259"/>
        <w:gridCol w:w="1261"/>
        <w:gridCol w:w="1261"/>
        <w:gridCol w:w="1255"/>
      </w:tblGrid>
      <w:tr w:rsidR="009903B1" w:rsidRPr="0097324B" w:rsidTr="00AF768B">
        <w:trPr>
          <w:cantSplit/>
          <w:tblHeader/>
          <w:jc w:val="center"/>
        </w:trPr>
        <w:tc>
          <w:tcPr>
            <w:tcW w:w="815" w:type="pct"/>
            <w:shd w:val="clear" w:color="auto" w:fill="auto"/>
            <w:vAlign w:val="center"/>
          </w:tcPr>
          <w:p w:rsidR="009903B1" w:rsidRPr="0097324B" w:rsidRDefault="009903B1" w:rsidP="009903B1">
            <w:pPr>
              <w:pStyle w:val="In-tableHeading"/>
              <w:jc w:val="center"/>
              <w:rPr>
                <w:lang w:val="en-AU"/>
              </w:rPr>
            </w:pPr>
          </w:p>
        </w:tc>
        <w:tc>
          <w:tcPr>
            <w:tcW w:w="697" w:type="pct"/>
            <w:shd w:val="clear" w:color="auto" w:fill="auto"/>
            <w:vAlign w:val="center"/>
          </w:tcPr>
          <w:p w:rsidR="009903B1" w:rsidRPr="0097324B" w:rsidRDefault="009903B1" w:rsidP="009903B1">
            <w:pPr>
              <w:pStyle w:val="In-tableHeading"/>
              <w:jc w:val="center"/>
              <w:rPr>
                <w:lang w:val="en-AU"/>
              </w:rPr>
            </w:pPr>
            <w:r w:rsidRPr="0097324B">
              <w:rPr>
                <w:lang w:val="en-AU"/>
              </w:rPr>
              <w:t>Abemaciclib</w:t>
            </w:r>
          </w:p>
          <w:p w:rsidR="009903B1" w:rsidRPr="0097324B" w:rsidRDefault="009903B1" w:rsidP="009903B1">
            <w:pPr>
              <w:pStyle w:val="In-tableHeading"/>
              <w:jc w:val="center"/>
              <w:rPr>
                <w:lang w:val="en-AU"/>
              </w:rPr>
            </w:pPr>
            <w:r w:rsidRPr="0097324B">
              <w:rPr>
                <w:lang w:val="en-AU"/>
              </w:rPr>
              <w:t>Trial dose and duration</w:t>
            </w:r>
          </w:p>
        </w:tc>
        <w:tc>
          <w:tcPr>
            <w:tcW w:w="696" w:type="pct"/>
            <w:shd w:val="clear" w:color="auto" w:fill="auto"/>
            <w:vAlign w:val="center"/>
          </w:tcPr>
          <w:p w:rsidR="009903B1" w:rsidRPr="0097324B" w:rsidRDefault="009903B1" w:rsidP="009903B1">
            <w:pPr>
              <w:pStyle w:val="In-tableHeading"/>
              <w:jc w:val="center"/>
              <w:rPr>
                <w:lang w:val="en-AU"/>
              </w:rPr>
            </w:pPr>
            <w:r w:rsidRPr="0097324B">
              <w:rPr>
                <w:lang w:val="en-AU"/>
              </w:rPr>
              <w:t>Abemaciclib</w:t>
            </w:r>
          </w:p>
          <w:p w:rsidR="009903B1" w:rsidRPr="0097324B" w:rsidRDefault="009903B1" w:rsidP="009903B1">
            <w:pPr>
              <w:pStyle w:val="In-tableHeading"/>
              <w:jc w:val="center"/>
              <w:rPr>
                <w:lang w:val="en-AU"/>
              </w:rPr>
            </w:pPr>
            <w:r w:rsidRPr="0097324B">
              <w:rPr>
                <w:lang w:val="en-AU"/>
              </w:rPr>
              <w:t>CMA</w:t>
            </w:r>
          </w:p>
        </w:tc>
        <w:tc>
          <w:tcPr>
            <w:tcW w:w="698" w:type="pct"/>
            <w:shd w:val="clear" w:color="auto" w:fill="auto"/>
            <w:vAlign w:val="center"/>
          </w:tcPr>
          <w:p w:rsidR="009903B1" w:rsidRPr="0097324B" w:rsidRDefault="009903B1" w:rsidP="009903B1">
            <w:pPr>
              <w:pStyle w:val="In-tableHeading"/>
              <w:jc w:val="center"/>
              <w:rPr>
                <w:lang w:val="en-AU"/>
              </w:rPr>
            </w:pPr>
            <w:r w:rsidRPr="0097324B">
              <w:rPr>
                <w:lang w:val="en-AU"/>
              </w:rPr>
              <w:t>Abemaciclib</w:t>
            </w:r>
          </w:p>
          <w:p w:rsidR="009903B1" w:rsidRPr="0097324B" w:rsidRDefault="009903B1" w:rsidP="009903B1">
            <w:pPr>
              <w:pStyle w:val="In-tableHeading"/>
              <w:jc w:val="center"/>
              <w:rPr>
                <w:lang w:val="en-AU"/>
              </w:rPr>
            </w:pPr>
            <w:r w:rsidRPr="0097324B">
              <w:rPr>
                <w:lang w:val="en-AU"/>
              </w:rPr>
              <w:t>Financial estimates</w:t>
            </w:r>
          </w:p>
        </w:tc>
        <w:tc>
          <w:tcPr>
            <w:tcW w:w="699" w:type="pct"/>
            <w:shd w:val="clear" w:color="auto" w:fill="auto"/>
            <w:vAlign w:val="center"/>
          </w:tcPr>
          <w:p w:rsidR="009903B1" w:rsidRPr="0097324B" w:rsidRDefault="009903B1" w:rsidP="009903B1">
            <w:pPr>
              <w:pStyle w:val="In-tableHeading"/>
              <w:jc w:val="center"/>
              <w:rPr>
                <w:lang w:val="en-AU"/>
              </w:rPr>
            </w:pPr>
            <w:r w:rsidRPr="0097324B">
              <w:rPr>
                <w:lang w:val="en-AU"/>
              </w:rPr>
              <w:t>Ribociclib</w:t>
            </w:r>
          </w:p>
          <w:p w:rsidR="009903B1" w:rsidRPr="0097324B" w:rsidRDefault="009903B1" w:rsidP="009903B1">
            <w:pPr>
              <w:pStyle w:val="In-tableHeading"/>
              <w:jc w:val="center"/>
              <w:rPr>
                <w:lang w:val="en-AU"/>
              </w:rPr>
            </w:pPr>
            <w:r w:rsidRPr="0097324B">
              <w:rPr>
                <w:lang w:val="en-AU"/>
              </w:rPr>
              <w:t>Trial dose and duration</w:t>
            </w:r>
          </w:p>
        </w:tc>
        <w:tc>
          <w:tcPr>
            <w:tcW w:w="699" w:type="pct"/>
            <w:shd w:val="clear" w:color="auto" w:fill="auto"/>
            <w:vAlign w:val="center"/>
          </w:tcPr>
          <w:p w:rsidR="009903B1" w:rsidRPr="0097324B" w:rsidRDefault="009903B1" w:rsidP="009903B1">
            <w:pPr>
              <w:pStyle w:val="In-tableHeading"/>
              <w:jc w:val="center"/>
              <w:rPr>
                <w:lang w:val="en-AU"/>
              </w:rPr>
            </w:pPr>
            <w:r w:rsidRPr="0097324B">
              <w:rPr>
                <w:lang w:val="en-AU"/>
              </w:rPr>
              <w:t>Ribociclib</w:t>
            </w:r>
          </w:p>
          <w:p w:rsidR="009903B1" w:rsidRPr="0097324B" w:rsidRDefault="009903B1" w:rsidP="009903B1">
            <w:pPr>
              <w:pStyle w:val="In-tableHeading"/>
              <w:jc w:val="center"/>
              <w:rPr>
                <w:lang w:val="en-AU"/>
              </w:rPr>
            </w:pPr>
            <w:r w:rsidRPr="0097324B">
              <w:rPr>
                <w:lang w:val="en-AU"/>
              </w:rPr>
              <w:t>CMA</w:t>
            </w:r>
          </w:p>
        </w:tc>
        <w:tc>
          <w:tcPr>
            <w:tcW w:w="696" w:type="pct"/>
          </w:tcPr>
          <w:p w:rsidR="009903B1" w:rsidRPr="0097324B" w:rsidRDefault="009903B1" w:rsidP="009903B1">
            <w:pPr>
              <w:pStyle w:val="In-tableHeading"/>
              <w:jc w:val="center"/>
              <w:rPr>
                <w:lang w:val="en-AU"/>
              </w:rPr>
            </w:pPr>
            <w:r w:rsidRPr="0097324B">
              <w:rPr>
                <w:lang w:val="en-AU"/>
              </w:rPr>
              <w:t>Ribociclib</w:t>
            </w:r>
          </w:p>
          <w:p w:rsidR="009903B1" w:rsidRPr="0097324B" w:rsidRDefault="009903B1" w:rsidP="009903B1">
            <w:pPr>
              <w:pStyle w:val="In-tableHeading"/>
              <w:jc w:val="center"/>
              <w:rPr>
                <w:lang w:val="en-AU"/>
              </w:rPr>
            </w:pPr>
            <w:r w:rsidRPr="0097324B">
              <w:rPr>
                <w:lang w:val="en-AU"/>
              </w:rPr>
              <w:t>Financial estimates</w:t>
            </w:r>
          </w:p>
        </w:tc>
      </w:tr>
      <w:tr w:rsidR="00AF768B" w:rsidRPr="0097324B" w:rsidTr="0097324B">
        <w:trPr>
          <w:cantSplit/>
          <w:jc w:val="center"/>
        </w:trPr>
        <w:tc>
          <w:tcPr>
            <w:tcW w:w="815" w:type="pct"/>
            <w:shd w:val="clear" w:color="auto" w:fill="auto"/>
            <w:vAlign w:val="center"/>
          </w:tcPr>
          <w:p w:rsidR="00AF768B" w:rsidRPr="0097324B" w:rsidRDefault="00AF768B" w:rsidP="00AF768B">
            <w:pPr>
              <w:pStyle w:val="TableText0"/>
            </w:pPr>
            <w:r w:rsidRPr="0097324B">
              <w:t>Dose intensity</w:t>
            </w:r>
          </w:p>
        </w:tc>
        <w:tc>
          <w:tcPr>
            <w:tcW w:w="697" w:type="pct"/>
            <w:shd w:val="clear" w:color="auto" w:fill="auto"/>
            <w:vAlign w:val="center"/>
          </w:tcPr>
          <w:p w:rsidR="00AF768B" w:rsidRPr="0097324B" w:rsidRDefault="00AF768B" w:rsidP="00AF768B">
            <w:pPr>
              <w:pStyle w:val="TableText0"/>
              <w:jc w:val="center"/>
            </w:pPr>
            <w:r w:rsidRPr="0097324B">
              <w:t>Mean: 86.9%</w:t>
            </w:r>
          </w:p>
        </w:tc>
        <w:tc>
          <w:tcPr>
            <w:tcW w:w="696" w:type="pct"/>
            <w:shd w:val="clear" w:color="auto" w:fill="auto"/>
            <w:vAlign w:val="center"/>
          </w:tcPr>
          <w:p w:rsidR="00AF768B" w:rsidRPr="0097324B" w:rsidRDefault="00C35C9C" w:rsidP="00AF768B">
            <w:pPr>
              <w:pStyle w:val="TableText0"/>
              <w:jc w:val="center"/>
            </w:pPr>
            <w:r w:rsidRPr="0097324B">
              <w:t>Mean: 86.9%</w:t>
            </w:r>
          </w:p>
        </w:tc>
        <w:tc>
          <w:tcPr>
            <w:tcW w:w="698" w:type="pct"/>
            <w:shd w:val="clear" w:color="auto" w:fill="auto"/>
            <w:vAlign w:val="center"/>
          </w:tcPr>
          <w:p w:rsidR="00AF768B" w:rsidRPr="0097324B" w:rsidRDefault="00AF768B" w:rsidP="00AF768B">
            <w:pPr>
              <w:pStyle w:val="TableText0"/>
              <w:jc w:val="center"/>
            </w:pPr>
            <w:r w:rsidRPr="0097324B">
              <w:t>100% Compliance</w:t>
            </w:r>
          </w:p>
        </w:tc>
        <w:tc>
          <w:tcPr>
            <w:tcW w:w="699" w:type="pct"/>
            <w:shd w:val="clear" w:color="auto" w:fill="auto"/>
            <w:vAlign w:val="center"/>
          </w:tcPr>
          <w:p w:rsidR="00AF768B" w:rsidRPr="0097324B" w:rsidRDefault="00AF768B" w:rsidP="00AF768B">
            <w:pPr>
              <w:pStyle w:val="TableText0"/>
              <w:jc w:val="center"/>
            </w:pPr>
            <w:r w:rsidRPr="0097324B">
              <w:t>Mean: 85.2%</w:t>
            </w:r>
          </w:p>
        </w:tc>
        <w:tc>
          <w:tcPr>
            <w:tcW w:w="699" w:type="pct"/>
            <w:shd w:val="clear" w:color="auto" w:fill="auto"/>
            <w:vAlign w:val="center"/>
          </w:tcPr>
          <w:p w:rsidR="00AF768B" w:rsidRPr="0097324B" w:rsidRDefault="005D0373" w:rsidP="00AF768B">
            <w:pPr>
              <w:pStyle w:val="TableText0"/>
              <w:jc w:val="center"/>
            </w:pPr>
            <w:r w:rsidRPr="0097324B">
              <w:t>Mean: 85.2%</w:t>
            </w:r>
          </w:p>
        </w:tc>
        <w:tc>
          <w:tcPr>
            <w:tcW w:w="696" w:type="pct"/>
            <w:vAlign w:val="center"/>
          </w:tcPr>
          <w:p w:rsidR="00AF768B" w:rsidRPr="0097324B" w:rsidRDefault="00AF768B" w:rsidP="00AF768B">
            <w:pPr>
              <w:pStyle w:val="TableText0"/>
              <w:jc w:val="center"/>
            </w:pPr>
            <w:r w:rsidRPr="0097324B">
              <w:t>Not considered</w:t>
            </w:r>
          </w:p>
        </w:tc>
      </w:tr>
      <w:tr w:rsidR="005D0373" w:rsidRPr="0097324B" w:rsidTr="0097324B">
        <w:trPr>
          <w:cantSplit/>
          <w:jc w:val="center"/>
        </w:trPr>
        <w:tc>
          <w:tcPr>
            <w:tcW w:w="815" w:type="pct"/>
            <w:shd w:val="clear" w:color="auto" w:fill="auto"/>
            <w:vAlign w:val="center"/>
          </w:tcPr>
          <w:p w:rsidR="005D0373" w:rsidRPr="0097324B" w:rsidRDefault="005D0373" w:rsidP="005D0373">
            <w:pPr>
              <w:pStyle w:val="TableText0"/>
            </w:pPr>
            <w:r w:rsidRPr="0097324B">
              <w:t>Mean dose</w:t>
            </w:r>
          </w:p>
        </w:tc>
        <w:tc>
          <w:tcPr>
            <w:tcW w:w="697" w:type="pct"/>
            <w:shd w:val="clear" w:color="auto" w:fill="auto"/>
            <w:vAlign w:val="center"/>
          </w:tcPr>
          <w:p w:rsidR="005D0373" w:rsidRPr="0097324B" w:rsidRDefault="005D0373" w:rsidP="005D0373">
            <w:pPr>
              <w:pStyle w:val="TableText0"/>
              <w:jc w:val="center"/>
            </w:pPr>
            <w:r w:rsidRPr="0097324B">
              <w:t>260.7 mg/day</w:t>
            </w:r>
          </w:p>
        </w:tc>
        <w:tc>
          <w:tcPr>
            <w:tcW w:w="696" w:type="pct"/>
            <w:shd w:val="clear" w:color="auto" w:fill="auto"/>
            <w:vAlign w:val="center"/>
          </w:tcPr>
          <w:p w:rsidR="005D0373" w:rsidRPr="0097324B" w:rsidRDefault="005D0373" w:rsidP="005D0373">
            <w:pPr>
              <w:pStyle w:val="TableText0"/>
              <w:jc w:val="center"/>
            </w:pPr>
            <w:r w:rsidRPr="0097324B">
              <w:t>260.7 mg/day</w:t>
            </w:r>
          </w:p>
        </w:tc>
        <w:tc>
          <w:tcPr>
            <w:tcW w:w="698" w:type="pct"/>
            <w:shd w:val="clear" w:color="auto" w:fill="auto"/>
            <w:vAlign w:val="center"/>
          </w:tcPr>
          <w:p w:rsidR="005D0373" w:rsidRPr="0097324B" w:rsidRDefault="005D0373" w:rsidP="005D0373">
            <w:pPr>
              <w:pStyle w:val="TableText0"/>
              <w:jc w:val="center"/>
            </w:pPr>
            <w:r w:rsidRPr="0097324B">
              <w:t>Not considered</w:t>
            </w:r>
            <w:r w:rsidRPr="0097324B">
              <w:br/>
              <w:t>(Flat pricing across strengths)</w:t>
            </w:r>
          </w:p>
        </w:tc>
        <w:tc>
          <w:tcPr>
            <w:tcW w:w="699" w:type="pct"/>
            <w:shd w:val="clear" w:color="auto" w:fill="auto"/>
            <w:vAlign w:val="center"/>
          </w:tcPr>
          <w:p w:rsidR="005D0373" w:rsidRPr="0097324B" w:rsidRDefault="005D0373" w:rsidP="005D0373">
            <w:pPr>
              <w:pStyle w:val="TableText0"/>
              <w:jc w:val="center"/>
            </w:pPr>
            <w:r w:rsidRPr="0097324B">
              <w:t>511.2 mg/day for 21 days every 28-days</w:t>
            </w:r>
          </w:p>
        </w:tc>
        <w:tc>
          <w:tcPr>
            <w:tcW w:w="699" w:type="pct"/>
            <w:shd w:val="clear" w:color="auto" w:fill="auto"/>
            <w:vAlign w:val="center"/>
          </w:tcPr>
          <w:p w:rsidR="005D0373" w:rsidRPr="0097324B" w:rsidRDefault="005D0373" w:rsidP="005D0373">
            <w:pPr>
              <w:pStyle w:val="TableText0"/>
              <w:jc w:val="center"/>
            </w:pPr>
            <w:r w:rsidRPr="0097324B">
              <w:t>511.2 mg/day for 21 days every 28-days</w:t>
            </w:r>
          </w:p>
        </w:tc>
        <w:tc>
          <w:tcPr>
            <w:tcW w:w="696" w:type="pct"/>
            <w:vAlign w:val="center"/>
          </w:tcPr>
          <w:p w:rsidR="005D0373" w:rsidRPr="0097324B" w:rsidRDefault="005D0373" w:rsidP="005D0373">
            <w:pPr>
              <w:pStyle w:val="TableText0"/>
              <w:jc w:val="center"/>
            </w:pPr>
            <w:r w:rsidRPr="0097324B">
              <w:t>Not considered</w:t>
            </w:r>
          </w:p>
        </w:tc>
      </w:tr>
      <w:tr w:rsidR="005D0373" w:rsidRPr="0097324B" w:rsidTr="0097324B">
        <w:trPr>
          <w:cantSplit/>
          <w:jc w:val="center"/>
        </w:trPr>
        <w:tc>
          <w:tcPr>
            <w:tcW w:w="815" w:type="pct"/>
            <w:shd w:val="clear" w:color="auto" w:fill="auto"/>
            <w:vAlign w:val="center"/>
          </w:tcPr>
          <w:p w:rsidR="005D0373" w:rsidRPr="0097324B" w:rsidRDefault="005D0373" w:rsidP="005D0373">
            <w:pPr>
              <w:pStyle w:val="TableText0"/>
            </w:pPr>
            <w:r w:rsidRPr="0097324B">
              <w:t xml:space="preserve">Duration </w:t>
            </w:r>
          </w:p>
        </w:tc>
        <w:tc>
          <w:tcPr>
            <w:tcW w:w="697" w:type="pct"/>
            <w:shd w:val="clear" w:color="auto" w:fill="auto"/>
            <w:vAlign w:val="center"/>
          </w:tcPr>
          <w:p w:rsidR="005D0373" w:rsidRPr="0097324B" w:rsidRDefault="005D0373" w:rsidP="005D0373">
            <w:pPr>
              <w:pStyle w:val="TableText0"/>
              <w:jc w:val="center"/>
            </w:pPr>
            <w:r w:rsidRPr="0097324B">
              <w:t xml:space="preserve">Trial mean: </w:t>
            </w:r>
          </w:p>
          <w:p w:rsidR="005D0373" w:rsidRPr="0097324B" w:rsidRDefault="005D0373" w:rsidP="005D0373">
            <w:pPr>
              <w:pStyle w:val="TableText0"/>
              <w:jc w:val="center"/>
              <w:rPr>
                <w:vertAlign w:val="superscript"/>
              </w:rPr>
            </w:pPr>
            <w:r w:rsidRPr="0097324B">
              <w:t xml:space="preserve">18.9 cycles </w:t>
            </w:r>
            <w:r w:rsidRPr="0097324B">
              <w:rPr>
                <w:vertAlign w:val="superscript"/>
              </w:rPr>
              <w:t>c</w:t>
            </w:r>
          </w:p>
        </w:tc>
        <w:tc>
          <w:tcPr>
            <w:tcW w:w="696" w:type="pct"/>
            <w:shd w:val="clear" w:color="auto" w:fill="auto"/>
            <w:vAlign w:val="center"/>
          </w:tcPr>
          <w:p w:rsidR="005D0373" w:rsidRPr="0097324B" w:rsidRDefault="005D0373" w:rsidP="005D0373">
            <w:pPr>
              <w:pStyle w:val="TableText0"/>
              <w:jc w:val="center"/>
            </w:pPr>
            <w:r w:rsidRPr="0097324B">
              <w:t>Not considered</w:t>
            </w:r>
          </w:p>
        </w:tc>
        <w:tc>
          <w:tcPr>
            <w:tcW w:w="698" w:type="pct"/>
            <w:shd w:val="clear" w:color="auto" w:fill="auto"/>
            <w:vAlign w:val="center"/>
          </w:tcPr>
          <w:p w:rsidR="005D0373" w:rsidRPr="0097324B" w:rsidRDefault="005D0373" w:rsidP="005D0373">
            <w:pPr>
              <w:pStyle w:val="TableText0"/>
              <w:jc w:val="center"/>
              <w:rPr>
                <w:vertAlign w:val="superscript"/>
              </w:rPr>
            </w:pPr>
            <w:r w:rsidRPr="0097324B">
              <w:t xml:space="preserve">13.04 cycles </w:t>
            </w:r>
            <w:r w:rsidRPr="0097324B">
              <w:rPr>
                <w:vertAlign w:val="superscript"/>
              </w:rPr>
              <w:t>b</w:t>
            </w:r>
          </w:p>
        </w:tc>
        <w:tc>
          <w:tcPr>
            <w:tcW w:w="699" w:type="pct"/>
            <w:shd w:val="clear" w:color="auto" w:fill="auto"/>
            <w:vAlign w:val="center"/>
          </w:tcPr>
          <w:p w:rsidR="005D0373" w:rsidRPr="0097324B" w:rsidRDefault="005D0373" w:rsidP="005D0373">
            <w:pPr>
              <w:pStyle w:val="TableText0"/>
              <w:jc w:val="center"/>
              <w:rPr>
                <w:vertAlign w:val="superscript"/>
              </w:rPr>
            </w:pPr>
            <w:r w:rsidRPr="0097324B">
              <w:t xml:space="preserve">20.2 months </w:t>
            </w:r>
            <w:r w:rsidRPr="0097324B">
              <w:rPr>
                <w:vertAlign w:val="superscript"/>
              </w:rPr>
              <w:t>d</w:t>
            </w:r>
          </w:p>
          <w:p w:rsidR="005D0373" w:rsidRPr="0097324B" w:rsidRDefault="005D0373" w:rsidP="005D0373">
            <w:pPr>
              <w:pStyle w:val="TableText0"/>
              <w:jc w:val="center"/>
            </w:pPr>
            <w:r w:rsidRPr="0097324B">
              <w:t>(21.9 cycles)</w:t>
            </w:r>
          </w:p>
        </w:tc>
        <w:tc>
          <w:tcPr>
            <w:tcW w:w="699" w:type="pct"/>
            <w:shd w:val="clear" w:color="auto" w:fill="auto"/>
            <w:vAlign w:val="center"/>
          </w:tcPr>
          <w:p w:rsidR="005D0373" w:rsidRPr="0097324B" w:rsidRDefault="005D0373" w:rsidP="005D0373">
            <w:pPr>
              <w:pStyle w:val="TableText0"/>
              <w:jc w:val="center"/>
              <w:rPr>
                <w:b/>
              </w:rPr>
            </w:pPr>
            <w:r w:rsidRPr="0097324B">
              <w:t>Not considered</w:t>
            </w:r>
          </w:p>
        </w:tc>
        <w:tc>
          <w:tcPr>
            <w:tcW w:w="696" w:type="pct"/>
            <w:vAlign w:val="center"/>
          </w:tcPr>
          <w:p w:rsidR="005D0373" w:rsidRPr="0097324B" w:rsidRDefault="005D0373" w:rsidP="005D0373">
            <w:pPr>
              <w:pStyle w:val="TableText0"/>
              <w:jc w:val="center"/>
            </w:pPr>
            <w:r w:rsidRPr="0097324B">
              <w:t>Not considered</w:t>
            </w:r>
          </w:p>
        </w:tc>
      </w:tr>
      <w:tr w:rsidR="005D0373" w:rsidRPr="0097324B" w:rsidTr="0097324B">
        <w:trPr>
          <w:cantSplit/>
          <w:jc w:val="center"/>
        </w:trPr>
        <w:tc>
          <w:tcPr>
            <w:tcW w:w="815" w:type="pct"/>
            <w:shd w:val="clear" w:color="auto" w:fill="auto"/>
            <w:vAlign w:val="center"/>
          </w:tcPr>
          <w:p w:rsidR="005D0373" w:rsidRPr="0097324B" w:rsidRDefault="005D0373" w:rsidP="005D0373">
            <w:pPr>
              <w:pStyle w:val="TableText0"/>
            </w:pPr>
            <w:r w:rsidRPr="0097324B">
              <w:t>Cost/patient/ 28-day cycle</w:t>
            </w:r>
          </w:p>
        </w:tc>
        <w:tc>
          <w:tcPr>
            <w:tcW w:w="697" w:type="pct"/>
            <w:shd w:val="clear" w:color="auto" w:fill="auto"/>
            <w:vAlign w:val="center"/>
          </w:tcPr>
          <w:p w:rsidR="005D0373" w:rsidRPr="0097324B" w:rsidRDefault="005D0373" w:rsidP="005D0373">
            <w:pPr>
              <w:pStyle w:val="TableText0"/>
              <w:jc w:val="center"/>
              <w:rPr>
                <w:vertAlign w:val="superscript"/>
              </w:rPr>
            </w:pPr>
            <w:r w:rsidRPr="0097324B">
              <w:t>$</w:t>
            </w:r>
            <w:r w:rsidRPr="00043460">
              <w:t>4,728</w:t>
            </w:r>
            <w:r w:rsidRPr="0097324B">
              <w:t xml:space="preserve"> </w:t>
            </w:r>
            <w:r w:rsidRPr="0097324B">
              <w:rPr>
                <w:vertAlign w:val="superscript"/>
              </w:rPr>
              <w:t>a</w:t>
            </w:r>
          </w:p>
        </w:tc>
        <w:tc>
          <w:tcPr>
            <w:tcW w:w="696" w:type="pct"/>
            <w:shd w:val="clear" w:color="auto" w:fill="auto"/>
            <w:vAlign w:val="center"/>
          </w:tcPr>
          <w:p w:rsidR="005D0373" w:rsidRPr="0097324B" w:rsidRDefault="005D0373" w:rsidP="005D0373">
            <w:pPr>
              <w:pStyle w:val="TableText0"/>
              <w:jc w:val="center"/>
              <w:rPr>
                <w:vertAlign w:val="superscript"/>
              </w:rPr>
            </w:pPr>
            <w:r w:rsidRPr="0097324B">
              <w:t xml:space="preserve">$4,728 </w:t>
            </w:r>
            <w:r w:rsidRPr="0097324B">
              <w:rPr>
                <w:vertAlign w:val="superscript"/>
              </w:rPr>
              <w:t>a</w:t>
            </w:r>
          </w:p>
        </w:tc>
        <w:tc>
          <w:tcPr>
            <w:tcW w:w="698" w:type="pct"/>
            <w:shd w:val="clear" w:color="auto" w:fill="auto"/>
            <w:vAlign w:val="center"/>
          </w:tcPr>
          <w:p w:rsidR="005D0373" w:rsidRPr="0097324B" w:rsidRDefault="005D0373" w:rsidP="005D0373">
            <w:pPr>
              <w:pStyle w:val="TableText0"/>
              <w:jc w:val="center"/>
            </w:pPr>
            <w:r w:rsidRPr="0097324B">
              <w:t>$</w:t>
            </w:r>
            <w:r w:rsidRPr="00043460">
              <w:t>4,728</w:t>
            </w:r>
            <w:r w:rsidRPr="0097324B">
              <w:t xml:space="preserve"> </w:t>
            </w:r>
            <w:r w:rsidRPr="0097324B">
              <w:rPr>
                <w:vertAlign w:val="superscript"/>
              </w:rPr>
              <w:t>a</w:t>
            </w:r>
          </w:p>
        </w:tc>
        <w:tc>
          <w:tcPr>
            <w:tcW w:w="699" w:type="pct"/>
            <w:shd w:val="clear" w:color="auto" w:fill="auto"/>
            <w:vAlign w:val="center"/>
          </w:tcPr>
          <w:p w:rsidR="005D0373" w:rsidRPr="0097324B" w:rsidRDefault="005D0373" w:rsidP="005D0373">
            <w:pPr>
              <w:pStyle w:val="TableText0"/>
              <w:jc w:val="center"/>
              <w:rPr>
                <w:szCs w:val="20"/>
              </w:rPr>
            </w:pPr>
            <w:r w:rsidRPr="0097324B">
              <w:rPr>
                <w:szCs w:val="20"/>
              </w:rPr>
              <w:t>$</w:t>
            </w:r>
            <w:r w:rsidRPr="00043460">
              <w:rPr>
                <w:szCs w:val="20"/>
              </w:rPr>
              <w:t>4,728</w:t>
            </w:r>
            <w:r w:rsidRPr="0097324B">
              <w:rPr>
                <w:szCs w:val="20"/>
              </w:rPr>
              <w:t xml:space="preserve"> </w:t>
            </w:r>
            <w:r w:rsidRPr="0097324B">
              <w:rPr>
                <w:szCs w:val="20"/>
                <w:vertAlign w:val="superscript"/>
              </w:rPr>
              <w:t>a</w:t>
            </w:r>
            <w:r w:rsidRPr="0097324B" w:rsidDel="005D0373">
              <w:rPr>
                <w:szCs w:val="20"/>
              </w:rPr>
              <w:t xml:space="preserve"> </w:t>
            </w:r>
          </w:p>
        </w:tc>
        <w:tc>
          <w:tcPr>
            <w:tcW w:w="699" w:type="pct"/>
            <w:shd w:val="clear" w:color="auto" w:fill="auto"/>
            <w:vAlign w:val="center"/>
          </w:tcPr>
          <w:p w:rsidR="005D0373" w:rsidRPr="0097324B" w:rsidRDefault="005D0373" w:rsidP="005D0373">
            <w:pPr>
              <w:jc w:val="center"/>
              <w:rPr>
                <w:rFonts w:ascii="Arial Narrow" w:hAnsi="Arial Narrow"/>
                <w:sz w:val="20"/>
                <w:szCs w:val="20"/>
                <w:vertAlign w:val="superscript"/>
              </w:rPr>
            </w:pPr>
            <w:r w:rsidRPr="0097324B">
              <w:rPr>
                <w:rFonts w:ascii="Arial Narrow" w:hAnsi="Arial Narrow"/>
                <w:sz w:val="20"/>
                <w:szCs w:val="20"/>
              </w:rPr>
              <w:t>$</w:t>
            </w:r>
            <w:r w:rsidRPr="00043460">
              <w:rPr>
                <w:rFonts w:ascii="Arial Narrow" w:hAnsi="Arial Narrow"/>
                <w:sz w:val="20"/>
                <w:szCs w:val="20"/>
              </w:rPr>
              <w:t>4,728</w:t>
            </w:r>
            <w:r w:rsidRPr="0097324B">
              <w:rPr>
                <w:rFonts w:ascii="Arial Narrow" w:hAnsi="Arial Narrow"/>
                <w:sz w:val="20"/>
                <w:szCs w:val="20"/>
              </w:rPr>
              <w:t xml:space="preserve"> </w:t>
            </w:r>
            <w:r w:rsidRPr="0097324B">
              <w:rPr>
                <w:rFonts w:ascii="Arial Narrow" w:hAnsi="Arial Narrow"/>
                <w:sz w:val="20"/>
                <w:szCs w:val="20"/>
                <w:vertAlign w:val="superscript"/>
              </w:rPr>
              <w:t>a</w:t>
            </w:r>
          </w:p>
        </w:tc>
        <w:tc>
          <w:tcPr>
            <w:tcW w:w="696" w:type="pct"/>
            <w:vAlign w:val="center"/>
          </w:tcPr>
          <w:p w:rsidR="005D0373" w:rsidRPr="0097324B" w:rsidRDefault="005D0373" w:rsidP="005D0373">
            <w:pPr>
              <w:pStyle w:val="TableText0"/>
              <w:jc w:val="center"/>
            </w:pPr>
            <w:r w:rsidRPr="0097324B">
              <w:t>Not considered</w:t>
            </w:r>
          </w:p>
        </w:tc>
      </w:tr>
      <w:tr w:rsidR="005D0373" w:rsidRPr="0097324B" w:rsidTr="0097324B">
        <w:trPr>
          <w:cantSplit/>
          <w:jc w:val="center"/>
        </w:trPr>
        <w:tc>
          <w:tcPr>
            <w:tcW w:w="815" w:type="pct"/>
            <w:shd w:val="clear" w:color="auto" w:fill="auto"/>
            <w:vAlign w:val="center"/>
          </w:tcPr>
          <w:p w:rsidR="005D0373" w:rsidRPr="0097324B" w:rsidRDefault="005D0373" w:rsidP="005D0373">
            <w:pPr>
              <w:pStyle w:val="TableText0"/>
            </w:pPr>
            <w:r w:rsidRPr="0097324B">
              <w:t>Cost/patient/ course</w:t>
            </w:r>
          </w:p>
        </w:tc>
        <w:tc>
          <w:tcPr>
            <w:tcW w:w="697" w:type="pct"/>
            <w:shd w:val="clear" w:color="auto" w:fill="auto"/>
            <w:vAlign w:val="center"/>
          </w:tcPr>
          <w:p w:rsidR="005D0373" w:rsidRPr="0097324B" w:rsidRDefault="005D0373" w:rsidP="005D0373">
            <w:pPr>
              <w:pStyle w:val="TableText0"/>
              <w:jc w:val="center"/>
              <w:rPr>
                <w:vertAlign w:val="superscript"/>
              </w:rPr>
            </w:pPr>
            <w:r w:rsidRPr="0097324B">
              <w:t>$</w:t>
            </w:r>
            <w:r w:rsidRPr="00043460">
              <w:t>89,357</w:t>
            </w:r>
          </w:p>
        </w:tc>
        <w:tc>
          <w:tcPr>
            <w:tcW w:w="696" w:type="pct"/>
            <w:shd w:val="clear" w:color="auto" w:fill="auto"/>
            <w:vAlign w:val="center"/>
          </w:tcPr>
          <w:p w:rsidR="005D0373" w:rsidRPr="0097324B" w:rsidRDefault="005D0373" w:rsidP="005D0373">
            <w:pPr>
              <w:pStyle w:val="TableText0"/>
              <w:jc w:val="center"/>
            </w:pPr>
            <w:r w:rsidRPr="0097324B">
              <w:t>Not calculated</w:t>
            </w:r>
          </w:p>
        </w:tc>
        <w:tc>
          <w:tcPr>
            <w:tcW w:w="698" w:type="pct"/>
            <w:shd w:val="clear" w:color="auto" w:fill="auto"/>
            <w:vAlign w:val="center"/>
          </w:tcPr>
          <w:p w:rsidR="005D0373" w:rsidRPr="0097324B" w:rsidRDefault="005D0373" w:rsidP="005D0373">
            <w:pPr>
              <w:pStyle w:val="TableText0"/>
              <w:jc w:val="center"/>
            </w:pPr>
            <w:r w:rsidRPr="0097324B">
              <w:t>$</w:t>
            </w:r>
            <w:r w:rsidRPr="00043460">
              <w:t>61,652</w:t>
            </w:r>
          </w:p>
        </w:tc>
        <w:tc>
          <w:tcPr>
            <w:tcW w:w="699" w:type="pct"/>
            <w:shd w:val="clear" w:color="auto" w:fill="auto"/>
            <w:vAlign w:val="center"/>
          </w:tcPr>
          <w:p w:rsidR="005D0373" w:rsidRPr="0097324B" w:rsidRDefault="005D0373" w:rsidP="005D0373">
            <w:pPr>
              <w:pStyle w:val="TableText0"/>
              <w:jc w:val="center"/>
              <w:rPr>
                <w:vertAlign w:val="superscript"/>
              </w:rPr>
            </w:pPr>
            <w:r w:rsidRPr="0097324B">
              <w:t>$</w:t>
            </w:r>
            <w:r w:rsidRPr="00043460">
              <w:t>103,541</w:t>
            </w:r>
            <w:r w:rsidRPr="0097324B">
              <w:rPr>
                <w:vertAlign w:val="superscript"/>
              </w:rPr>
              <w:t xml:space="preserve"> c</w:t>
            </w:r>
          </w:p>
        </w:tc>
        <w:tc>
          <w:tcPr>
            <w:tcW w:w="699" w:type="pct"/>
            <w:shd w:val="clear" w:color="auto" w:fill="auto"/>
            <w:vAlign w:val="center"/>
          </w:tcPr>
          <w:p w:rsidR="005D0373" w:rsidRPr="0097324B" w:rsidRDefault="005D0373" w:rsidP="005D0373">
            <w:pPr>
              <w:pStyle w:val="TableText0"/>
              <w:jc w:val="center"/>
            </w:pPr>
            <w:r w:rsidRPr="0097324B">
              <w:t>Not calculated</w:t>
            </w:r>
          </w:p>
        </w:tc>
        <w:tc>
          <w:tcPr>
            <w:tcW w:w="696" w:type="pct"/>
            <w:vAlign w:val="center"/>
          </w:tcPr>
          <w:p w:rsidR="005D0373" w:rsidRPr="0097324B" w:rsidRDefault="005D0373" w:rsidP="005D0373">
            <w:pPr>
              <w:pStyle w:val="TableText0"/>
              <w:jc w:val="center"/>
            </w:pPr>
            <w:r w:rsidRPr="0097324B">
              <w:t>Not considered</w:t>
            </w:r>
          </w:p>
        </w:tc>
      </w:tr>
    </w:tbl>
    <w:p w:rsidR="009903B1" w:rsidRPr="0097324B" w:rsidRDefault="009903B1" w:rsidP="009903B1">
      <w:pPr>
        <w:pStyle w:val="TableFigureFooter"/>
      </w:pPr>
      <w:r w:rsidRPr="0097324B">
        <w:t xml:space="preserve">Source: Calculated during evaluation </w:t>
      </w:r>
    </w:p>
    <w:p w:rsidR="009903B1" w:rsidRPr="0097324B" w:rsidRDefault="009903B1" w:rsidP="009903B1">
      <w:pPr>
        <w:pStyle w:val="TableFigureFooter"/>
      </w:pPr>
      <w:r w:rsidRPr="0097324B">
        <w:rPr>
          <w:vertAlign w:val="superscript"/>
        </w:rPr>
        <w:t>a</w:t>
      </w:r>
      <w:r w:rsidRPr="0097324B">
        <w:t xml:space="preserve"> Per </w:t>
      </w:r>
      <w:r w:rsidR="00C35C9C" w:rsidRPr="0097324B">
        <w:t>Table 2 of PSCR</w:t>
      </w:r>
      <w:r w:rsidRPr="0097324B">
        <w:t xml:space="preserve">, this </w:t>
      </w:r>
      <w:r w:rsidR="00C35C9C" w:rsidRPr="0097324B">
        <w:t xml:space="preserve">is based on the mean dose intensity, excludes </w:t>
      </w:r>
      <w:r w:rsidRPr="0097324B">
        <w:t>ECG monitoring</w:t>
      </w:r>
      <w:r w:rsidR="00C35C9C" w:rsidRPr="0097324B">
        <w:t xml:space="preserve"> costs</w:t>
      </w:r>
      <w:r w:rsidRPr="0097324B">
        <w:t xml:space="preserve">, and is corrected for the calculation error noted in the economic analysis section. </w:t>
      </w:r>
    </w:p>
    <w:p w:rsidR="009903B1" w:rsidRPr="0097324B" w:rsidRDefault="005D0373" w:rsidP="009903B1">
      <w:pPr>
        <w:pStyle w:val="TableFigureFooter"/>
      </w:pPr>
      <w:r w:rsidRPr="0097324B">
        <w:rPr>
          <w:vertAlign w:val="superscript"/>
        </w:rPr>
        <w:t>b</w:t>
      </w:r>
      <w:r w:rsidR="009903B1" w:rsidRPr="0097324B">
        <w:t xml:space="preserve"> Based on the (truncated) mean number of ‘cycles received per patient’ reported in the MONARCH-2 CSR (Sept 2019), Table JPBL.8.1, p31), noting that the trial is on-going with 17.3% of patients still on treatment with abemaciclib at the June 2019 data cut-off.</w:t>
      </w:r>
    </w:p>
    <w:p w:rsidR="009903B1" w:rsidRPr="0097324B" w:rsidRDefault="005D0373" w:rsidP="009903B1">
      <w:pPr>
        <w:pStyle w:val="TableFigureFooter"/>
      </w:pPr>
      <w:r w:rsidRPr="0097324B">
        <w:rPr>
          <w:vertAlign w:val="superscript"/>
        </w:rPr>
        <w:t>c</w:t>
      </w:r>
      <w:r w:rsidR="009903B1" w:rsidRPr="0097324B">
        <w:t xml:space="preserve"> Based on para 7.22, ribociclib PSD, July 2020 PBAC meeting. This is not comparable with the abemaciclib duration reported in this table as the trials have different durations of follow-up and</w:t>
      </w:r>
      <w:r w:rsidR="00EA4997" w:rsidRPr="0097324B">
        <w:t xml:space="preserve"> (</w:t>
      </w:r>
      <w:r w:rsidR="009903B1" w:rsidRPr="0097324B">
        <w:t>per para 6.85, ribociclib PSD, July 2020 PBAC meeting</w:t>
      </w:r>
      <w:r w:rsidR="00EA4997" w:rsidRPr="0097324B">
        <w:t>)</w:t>
      </w:r>
      <w:r w:rsidR="009903B1" w:rsidRPr="0097324B">
        <w:t xml:space="preserve"> this was not based on the mean duration of treatment in the MONALEESA-3 trial</w:t>
      </w:r>
    </w:p>
    <w:p w:rsidR="005F172C" w:rsidRPr="0097324B" w:rsidRDefault="005F172C" w:rsidP="005F172C">
      <w:pPr>
        <w:pStyle w:val="3-BodyText"/>
        <w:rPr>
          <w:snapToGrid/>
          <w:color w:val="0066FF"/>
        </w:rPr>
      </w:pPr>
      <w:r w:rsidRPr="0097324B">
        <w:t xml:space="preserve">The figures in the table above </w:t>
      </w:r>
      <w:r w:rsidR="0075288B" w:rsidRPr="0097324B">
        <w:t xml:space="preserve">were updated based on the revised prices in Table 2 of the PSCR (using mean dose intensities and excluding ECG costs) and </w:t>
      </w:r>
      <w:r w:rsidRPr="0097324B">
        <w:t xml:space="preserve">are based on the published price of ribociclib. </w:t>
      </w:r>
    </w:p>
    <w:p w:rsidR="00B60939" w:rsidRPr="0097324B" w:rsidRDefault="00B60939" w:rsidP="005F172C">
      <w:pPr>
        <w:pStyle w:val="4-SubsectionHeading"/>
      </w:pPr>
      <w:bookmarkStart w:id="26" w:name="_Toc62047569"/>
      <w:r w:rsidRPr="0097324B">
        <w:t>Estimated PBS usage &amp; financial implications</w:t>
      </w:r>
      <w:bookmarkEnd w:id="22"/>
      <w:bookmarkEnd w:id="26"/>
    </w:p>
    <w:p w:rsidR="003156C5" w:rsidRPr="0097324B" w:rsidRDefault="003156C5" w:rsidP="003156C5">
      <w:pPr>
        <w:pStyle w:val="3-BodyText"/>
      </w:pPr>
      <w:bookmarkStart w:id="27" w:name="_Toc22897650"/>
      <w:r w:rsidRPr="0097324B">
        <w:t>This submission was not considered by DUSC.</w:t>
      </w:r>
    </w:p>
    <w:p w:rsidR="004F2A16" w:rsidRPr="0097324B" w:rsidRDefault="004F2A16" w:rsidP="004F2A16">
      <w:pPr>
        <w:pStyle w:val="3-BodyText"/>
        <w:rPr>
          <w:color w:val="0066FF"/>
        </w:rPr>
      </w:pPr>
      <w:r w:rsidRPr="0097324B">
        <w:t>The submission use</w:t>
      </w:r>
      <w:r w:rsidR="00A02050">
        <w:t>d</w:t>
      </w:r>
      <w:r w:rsidRPr="0097324B">
        <w:t xml:space="preserve"> an epidemiological approach to estimate the utilisation and financial impacts associated with the PBS listing of abemaciclib for non-premenopausal patients with HR+, HER2- advanced breast cancer.</w:t>
      </w:r>
    </w:p>
    <w:p w:rsidR="004F2A16" w:rsidRPr="0097324B" w:rsidRDefault="004F2A16" w:rsidP="00E01C63">
      <w:pPr>
        <w:pStyle w:val="3-BodyText"/>
        <w:rPr>
          <w:color w:val="0066FF"/>
        </w:rPr>
      </w:pPr>
      <w:r w:rsidRPr="0097324B">
        <w:t>Table 12</w:t>
      </w:r>
      <w:r w:rsidR="00511E03">
        <w:t>, 13, 14</w:t>
      </w:r>
      <w:r w:rsidRPr="0097324B">
        <w:t xml:space="preserve"> contains the key inputs for financial estimates.</w:t>
      </w:r>
    </w:p>
    <w:p w:rsidR="004F2A16" w:rsidRPr="0097324B" w:rsidRDefault="004F2A16" w:rsidP="00E01C63">
      <w:pPr>
        <w:keepNext/>
        <w:widowControl w:val="0"/>
        <w:rPr>
          <w:rFonts w:ascii="Arial Narrow" w:hAnsi="Arial Narrow"/>
          <w:b/>
          <w:sz w:val="20"/>
          <w:szCs w:val="20"/>
        </w:rPr>
      </w:pPr>
      <w:r w:rsidRPr="0097324B">
        <w:rPr>
          <w:rFonts w:ascii="Arial Narrow" w:hAnsi="Arial Narrow"/>
          <w:b/>
          <w:sz w:val="20"/>
          <w:szCs w:val="20"/>
        </w:rPr>
        <w:lastRenderedPageBreak/>
        <w:t>Table 12</w:t>
      </w:r>
      <w:r w:rsidRPr="0097324B">
        <w:rPr>
          <w:rFonts w:ascii="Arial Narrow" w:hAnsi="Arial Narrow"/>
          <w:sz w:val="20"/>
          <w:szCs w:val="20"/>
        </w:rPr>
        <w:t xml:space="preserve">: </w:t>
      </w:r>
      <w:r w:rsidRPr="0097324B">
        <w:rPr>
          <w:rStyle w:val="CommentReference"/>
          <w:szCs w:val="20"/>
        </w:rPr>
        <w:t>Data sources and parameter values applied in the utilisation and financial estimates</w:t>
      </w:r>
      <w:r w:rsidR="00511E03">
        <w:rPr>
          <w:rStyle w:val="CommentReference"/>
          <w:szCs w:val="20"/>
        </w:rPr>
        <w:t xml:space="preserve"> for eligible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434"/>
        <w:gridCol w:w="3161"/>
        <w:gridCol w:w="2923"/>
      </w:tblGrid>
      <w:tr w:rsidR="004F2A16" w:rsidRPr="0097324B" w:rsidTr="00E01C63">
        <w:trPr>
          <w:cantSplit/>
          <w:tblHeader/>
        </w:trPr>
        <w:tc>
          <w:tcPr>
            <w:tcW w:w="831"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In-tableHeading"/>
              <w:widowControl w:val="0"/>
              <w:jc w:val="center"/>
              <w:rPr>
                <w:lang w:val="en-AU"/>
              </w:rPr>
            </w:pPr>
            <w:r w:rsidRPr="0097324B">
              <w:rPr>
                <w:lang w:val="en-AU"/>
              </w:rPr>
              <w:t>Data</w:t>
            </w:r>
          </w:p>
        </w:tc>
        <w:tc>
          <w:tcPr>
            <w:tcW w:w="795"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In-tableHeading"/>
              <w:widowControl w:val="0"/>
              <w:jc w:val="center"/>
              <w:rPr>
                <w:lang w:val="en-AU"/>
              </w:rPr>
            </w:pPr>
            <w:r w:rsidRPr="0097324B">
              <w:rPr>
                <w:lang w:val="en-AU"/>
              </w:rPr>
              <w:t>Value</w:t>
            </w:r>
          </w:p>
        </w:tc>
        <w:tc>
          <w:tcPr>
            <w:tcW w:w="1753"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In-tableHeading"/>
              <w:widowControl w:val="0"/>
              <w:jc w:val="center"/>
              <w:rPr>
                <w:lang w:val="en-AU"/>
              </w:rPr>
            </w:pPr>
            <w:r w:rsidRPr="0097324B">
              <w:rPr>
                <w:lang w:val="en-AU"/>
              </w:rPr>
              <w:t>Source</w:t>
            </w:r>
          </w:p>
        </w:tc>
        <w:tc>
          <w:tcPr>
            <w:tcW w:w="1621"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In-tableHeading"/>
              <w:widowControl w:val="0"/>
              <w:jc w:val="center"/>
              <w:rPr>
                <w:lang w:val="en-AU"/>
              </w:rPr>
            </w:pPr>
            <w:r w:rsidRPr="0097324B">
              <w:rPr>
                <w:lang w:val="en-AU"/>
              </w:rPr>
              <w:t>Comment</w:t>
            </w:r>
          </w:p>
        </w:tc>
      </w:tr>
      <w:tr w:rsidR="004F2A16" w:rsidRPr="0097324B" w:rsidTr="00E01C63">
        <w:trPr>
          <w:cantSpli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In-tableHeading"/>
              <w:widowControl w:val="0"/>
              <w:rPr>
                <w:lang w:val="en-AU"/>
              </w:rPr>
            </w:pPr>
            <w:r w:rsidRPr="0097324B">
              <w:rPr>
                <w:lang w:val="en-AU"/>
              </w:rPr>
              <w:t>Eligible population</w:t>
            </w:r>
          </w:p>
        </w:tc>
      </w:tr>
      <w:tr w:rsidR="004F2A16" w:rsidRPr="0097324B" w:rsidTr="00E01C63">
        <w:trPr>
          <w:cantSplit/>
        </w:trPr>
        <w:tc>
          <w:tcPr>
            <w:tcW w:w="831"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362456">
            <w:pPr>
              <w:pStyle w:val="TableText0"/>
              <w:widowControl w:val="0"/>
            </w:pPr>
            <w:r w:rsidRPr="0097324B">
              <w:t>Eligible Patients Population 1 (1L ER)</w:t>
            </w:r>
          </w:p>
        </w:tc>
        <w:tc>
          <w:tcPr>
            <w:tcW w:w="795"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widowControl w:val="0"/>
            </w:pPr>
            <w:r w:rsidRPr="0097324B">
              <w:t xml:space="preserve">Yr 1: </w:t>
            </w:r>
            <w:r w:rsidR="000559ED">
              <w:rPr>
                <w:noProof/>
                <w:color w:val="000000"/>
                <w:highlight w:val="black"/>
              </w:rPr>
              <w:t>''''''''''</w:t>
            </w:r>
            <w:r w:rsidR="00362456">
              <w:rPr>
                <w:vertAlign w:val="superscript"/>
              </w:rPr>
              <w:t>1</w:t>
            </w:r>
            <w:r w:rsidRPr="0097324B">
              <w:t xml:space="preserve"> </w:t>
            </w:r>
          </w:p>
          <w:p w:rsidR="004F2A16" w:rsidRPr="0097324B" w:rsidRDefault="004F2A16" w:rsidP="00E01C63">
            <w:pPr>
              <w:pStyle w:val="TableText0"/>
              <w:widowControl w:val="0"/>
            </w:pPr>
            <w:r w:rsidRPr="0097324B">
              <w:t xml:space="preserve">Yr 2: </w:t>
            </w:r>
            <w:r w:rsidR="000559ED">
              <w:rPr>
                <w:noProof/>
                <w:color w:val="000000"/>
                <w:highlight w:val="black"/>
              </w:rPr>
              <w:t>''''''''''</w:t>
            </w:r>
            <w:r w:rsidR="00362456">
              <w:rPr>
                <w:vertAlign w:val="superscript"/>
              </w:rPr>
              <w:t>2</w:t>
            </w:r>
          </w:p>
          <w:p w:rsidR="004F2A16" w:rsidRPr="0097324B" w:rsidRDefault="004F2A16" w:rsidP="00E01C63">
            <w:pPr>
              <w:pStyle w:val="TableText0"/>
              <w:widowControl w:val="0"/>
            </w:pPr>
            <w:r w:rsidRPr="0097324B">
              <w:t xml:space="preserve">Yr 3: </w:t>
            </w:r>
            <w:r w:rsidR="000559ED">
              <w:rPr>
                <w:noProof/>
                <w:color w:val="000000"/>
                <w:highlight w:val="black"/>
              </w:rPr>
              <w:t>''''''''''</w:t>
            </w:r>
            <w:r w:rsidR="00362456">
              <w:rPr>
                <w:vertAlign w:val="superscript"/>
              </w:rPr>
              <w:t>2</w:t>
            </w:r>
          </w:p>
          <w:p w:rsidR="004F2A16" w:rsidRPr="0097324B" w:rsidRDefault="004F2A16" w:rsidP="00E01C63">
            <w:pPr>
              <w:pStyle w:val="TableText0"/>
              <w:widowControl w:val="0"/>
            </w:pPr>
            <w:r w:rsidRPr="0097324B">
              <w:t>Yr 4:</w:t>
            </w:r>
            <w:r w:rsidRPr="00362456">
              <w:t xml:space="preserve"> </w:t>
            </w:r>
            <w:r w:rsidR="000559ED">
              <w:rPr>
                <w:noProof/>
                <w:color w:val="000000"/>
                <w:highlight w:val="black"/>
              </w:rPr>
              <w:t>'''''''''</w:t>
            </w:r>
            <w:r w:rsidR="00362456">
              <w:rPr>
                <w:vertAlign w:val="superscript"/>
              </w:rPr>
              <w:t>2</w:t>
            </w:r>
          </w:p>
          <w:p w:rsidR="004F2A16" w:rsidRPr="000559ED" w:rsidRDefault="004F2A16" w:rsidP="00E01C63">
            <w:pPr>
              <w:pStyle w:val="TableText0"/>
              <w:widowControl w:val="0"/>
            </w:pPr>
            <w:r w:rsidRPr="0097324B">
              <w:t xml:space="preserve">Yr 5: </w:t>
            </w:r>
            <w:r w:rsidR="000559ED">
              <w:rPr>
                <w:noProof/>
                <w:color w:val="000000"/>
                <w:highlight w:val="black"/>
              </w:rPr>
              <w:t>''''''''</w:t>
            </w:r>
            <w:r w:rsidR="00362456">
              <w:rPr>
                <w:vertAlign w:val="superscript"/>
              </w:rPr>
              <w:t>2</w:t>
            </w:r>
          </w:p>
          <w:p w:rsidR="004F2A16" w:rsidRPr="0097324B" w:rsidRDefault="004F2A16" w:rsidP="00E01C63">
            <w:pPr>
              <w:pStyle w:val="TableText0"/>
              <w:widowControl w:val="0"/>
            </w:pPr>
            <w:r w:rsidRPr="0097324B">
              <w:t xml:space="preserve">Yr 6: </w:t>
            </w:r>
            <w:r w:rsidR="000559ED">
              <w:rPr>
                <w:noProof/>
                <w:color w:val="000000"/>
                <w:highlight w:val="black"/>
              </w:rPr>
              <w:t>'''''''''</w:t>
            </w:r>
            <w:r w:rsidR="00362456">
              <w:rPr>
                <w:vertAlign w:val="superscript"/>
              </w:rPr>
              <w:t>2</w:t>
            </w:r>
          </w:p>
        </w:tc>
        <w:tc>
          <w:tcPr>
            <w:tcW w:w="1753"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B220F4" w:rsidP="00E01C63">
            <w:pPr>
              <w:pStyle w:val="TableText0"/>
              <w:widowControl w:val="0"/>
            </w:pPr>
            <w:r>
              <w:t>B</w:t>
            </w:r>
            <w:r w:rsidR="004F2A16" w:rsidRPr="0097324B">
              <w:t>reast cancer incidence data from AIHW</w:t>
            </w:r>
            <w:r w:rsidR="00A02050">
              <w:t>.T</w:t>
            </w:r>
            <w:r w:rsidR="004F2A16" w:rsidRPr="0097324B">
              <w:t xml:space="preserve">he incidence of relapsed metastatic breast </w:t>
            </w:r>
            <w:r w:rsidR="005D511D" w:rsidRPr="0097324B">
              <w:t>cancer the</w:t>
            </w:r>
            <w:r w:rsidR="00A02050" w:rsidRPr="0097324B">
              <w:t xml:space="preserve"> number of patients that are HR+/HER2</w:t>
            </w:r>
            <w:r w:rsidR="00A02050">
              <w:t xml:space="preserve"> were</w:t>
            </w:r>
            <w:r w:rsidR="00A02050" w:rsidRPr="0097324B">
              <w:t xml:space="preserve"> </w:t>
            </w:r>
            <w:r w:rsidR="004F2A16" w:rsidRPr="0097324B">
              <w:t>based on PBAC and DUSC advice from previous palbociclib and abemaciclib submissions (Palbociclib PSD, Mar 20</w:t>
            </w:r>
            <w:r w:rsidR="00B70C0A">
              <w:t>17; Abemaciclib PSD, Mar 2019).</w:t>
            </w:r>
            <w:r w:rsidR="004F2A16" w:rsidRPr="0097324B">
              <w:t xml:space="preserve"> The proportion of endocrine resistance was estimated at 30% based on D’Souza et al 2018 and proportion of chemotherapy use was based on data from the IPSOS Australia Oncology monitor 2020 and Cardoso 2020 which reported 25% of patients using chemotherapy as first line</w:t>
            </w:r>
            <w:r w:rsidR="0097324B">
              <w:t xml:space="preserve">. </w:t>
            </w:r>
          </w:p>
        </w:tc>
        <w:tc>
          <w:tcPr>
            <w:tcW w:w="1621"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widowControl w:val="0"/>
            </w:pPr>
            <w:r w:rsidRPr="0097324B">
              <w:t>The use of the AIHW data appears to be reasonable. The proportion of endocrine resistance reported by D’Souza et al 2018 is based on a study from 2005 and it is uncertain whether this statistic is still appropriate given the changes in clinical practice in the last fifteen years. The proportion of chemotherapy use was unable to be verified during evaluation from the sources provided in the submission.</w:t>
            </w:r>
          </w:p>
        </w:tc>
      </w:tr>
      <w:tr w:rsidR="004F2A16" w:rsidRPr="0097324B" w:rsidTr="00E01C63">
        <w:trPr>
          <w:cantSplit/>
        </w:trPr>
        <w:tc>
          <w:tcPr>
            <w:tcW w:w="831"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keepNext w:val="0"/>
              <w:widowControl w:val="0"/>
            </w:pPr>
            <w:r w:rsidRPr="0097324B">
              <w:t>Eligible Patients Population 2 (2L ER Post EVE+EXE)</w:t>
            </w:r>
          </w:p>
        </w:tc>
        <w:tc>
          <w:tcPr>
            <w:tcW w:w="795"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keepNext w:val="0"/>
              <w:widowControl w:val="0"/>
            </w:pPr>
            <w:r w:rsidRPr="0097324B">
              <w:t xml:space="preserve">Yr 1: </w:t>
            </w:r>
            <w:r w:rsidR="000559ED">
              <w:rPr>
                <w:noProof/>
                <w:color w:val="000000"/>
                <w:highlight w:val="black"/>
              </w:rPr>
              <w:t>''''''''''</w:t>
            </w:r>
            <w:r w:rsidR="00362456">
              <w:rPr>
                <w:vertAlign w:val="superscript"/>
              </w:rPr>
              <w:t>1</w:t>
            </w:r>
          </w:p>
          <w:p w:rsidR="004F2A16" w:rsidRPr="0097324B" w:rsidRDefault="004F2A16" w:rsidP="00E01C63">
            <w:pPr>
              <w:pStyle w:val="TableText0"/>
              <w:keepNext w:val="0"/>
              <w:widowControl w:val="0"/>
            </w:pPr>
            <w:r w:rsidRPr="0097324B">
              <w:t xml:space="preserve">Yr 2: </w:t>
            </w:r>
            <w:r w:rsidR="000559ED">
              <w:rPr>
                <w:noProof/>
                <w:color w:val="000000"/>
                <w:highlight w:val="black"/>
              </w:rPr>
              <w:t>''''''''''</w:t>
            </w:r>
            <w:r w:rsidR="00362456">
              <w:rPr>
                <w:vertAlign w:val="superscript"/>
              </w:rPr>
              <w:t>1</w:t>
            </w:r>
          </w:p>
          <w:p w:rsidR="004F2A16" w:rsidRPr="0097324B" w:rsidRDefault="004F2A16" w:rsidP="00E01C63">
            <w:pPr>
              <w:pStyle w:val="TableText0"/>
              <w:keepNext w:val="0"/>
              <w:widowControl w:val="0"/>
            </w:pPr>
            <w:r w:rsidRPr="0097324B">
              <w:t xml:space="preserve">Yr 3: </w:t>
            </w:r>
            <w:r w:rsidR="000559ED">
              <w:rPr>
                <w:noProof/>
                <w:color w:val="000000"/>
                <w:highlight w:val="black"/>
              </w:rPr>
              <w:t>''''''''</w:t>
            </w:r>
            <w:r w:rsidR="00362456">
              <w:rPr>
                <w:vertAlign w:val="superscript"/>
              </w:rPr>
              <w:t>1</w:t>
            </w:r>
          </w:p>
          <w:p w:rsidR="004F2A16" w:rsidRPr="0097324B" w:rsidRDefault="004F2A16" w:rsidP="00E01C63">
            <w:pPr>
              <w:pStyle w:val="TableText0"/>
              <w:keepNext w:val="0"/>
              <w:widowControl w:val="0"/>
            </w:pPr>
            <w:r w:rsidRPr="0097324B">
              <w:t xml:space="preserve">Yr 4: </w:t>
            </w:r>
            <w:r w:rsidR="000559ED">
              <w:rPr>
                <w:noProof/>
                <w:color w:val="000000"/>
                <w:highlight w:val="black"/>
              </w:rPr>
              <w:t>''''''</w:t>
            </w:r>
            <w:r w:rsidR="00362456">
              <w:rPr>
                <w:vertAlign w:val="superscript"/>
              </w:rPr>
              <w:t>1</w:t>
            </w:r>
          </w:p>
          <w:p w:rsidR="004F2A16" w:rsidRPr="0097324B" w:rsidRDefault="004F2A16" w:rsidP="00E01C63">
            <w:pPr>
              <w:pStyle w:val="TableText0"/>
              <w:keepNext w:val="0"/>
              <w:widowControl w:val="0"/>
            </w:pPr>
            <w:r w:rsidRPr="0097324B">
              <w:t xml:space="preserve">Yr 5: </w:t>
            </w:r>
            <w:r w:rsidR="000559ED">
              <w:rPr>
                <w:noProof/>
                <w:color w:val="000000"/>
                <w:highlight w:val="black"/>
              </w:rPr>
              <w:t>'''''</w:t>
            </w:r>
            <w:r w:rsidR="00362456">
              <w:rPr>
                <w:vertAlign w:val="superscript"/>
              </w:rPr>
              <w:t>1</w:t>
            </w:r>
          </w:p>
          <w:p w:rsidR="004F2A16" w:rsidRPr="0097324B" w:rsidRDefault="004F2A16" w:rsidP="00E01C63">
            <w:pPr>
              <w:pStyle w:val="TableText0"/>
              <w:keepNext w:val="0"/>
              <w:widowControl w:val="0"/>
            </w:pPr>
            <w:r w:rsidRPr="0097324B">
              <w:t xml:space="preserve">Yr 6: </w:t>
            </w:r>
            <w:r w:rsidR="000559ED">
              <w:rPr>
                <w:noProof/>
                <w:color w:val="000000"/>
                <w:highlight w:val="black"/>
              </w:rPr>
              <w:t>''''''</w:t>
            </w:r>
            <w:r w:rsidR="00362456">
              <w:rPr>
                <w:vertAlign w:val="superscript"/>
              </w:rPr>
              <w:t>1</w:t>
            </w:r>
          </w:p>
        </w:tc>
        <w:tc>
          <w:tcPr>
            <w:tcW w:w="1753"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keepNext w:val="0"/>
              <w:widowControl w:val="0"/>
            </w:pPr>
            <w:r w:rsidRPr="0097324B">
              <w:t>Eligible second line post EVE+EXE patients were obtained by using the previously calculated first line population and assuming the patients who did not have treatment as first line went on to use EVE+EXE and a proportion of these patients would have this treatment second line (Attachment 5 of the main submission)</w:t>
            </w:r>
            <w:r w:rsidR="00C148B3">
              <w:t>.</w:t>
            </w:r>
          </w:p>
        </w:tc>
        <w:tc>
          <w:tcPr>
            <w:tcW w:w="1621"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keepNext w:val="0"/>
              <w:widowControl w:val="0"/>
            </w:pPr>
            <w:r w:rsidRPr="0097324B">
              <w:t xml:space="preserve">This population is overestimated  as DUSC has previously advised the utilisation of everolimus for breast cancer has been declining with approximately 85 prevalent patients supplied everolimus through the PBS as at March 2020 based on approved Authorities data from Services Australia (Ribociclib PSD, July 2020, para 6.87). </w:t>
            </w:r>
          </w:p>
        </w:tc>
      </w:tr>
      <w:tr w:rsidR="004F2A16" w:rsidRPr="0097324B" w:rsidTr="00E01C63">
        <w:trPr>
          <w:cantSplit/>
        </w:trPr>
        <w:tc>
          <w:tcPr>
            <w:tcW w:w="831"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keepNext w:val="0"/>
              <w:widowControl w:val="0"/>
            </w:pPr>
            <w:r w:rsidRPr="0097324B">
              <w:t>Eligible Patients Population 3 (2L ES Post AI/SERM)</w:t>
            </w:r>
          </w:p>
        </w:tc>
        <w:tc>
          <w:tcPr>
            <w:tcW w:w="795"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keepNext w:val="0"/>
              <w:widowControl w:val="0"/>
            </w:pPr>
            <w:r w:rsidRPr="0097324B">
              <w:t xml:space="preserve">Yr 1: </w:t>
            </w:r>
            <w:r w:rsidR="000559ED">
              <w:rPr>
                <w:noProof/>
                <w:color w:val="000000"/>
                <w:highlight w:val="black"/>
              </w:rPr>
              <w:t>'''''''''</w:t>
            </w:r>
            <w:r w:rsidR="00362456">
              <w:rPr>
                <w:vertAlign w:val="superscript"/>
              </w:rPr>
              <w:t>1</w:t>
            </w:r>
          </w:p>
          <w:p w:rsidR="004F2A16" w:rsidRPr="0097324B" w:rsidRDefault="004F2A16" w:rsidP="00E01C63">
            <w:pPr>
              <w:pStyle w:val="TableText0"/>
              <w:keepNext w:val="0"/>
              <w:widowControl w:val="0"/>
            </w:pPr>
            <w:r w:rsidRPr="0097324B">
              <w:t xml:space="preserve">Yr 2: </w:t>
            </w:r>
            <w:r w:rsidR="000559ED">
              <w:rPr>
                <w:noProof/>
                <w:color w:val="000000"/>
                <w:highlight w:val="black"/>
              </w:rPr>
              <w:t>''''''''''</w:t>
            </w:r>
            <w:r w:rsidR="00362456">
              <w:rPr>
                <w:vertAlign w:val="superscript"/>
              </w:rPr>
              <w:t>1</w:t>
            </w:r>
          </w:p>
          <w:p w:rsidR="004F2A16" w:rsidRPr="0097324B" w:rsidRDefault="004F2A16" w:rsidP="00E01C63">
            <w:pPr>
              <w:pStyle w:val="TableText0"/>
              <w:keepNext w:val="0"/>
              <w:widowControl w:val="0"/>
            </w:pPr>
            <w:r w:rsidRPr="0097324B">
              <w:t xml:space="preserve">Yr 3: </w:t>
            </w:r>
            <w:r w:rsidR="000559ED">
              <w:rPr>
                <w:noProof/>
                <w:color w:val="000000"/>
                <w:highlight w:val="black"/>
              </w:rPr>
              <w:t>''''''''''</w:t>
            </w:r>
            <w:r w:rsidR="00362456">
              <w:rPr>
                <w:vertAlign w:val="superscript"/>
              </w:rPr>
              <w:t>1</w:t>
            </w:r>
          </w:p>
          <w:p w:rsidR="004F2A16" w:rsidRPr="0097324B" w:rsidRDefault="004F2A16" w:rsidP="00E01C63">
            <w:pPr>
              <w:pStyle w:val="TableText0"/>
              <w:keepNext w:val="0"/>
              <w:widowControl w:val="0"/>
            </w:pPr>
            <w:r w:rsidRPr="0097324B">
              <w:t xml:space="preserve">Yr 4: </w:t>
            </w:r>
            <w:r w:rsidR="000559ED">
              <w:rPr>
                <w:noProof/>
                <w:color w:val="000000"/>
                <w:highlight w:val="black"/>
              </w:rPr>
              <w:t>''''''''''</w:t>
            </w:r>
            <w:r w:rsidR="00362456">
              <w:rPr>
                <w:vertAlign w:val="superscript"/>
              </w:rPr>
              <w:t>1</w:t>
            </w:r>
          </w:p>
          <w:p w:rsidR="004F2A16" w:rsidRPr="0097324B" w:rsidRDefault="004F2A16" w:rsidP="00E01C63">
            <w:pPr>
              <w:pStyle w:val="TableText0"/>
              <w:keepNext w:val="0"/>
              <w:widowControl w:val="0"/>
            </w:pPr>
            <w:r w:rsidRPr="0097324B">
              <w:t xml:space="preserve">Yr 5: </w:t>
            </w:r>
            <w:r w:rsidR="000559ED">
              <w:rPr>
                <w:noProof/>
                <w:color w:val="000000"/>
                <w:highlight w:val="black"/>
              </w:rPr>
              <w:t>'''''''''</w:t>
            </w:r>
            <w:r w:rsidR="00362456">
              <w:rPr>
                <w:vertAlign w:val="superscript"/>
              </w:rPr>
              <w:t>1</w:t>
            </w:r>
          </w:p>
          <w:p w:rsidR="004F2A16" w:rsidRPr="0097324B" w:rsidRDefault="004F2A16" w:rsidP="00E01C63">
            <w:pPr>
              <w:pStyle w:val="TableText0"/>
              <w:keepNext w:val="0"/>
              <w:widowControl w:val="0"/>
            </w:pPr>
            <w:r w:rsidRPr="0097324B">
              <w:t xml:space="preserve">Yr 6: </w:t>
            </w:r>
            <w:r w:rsidR="000559ED">
              <w:rPr>
                <w:noProof/>
                <w:color w:val="000000"/>
                <w:highlight w:val="black"/>
              </w:rPr>
              <w:t>'''''''''</w:t>
            </w:r>
            <w:r w:rsidR="00362456">
              <w:rPr>
                <w:vertAlign w:val="superscript"/>
              </w:rPr>
              <w:t>1</w:t>
            </w:r>
          </w:p>
        </w:tc>
        <w:tc>
          <w:tcPr>
            <w:tcW w:w="1753"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keepNext w:val="0"/>
              <w:widowControl w:val="0"/>
            </w:pPr>
            <w:r w:rsidRPr="0097324B">
              <w:t>Eligible second line post AI/SERM patients were obtained by using the previously calculated total HR+/HER2- NPM MBC and multiplying that by the proportion of patients not receiving CT are ES and not choosing a CDKi+AI and who go on for further treatment  (Attachment 5 of the main submission)</w:t>
            </w:r>
          </w:p>
        </w:tc>
        <w:tc>
          <w:tcPr>
            <w:tcW w:w="1621"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keepNext w:val="0"/>
              <w:widowControl w:val="0"/>
            </w:pPr>
            <w:r w:rsidRPr="0097324B">
              <w:t>Likely overestimated as PBAC considered the use of CDKi’s in the second line setting will be limited to prevalent patients who began treatment with AI monotherapy prior to the listing of a CDKi+NSAI and that this population would be relatively small (Ribociclib PSD, July 2020, para 7.19)</w:t>
            </w:r>
          </w:p>
        </w:tc>
      </w:tr>
      <w:tr w:rsidR="004F2A16" w:rsidRPr="0097324B" w:rsidTr="00E01C63">
        <w:trPr>
          <w:cantSplit/>
        </w:trPr>
        <w:tc>
          <w:tcPr>
            <w:tcW w:w="831"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keepNext w:val="0"/>
              <w:widowControl w:val="0"/>
            </w:pPr>
            <w:r w:rsidRPr="0097324B">
              <w:t>Eligible Patients Population 4 (2L post CT)</w:t>
            </w:r>
          </w:p>
        </w:tc>
        <w:tc>
          <w:tcPr>
            <w:tcW w:w="795"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keepNext w:val="0"/>
              <w:widowControl w:val="0"/>
            </w:pPr>
            <w:r w:rsidRPr="0097324B">
              <w:t xml:space="preserve">Yr 1: </w:t>
            </w:r>
            <w:r w:rsidR="000559ED">
              <w:rPr>
                <w:noProof/>
                <w:color w:val="000000"/>
                <w:highlight w:val="black"/>
              </w:rPr>
              <w:t>'''''''''</w:t>
            </w:r>
            <w:r w:rsidR="00362456">
              <w:rPr>
                <w:vertAlign w:val="superscript"/>
              </w:rPr>
              <w:t>1</w:t>
            </w:r>
          </w:p>
          <w:p w:rsidR="004F2A16" w:rsidRPr="0097324B" w:rsidRDefault="004F2A16" w:rsidP="00E01C63">
            <w:pPr>
              <w:pStyle w:val="TableText0"/>
              <w:keepNext w:val="0"/>
              <w:widowControl w:val="0"/>
            </w:pPr>
            <w:r w:rsidRPr="0097324B">
              <w:t xml:space="preserve">Yr 2: </w:t>
            </w:r>
            <w:r w:rsidR="000559ED">
              <w:rPr>
                <w:noProof/>
                <w:color w:val="000000"/>
                <w:highlight w:val="black"/>
              </w:rPr>
              <w:t>'''''''''</w:t>
            </w:r>
            <w:r w:rsidR="00362456">
              <w:rPr>
                <w:vertAlign w:val="superscript"/>
              </w:rPr>
              <w:t>1</w:t>
            </w:r>
          </w:p>
          <w:p w:rsidR="004F2A16" w:rsidRPr="0097324B" w:rsidRDefault="004F2A16" w:rsidP="00E01C63">
            <w:pPr>
              <w:pStyle w:val="TableText0"/>
              <w:keepNext w:val="0"/>
              <w:widowControl w:val="0"/>
            </w:pPr>
            <w:r w:rsidRPr="0097324B">
              <w:t xml:space="preserve">Yr 3: </w:t>
            </w:r>
            <w:r w:rsidR="000559ED">
              <w:rPr>
                <w:noProof/>
                <w:color w:val="000000"/>
                <w:highlight w:val="black"/>
              </w:rPr>
              <w:t>'''''''''</w:t>
            </w:r>
            <w:r w:rsidR="00362456">
              <w:rPr>
                <w:vertAlign w:val="superscript"/>
              </w:rPr>
              <w:t>1</w:t>
            </w:r>
          </w:p>
          <w:p w:rsidR="004F2A16" w:rsidRPr="0097324B" w:rsidRDefault="004F2A16" w:rsidP="00E01C63">
            <w:pPr>
              <w:pStyle w:val="TableText0"/>
              <w:keepNext w:val="0"/>
              <w:widowControl w:val="0"/>
            </w:pPr>
            <w:r w:rsidRPr="0097324B">
              <w:t xml:space="preserve">Yr 4: </w:t>
            </w:r>
            <w:r w:rsidR="000559ED">
              <w:rPr>
                <w:noProof/>
                <w:color w:val="000000"/>
                <w:highlight w:val="black"/>
              </w:rPr>
              <w:t>'''''''''</w:t>
            </w:r>
            <w:r w:rsidR="00362456">
              <w:rPr>
                <w:vertAlign w:val="superscript"/>
              </w:rPr>
              <w:t>1</w:t>
            </w:r>
          </w:p>
          <w:p w:rsidR="004F2A16" w:rsidRPr="0097324B" w:rsidRDefault="004F2A16" w:rsidP="00E01C63">
            <w:pPr>
              <w:pStyle w:val="TableText0"/>
              <w:keepNext w:val="0"/>
              <w:widowControl w:val="0"/>
            </w:pPr>
            <w:r w:rsidRPr="0097324B">
              <w:t xml:space="preserve">Yr 5: </w:t>
            </w:r>
            <w:r w:rsidR="000559ED">
              <w:rPr>
                <w:noProof/>
                <w:color w:val="000000"/>
                <w:highlight w:val="black"/>
              </w:rPr>
              <w:t>'''''''''</w:t>
            </w:r>
            <w:r w:rsidR="00362456">
              <w:rPr>
                <w:vertAlign w:val="superscript"/>
              </w:rPr>
              <w:t>2</w:t>
            </w:r>
          </w:p>
          <w:p w:rsidR="004F2A16" w:rsidRPr="0097324B" w:rsidRDefault="004F2A16" w:rsidP="00E01C63">
            <w:pPr>
              <w:pStyle w:val="TableText0"/>
              <w:keepNext w:val="0"/>
              <w:widowControl w:val="0"/>
            </w:pPr>
            <w:r w:rsidRPr="0097324B">
              <w:t xml:space="preserve">Yr 6: </w:t>
            </w:r>
            <w:r w:rsidR="000559ED">
              <w:rPr>
                <w:noProof/>
                <w:color w:val="000000"/>
                <w:highlight w:val="black"/>
              </w:rPr>
              <w:t>'''''''''</w:t>
            </w:r>
            <w:r w:rsidR="00362456">
              <w:rPr>
                <w:vertAlign w:val="superscript"/>
              </w:rPr>
              <w:t>2</w:t>
            </w:r>
          </w:p>
        </w:tc>
        <w:tc>
          <w:tcPr>
            <w:tcW w:w="1753"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keepNext w:val="0"/>
              <w:widowControl w:val="0"/>
            </w:pPr>
            <w:r w:rsidRPr="0097324B">
              <w:t>Eligible second line post CT patients were obtained by using the previously calculated total HR+/HER2- NPM MBC and multiplying that by the proportion of patients receiving CT and who go on for further treatment  (Attachment 5  of the main submission)</w:t>
            </w:r>
          </w:p>
        </w:tc>
        <w:tc>
          <w:tcPr>
            <w:tcW w:w="1621"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keepNext w:val="0"/>
              <w:widowControl w:val="0"/>
            </w:pPr>
            <w:r w:rsidRPr="0097324B">
              <w:t>Likely overestimated as DUSC noted '</w:t>
            </w:r>
            <w:r w:rsidRPr="0097324B">
              <w:rPr>
                <w:rFonts w:cstheme="minorHAnsi"/>
              </w:rPr>
              <w:t>there is no evidence to suggest that RIBO+FULV is more effective in treating visceral disease than RIBO+NSAI,</w:t>
            </w:r>
            <w:r w:rsidRPr="0097324B">
              <w:t xml:space="preserve"> and therefore neither protocol is likely to displace chemotherapy’ (Ribociclib PSD, July 2020 para 6.88). </w:t>
            </w:r>
          </w:p>
        </w:tc>
      </w:tr>
    </w:tbl>
    <w:p w:rsidR="00362456" w:rsidRDefault="00362456" w:rsidP="00362456">
      <w:pPr>
        <w:pStyle w:val="TableFigureFooter"/>
        <w:spacing w:after="0"/>
        <w:contextualSpacing w:val="0"/>
        <w:rPr>
          <w:i/>
        </w:rPr>
      </w:pPr>
      <w:r w:rsidRPr="009868C4">
        <w:rPr>
          <w:i/>
        </w:rPr>
        <w:t>The redacted values correspond to the following ranges</w:t>
      </w:r>
      <w:r>
        <w:rPr>
          <w:i/>
        </w:rPr>
        <w:t xml:space="preserve">: </w:t>
      </w:r>
    </w:p>
    <w:p w:rsidR="00362456" w:rsidRPr="00362456" w:rsidRDefault="00362456" w:rsidP="00362456">
      <w:pPr>
        <w:pStyle w:val="TableFigureFooter"/>
        <w:rPr>
          <w:i/>
        </w:rPr>
      </w:pPr>
      <w:r>
        <w:rPr>
          <w:i/>
          <w:vertAlign w:val="superscript"/>
        </w:rPr>
        <w:t xml:space="preserve">1 </w:t>
      </w:r>
      <w:r w:rsidRPr="00362456">
        <w:rPr>
          <w:i/>
        </w:rPr>
        <w:t>&lt; 500</w:t>
      </w:r>
    </w:p>
    <w:p w:rsidR="00362456" w:rsidRPr="00362456" w:rsidRDefault="00362456" w:rsidP="00362456">
      <w:pPr>
        <w:pStyle w:val="TableFigureFooter"/>
        <w:spacing w:after="0"/>
        <w:contextualSpacing w:val="0"/>
        <w:rPr>
          <w:i/>
        </w:rPr>
      </w:pPr>
      <w:r>
        <w:rPr>
          <w:i/>
          <w:vertAlign w:val="superscript"/>
        </w:rPr>
        <w:t xml:space="preserve">2 </w:t>
      </w:r>
      <w:r w:rsidRPr="00362456">
        <w:rPr>
          <w:i/>
        </w:rPr>
        <w:t>500 to &lt; 5,000</w:t>
      </w:r>
    </w:p>
    <w:p w:rsidR="00511E03" w:rsidRDefault="00511E03" w:rsidP="00E01C63"/>
    <w:p w:rsidR="00511E03" w:rsidRPr="00511E03" w:rsidRDefault="00511E03" w:rsidP="00E01C63">
      <w:pPr>
        <w:keepNext/>
        <w:rPr>
          <w:rFonts w:ascii="Arial Narrow" w:hAnsi="Arial Narrow"/>
          <w:b/>
          <w:sz w:val="20"/>
          <w:szCs w:val="20"/>
        </w:rPr>
      </w:pPr>
      <w:r w:rsidRPr="0097324B">
        <w:rPr>
          <w:rFonts w:ascii="Arial Narrow" w:hAnsi="Arial Narrow"/>
          <w:b/>
          <w:sz w:val="20"/>
          <w:szCs w:val="20"/>
        </w:rPr>
        <w:lastRenderedPageBreak/>
        <w:t>Table 1</w:t>
      </w:r>
      <w:r>
        <w:rPr>
          <w:rFonts w:ascii="Arial Narrow" w:hAnsi="Arial Narrow"/>
          <w:b/>
          <w:sz w:val="20"/>
          <w:szCs w:val="20"/>
        </w:rPr>
        <w:t>3</w:t>
      </w:r>
      <w:r w:rsidRPr="0097324B">
        <w:rPr>
          <w:rFonts w:ascii="Arial Narrow" w:hAnsi="Arial Narrow"/>
          <w:sz w:val="20"/>
          <w:szCs w:val="20"/>
        </w:rPr>
        <w:t xml:space="preserve">: </w:t>
      </w:r>
      <w:r w:rsidRPr="0097324B">
        <w:rPr>
          <w:rStyle w:val="CommentReference"/>
          <w:szCs w:val="20"/>
        </w:rPr>
        <w:t>Data sources and parameter values applied in the utilisation and financial estimates</w:t>
      </w:r>
      <w:r>
        <w:rPr>
          <w:rStyle w:val="CommentReference"/>
          <w:szCs w:val="20"/>
        </w:rPr>
        <w:t xml:space="preserve"> for treatment utilisation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8"/>
        <w:gridCol w:w="1428"/>
        <w:gridCol w:w="3134"/>
        <w:gridCol w:w="18"/>
        <w:gridCol w:w="2918"/>
      </w:tblGrid>
      <w:tr w:rsidR="00511E03" w:rsidRPr="0097324B" w:rsidTr="00E01C63">
        <w:tc>
          <w:tcPr>
            <w:tcW w:w="832" w:type="pct"/>
            <w:tcBorders>
              <w:top w:val="single" w:sz="4" w:space="0" w:color="auto"/>
              <w:left w:val="single" w:sz="4" w:space="0" w:color="auto"/>
              <w:bottom w:val="single" w:sz="4" w:space="0" w:color="auto"/>
              <w:right w:val="single" w:sz="4" w:space="0" w:color="auto"/>
            </w:tcBorders>
            <w:vAlign w:val="center"/>
          </w:tcPr>
          <w:p w:rsidR="00511E03" w:rsidRPr="00511E03" w:rsidRDefault="00511E03" w:rsidP="00E01C63">
            <w:pPr>
              <w:pStyle w:val="TableText0"/>
              <w:rPr>
                <w:b/>
              </w:rPr>
            </w:pPr>
            <w:r w:rsidRPr="00511E03">
              <w:rPr>
                <w:b/>
              </w:rPr>
              <w:t>Data</w:t>
            </w:r>
          </w:p>
        </w:tc>
        <w:tc>
          <w:tcPr>
            <w:tcW w:w="802" w:type="pct"/>
            <w:gridSpan w:val="2"/>
            <w:tcBorders>
              <w:top w:val="single" w:sz="4" w:space="0" w:color="auto"/>
              <w:left w:val="single" w:sz="4" w:space="0" w:color="auto"/>
              <w:bottom w:val="single" w:sz="4" w:space="0" w:color="auto"/>
              <w:right w:val="single" w:sz="4" w:space="0" w:color="auto"/>
            </w:tcBorders>
            <w:vAlign w:val="center"/>
          </w:tcPr>
          <w:p w:rsidR="00511E03" w:rsidRPr="00511E03" w:rsidRDefault="00511E03" w:rsidP="00E01C63">
            <w:pPr>
              <w:pStyle w:val="TableText0"/>
              <w:rPr>
                <w:b/>
              </w:rPr>
            </w:pPr>
            <w:r w:rsidRPr="00511E03">
              <w:rPr>
                <w:b/>
              </w:rPr>
              <w:t>Value</w:t>
            </w:r>
          </w:p>
        </w:tc>
        <w:tc>
          <w:tcPr>
            <w:tcW w:w="1738" w:type="pct"/>
            <w:tcBorders>
              <w:top w:val="single" w:sz="4" w:space="0" w:color="auto"/>
              <w:left w:val="single" w:sz="4" w:space="0" w:color="auto"/>
              <w:bottom w:val="single" w:sz="4" w:space="0" w:color="auto"/>
              <w:right w:val="single" w:sz="4" w:space="0" w:color="auto"/>
            </w:tcBorders>
            <w:vAlign w:val="center"/>
          </w:tcPr>
          <w:p w:rsidR="00511E03" w:rsidRPr="00511E03" w:rsidRDefault="00511E03" w:rsidP="00E01C63">
            <w:pPr>
              <w:pStyle w:val="TableText0"/>
              <w:rPr>
                <w:b/>
              </w:rPr>
            </w:pPr>
            <w:r w:rsidRPr="00511E03">
              <w:rPr>
                <w:b/>
              </w:rPr>
              <w:t>Source</w:t>
            </w:r>
          </w:p>
        </w:tc>
        <w:tc>
          <w:tcPr>
            <w:tcW w:w="1628" w:type="pct"/>
            <w:gridSpan w:val="2"/>
            <w:tcBorders>
              <w:top w:val="single" w:sz="4" w:space="0" w:color="auto"/>
              <w:left w:val="single" w:sz="4" w:space="0" w:color="auto"/>
              <w:bottom w:val="single" w:sz="4" w:space="0" w:color="auto"/>
              <w:right w:val="single" w:sz="4" w:space="0" w:color="auto"/>
            </w:tcBorders>
            <w:vAlign w:val="center"/>
          </w:tcPr>
          <w:p w:rsidR="00511E03" w:rsidRPr="00511E03" w:rsidRDefault="00511E03" w:rsidP="00E01C63">
            <w:pPr>
              <w:pStyle w:val="TableText0"/>
              <w:rPr>
                <w:b/>
              </w:rPr>
            </w:pPr>
            <w:r w:rsidRPr="00511E03">
              <w:rPr>
                <w:b/>
              </w:rPr>
              <w:t>Comment</w:t>
            </w:r>
          </w:p>
        </w:tc>
      </w:tr>
      <w:tr w:rsidR="00511E03" w:rsidRPr="0097324B" w:rsidTr="00E01C63">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rPr>
                <w:b/>
              </w:rPr>
            </w:pPr>
            <w:r w:rsidRPr="0097324B">
              <w:rPr>
                <w:b/>
              </w:rPr>
              <w:t>Treatment utilisation</w:t>
            </w:r>
          </w:p>
        </w:tc>
      </w:tr>
      <w:tr w:rsidR="004F2A16" w:rsidRPr="0097324B" w:rsidTr="00E01C63">
        <w:tc>
          <w:tcPr>
            <w:tcW w:w="842" w:type="pct"/>
            <w:gridSpan w:val="2"/>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pPr>
            <w:r w:rsidRPr="0097324B">
              <w:t>Uptake rate for all populations</w:t>
            </w:r>
          </w:p>
        </w:tc>
        <w:tc>
          <w:tcPr>
            <w:tcW w:w="792"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pPr>
            <w:r w:rsidRPr="0097324B">
              <w:t>Yr 1: 60%</w:t>
            </w:r>
          </w:p>
          <w:p w:rsidR="004F2A16" w:rsidRPr="0097324B" w:rsidRDefault="004F2A16" w:rsidP="00E01C63">
            <w:pPr>
              <w:pStyle w:val="TableText0"/>
            </w:pPr>
            <w:r w:rsidRPr="0097324B">
              <w:t>Yr 2: 70%</w:t>
            </w:r>
          </w:p>
          <w:p w:rsidR="004F2A16" w:rsidRPr="0097324B" w:rsidRDefault="004F2A16" w:rsidP="00E01C63">
            <w:pPr>
              <w:pStyle w:val="TableText0"/>
            </w:pPr>
            <w:r w:rsidRPr="0097324B">
              <w:t>Yr 3: 80%</w:t>
            </w:r>
          </w:p>
          <w:p w:rsidR="004F2A16" w:rsidRPr="0097324B" w:rsidRDefault="004F2A16" w:rsidP="00E01C63">
            <w:pPr>
              <w:pStyle w:val="TableText0"/>
            </w:pPr>
            <w:r w:rsidRPr="0097324B">
              <w:t>Yr 4: 90%</w:t>
            </w:r>
          </w:p>
          <w:p w:rsidR="004F2A16" w:rsidRPr="0097324B" w:rsidRDefault="004F2A16" w:rsidP="00E01C63">
            <w:pPr>
              <w:pStyle w:val="TableText0"/>
            </w:pPr>
            <w:r w:rsidRPr="0097324B">
              <w:t>Yr 5: 90%</w:t>
            </w:r>
          </w:p>
          <w:p w:rsidR="004F2A16" w:rsidRPr="0097324B" w:rsidRDefault="004F2A16" w:rsidP="00E01C63">
            <w:pPr>
              <w:pStyle w:val="TableText0"/>
            </w:pPr>
            <w:r w:rsidRPr="0097324B">
              <w:t>Yr 6: 90%</w:t>
            </w:r>
          </w:p>
        </w:tc>
        <w:tc>
          <w:tcPr>
            <w:tcW w:w="1748" w:type="pct"/>
            <w:gridSpan w:val="2"/>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pPr>
            <w:r w:rsidRPr="0097324B">
              <w:t>Assumptions (Attachment 5  of the main submission)</w:t>
            </w:r>
          </w:p>
        </w:tc>
        <w:tc>
          <w:tcPr>
            <w:tcW w:w="1618"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pPr>
            <w:r w:rsidRPr="0097324B">
              <w:t xml:space="preserve">These assumptions were not justified by the submission and are likely to overestimate the treated populations particularly in Population 4. </w:t>
            </w:r>
          </w:p>
        </w:tc>
      </w:tr>
      <w:tr w:rsidR="004F2A16" w:rsidRPr="0097324B" w:rsidTr="00E01C63">
        <w:tc>
          <w:tcPr>
            <w:tcW w:w="842" w:type="pct"/>
            <w:gridSpan w:val="2"/>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pPr>
            <w:r w:rsidRPr="0097324B">
              <w:t>Treatment Duration</w:t>
            </w:r>
          </w:p>
        </w:tc>
        <w:tc>
          <w:tcPr>
            <w:tcW w:w="792"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pPr>
            <w:r w:rsidRPr="0097324B">
              <w:t>12 months</w:t>
            </w:r>
          </w:p>
        </w:tc>
        <w:tc>
          <w:tcPr>
            <w:tcW w:w="1748" w:type="pct"/>
            <w:gridSpan w:val="2"/>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pPr>
            <w:r w:rsidRPr="0097324B">
              <w:t>Median duration of therapy was approximately 12 months in MONARCH-2 (Sledge et al 2017)</w:t>
            </w:r>
          </w:p>
        </w:tc>
        <w:tc>
          <w:tcPr>
            <w:tcW w:w="1618"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pPr>
            <w:r w:rsidRPr="0097324B">
              <w:t>The results from the MONARCH-2 trial reported in Sledge et al 2017 indicate the median duration of treatment was approximately 12 months. The follow-up results in Sledge et al 2019 indicate the mean treatment duration is 18.9 cycles or approximately 17 months. The most recent data would be more appropriate to estimate the time on abemaciclib</w:t>
            </w:r>
            <w:r w:rsidR="0097324B">
              <w:t xml:space="preserve">. </w:t>
            </w:r>
          </w:p>
        </w:tc>
      </w:tr>
      <w:tr w:rsidR="004F2A16" w:rsidRPr="0097324B" w:rsidTr="00E01C63">
        <w:tc>
          <w:tcPr>
            <w:tcW w:w="842" w:type="pct"/>
            <w:gridSpan w:val="2"/>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pPr>
            <w:r w:rsidRPr="0097324B">
              <w:t>Scripts dispensed</w:t>
            </w:r>
          </w:p>
        </w:tc>
        <w:tc>
          <w:tcPr>
            <w:tcW w:w="792"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pPr>
            <w:r w:rsidRPr="0097324B">
              <w:t xml:space="preserve">Yr 1: </w:t>
            </w:r>
            <w:r w:rsidR="000559ED">
              <w:rPr>
                <w:noProof/>
                <w:color w:val="000000"/>
                <w:highlight w:val="black"/>
              </w:rPr>
              <w:t>'''''''''''''</w:t>
            </w:r>
            <w:r w:rsidR="00A61D09">
              <w:rPr>
                <w:vertAlign w:val="superscript"/>
              </w:rPr>
              <w:t>1</w:t>
            </w:r>
          </w:p>
          <w:p w:rsidR="004F2A16" w:rsidRPr="0097324B" w:rsidRDefault="004F2A16" w:rsidP="00E01C63">
            <w:pPr>
              <w:pStyle w:val="TableText0"/>
            </w:pPr>
            <w:r w:rsidRPr="0097324B">
              <w:t xml:space="preserve">Yr 2: </w:t>
            </w:r>
            <w:r w:rsidR="000559ED">
              <w:rPr>
                <w:noProof/>
                <w:color w:val="000000"/>
                <w:highlight w:val="black"/>
              </w:rPr>
              <w:t>'''''''''''''</w:t>
            </w:r>
            <w:r w:rsidR="00A61D09">
              <w:rPr>
                <w:vertAlign w:val="superscript"/>
              </w:rPr>
              <w:t>1</w:t>
            </w:r>
          </w:p>
          <w:p w:rsidR="004F2A16" w:rsidRPr="0097324B" w:rsidRDefault="004F2A16" w:rsidP="00E01C63">
            <w:pPr>
              <w:pStyle w:val="TableText0"/>
            </w:pPr>
            <w:r w:rsidRPr="0097324B">
              <w:t xml:space="preserve">Yr 3: </w:t>
            </w:r>
            <w:r w:rsidR="000559ED">
              <w:rPr>
                <w:noProof/>
                <w:color w:val="000000"/>
                <w:highlight w:val="black"/>
              </w:rPr>
              <w:t>'''''''''''''</w:t>
            </w:r>
            <w:r w:rsidR="00A61D09">
              <w:rPr>
                <w:vertAlign w:val="superscript"/>
              </w:rPr>
              <w:t>1</w:t>
            </w:r>
          </w:p>
          <w:p w:rsidR="004F2A16" w:rsidRPr="0097324B" w:rsidRDefault="004F2A16" w:rsidP="00E01C63">
            <w:pPr>
              <w:pStyle w:val="TableText0"/>
            </w:pPr>
            <w:r w:rsidRPr="0097324B">
              <w:t xml:space="preserve">Yr 4: </w:t>
            </w:r>
            <w:r w:rsidR="000559ED">
              <w:rPr>
                <w:noProof/>
                <w:color w:val="000000"/>
                <w:highlight w:val="black"/>
              </w:rPr>
              <w:t>'''''''''''''''</w:t>
            </w:r>
            <w:r w:rsidR="00A61D09">
              <w:rPr>
                <w:vertAlign w:val="superscript"/>
              </w:rPr>
              <w:t>1</w:t>
            </w:r>
          </w:p>
          <w:p w:rsidR="004F2A16" w:rsidRPr="0097324B" w:rsidRDefault="004F2A16" w:rsidP="00E01C63">
            <w:pPr>
              <w:pStyle w:val="TableText0"/>
            </w:pPr>
            <w:r w:rsidRPr="0097324B">
              <w:t xml:space="preserve">Yr 5: </w:t>
            </w:r>
            <w:r w:rsidR="000559ED">
              <w:rPr>
                <w:noProof/>
                <w:color w:val="000000"/>
                <w:highlight w:val="black"/>
              </w:rPr>
              <w:t>''''''''''''''</w:t>
            </w:r>
            <w:r w:rsidR="00A61D09">
              <w:rPr>
                <w:vertAlign w:val="superscript"/>
              </w:rPr>
              <w:t>1</w:t>
            </w:r>
          </w:p>
          <w:p w:rsidR="004F2A16" w:rsidRPr="0097324B" w:rsidRDefault="004F2A16" w:rsidP="00E01C63">
            <w:pPr>
              <w:pStyle w:val="TableText0"/>
            </w:pPr>
            <w:r w:rsidRPr="0097324B">
              <w:t xml:space="preserve">Yr 6: </w:t>
            </w:r>
            <w:r w:rsidR="000559ED">
              <w:rPr>
                <w:noProof/>
                <w:color w:val="000000"/>
                <w:highlight w:val="black"/>
              </w:rPr>
              <w:t>'''''''''''''''</w:t>
            </w:r>
            <w:r w:rsidR="00A61D09">
              <w:rPr>
                <w:vertAlign w:val="superscript"/>
              </w:rPr>
              <w:t>1</w:t>
            </w:r>
          </w:p>
        </w:tc>
        <w:tc>
          <w:tcPr>
            <w:tcW w:w="1748" w:type="pct"/>
            <w:gridSpan w:val="2"/>
            <w:tcBorders>
              <w:top w:val="single" w:sz="4" w:space="0" w:color="auto"/>
              <w:left w:val="single" w:sz="4" w:space="0" w:color="auto"/>
              <w:bottom w:val="single" w:sz="4" w:space="0" w:color="auto"/>
              <w:right w:val="single" w:sz="4" w:space="0" w:color="auto"/>
            </w:tcBorders>
            <w:vAlign w:val="center"/>
            <w:hideMark/>
          </w:tcPr>
          <w:p w:rsidR="004F2A16" w:rsidRPr="00A61D09" w:rsidRDefault="004F2A16" w:rsidP="00A61D09">
            <w:pPr>
              <w:pStyle w:val="TableText0"/>
              <w:rPr>
                <w:vertAlign w:val="superscript"/>
              </w:rPr>
            </w:pPr>
            <w:r w:rsidRPr="0097324B">
              <w:t xml:space="preserve">Calculated based on number of patients treated at 13.04 packs per year with 100% compliance divided by two due to the assumption of sharing the market evenly with ribociclib. </w:t>
            </w:r>
          </w:p>
        </w:tc>
        <w:tc>
          <w:tcPr>
            <w:tcW w:w="1618" w:type="pct"/>
            <w:tcBorders>
              <w:top w:val="single" w:sz="4" w:space="0" w:color="auto"/>
              <w:left w:val="single" w:sz="4" w:space="0" w:color="auto"/>
              <w:bottom w:val="single" w:sz="4" w:space="0" w:color="auto"/>
              <w:right w:val="single" w:sz="4" w:space="0" w:color="auto"/>
            </w:tcBorders>
            <w:vAlign w:val="center"/>
            <w:hideMark/>
          </w:tcPr>
          <w:p w:rsidR="004F2A16" w:rsidRPr="0097324B" w:rsidRDefault="004F2A16" w:rsidP="00E01C63">
            <w:pPr>
              <w:pStyle w:val="TableText0"/>
            </w:pPr>
            <w:r w:rsidRPr="0097324B">
              <w:t>The number of scripts dispensed per year is uncertain. The follow-up data for MONARCH-2 indicates time on abe</w:t>
            </w:r>
            <w:r w:rsidR="00F94AA9" w:rsidRPr="0097324B">
              <w:t>ma</w:t>
            </w:r>
            <w:r w:rsidRPr="0097324B">
              <w:t xml:space="preserve">ciclib will be greater than 12 months. As such, the use of a 12 month treatment duration underestimates the utilisation of scripts following year 1 of the estimates as there is no continuation on treatment after initiation into subsequent years of the forward estimates. The assumption of 100% compliance in medications which are taken twice (abemaciclib) and three times a day (ribociclib) is overestimated which overestimates the total number of scripts dispensed. It is unclear whether the market will also be shared evenly due to the different adverse effect profiles of ribociclib and abemaciclib. </w:t>
            </w:r>
          </w:p>
        </w:tc>
      </w:tr>
    </w:tbl>
    <w:p w:rsidR="00A61D09" w:rsidRDefault="00A61D09" w:rsidP="00A61D09">
      <w:pPr>
        <w:pStyle w:val="TableFigureFooter"/>
        <w:spacing w:after="0"/>
        <w:contextualSpacing w:val="0"/>
        <w:rPr>
          <w:i/>
        </w:rPr>
      </w:pPr>
      <w:r w:rsidRPr="009868C4">
        <w:rPr>
          <w:i/>
        </w:rPr>
        <w:t>The redacted values correspond to the following ranges</w:t>
      </w:r>
      <w:r>
        <w:rPr>
          <w:i/>
        </w:rPr>
        <w:t xml:space="preserve">: </w:t>
      </w:r>
    </w:p>
    <w:p w:rsidR="00A61D09" w:rsidRPr="00A61D09" w:rsidRDefault="00A61D09" w:rsidP="00A61D09">
      <w:pPr>
        <w:pStyle w:val="TableFigureFooter"/>
        <w:spacing w:after="0"/>
        <w:contextualSpacing w:val="0"/>
        <w:rPr>
          <w:i/>
        </w:rPr>
      </w:pPr>
      <w:r>
        <w:rPr>
          <w:i/>
          <w:vertAlign w:val="superscript"/>
        </w:rPr>
        <w:t xml:space="preserve">1 </w:t>
      </w:r>
      <w:r w:rsidRPr="00A61D09">
        <w:rPr>
          <w:i/>
        </w:rPr>
        <w:t>5,000 to &lt; 10,000</w:t>
      </w:r>
    </w:p>
    <w:p w:rsidR="00511E03" w:rsidRDefault="00511E03"/>
    <w:p w:rsidR="00511E03" w:rsidRPr="00511E03" w:rsidRDefault="00511E03" w:rsidP="00E01C63">
      <w:pPr>
        <w:keepNext/>
        <w:rPr>
          <w:rFonts w:ascii="Arial Narrow" w:hAnsi="Arial Narrow"/>
          <w:b/>
          <w:sz w:val="20"/>
          <w:szCs w:val="20"/>
        </w:rPr>
      </w:pPr>
      <w:r w:rsidRPr="0097324B">
        <w:rPr>
          <w:rFonts w:ascii="Arial Narrow" w:hAnsi="Arial Narrow"/>
          <w:b/>
          <w:sz w:val="20"/>
          <w:szCs w:val="20"/>
        </w:rPr>
        <w:lastRenderedPageBreak/>
        <w:t>Table 1</w:t>
      </w:r>
      <w:r>
        <w:rPr>
          <w:rFonts w:ascii="Arial Narrow" w:hAnsi="Arial Narrow"/>
          <w:b/>
          <w:sz w:val="20"/>
          <w:szCs w:val="20"/>
        </w:rPr>
        <w:t>4</w:t>
      </w:r>
      <w:r w:rsidRPr="0097324B">
        <w:rPr>
          <w:rFonts w:ascii="Arial Narrow" w:hAnsi="Arial Narrow"/>
          <w:sz w:val="20"/>
          <w:szCs w:val="20"/>
        </w:rPr>
        <w:t xml:space="preserve">: </w:t>
      </w:r>
      <w:r w:rsidRPr="0097324B">
        <w:rPr>
          <w:rStyle w:val="CommentReference"/>
          <w:szCs w:val="20"/>
        </w:rPr>
        <w:t>Data sources and parameter values applied in the utilisation and financial estimates</w:t>
      </w:r>
      <w:r>
        <w:rPr>
          <w:rStyle w:val="CommentReference"/>
          <w:szCs w:val="20"/>
        </w:rPr>
        <w:t xml:space="preserve"> for drug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1261"/>
        <w:gridCol w:w="2990"/>
        <w:gridCol w:w="2745"/>
      </w:tblGrid>
      <w:tr w:rsidR="00511E03" w:rsidRPr="0097324B" w:rsidTr="00E01C63">
        <w:tc>
          <w:tcPr>
            <w:tcW w:w="1121" w:type="pct"/>
            <w:tcBorders>
              <w:top w:val="single" w:sz="4" w:space="0" w:color="auto"/>
              <w:left w:val="single" w:sz="4" w:space="0" w:color="auto"/>
              <w:bottom w:val="single" w:sz="4" w:space="0" w:color="auto"/>
              <w:right w:val="single" w:sz="4" w:space="0" w:color="auto"/>
            </w:tcBorders>
            <w:vAlign w:val="center"/>
          </w:tcPr>
          <w:p w:rsidR="00511E03" w:rsidRPr="0097324B" w:rsidRDefault="00511E03" w:rsidP="00E01C63">
            <w:pPr>
              <w:pStyle w:val="TableText0"/>
              <w:rPr>
                <w:b/>
              </w:rPr>
            </w:pPr>
            <w:r w:rsidRPr="00511E03">
              <w:rPr>
                <w:b/>
              </w:rPr>
              <w:t>Data</w:t>
            </w:r>
          </w:p>
        </w:tc>
        <w:tc>
          <w:tcPr>
            <w:tcW w:w="699" w:type="pct"/>
            <w:tcBorders>
              <w:top w:val="single" w:sz="4" w:space="0" w:color="auto"/>
              <w:left w:val="single" w:sz="4" w:space="0" w:color="auto"/>
              <w:bottom w:val="single" w:sz="4" w:space="0" w:color="auto"/>
              <w:right w:val="single" w:sz="4" w:space="0" w:color="auto"/>
            </w:tcBorders>
            <w:vAlign w:val="center"/>
          </w:tcPr>
          <w:p w:rsidR="00511E03" w:rsidRPr="0097324B" w:rsidRDefault="00511E03" w:rsidP="00E01C63">
            <w:pPr>
              <w:pStyle w:val="TableText0"/>
              <w:rPr>
                <w:b/>
              </w:rPr>
            </w:pPr>
            <w:r w:rsidRPr="00511E03">
              <w:rPr>
                <w:b/>
              </w:rPr>
              <w:t>Value</w:t>
            </w:r>
          </w:p>
        </w:tc>
        <w:tc>
          <w:tcPr>
            <w:tcW w:w="1658" w:type="pct"/>
            <w:tcBorders>
              <w:top w:val="single" w:sz="4" w:space="0" w:color="auto"/>
              <w:left w:val="single" w:sz="4" w:space="0" w:color="auto"/>
              <w:bottom w:val="single" w:sz="4" w:space="0" w:color="auto"/>
              <w:right w:val="single" w:sz="4" w:space="0" w:color="auto"/>
            </w:tcBorders>
            <w:vAlign w:val="center"/>
          </w:tcPr>
          <w:p w:rsidR="00511E03" w:rsidRPr="0097324B" w:rsidRDefault="00511E03" w:rsidP="00E01C63">
            <w:pPr>
              <w:pStyle w:val="TableText0"/>
              <w:rPr>
                <w:b/>
              </w:rPr>
            </w:pPr>
            <w:r w:rsidRPr="00511E03">
              <w:rPr>
                <w:b/>
              </w:rPr>
              <w:t>Source</w:t>
            </w:r>
          </w:p>
        </w:tc>
        <w:tc>
          <w:tcPr>
            <w:tcW w:w="1522" w:type="pct"/>
            <w:tcBorders>
              <w:top w:val="single" w:sz="4" w:space="0" w:color="auto"/>
              <w:left w:val="single" w:sz="4" w:space="0" w:color="auto"/>
              <w:bottom w:val="single" w:sz="4" w:space="0" w:color="auto"/>
              <w:right w:val="single" w:sz="4" w:space="0" w:color="auto"/>
            </w:tcBorders>
            <w:vAlign w:val="center"/>
          </w:tcPr>
          <w:p w:rsidR="00511E03" w:rsidRPr="0097324B" w:rsidRDefault="00511E03" w:rsidP="00E01C63">
            <w:pPr>
              <w:pStyle w:val="TableText0"/>
              <w:rPr>
                <w:b/>
              </w:rPr>
            </w:pPr>
            <w:r w:rsidRPr="00511E03">
              <w:rPr>
                <w:b/>
              </w:rPr>
              <w:t>Comment</w:t>
            </w:r>
          </w:p>
        </w:tc>
      </w:tr>
      <w:tr w:rsidR="00511E03" w:rsidRPr="0097324B" w:rsidTr="00E01C6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rPr>
                <w:b/>
              </w:rPr>
            </w:pPr>
            <w:r w:rsidRPr="0097324B">
              <w:rPr>
                <w:b/>
              </w:rPr>
              <w:t>Costs</w:t>
            </w:r>
          </w:p>
        </w:tc>
      </w:tr>
      <w:tr w:rsidR="00511E03" w:rsidRPr="0097324B" w:rsidTr="00E01C6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rPr>
                <w:b/>
              </w:rPr>
            </w:pPr>
            <w:r w:rsidRPr="0097324B">
              <w:rPr>
                <w:b/>
              </w:rPr>
              <w:t>Proposed medicine</w:t>
            </w:r>
          </w:p>
        </w:tc>
      </w:tr>
      <w:tr w:rsidR="00511E03" w:rsidRPr="0097324B" w:rsidTr="00E01C63">
        <w:tc>
          <w:tcPr>
            <w:tcW w:w="1121" w:type="pct"/>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pPr>
            <w:r w:rsidRPr="0097324B">
              <w:t>Abemaciclib all strengths</w:t>
            </w:r>
          </w:p>
        </w:tc>
        <w:tc>
          <w:tcPr>
            <w:tcW w:w="699" w:type="pct"/>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pPr>
            <w:r w:rsidRPr="0097324B">
              <w:t>$</w:t>
            </w:r>
            <w:r w:rsidRPr="00043460">
              <w:t>5,365.50</w:t>
            </w:r>
            <w:r w:rsidRPr="0097324B">
              <w:t xml:space="preserve"> </w:t>
            </w:r>
          </w:p>
        </w:tc>
        <w:tc>
          <w:tcPr>
            <w:tcW w:w="1658" w:type="pct"/>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pPr>
            <w:r w:rsidRPr="0097324B">
              <w:t>Requested price, based on the average cost per patient per cycle in the cost-minimisation analysis.</w:t>
            </w:r>
          </w:p>
          <w:p w:rsidR="00511E03" w:rsidRPr="0097324B" w:rsidRDefault="00511E03" w:rsidP="00E01C63">
            <w:pPr>
              <w:pStyle w:val="TableText0"/>
              <w:rPr>
                <w:i/>
              </w:rPr>
            </w:pPr>
            <w:r w:rsidRPr="0097324B">
              <w:t>Table 2 of the PSCR updated this to be an AEMP of $</w:t>
            </w:r>
            <w:r w:rsidRPr="00043460">
              <w:t>4,566.73</w:t>
            </w:r>
            <w:r w:rsidRPr="0097324B">
              <w:t xml:space="preserve"> (without ECG costs), which equates to a DPMQ of $</w:t>
            </w:r>
            <w:r w:rsidRPr="00043460">
              <w:t>4,728</w:t>
            </w:r>
            <w:r w:rsidRPr="0097324B">
              <w:t>.</w:t>
            </w:r>
          </w:p>
        </w:tc>
        <w:tc>
          <w:tcPr>
            <w:tcW w:w="1522" w:type="pct"/>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pPr>
            <w:r w:rsidRPr="0097324B">
              <w:t xml:space="preserve">Higher than current listing of </w:t>
            </w:r>
            <w:r w:rsidR="006D62D6">
              <w:t>abemaciclib, based on PSCR updates</w:t>
            </w:r>
          </w:p>
        </w:tc>
      </w:tr>
      <w:tr w:rsidR="00511E03" w:rsidRPr="0097324B" w:rsidTr="00E01C6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rPr>
                <w:b/>
              </w:rPr>
            </w:pPr>
            <w:r w:rsidRPr="0097324B">
              <w:rPr>
                <w:b/>
              </w:rPr>
              <w:t>Comparator</w:t>
            </w:r>
          </w:p>
        </w:tc>
      </w:tr>
      <w:tr w:rsidR="00511E03" w:rsidRPr="0097324B" w:rsidTr="00E01C63">
        <w:tc>
          <w:tcPr>
            <w:tcW w:w="1121" w:type="pct"/>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pPr>
            <w:r w:rsidRPr="0097324B">
              <w:t>Ribociclib 200mg, 63</w:t>
            </w:r>
          </w:p>
        </w:tc>
        <w:tc>
          <w:tcPr>
            <w:tcW w:w="699" w:type="pct"/>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pPr>
            <w:r w:rsidRPr="0097324B">
              <w:t>$5,360.50</w:t>
            </w:r>
          </w:p>
        </w:tc>
        <w:tc>
          <w:tcPr>
            <w:tcW w:w="1658" w:type="pct"/>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pPr>
            <w:r w:rsidRPr="0097324B">
              <w:t>Ribociclib PBS item 11386G</w:t>
            </w:r>
          </w:p>
        </w:tc>
        <w:tc>
          <w:tcPr>
            <w:tcW w:w="1522" w:type="pct"/>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pPr>
            <w:r w:rsidRPr="0097324B">
              <w:t>Based on current published DPMQ</w:t>
            </w:r>
          </w:p>
        </w:tc>
      </w:tr>
      <w:tr w:rsidR="00511E03" w:rsidRPr="0097324B" w:rsidTr="00E01C63">
        <w:tc>
          <w:tcPr>
            <w:tcW w:w="1121" w:type="pct"/>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pPr>
            <w:r w:rsidRPr="0097324B">
              <w:t>Ribociclib 200mg, 42</w:t>
            </w:r>
          </w:p>
        </w:tc>
        <w:tc>
          <w:tcPr>
            <w:tcW w:w="699" w:type="pct"/>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pPr>
            <w:r w:rsidRPr="0097324B">
              <w:t>$3,734.50</w:t>
            </w:r>
          </w:p>
        </w:tc>
        <w:tc>
          <w:tcPr>
            <w:tcW w:w="1658" w:type="pct"/>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pPr>
            <w:r w:rsidRPr="0097324B">
              <w:t>Ribociclib PBS item 11397W</w:t>
            </w:r>
          </w:p>
        </w:tc>
        <w:tc>
          <w:tcPr>
            <w:tcW w:w="1522" w:type="pct"/>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pPr>
            <w:r w:rsidRPr="0097324B">
              <w:t>Based on current published DPMQ</w:t>
            </w:r>
          </w:p>
        </w:tc>
      </w:tr>
      <w:tr w:rsidR="00511E03" w:rsidRPr="0097324B" w:rsidTr="00E01C63">
        <w:tc>
          <w:tcPr>
            <w:tcW w:w="1121" w:type="pct"/>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pPr>
            <w:r w:rsidRPr="0097324B">
              <w:t>Ribociclib 200mg, 21</w:t>
            </w:r>
          </w:p>
        </w:tc>
        <w:tc>
          <w:tcPr>
            <w:tcW w:w="699" w:type="pct"/>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pPr>
            <w:r w:rsidRPr="0097324B">
              <w:t>$1939.87</w:t>
            </w:r>
          </w:p>
        </w:tc>
        <w:tc>
          <w:tcPr>
            <w:tcW w:w="1658" w:type="pct"/>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pPr>
            <w:r w:rsidRPr="0097324B">
              <w:t>Ribociclib PBS item 11385F</w:t>
            </w:r>
          </w:p>
        </w:tc>
        <w:tc>
          <w:tcPr>
            <w:tcW w:w="1522" w:type="pct"/>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pPr>
            <w:r w:rsidRPr="0097324B">
              <w:t>Based on current published DPMQ</w:t>
            </w:r>
          </w:p>
        </w:tc>
      </w:tr>
      <w:tr w:rsidR="00511E03" w:rsidRPr="0097324B" w:rsidTr="00E01C63">
        <w:tc>
          <w:tcPr>
            <w:tcW w:w="1121" w:type="pct"/>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pPr>
            <w:r w:rsidRPr="0097324B">
              <w:t>Patient copayment</w:t>
            </w:r>
          </w:p>
        </w:tc>
        <w:tc>
          <w:tcPr>
            <w:tcW w:w="699" w:type="pct"/>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pPr>
            <w:r w:rsidRPr="0097324B">
              <w:t>$20.56 PBS</w:t>
            </w:r>
            <w:r w:rsidRPr="0097324B">
              <w:br/>
              <w:t>$4.95 RPBS</w:t>
            </w:r>
          </w:p>
        </w:tc>
        <w:tc>
          <w:tcPr>
            <w:tcW w:w="1658" w:type="pct"/>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pPr>
            <w:r w:rsidRPr="0097324B">
              <w:t>PBS statistics for ribociclib item code 11386G, 11398W, 11385F</w:t>
            </w:r>
          </w:p>
        </w:tc>
        <w:tc>
          <w:tcPr>
            <w:tcW w:w="1522" w:type="pct"/>
            <w:tcBorders>
              <w:top w:val="single" w:sz="4" w:space="0" w:color="auto"/>
              <w:left w:val="single" w:sz="4" w:space="0" w:color="auto"/>
              <w:bottom w:val="single" w:sz="4" w:space="0" w:color="auto"/>
              <w:right w:val="single" w:sz="4" w:space="0" w:color="auto"/>
            </w:tcBorders>
            <w:vAlign w:val="center"/>
          </w:tcPr>
          <w:p w:rsidR="00511E03" w:rsidRPr="0097324B" w:rsidRDefault="00511E03" w:rsidP="00E01C63">
            <w:pPr>
              <w:pStyle w:val="TableText0"/>
            </w:pPr>
          </w:p>
        </w:tc>
      </w:tr>
      <w:tr w:rsidR="00511E03" w:rsidRPr="0097324B" w:rsidTr="00E01C63">
        <w:tc>
          <w:tcPr>
            <w:tcW w:w="1121" w:type="pct"/>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pPr>
            <w:r w:rsidRPr="0097324B">
              <w:t>MBS costs</w:t>
            </w:r>
          </w:p>
        </w:tc>
        <w:tc>
          <w:tcPr>
            <w:tcW w:w="699" w:type="pct"/>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pPr>
            <w:r w:rsidRPr="0097324B">
              <w:t>$27.45</w:t>
            </w:r>
          </w:p>
        </w:tc>
        <w:tc>
          <w:tcPr>
            <w:tcW w:w="1658" w:type="pct"/>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pPr>
            <w:r w:rsidRPr="0097324B">
              <w:t>Reduced usage of MBS item 11704 which is twelve-lead electrocardiography needed for regular monitoring with ribociclib usage</w:t>
            </w:r>
          </w:p>
        </w:tc>
        <w:tc>
          <w:tcPr>
            <w:tcW w:w="1522" w:type="pct"/>
            <w:tcBorders>
              <w:top w:val="single" w:sz="4" w:space="0" w:color="auto"/>
              <w:left w:val="single" w:sz="4" w:space="0" w:color="auto"/>
              <w:bottom w:val="single" w:sz="4" w:space="0" w:color="auto"/>
              <w:right w:val="single" w:sz="4" w:space="0" w:color="auto"/>
            </w:tcBorders>
            <w:vAlign w:val="center"/>
            <w:hideMark/>
          </w:tcPr>
          <w:p w:rsidR="00511E03" w:rsidRPr="0097324B" w:rsidRDefault="00511E03" w:rsidP="00E01C63">
            <w:pPr>
              <w:pStyle w:val="TableText0"/>
            </w:pPr>
            <w:r w:rsidRPr="0097324B">
              <w:t>This seems reasonable.</w:t>
            </w:r>
          </w:p>
        </w:tc>
      </w:tr>
    </w:tbl>
    <w:p w:rsidR="004F2A16" w:rsidRPr="0097324B" w:rsidRDefault="004F2A16" w:rsidP="00CD19AF">
      <w:pPr>
        <w:pStyle w:val="TableFigureFooter"/>
        <w:spacing w:after="240"/>
      </w:pPr>
      <w:r w:rsidRPr="0097324B">
        <w:t>Source: Table 4-2, Table 4-3, Table 4-4, Attachment 5 – Cost and utilisation workbook (abemaciclib).</w:t>
      </w:r>
      <w:r w:rsidRPr="0097324B">
        <w:br/>
        <w:t>Note: HR+/HER2-=Hormone Receptor positive/HER2 negative, NPM=non-premenopausal, MBC= Metastatic breast cancer, ER=endocrine resis</w:t>
      </w:r>
      <w:r w:rsidR="00F94AA9" w:rsidRPr="0097324B">
        <w:t>tant, EVE=everolimus, EXE= exeme</w:t>
      </w:r>
      <w:r w:rsidRPr="0097324B">
        <w:t xml:space="preserve">stane, ES= endocrine sensitive, AI= aromatase inhibitor, SERM= selective oestrogen receptor modulator, CDKi=cyclin-dependant kinase inhibitor (such as ribociclib, abemaciclib or palbociclib), CT=chemotherapy. </w:t>
      </w:r>
    </w:p>
    <w:p w:rsidR="004F2A16" w:rsidRPr="0097324B" w:rsidRDefault="004F2A16" w:rsidP="004F2A16">
      <w:pPr>
        <w:pStyle w:val="3-BodyText"/>
      </w:pPr>
      <w:r w:rsidRPr="0097324B">
        <w:t>Table 1</w:t>
      </w:r>
      <w:r w:rsidR="00511E03">
        <w:t>5</w:t>
      </w:r>
      <w:r w:rsidRPr="0097324B">
        <w:t xml:space="preserve"> presents the estimated use and financial implications.</w:t>
      </w:r>
    </w:p>
    <w:p w:rsidR="004F2A16" w:rsidRPr="0097324B" w:rsidRDefault="004F2A16" w:rsidP="00E01C63">
      <w:pPr>
        <w:pStyle w:val="Caption"/>
        <w:keepNext/>
        <w:spacing w:after="0"/>
        <w:rPr>
          <w:rFonts w:ascii="Arial Narrow" w:hAnsi="Arial Narrow"/>
          <w:color w:val="auto"/>
          <w:sz w:val="20"/>
          <w:szCs w:val="20"/>
        </w:rPr>
      </w:pPr>
      <w:bookmarkStart w:id="28" w:name="_GoBack"/>
      <w:r w:rsidRPr="0097324B">
        <w:rPr>
          <w:rFonts w:ascii="Arial Narrow" w:hAnsi="Arial Narrow"/>
          <w:color w:val="auto"/>
          <w:sz w:val="20"/>
          <w:szCs w:val="20"/>
        </w:rPr>
        <w:lastRenderedPageBreak/>
        <w:t>Table 1</w:t>
      </w:r>
      <w:r w:rsidR="00511E03">
        <w:rPr>
          <w:rFonts w:ascii="Arial Narrow" w:hAnsi="Arial Narrow"/>
          <w:color w:val="auto"/>
          <w:sz w:val="20"/>
          <w:szCs w:val="20"/>
        </w:rPr>
        <w:t>5</w:t>
      </w:r>
      <w:r w:rsidRPr="0097324B">
        <w:rPr>
          <w:rFonts w:ascii="Arial Narrow" w:hAnsi="Arial Narrow"/>
          <w:color w:val="auto"/>
          <w:sz w:val="20"/>
          <w:szCs w:val="20"/>
        </w:rPr>
        <w:t>: Estimated use and financial implications</w:t>
      </w:r>
    </w:p>
    <w:tbl>
      <w:tblPr>
        <w:tblStyle w:val="Summarybox1"/>
        <w:tblW w:w="5000" w:type="pct"/>
        <w:tblLook w:val="04A0" w:firstRow="1" w:lastRow="0" w:firstColumn="1" w:lastColumn="0" w:noHBand="0" w:noVBand="1"/>
        <w:tblCaption w:val="Table 15: Estimated use and financial implications"/>
      </w:tblPr>
      <w:tblGrid>
        <w:gridCol w:w="2652"/>
        <w:gridCol w:w="1085"/>
        <w:gridCol w:w="1034"/>
        <w:gridCol w:w="1041"/>
        <w:gridCol w:w="1034"/>
        <w:gridCol w:w="1060"/>
        <w:gridCol w:w="1111"/>
      </w:tblGrid>
      <w:tr w:rsidR="00A46FA6" w:rsidRPr="0097324B" w:rsidTr="004510A3">
        <w:trPr>
          <w:trHeight w:val="198"/>
          <w:tblHeader/>
        </w:trPr>
        <w:tc>
          <w:tcPr>
            <w:tcW w:w="1493" w:type="pct"/>
            <w:tcBorders>
              <w:top w:val="single" w:sz="4" w:space="0" w:color="auto"/>
              <w:left w:val="single" w:sz="4" w:space="0" w:color="auto"/>
              <w:bottom w:val="single" w:sz="4" w:space="0" w:color="auto"/>
              <w:right w:val="single" w:sz="4" w:space="0" w:color="auto"/>
            </w:tcBorders>
            <w:noWrap/>
            <w:hideMark/>
          </w:tcPr>
          <w:bookmarkEnd w:id="28"/>
          <w:p w:rsidR="004F2A16" w:rsidRPr="0097324B" w:rsidRDefault="004F2A16" w:rsidP="00E01C63">
            <w:pPr>
              <w:keepNext/>
              <w:jc w:val="left"/>
              <w:rPr>
                <w:rFonts w:ascii="Arial Narrow" w:hAnsi="Arial Narrow" w:cs="Times New Roman"/>
                <w:b/>
                <w:sz w:val="20"/>
                <w:szCs w:val="20"/>
              </w:rPr>
            </w:pPr>
            <w:r w:rsidRPr="0097324B">
              <w:rPr>
                <w:rFonts w:ascii="Arial Narrow" w:hAnsi="Arial Narrow" w:cs="Times New Roman"/>
                <w:b/>
                <w:sz w:val="20"/>
                <w:szCs w:val="20"/>
              </w:rPr>
              <w:t>Year</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97324B" w:rsidRDefault="004F2A16" w:rsidP="00E01C63">
            <w:pPr>
              <w:keepNext/>
              <w:jc w:val="center"/>
              <w:rPr>
                <w:rFonts w:ascii="Arial Narrow" w:hAnsi="Arial Narrow" w:cs="Times New Roman"/>
                <w:b/>
                <w:sz w:val="20"/>
                <w:szCs w:val="20"/>
              </w:rPr>
            </w:pPr>
            <w:r w:rsidRPr="0097324B">
              <w:rPr>
                <w:rFonts w:ascii="Arial Narrow" w:hAnsi="Arial Narrow" w:cs="Times New Roman"/>
                <w:b/>
                <w:sz w:val="20"/>
                <w:szCs w:val="20"/>
              </w:rPr>
              <w:t>2021</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97324B" w:rsidRDefault="004F2A16" w:rsidP="00E01C63">
            <w:pPr>
              <w:keepNext/>
              <w:jc w:val="center"/>
              <w:rPr>
                <w:rFonts w:ascii="Arial Narrow" w:hAnsi="Arial Narrow" w:cs="Times New Roman"/>
                <w:b/>
                <w:sz w:val="20"/>
                <w:szCs w:val="20"/>
              </w:rPr>
            </w:pPr>
            <w:r w:rsidRPr="0097324B">
              <w:rPr>
                <w:rFonts w:ascii="Arial Narrow" w:hAnsi="Arial Narrow" w:cs="Times New Roman"/>
                <w:b/>
                <w:sz w:val="20"/>
                <w:szCs w:val="20"/>
              </w:rPr>
              <w:t>2022</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97324B" w:rsidRDefault="004F2A16" w:rsidP="00E01C63">
            <w:pPr>
              <w:keepNext/>
              <w:jc w:val="center"/>
              <w:rPr>
                <w:rFonts w:ascii="Arial Narrow" w:hAnsi="Arial Narrow" w:cs="Times New Roman"/>
                <w:b/>
                <w:sz w:val="20"/>
                <w:szCs w:val="20"/>
              </w:rPr>
            </w:pPr>
            <w:r w:rsidRPr="0097324B">
              <w:rPr>
                <w:rFonts w:ascii="Arial Narrow" w:hAnsi="Arial Narrow" w:cs="Times New Roman"/>
                <w:b/>
                <w:sz w:val="20"/>
                <w:szCs w:val="20"/>
              </w:rPr>
              <w:t>2023</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97324B" w:rsidRDefault="004F2A16" w:rsidP="00E01C63">
            <w:pPr>
              <w:keepNext/>
              <w:jc w:val="center"/>
              <w:rPr>
                <w:rFonts w:ascii="Arial Narrow" w:hAnsi="Arial Narrow" w:cs="Times New Roman"/>
                <w:b/>
                <w:sz w:val="20"/>
                <w:szCs w:val="20"/>
              </w:rPr>
            </w:pPr>
            <w:r w:rsidRPr="0097324B">
              <w:rPr>
                <w:rFonts w:ascii="Arial Narrow" w:hAnsi="Arial Narrow" w:cs="Times New Roman"/>
                <w:b/>
                <w:sz w:val="20"/>
                <w:szCs w:val="20"/>
              </w:rPr>
              <w:t>2024</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97324B" w:rsidRDefault="004F2A16" w:rsidP="00E01C63">
            <w:pPr>
              <w:keepNext/>
              <w:jc w:val="center"/>
              <w:rPr>
                <w:rFonts w:ascii="Arial Narrow" w:hAnsi="Arial Narrow" w:cs="Times New Roman"/>
                <w:b/>
                <w:sz w:val="20"/>
                <w:szCs w:val="20"/>
              </w:rPr>
            </w:pPr>
            <w:r w:rsidRPr="0097324B">
              <w:rPr>
                <w:rFonts w:ascii="Arial Narrow" w:hAnsi="Arial Narrow" w:cs="Times New Roman"/>
                <w:b/>
                <w:sz w:val="20"/>
                <w:szCs w:val="20"/>
              </w:rPr>
              <w:t>2025</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97324B" w:rsidRDefault="004F2A16" w:rsidP="00E01C63">
            <w:pPr>
              <w:keepNext/>
              <w:jc w:val="center"/>
              <w:rPr>
                <w:rFonts w:ascii="Arial Narrow" w:hAnsi="Arial Narrow" w:cs="Times New Roman"/>
                <w:b/>
                <w:sz w:val="20"/>
                <w:szCs w:val="20"/>
              </w:rPr>
            </w:pPr>
            <w:r w:rsidRPr="0097324B">
              <w:rPr>
                <w:rFonts w:ascii="Arial Narrow" w:hAnsi="Arial Narrow" w:cs="Times New Roman"/>
                <w:b/>
                <w:sz w:val="20"/>
                <w:szCs w:val="20"/>
              </w:rPr>
              <w:t>2026</w:t>
            </w:r>
          </w:p>
        </w:tc>
      </w:tr>
      <w:tr w:rsidR="004F2A16" w:rsidRPr="0097324B" w:rsidTr="00184D90">
        <w:trPr>
          <w:trHeight w:val="198"/>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4F2A16" w:rsidRPr="0097324B" w:rsidRDefault="004F2A16" w:rsidP="00E01C63">
            <w:pPr>
              <w:keepNext/>
              <w:jc w:val="left"/>
              <w:rPr>
                <w:rFonts w:ascii="Arial Narrow" w:hAnsi="Arial Narrow" w:cs="Times New Roman"/>
                <w:b/>
                <w:sz w:val="20"/>
                <w:szCs w:val="20"/>
              </w:rPr>
            </w:pPr>
            <w:r w:rsidRPr="0097324B">
              <w:rPr>
                <w:rFonts w:ascii="Arial Narrow" w:hAnsi="Arial Narrow" w:cs="Times New Roman"/>
                <w:b/>
                <w:sz w:val="20"/>
                <w:szCs w:val="20"/>
              </w:rPr>
              <w:t>Eligible patients</w:t>
            </w:r>
          </w:p>
        </w:tc>
      </w:tr>
      <w:tr w:rsidR="00A46FA6" w:rsidRPr="0097324B" w:rsidTr="00CD19AF">
        <w:trPr>
          <w:trHeight w:val="198"/>
        </w:trPr>
        <w:tc>
          <w:tcPr>
            <w:tcW w:w="1493" w:type="pct"/>
            <w:tcBorders>
              <w:top w:val="nil"/>
              <w:left w:val="single" w:sz="4" w:space="0" w:color="auto"/>
              <w:bottom w:val="single" w:sz="4" w:space="0" w:color="auto"/>
              <w:right w:val="single" w:sz="4" w:space="0" w:color="auto"/>
            </w:tcBorders>
            <w:noWrap/>
            <w:vAlign w:val="center"/>
            <w:hideMark/>
          </w:tcPr>
          <w:p w:rsidR="004F2A16" w:rsidRPr="00A61D09" w:rsidRDefault="004F2A16" w:rsidP="00A61D09">
            <w:pPr>
              <w:keepNext/>
              <w:jc w:val="left"/>
              <w:rPr>
                <w:rFonts w:ascii="Arial Narrow" w:hAnsi="Arial Narrow" w:cs="Times New Roman"/>
                <w:sz w:val="20"/>
                <w:szCs w:val="20"/>
                <w:vertAlign w:val="superscript"/>
              </w:rPr>
            </w:pPr>
            <w:r w:rsidRPr="0097324B">
              <w:rPr>
                <w:rFonts w:ascii="Arial Narrow" w:hAnsi="Arial Narrow" w:cs="Times New Roman"/>
                <w:sz w:val="20"/>
                <w:szCs w:val="20"/>
                <w:lang w:bidi="en-US"/>
              </w:rPr>
              <w:t>Population 1 (1L ER)</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61D09">
              <w:rPr>
                <w:rFonts w:ascii="Arial Narrow" w:hAnsi="Arial Narrow" w:cs="Times New Roman"/>
                <w:sz w:val="20"/>
                <w:szCs w:val="20"/>
                <w:vertAlign w:val="superscript"/>
                <w:lang w:bidi="en-US"/>
              </w:rPr>
              <w:t>1</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46FA6">
              <w:rPr>
                <w:rFonts w:ascii="Arial Narrow" w:hAnsi="Arial Narrow" w:cs="Times New Roman"/>
                <w:sz w:val="20"/>
                <w:szCs w:val="20"/>
                <w:vertAlign w:val="superscript"/>
                <w:lang w:bidi="en-US"/>
              </w:rPr>
              <w:t>2</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46FA6">
              <w:rPr>
                <w:rFonts w:ascii="Arial Narrow" w:hAnsi="Arial Narrow" w:cs="Times New Roman"/>
                <w:sz w:val="20"/>
                <w:szCs w:val="20"/>
                <w:vertAlign w:val="superscript"/>
                <w:lang w:bidi="en-US"/>
              </w:rPr>
              <w:t>2</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46FA6">
              <w:rPr>
                <w:rFonts w:ascii="Arial Narrow" w:hAnsi="Arial Narrow" w:cs="Times New Roman"/>
                <w:sz w:val="20"/>
                <w:szCs w:val="20"/>
                <w:vertAlign w:val="superscript"/>
                <w:lang w:bidi="en-US"/>
              </w:rPr>
              <w:t>2</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46FA6">
              <w:rPr>
                <w:rFonts w:ascii="Arial Narrow" w:hAnsi="Arial Narrow" w:cs="Times New Roman"/>
                <w:sz w:val="20"/>
                <w:szCs w:val="20"/>
                <w:vertAlign w:val="superscript"/>
                <w:lang w:bidi="en-US"/>
              </w:rPr>
              <w:t>2</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46FA6">
              <w:rPr>
                <w:rFonts w:ascii="Arial Narrow" w:hAnsi="Arial Narrow" w:cs="Times New Roman"/>
                <w:sz w:val="20"/>
                <w:szCs w:val="20"/>
                <w:vertAlign w:val="superscript"/>
                <w:lang w:bidi="en-US"/>
              </w:rPr>
              <w:t>2</w:t>
            </w:r>
          </w:p>
        </w:tc>
      </w:tr>
      <w:tr w:rsidR="00A46FA6" w:rsidRPr="0097324B" w:rsidTr="00CD19AF">
        <w:trPr>
          <w:trHeight w:val="198"/>
        </w:trPr>
        <w:tc>
          <w:tcPr>
            <w:tcW w:w="1493" w:type="pct"/>
            <w:tcBorders>
              <w:top w:val="nil"/>
              <w:left w:val="single" w:sz="4" w:space="0" w:color="auto"/>
              <w:bottom w:val="single" w:sz="4" w:space="0" w:color="auto"/>
              <w:right w:val="single" w:sz="4" w:space="0" w:color="auto"/>
            </w:tcBorders>
            <w:noWrap/>
            <w:vAlign w:val="center"/>
            <w:hideMark/>
          </w:tcPr>
          <w:p w:rsidR="004F2A16" w:rsidRPr="0097324B" w:rsidRDefault="004F2A16" w:rsidP="00E01C63">
            <w:pPr>
              <w:keepNext/>
              <w:jc w:val="left"/>
              <w:rPr>
                <w:rFonts w:ascii="Arial Narrow" w:hAnsi="Arial Narrow" w:cs="Times New Roman"/>
                <w:sz w:val="20"/>
                <w:szCs w:val="20"/>
              </w:rPr>
            </w:pPr>
            <w:r w:rsidRPr="0097324B">
              <w:rPr>
                <w:rFonts w:ascii="Arial Narrow" w:hAnsi="Arial Narrow" w:cs="Times New Roman"/>
                <w:sz w:val="20"/>
                <w:szCs w:val="20"/>
                <w:lang w:bidi="en-US"/>
              </w:rPr>
              <w:t>Population 2 (2L ER post EVE+EXE)</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61D09">
              <w:rPr>
                <w:rFonts w:ascii="Arial Narrow" w:hAnsi="Arial Narrow" w:cs="Times New Roman"/>
                <w:sz w:val="20"/>
                <w:szCs w:val="20"/>
                <w:vertAlign w:val="superscript"/>
                <w:lang w:bidi="en-US"/>
              </w:rPr>
              <w:t>1</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61D09">
              <w:rPr>
                <w:rFonts w:ascii="Arial Narrow" w:hAnsi="Arial Narrow" w:cs="Times New Roman"/>
                <w:sz w:val="20"/>
                <w:szCs w:val="20"/>
                <w:vertAlign w:val="superscript"/>
                <w:lang w:bidi="en-US"/>
              </w:rPr>
              <w:t>1</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61D09">
              <w:rPr>
                <w:rFonts w:ascii="Arial Narrow" w:hAnsi="Arial Narrow" w:cs="Times New Roman"/>
                <w:sz w:val="20"/>
                <w:szCs w:val="20"/>
                <w:vertAlign w:val="superscript"/>
                <w:lang w:bidi="en-US"/>
              </w:rPr>
              <w:t>1</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61D09">
              <w:rPr>
                <w:rFonts w:ascii="Arial Narrow" w:hAnsi="Arial Narrow" w:cs="Times New Roman"/>
                <w:sz w:val="20"/>
                <w:szCs w:val="20"/>
                <w:vertAlign w:val="superscript"/>
                <w:lang w:bidi="en-US"/>
              </w:rPr>
              <w:t>1</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61D09">
              <w:rPr>
                <w:rFonts w:ascii="Arial Narrow" w:hAnsi="Arial Narrow" w:cs="Times New Roman"/>
                <w:sz w:val="20"/>
                <w:szCs w:val="20"/>
                <w:vertAlign w:val="superscript"/>
                <w:lang w:bidi="en-US"/>
              </w:rPr>
              <w:t>1</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61D09">
              <w:rPr>
                <w:rFonts w:ascii="Arial Narrow" w:hAnsi="Arial Narrow" w:cs="Times New Roman"/>
                <w:sz w:val="20"/>
                <w:szCs w:val="20"/>
                <w:vertAlign w:val="superscript"/>
                <w:lang w:bidi="en-US"/>
              </w:rPr>
              <w:t>1</w:t>
            </w:r>
          </w:p>
        </w:tc>
      </w:tr>
      <w:tr w:rsidR="00A46FA6" w:rsidRPr="0097324B" w:rsidTr="00CD19AF">
        <w:trPr>
          <w:trHeight w:val="198"/>
        </w:trPr>
        <w:tc>
          <w:tcPr>
            <w:tcW w:w="1493" w:type="pct"/>
            <w:tcBorders>
              <w:top w:val="nil"/>
              <w:left w:val="single" w:sz="4" w:space="0" w:color="auto"/>
              <w:bottom w:val="single" w:sz="4" w:space="0" w:color="auto"/>
              <w:right w:val="single" w:sz="4" w:space="0" w:color="auto"/>
            </w:tcBorders>
            <w:noWrap/>
            <w:vAlign w:val="center"/>
            <w:hideMark/>
          </w:tcPr>
          <w:p w:rsidR="004F2A16" w:rsidRPr="0097324B" w:rsidRDefault="004F2A16" w:rsidP="00E01C63">
            <w:pPr>
              <w:keepNext/>
              <w:jc w:val="left"/>
              <w:rPr>
                <w:rFonts w:ascii="Arial Narrow" w:hAnsi="Arial Narrow" w:cs="Times New Roman"/>
                <w:sz w:val="20"/>
                <w:szCs w:val="20"/>
              </w:rPr>
            </w:pPr>
            <w:r w:rsidRPr="0097324B">
              <w:rPr>
                <w:rFonts w:ascii="Arial Narrow" w:hAnsi="Arial Narrow" w:cs="Times New Roman"/>
                <w:sz w:val="20"/>
                <w:szCs w:val="20"/>
                <w:lang w:bidi="en-US"/>
              </w:rPr>
              <w:t>Population 3 (2L ES post AI/SERM)</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61D09">
              <w:rPr>
                <w:rFonts w:ascii="Arial Narrow" w:hAnsi="Arial Narrow" w:cs="Times New Roman"/>
                <w:sz w:val="20"/>
                <w:szCs w:val="20"/>
                <w:vertAlign w:val="superscript"/>
                <w:lang w:bidi="en-US"/>
              </w:rPr>
              <w:t>1</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61D09">
              <w:rPr>
                <w:rFonts w:ascii="Arial Narrow" w:hAnsi="Arial Narrow" w:cs="Times New Roman"/>
                <w:sz w:val="20"/>
                <w:szCs w:val="20"/>
                <w:vertAlign w:val="superscript"/>
                <w:lang w:bidi="en-US"/>
              </w:rPr>
              <w:t>1</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61D09">
              <w:rPr>
                <w:rFonts w:ascii="Arial Narrow" w:hAnsi="Arial Narrow" w:cs="Times New Roman"/>
                <w:sz w:val="20"/>
                <w:szCs w:val="20"/>
                <w:vertAlign w:val="superscript"/>
                <w:lang w:bidi="en-US"/>
              </w:rPr>
              <w:t>1</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61D09">
              <w:rPr>
                <w:rFonts w:ascii="Arial Narrow" w:hAnsi="Arial Narrow" w:cs="Times New Roman"/>
                <w:sz w:val="20"/>
                <w:szCs w:val="20"/>
                <w:vertAlign w:val="superscript"/>
                <w:lang w:bidi="en-US"/>
              </w:rPr>
              <w:t>1</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61D09">
              <w:rPr>
                <w:rFonts w:ascii="Arial Narrow" w:hAnsi="Arial Narrow" w:cs="Times New Roman"/>
                <w:sz w:val="20"/>
                <w:szCs w:val="20"/>
                <w:vertAlign w:val="superscript"/>
                <w:lang w:bidi="en-US"/>
              </w:rPr>
              <w:t>1</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61D09">
              <w:rPr>
                <w:rFonts w:ascii="Arial Narrow" w:hAnsi="Arial Narrow" w:cs="Times New Roman"/>
                <w:sz w:val="20"/>
                <w:szCs w:val="20"/>
                <w:vertAlign w:val="superscript"/>
                <w:lang w:bidi="en-US"/>
              </w:rPr>
              <w:t>1</w:t>
            </w:r>
          </w:p>
        </w:tc>
      </w:tr>
      <w:tr w:rsidR="00A46FA6" w:rsidRPr="0097324B" w:rsidTr="00CD19AF">
        <w:trPr>
          <w:trHeight w:val="198"/>
        </w:trPr>
        <w:tc>
          <w:tcPr>
            <w:tcW w:w="1493" w:type="pct"/>
            <w:tcBorders>
              <w:top w:val="nil"/>
              <w:left w:val="single" w:sz="4" w:space="0" w:color="auto"/>
              <w:bottom w:val="single" w:sz="4" w:space="0" w:color="auto"/>
              <w:right w:val="single" w:sz="4" w:space="0" w:color="auto"/>
            </w:tcBorders>
            <w:noWrap/>
            <w:vAlign w:val="center"/>
            <w:hideMark/>
          </w:tcPr>
          <w:p w:rsidR="004F2A16" w:rsidRPr="0097324B" w:rsidRDefault="004F2A16" w:rsidP="00E01C63">
            <w:pPr>
              <w:keepNext/>
              <w:jc w:val="left"/>
              <w:rPr>
                <w:rFonts w:ascii="Arial Narrow" w:hAnsi="Arial Narrow" w:cs="Times New Roman"/>
                <w:sz w:val="20"/>
                <w:szCs w:val="20"/>
              </w:rPr>
            </w:pPr>
            <w:r w:rsidRPr="0097324B">
              <w:rPr>
                <w:rFonts w:ascii="Arial Narrow" w:hAnsi="Arial Narrow" w:cs="Times New Roman"/>
                <w:sz w:val="20"/>
                <w:szCs w:val="20"/>
                <w:lang w:bidi="en-US"/>
              </w:rPr>
              <w:t>Population 4 (2L post CT)</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61D09">
              <w:rPr>
                <w:rFonts w:ascii="Arial Narrow" w:hAnsi="Arial Narrow" w:cs="Times New Roman"/>
                <w:sz w:val="20"/>
                <w:szCs w:val="20"/>
                <w:vertAlign w:val="superscript"/>
                <w:lang w:bidi="en-US"/>
              </w:rPr>
              <w:t>1</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61D09">
              <w:rPr>
                <w:rFonts w:ascii="Arial Narrow" w:hAnsi="Arial Narrow" w:cs="Times New Roman"/>
                <w:sz w:val="20"/>
                <w:szCs w:val="20"/>
                <w:vertAlign w:val="superscript"/>
                <w:lang w:bidi="en-US"/>
              </w:rPr>
              <w:t>1</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61D09">
              <w:rPr>
                <w:rFonts w:ascii="Arial Narrow" w:hAnsi="Arial Narrow" w:cs="Times New Roman"/>
                <w:sz w:val="20"/>
                <w:szCs w:val="20"/>
                <w:vertAlign w:val="superscript"/>
                <w:lang w:bidi="en-US"/>
              </w:rPr>
              <w:t>1</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61D09">
              <w:rPr>
                <w:rFonts w:ascii="Arial Narrow" w:hAnsi="Arial Narrow" w:cs="Times New Roman"/>
                <w:sz w:val="20"/>
                <w:szCs w:val="20"/>
                <w:vertAlign w:val="superscript"/>
                <w:lang w:bidi="en-US"/>
              </w:rPr>
              <w:t>1</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46FA6">
              <w:rPr>
                <w:rFonts w:ascii="Arial Narrow" w:hAnsi="Arial Narrow" w:cs="Times New Roman"/>
                <w:sz w:val="20"/>
                <w:szCs w:val="20"/>
                <w:vertAlign w:val="superscript"/>
                <w:lang w:bidi="en-US"/>
              </w:rPr>
              <w:t>2</w:t>
            </w:r>
          </w:p>
        </w:tc>
        <w:tc>
          <w:tcPr>
            <w:tcW w:w="584" w:type="pct"/>
            <w:tcBorders>
              <w:top w:val="nil"/>
              <w:left w:val="nil"/>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lang w:bidi="en-US"/>
              </w:rPr>
              <w:t>''''''''</w:t>
            </w:r>
            <w:r w:rsidR="00A46FA6">
              <w:rPr>
                <w:rFonts w:ascii="Arial Narrow" w:hAnsi="Arial Narrow" w:cs="Times New Roman"/>
                <w:sz w:val="20"/>
                <w:szCs w:val="20"/>
                <w:vertAlign w:val="superscript"/>
                <w:lang w:bidi="en-US"/>
              </w:rPr>
              <w:t>2</w:t>
            </w:r>
          </w:p>
        </w:tc>
      </w:tr>
      <w:tr w:rsidR="00A46FA6" w:rsidRPr="0097324B" w:rsidTr="00CD19AF">
        <w:trPr>
          <w:trHeight w:val="198"/>
        </w:trPr>
        <w:tc>
          <w:tcPr>
            <w:tcW w:w="1493" w:type="pct"/>
            <w:tcBorders>
              <w:top w:val="single" w:sz="4" w:space="0" w:color="auto"/>
              <w:left w:val="single" w:sz="4" w:space="0" w:color="auto"/>
              <w:bottom w:val="single" w:sz="4" w:space="0" w:color="auto"/>
              <w:right w:val="single" w:sz="4" w:space="0" w:color="auto"/>
            </w:tcBorders>
            <w:noWrap/>
            <w:hideMark/>
          </w:tcPr>
          <w:p w:rsidR="004F2A16" w:rsidRPr="0097324B" w:rsidRDefault="004F2A16" w:rsidP="00E01C63">
            <w:pPr>
              <w:keepNext/>
              <w:jc w:val="left"/>
              <w:rPr>
                <w:rFonts w:ascii="Arial Narrow" w:hAnsi="Arial Narrow" w:cs="Times New Roman"/>
                <w:sz w:val="20"/>
                <w:szCs w:val="20"/>
              </w:rPr>
            </w:pPr>
            <w:r w:rsidRPr="0097324B">
              <w:rPr>
                <w:rFonts w:ascii="Arial Narrow" w:hAnsi="Arial Narrow" w:cs="Times New Roman"/>
                <w:sz w:val="20"/>
                <w:szCs w:val="20"/>
              </w:rPr>
              <w:t>Total eligible patients (populations 1 to 4)</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2</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2</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2</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2</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2</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2</w:t>
            </w:r>
          </w:p>
        </w:tc>
      </w:tr>
      <w:tr w:rsidR="004F2A16" w:rsidRPr="0097324B" w:rsidTr="00184D90">
        <w:trPr>
          <w:trHeight w:val="198"/>
        </w:trPr>
        <w:tc>
          <w:tcPr>
            <w:tcW w:w="5000" w:type="pct"/>
            <w:gridSpan w:val="7"/>
            <w:tcBorders>
              <w:top w:val="single" w:sz="4" w:space="0" w:color="auto"/>
              <w:left w:val="single" w:sz="4" w:space="0" w:color="auto"/>
              <w:bottom w:val="single" w:sz="4" w:space="0" w:color="auto"/>
              <w:right w:val="single" w:sz="4" w:space="0" w:color="auto"/>
            </w:tcBorders>
            <w:noWrap/>
            <w:hideMark/>
          </w:tcPr>
          <w:p w:rsidR="004F2A16" w:rsidRPr="0097324B" w:rsidRDefault="004F2A16" w:rsidP="00E01C63">
            <w:pPr>
              <w:keepNext/>
              <w:jc w:val="left"/>
              <w:rPr>
                <w:rFonts w:ascii="Arial Narrow" w:hAnsi="Arial Narrow" w:cs="Times New Roman"/>
                <w:b/>
                <w:sz w:val="20"/>
                <w:szCs w:val="20"/>
                <w:vertAlign w:val="superscript"/>
              </w:rPr>
            </w:pPr>
            <w:r w:rsidRPr="0097324B">
              <w:rPr>
                <w:rFonts w:ascii="Arial Narrow" w:hAnsi="Arial Narrow" w:cs="Times New Roman"/>
                <w:b/>
                <w:sz w:val="20"/>
                <w:szCs w:val="20"/>
              </w:rPr>
              <w:t>Treated patients</w:t>
            </w:r>
            <w:r w:rsidRPr="0097324B">
              <w:rPr>
                <w:rFonts w:ascii="Arial Narrow" w:hAnsi="Arial Narrow" w:cs="Times New Roman"/>
                <w:b/>
                <w:sz w:val="20"/>
                <w:szCs w:val="20"/>
                <w:vertAlign w:val="superscript"/>
              </w:rPr>
              <w:t>b</w:t>
            </w:r>
          </w:p>
        </w:tc>
      </w:tr>
      <w:tr w:rsidR="00A46FA6" w:rsidRPr="0097324B" w:rsidTr="00CD19AF">
        <w:trPr>
          <w:trHeight w:val="198"/>
        </w:trPr>
        <w:tc>
          <w:tcPr>
            <w:tcW w:w="1493" w:type="pct"/>
            <w:tcBorders>
              <w:top w:val="single" w:sz="4" w:space="0" w:color="auto"/>
              <w:left w:val="single" w:sz="4" w:space="0" w:color="auto"/>
              <w:bottom w:val="single" w:sz="4" w:space="0" w:color="auto"/>
              <w:right w:val="single" w:sz="4" w:space="0" w:color="auto"/>
            </w:tcBorders>
            <w:noWrap/>
            <w:vAlign w:val="center"/>
            <w:hideMark/>
          </w:tcPr>
          <w:p w:rsidR="004F2A16" w:rsidRPr="0097324B" w:rsidRDefault="004F2A16" w:rsidP="00E01C63">
            <w:pPr>
              <w:keepNext/>
              <w:jc w:val="left"/>
              <w:rPr>
                <w:rFonts w:ascii="Arial Narrow" w:hAnsi="Arial Narrow" w:cs="Times New Roman"/>
                <w:sz w:val="20"/>
                <w:szCs w:val="20"/>
              </w:rPr>
            </w:pPr>
            <w:r w:rsidRPr="0097324B">
              <w:rPr>
                <w:rFonts w:ascii="Arial Narrow" w:hAnsi="Arial Narrow" w:cs="Times New Roman"/>
                <w:sz w:val="20"/>
                <w:szCs w:val="20"/>
                <w:lang w:bidi="en-US"/>
              </w:rPr>
              <w:t>Population 1 (1L ER)</w:t>
            </w:r>
          </w:p>
        </w:tc>
        <w:tc>
          <w:tcPr>
            <w:tcW w:w="584" w:type="pct"/>
            <w:tcBorders>
              <w:top w:val="single" w:sz="4" w:space="0" w:color="auto"/>
              <w:left w:val="nil"/>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61D09">
              <w:rPr>
                <w:rFonts w:ascii="Arial Narrow" w:hAnsi="Arial Narrow" w:cs="Times New Roman"/>
                <w:sz w:val="20"/>
                <w:szCs w:val="20"/>
                <w:vertAlign w:val="superscript"/>
                <w:lang w:bidi="en-US"/>
              </w:rPr>
              <w:t>1</w:t>
            </w:r>
          </w:p>
        </w:tc>
        <w:tc>
          <w:tcPr>
            <w:tcW w:w="584" w:type="pct"/>
            <w:tcBorders>
              <w:top w:val="single" w:sz="4" w:space="0" w:color="auto"/>
              <w:left w:val="single" w:sz="4" w:space="0" w:color="auto"/>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61D09">
              <w:rPr>
                <w:rFonts w:ascii="Arial Narrow" w:hAnsi="Arial Narrow" w:cs="Times New Roman"/>
                <w:sz w:val="20"/>
                <w:szCs w:val="20"/>
                <w:vertAlign w:val="superscript"/>
                <w:lang w:bidi="en-US"/>
              </w:rPr>
              <w:t>1</w:t>
            </w:r>
          </w:p>
        </w:tc>
        <w:tc>
          <w:tcPr>
            <w:tcW w:w="584" w:type="pct"/>
            <w:tcBorders>
              <w:top w:val="single" w:sz="4" w:space="0" w:color="auto"/>
              <w:left w:val="single" w:sz="4" w:space="0" w:color="auto"/>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61D09">
              <w:rPr>
                <w:rFonts w:ascii="Arial Narrow" w:hAnsi="Arial Narrow" w:cs="Times New Roman"/>
                <w:sz w:val="20"/>
                <w:szCs w:val="20"/>
                <w:vertAlign w:val="superscript"/>
                <w:lang w:bidi="en-US"/>
              </w:rPr>
              <w:t>1</w:t>
            </w:r>
          </w:p>
        </w:tc>
        <w:tc>
          <w:tcPr>
            <w:tcW w:w="584" w:type="pct"/>
            <w:tcBorders>
              <w:top w:val="single" w:sz="4" w:space="0" w:color="auto"/>
              <w:left w:val="single" w:sz="4" w:space="0" w:color="auto"/>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46FA6">
              <w:rPr>
                <w:rFonts w:ascii="Arial Narrow" w:hAnsi="Arial Narrow" w:cs="Times New Roman"/>
                <w:sz w:val="20"/>
                <w:szCs w:val="20"/>
                <w:vertAlign w:val="superscript"/>
                <w:lang w:bidi="en-US"/>
              </w:rPr>
              <w:t>2</w:t>
            </w:r>
          </w:p>
        </w:tc>
        <w:tc>
          <w:tcPr>
            <w:tcW w:w="584" w:type="pct"/>
            <w:tcBorders>
              <w:top w:val="single" w:sz="4" w:space="0" w:color="auto"/>
              <w:left w:val="single" w:sz="4" w:space="0" w:color="auto"/>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46FA6">
              <w:rPr>
                <w:rFonts w:ascii="Arial Narrow" w:hAnsi="Arial Narrow" w:cs="Times New Roman"/>
                <w:sz w:val="20"/>
                <w:szCs w:val="20"/>
                <w:vertAlign w:val="superscript"/>
                <w:lang w:bidi="en-US"/>
              </w:rPr>
              <w:t>2</w:t>
            </w:r>
          </w:p>
        </w:tc>
        <w:tc>
          <w:tcPr>
            <w:tcW w:w="584" w:type="pct"/>
            <w:tcBorders>
              <w:top w:val="single" w:sz="4" w:space="0" w:color="auto"/>
              <w:left w:val="single" w:sz="4" w:space="0" w:color="auto"/>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46FA6">
              <w:rPr>
                <w:rFonts w:ascii="Arial Narrow" w:hAnsi="Arial Narrow" w:cs="Times New Roman"/>
                <w:sz w:val="20"/>
                <w:szCs w:val="20"/>
                <w:vertAlign w:val="superscript"/>
                <w:lang w:bidi="en-US"/>
              </w:rPr>
              <w:t>2</w:t>
            </w:r>
          </w:p>
        </w:tc>
      </w:tr>
      <w:tr w:rsidR="00A46FA6" w:rsidRPr="0097324B" w:rsidTr="00CD19AF">
        <w:trPr>
          <w:trHeight w:val="198"/>
        </w:trPr>
        <w:tc>
          <w:tcPr>
            <w:tcW w:w="1493" w:type="pct"/>
            <w:tcBorders>
              <w:top w:val="single" w:sz="4" w:space="0" w:color="auto"/>
              <w:left w:val="single" w:sz="4" w:space="0" w:color="auto"/>
              <w:bottom w:val="single" w:sz="4" w:space="0" w:color="auto"/>
              <w:right w:val="single" w:sz="4" w:space="0" w:color="auto"/>
            </w:tcBorders>
            <w:noWrap/>
            <w:vAlign w:val="center"/>
            <w:hideMark/>
          </w:tcPr>
          <w:p w:rsidR="004F2A16" w:rsidRPr="0097324B" w:rsidRDefault="004F2A16" w:rsidP="00E01C63">
            <w:pPr>
              <w:keepNext/>
              <w:jc w:val="left"/>
              <w:rPr>
                <w:rFonts w:ascii="Arial Narrow" w:hAnsi="Arial Narrow" w:cs="Times New Roman"/>
                <w:sz w:val="20"/>
                <w:szCs w:val="20"/>
              </w:rPr>
            </w:pPr>
            <w:r w:rsidRPr="0097324B">
              <w:rPr>
                <w:rFonts w:ascii="Arial Narrow" w:hAnsi="Arial Narrow" w:cs="Times New Roman"/>
                <w:sz w:val="20"/>
                <w:szCs w:val="20"/>
                <w:lang w:bidi="en-US"/>
              </w:rPr>
              <w:t>Population 2 (2L ER post EVE+EXE)</w:t>
            </w:r>
          </w:p>
        </w:tc>
        <w:tc>
          <w:tcPr>
            <w:tcW w:w="584" w:type="pct"/>
            <w:tcBorders>
              <w:top w:val="single" w:sz="4" w:space="0" w:color="auto"/>
              <w:left w:val="nil"/>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46FA6">
              <w:rPr>
                <w:rFonts w:ascii="Arial Narrow" w:hAnsi="Arial Narrow" w:cs="Times New Roman"/>
                <w:sz w:val="20"/>
                <w:szCs w:val="20"/>
                <w:vertAlign w:val="superscript"/>
                <w:lang w:bidi="en-US"/>
              </w:rPr>
              <w:t>1</w:t>
            </w:r>
          </w:p>
        </w:tc>
        <w:tc>
          <w:tcPr>
            <w:tcW w:w="584" w:type="pct"/>
            <w:tcBorders>
              <w:top w:val="single" w:sz="4" w:space="0" w:color="auto"/>
              <w:left w:val="single" w:sz="4" w:space="0" w:color="auto"/>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46FA6">
              <w:rPr>
                <w:rFonts w:ascii="Arial Narrow" w:hAnsi="Arial Narrow" w:cs="Times New Roman"/>
                <w:sz w:val="20"/>
                <w:szCs w:val="20"/>
                <w:vertAlign w:val="superscript"/>
                <w:lang w:bidi="en-US"/>
              </w:rPr>
              <w:t>1</w:t>
            </w:r>
          </w:p>
        </w:tc>
        <w:tc>
          <w:tcPr>
            <w:tcW w:w="584" w:type="pct"/>
            <w:tcBorders>
              <w:top w:val="single" w:sz="4" w:space="0" w:color="auto"/>
              <w:left w:val="single" w:sz="4" w:space="0" w:color="auto"/>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46FA6">
              <w:rPr>
                <w:rFonts w:ascii="Arial Narrow" w:hAnsi="Arial Narrow" w:cs="Times New Roman"/>
                <w:sz w:val="20"/>
                <w:szCs w:val="20"/>
                <w:vertAlign w:val="superscript"/>
                <w:lang w:bidi="en-US"/>
              </w:rPr>
              <w:t>1</w:t>
            </w:r>
          </w:p>
        </w:tc>
        <w:tc>
          <w:tcPr>
            <w:tcW w:w="584" w:type="pct"/>
            <w:tcBorders>
              <w:top w:val="single" w:sz="4" w:space="0" w:color="auto"/>
              <w:left w:val="single" w:sz="4" w:space="0" w:color="auto"/>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61D09">
              <w:rPr>
                <w:rFonts w:ascii="Arial Narrow" w:hAnsi="Arial Narrow" w:cs="Times New Roman"/>
                <w:sz w:val="20"/>
                <w:szCs w:val="20"/>
                <w:vertAlign w:val="superscript"/>
                <w:lang w:bidi="en-US"/>
              </w:rPr>
              <w:t>1</w:t>
            </w:r>
          </w:p>
        </w:tc>
        <w:tc>
          <w:tcPr>
            <w:tcW w:w="584" w:type="pct"/>
            <w:tcBorders>
              <w:top w:val="single" w:sz="4" w:space="0" w:color="auto"/>
              <w:left w:val="single" w:sz="4" w:space="0" w:color="auto"/>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61D09">
              <w:rPr>
                <w:rFonts w:ascii="Arial Narrow" w:hAnsi="Arial Narrow" w:cs="Times New Roman"/>
                <w:sz w:val="20"/>
                <w:szCs w:val="20"/>
                <w:vertAlign w:val="superscript"/>
                <w:lang w:bidi="en-US"/>
              </w:rPr>
              <w:t>1</w:t>
            </w:r>
          </w:p>
        </w:tc>
        <w:tc>
          <w:tcPr>
            <w:tcW w:w="584" w:type="pct"/>
            <w:tcBorders>
              <w:top w:val="single" w:sz="4" w:space="0" w:color="auto"/>
              <w:left w:val="single" w:sz="4" w:space="0" w:color="auto"/>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61D09">
              <w:rPr>
                <w:rFonts w:ascii="Arial Narrow" w:hAnsi="Arial Narrow" w:cs="Times New Roman"/>
                <w:sz w:val="20"/>
                <w:szCs w:val="20"/>
                <w:vertAlign w:val="superscript"/>
                <w:lang w:bidi="en-US"/>
              </w:rPr>
              <w:t>1</w:t>
            </w:r>
          </w:p>
        </w:tc>
      </w:tr>
      <w:tr w:rsidR="00A46FA6" w:rsidRPr="0097324B" w:rsidTr="00CD19AF">
        <w:trPr>
          <w:trHeight w:val="198"/>
        </w:trPr>
        <w:tc>
          <w:tcPr>
            <w:tcW w:w="1493" w:type="pct"/>
            <w:tcBorders>
              <w:top w:val="single" w:sz="4" w:space="0" w:color="auto"/>
              <w:left w:val="single" w:sz="4" w:space="0" w:color="auto"/>
              <w:bottom w:val="single" w:sz="4" w:space="0" w:color="auto"/>
              <w:right w:val="single" w:sz="4" w:space="0" w:color="auto"/>
            </w:tcBorders>
            <w:noWrap/>
            <w:vAlign w:val="center"/>
            <w:hideMark/>
          </w:tcPr>
          <w:p w:rsidR="004F2A16" w:rsidRPr="0097324B" w:rsidRDefault="004F2A16" w:rsidP="00E01C63">
            <w:pPr>
              <w:keepNext/>
              <w:jc w:val="left"/>
              <w:rPr>
                <w:rFonts w:ascii="Arial Narrow" w:hAnsi="Arial Narrow" w:cs="Times New Roman"/>
                <w:sz w:val="20"/>
                <w:szCs w:val="20"/>
              </w:rPr>
            </w:pPr>
            <w:r w:rsidRPr="0097324B">
              <w:rPr>
                <w:rFonts w:ascii="Arial Narrow" w:hAnsi="Arial Narrow" w:cs="Times New Roman"/>
                <w:sz w:val="20"/>
                <w:szCs w:val="20"/>
                <w:lang w:bidi="en-US"/>
              </w:rPr>
              <w:t>Population 3 (2L ES post AI/SERM)</w:t>
            </w:r>
          </w:p>
        </w:tc>
        <w:tc>
          <w:tcPr>
            <w:tcW w:w="584" w:type="pct"/>
            <w:tcBorders>
              <w:top w:val="single" w:sz="4" w:space="0" w:color="auto"/>
              <w:left w:val="nil"/>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46FA6">
              <w:rPr>
                <w:rFonts w:ascii="Arial Narrow" w:hAnsi="Arial Narrow" w:cs="Times New Roman"/>
                <w:sz w:val="20"/>
                <w:szCs w:val="20"/>
                <w:vertAlign w:val="superscript"/>
                <w:lang w:bidi="en-US"/>
              </w:rPr>
              <w:t>1</w:t>
            </w:r>
          </w:p>
        </w:tc>
        <w:tc>
          <w:tcPr>
            <w:tcW w:w="584" w:type="pct"/>
            <w:tcBorders>
              <w:top w:val="single" w:sz="4" w:space="0" w:color="auto"/>
              <w:left w:val="single" w:sz="4" w:space="0" w:color="auto"/>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46FA6">
              <w:rPr>
                <w:rFonts w:ascii="Arial Narrow" w:hAnsi="Arial Narrow" w:cs="Times New Roman"/>
                <w:sz w:val="20"/>
                <w:szCs w:val="20"/>
                <w:vertAlign w:val="superscript"/>
                <w:lang w:bidi="en-US"/>
              </w:rPr>
              <w:t>1</w:t>
            </w:r>
          </w:p>
        </w:tc>
        <w:tc>
          <w:tcPr>
            <w:tcW w:w="584" w:type="pct"/>
            <w:tcBorders>
              <w:top w:val="single" w:sz="4" w:space="0" w:color="auto"/>
              <w:left w:val="single" w:sz="4" w:space="0" w:color="auto"/>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46FA6">
              <w:rPr>
                <w:rFonts w:ascii="Arial Narrow" w:hAnsi="Arial Narrow" w:cs="Times New Roman"/>
                <w:sz w:val="20"/>
                <w:szCs w:val="20"/>
                <w:vertAlign w:val="superscript"/>
                <w:lang w:bidi="en-US"/>
              </w:rPr>
              <w:t>1</w:t>
            </w:r>
          </w:p>
        </w:tc>
        <w:tc>
          <w:tcPr>
            <w:tcW w:w="584" w:type="pct"/>
            <w:tcBorders>
              <w:top w:val="single" w:sz="4" w:space="0" w:color="auto"/>
              <w:left w:val="single" w:sz="4" w:space="0" w:color="auto"/>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46FA6">
              <w:rPr>
                <w:rFonts w:ascii="Arial Narrow" w:hAnsi="Arial Narrow" w:cs="Times New Roman"/>
                <w:sz w:val="20"/>
                <w:szCs w:val="20"/>
                <w:vertAlign w:val="superscript"/>
                <w:lang w:bidi="en-US"/>
              </w:rPr>
              <w:t>1</w:t>
            </w:r>
          </w:p>
        </w:tc>
        <w:tc>
          <w:tcPr>
            <w:tcW w:w="584" w:type="pct"/>
            <w:tcBorders>
              <w:top w:val="single" w:sz="4" w:space="0" w:color="auto"/>
              <w:left w:val="single" w:sz="4" w:space="0" w:color="auto"/>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46FA6">
              <w:rPr>
                <w:rFonts w:ascii="Arial Narrow" w:hAnsi="Arial Narrow" w:cs="Times New Roman"/>
                <w:sz w:val="20"/>
                <w:szCs w:val="20"/>
                <w:vertAlign w:val="superscript"/>
                <w:lang w:bidi="en-US"/>
              </w:rPr>
              <w:t>1</w:t>
            </w:r>
          </w:p>
        </w:tc>
        <w:tc>
          <w:tcPr>
            <w:tcW w:w="584" w:type="pct"/>
            <w:tcBorders>
              <w:top w:val="single" w:sz="4" w:space="0" w:color="auto"/>
              <w:left w:val="single" w:sz="4" w:space="0" w:color="auto"/>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46FA6">
              <w:rPr>
                <w:rFonts w:ascii="Arial Narrow" w:hAnsi="Arial Narrow" w:cs="Times New Roman"/>
                <w:sz w:val="20"/>
                <w:szCs w:val="20"/>
                <w:vertAlign w:val="superscript"/>
                <w:lang w:bidi="en-US"/>
              </w:rPr>
              <w:t>1</w:t>
            </w:r>
          </w:p>
        </w:tc>
      </w:tr>
      <w:tr w:rsidR="00A46FA6" w:rsidRPr="0097324B" w:rsidTr="00CD19AF">
        <w:trPr>
          <w:trHeight w:val="198"/>
        </w:trPr>
        <w:tc>
          <w:tcPr>
            <w:tcW w:w="1493" w:type="pct"/>
            <w:tcBorders>
              <w:top w:val="single" w:sz="4" w:space="0" w:color="auto"/>
              <w:left w:val="single" w:sz="4" w:space="0" w:color="auto"/>
              <w:bottom w:val="single" w:sz="4" w:space="0" w:color="auto"/>
              <w:right w:val="single" w:sz="4" w:space="0" w:color="auto"/>
            </w:tcBorders>
            <w:noWrap/>
            <w:vAlign w:val="center"/>
            <w:hideMark/>
          </w:tcPr>
          <w:p w:rsidR="004F2A16" w:rsidRPr="0097324B" w:rsidRDefault="004F2A16" w:rsidP="00E01C63">
            <w:pPr>
              <w:keepNext/>
              <w:jc w:val="left"/>
              <w:rPr>
                <w:rFonts w:ascii="Arial Narrow" w:hAnsi="Arial Narrow" w:cs="Times New Roman"/>
                <w:sz w:val="20"/>
                <w:szCs w:val="20"/>
              </w:rPr>
            </w:pPr>
            <w:r w:rsidRPr="0097324B">
              <w:rPr>
                <w:rFonts w:ascii="Arial Narrow" w:hAnsi="Arial Narrow" w:cs="Times New Roman"/>
                <w:sz w:val="20"/>
                <w:szCs w:val="20"/>
                <w:lang w:bidi="en-US"/>
              </w:rPr>
              <w:t>Population 4 (2L post CT)</w:t>
            </w:r>
          </w:p>
        </w:tc>
        <w:tc>
          <w:tcPr>
            <w:tcW w:w="584" w:type="pct"/>
            <w:tcBorders>
              <w:top w:val="single" w:sz="4" w:space="0" w:color="auto"/>
              <w:left w:val="nil"/>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46FA6">
              <w:rPr>
                <w:rFonts w:ascii="Arial Narrow" w:hAnsi="Arial Narrow" w:cs="Times New Roman"/>
                <w:sz w:val="20"/>
                <w:szCs w:val="20"/>
                <w:vertAlign w:val="superscript"/>
                <w:lang w:bidi="en-US"/>
              </w:rPr>
              <w:t>1</w:t>
            </w:r>
          </w:p>
        </w:tc>
        <w:tc>
          <w:tcPr>
            <w:tcW w:w="584" w:type="pct"/>
            <w:tcBorders>
              <w:top w:val="single" w:sz="4" w:space="0" w:color="auto"/>
              <w:left w:val="single" w:sz="4" w:space="0" w:color="auto"/>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46FA6">
              <w:rPr>
                <w:rFonts w:ascii="Arial Narrow" w:hAnsi="Arial Narrow" w:cs="Times New Roman"/>
                <w:sz w:val="20"/>
                <w:szCs w:val="20"/>
                <w:vertAlign w:val="superscript"/>
                <w:lang w:bidi="en-US"/>
              </w:rPr>
              <w:t>1</w:t>
            </w:r>
          </w:p>
        </w:tc>
        <w:tc>
          <w:tcPr>
            <w:tcW w:w="584" w:type="pct"/>
            <w:tcBorders>
              <w:top w:val="single" w:sz="4" w:space="0" w:color="auto"/>
              <w:left w:val="single" w:sz="4" w:space="0" w:color="auto"/>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46FA6">
              <w:rPr>
                <w:rFonts w:ascii="Arial Narrow" w:hAnsi="Arial Narrow" w:cs="Times New Roman"/>
                <w:sz w:val="20"/>
                <w:szCs w:val="20"/>
                <w:vertAlign w:val="superscript"/>
                <w:lang w:bidi="en-US"/>
              </w:rPr>
              <w:t>1</w:t>
            </w:r>
          </w:p>
        </w:tc>
        <w:tc>
          <w:tcPr>
            <w:tcW w:w="584" w:type="pct"/>
            <w:tcBorders>
              <w:top w:val="single" w:sz="4" w:space="0" w:color="auto"/>
              <w:left w:val="single" w:sz="4" w:space="0" w:color="auto"/>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46FA6">
              <w:rPr>
                <w:rFonts w:ascii="Arial Narrow" w:hAnsi="Arial Narrow" w:cs="Times New Roman"/>
                <w:sz w:val="20"/>
                <w:szCs w:val="20"/>
                <w:vertAlign w:val="superscript"/>
                <w:lang w:bidi="en-US"/>
              </w:rPr>
              <w:t>1</w:t>
            </w:r>
          </w:p>
        </w:tc>
        <w:tc>
          <w:tcPr>
            <w:tcW w:w="584" w:type="pct"/>
            <w:tcBorders>
              <w:top w:val="single" w:sz="4" w:space="0" w:color="auto"/>
              <w:left w:val="single" w:sz="4" w:space="0" w:color="auto"/>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46FA6">
              <w:rPr>
                <w:rFonts w:ascii="Arial Narrow" w:hAnsi="Arial Narrow" w:cs="Times New Roman"/>
                <w:sz w:val="20"/>
                <w:szCs w:val="20"/>
                <w:vertAlign w:val="superscript"/>
                <w:lang w:bidi="en-US"/>
              </w:rPr>
              <w:t>1</w:t>
            </w:r>
          </w:p>
        </w:tc>
        <w:tc>
          <w:tcPr>
            <w:tcW w:w="584" w:type="pct"/>
            <w:tcBorders>
              <w:top w:val="single" w:sz="4" w:space="0" w:color="auto"/>
              <w:left w:val="single" w:sz="4" w:space="0" w:color="auto"/>
              <w:bottom w:val="single" w:sz="4" w:space="0" w:color="auto"/>
              <w:right w:val="single" w:sz="4" w:space="0" w:color="auto"/>
            </w:tcBorders>
            <w:noWrap/>
            <w:vAlign w:val="bottom"/>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A46FA6">
              <w:rPr>
                <w:rFonts w:ascii="Arial Narrow" w:hAnsi="Arial Narrow" w:cs="Times New Roman"/>
                <w:sz w:val="20"/>
                <w:szCs w:val="20"/>
                <w:vertAlign w:val="superscript"/>
                <w:lang w:bidi="en-US"/>
              </w:rPr>
              <w:t>1</w:t>
            </w:r>
          </w:p>
        </w:tc>
      </w:tr>
      <w:tr w:rsidR="00A46FA6" w:rsidRPr="0097324B" w:rsidTr="00CD19AF">
        <w:trPr>
          <w:trHeight w:val="198"/>
        </w:trPr>
        <w:tc>
          <w:tcPr>
            <w:tcW w:w="1493" w:type="pct"/>
            <w:tcBorders>
              <w:top w:val="single" w:sz="4" w:space="0" w:color="auto"/>
              <w:left w:val="single" w:sz="4" w:space="0" w:color="auto"/>
              <w:bottom w:val="single" w:sz="4" w:space="0" w:color="auto"/>
              <w:right w:val="single" w:sz="4" w:space="0" w:color="auto"/>
            </w:tcBorders>
            <w:noWrap/>
            <w:hideMark/>
          </w:tcPr>
          <w:p w:rsidR="004F2A16" w:rsidRPr="0097324B" w:rsidRDefault="004F2A16" w:rsidP="00E01C63">
            <w:pPr>
              <w:keepNext/>
              <w:jc w:val="left"/>
              <w:rPr>
                <w:rFonts w:ascii="Arial Narrow" w:hAnsi="Arial Narrow" w:cs="Times New Roman"/>
                <w:sz w:val="20"/>
                <w:szCs w:val="20"/>
              </w:rPr>
            </w:pPr>
            <w:r w:rsidRPr="0097324B">
              <w:rPr>
                <w:rFonts w:ascii="Arial Narrow" w:hAnsi="Arial Narrow" w:cs="Times New Roman"/>
                <w:sz w:val="20"/>
                <w:szCs w:val="20"/>
              </w:rPr>
              <w:t>Total receiving ABE  (populations 1 to 4)</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2</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2</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2</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2</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2</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2</w:t>
            </w:r>
          </w:p>
        </w:tc>
      </w:tr>
      <w:tr w:rsidR="004F2A16" w:rsidRPr="0097324B" w:rsidTr="00184D90">
        <w:trPr>
          <w:trHeight w:val="198"/>
        </w:trPr>
        <w:tc>
          <w:tcPr>
            <w:tcW w:w="5000" w:type="pct"/>
            <w:gridSpan w:val="7"/>
            <w:tcBorders>
              <w:top w:val="single" w:sz="4" w:space="0" w:color="auto"/>
              <w:left w:val="single" w:sz="4" w:space="0" w:color="auto"/>
              <w:bottom w:val="single" w:sz="4" w:space="0" w:color="auto"/>
              <w:right w:val="single" w:sz="4" w:space="0" w:color="auto"/>
            </w:tcBorders>
            <w:noWrap/>
            <w:hideMark/>
          </w:tcPr>
          <w:p w:rsidR="004F2A16" w:rsidRPr="0097324B" w:rsidRDefault="004F2A16" w:rsidP="00E01C63">
            <w:pPr>
              <w:keepNext/>
              <w:jc w:val="left"/>
              <w:rPr>
                <w:rFonts w:ascii="Arial Narrow" w:hAnsi="Arial Narrow" w:cs="Times New Roman"/>
                <w:b/>
                <w:sz w:val="20"/>
                <w:szCs w:val="20"/>
              </w:rPr>
            </w:pPr>
            <w:r w:rsidRPr="0097324B">
              <w:rPr>
                <w:rFonts w:ascii="Arial Narrow" w:hAnsi="Arial Narrow" w:cs="Times New Roman"/>
                <w:b/>
                <w:sz w:val="20"/>
                <w:szCs w:val="20"/>
              </w:rPr>
              <w:t>Total PBS/RPBS packs</w:t>
            </w:r>
          </w:p>
        </w:tc>
      </w:tr>
      <w:tr w:rsidR="00A46FA6" w:rsidRPr="0097324B" w:rsidTr="00CD19AF">
        <w:trPr>
          <w:trHeight w:val="198"/>
        </w:trPr>
        <w:tc>
          <w:tcPr>
            <w:tcW w:w="1493" w:type="pct"/>
            <w:tcBorders>
              <w:top w:val="single" w:sz="4" w:space="0" w:color="auto"/>
              <w:left w:val="single" w:sz="4" w:space="0" w:color="auto"/>
              <w:bottom w:val="single" w:sz="4" w:space="0" w:color="auto"/>
              <w:right w:val="single" w:sz="4" w:space="0" w:color="auto"/>
            </w:tcBorders>
            <w:noWrap/>
            <w:hideMark/>
          </w:tcPr>
          <w:p w:rsidR="004F2A16" w:rsidRPr="0097324B" w:rsidRDefault="004F2A16" w:rsidP="00E01C63">
            <w:pPr>
              <w:keepNext/>
              <w:jc w:val="left"/>
              <w:rPr>
                <w:rFonts w:ascii="Arial Narrow" w:hAnsi="Arial Narrow" w:cs="Times New Roman"/>
                <w:sz w:val="20"/>
                <w:szCs w:val="20"/>
              </w:rPr>
            </w:pPr>
            <w:r w:rsidRPr="0097324B">
              <w:rPr>
                <w:rFonts w:ascii="Arial Narrow" w:hAnsi="Arial Narrow" w:cs="Times New Roman"/>
                <w:sz w:val="20"/>
                <w:szCs w:val="20"/>
              </w:rPr>
              <w:t>ABE - All</w:t>
            </w:r>
            <w:r w:rsidRPr="0097324B">
              <w:rPr>
                <w:rFonts w:ascii="Arial Narrow" w:hAnsi="Arial Narrow" w:cs="Times New Roman"/>
                <w:sz w:val="20"/>
                <w:szCs w:val="20"/>
                <w:vertAlign w:val="superscript"/>
              </w:rPr>
              <w:t>a</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3</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3</w:t>
            </w:r>
            <w:r>
              <w:rPr>
                <w:rFonts w:ascii="Arial Narrow" w:hAnsi="Arial Narrow" w:cs="Times New Roman"/>
                <w:noProof/>
                <w:color w:val="000000"/>
                <w:sz w:val="20"/>
                <w:szCs w:val="20"/>
                <w:highlight w:val="black"/>
              </w:rPr>
              <w:t xml:space="preserve"> </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3</w:t>
            </w:r>
            <w:r>
              <w:rPr>
                <w:rFonts w:ascii="Arial Narrow" w:hAnsi="Arial Narrow" w:cs="Times New Roman"/>
                <w:noProof/>
                <w:color w:val="000000"/>
                <w:sz w:val="20"/>
                <w:szCs w:val="20"/>
                <w:highlight w:val="black"/>
              </w:rPr>
              <w:t xml:space="preserve"> </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3</w:t>
            </w:r>
            <w:r>
              <w:rPr>
                <w:rFonts w:ascii="Arial Narrow" w:hAnsi="Arial Narrow" w:cs="Times New Roman"/>
                <w:noProof/>
                <w:color w:val="000000"/>
                <w:sz w:val="20"/>
                <w:szCs w:val="20"/>
                <w:highlight w:val="black"/>
              </w:rPr>
              <w:t xml:space="preserve"> </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3</w:t>
            </w:r>
            <w:r>
              <w:rPr>
                <w:rFonts w:ascii="Arial Narrow" w:hAnsi="Arial Narrow" w:cs="Times New Roman"/>
                <w:noProof/>
                <w:color w:val="000000"/>
                <w:sz w:val="20"/>
                <w:szCs w:val="20"/>
                <w:highlight w:val="black"/>
              </w:rPr>
              <w:t xml:space="preserve"> </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0559ED" w:rsidP="00E01C63">
            <w:pPr>
              <w:keepNext/>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3</w:t>
            </w:r>
            <w:r>
              <w:rPr>
                <w:rFonts w:ascii="Arial Narrow" w:hAnsi="Arial Narrow" w:cs="Times New Roman"/>
                <w:noProof/>
                <w:color w:val="000000"/>
                <w:sz w:val="20"/>
                <w:szCs w:val="20"/>
                <w:highlight w:val="black"/>
              </w:rPr>
              <w:t xml:space="preserve"> </w:t>
            </w:r>
          </w:p>
        </w:tc>
      </w:tr>
      <w:tr w:rsidR="00A46FA6" w:rsidRPr="0097324B" w:rsidTr="00CD19AF">
        <w:trPr>
          <w:trHeight w:val="198"/>
        </w:trPr>
        <w:tc>
          <w:tcPr>
            <w:tcW w:w="1493" w:type="pct"/>
            <w:tcBorders>
              <w:top w:val="single" w:sz="4" w:space="0" w:color="auto"/>
              <w:left w:val="single" w:sz="4" w:space="0" w:color="auto"/>
              <w:bottom w:val="single" w:sz="4" w:space="0" w:color="auto"/>
              <w:right w:val="single" w:sz="4" w:space="0" w:color="auto"/>
            </w:tcBorders>
            <w:noWrap/>
            <w:hideMark/>
          </w:tcPr>
          <w:p w:rsidR="004F2A16" w:rsidRPr="0097324B" w:rsidRDefault="004F2A16" w:rsidP="00E01C63">
            <w:pPr>
              <w:keepNext/>
              <w:jc w:val="left"/>
              <w:rPr>
                <w:rFonts w:ascii="Arial Narrow" w:hAnsi="Arial Narrow" w:cs="Times New Roman"/>
                <w:sz w:val="20"/>
                <w:szCs w:val="20"/>
              </w:rPr>
            </w:pPr>
            <w:r w:rsidRPr="0097324B">
              <w:rPr>
                <w:rFonts w:ascii="Arial Narrow" w:hAnsi="Arial Narrow" w:cs="Times New Roman"/>
                <w:sz w:val="20"/>
                <w:szCs w:val="20"/>
              </w:rPr>
              <w:t>RIB – All</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center"/>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3</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center"/>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 xml:space="preserve">'''''''''''' </w:t>
            </w:r>
            <w:r w:rsidR="00A46FA6">
              <w:rPr>
                <w:rFonts w:ascii="Arial Narrow" w:hAnsi="Arial Narrow" w:cs="Times New Roman"/>
                <w:sz w:val="20"/>
                <w:szCs w:val="20"/>
                <w:vertAlign w:val="superscript"/>
                <w:lang w:bidi="en-US"/>
              </w:rPr>
              <w:t>3</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center"/>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3</w:t>
            </w:r>
            <w:r w:rsidR="000559ED">
              <w:rPr>
                <w:rFonts w:ascii="Arial Narrow" w:hAnsi="Arial Narrow" w:cs="Times New Roman"/>
                <w:noProof/>
                <w:color w:val="000000"/>
                <w:sz w:val="20"/>
                <w:szCs w:val="20"/>
                <w:highlight w:val="black"/>
              </w:rPr>
              <w:t xml:space="preserve"> </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center"/>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3</w:t>
            </w:r>
            <w:r w:rsidR="000559ED">
              <w:rPr>
                <w:rFonts w:ascii="Arial Narrow" w:hAnsi="Arial Narrow" w:cs="Times New Roman"/>
                <w:noProof/>
                <w:color w:val="000000"/>
                <w:sz w:val="20"/>
                <w:szCs w:val="20"/>
                <w:highlight w:val="black"/>
              </w:rPr>
              <w:t xml:space="preserve"> </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center"/>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 xml:space="preserve">''''''''''''' </w:t>
            </w:r>
            <w:r w:rsidR="00A46FA6">
              <w:rPr>
                <w:rFonts w:ascii="Arial Narrow" w:hAnsi="Arial Narrow" w:cs="Times New Roman"/>
                <w:sz w:val="20"/>
                <w:szCs w:val="20"/>
                <w:vertAlign w:val="superscript"/>
                <w:lang w:bidi="en-US"/>
              </w:rPr>
              <w:t>3</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center"/>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 xml:space="preserve">'''''''''''''' </w:t>
            </w:r>
            <w:r w:rsidR="00A46FA6">
              <w:rPr>
                <w:rFonts w:ascii="Arial Narrow" w:hAnsi="Arial Narrow" w:cs="Times New Roman"/>
                <w:sz w:val="20"/>
                <w:szCs w:val="20"/>
                <w:vertAlign w:val="superscript"/>
                <w:lang w:bidi="en-US"/>
              </w:rPr>
              <w:t>3</w:t>
            </w:r>
          </w:p>
        </w:tc>
      </w:tr>
      <w:tr w:rsidR="004F2A16" w:rsidRPr="0097324B" w:rsidTr="00184D90">
        <w:trPr>
          <w:trHeight w:val="198"/>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4F2A16" w:rsidRPr="0097324B" w:rsidRDefault="004F2A16" w:rsidP="00E01C63">
            <w:pPr>
              <w:keepNext/>
              <w:jc w:val="left"/>
              <w:rPr>
                <w:rFonts w:ascii="Arial Narrow" w:hAnsi="Arial Narrow" w:cs="Times New Roman"/>
                <w:b/>
                <w:sz w:val="20"/>
                <w:szCs w:val="20"/>
              </w:rPr>
            </w:pPr>
            <w:r w:rsidRPr="0097324B">
              <w:rPr>
                <w:rFonts w:ascii="Arial Narrow" w:hAnsi="Arial Narrow" w:cs="Times New Roman"/>
                <w:b/>
                <w:sz w:val="20"/>
                <w:szCs w:val="20"/>
              </w:rPr>
              <w:t>Net cost to the PBS/RPBS (published price and excluding patient copayments)</w:t>
            </w:r>
          </w:p>
        </w:tc>
      </w:tr>
      <w:tr w:rsidR="004F2A16" w:rsidRPr="0097324B" w:rsidTr="00184D90">
        <w:trPr>
          <w:trHeight w:val="198"/>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4F2A16" w:rsidRPr="0097324B" w:rsidRDefault="004F2A16" w:rsidP="00E01C63">
            <w:pPr>
              <w:keepNext/>
              <w:rPr>
                <w:rFonts w:ascii="Arial Narrow" w:hAnsi="Arial Narrow" w:cs="Times New Roman"/>
                <w:b/>
                <w:sz w:val="20"/>
                <w:szCs w:val="20"/>
              </w:rPr>
            </w:pPr>
            <w:r w:rsidRPr="0097324B">
              <w:rPr>
                <w:rFonts w:ascii="Arial Narrow" w:hAnsi="Arial Narrow" w:cs="Times New Roman"/>
                <w:b/>
                <w:sz w:val="20"/>
                <w:szCs w:val="20"/>
              </w:rPr>
              <w:t>PBS</w:t>
            </w:r>
          </w:p>
        </w:tc>
      </w:tr>
      <w:tr w:rsidR="00A46FA6" w:rsidRPr="0097324B" w:rsidTr="00CD19AF">
        <w:trPr>
          <w:trHeight w:val="198"/>
        </w:trPr>
        <w:tc>
          <w:tcPr>
            <w:tcW w:w="1493" w:type="pct"/>
            <w:tcBorders>
              <w:top w:val="single" w:sz="4" w:space="0" w:color="auto"/>
              <w:left w:val="single" w:sz="4" w:space="0" w:color="auto"/>
              <w:bottom w:val="single" w:sz="4" w:space="0" w:color="auto"/>
              <w:right w:val="single" w:sz="4" w:space="0" w:color="auto"/>
            </w:tcBorders>
            <w:noWrap/>
            <w:hideMark/>
          </w:tcPr>
          <w:p w:rsidR="004F2A16" w:rsidRPr="0097324B" w:rsidRDefault="004F2A16" w:rsidP="00E01C63">
            <w:pPr>
              <w:keepNext/>
              <w:jc w:val="left"/>
              <w:rPr>
                <w:rFonts w:ascii="Arial Narrow" w:hAnsi="Arial Narrow" w:cs="Times New Roman"/>
                <w:sz w:val="20"/>
                <w:szCs w:val="20"/>
              </w:rPr>
            </w:pPr>
            <w:r w:rsidRPr="0097324B">
              <w:rPr>
                <w:rFonts w:ascii="Arial Narrow" w:hAnsi="Arial Narrow" w:cs="Times New Roman"/>
                <w:sz w:val="20"/>
                <w:szCs w:val="20"/>
              </w:rPr>
              <w:t>New listing</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A46FA6">
            <w:pPr>
              <w:keepNext/>
              <w:ind w:left="-46" w:right="-118"/>
              <w:jc w:val="center"/>
              <w:rPr>
                <w:rFonts w:ascii="Arial Narrow" w:hAnsi="Arial Narrow" w:cs="Times New Roman"/>
                <w:sz w:val="20"/>
                <w:szCs w:val="20"/>
              </w:rPr>
            </w:pPr>
            <w:r w:rsidRPr="00A61D09">
              <w:rPr>
                <w:rFonts w:ascii="Arial Narrow" w:hAnsi="Arial Narrow" w:cs="Times New Roman"/>
                <w:sz w:val="20"/>
                <w:szCs w:val="20"/>
              </w:rPr>
              <w:t>$</w:t>
            </w:r>
            <w:r w:rsidR="007D3F87">
              <w:rPr>
                <w:rFonts w:ascii="Arial Narrow" w:hAnsi="Arial Narrow" w:cs="Times New Roman"/>
                <w:noProof/>
                <w:color w:val="000000"/>
                <w:sz w:val="20"/>
                <w:szCs w:val="20"/>
                <w:highlight w:val="black"/>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4</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A46FA6">
            <w:pPr>
              <w:keepNext/>
              <w:ind w:left="-46" w:right="-118"/>
              <w:jc w:val="center"/>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4</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A46FA6">
            <w:pPr>
              <w:keepNext/>
              <w:ind w:left="-46" w:right="-118"/>
              <w:jc w:val="center"/>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4</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A46FA6">
            <w:pPr>
              <w:keepNext/>
              <w:ind w:left="-46" w:right="-118"/>
              <w:jc w:val="center"/>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5</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A46FA6">
            <w:pPr>
              <w:keepNext/>
              <w:ind w:left="-46" w:right="-118"/>
              <w:jc w:val="center"/>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5</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A46FA6">
            <w:pPr>
              <w:keepNext/>
              <w:ind w:left="-46" w:right="-118"/>
              <w:jc w:val="center"/>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5</w:t>
            </w:r>
          </w:p>
        </w:tc>
      </w:tr>
      <w:tr w:rsidR="00A46FA6" w:rsidRPr="0097324B" w:rsidTr="00CD19AF">
        <w:trPr>
          <w:trHeight w:val="198"/>
        </w:trPr>
        <w:tc>
          <w:tcPr>
            <w:tcW w:w="1493" w:type="pct"/>
            <w:tcBorders>
              <w:top w:val="single" w:sz="4" w:space="0" w:color="auto"/>
              <w:left w:val="single" w:sz="4" w:space="0" w:color="auto"/>
              <w:bottom w:val="single" w:sz="4" w:space="0" w:color="auto"/>
              <w:right w:val="single" w:sz="4" w:space="0" w:color="auto"/>
            </w:tcBorders>
            <w:noWrap/>
            <w:hideMark/>
          </w:tcPr>
          <w:p w:rsidR="004F2A16" w:rsidRPr="0097324B" w:rsidRDefault="004F2A16" w:rsidP="00E01C63">
            <w:pPr>
              <w:keepNext/>
              <w:jc w:val="left"/>
              <w:rPr>
                <w:rFonts w:ascii="Arial Narrow" w:hAnsi="Arial Narrow" w:cs="Times New Roman"/>
                <w:sz w:val="20"/>
                <w:szCs w:val="20"/>
              </w:rPr>
            </w:pPr>
            <w:r w:rsidRPr="0097324B">
              <w:rPr>
                <w:rFonts w:ascii="Arial Narrow" w:hAnsi="Arial Narrow" w:cs="Times New Roman"/>
                <w:sz w:val="20"/>
                <w:szCs w:val="20"/>
              </w:rPr>
              <w:t>Changed listing</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A46FA6">
            <w:pPr>
              <w:keepNext/>
              <w:ind w:left="-46" w:right="-118"/>
              <w:jc w:val="center"/>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4</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A46FA6">
            <w:pPr>
              <w:keepNext/>
              <w:ind w:left="-46" w:right="-118"/>
              <w:jc w:val="center"/>
              <w:rPr>
                <w:rFonts w:ascii="Arial Narrow" w:hAnsi="Arial Narrow" w:cs="Times New Roman"/>
                <w:sz w:val="20"/>
                <w:szCs w:val="20"/>
              </w:rPr>
            </w:pPr>
            <w:r w:rsidRPr="00A61D09">
              <w:rPr>
                <w:rFonts w:ascii="Arial Narrow" w:hAnsi="Arial Narrow" w:cs="Times New Roman"/>
                <w:sz w:val="20"/>
                <w:szCs w:val="20"/>
              </w:rPr>
              <w:t>-$</w:t>
            </w:r>
            <w:r w:rsidR="007D3F87">
              <w:rPr>
                <w:rFonts w:ascii="Arial Narrow" w:hAnsi="Arial Narrow" w:cs="Times New Roman"/>
                <w:noProof/>
                <w:color w:val="000000"/>
                <w:sz w:val="20"/>
                <w:szCs w:val="20"/>
                <w:highlight w:val="black"/>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6</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A46FA6">
            <w:pPr>
              <w:keepNext/>
              <w:ind w:left="-46" w:right="-118"/>
              <w:jc w:val="center"/>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4</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A46FA6">
            <w:pPr>
              <w:keepNext/>
              <w:ind w:left="-46" w:right="-118"/>
              <w:jc w:val="center"/>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4</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A46FA6">
            <w:pPr>
              <w:keepNext/>
              <w:ind w:left="-46" w:right="-118"/>
              <w:jc w:val="center"/>
              <w:rPr>
                <w:rFonts w:ascii="Arial Narrow" w:hAnsi="Arial Narrow" w:cs="Times New Roman"/>
                <w:sz w:val="20"/>
                <w:szCs w:val="20"/>
              </w:rPr>
            </w:pPr>
            <w:r w:rsidRPr="00A61D09">
              <w:rPr>
                <w:rFonts w:ascii="Arial Narrow" w:hAnsi="Arial Narrow" w:cs="Times New Roman"/>
                <w:sz w:val="20"/>
                <w:szCs w:val="20"/>
              </w:rPr>
              <w:t>-$</w:t>
            </w:r>
            <w:r w:rsidR="007D3F87">
              <w:rPr>
                <w:rFonts w:ascii="Arial Narrow" w:hAnsi="Arial Narrow" w:cs="Times New Roman"/>
                <w:noProof/>
                <w:color w:val="000000"/>
                <w:sz w:val="20"/>
                <w:szCs w:val="20"/>
                <w:highlight w:val="black"/>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4</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A46FA6">
            <w:pPr>
              <w:keepNext/>
              <w:ind w:left="-46" w:right="-118"/>
              <w:jc w:val="center"/>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4</w:t>
            </w:r>
          </w:p>
        </w:tc>
      </w:tr>
      <w:tr w:rsidR="00A46FA6" w:rsidRPr="0097324B" w:rsidTr="00CD19AF">
        <w:trPr>
          <w:trHeight w:val="198"/>
        </w:trPr>
        <w:tc>
          <w:tcPr>
            <w:tcW w:w="1493" w:type="pct"/>
            <w:tcBorders>
              <w:top w:val="single" w:sz="4" w:space="0" w:color="auto"/>
              <w:left w:val="single" w:sz="4" w:space="0" w:color="auto"/>
              <w:bottom w:val="single" w:sz="4" w:space="0" w:color="auto"/>
              <w:right w:val="single" w:sz="4" w:space="0" w:color="auto"/>
            </w:tcBorders>
            <w:noWrap/>
            <w:hideMark/>
          </w:tcPr>
          <w:p w:rsidR="004F2A16" w:rsidRPr="0097324B" w:rsidRDefault="004F2A16" w:rsidP="00E01C63">
            <w:pPr>
              <w:keepNext/>
              <w:jc w:val="left"/>
              <w:rPr>
                <w:rFonts w:ascii="Arial Narrow" w:hAnsi="Arial Narrow" w:cs="Times New Roman"/>
                <w:sz w:val="20"/>
                <w:szCs w:val="20"/>
              </w:rPr>
            </w:pPr>
            <w:r w:rsidRPr="0097324B">
              <w:rPr>
                <w:rFonts w:ascii="Arial Narrow" w:hAnsi="Arial Narrow" w:cs="Times New Roman"/>
                <w:sz w:val="20"/>
                <w:szCs w:val="20"/>
              </w:rPr>
              <w:t xml:space="preserve">Net impact </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A46FA6">
            <w:pPr>
              <w:keepNext/>
              <w:jc w:val="center"/>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A46FA6">
            <w:pPr>
              <w:keepNext/>
              <w:jc w:val="center"/>
              <w:rPr>
                <w:rFonts w:ascii="Arial Narrow" w:hAnsi="Arial Narrow" w:cs="Times New Roman"/>
                <w:sz w:val="20"/>
                <w:szCs w:val="20"/>
              </w:rPr>
            </w:pPr>
            <w:r w:rsidRPr="00A61D09">
              <w:rPr>
                <w:rFonts w:ascii="Arial Narrow" w:hAnsi="Arial Narrow" w:cs="Times New Roman"/>
                <w:sz w:val="20"/>
                <w:szCs w:val="20"/>
              </w:rPr>
              <w:t>$</w:t>
            </w:r>
            <w:r w:rsidR="007D3F87">
              <w:rPr>
                <w:rFonts w:ascii="Arial Narrow" w:hAnsi="Arial Narrow" w:cs="Times New Roman"/>
                <w:noProof/>
                <w:color w:val="000000"/>
                <w:sz w:val="20"/>
                <w:szCs w:val="20"/>
                <w:highlight w:val="black"/>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A46FA6">
            <w:pPr>
              <w:keepNext/>
              <w:jc w:val="center"/>
              <w:rPr>
                <w:rFonts w:ascii="Arial Narrow" w:hAnsi="Arial Narrow" w:cs="Times New Roman"/>
                <w:sz w:val="20"/>
                <w:szCs w:val="20"/>
              </w:rPr>
            </w:pPr>
            <w:r w:rsidRPr="00A61D09">
              <w:rPr>
                <w:rFonts w:ascii="Arial Narrow" w:hAnsi="Arial Narrow" w:cs="Times New Roman"/>
                <w:sz w:val="20"/>
                <w:szCs w:val="20"/>
              </w:rPr>
              <w:t>$</w:t>
            </w:r>
            <w:r w:rsidR="007D3F87">
              <w:rPr>
                <w:rFonts w:ascii="Arial Narrow" w:hAnsi="Arial Narrow" w:cs="Times New Roman"/>
                <w:noProof/>
                <w:color w:val="000000"/>
                <w:sz w:val="20"/>
                <w:szCs w:val="20"/>
                <w:highlight w:val="black"/>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A46FA6">
            <w:pPr>
              <w:keepNext/>
              <w:jc w:val="center"/>
              <w:rPr>
                <w:rFonts w:ascii="Arial Narrow" w:hAnsi="Arial Narrow" w:cs="Times New Roman"/>
                <w:sz w:val="20"/>
                <w:szCs w:val="20"/>
              </w:rPr>
            </w:pPr>
            <w:r w:rsidRPr="00A61D09">
              <w:rPr>
                <w:rFonts w:ascii="Arial Narrow" w:hAnsi="Arial Narrow" w:cs="Times New Roman"/>
                <w:sz w:val="20"/>
                <w:szCs w:val="20"/>
              </w:rPr>
              <w:t>$</w:t>
            </w:r>
            <w:r w:rsidR="007D3F87">
              <w:rPr>
                <w:rFonts w:ascii="Arial Narrow" w:hAnsi="Arial Narrow" w:cs="Times New Roman"/>
                <w:noProof/>
                <w:color w:val="000000"/>
                <w:sz w:val="20"/>
                <w:szCs w:val="20"/>
                <w:highlight w:val="black"/>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A46FA6">
            <w:pPr>
              <w:keepNext/>
              <w:jc w:val="center"/>
              <w:rPr>
                <w:rFonts w:ascii="Arial Narrow" w:hAnsi="Arial Narrow" w:cs="Times New Roman"/>
                <w:sz w:val="20"/>
                <w:szCs w:val="20"/>
              </w:rPr>
            </w:pPr>
            <w:r w:rsidRPr="00A61D09">
              <w:rPr>
                <w:rFonts w:ascii="Arial Narrow" w:hAnsi="Arial Narrow" w:cs="Times New Roman"/>
                <w:sz w:val="20"/>
                <w:szCs w:val="20"/>
              </w:rPr>
              <w:t>$</w:t>
            </w:r>
            <w:r w:rsidR="007D3F87">
              <w:rPr>
                <w:rFonts w:ascii="Arial Narrow" w:hAnsi="Arial Narrow" w:cs="Times New Roman"/>
                <w:noProof/>
                <w:color w:val="000000"/>
                <w:sz w:val="20"/>
                <w:szCs w:val="20"/>
                <w:highlight w:val="black"/>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A46FA6">
            <w:pPr>
              <w:keepNext/>
              <w:jc w:val="center"/>
              <w:rPr>
                <w:rFonts w:ascii="Arial Narrow" w:hAnsi="Arial Narrow" w:cs="Times New Roman"/>
                <w:sz w:val="20"/>
                <w:szCs w:val="20"/>
              </w:rPr>
            </w:pPr>
            <w:r w:rsidRPr="00A61D09">
              <w:rPr>
                <w:rFonts w:ascii="Arial Narrow" w:hAnsi="Arial Narrow" w:cs="Times New Roman"/>
                <w:sz w:val="20"/>
                <w:szCs w:val="20"/>
              </w:rPr>
              <w:t>$</w:t>
            </w:r>
            <w:r w:rsidR="007D3F87">
              <w:rPr>
                <w:rFonts w:ascii="Arial Narrow" w:hAnsi="Arial Narrow" w:cs="Times New Roman"/>
                <w:noProof/>
                <w:color w:val="000000"/>
                <w:sz w:val="20"/>
                <w:szCs w:val="20"/>
                <w:highlight w:val="black"/>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r>
      <w:tr w:rsidR="004F2A16" w:rsidRPr="0097324B" w:rsidTr="00184D90">
        <w:trPr>
          <w:trHeight w:val="198"/>
        </w:trPr>
        <w:tc>
          <w:tcPr>
            <w:tcW w:w="5000" w:type="pct"/>
            <w:gridSpan w:val="7"/>
            <w:tcBorders>
              <w:top w:val="single" w:sz="4" w:space="0" w:color="auto"/>
              <w:left w:val="single" w:sz="4" w:space="0" w:color="auto"/>
              <w:bottom w:val="single" w:sz="4" w:space="0" w:color="auto"/>
              <w:right w:val="single" w:sz="4" w:space="0" w:color="auto"/>
            </w:tcBorders>
            <w:noWrap/>
            <w:hideMark/>
          </w:tcPr>
          <w:p w:rsidR="004F2A16" w:rsidRPr="0097324B" w:rsidRDefault="004F2A16" w:rsidP="00E01C63">
            <w:pPr>
              <w:keepNext/>
              <w:rPr>
                <w:rFonts w:ascii="Arial Narrow" w:hAnsi="Arial Narrow"/>
                <w:b/>
                <w:sz w:val="20"/>
                <w:szCs w:val="20"/>
              </w:rPr>
            </w:pPr>
            <w:r w:rsidRPr="0097324B">
              <w:rPr>
                <w:rFonts w:ascii="Arial Narrow" w:hAnsi="Arial Narrow" w:cs="Times New Roman"/>
                <w:b/>
                <w:sz w:val="20"/>
                <w:szCs w:val="20"/>
              </w:rPr>
              <w:t>RPBS</w:t>
            </w:r>
          </w:p>
        </w:tc>
      </w:tr>
      <w:tr w:rsidR="00A46FA6" w:rsidRPr="0097324B" w:rsidTr="00CD19AF">
        <w:trPr>
          <w:trHeight w:val="198"/>
        </w:trPr>
        <w:tc>
          <w:tcPr>
            <w:tcW w:w="1493" w:type="pct"/>
            <w:tcBorders>
              <w:top w:val="single" w:sz="4" w:space="0" w:color="auto"/>
              <w:left w:val="single" w:sz="4" w:space="0" w:color="auto"/>
              <w:bottom w:val="single" w:sz="4" w:space="0" w:color="auto"/>
              <w:right w:val="single" w:sz="4" w:space="0" w:color="auto"/>
            </w:tcBorders>
            <w:noWrap/>
            <w:hideMark/>
          </w:tcPr>
          <w:p w:rsidR="004F2A16" w:rsidRPr="0097324B" w:rsidRDefault="004F2A16" w:rsidP="00E01C63">
            <w:pPr>
              <w:keepNext/>
              <w:jc w:val="left"/>
              <w:rPr>
                <w:rFonts w:ascii="Arial Narrow" w:hAnsi="Arial Narrow" w:cs="Times New Roman"/>
                <w:sz w:val="20"/>
                <w:szCs w:val="20"/>
              </w:rPr>
            </w:pPr>
            <w:r w:rsidRPr="0097324B">
              <w:rPr>
                <w:rFonts w:ascii="Arial Narrow" w:hAnsi="Arial Narrow" w:cs="Times New Roman"/>
                <w:sz w:val="20"/>
                <w:szCs w:val="20"/>
              </w:rPr>
              <w:t>New listing</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r>
      <w:tr w:rsidR="00A46FA6" w:rsidRPr="0097324B" w:rsidTr="00CD19AF">
        <w:trPr>
          <w:trHeight w:val="198"/>
        </w:trPr>
        <w:tc>
          <w:tcPr>
            <w:tcW w:w="1493" w:type="pct"/>
            <w:tcBorders>
              <w:top w:val="single" w:sz="4" w:space="0" w:color="auto"/>
              <w:left w:val="single" w:sz="4" w:space="0" w:color="auto"/>
              <w:bottom w:val="single" w:sz="4" w:space="0" w:color="auto"/>
              <w:right w:val="single" w:sz="4" w:space="0" w:color="auto"/>
            </w:tcBorders>
            <w:noWrap/>
            <w:hideMark/>
          </w:tcPr>
          <w:p w:rsidR="004F2A16" w:rsidRPr="0097324B" w:rsidRDefault="004F2A16" w:rsidP="00E01C63">
            <w:pPr>
              <w:keepNext/>
              <w:jc w:val="left"/>
              <w:rPr>
                <w:rFonts w:ascii="Arial Narrow" w:hAnsi="Arial Narrow" w:cs="Times New Roman"/>
                <w:sz w:val="20"/>
                <w:szCs w:val="20"/>
              </w:rPr>
            </w:pPr>
            <w:r w:rsidRPr="0097324B">
              <w:rPr>
                <w:rFonts w:ascii="Arial Narrow" w:hAnsi="Arial Narrow" w:cs="Times New Roman"/>
                <w:sz w:val="20"/>
                <w:szCs w:val="20"/>
              </w:rPr>
              <w:t>Changed listing</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7D3F87">
              <w:rPr>
                <w:rFonts w:ascii="Arial Narrow" w:hAnsi="Arial Narrow" w:cs="Times New Roman"/>
                <w:noProof/>
                <w:color w:val="000000"/>
                <w:sz w:val="20"/>
                <w:szCs w:val="20"/>
                <w:highlight w:val="black"/>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7D3F87">
              <w:rPr>
                <w:rFonts w:ascii="Arial Narrow" w:hAnsi="Arial Narrow" w:cs="Times New Roman"/>
                <w:noProof/>
                <w:color w:val="000000"/>
                <w:sz w:val="20"/>
                <w:szCs w:val="20"/>
                <w:highlight w:val="black"/>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r>
      <w:tr w:rsidR="00A46FA6" w:rsidRPr="0097324B" w:rsidTr="00CD19AF">
        <w:trPr>
          <w:trHeight w:val="198"/>
        </w:trPr>
        <w:tc>
          <w:tcPr>
            <w:tcW w:w="1493" w:type="pct"/>
            <w:tcBorders>
              <w:top w:val="single" w:sz="4" w:space="0" w:color="auto"/>
              <w:left w:val="single" w:sz="4" w:space="0" w:color="auto"/>
              <w:bottom w:val="single" w:sz="4" w:space="0" w:color="auto"/>
              <w:right w:val="single" w:sz="4" w:space="0" w:color="auto"/>
            </w:tcBorders>
            <w:noWrap/>
            <w:hideMark/>
          </w:tcPr>
          <w:p w:rsidR="004F2A16" w:rsidRPr="0097324B" w:rsidRDefault="004F2A16" w:rsidP="00E01C63">
            <w:pPr>
              <w:keepNext/>
              <w:jc w:val="left"/>
              <w:rPr>
                <w:rFonts w:ascii="Arial Narrow" w:hAnsi="Arial Narrow" w:cs="Times New Roman"/>
                <w:sz w:val="20"/>
                <w:szCs w:val="20"/>
              </w:rPr>
            </w:pPr>
            <w:r w:rsidRPr="0097324B">
              <w:rPr>
                <w:rFonts w:ascii="Arial Narrow" w:hAnsi="Arial Narrow" w:cs="Times New Roman"/>
                <w:sz w:val="20"/>
                <w:szCs w:val="20"/>
              </w:rPr>
              <w:t xml:space="preserve">Net impact </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r>
      <w:tr w:rsidR="004F2A16" w:rsidRPr="0097324B" w:rsidTr="00184D90">
        <w:trPr>
          <w:trHeight w:val="198"/>
        </w:trPr>
        <w:tc>
          <w:tcPr>
            <w:tcW w:w="5000" w:type="pct"/>
            <w:gridSpan w:val="7"/>
            <w:tcBorders>
              <w:top w:val="single" w:sz="4" w:space="0" w:color="auto"/>
              <w:left w:val="single" w:sz="4" w:space="0" w:color="auto"/>
              <w:bottom w:val="single" w:sz="4" w:space="0" w:color="auto"/>
              <w:right w:val="single" w:sz="4" w:space="0" w:color="auto"/>
            </w:tcBorders>
            <w:noWrap/>
            <w:hideMark/>
          </w:tcPr>
          <w:p w:rsidR="004F2A16" w:rsidRPr="0097324B" w:rsidRDefault="004F2A16" w:rsidP="00E01C63">
            <w:pPr>
              <w:keepNext/>
              <w:rPr>
                <w:rFonts w:ascii="Arial Narrow" w:hAnsi="Arial Narrow" w:cs="Times New Roman"/>
                <w:b/>
                <w:sz w:val="20"/>
                <w:szCs w:val="20"/>
              </w:rPr>
            </w:pPr>
            <w:r w:rsidRPr="0097324B">
              <w:rPr>
                <w:rFonts w:ascii="Arial Narrow" w:hAnsi="Arial Narrow" w:cs="Times New Roman"/>
                <w:b/>
                <w:sz w:val="20"/>
                <w:szCs w:val="20"/>
              </w:rPr>
              <w:t>PBS/RPBS</w:t>
            </w:r>
          </w:p>
        </w:tc>
      </w:tr>
      <w:tr w:rsidR="00A46FA6" w:rsidRPr="0097324B" w:rsidTr="00CD19AF">
        <w:trPr>
          <w:trHeight w:val="198"/>
        </w:trPr>
        <w:tc>
          <w:tcPr>
            <w:tcW w:w="1493" w:type="pct"/>
            <w:tcBorders>
              <w:top w:val="single" w:sz="4" w:space="0" w:color="auto"/>
              <w:left w:val="single" w:sz="4" w:space="0" w:color="auto"/>
              <w:bottom w:val="single" w:sz="4" w:space="0" w:color="auto"/>
              <w:right w:val="single" w:sz="4" w:space="0" w:color="auto"/>
            </w:tcBorders>
            <w:noWrap/>
            <w:hideMark/>
          </w:tcPr>
          <w:p w:rsidR="004F2A16" w:rsidRPr="0097324B" w:rsidRDefault="004F2A16" w:rsidP="00E01C63">
            <w:pPr>
              <w:keepNext/>
              <w:jc w:val="left"/>
              <w:rPr>
                <w:rFonts w:ascii="Arial Narrow" w:hAnsi="Arial Narrow" w:cs="Times New Roman"/>
                <w:sz w:val="20"/>
                <w:szCs w:val="20"/>
              </w:rPr>
            </w:pPr>
            <w:r w:rsidRPr="0097324B">
              <w:rPr>
                <w:rFonts w:ascii="Arial Narrow" w:hAnsi="Arial Narrow" w:cs="Times New Roman"/>
                <w:sz w:val="20"/>
                <w:szCs w:val="20"/>
              </w:rPr>
              <w:t>Net impact</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7D3F87">
              <w:rPr>
                <w:rFonts w:ascii="Arial Narrow" w:hAnsi="Arial Narrow" w:cs="Times New Roman"/>
                <w:noProof/>
                <w:color w:val="000000"/>
                <w:sz w:val="20"/>
                <w:szCs w:val="20"/>
                <w:highlight w:val="black"/>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7D3F87">
              <w:rPr>
                <w:rFonts w:ascii="Arial Narrow" w:hAnsi="Arial Narrow" w:cs="Times New Roman"/>
                <w:noProof/>
                <w:color w:val="000000"/>
                <w:sz w:val="20"/>
                <w:szCs w:val="20"/>
                <w:highlight w:val="black"/>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7D3F87">
              <w:rPr>
                <w:rFonts w:ascii="Arial Narrow" w:hAnsi="Arial Narrow" w:cs="Times New Roman"/>
                <w:noProof/>
                <w:color w:val="000000"/>
                <w:sz w:val="20"/>
                <w:szCs w:val="20"/>
                <w:highlight w:val="black"/>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7D3F87">
              <w:rPr>
                <w:rFonts w:ascii="Arial Narrow" w:hAnsi="Arial Narrow" w:cs="Times New Roman"/>
                <w:noProof/>
                <w:color w:val="000000"/>
                <w:sz w:val="20"/>
                <w:szCs w:val="20"/>
                <w:highlight w:val="black"/>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hideMark/>
          </w:tcPr>
          <w:p w:rsidR="004F2A16" w:rsidRPr="000559ED" w:rsidRDefault="004F2A16"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7D3F87">
              <w:rPr>
                <w:rFonts w:ascii="Arial Narrow" w:hAnsi="Arial Narrow" w:cs="Times New Roman"/>
                <w:noProof/>
                <w:color w:val="000000"/>
                <w:sz w:val="20"/>
                <w:szCs w:val="20"/>
                <w:highlight w:val="black"/>
              </w:rPr>
              <w:t>'''''''''''</w:t>
            </w:r>
            <w:r w:rsidR="000559ED">
              <w:rPr>
                <w:rFonts w:ascii="Arial Narrow" w:hAnsi="Arial Narrow" w:cs="Times New Roman"/>
                <w:noProof/>
                <w:color w:val="000000"/>
                <w:sz w:val="20"/>
                <w:szCs w:val="20"/>
                <w:highlight w:val="black"/>
              </w:rPr>
              <w:t>''''''''''''</w:t>
            </w:r>
            <w:r w:rsidR="00A46FA6">
              <w:rPr>
                <w:rFonts w:ascii="Arial Narrow" w:hAnsi="Arial Narrow" w:cs="Times New Roman"/>
                <w:sz w:val="20"/>
                <w:szCs w:val="20"/>
                <w:vertAlign w:val="superscript"/>
                <w:lang w:bidi="en-US"/>
              </w:rPr>
              <w:t>7</w:t>
            </w:r>
          </w:p>
        </w:tc>
      </w:tr>
      <w:tr w:rsidR="00E5320D" w:rsidRPr="0097324B" w:rsidTr="00CD19AF">
        <w:trPr>
          <w:trHeight w:val="198"/>
        </w:trPr>
        <w:tc>
          <w:tcPr>
            <w:tcW w:w="5000" w:type="pct"/>
            <w:gridSpan w:val="7"/>
            <w:tcBorders>
              <w:top w:val="single" w:sz="4" w:space="0" w:color="auto"/>
              <w:left w:val="single" w:sz="4" w:space="0" w:color="auto"/>
              <w:bottom w:val="single" w:sz="4" w:space="0" w:color="auto"/>
              <w:right w:val="single" w:sz="4" w:space="0" w:color="auto"/>
            </w:tcBorders>
            <w:noWrap/>
          </w:tcPr>
          <w:p w:rsidR="00E5320D" w:rsidRPr="0097324B" w:rsidRDefault="00E5320D" w:rsidP="00E01C63">
            <w:pPr>
              <w:keepNext/>
              <w:jc w:val="left"/>
              <w:rPr>
                <w:rFonts w:ascii="Arial Narrow" w:hAnsi="Arial Narrow" w:cs="Times New Roman"/>
                <w:b/>
                <w:sz w:val="20"/>
                <w:szCs w:val="20"/>
              </w:rPr>
            </w:pPr>
            <w:r w:rsidRPr="0097324B">
              <w:rPr>
                <w:rFonts w:ascii="Arial Narrow" w:hAnsi="Arial Narrow" w:cs="Times New Roman"/>
                <w:b/>
                <w:sz w:val="20"/>
                <w:szCs w:val="20"/>
              </w:rPr>
              <w:t>Using price from the PSCR’s revised cost-minimisation analysis (per Table 2 of PSCR)</w:t>
            </w:r>
          </w:p>
        </w:tc>
      </w:tr>
      <w:tr w:rsidR="00A46FA6" w:rsidRPr="0097324B" w:rsidTr="00E5320D">
        <w:trPr>
          <w:trHeight w:val="198"/>
        </w:trPr>
        <w:tc>
          <w:tcPr>
            <w:tcW w:w="1493" w:type="pct"/>
            <w:tcBorders>
              <w:top w:val="single" w:sz="4" w:space="0" w:color="auto"/>
              <w:left w:val="single" w:sz="4" w:space="0" w:color="auto"/>
              <w:bottom w:val="single" w:sz="4" w:space="0" w:color="auto"/>
              <w:right w:val="single" w:sz="4" w:space="0" w:color="auto"/>
            </w:tcBorders>
            <w:noWrap/>
          </w:tcPr>
          <w:p w:rsidR="00CD19AF" w:rsidRPr="0097324B" w:rsidRDefault="00CD19AF" w:rsidP="00E01C63">
            <w:pPr>
              <w:keepNext/>
              <w:jc w:val="left"/>
              <w:rPr>
                <w:rFonts w:ascii="Arial Narrow" w:hAnsi="Arial Narrow" w:cs="Times New Roman"/>
                <w:sz w:val="20"/>
                <w:szCs w:val="20"/>
                <w:vertAlign w:val="superscript"/>
              </w:rPr>
            </w:pPr>
            <w:r w:rsidRPr="0097324B">
              <w:rPr>
                <w:rFonts w:ascii="Arial Narrow" w:hAnsi="Arial Narrow" w:cs="Times New Roman"/>
                <w:sz w:val="20"/>
                <w:szCs w:val="20"/>
              </w:rPr>
              <w:t xml:space="preserve">Net impact to PBS/RPBS </w:t>
            </w:r>
            <w:r w:rsidRPr="0097324B">
              <w:rPr>
                <w:rFonts w:ascii="Arial Narrow" w:hAnsi="Arial Narrow" w:cs="Times New Roman"/>
                <w:sz w:val="20"/>
                <w:szCs w:val="20"/>
                <w:vertAlign w:val="superscript"/>
              </w:rPr>
              <w:t>c</w:t>
            </w:r>
          </w:p>
        </w:tc>
        <w:tc>
          <w:tcPr>
            <w:tcW w:w="584" w:type="pct"/>
            <w:tcBorders>
              <w:top w:val="single" w:sz="4" w:space="0" w:color="auto"/>
              <w:left w:val="single" w:sz="4" w:space="0" w:color="auto"/>
              <w:bottom w:val="single" w:sz="4" w:space="0" w:color="auto"/>
              <w:right w:val="single" w:sz="4" w:space="0" w:color="auto"/>
            </w:tcBorders>
            <w:noWrap/>
          </w:tcPr>
          <w:p w:rsidR="00CD19AF" w:rsidRPr="000559ED" w:rsidRDefault="00CD19AF"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tcPr>
          <w:p w:rsidR="00CD19AF" w:rsidRPr="000559ED" w:rsidRDefault="00CD19AF"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tcPr>
          <w:p w:rsidR="00CD19AF" w:rsidRPr="000559ED" w:rsidRDefault="00CD19AF"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7D3F87">
              <w:rPr>
                <w:rFonts w:ascii="Arial Narrow" w:hAnsi="Arial Narrow"/>
                <w:noProof/>
                <w:color w:val="000000"/>
                <w:sz w:val="20"/>
                <w:szCs w:val="20"/>
                <w:highlight w:val="black"/>
              </w:rPr>
              <w:t>''''''''''</w:t>
            </w:r>
            <w:r w:rsidR="000559ED">
              <w:rPr>
                <w:rFonts w:ascii="Arial Narrow" w:hAnsi="Arial Narrow"/>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tcPr>
          <w:p w:rsidR="00CD19AF" w:rsidRPr="000559ED" w:rsidRDefault="00CD19AF"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tcPr>
          <w:p w:rsidR="00CD19AF" w:rsidRPr="000559ED" w:rsidRDefault="00CD19AF"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noProof/>
                <w:color w:val="000000"/>
                <w:sz w:val="20"/>
                <w:szCs w:val="20"/>
                <w:highlight w:val="black"/>
              </w:rPr>
              <w:t>'''''''''''''''''''</w:t>
            </w:r>
            <w:r w:rsidR="00A46FA6">
              <w:rPr>
                <w:rFonts w:ascii="Arial Narrow" w:hAnsi="Arial Narrow" w:cs="Times New Roman"/>
                <w:sz w:val="20"/>
                <w:szCs w:val="20"/>
                <w:vertAlign w:val="superscript"/>
                <w:lang w:bidi="en-US"/>
              </w:rPr>
              <w:t>7</w:t>
            </w:r>
          </w:p>
        </w:tc>
        <w:tc>
          <w:tcPr>
            <w:tcW w:w="584" w:type="pct"/>
            <w:tcBorders>
              <w:top w:val="single" w:sz="4" w:space="0" w:color="auto"/>
              <w:left w:val="single" w:sz="4" w:space="0" w:color="auto"/>
              <w:bottom w:val="single" w:sz="4" w:space="0" w:color="auto"/>
              <w:right w:val="single" w:sz="4" w:space="0" w:color="auto"/>
            </w:tcBorders>
            <w:noWrap/>
          </w:tcPr>
          <w:p w:rsidR="00CD19AF" w:rsidRPr="000559ED" w:rsidRDefault="00CD19AF" w:rsidP="00E01C63">
            <w:pPr>
              <w:keepNext/>
              <w:jc w:val="right"/>
              <w:rPr>
                <w:rFonts w:ascii="Arial Narrow" w:hAnsi="Arial Narrow" w:cs="Times New Roman"/>
                <w:sz w:val="20"/>
                <w:szCs w:val="20"/>
              </w:rPr>
            </w:pPr>
            <w:r w:rsidRPr="00A61D09">
              <w:rPr>
                <w:rFonts w:ascii="Arial Narrow" w:hAnsi="Arial Narrow" w:cs="Times New Roman"/>
                <w:sz w:val="20"/>
                <w:szCs w:val="20"/>
              </w:rPr>
              <w:t>-$</w:t>
            </w:r>
            <w:r w:rsidR="000559ED">
              <w:rPr>
                <w:rFonts w:ascii="Arial Narrow" w:hAnsi="Arial Narrow"/>
                <w:noProof/>
                <w:color w:val="000000"/>
                <w:sz w:val="20"/>
                <w:szCs w:val="20"/>
                <w:highlight w:val="black"/>
              </w:rPr>
              <w:t>''''''''''''''''''</w:t>
            </w:r>
            <w:r w:rsidR="00A46FA6">
              <w:rPr>
                <w:rFonts w:ascii="Arial Narrow" w:hAnsi="Arial Narrow" w:cs="Times New Roman"/>
                <w:sz w:val="20"/>
                <w:szCs w:val="20"/>
                <w:vertAlign w:val="superscript"/>
                <w:lang w:bidi="en-US"/>
              </w:rPr>
              <w:t>7</w:t>
            </w:r>
          </w:p>
        </w:tc>
      </w:tr>
    </w:tbl>
    <w:p w:rsidR="004F2A16" w:rsidRPr="0097324B" w:rsidRDefault="004F2A16" w:rsidP="004F2A16">
      <w:pPr>
        <w:rPr>
          <w:rFonts w:ascii="Arial Narrow" w:hAnsi="Arial Narrow"/>
          <w:sz w:val="18"/>
          <w:szCs w:val="18"/>
        </w:rPr>
      </w:pPr>
      <w:r w:rsidRPr="0097324B">
        <w:rPr>
          <w:rFonts w:ascii="Arial Narrow" w:hAnsi="Arial Narrow"/>
          <w:sz w:val="18"/>
          <w:szCs w:val="18"/>
        </w:rPr>
        <w:t>Source: Table 4-4 of submission, Table 4-5 of submission, Table 4-6 of submission</w:t>
      </w:r>
    </w:p>
    <w:p w:rsidR="004F2A16" w:rsidRPr="0097324B" w:rsidRDefault="004F2A16" w:rsidP="004F2A16">
      <w:pPr>
        <w:rPr>
          <w:rFonts w:ascii="Arial Narrow" w:hAnsi="Arial Narrow"/>
          <w:sz w:val="18"/>
          <w:szCs w:val="18"/>
        </w:rPr>
      </w:pPr>
      <w:r w:rsidRPr="0097324B">
        <w:rPr>
          <w:rFonts w:ascii="Arial Narrow" w:hAnsi="Arial Narrow"/>
          <w:sz w:val="18"/>
          <w:szCs w:val="18"/>
          <w:vertAlign w:val="superscript"/>
        </w:rPr>
        <w:t>a</w:t>
      </w:r>
      <w:r w:rsidRPr="0097324B">
        <w:rPr>
          <w:rFonts w:ascii="Arial Narrow" w:hAnsi="Arial Narrow"/>
          <w:sz w:val="18"/>
          <w:szCs w:val="18"/>
        </w:rPr>
        <w:t xml:space="preserve"> Calculated based on number of patients treated at 13.04 packs per year with 100% compliance divided by two due to the assumption of sharing the market evenly with ribociclib</w:t>
      </w:r>
    </w:p>
    <w:p w:rsidR="004F2A16" w:rsidRPr="0097324B" w:rsidRDefault="004F2A16" w:rsidP="00E5320D">
      <w:pPr>
        <w:pStyle w:val="3-BodyText"/>
        <w:numPr>
          <w:ilvl w:val="0"/>
          <w:numId w:val="0"/>
        </w:numPr>
        <w:spacing w:after="0"/>
        <w:ind w:left="720" w:hanging="720"/>
        <w:rPr>
          <w:rFonts w:ascii="Arial Narrow" w:hAnsi="Arial Narrow"/>
          <w:sz w:val="18"/>
          <w:szCs w:val="18"/>
        </w:rPr>
      </w:pPr>
      <w:r w:rsidRPr="0097324B">
        <w:rPr>
          <w:rFonts w:ascii="Arial Narrow" w:hAnsi="Arial Narrow"/>
          <w:sz w:val="18"/>
          <w:szCs w:val="18"/>
          <w:vertAlign w:val="superscript"/>
        </w:rPr>
        <w:t>b</w:t>
      </w:r>
      <w:r w:rsidRPr="0097324B">
        <w:rPr>
          <w:rFonts w:ascii="Arial Narrow" w:hAnsi="Arial Narrow"/>
          <w:sz w:val="18"/>
          <w:szCs w:val="18"/>
        </w:rPr>
        <w:t xml:space="preserve"> Calculated during the evaluation based on the treatment uptake rates proposed in the submission for each population</w:t>
      </w:r>
    </w:p>
    <w:p w:rsidR="00E5320D" w:rsidRDefault="00E5320D" w:rsidP="00A61D09">
      <w:pPr>
        <w:rPr>
          <w:rFonts w:ascii="Arial Narrow" w:hAnsi="Arial Narrow"/>
          <w:sz w:val="18"/>
          <w:szCs w:val="18"/>
        </w:rPr>
      </w:pPr>
      <w:r w:rsidRPr="0097324B">
        <w:rPr>
          <w:rFonts w:ascii="Arial Narrow" w:hAnsi="Arial Narrow"/>
          <w:sz w:val="18"/>
          <w:szCs w:val="18"/>
          <w:vertAlign w:val="superscript"/>
        </w:rPr>
        <w:t>c</w:t>
      </w:r>
      <w:r w:rsidRPr="0097324B">
        <w:rPr>
          <w:rFonts w:ascii="Arial Narrow" w:hAnsi="Arial Narrow"/>
          <w:sz w:val="18"/>
          <w:szCs w:val="18"/>
        </w:rPr>
        <w:t xml:space="preserve"> Also incorporates revised mark-ups that were effective from 1 January 2021 (i.e. revised wholesale mark-up)</w:t>
      </w:r>
      <w:r w:rsidR="00CD19AF" w:rsidRPr="0097324B">
        <w:rPr>
          <w:rFonts w:ascii="Arial Narrow" w:hAnsi="Arial Narrow"/>
          <w:sz w:val="18"/>
          <w:szCs w:val="18"/>
        </w:rPr>
        <w:t>. For abemaciclib</w:t>
      </w:r>
      <w:r w:rsidRPr="0097324B">
        <w:rPr>
          <w:rFonts w:ascii="Arial Narrow" w:hAnsi="Arial Narrow"/>
          <w:sz w:val="18"/>
          <w:szCs w:val="18"/>
        </w:rPr>
        <w:t xml:space="preserve">, </w:t>
      </w:r>
      <w:r w:rsidR="00CD19AF" w:rsidRPr="0097324B">
        <w:rPr>
          <w:rFonts w:ascii="Arial Narrow" w:hAnsi="Arial Narrow"/>
          <w:sz w:val="18"/>
          <w:szCs w:val="18"/>
        </w:rPr>
        <w:t xml:space="preserve">this </w:t>
      </w:r>
      <w:r w:rsidRPr="0097324B">
        <w:rPr>
          <w:rFonts w:ascii="Arial Narrow" w:hAnsi="Arial Narrow"/>
          <w:sz w:val="18"/>
          <w:szCs w:val="18"/>
        </w:rPr>
        <w:t>result</w:t>
      </w:r>
      <w:r w:rsidR="00CD19AF" w:rsidRPr="0097324B">
        <w:rPr>
          <w:rFonts w:ascii="Arial Narrow" w:hAnsi="Arial Narrow"/>
          <w:sz w:val="18"/>
          <w:szCs w:val="18"/>
        </w:rPr>
        <w:t>s</w:t>
      </w:r>
      <w:r w:rsidRPr="0097324B">
        <w:rPr>
          <w:rFonts w:ascii="Arial Narrow" w:hAnsi="Arial Narrow"/>
          <w:sz w:val="18"/>
          <w:szCs w:val="18"/>
        </w:rPr>
        <w:t xml:space="preserve"> in a DPMQ of $</w:t>
      </w:r>
      <w:r w:rsidRPr="00B75FFA">
        <w:rPr>
          <w:rFonts w:ascii="Arial Narrow" w:hAnsi="Arial Narrow"/>
          <w:sz w:val="18"/>
          <w:szCs w:val="18"/>
        </w:rPr>
        <w:t>4,727.89</w:t>
      </w:r>
      <w:r w:rsidRPr="0097324B">
        <w:rPr>
          <w:rFonts w:ascii="Arial Narrow" w:hAnsi="Arial Narrow"/>
          <w:sz w:val="18"/>
          <w:szCs w:val="18"/>
        </w:rPr>
        <w:t>, based on the average cost per patient per cycle of $</w:t>
      </w:r>
      <w:r w:rsidRPr="00B75FFA">
        <w:rPr>
          <w:rFonts w:ascii="Arial Narrow" w:hAnsi="Arial Narrow"/>
          <w:sz w:val="18"/>
          <w:szCs w:val="18"/>
        </w:rPr>
        <w:t>4,567</w:t>
      </w:r>
      <w:r w:rsidRPr="0097324B">
        <w:rPr>
          <w:rFonts w:ascii="Arial Narrow" w:hAnsi="Arial Narrow"/>
          <w:sz w:val="18"/>
          <w:szCs w:val="18"/>
        </w:rPr>
        <w:t xml:space="preserve"> </w:t>
      </w:r>
      <w:r w:rsidR="00CD19AF" w:rsidRPr="0097324B">
        <w:rPr>
          <w:rFonts w:ascii="Arial Narrow" w:hAnsi="Arial Narrow"/>
          <w:sz w:val="18"/>
          <w:szCs w:val="18"/>
        </w:rPr>
        <w:t>per</w:t>
      </w:r>
      <w:r w:rsidRPr="0097324B">
        <w:rPr>
          <w:rFonts w:ascii="Arial Narrow" w:hAnsi="Arial Narrow"/>
          <w:sz w:val="18"/>
          <w:szCs w:val="18"/>
        </w:rPr>
        <w:t xml:space="preserve"> Table 2 of the PSCR</w:t>
      </w:r>
      <w:r w:rsidR="00294183" w:rsidRPr="0097324B">
        <w:rPr>
          <w:rFonts w:ascii="Arial Narrow" w:hAnsi="Arial Narrow"/>
          <w:sz w:val="18"/>
          <w:szCs w:val="18"/>
        </w:rPr>
        <w:t>, which excludes ECG costs (use of the ‘average cost per patient per cycle’ in the financial estimates was consistent with the submission’s approach)</w:t>
      </w:r>
      <w:r w:rsidR="00CD19AF" w:rsidRPr="0097324B">
        <w:rPr>
          <w:rFonts w:ascii="Arial Narrow" w:hAnsi="Arial Narrow"/>
          <w:sz w:val="18"/>
          <w:szCs w:val="18"/>
        </w:rPr>
        <w:t>. This DPMQ also assumes community pharmacy dispensing (</w:t>
      </w:r>
      <w:r w:rsidR="00294183" w:rsidRPr="0097324B">
        <w:rPr>
          <w:rFonts w:ascii="Arial Narrow" w:hAnsi="Arial Narrow"/>
          <w:sz w:val="18"/>
          <w:szCs w:val="18"/>
        </w:rPr>
        <w:t>consistent with the submission’s approach</w:t>
      </w:r>
      <w:r w:rsidR="00CD19AF" w:rsidRPr="0097324B">
        <w:rPr>
          <w:rFonts w:ascii="Arial Narrow" w:hAnsi="Arial Narrow"/>
          <w:sz w:val="18"/>
          <w:szCs w:val="18"/>
        </w:rPr>
        <w:t>)</w:t>
      </w:r>
      <w:r w:rsidRPr="0097324B">
        <w:rPr>
          <w:rFonts w:ascii="Arial Narrow" w:hAnsi="Arial Narrow"/>
          <w:sz w:val="18"/>
          <w:szCs w:val="18"/>
        </w:rPr>
        <w:t>.</w:t>
      </w:r>
      <w:r w:rsidR="00294183" w:rsidRPr="0097324B">
        <w:rPr>
          <w:rFonts w:ascii="Arial Narrow" w:hAnsi="Arial Narrow"/>
          <w:sz w:val="18"/>
          <w:szCs w:val="18"/>
        </w:rPr>
        <w:t xml:space="preserve"> The ribociclib DPMQ was also updated to reflect the January 2021 mark-ups.</w:t>
      </w:r>
    </w:p>
    <w:p w:rsidR="00A61D09" w:rsidRDefault="00A61D09" w:rsidP="00A61D09">
      <w:pPr>
        <w:rPr>
          <w:rFonts w:ascii="Arial Narrow" w:hAnsi="Arial Narrow"/>
          <w:i/>
          <w:sz w:val="18"/>
          <w:szCs w:val="18"/>
        </w:rPr>
      </w:pPr>
      <w:r w:rsidRPr="00A61D09">
        <w:rPr>
          <w:rFonts w:ascii="Arial Narrow" w:hAnsi="Arial Narrow"/>
          <w:i/>
          <w:sz w:val="18"/>
          <w:szCs w:val="18"/>
        </w:rPr>
        <w:t xml:space="preserve">The redacted values correspond to the following ranges: </w:t>
      </w:r>
    </w:p>
    <w:p w:rsidR="00A61D09" w:rsidRPr="00A61D09" w:rsidRDefault="00A61D09" w:rsidP="00A61D09">
      <w:pPr>
        <w:rPr>
          <w:rFonts w:ascii="Arial Narrow" w:hAnsi="Arial Narrow"/>
          <w:i/>
          <w:sz w:val="18"/>
          <w:szCs w:val="18"/>
        </w:rPr>
      </w:pPr>
      <w:r>
        <w:rPr>
          <w:rFonts w:ascii="Arial Narrow" w:hAnsi="Arial Narrow"/>
          <w:i/>
          <w:sz w:val="18"/>
          <w:szCs w:val="18"/>
          <w:vertAlign w:val="superscript"/>
        </w:rPr>
        <w:t xml:space="preserve">1 </w:t>
      </w:r>
      <w:r w:rsidRPr="00A61D09">
        <w:rPr>
          <w:rFonts w:ascii="Arial Narrow" w:hAnsi="Arial Narrow"/>
          <w:i/>
          <w:sz w:val="18"/>
          <w:szCs w:val="18"/>
        </w:rPr>
        <w:t>&lt; 500</w:t>
      </w:r>
    </w:p>
    <w:p w:rsidR="00A61D09" w:rsidRPr="00A61D09" w:rsidRDefault="00A61D09" w:rsidP="00A61D09">
      <w:pPr>
        <w:rPr>
          <w:rFonts w:ascii="Arial Narrow" w:hAnsi="Arial Narrow"/>
          <w:i/>
          <w:sz w:val="18"/>
          <w:szCs w:val="18"/>
        </w:rPr>
      </w:pPr>
      <w:r>
        <w:rPr>
          <w:rFonts w:ascii="Arial Narrow" w:hAnsi="Arial Narrow"/>
          <w:i/>
          <w:sz w:val="18"/>
          <w:szCs w:val="18"/>
          <w:vertAlign w:val="superscript"/>
        </w:rPr>
        <w:t xml:space="preserve">2 </w:t>
      </w:r>
      <w:r w:rsidRPr="00A61D09">
        <w:rPr>
          <w:rFonts w:ascii="Arial Narrow" w:hAnsi="Arial Narrow"/>
          <w:i/>
          <w:sz w:val="18"/>
          <w:szCs w:val="18"/>
        </w:rPr>
        <w:t>500 to &lt; 5,000</w:t>
      </w:r>
    </w:p>
    <w:p w:rsidR="00A61D09" w:rsidRDefault="00A61D09" w:rsidP="00A61D09">
      <w:pPr>
        <w:rPr>
          <w:rFonts w:ascii="Arial Narrow" w:hAnsi="Arial Narrow"/>
          <w:i/>
          <w:sz w:val="18"/>
          <w:szCs w:val="18"/>
        </w:rPr>
      </w:pPr>
      <w:r>
        <w:rPr>
          <w:rFonts w:ascii="Arial Narrow" w:hAnsi="Arial Narrow"/>
          <w:i/>
          <w:sz w:val="18"/>
          <w:szCs w:val="18"/>
          <w:vertAlign w:val="superscript"/>
        </w:rPr>
        <w:t xml:space="preserve">3 </w:t>
      </w:r>
      <w:r w:rsidRPr="00A61D09">
        <w:rPr>
          <w:rFonts w:ascii="Arial Narrow" w:hAnsi="Arial Narrow"/>
          <w:i/>
          <w:sz w:val="18"/>
          <w:szCs w:val="18"/>
        </w:rPr>
        <w:t>5,000 to &lt; 10,000</w:t>
      </w:r>
    </w:p>
    <w:p w:rsidR="00A61D09" w:rsidRPr="00A61D09" w:rsidRDefault="00A61D09" w:rsidP="00A61D09">
      <w:pPr>
        <w:rPr>
          <w:rFonts w:ascii="Arial Narrow" w:hAnsi="Arial Narrow"/>
          <w:i/>
          <w:sz w:val="18"/>
          <w:szCs w:val="18"/>
        </w:rPr>
      </w:pPr>
      <w:r>
        <w:rPr>
          <w:rFonts w:ascii="Arial Narrow" w:hAnsi="Arial Narrow"/>
          <w:i/>
          <w:sz w:val="18"/>
          <w:szCs w:val="18"/>
          <w:vertAlign w:val="superscript"/>
        </w:rPr>
        <w:t xml:space="preserve">4 </w:t>
      </w:r>
      <w:r w:rsidRPr="00A61D09">
        <w:rPr>
          <w:rFonts w:ascii="Arial Narrow" w:hAnsi="Arial Narrow"/>
          <w:i/>
          <w:sz w:val="18"/>
          <w:szCs w:val="18"/>
        </w:rPr>
        <w:t>$30 million to &lt; $40 million</w:t>
      </w:r>
    </w:p>
    <w:p w:rsidR="00A61D09" w:rsidRDefault="00A61D09" w:rsidP="00A61D09">
      <w:pPr>
        <w:rPr>
          <w:rFonts w:ascii="Arial Narrow" w:hAnsi="Arial Narrow"/>
          <w:i/>
          <w:sz w:val="18"/>
          <w:szCs w:val="18"/>
        </w:rPr>
      </w:pPr>
      <w:r>
        <w:rPr>
          <w:rFonts w:ascii="Arial Narrow" w:hAnsi="Arial Narrow"/>
          <w:i/>
          <w:sz w:val="18"/>
          <w:szCs w:val="18"/>
          <w:vertAlign w:val="superscript"/>
        </w:rPr>
        <w:t xml:space="preserve">5 </w:t>
      </w:r>
      <w:r w:rsidRPr="00A61D09">
        <w:rPr>
          <w:rFonts w:ascii="Arial Narrow" w:hAnsi="Arial Narrow"/>
          <w:i/>
          <w:sz w:val="18"/>
          <w:szCs w:val="18"/>
        </w:rPr>
        <w:t>$40 million to &lt; $50 million</w:t>
      </w:r>
    </w:p>
    <w:p w:rsidR="00A46FA6" w:rsidRDefault="00A46FA6" w:rsidP="00A61D09">
      <w:pPr>
        <w:rPr>
          <w:rFonts w:ascii="Arial Narrow" w:hAnsi="Arial Narrow"/>
          <w:i/>
          <w:sz w:val="18"/>
          <w:szCs w:val="18"/>
        </w:rPr>
      </w:pPr>
      <w:r>
        <w:rPr>
          <w:rFonts w:ascii="Arial Narrow" w:hAnsi="Arial Narrow"/>
          <w:i/>
          <w:sz w:val="18"/>
          <w:szCs w:val="18"/>
          <w:vertAlign w:val="superscript"/>
        </w:rPr>
        <w:t xml:space="preserve">6 </w:t>
      </w:r>
      <w:r w:rsidRPr="00A46FA6">
        <w:rPr>
          <w:rFonts w:ascii="Arial Narrow" w:hAnsi="Arial Narrow"/>
          <w:i/>
          <w:sz w:val="18"/>
          <w:szCs w:val="18"/>
        </w:rPr>
        <w:t>$20 million to &lt; $30 million</w:t>
      </w:r>
    </w:p>
    <w:p w:rsidR="00A61D09" w:rsidRPr="00A61D09" w:rsidRDefault="00A46FA6" w:rsidP="00A61D09">
      <w:pPr>
        <w:rPr>
          <w:rFonts w:ascii="Arial Narrow" w:hAnsi="Arial Narrow"/>
          <w:i/>
          <w:sz w:val="18"/>
          <w:szCs w:val="18"/>
        </w:rPr>
      </w:pPr>
      <w:r>
        <w:rPr>
          <w:rFonts w:ascii="Arial Narrow" w:hAnsi="Arial Narrow"/>
          <w:i/>
          <w:sz w:val="18"/>
          <w:szCs w:val="18"/>
          <w:vertAlign w:val="superscript"/>
        </w:rPr>
        <w:t>7</w:t>
      </w:r>
      <w:r w:rsidR="00A61D09">
        <w:rPr>
          <w:rFonts w:ascii="Arial Narrow" w:hAnsi="Arial Narrow"/>
          <w:i/>
          <w:sz w:val="18"/>
          <w:szCs w:val="18"/>
          <w:vertAlign w:val="superscript"/>
        </w:rPr>
        <w:t xml:space="preserve"> </w:t>
      </w:r>
      <w:r w:rsidR="00A61D09" w:rsidRPr="00A61D09">
        <w:rPr>
          <w:rFonts w:ascii="Arial Narrow" w:hAnsi="Arial Narrow"/>
          <w:i/>
          <w:sz w:val="18"/>
          <w:szCs w:val="18"/>
        </w:rPr>
        <w:t>$0 to &lt; $10 million</w:t>
      </w:r>
    </w:p>
    <w:p w:rsidR="00A61D09" w:rsidRPr="0097324B" w:rsidRDefault="00A61D09" w:rsidP="00E5320D">
      <w:pPr>
        <w:pStyle w:val="3-BodyText"/>
        <w:numPr>
          <w:ilvl w:val="0"/>
          <w:numId w:val="0"/>
        </w:numPr>
      </w:pPr>
    </w:p>
    <w:p w:rsidR="00A068B4" w:rsidRPr="0097324B" w:rsidRDefault="00A068B4" w:rsidP="00A61D09">
      <w:pPr>
        <w:pStyle w:val="3-BodyText"/>
      </w:pPr>
      <w:r w:rsidRPr="0097324B">
        <w:lastRenderedPageBreak/>
        <w:t xml:space="preserve">Based on the revised </w:t>
      </w:r>
      <w:r w:rsidR="00CA06CA" w:rsidRPr="0097324B">
        <w:t xml:space="preserve">abemaciclib </w:t>
      </w:r>
      <w:r w:rsidRPr="0097324B">
        <w:t xml:space="preserve">price proposed in the PSCR, the net impact to the PBS/RPBS of listing abemaciclib was estimated to be a </w:t>
      </w:r>
      <w:r w:rsidR="00A61D09" w:rsidRPr="00A61D09">
        <w:t>net cost saving</w:t>
      </w:r>
      <w:r w:rsidR="00A61D09" w:rsidRPr="00A61D09" w:rsidDel="00A61D09">
        <w:t xml:space="preserve"> </w:t>
      </w:r>
      <w:r w:rsidR="00CA06CA" w:rsidRPr="0097324B">
        <w:t xml:space="preserve">in Year 6 and a total </w:t>
      </w:r>
      <w:r w:rsidR="00A61D09" w:rsidRPr="00A61D09">
        <w:t>net cost saving</w:t>
      </w:r>
      <w:r w:rsidRPr="0097324B">
        <w:t xml:space="preserve"> in the first 6 years of listing. </w:t>
      </w:r>
    </w:p>
    <w:p w:rsidR="00383E57" w:rsidRPr="0097324B" w:rsidRDefault="00383E57" w:rsidP="00F30A64">
      <w:pPr>
        <w:pStyle w:val="3-BodyText"/>
      </w:pPr>
      <w:r w:rsidRPr="0097324B">
        <w:t>I</w:t>
      </w:r>
      <w:r w:rsidR="00F30A64" w:rsidRPr="0097324B">
        <w:t xml:space="preserve">n its March 2019 consideration </w:t>
      </w:r>
      <w:r w:rsidRPr="0097324B">
        <w:t>o</w:t>
      </w:r>
      <w:r w:rsidR="00F30A64" w:rsidRPr="0097324B">
        <w:t>f</w:t>
      </w:r>
      <w:r w:rsidRPr="0097324B">
        <w:t xml:space="preserve"> abemaciclib (for use in combination with an NSAI), the PBAC ‘noted that abemaciclib is associated with a higher incidence of diarrhoea compared with ribociclib. The PBAC considered that diarrhoea was a meaningful adverse event associated with the treatment with abemaciclib that will have an impact on a patient’s QoL. Therefore, the PBAC was of the view that a listing for abemaciclib should result in a cost saving to Government’ (para 12.7, Abemaciclib, PSD, March 2019 PBAC meeting). </w:t>
      </w:r>
    </w:p>
    <w:p w:rsidR="004F2A16" w:rsidRPr="0097324B" w:rsidRDefault="004F2A16" w:rsidP="004F2A16">
      <w:pPr>
        <w:pStyle w:val="3-BodyText"/>
      </w:pPr>
      <w:r w:rsidRPr="0097324B">
        <w:t xml:space="preserve">The estimated eligible populations for abemaciclib are likely to be overestimated. The assumptions to derive the first line eligible population are based on non-contemporary data for the proportion of patients with endocrine resistance, and the proportion of patients using chemotherapy could not be verified during the evaluation. Several parameters used to forecast the second line population, including prior use of EVE+EXE, AI/SERM and chemotherapy, were overestimated. The assumptions for the uptake of abemaciclib in all populations was not adequately justified in the submission. </w:t>
      </w:r>
    </w:p>
    <w:p w:rsidR="004F2A16" w:rsidRPr="0097324B" w:rsidRDefault="004F2A16" w:rsidP="004F2A16">
      <w:pPr>
        <w:pStyle w:val="3-BodyText"/>
      </w:pPr>
      <w:r w:rsidRPr="0097324B">
        <w:t xml:space="preserve">Population One: The </w:t>
      </w:r>
      <w:r w:rsidR="00CA06CA" w:rsidRPr="0097324B">
        <w:t>evaluation</w:t>
      </w:r>
      <w:r w:rsidRPr="0097324B">
        <w:t xml:space="preserve"> consider</w:t>
      </w:r>
      <w:r w:rsidR="00CA06CA" w:rsidRPr="0097324B">
        <w:t>ed it was unclear</w:t>
      </w:r>
      <w:r w:rsidRPr="0097324B">
        <w:t xml:space="preserve"> whether initiating patients who would be treated with a CDKi+AI (i.e. pathway three in the submission) would want a parenteral treatment option (i.e. pathway one) over an oral treatment.</w:t>
      </w:r>
    </w:p>
    <w:p w:rsidR="004F2A16" w:rsidRPr="0097324B" w:rsidRDefault="004F2A16" w:rsidP="004F2A16">
      <w:pPr>
        <w:pStyle w:val="3-BodyText"/>
      </w:pPr>
      <w:r w:rsidRPr="0097324B">
        <w:t>Population Two: The estimates for this population are overestimated. DUSC has previously advised in its consideration of ribociclib that the utilisation of everolimus for breast cancer has been declining with approximately 85 prevalent patients as at March 2020 based on approved Authorities data from Services Australia (</w:t>
      </w:r>
      <w:r w:rsidR="007F1DA5" w:rsidRPr="0097324B">
        <w:t xml:space="preserve">para. 6.87, </w:t>
      </w:r>
      <w:r w:rsidR="00BA0AE4" w:rsidRPr="0097324B">
        <w:t>R</w:t>
      </w:r>
      <w:r w:rsidRPr="0097324B">
        <w:t>ibociclib</w:t>
      </w:r>
      <w:r w:rsidR="007F1DA5" w:rsidRPr="0097324B">
        <w:t>,</w:t>
      </w:r>
      <w:r w:rsidR="00BA0AE4" w:rsidRPr="0097324B">
        <w:t xml:space="preserve"> PSD</w:t>
      </w:r>
      <w:r w:rsidR="007F1DA5" w:rsidRPr="0097324B">
        <w:t>, July 2020</w:t>
      </w:r>
      <w:r w:rsidRPr="0097324B">
        <w:t xml:space="preserve">; data provided by the DUSC Secretariat). </w:t>
      </w:r>
    </w:p>
    <w:p w:rsidR="004F2A16" w:rsidRPr="0097324B" w:rsidRDefault="004F2A16" w:rsidP="004F2A16">
      <w:pPr>
        <w:pStyle w:val="3-BodyText"/>
      </w:pPr>
      <w:r w:rsidRPr="0097324B">
        <w:t xml:space="preserve">Population Three: The uptake rate in this population is overestimated. The uptake is likely to be low in this setting and would likely reduce over time based on reducing utilisation of the therapy in clinical practice. </w:t>
      </w:r>
    </w:p>
    <w:p w:rsidR="004F2A16" w:rsidRPr="0097324B" w:rsidRDefault="004F2A16" w:rsidP="004F2A16">
      <w:pPr>
        <w:pStyle w:val="3-BodyText"/>
      </w:pPr>
      <w:r w:rsidRPr="0097324B">
        <w:t>Population Four: The proportion of patients moving on to treatment with a CDKi+</w:t>
      </w:r>
      <w:r w:rsidR="00DA2F6B" w:rsidRPr="0097324B">
        <w:t>fulvestrant</w:t>
      </w:r>
      <w:r w:rsidRPr="0097324B">
        <w:t xml:space="preserve"> following chemotherapy is likely to be very small. There is however likely to be a small population that may be endocrine resistant who could be considered as suitable for this treatment given the different mode of action of fulvestrant. The uptake rate for this population would likely be considerably smaller</w:t>
      </w:r>
      <w:r w:rsidR="0097324B">
        <w:t>.</w:t>
      </w:r>
    </w:p>
    <w:p w:rsidR="004F2A16" w:rsidRPr="0097324B" w:rsidRDefault="004F2A16" w:rsidP="004F2A16">
      <w:pPr>
        <w:pStyle w:val="3-BodyText"/>
      </w:pPr>
      <w:r w:rsidRPr="0097324B">
        <w:t>The assumption of full treatment compliance for all populations is unlikely to be realised in practice.</w:t>
      </w:r>
    </w:p>
    <w:p w:rsidR="004F2A16" w:rsidRPr="0097324B" w:rsidRDefault="004F2A16" w:rsidP="004F2A16">
      <w:pPr>
        <w:pStyle w:val="3-BodyText"/>
      </w:pPr>
      <w:r w:rsidRPr="0097324B">
        <w:t xml:space="preserve">The average duration of treatment in each of the target populations is approximately 12 months, for the purposes of the analysis it </w:t>
      </w:r>
      <w:r w:rsidR="00D73C5A">
        <w:t>wa</w:t>
      </w:r>
      <w:r w:rsidRPr="0097324B">
        <w:t xml:space="preserve">s pragmatically assumed that annual incidence ≈ prevalence, thus removing the need for cascading of patients through the forward estimates period. This is not appropriate given that the mean duration of </w:t>
      </w:r>
      <w:r w:rsidRPr="0097324B">
        <w:lastRenderedPageBreak/>
        <w:t>treatment in MONARCH</w:t>
      </w:r>
      <w:r w:rsidR="00D04D03" w:rsidRPr="0097324B">
        <w:t>-</w:t>
      </w:r>
      <w:r w:rsidRPr="0097324B">
        <w:t>2 in the follow-up study was 18.9 cycles or approximately 17 months (Sledge 2019).</w:t>
      </w:r>
    </w:p>
    <w:p w:rsidR="004F2A16" w:rsidRPr="0097324B" w:rsidRDefault="00A068B4" w:rsidP="004F2A16">
      <w:pPr>
        <w:pStyle w:val="3-BodyText"/>
      </w:pPr>
      <w:r w:rsidRPr="0097324B">
        <w:t xml:space="preserve">The submission assumed that abemaciclib and ribociclib would have a 50% share of the market each. </w:t>
      </w:r>
      <w:r w:rsidR="004F2A16" w:rsidRPr="0097324B">
        <w:t>It is unclear whether the market will be shared evenly. There will be some patients who are unable to have ribociclib and will choose abemaciclib due to a history of cardiac issues or switch due to QT prolongation. Ribociclib has also been approved longer and is more established in the clinical community.</w:t>
      </w:r>
    </w:p>
    <w:p w:rsidR="004F2A16" w:rsidRPr="0097324B" w:rsidRDefault="004F2A16" w:rsidP="004F2A16">
      <w:pPr>
        <w:pStyle w:val="4-SubsectionHeading"/>
      </w:pPr>
      <w:bookmarkStart w:id="29" w:name="_Toc22897648"/>
      <w:bookmarkStart w:id="30" w:name="_Toc62047570"/>
      <w:r w:rsidRPr="0097324B">
        <w:t>Quality Use of Medicines</w:t>
      </w:r>
      <w:bookmarkEnd w:id="29"/>
      <w:bookmarkEnd w:id="30"/>
    </w:p>
    <w:p w:rsidR="004F2A16" w:rsidRPr="0097324B" w:rsidRDefault="004F2A16" w:rsidP="004F2A16">
      <w:pPr>
        <w:pStyle w:val="3-BodyText"/>
      </w:pPr>
      <w:r w:rsidRPr="0097324B">
        <w:t>The submission did not propose any activities to support the quality use of medicines. Given that there are varying adverse effect profiles across the different CDKi’s further education should be provided to highlight the adverse effects more commonly associated with abemaciclib such as diarrhoea.</w:t>
      </w:r>
    </w:p>
    <w:p w:rsidR="00C80532" w:rsidRPr="0097324B" w:rsidRDefault="00C80532" w:rsidP="00C80532">
      <w:pPr>
        <w:pStyle w:val="3-BodyText"/>
        <w:numPr>
          <w:ilvl w:val="0"/>
          <w:numId w:val="0"/>
        </w:numPr>
        <w:outlineLvl w:val="1"/>
        <w:rPr>
          <w:rFonts w:eastAsiaTheme="majorEastAsia" w:cstheme="majorBidi"/>
          <w:b/>
          <w:i/>
          <w:snapToGrid/>
          <w:spacing w:val="5"/>
          <w:kern w:val="28"/>
          <w:sz w:val="28"/>
          <w:szCs w:val="36"/>
        </w:rPr>
      </w:pPr>
      <w:r w:rsidRPr="0097324B">
        <w:rPr>
          <w:rFonts w:eastAsiaTheme="majorEastAsia" w:cstheme="majorBidi"/>
          <w:b/>
          <w:i/>
          <w:snapToGrid/>
          <w:spacing w:val="5"/>
          <w:kern w:val="28"/>
          <w:sz w:val="28"/>
          <w:szCs w:val="36"/>
        </w:rPr>
        <w:t>Financial Management –Risk Sharing Arrangements</w:t>
      </w:r>
    </w:p>
    <w:p w:rsidR="00C80532" w:rsidRPr="0097324B" w:rsidRDefault="00C80532" w:rsidP="00C80532">
      <w:pPr>
        <w:pStyle w:val="3-BodyText"/>
      </w:pPr>
      <w:r w:rsidRPr="0097324B">
        <w:t>The submission did not propose a risk sharing arrangement.</w:t>
      </w:r>
    </w:p>
    <w:p w:rsidR="00D1125B" w:rsidRPr="0097324B" w:rsidRDefault="00B4068C" w:rsidP="00D1125B">
      <w:pPr>
        <w:pStyle w:val="3-BodyText"/>
        <w:numPr>
          <w:ilvl w:val="0"/>
          <w:numId w:val="0"/>
        </w:numPr>
        <w:rPr>
          <w:i/>
          <w:iCs/>
          <w:snapToGrid/>
        </w:rPr>
      </w:pPr>
      <w:r w:rsidRPr="0097324B">
        <w:rPr>
          <w:i/>
          <w:iCs/>
          <w:snapToGrid/>
        </w:rPr>
        <w:t>For more detail on PBAC’s view, see section 7 PBAC outcome.</w:t>
      </w:r>
    </w:p>
    <w:p w:rsidR="00041D71" w:rsidRPr="0097324B" w:rsidRDefault="00041D71" w:rsidP="007D58D5">
      <w:pPr>
        <w:keepNext/>
        <w:widowControl w:val="0"/>
        <w:numPr>
          <w:ilvl w:val="0"/>
          <w:numId w:val="1"/>
        </w:numPr>
        <w:spacing w:before="240" w:after="120"/>
        <w:outlineLvl w:val="0"/>
        <w:rPr>
          <w:rFonts w:asciiTheme="minorHAnsi" w:hAnsiTheme="minorHAnsi"/>
          <w:b/>
          <w:bCs/>
          <w:snapToGrid w:val="0"/>
          <w:sz w:val="32"/>
        </w:rPr>
      </w:pPr>
      <w:r w:rsidRPr="0097324B">
        <w:rPr>
          <w:rFonts w:asciiTheme="minorHAnsi" w:hAnsiTheme="minorHAnsi"/>
          <w:b/>
          <w:bCs/>
          <w:snapToGrid w:val="0"/>
          <w:sz w:val="32"/>
        </w:rPr>
        <w:t>PBAC Outcome</w:t>
      </w:r>
    </w:p>
    <w:p w:rsidR="002B1596" w:rsidRPr="0097324B" w:rsidRDefault="00041D71" w:rsidP="002725D7">
      <w:pPr>
        <w:pStyle w:val="3-BodyText"/>
        <w:rPr>
          <w:bCs/>
        </w:rPr>
      </w:pPr>
      <w:r w:rsidRPr="0097324B">
        <w:t xml:space="preserve">The </w:t>
      </w:r>
      <w:r w:rsidR="007D58D5" w:rsidRPr="0097324B">
        <w:t>PBAC recommended the listing of abemaciclib in combination with fulvestrant, for the treatment of non-premenopausal patients with hormone receptor positive (HR+) and human epidermal growth factor receptor 2 negative (HER2-) inoperable locally advanced or metastatic breast cancer</w:t>
      </w:r>
      <w:r w:rsidR="00ED3087">
        <w:t>, on a cost-minimisation basis with ribociclib in combination with fulvestrant</w:t>
      </w:r>
      <w:r w:rsidR="007D58D5" w:rsidRPr="0097324B">
        <w:t>.</w:t>
      </w:r>
      <w:r w:rsidRPr="0097324B">
        <w:t xml:space="preserve"> </w:t>
      </w:r>
    </w:p>
    <w:p w:rsidR="004C0453" w:rsidRPr="0097324B" w:rsidRDefault="004C0453" w:rsidP="00DC2955">
      <w:pPr>
        <w:pStyle w:val="3-BodyText"/>
      </w:pPr>
      <w:r w:rsidRPr="0097324B">
        <w:t xml:space="preserve">The PBAC </w:t>
      </w:r>
      <w:r w:rsidR="00DC2955" w:rsidRPr="0097324B">
        <w:t xml:space="preserve">welcomed the input from individuals, Breast Cancer Network Australia and </w:t>
      </w:r>
      <w:r w:rsidR="00DC2955" w:rsidRPr="0097324B">
        <w:rPr>
          <w:bCs/>
        </w:rPr>
        <w:t xml:space="preserve">Medical Oncology Group of Australia and noted that the use of abemaciclib may provide </w:t>
      </w:r>
      <w:r w:rsidR="0075218E" w:rsidRPr="0097324B">
        <w:rPr>
          <w:bCs/>
        </w:rPr>
        <w:t xml:space="preserve">more </w:t>
      </w:r>
      <w:r w:rsidR="00DC2955" w:rsidRPr="0097324B">
        <w:rPr>
          <w:bCs/>
        </w:rPr>
        <w:t>treatment options for patients diagnosed with metastatic disease.</w:t>
      </w:r>
    </w:p>
    <w:p w:rsidR="0052643B" w:rsidRPr="0097324B" w:rsidRDefault="0052643B" w:rsidP="000A6A0D">
      <w:pPr>
        <w:pStyle w:val="3-BodyText"/>
        <w:widowControl w:val="0"/>
      </w:pPr>
      <w:r w:rsidRPr="0097324B">
        <w:t>The PBAC noted that the proposed restriction for abemaciclib only included patients who have prior endocrine resistance and thus excluded d</w:t>
      </w:r>
      <w:r w:rsidRPr="0097324B">
        <w:rPr>
          <w:bCs/>
        </w:rPr>
        <w:t xml:space="preserve">e novo </w:t>
      </w:r>
      <w:r w:rsidRPr="0097324B">
        <w:t xml:space="preserve">patients. While the ITT population in MONARCH-2 did not include patients with de novo metastatic disease, </w:t>
      </w:r>
      <w:r w:rsidR="00803D1E" w:rsidRPr="0097324B">
        <w:t xml:space="preserve">based on the </w:t>
      </w:r>
      <w:r w:rsidRPr="0097324B">
        <w:t>post hoc exploratory analysis of the 44 patients with de novo metastatic disease who were enrolled prior to the protocol amendment</w:t>
      </w:r>
      <w:r w:rsidR="00803D1E" w:rsidRPr="0097324B">
        <w:t xml:space="preserve">, the </w:t>
      </w:r>
      <w:r w:rsidRPr="0097324B">
        <w:t>data indicated that the 28 patients who received abemaciclib plus fulvestrant appeared to derive a similar benefit to the ITT population</w:t>
      </w:r>
      <w:r w:rsidR="00BF5E46" w:rsidRPr="0097324B">
        <w:t>. The PBAC also</w:t>
      </w:r>
      <w:r w:rsidRPr="0097324B">
        <w:t xml:space="preserve"> noted that use of CDKI+fulvestrant </w:t>
      </w:r>
      <w:r w:rsidR="000B48B3">
        <w:t>is likely to</w:t>
      </w:r>
      <w:r w:rsidR="000B48B3" w:rsidRPr="0097324B">
        <w:t xml:space="preserve"> </w:t>
      </w:r>
      <w:r w:rsidRPr="0097324B">
        <w:t>be minimal in de novo patients as these patients would likely prefer an oral NSAI than intramuscular injections of fulvestrant. Therefore, t</w:t>
      </w:r>
      <w:r w:rsidR="00A17EC3" w:rsidRPr="0097324B">
        <w:t xml:space="preserve">he PBAC considered that </w:t>
      </w:r>
      <w:r w:rsidR="00BF5E46" w:rsidRPr="0097324B">
        <w:t>a listing</w:t>
      </w:r>
      <w:r w:rsidR="00D426F8" w:rsidRPr="0097324B">
        <w:t>, including de novo metastatic patients,</w:t>
      </w:r>
      <w:r w:rsidR="00BF5E46" w:rsidRPr="0097324B">
        <w:t xml:space="preserve"> </w:t>
      </w:r>
      <w:r w:rsidR="00D426F8" w:rsidRPr="0097324B">
        <w:t>would be appropriate for abemaciclib</w:t>
      </w:r>
      <w:r w:rsidR="00314A7A" w:rsidRPr="0097324B">
        <w:t xml:space="preserve"> and consistent</w:t>
      </w:r>
      <w:r w:rsidR="00E90AFA">
        <w:t xml:space="preserve"> with both the TGA registered indication for abemaciclib and the listing</w:t>
      </w:r>
      <w:r w:rsidR="00314A7A" w:rsidRPr="0097324B">
        <w:t xml:space="preserve"> recommended for ribociclib at the November 2020 PBAC meeting</w:t>
      </w:r>
      <w:r w:rsidR="00D426F8" w:rsidRPr="0097324B">
        <w:t xml:space="preserve">. </w:t>
      </w:r>
    </w:p>
    <w:p w:rsidR="0052643B" w:rsidRPr="0097324B" w:rsidRDefault="00BF5E46" w:rsidP="00BF5E46">
      <w:pPr>
        <w:pStyle w:val="3-BodyText"/>
      </w:pPr>
      <w:r w:rsidRPr="0097324B">
        <w:lastRenderedPageBreak/>
        <w:t>The PBAC considered</w:t>
      </w:r>
      <w:r w:rsidR="00DF371A" w:rsidRPr="0097324B">
        <w:t xml:space="preserve"> the</w:t>
      </w:r>
      <w:r w:rsidRPr="0097324B">
        <w:t xml:space="preserve"> existing listing for abemaciclib in combination with NSAIs (initial and continuing) </w:t>
      </w:r>
      <w:r w:rsidR="00BE441B">
        <w:t>sh</w:t>
      </w:r>
      <w:r w:rsidRPr="0097324B">
        <w:t>ould be amended to include the combination use with fulvestrant</w:t>
      </w:r>
      <w:r w:rsidR="00F47B64" w:rsidRPr="0097324B">
        <w:t>;</w:t>
      </w:r>
      <w:r w:rsidRPr="0097324B">
        <w:t xml:space="preserve"> and a new grandfather listing be added. </w:t>
      </w:r>
    </w:p>
    <w:p w:rsidR="00DC2955" w:rsidRPr="0097324B" w:rsidRDefault="00B757B8" w:rsidP="009F797B">
      <w:pPr>
        <w:pStyle w:val="3-BodyText"/>
      </w:pPr>
      <w:r w:rsidRPr="0097324B">
        <w:t xml:space="preserve">The PBAC </w:t>
      </w:r>
      <w:r w:rsidR="009F797B" w:rsidRPr="0097324B">
        <w:t>considered the indirect comparison presented in the submission supported the claim of non-inferiority of efficacy for abemaciclib compared with ribociclib</w:t>
      </w:r>
      <w:r w:rsidR="00F47B64" w:rsidRPr="0097324B">
        <w:t xml:space="preserve">. However, the PBAC </w:t>
      </w:r>
      <w:r w:rsidR="009F797B" w:rsidRPr="0097324B">
        <w:t xml:space="preserve">noted that </w:t>
      </w:r>
      <w:r w:rsidR="00F47B64" w:rsidRPr="0097324B">
        <w:t>the indirect comparison</w:t>
      </w:r>
      <w:r w:rsidR="009F797B" w:rsidRPr="0097324B">
        <w:t xml:space="preserve"> did not allow for a meaningful quantitative comparison of the harms of abemaciclib and ribociclib due to the</w:t>
      </w:r>
      <w:r w:rsidR="00F47B64" w:rsidRPr="0097324B">
        <w:t xml:space="preserve"> differing side effect profiles</w:t>
      </w:r>
      <w:r w:rsidR="009F797B" w:rsidRPr="0097324B">
        <w:t xml:space="preserve"> and the impact of the higher initial abemaciclib starting dose on dose reductions and discontinuations. </w:t>
      </w:r>
    </w:p>
    <w:p w:rsidR="004F0C6B" w:rsidRPr="0097324B" w:rsidRDefault="004F0C6B" w:rsidP="004F0C6B">
      <w:pPr>
        <w:pStyle w:val="3-BodyText"/>
        <w:rPr>
          <w:bCs/>
        </w:rPr>
      </w:pPr>
      <w:r w:rsidRPr="0097324B">
        <w:t>The submission acknowledged that abemaciclib is associated with higher rates of diarrhoea than ribociclib, but did not include any additional costs for the treatment of diarrhoea</w:t>
      </w:r>
      <w:r w:rsidR="000B48B3">
        <w:t xml:space="preserve"> in the cost-minimisation analysis</w:t>
      </w:r>
      <w:r w:rsidRPr="0097324B">
        <w:t xml:space="preserve">, stating that the cost impact would be minimal. The PBAC recalled that at its March 2019 consideration of abemaciclib (for use in combination with an NSAI), </w:t>
      </w:r>
      <w:r w:rsidR="00CB6D69">
        <w:t>it considered</w:t>
      </w:r>
      <w:r w:rsidRPr="0097324B">
        <w:t xml:space="preserve"> that abemaciclib is associated with a higher incidence of diarrhoea compared with ribociclib. The PBAC </w:t>
      </w:r>
      <w:r w:rsidR="00720454">
        <w:t>maintained this view</w:t>
      </w:r>
      <w:r w:rsidR="00720454" w:rsidRPr="0097324B">
        <w:t xml:space="preserve"> </w:t>
      </w:r>
      <w:r w:rsidR="00720454">
        <w:t>whilst noting the additional evidence presented in the current submission.</w:t>
      </w:r>
      <w:r w:rsidRPr="0097324B">
        <w:t xml:space="preserve"> </w:t>
      </w:r>
    </w:p>
    <w:p w:rsidR="00720454" w:rsidRPr="0097324B" w:rsidRDefault="00720454" w:rsidP="00720454">
      <w:pPr>
        <w:widowControl w:val="0"/>
        <w:numPr>
          <w:ilvl w:val="1"/>
          <w:numId w:val="1"/>
        </w:numPr>
        <w:spacing w:after="120"/>
        <w:rPr>
          <w:rFonts w:asciiTheme="minorHAnsi" w:hAnsiTheme="minorHAnsi"/>
          <w:bCs/>
          <w:snapToGrid w:val="0"/>
        </w:rPr>
      </w:pPr>
      <w:r w:rsidRPr="0097324B">
        <w:rPr>
          <w:rFonts w:asciiTheme="minorHAnsi" w:hAnsiTheme="minorHAnsi"/>
          <w:bCs/>
          <w:snapToGrid w:val="0"/>
        </w:rPr>
        <w:t xml:space="preserve">The PBAC accepted the </w:t>
      </w:r>
      <w:r w:rsidR="008E40CE">
        <w:rPr>
          <w:rFonts w:asciiTheme="minorHAnsi" w:hAnsiTheme="minorHAnsi"/>
          <w:bCs/>
          <w:snapToGrid w:val="0"/>
        </w:rPr>
        <w:t xml:space="preserve">following </w:t>
      </w:r>
      <w:r w:rsidR="00786B5E">
        <w:rPr>
          <w:rFonts w:asciiTheme="minorHAnsi" w:hAnsiTheme="minorHAnsi"/>
          <w:bCs/>
          <w:snapToGrid w:val="0"/>
        </w:rPr>
        <w:t>equi-effective doses</w:t>
      </w:r>
      <w:r w:rsidRPr="00D27826">
        <w:rPr>
          <w:rFonts w:asciiTheme="minorHAnsi" w:hAnsiTheme="minorHAnsi"/>
          <w:bCs/>
          <w:snapToGrid w:val="0"/>
        </w:rPr>
        <w:t>:</w:t>
      </w:r>
      <w:r w:rsidRPr="0097324B">
        <w:rPr>
          <w:rFonts w:asciiTheme="minorHAnsi" w:hAnsiTheme="minorHAnsi"/>
          <w:bCs/>
          <w:snapToGrid w:val="0"/>
        </w:rPr>
        <w:t xml:space="preserve"> </w:t>
      </w:r>
    </w:p>
    <w:p w:rsidR="00720454" w:rsidRPr="0097324B" w:rsidRDefault="00720454" w:rsidP="00E01C63">
      <w:pPr>
        <w:pStyle w:val="ListParagraph"/>
        <w:widowControl w:val="0"/>
        <w:numPr>
          <w:ilvl w:val="0"/>
          <w:numId w:val="30"/>
        </w:numPr>
        <w:ind w:left="1077" w:hanging="357"/>
        <w:rPr>
          <w:bCs/>
        </w:rPr>
      </w:pPr>
      <w:r w:rsidRPr="0097324B">
        <w:rPr>
          <w:bCs/>
        </w:rPr>
        <w:t xml:space="preserve">abemaciclib </w:t>
      </w:r>
      <w:r w:rsidR="005B7EED">
        <w:rPr>
          <w:bCs/>
        </w:rPr>
        <w:t>260.7</w:t>
      </w:r>
      <w:r w:rsidRPr="0097324B">
        <w:rPr>
          <w:bCs/>
        </w:rPr>
        <w:t xml:space="preserve"> mg/day (based on a mean relative dose intensity (RDI) of </w:t>
      </w:r>
      <w:r w:rsidR="005B7EED">
        <w:rPr>
          <w:bCs/>
        </w:rPr>
        <w:t>86.9</w:t>
      </w:r>
      <w:r w:rsidRPr="0097324B">
        <w:rPr>
          <w:bCs/>
        </w:rPr>
        <w:t>%) for 28 days every 28-day cycle is equivalent to</w:t>
      </w:r>
    </w:p>
    <w:p w:rsidR="00720454" w:rsidRPr="00720454" w:rsidRDefault="00720454" w:rsidP="00E01C63">
      <w:pPr>
        <w:pStyle w:val="ListParagraph"/>
        <w:widowControl w:val="0"/>
        <w:numPr>
          <w:ilvl w:val="0"/>
          <w:numId w:val="30"/>
        </w:numPr>
        <w:ind w:left="1077" w:hanging="357"/>
      </w:pPr>
      <w:r w:rsidRPr="0097324B">
        <w:rPr>
          <w:bCs/>
        </w:rPr>
        <w:t xml:space="preserve">ribociclib </w:t>
      </w:r>
      <w:r w:rsidR="005B7EED">
        <w:rPr>
          <w:bCs/>
        </w:rPr>
        <w:t>511.2</w:t>
      </w:r>
      <w:r w:rsidRPr="0097324B">
        <w:rPr>
          <w:bCs/>
        </w:rPr>
        <w:t xml:space="preserve"> mg/day (based on a </w:t>
      </w:r>
      <w:r w:rsidR="005F60C6">
        <w:rPr>
          <w:bCs/>
        </w:rPr>
        <w:t>mean</w:t>
      </w:r>
      <w:r w:rsidRPr="0097324B">
        <w:rPr>
          <w:bCs/>
        </w:rPr>
        <w:t xml:space="preserve"> RDI </w:t>
      </w:r>
      <w:r w:rsidR="005B7EED">
        <w:rPr>
          <w:bCs/>
        </w:rPr>
        <w:t>85.2</w:t>
      </w:r>
      <w:r w:rsidRPr="0097324B">
        <w:rPr>
          <w:bCs/>
        </w:rPr>
        <w:t>%) for 21 days every 28-days.</w:t>
      </w:r>
    </w:p>
    <w:p w:rsidR="004F0C6B" w:rsidRPr="0097324B" w:rsidRDefault="00720454" w:rsidP="00720454">
      <w:pPr>
        <w:pStyle w:val="3-BodyText"/>
      </w:pPr>
      <w:r>
        <w:t>T</w:t>
      </w:r>
      <w:r w:rsidR="004F0C6B" w:rsidRPr="0097324B">
        <w:t xml:space="preserve">he PBAC </w:t>
      </w:r>
      <w:r>
        <w:t>noted</w:t>
      </w:r>
      <w:r w:rsidRPr="0097324B">
        <w:t xml:space="preserve"> </w:t>
      </w:r>
      <w:r w:rsidR="004F0C6B" w:rsidRPr="0097324B">
        <w:t xml:space="preserve">the revised </w:t>
      </w:r>
      <w:r>
        <w:t>cost-minimisation</w:t>
      </w:r>
      <w:r w:rsidR="004F0C6B" w:rsidRPr="0097324B">
        <w:t xml:space="preserve"> analysis </w:t>
      </w:r>
      <w:r>
        <w:t>presented</w:t>
      </w:r>
      <w:r w:rsidRPr="0097324B">
        <w:t xml:space="preserve"> </w:t>
      </w:r>
      <w:r w:rsidR="004F0C6B" w:rsidRPr="0097324B">
        <w:t>in the PSCR which removed the ECG costs</w:t>
      </w:r>
      <w:r>
        <w:t xml:space="preserve">. The PBAC considered this appropriate and </w:t>
      </w:r>
      <w:r w:rsidR="004F0C6B" w:rsidRPr="0097324B">
        <w:t xml:space="preserve">consistent with its </w:t>
      </w:r>
      <w:r w:rsidR="00727B0A">
        <w:t xml:space="preserve">March 2019 </w:t>
      </w:r>
      <w:r w:rsidR="004F0C6B" w:rsidRPr="0097324B">
        <w:t xml:space="preserve">recommendation </w:t>
      </w:r>
      <w:r w:rsidR="00727B0A">
        <w:t>for</w:t>
      </w:r>
      <w:r w:rsidR="004F0C6B" w:rsidRPr="0097324B">
        <w:t xml:space="preserve"> abemaciclib (para 7.9 Abemaciclib PSD, March 2019 PBAC meeting).</w:t>
      </w:r>
    </w:p>
    <w:p w:rsidR="0040060A" w:rsidRPr="0097324B" w:rsidRDefault="0040060A" w:rsidP="0040060A">
      <w:pPr>
        <w:pStyle w:val="3-BodyText"/>
      </w:pPr>
      <w:r w:rsidRPr="0097324B">
        <w:t>The PBAC recalled that it had recommended ribociclib + fulvestrant in November 2020 based on a weighted price derived from a:</w:t>
      </w:r>
    </w:p>
    <w:p w:rsidR="0040060A" w:rsidRPr="0097324B" w:rsidRDefault="0040060A" w:rsidP="00E01C63">
      <w:pPr>
        <w:pStyle w:val="ListParagraph"/>
        <w:widowControl w:val="0"/>
        <w:numPr>
          <w:ilvl w:val="0"/>
          <w:numId w:val="30"/>
        </w:numPr>
        <w:ind w:left="1077" w:hanging="357"/>
      </w:pPr>
      <w:r w:rsidRPr="0097324B">
        <w:t xml:space="preserve">cost minimisation analysis, based on </w:t>
      </w:r>
      <w:r w:rsidR="00317E28" w:rsidRPr="0097324B">
        <w:t xml:space="preserve">ribociclib + fulvestrant </w:t>
      </w:r>
      <w:r w:rsidRPr="0097324B">
        <w:t xml:space="preserve">compared with </w:t>
      </w:r>
      <w:r w:rsidR="00317E28">
        <w:t xml:space="preserve">ribociclib </w:t>
      </w:r>
      <w:r w:rsidRPr="0097324B">
        <w:t>+</w:t>
      </w:r>
      <w:r w:rsidR="00317E28">
        <w:t xml:space="preserve"> </w:t>
      </w:r>
      <w:r w:rsidRPr="0097324B">
        <w:t xml:space="preserve">NSAI as first line treatment in the metastatic setting (i.e. including patients with de novo metastatic disease and those who received endocrine therapy in the (neo)adjuvant setting); and a </w:t>
      </w:r>
    </w:p>
    <w:p w:rsidR="0040060A" w:rsidRPr="0097324B" w:rsidRDefault="0040060A" w:rsidP="00E01C63">
      <w:pPr>
        <w:pStyle w:val="ListParagraph"/>
        <w:widowControl w:val="0"/>
        <w:numPr>
          <w:ilvl w:val="0"/>
          <w:numId w:val="30"/>
        </w:numPr>
        <w:ind w:left="1077" w:hanging="357"/>
      </w:pPr>
      <w:r w:rsidRPr="0097324B">
        <w:t xml:space="preserve">cost-effectiveness analysis, based on </w:t>
      </w:r>
      <w:r w:rsidR="00317E28" w:rsidRPr="0097324B">
        <w:t xml:space="preserve">ribociclib + fulvestrant </w:t>
      </w:r>
      <w:r w:rsidRPr="0097324B">
        <w:t xml:space="preserve">versus </w:t>
      </w:r>
      <w:r w:rsidR="00317E28">
        <w:t xml:space="preserve">everolimus + exemestane </w:t>
      </w:r>
      <w:r w:rsidRPr="0097324B">
        <w:t>in second/subsequent line treatment</w:t>
      </w:r>
      <w:r w:rsidR="00727B0A">
        <w:t>.</w:t>
      </w:r>
      <w:r w:rsidRPr="0097324B">
        <w:t xml:space="preserve"> </w:t>
      </w:r>
    </w:p>
    <w:p w:rsidR="0040060A" w:rsidRPr="0097324B" w:rsidRDefault="0040060A" w:rsidP="00D61AB0">
      <w:pPr>
        <w:pStyle w:val="3-BodyText"/>
        <w:numPr>
          <w:ilvl w:val="0"/>
          <w:numId w:val="0"/>
        </w:numPr>
        <w:ind w:left="720"/>
      </w:pPr>
      <w:r w:rsidRPr="0097324B">
        <w:t>Overall, in its Nov</w:t>
      </w:r>
      <w:r w:rsidR="00E62737" w:rsidRPr="0097324B">
        <w:t>ember</w:t>
      </w:r>
      <w:r w:rsidRPr="0097324B">
        <w:t xml:space="preserve"> 2020 consideration of ribociclib + fulvestrant “the PBAC considered the prices proposed in each of the settings were reasonable, and the resubmission’s overall proposal of a price that is the same as the current price for use in combination with NSAIs was appropriate”. (para 5.9</w:t>
      </w:r>
      <w:r w:rsidR="00E62737" w:rsidRPr="0097324B">
        <w:t>, ribociclib PSD, November 2020 PBAC meeting</w:t>
      </w:r>
      <w:r w:rsidRPr="0097324B">
        <w:t>)</w:t>
      </w:r>
    </w:p>
    <w:p w:rsidR="009F797B" w:rsidRPr="0097324B" w:rsidRDefault="00D12893" w:rsidP="00F83A18">
      <w:pPr>
        <w:pStyle w:val="3-BodyText"/>
      </w:pPr>
      <w:r w:rsidRPr="0097324B">
        <w:rPr>
          <w:iCs/>
        </w:rPr>
        <w:lastRenderedPageBreak/>
        <w:t>C</w:t>
      </w:r>
      <w:r w:rsidR="0040060A" w:rsidRPr="0097324B">
        <w:rPr>
          <w:iCs/>
        </w:rPr>
        <w:t>onsisten</w:t>
      </w:r>
      <w:r w:rsidRPr="0097324B">
        <w:rPr>
          <w:iCs/>
        </w:rPr>
        <w:t xml:space="preserve">t with </w:t>
      </w:r>
      <w:r w:rsidR="00F83A18">
        <w:rPr>
          <w:iCs/>
        </w:rPr>
        <w:t>its</w:t>
      </w:r>
      <w:r w:rsidR="00F83A18" w:rsidRPr="0097324B">
        <w:rPr>
          <w:iCs/>
        </w:rPr>
        <w:t xml:space="preserve"> </w:t>
      </w:r>
      <w:r w:rsidRPr="0097324B">
        <w:rPr>
          <w:iCs/>
        </w:rPr>
        <w:t>recommendation at the November 2020 meeting</w:t>
      </w:r>
      <w:r w:rsidR="0040060A" w:rsidRPr="0097324B">
        <w:rPr>
          <w:iCs/>
        </w:rPr>
        <w:t xml:space="preserve">, the PBAC considered that the price of abemaciclib, when used in combination with fulvestrant, should be no higher than the price for the existing listing </w:t>
      </w:r>
      <w:r w:rsidR="00DF7224" w:rsidRPr="0097324B">
        <w:rPr>
          <w:iCs/>
        </w:rPr>
        <w:t xml:space="preserve">of abemaciclib when used </w:t>
      </w:r>
      <w:r w:rsidR="0040060A" w:rsidRPr="0097324B">
        <w:rPr>
          <w:iCs/>
        </w:rPr>
        <w:t>in combination with an NSAI.</w:t>
      </w:r>
    </w:p>
    <w:p w:rsidR="004C0453" w:rsidRPr="0097324B" w:rsidRDefault="004C0453" w:rsidP="00A17EC3">
      <w:pPr>
        <w:pStyle w:val="3-BodyText"/>
      </w:pPr>
      <w:r w:rsidRPr="0097324B">
        <w:rPr>
          <w:rFonts w:cs="Times New Roman"/>
          <w:szCs w:val="22"/>
          <w:lang w:eastAsia="en-US" w:bidi="en-US"/>
        </w:rPr>
        <w:t xml:space="preserve">The PBAC considered the submission overestimated the uptake rates across </w:t>
      </w:r>
      <w:r w:rsidR="00727B0A">
        <w:rPr>
          <w:rFonts w:cs="Times New Roman"/>
          <w:szCs w:val="22"/>
          <w:lang w:eastAsia="en-US" w:bidi="en-US"/>
        </w:rPr>
        <w:t xml:space="preserve">the </w:t>
      </w:r>
      <w:r w:rsidRPr="0097324B">
        <w:rPr>
          <w:rFonts w:cs="Times New Roman"/>
          <w:szCs w:val="22"/>
          <w:lang w:eastAsia="en-US" w:bidi="en-US"/>
        </w:rPr>
        <w:t>populations</w:t>
      </w:r>
      <w:r w:rsidR="00E62737" w:rsidRPr="0097324B">
        <w:rPr>
          <w:rFonts w:cs="Times New Roman"/>
          <w:szCs w:val="22"/>
          <w:lang w:eastAsia="en-US" w:bidi="en-US"/>
        </w:rPr>
        <w:t xml:space="preserve"> and that </w:t>
      </w:r>
      <w:r w:rsidRPr="0097324B">
        <w:rPr>
          <w:rFonts w:cs="Times New Roman"/>
          <w:szCs w:val="22"/>
          <w:lang w:eastAsia="en-US" w:bidi="en-US"/>
        </w:rPr>
        <w:t>t</w:t>
      </w:r>
      <w:r w:rsidRPr="0097324B">
        <w:t>he assumption of full treatment compliance is unlikely to be realised in practice.</w:t>
      </w:r>
      <w:r w:rsidR="00E62737" w:rsidRPr="0097324B">
        <w:t xml:space="preserve"> However, t</w:t>
      </w:r>
      <w:r w:rsidRPr="0097324B">
        <w:t xml:space="preserve">he PBAC considered the financial risk </w:t>
      </w:r>
      <w:r w:rsidR="006C572B" w:rsidRPr="0097324B">
        <w:t xml:space="preserve">could </w:t>
      </w:r>
      <w:r w:rsidRPr="0097324B">
        <w:t xml:space="preserve">be mitigated by </w:t>
      </w:r>
      <w:r w:rsidR="006C572B" w:rsidRPr="0097324B">
        <w:t xml:space="preserve">including this expanded listing within </w:t>
      </w:r>
      <w:r w:rsidRPr="0097324B">
        <w:t xml:space="preserve">the </w:t>
      </w:r>
      <w:r w:rsidR="00DF7224" w:rsidRPr="0097324B">
        <w:t>same R</w:t>
      </w:r>
      <w:r w:rsidR="00C1037C" w:rsidRPr="0097324B">
        <w:t xml:space="preserve">isk </w:t>
      </w:r>
      <w:r w:rsidR="00DF7224" w:rsidRPr="0097324B">
        <w:t>S</w:t>
      </w:r>
      <w:r w:rsidR="00C1037C" w:rsidRPr="0097324B">
        <w:t xml:space="preserve">haring </w:t>
      </w:r>
      <w:r w:rsidR="00DF7224" w:rsidRPr="0097324B">
        <w:t>A</w:t>
      </w:r>
      <w:r w:rsidR="00C1037C" w:rsidRPr="0097324B">
        <w:t>rrangement</w:t>
      </w:r>
      <w:r w:rsidR="00DF7224" w:rsidRPr="0097324B">
        <w:t xml:space="preserve"> as </w:t>
      </w:r>
      <w:r w:rsidR="009326D3" w:rsidRPr="0097324B">
        <w:t>advised in its recommendation</w:t>
      </w:r>
      <w:r w:rsidRPr="0097324B">
        <w:t xml:space="preserve"> for ribociclib</w:t>
      </w:r>
      <w:r w:rsidR="009326D3" w:rsidRPr="0097324B">
        <w:t xml:space="preserve"> in combination with fulvestrant</w:t>
      </w:r>
      <w:r w:rsidR="001A1191" w:rsidRPr="0097324B">
        <w:t>, with</w:t>
      </w:r>
      <w:r w:rsidRPr="0097324B">
        <w:t xml:space="preserve"> no increase to the </w:t>
      </w:r>
      <w:r w:rsidR="00C1037C" w:rsidRPr="0097324B">
        <w:t xml:space="preserve">agreed </w:t>
      </w:r>
      <w:r w:rsidRPr="0097324B">
        <w:t>caps</w:t>
      </w:r>
      <w:r w:rsidR="00C1037C" w:rsidRPr="0097324B">
        <w:t xml:space="preserve"> for ribociclib</w:t>
      </w:r>
      <w:r w:rsidRPr="0097324B">
        <w:t xml:space="preserve"> to ensure there is no net financial cost to the government.</w:t>
      </w:r>
    </w:p>
    <w:p w:rsidR="00041D71" w:rsidRPr="0097324B" w:rsidRDefault="00041D71" w:rsidP="00FB16BE">
      <w:pPr>
        <w:pStyle w:val="3-BodyText"/>
        <w:rPr>
          <w:b/>
          <w:bCs/>
        </w:rPr>
      </w:pPr>
      <w:r w:rsidRPr="0097324B">
        <w:t xml:space="preserve">The PBAC noted that its recommendation was on a cost-minimisation basis and advised that, because </w:t>
      </w:r>
      <w:r w:rsidR="00FB16BE" w:rsidRPr="0097324B">
        <w:t>abemaciclib</w:t>
      </w:r>
      <w:r w:rsidRPr="0097324B">
        <w:t xml:space="preserve"> </w:t>
      </w:r>
      <w:r w:rsidR="00FB16BE" w:rsidRPr="0097324B">
        <w:t xml:space="preserve">in combination with fulvestrant </w:t>
      </w:r>
      <w:r w:rsidRPr="0097324B">
        <w:t>is not expected to provide a substantial</w:t>
      </w:r>
      <w:r w:rsidRPr="0097324B">
        <w:rPr>
          <w:bCs/>
        </w:rPr>
        <w:t xml:space="preserve"> and clinically relevant improvement in efficacy, or reduction of toxicity, over</w:t>
      </w:r>
      <w:r w:rsidR="00FB16BE" w:rsidRPr="0097324B">
        <w:rPr>
          <w:bCs/>
        </w:rPr>
        <w:t xml:space="preserve"> </w:t>
      </w:r>
      <w:r w:rsidR="00FB16BE" w:rsidRPr="0097324B">
        <w:rPr>
          <w:bCs/>
          <w:snapToGrid/>
        </w:rPr>
        <w:t>ribociclib in combination with fulvestrant</w:t>
      </w:r>
      <w:r w:rsidRPr="0097324B">
        <w:rPr>
          <w:bCs/>
        </w:rPr>
        <w:t xml:space="preserve">, or not expected to address a high and urgent unmet clinical need given the presence of an alternative therapy, the criteria prescribed by the </w:t>
      </w:r>
      <w:r w:rsidRPr="0097324B">
        <w:rPr>
          <w:bCs/>
          <w:i/>
        </w:rPr>
        <w:t>National Health (Pharmaceuticals and Vaccines – Cost Recovery) Regulations 2009</w:t>
      </w:r>
      <w:r w:rsidRPr="0097324B">
        <w:rPr>
          <w:bCs/>
        </w:rPr>
        <w:t xml:space="preserve"> for Pricing Pathway A were not met.</w:t>
      </w:r>
    </w:p>
    <w:p w:rsidR="00041D71" w:rsidRPr="0097324B" w:rsidRDefault="00041D71" w:rsidP="00D004FE">
      <w:pPr>
        <w:widowControl w:val="0"/>
        <w:numPr>
          <w:ilvl w:val="1"/>
          <w:numId w:val="1"/>
        </w:numPr>
        <w:spacing w:after="120"/>
        <w:rPr>
          <w:rFonts w:asciiTheme="minorHAnsi" w:hAnsiTheme="minorHAnsi"/>
          <w:bCs/>
          <w:i/>
          <w:snapToGrid w:val="0"/>
        </w:rPr>
      </w:pPr>
      <w:r w:rsidRPr="0097324B">
        <w:rPr>
          <w:rFonts w:asciiTheme="minorHAnsi" w:hAnsiTheme="minorHAnsi"/>
          <w:bCs/>
          <w:snapToGrid w:val="0"/>
        </w:rPr>
        <w:t>The PBA</w:t>
      </w:r>
      <w:r w:rsidR="00D004FE" w:rsidRPr="0097324B">
        <w:rPr>
          <w:rFonts w:asciiTheme="minorHAnsi" w:hAnsiTheme="minorHAnsi"/>
          <w:bCs/>
          <w:snapToGrid w:val="0"/>
        </w:rPr>
        <w:t xml:space="preserve">C noted that this submission </w:t>
      </w:r>
      <w:r w:rsidRPr="0097324B">
        <w:rPr>
          <w:rFonts w:asciiTheme="minorHAnsi" w:hAnsiTheme="minorHAnsi"/>
          <w:bCs/>
          <w:snapToGrid w:val="0"/>
        </w:rPr>
        <w:t>is not eligible for an Independent Review</w:t>
      </w:r>
      <w:r w:rsidR="00D004FE" w:rsidRPr="0097324B">
        <w:rPr>
          <w:rFonts w:asciiTheme="minorHAnsi" w:hAnsiTheme="minorHAnsi"/>
          <w:bCs/>
          <w:snapToGrid w:val="0"/>
        </w:rPr>
        <w:t xml:space="preserve"> as it received a positive recommendation</w:t>
      </w:r>
      <w:r w:rsidRPr="0097324B">
        <w:rPr>
          <w:rFonts w:asciiTheme="minorHAnsi" w:hAnsiTheme="minorHAnsi"/>
          <w:bCs/>
          <w:snapToGrid w:val="0"/>
        </w:rPr>
        <w:t>.</w:t>
      </w:r>
      <w:r w:rsidR="00D004FE" w:rsidRPr="0097324B">
        <w:rPr>
          <w:rFonts w:asciiTheme="minorHAnsi" w:hAnsiTheme="minorHAnsi"/>
          <w:bCs/>
          <w:i/>
          <w:snapToGrid w:val="0"/>
        </w:rPr>
        <w:t xml:space="preserve"> </w:t>
      </w:r>
    </w:p>
    <w:p w:rsidR="00041D71" w:rsidRPr="0097324B" w:rsidRDefault="00041D71" w:rsidP="00041D71">
      <w:pPr>
        <w:spacing w:before="240"/>
        <w:rPr>
          <w:rFonts w:asciiTheme="minorHAnsi" w:hAnsiTheme="minorHAnsi"/>
          <w:b/>
          <w:bCs/>
          <w:snapToGrid w:val="0"/>
        </w:rPr>
      </w:pPr>
      <w:r w:rsidRPr="0097324B">
        <w:rPr>
          <w:rFonts w:asciiTheme="minorHAnsi" w:hAnsiTheme="minorHAnsi"/>
          <w:b/>
          <w:bCs/>
          <w:snapToGrid w:val="0"/>
        </w:rPr>
        <w:t>Outcome:</w:t>
      </w:r>
    </w:p>
    <w:p w:rsidR="00041D71" w:rsidRPr="0097324B" w:rsidRDefault="00D004FE" w:rsidP="00041D71">
      <w:pPr>
        <w:rPr>
          <w:rFonts w:asciiTheme="minorHAnsi" w:hAnsiTheme="minorHAnsi"/>
          <w:bCs/>
          <w:snapToGrid w:val="0"/>
        </w:rPr>
      </w:pPr>
      <w:r w:rsidRPr="0097324B">
        <w:rPr>
          <w:rFonts w:asciiTheme="minorHAnsi" w:hAnsiTheme="minorHAnsi"/>
          <w:bCs/>
          <w:snapToGrid w:val="0"/>
        </w:rPr>
        <w:t>Recommended</w:t>
      </w:r>
    </w:p>
    <w:p w:rsidR="00041D71" w:rsidRPr="0097324B" w:rsidRDefault="00041D71" w:rsidP="007D58D5">
      <w:pPr>
        <w:widowControl w:val="0"/>
        <w:numPr>
          <w:ilvl w:val="0"/>
          <w:numId w:val="1"/>
        </w:numPr>
        <w:spacing w:before="240" w:after="120"/>
        <w:outlineLvl w:val="0"/>
        <w:rPr>
          <w:rFonts w:asciiTheme="minorHAnsi" w:hAnsiTheme="minorHAnsi"/>
          <w:b/>
          <w:bCs/>
          <w:i/>
          <w:snapToGrid w:val="0"/>
          <w:sz w:val="32"/>
        </w:rPr>
      </w:pPr>
      <w:r w:rsidRPr="0097324B">
        <w:rPr>
          <w:rFonts w:asciiTheme="minorHAnsi" w:hAnsiTheme="minorHAnsi"/>
          <w:b/>
          <w:bCs/>
          <w:snapToGrid w:val="0"/>
          <w:sz w:val="32"/>
        </w:rPr>
        <w:t>Recommended listing</w:t>
      </w:r>
    </w:p>
    <w:p w:rsidR="007D58D5" w:rsidRPr="0097324B" w:rsidRDefault="007D58D5" w:rsidP="007D58D5">
      <w:pPr>
        <w:widowControl w:val="0"/>
        <w:numPr>
          <w:ilvl w:val="1"/>
          <w:numId w:val="1"/>
        </w:numPr>
        <w:spacing w:after="120"/>
        <w:rPr>
          <w:rFonts w:asciiTheme="minorHAnsi" w:hAnsiTheme="minorHAnsi"/>
          <w:b/>
          <w:bCs/>
          <w:snapToGrid w:val="0"/>
        </w:rPr>
      </w:pPr>
      <w:r w:rsidRPr="0097324B">
        <w:rPr>
          <w:rFonts w:cs="Calibri"/>
        </w:rPr>
        <w:t>Amend existing listings to permit use in combination with fulvestrant, in certain circumstances, as follows: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992"/>
        <w:gridCol w:w="1559"/>
        <w:gridCol w:w="1559"/>
        <w:gridCol w:w="993"/>
        <w:gridCol w:w="992"/>
        <w:gridCol w:w="1134"/>
        <w:gridCol w:w="1417"/>
      </w:tblGrid>
      <w:tr w:rsidR="007D58D5" w:rsidRPr="0097324B" w:rsidTr="009326D3">
        <w:trPr>
          <w:cantSplit/>
          <w:trHeight w:val="471"/>
        </w:trPr>
        <w:tc>
          <w:tcPr>
            <w:tcW w:w="2972" w:type="dxa"/>
            <w:gridSpan w:val="3"/>
          </w:tcPr>
          <w:p w:rsidR="007D58D5" w:rsidRPr="0097324B" w:rsidRDefault="007D58D5" w:rsidP="00A17EC3">
            <w:pPr>
              <w:keepNext/>
              <w:ind w:left="-57"/>
              <w:rPr>
                <w:rFonts w:ascii="Arial Narrow" w:hAnsi="Arial Narrow"/>
                <w:b/>
                <w:sz w:val="18"/>
                <w:szCs w:val="18"/>
              </w:rPr>
            </w:pPr>
            <w:r w:rsidRPr="0097324B">
              <w:rPr>
                <w:rFonts w:ascii="Arial Narrow" w:hAnsi="Arial Narrow"/>
                <w:b/>
                <w:sz w:val="18"/>
                <w:szCs w:val="18"/>
              </w:rPr>
              <w:t>MEDICINAL PRODUCT</w:t>
            </w:r>
          </w:p>
          <w:p w:rsidR="007D58D5" w:rsidRPr="0097324B" w:rsidRDefault="007D58D5" w:rsidP="00A17EC3">
            <w:pPr>
              <w:keepNext/>
              <w:ind w:left="-57"/>
              <w:rPr>
                <w:rFonts w:ascii="Arial Narrow" w:hAnsi="Arial Narrow"/>
                <w:b/>
                <w:sz w:val="18"/>
                <w:szCs w:val="18"/>
              </w:rPr>
            </w:pPr>
            <w:r w:rsidRPr="0097324B">
              <w:rPr>
                <w:rFonts w:ascii="Arial Narrow" w:hAnsi="Arial Narrow"/>
                <w:b/>
                <w:sz w:val="18"/>
                <w:szCs w:val="18"/>
              </w:rPr>
              <w:t>medicinal product pack</w:t>
            </w:r>
          </w:p>
        </w:tc>
        <w:tc>
          <w:tcPr>
            <w:tcW w:w="1559" w:type="dxa"/>
          </w:tcPr>
          <w:p w:rsidR="007D58D5" w:rsidRPr="0097324B" w:rsidRDefault="007D58D5" w:rsidP="00A17EC3">
            <w:pPr>
              <w:keepNext/>
              <w:ind w:left="-108"/>
              <w:jc w:val="center"/>
              <w:rPr>
                <w:rFonts w:ascii="Arial Narrow" w:hAnsi="Arial Narrow"/>
                <w:b/>
                <w:sz w:val="18"/>
                <w:szCs w:val="18"/>
              </w:rPr>
            </w:pPr>
            <w:r w:rsidRPr="0097324B">
              <w:rPr>
                <w:rFonts w:ascii="Arial Narrow" w:hAnsi="Arial Narrow"/>
                <w:b/>
                <w:sz w:val="18"/>
                <w:szCs w:val="18"/>
              </w:rPr>
              <w:t>PBS item code</w:t>
            </w:r>
          </w:p>
        </w:tc>
        <w:tc>
          <w:tcPr>
            <w:tcW w:w="993" w:type="dxa"/>
          </w:tcPr>
          <w:p w:rsidR="007D58D5" w:rsidRPr="0097324B" w:rsidRDefault="007D58D5" w:rsidP="00A17EC3">
            <w:pPr>
              <w:keepNext/>
              <w:ind w:left="-108"/>
              <w:jc w:val="center"/>
              <w:rPr>
                <w:rFonts w:ascii="Arial Narrow" w:hAnsi="Arial Narrow"/>
                <w:b/>
                <w:sz w:val="18"/>
                <w:szCs w:val="18"/>
              </w:rPr>
            </w:pPr>
            <w:r w:rsidRPr="0097324B">
              <w:rPr>
                <w:rFonts w:ascii="Arial Narrow" w:hAnsi="Arial Narrow"/>
                <w:b/>
                <w:sz w:val="18"/>
                <w:szCs w:val="18"/>
              </w:rPr>
              <w:t>Max. qty packs</w:t>
            </w:r>
          </w:p>
        </w:tc>
        <w:tc>
          <w:tcPr>
            <w:tcW w:w="992" w:type="dxa"/>
          </w:tcPr>
          <w:p w:rsidR="007D58D5" w:rsidRPr="0097324B" w:rsidRDefault="007D58D5" w:rsidP="00A17EC3">
            <w:pPr>
              <w:keepNext/>
              <w:ind w:left="-108"/>
              <w:jc w:val="center"/>
              <w:rPr>
                <w:rFonts w:ascii="Arial Narrow" w:hAnsi="Arial Narrow"/>
                <w:b/>
                <w:sz w:val="18"/>
                <w:szCs w:val="18"/>
              </w:rPr>
            </w:pPr>
            <w:r w:rsidRPr="0097324B">
              <w:rPr>
                <w:rFonts w:ascii="Arial Narrow" w:hAnsi="Arial Narrow"/>
                <w:b/>
                <w:sz w:val="18"/>
                <w:szCs w:val="18"/>
              </w:rPr>
              <w:t>Max. qty units</w:t>
            </w:r>
          </w:p>
        </w:tc>
        <w:tc>
          <w:tcPr>
            <w:tcW w:w="1134" w:type="dxa"/>
          </w:tcPr>
          <w:p w:rsidR="007D58D5" w:rsidRPr="0097324B" w:rsidRDefault="007D58D5" w:rsidP="00A17EC3">
            <w:pPr>
              <w:keepNext/>
              <w:ind w:left="-108"/>
              <w:jc w:val="center"/>
              <w:rPr>
                <w:rFonts w:ascii="Arial Narrow" w:hAnsi="Arial Narrow"/>
                <w:b/>
                <w:sz w:val="18"/>
                <w:szCs w:val="18"/>
              </w:rPr>
            </w:pPr>
            <w:r w:rsidRPr="0097324B">
              <w:rPr>
                <w:rFonts w:ascii="Arial Narrow" w:hAnsi="Arial Narrow"/>
                <w:b/>
                <w:sz w:val="18"/>
                <w:szCs w:val="18"/>
              </w:rPr>
              <w:t>№.of</w:t>
            </w:r>
          </w:p>
          <w:p w:rsidR="007D58D5" w:rsidRPr="0097324B" w:rsidRDefault="007D58D5" w:rsidP="00A17EC3">
            <w:pPr>
              <w:keepNext/>
              <w:ind w:left="-108"/>
              <w:jc w:val="center"/>
              <w:rPr>
                <w:rFonts w:ascii="Arial Narrow" w:hAnsi="Arial Narrow"/>
                <w:b/>
                <w:sz w:val="18"/>
                <w:szCs w:val="18"/>
              </w:rPr>
            </w:pPr>
            <w:r w:rsidRPr="0097324B">
              <w:rPr>
                <w:rFonts w:ascii="Arial Narrow" w:hAnsi="Arial Narrow"/>
                <w:b/>
                <w:sz w:val="18"/>
                <w:szCs w:val="18"/>
              </w:rPr>
              <w:t>Rpts</w:t>
            </w:r>
          </w:p>
        </w:tc>
        <w:tc>
          <w:tcPr>
            <w:tcW w:w="1417" w:type="dxa"/>
          </w:tcPr>
          <w:p w:rsidR="007D58D5" w:rsidRPr="0097324B" w:rsidRDefault="007D58D5" w:rsidP="00A17EC3">
            <w:pPr>
              <w:keepNext/>
              <w:rPr>
                <w:rFonts w:ascii="Arial Narrow" w:hAnsi="Arial Narrow"/>
                <w:b/>
                <w:sz w:val="18"/>
                <w:szCs w:val="18"/>
              </w:rPr>
            </w:pPr>
            <w:r w:rsidRPr="0097324B">
              <w:rPr>
                <w:rFonts w:ascii="Arial Narrow" w:hAnsi="Arial Narrow"/>
                <w:b/>
                <w:sz w:val="18"/>
                <w:szCs w:val="18"/>
              </w:rPr>
              <w:t>Available brands</w:t>
            </w:r>
          </w:p>
        </w:tc>
      </w:tr>
      <w:tr w:rsidR="007D58D5" w:rsidRPr="0097324B" w:rsidTr="00A17EC3">
        <w:trPr>
          <w:cantSplit/>
          <w:trHeight w:val="230"/>
        </w:trPr>
        <w:tc>
          <w:tcPr>
            <w:tcW w:w="9067" w:type="dxa"/>
            <w:gridSpan w:val="8"/>
          </w:tcPr>
          <w:p w:rsidR="007D58D5" w:rsidRPr="0097324B" w:rsidRDefault="007D58D5" w:rsidP="00A17EC3">
            <w:pPr>
              <w:keepNext/>
              <w:ind w:left="-57"/>
              <w:rPr>
                <w:rFonts w:ascii="Arial Narrow" w:hAnsi="Arial Narrow"/>
                <w:sz w:val="18"/>
                <w:szCs w:val="18"/>
              </w:rPr>
            </w:pPr>
            <w:r w:rsidRPr="0097324B">
              <w:rPr>
                <w:rFonts w:ascii="Arial Narrow" w:hAnsi="Arial Narrow"/>
                <w:sz w:val="18"/>
                <w:szCs w:val="18"/>
              </w:rPr>
              <w:t>ABEMACICLIB</w:t>
            </w:r>
          </w:p>
        </w:tc>
      </w:tr>
      <w:tr w:rsidR="007D58D5" w:rsidRPr="0097324B" w:rsidTr="009326D3">
        <w:trPr>
          <w:cantSplit/>
          <w:trHeight w:val="167"/>
        </w:trPr>
        <w:tc>
          <w:tcPr>
            <w:tcW w:w="2972" w:type="dxa"/>
            <w:gridSpan w:val="3"/>
            <w:shd w:val="clear" w:color="auto" w:fill="auto"/>
          </w:tcPr>
          <w:p w:rsidR="007D58D5" w:rsidRPr="0097324B" w:rsidRDefault="007D58D5" w:rsidP="00A17EC3">
            <w:pPr>
              <w:keepNext/>
              <w:ind w:left="-57"/>
              <w:rPr>
                <w:rFonts w:ascii="Arial Narrow" w:hAnsi="Arial Narrow"/>
                <w:sz w:val="18"/>
                <w:szCs w:val="18"/>
              </w:rPr>
            </w:pPr>
            <w:r w:rsidRPr="0097324B">
              <w:rPr>
                <w:rFonts w:ascii="Arial Narrow" w:hAnsi="Arial Narrow"/>
                <w:sz w:val="18"/>
                <w:szCs w:val="18"/>
              </w:rPr>
              <w:t>abemaciclib 150 mg tablet, 56</w:t>
            </w:r>
          </w:p>
        </w:tc>
        <w:tc>
          <w:tcPr>
            <w:tcW w:w="1559" w:type="dxa"/>
            <w:shd w:val="clear" w:color="auto" w:fill="auto"/>
          </w:tcPr>
          <w:p w:rsidR="007D58D5" w:rsidRPr="0097324B" w:rsidRDefault="007D58D5" w:rsidP="00A17EC3">
            <w:pPr>
              <w:keepNext/>
              <w:ind w:left="-108"/>
              <w:jc w:val="center"/>
              <w:rPr>
                <w:rFonts w:ascii="Arial Narrow" w:hAnsi="Arial Narrow"/>
                <w:sz w:val="18"/>
                <w:szCs w:val="18"/>
              </w:rPr>
            </w:pPr>
            <w:r w:rsidRPr="0097324B">
              <w:rPr>
                <w:rFonts w:ascii="Arial Narrow" w:hAnsi="Arial Narrow"/>
                <w:sz w:val="18"/>
                <w:szCs w:val="18"/>
              </w:rPr>
              <w:t>11868P</w:t>
            </w:r>
          </w:p>
        </w:tc>
        <w:tc>
          <w:tcPr>
            <w:tcW w:w="993" w:type="dxa"/>
            <w:shd w:val="clear" w:color="auto" w:fill="auto"/>
          </w:tcPr>
          <w:p w:rsidR="007D58D5" w:rsidRPr="0097324B" w:rsidRDefault="007D58D5" w:rsidP="00A17EC3">
            <w:pPr>
              <w:keepNext/>
              <w:jc w:val="center"/>
              <w:rPr>
                <w:rFonts w:ascii="Arial Narrow" w:hAnsi="Arial Narrow"/>
                <w:sz w:val="18"/>
                <w:szCs w:val="18"/>
              </w:rPr>
            </w:pPr>
            <w:r w:rsidRPr="0097324B">
              <w:rPr>
                <w:rFonts w:ascii="Arial Narrow" w:hAnsi="Arial Narrow"/>
                <w:sz w:val="18"/>
                <w:szCs w:val="18"/>
              </w:rPr>
              <w:t>1</w:t>
            </w:r>
          </w:p>
        </w:tc>
        <w:tc>
          <w:tcPr>
            <w:tcW w:w="992" w:type="dxa"/>
            <w:shd w:val="clear" w:color="auto" w:fill="auto"/>
          </w:tcPr>
          <w:p w:rsidR="007D58D5" w:rsidRPr="0097324B" w:rsidRDefault="007D58D5" w:rsidP="00A17EC3">
            <w:pPr>
              <w:keepNext/>
              <w:ind w:left="-108"/>
              <w:jc w:val="center"/>
              <w:rPr>
                <w:rFonts w:ascii="Arial Narrow" w:hAnsi="Arial Narrow"/>
                <w:sz w:val="18"/>
                <w:szCs w:val="18"/>
              </w:rPr>
            </w:pPr>
            <w:r w:rsidRPr="0097324B">
              <w:rPr>
                <w:rFonts w:ascii="Arial Narrow" w:hAnsi="Arial Narrow"/>
                <w:sz w:val="18"/>
                <w:szCs w:val="18"/>
              </w:rPr>
              <w:t>56</w:t>
            </w:r>
          </w:p>
        </w:tc>
        <w:tc>
          <w:tcPr>
            <w:tcW w:w="1134" w:type="dxa"/>
            <w:shd w:val="clear" w:color="auto" w:fill="auto"/>
          </w:tcPr>
          <w:p w:rsidR="007D58D5" w:rsidRPr="0097324B" w:rsidRDefault="007D58D5" w:rsidP="00A17EC3">
            <w:pPr>
              <w:keepNext/>
              <w:ind w:left="-108"/>
              <w:jc w:val="center"/>
              <w:rPr>
                <w:rFonts w:ascii="Arial Narrow" w:hAnsi="Arial Narrow"/>
                <w:sz w:val="18"/>
                <w:szCs w:val="18"/>
              </w:rPr>
            </w:pPr>
            <w:r w:rsidRPr="0097324B">
              <w:rPr>
                <w:rFonts w:ascii="Arial Narrow" w:hAnsi="Arial Narrow"/>
                <w:sz w:val="18"/>
                <w:szCs w:val="18"/>
              </w:rPr>
              <w:t>5</w:t>
            </w:r>
          </w:p>
        </w:tc>
        <w:tc>
          <w:tcPr>
            <w:tcW w:w="1417" w:type="dxa"/>
            <w:shd w:val="clear" w:color="auto" w:fill="auto"/>
          </w:tcPr>
          <w:p w:rsidR="007D58D5" w:rsidRPr="0097324B" w:rsidRDefault="007D58D5" w:rsidP="00A17EC3">
            <w:pPr>
              <w:keepNext/>
              <w:rPr>
                <w:rFonts w:ascii="Arial Narrow" w:hAnsi="Arial Narrow"/>
                <w:sz w:val="18"/>
                <w:szCs w:val="18"/>
              </w:rPr>
            </w:pPr>
            <w:r w:rsidRPr="0097324B">
              <w:rPr>
                <w:rFonts w:ascii="Arial Narrow" w:hAnsi="Arial Narrow"/>
                <w:sz w:val="18"/>
                <w:szCs w:val="18"/>
              </w:rPr>
              <w:t>Verzenio</w:t>
            </w:r>
          </w:p>
        </w:tc>
      </w:tr>
      <w:tr w:rsidR="007D58D5" w:rsidRPr="0097324B" w:rsidTr="009326D3">
        <w:trPr>
          <w:cantSplit/>
          <w:trHeight w:val="99"/>
        </w:trPr>
        <w:tc>
          <w:tcPr>
            <w:tcW w:w="2972" w:type="dxa"/>
            <w:gridSpan w:val="3"/>
            <w:shd w:val="clear" w:color="auto" w:fill="auto"/>
          </w:tcPr>
          <w:p w:rsidR="007D58D5" w:rsidRPr="0097324B" w:rsidRDefault="007D58D5" w:rsidP="00A17EC3">
            <w:pPr>
              <w:keepNext/>
              <w:ind w:left="-57"/>
              <w:rPr>
                <w:rFonts w:ascii="Arial Narrow" w:hAnsi="Arial Narrow"/>
                <w:sz w:val="18"/>
                <w:szCs w:val="18"/>
              </w:rPr>
            </w:pPr>
            <w:r w:rsidRPr="0097324B">
              <w:rPr>
                <w:rFonts w:ascii="Arial Narrow" w:hAnsi="Arial Narrow"/>
                <w:sz w:val="18"/>
                <w:szCs w:val="18"/>
              </w:rPr>
              <w:t>abemaciclib 100 mg tablet, 56</w:t>
            </w:r>
          </w:p>
        </w:tc>
        <w:tc>
          <w:tcPr>
            <w:tcW w:w="1559" w:type="dxa"/>
            <w:shd w:val="clear" w:color="auto" w:fill="auto"/>
          </w:tcPr>
          <w:p w:rsidR="007D58D5" w:rsidRPr="0097324B" w:rsidRDefault="007D58D5" w:rsidP="00A17EC3">
            <w:pPr>
              <w:keepNext/>
              <w:ind w:left="-108"/>
              <w:jc w:val="center"/>
              <w:rPr>
                <w:rFonts w:ascii="Arial Narrow" w:hAnsi="Arial Narrow"/>
                <w:sz w:val="18"/>
                <w:szCs w:val="18"/>
              </w:rPr>
            </w:pPr>
            <w:r w:rsidRPr="0097324B">
              <w:rPr>
                <w:rFonts w:ascii="Arial Narrow" w:hAnsi="Arial Narrow"/>
                <w:sz w:val="18"/>
                <w:szCs w:val="18"/>
              </w:rPr>
              <w:t>11871T</w:t>
            </w:r>
          </w:p>
        </w:tc>
        <w:tc>
          <w:tcPr>
            <w:tcW w:w="993" w:type="dxa"/>
            <w:shd w:val="clear" w:color="auto" w:fill="auto"/>
          </w:tcPr>
          <w:p w:rsidR="007D58D5" w:rsidRPr="0097324B" w:rsidRDefault="007D58D5" w:rsidP="00A17EC3">
            <w:pPr>
              <w:keepNext/>
              <w:jc w:val="center"/>
              <w:rPr>
                <w:rFonts w:ascii="Arial Narrow" w:hAnsi="Arial Narrow"/>
                <w:sz w:val="18"/>
                <w:szCs w:val="18"/>
              </w:rPr>
            </w:pPr>
            <w:r w:rsidRPr="0097324B">
              <w:rPr>
                <w:rFonts w:ascii="Arial Narrow" w:hAnsi="Arial Narrow"/>
                <w:sz w:val="18"/>
                <w:szCs w:val="18"/>
              </w:rPr>
              <w:t>1</w:t>
            </w:r>
          </w:p>
        </w:tc>
        <w:tc>
          <w:tcPr>
            <w:tcW w:w="992" w:type="dxa"/>
            <w:shd w:val="clear" w:color="auto" w:fill="auto"/>
          </w:tcPr>
          <w:p w:rsidR="007D58D5" w:rsidRPr="0097324B" w:rsidRDefault="007D58D5" w:rsidP="00A17EC3">
            <w:pPr>
              <w:keepNext/>
              <w:ind w:left="-108"/>
              <w:jc w:val="center"/>
              <w:rPr>
                <w:rFonts w:ascii="Arial Narrow" w:hAnsi="Arial Narrow"/>
                <w:sz w:val="18"/>
                <w:szCs w:val="18"/>
              </w:rPr>
            </w:pPr>
            <w:r w:rsidRPr="0097324B">
              <w:rPr>
                <w:rFonts w:ascii="Arial Narrow" w:hAnsi="Arial Narrow"/>
                <w:sz w:val="18"/>
                <w:szCs w:val="18"/>
              </w:rPr>
              <w:t>56</w:t>
            </w:r>
          </w:p>
        </w:tc>
        <w:tc>
          <w:tcPr>
            <w:tcW w:w="1134" w:type="dxa"/>
            <w:shd w:val="clear" w:color="auto" w:fill="auto"/>
          </w:tcPr>
          <w:p w:rsidR="007D58D5" w:rsidRPr="0097324B" w:rsidRDefault="007D58D5" w:rsidP="00A17EC3">
            <w:pPr>
              <w:keepNext/>
              <w:ind w:left="-108"/>
              <w:jc w:val="center"/>
              <w:rPr>
                <w:rFonts w:ascii="Arial Narrow" w:hAnsi="Arial Narrow"/>
                <w:sz w:val="18"/>
                <w:szCs w:val="18"/>
              </w:rPr>
            </w:pPr>
            <w:r w:rsidRPr="0097324B">
              <w:rPr>
                <w:rFonts w:ascii="Arial Narrow" w:hAnsi="Arial Narrow"/>
                <w:sz w:val="18"/>
                <w:szCs w:val="18"/>
              </w:rPr>
              <w:t>5</w:t>
            </w:r>
          </w:p>
        </w:tc>
        <w:tc>
          <w:tcPr>
            <w:tcW w:w="1417" w:type="dxa"/>
            <w:shd w:val="clear" w:color="auto" w:fill="auto"/>
          </w:tcPr>
          <w:p w:rsidR="007D58D5" w:rsidRPr="0097324B" w:rsidRDefault="007D58D5" w:rsidP="00A17EC3">
            <w:pPr>
              <w:keepNext/>
              <w:rPr>
                <w:rFonts w:ascii="Arial Narrow" w:hAnsi="Arial Narrow"/>
                <w:sz w:val="18"/>
                <w:szCs w:val="18"/>
              </w:rPr>
            </w:pPr>
            <w:r w:rsidRPr="0097324B">
              <w:rPr>
                <w:rFonts w:ascii="Arial Narrow" w:hAnsi="Arial Narrow"/>
                <w:sz w:val="18"/>
                <w:szCs w:val="18"/>
              </w:rPr>
              <w:t>Verzenio</w:t>
            </w:r>
          </w:p>
        </w:tc>
      </w:tr>
      <w:tr w:rsidR="007D58D5" w:rsidRPr="0097324B" w:rsidTr="009326D3">
        <w:trPr>
          <w:cantSplit/>
          <w:trHeight w:val="177"/>
        </w:trPr>
        <w:tc>
          <w:tcPr>
            <w:tcW w:w="2972" w:type="dxa"/>
            <w:gridSpan w:val="3"/>
            <w:shd w:val="clear" w:color="auto" w:fill="auto"/>
          </w:tcPr>
          <w:p w:rsidR="007D58D5" w:rsidRPr="0097324B" w:rsidRDefault="007D58D5" w:rsidP="00A17EC3">
            <w:pPr>
              <w:keepNext/>
              <w:ind w:left="-57"/>
              <w:rPr>
                <w:rFonts w:ascii="Arial Narrow" w:hAnsi="Arial Narrow"/>
                <w:sz w:val="18"/>
                <w:szCs w:val="18"/>
              </w:rPr>
            </w:pPr>
            <w:r w:rsidRPr="0097324B">
              <w:rPr>
                <w:rFonts w:ascii="Arial Narrow" w:hAnsi="Arial Narrow"/>
                <w:sz w:val="18"/>
                <w:szCs w:val="18"/>
              </w:rPr>
              <w:t>abemaciclib 50 mg tablet, 56</w:t>
            </w:r>
          </w:p>
        </w:tc>
        <w:tc>
          <w:tcPr>
            <w:tcW w:w="1559" w:type="dxa"/>
            <w:shd w:val="clear" w:color="auto" w:fill="auto"/>
          </w:tcPr>
          <w:p w:rsidR="007D58D5" w:rsidRPr="0097324B" w:rsidRDefault="007D58D5" w:rsidP="00A17EC3">
            <w:pPr>
              <w:keepNext/>
              <w:ind w:left="-108"/>
              <w:jc w:val="center"/>
              <w:rPr>
                <w:rFonts w:ascii="Arial Narrow" w:hAnsi="Arial Narrow"/>
                <w:sz w:val="18"/>
                <w:szCs w:val="18"/>
              </w:rPr>
            </w:pPr>
            <w:r w:rsidRPr="0097324B">
              <w:rPr>
                <w:rFonts w:ascii="Arial Narrow" w:hAnsi="Arial Narrow"/>
                <w:sz w:val="18"/>
                <w:szCs w:val="18"/>
              </w:rPr>
              <w:t>11876C</w:t>
            </w:r>
          </w:p>
        </w:tc>
        <w:tc>
          <w:tcPr>
            <w:tcW w:w="993" w:type="dxa"/>
            <w:shd w:val="clear" w:color="auto" w:fill="auto"/>
          </w:tcPr>
          <w:p w:rsidR="007D58D5" w:rsidRPr="0097324B" w:rsidRDefault="007D58D5" w:rsidP="00A17EC3">
            <w:pPr>
              <w:keepNext/>
              <w:jc w:val="center"/>
              <w:rPr>
                <w:rFonts w:ascii="Arial Narrow" w:hAnsi="Arial Narrow"/>
                <w:sz w:val="18"/>
                <w:szCs w:val="18"/>
              </w:rPr>
            </w:pPr>
            <w:r w:rsidRPr="0097324B">
              <w:rPr>
                <w:rFonts w:ascii="Arial Narrow" w:hAnsi="Arial Narrow"/>
                <w:sz w:val="18"/>
                <w:szCs w:val="18"/>
              </w:rPr>
              <w:t>1</w:t>
            </w:r>
          </w:p>
        </w:tc>
        <w:tc>
          <w:tcPr>
            <w:tcW w:w="992" w:type="dxa"/>
            <w:shd w:val="clear" w:color="auto" w:fill="auto"/>
          </w:tcPr>
          <w:p w:rsidR="007D58D5" w:rsidRPr="0097324B" w:rsidRDefault="007D58D5" w:rsidP="00A17EC3">
            <w:pPr>
              <w:keepNext/>
              <w:ind w:left="-108"/>
              <w:jc w:val="center"/>
              <w:rPr>
                <w:rFonts w:ascii="Arial Narrow" w:hAnsi="Arial Narrow"/>
                <w:sz w:val="18"/>
                <w:szCs w:val="18"/>
              </w:rPr>
            </w:pPr>
            <w:r w:rsidRPr="0097324B">
              <w:rPr>
                <w:rFonts w:ascii="Arial Narrow" w:hAnsi="Arial Narrow"/>
                <w:sz w:val="18"/>
                <w:szCs w:val="18"/>
              </w:rPr>
              <w:t>56</w:t>
            </w:r>
          </w:p>
        </w:tc>
        <w:tc>
          <w:tcPr>
            <w:tcW w:w="1134" w:type="dxa"/>
            <w:shd w:val="clear" w:color="auto" w:fill="auto"/>
          </w:tcPr>
          <w:p w:rsidR="007D58D5" w:rsidRPr="0097324B" w:rsidRDefault="007D58D5" w:rsidP="00A17EC3">
            <w:pPr>
              <w:keepNext/>
              <w:ind w:left="-108"/>
              <w:jc w:val="center"/>
              <w:rPr>
                <w:rFonts w:ascii="Arial Narrow" w:hAnsi="Arial Narrow"/>
                <w:sz w:val="18"/>
                <w:szCs w:val="18"/>
              </w:rPr>
            </w:pPr>
            <w:r w:rsidRPr="0097324B">
              <w:rPr>
                <w:rFonts w:ascii="Arial Narrow" w:hAnsi="Arial Narrow"/>
                <w:sz w:val="18"/>
                <w:szCs w:val="18"/>
              </w:rPr>
              <w:t>5</w:t>
            </w:r>
          </w:p>
        </w:tc>
        <w:tc>
          <w:tcPr>
            <w:tcW w:w="1417" w:type="dxa"/>
            <w:shd w:val="clear" w:color="auto" w:fill="auto"/>
          </w:tcPr>
          <w:p w:rsidR="007D58D5" w:rsidRPr="0097324B" w:rsidRDefault="007D58D5" w:rsidP="00A17EC3">
            <w:pPr>
              <w:keepNext/>
              <w:rPr>
                <w:rFonts w:ascii="Arial Narrow" w:hAnsi="Arial Narrow"/>
                <w:sz w:val="18"/>
                <w:szCs w:val="18"/>
              </w:rPr>
            </w:pPr>
            <w:r w:rsidRPr="0097324B">
              <w:rPr>
                <w:rFonts w:ascii="Arial Narrow" w:hAnsi="Arial Narrow"/>
                <w:sz w:val="18"/>
                <w:szCs w:val="18"/>
              </w:rPr>
              <w:t>Verzenio</w:t>
            </w:r>
          </w:p>
        </w:tc>
      </w:tr>
      <w:tr w:rsidR="003A395E" w:rsidRPr="0097324B" w:rsidTr="003A395E">
        <w:trPr>
          <w:cantSplit/>
          <w:trHeight w:val="177"/>
        </w:trPr>
        <w:tc>
          <w:tcPr>
            <w:tcW w:w="4531" w:type="dxa"/>
            <w:gridSpan w:val="4"/>
            <w:shd w:val="clear" w:color="auto" w:fill="auto"/>
          </w:tcPr>
          <w:p w:rsidR="003A395E" w:rsidRPr="0097324B" w:rsidRDefault="003A395E" w:rsidP="00A17EC3">
            <w:pPr>
              <w:keepNext/>
              <w:ind w:left="-108"/>
              <w:jc w:val="center"/>
              <w:rPr>
                <w:rFonts w:ascii="Arial Narrow" w:hAnsi="Arial Narrow"/>
                <w:sz w:val="18"/>
                <w:szCs w:val="18"/>
              </w:rPr>
            </w:pPr>
          </w:p>
        </w:tc>
        <w:tc>
          <w:tcPr>
            <w:tcW w:w="3119" w:type="dxa"/>
            <w:gridSpan w:val="3"/>
            <w:shd w:val="clear" w:color="auto" w:fill="auto"/>
          </w:tcPr>
          <w:p w:rsidR="003A395E" w:rsidRPr="0097324B" w:rsidRDefault="003A395E" w:rsidP="00A17EC3">
            <w:pPr>
              <w:keepNext/>
              <w:ind w:left="-108"/>
              <w:jc w:val="center"/>
              <w:rPr>
                <w:rFonts w:ascii="Arial Narrow" w:hAnsi="Arial Narrow"/>
                <w:sz w:val="18"/>
                <w:szCs w:val="18"/>
              </w:rPr>
            </w:pPr>
            <w:r w:rsidRPr="0097324B">
              <w:rPr>
                <w:rFonts w:ascii="Arial Narrow" w:hAnsi="Arial Narrow"/>
                <w:sz w:val="18"/>
                <w:szCs w:val="18"/>
              </w:rPr>
              <w:t>Max.Qty multiplier = 1; Repeat increases: nil</w:t>
            </w:r>
          </w:p>
        </w:tc>
        <w:tc>
          <w:tcPr>
            <w:tcW w:w="1417" w:type="dxa"/>
            <w:shd w:val="clear" w:color="auto" w:fill="auto"/>
          </w:tcPr>
          <w:p w:rsidR="003A395E" w:rsidRPr="0097324B" w:rsidRDefault="003A395E" w:rsidP="00A17EC3">
            <w:pPr>
              <w:keepNext/>
              <w:rPr>
                <w:rFonts w:ascii="Arial Narrow" w:hAnsi="Arial Narrow"/>
                <w:sz w:val="18"/>
                <w:szCs w:val="18"/>
              </w:rPr>
            </w:pPr>
          </w:p>
        </w:tc>
      </w:tr>
      <w:tr w:rsidR="007D58D5" w:rsidRPr="0097324B" w:rsidTr="00A17EC3">
        <w:trPr>
          <w:cantSplit/>
          <w:trHeight w:val="347"/>
        </w:trPr>
        <w:tc>
          <w:tcPr>
            <w:tcW w:w="9067" w:type="dxa"/>
            <w:gridSpan w:val="8"/>
            <w:shd w:val="clear" w:color="auto" w:fill="auto"/>
          </w:tcPr>
          <w:p w:rsidR="007D58D5" w:rsidRPr="0097324B" w:rsidRDefault="007D58D5" w:rsidP="00A17EC3">
            <w:pPr>
              <w:keepNext/>
              <w:rPr>
                <w:rFonts w:ascii="Arial Narrow" w:hAnsi="Arial Narrow"/>
                <w:sz w:val="18"/>
                <w:szCs w:val="18"/>
              </w:rPr>
            </w:pPr>
          </w:p>
        </w:tc>
      </w:tr>
      <w:tr w:rsidR="007D58D5" w:rsidRPr="0097324B" w:rsidTr="00A17EC3">
        <w:trPr>
          <w:cantSplit/>
          <w:trHeight w:val="153"/>
        </w:trPr>
        <w:tc>
          <w:tcPr>
            <w:tcW w:w="9067" w:type="dxa"/>
            <w:gridSpan w:val="8"/>
            <w:shd w:val="clear" w:color="auto" w:fill="auto"/>
          </w:tcPr>
          <w:p w:rsidR="007D58D5" w:rsidRPr="0097324B" w:rsidRDefault="007D58D5" w:rsidP="00A17EC3">
            <w:pPr>
              <w:keepNext/>
              <w:ind w:left="-57"/>
              <w:rPr>
                <w:rFonts w:ascii="Arial Narrow" w:hAnsi="Arial Narrow"/>
                <w:b/>
                <w:sz w:val="18"/>
                <w:szCs w:val="18"/>
              </w:rPr>
            </w:pPr>
            <w:r w:rsidRPr="0097324B">
              <w:rPr>
                <w:rFonts w:ascii="Arial Narrow" w:hAnsi="Arial Narrow"/>
                <w:b/>
                <w:sz w:val="18"/>
                <w:szCs w:val="18"/>
              </w:rPr>
              <w:t>Edit existing Restriction Summary 10039 / ToC: 10032 to appear as follows:</w:t>
            </w:r>
          </w:p>
        </w:tc>
      </w:tr>
      <w:tr w:rsidR="007D58D5" w:rsidRPr="0097324B" w:rsidTr="00A17EC3">
        <w:tblPrEx>
          <w:tblCellMar>
            <w:top w:w="15" w:type="dxa"/>
            <w:left w:w="15" w:type="dxa"/>
            <w:bottom w:w="15" w:type="dxa"/>
            <w:right w:w="15" w:type="dxa"/>
          </w:tblCellMar>
        </w:tblPrEx>
        <w:tc>
          <w:tcPr>
            <w:tcW w:w="1413" w:type="dxa"/>
            <w:gridSpan w:val="2"/>
            <w:vMerge w:val="restart"/>
            <w:shd w:val="clear" w:color="auto" w:fill="auto"/>
            <w:vAlign w:val="center"/>
          </w:tcPr>
          <w:p w:rsidR="007D58D5" w:rsidRPr="0097324B" w:rsidRDefault="007D58D5" w:rsidP="00A17EC3">
            <w:pPr>
              <w:widowControl w:val="0"/>
              <w:jc w:val="center"/>
              <w:rPr>
                <w:rFonts w:ascii="Arial Narrow" w:hAnsi="Arial Narrow"/>
                <w:b/>
                <w:bCs/>
                <w:snapToGrid w:val="0"/>
                <w:sz w:val="18"/>
                <w:szCs w:val="18"/>
              </w:rPr>
            </w:pPr>
            <w:r w:rsidRPr="0097324B">
              <w:rPr>
                <w:rFonts w:ascii="Arial Narrow" w:hAnsi="Arial Narrow"/>
                <w:b/>
                <w:bCs/>
                <w:snapToGrid w:val="0"/>
                <w:sz w:val="18"/>
                <w:szCs w:val="18"/>
              </w:rPr>
              <w:t>Concept ID</w:t>
            </w:r>
          </w:p>
          <w:p w:rsidR="007D58D5" w:rsidRPr="0097324B" w:rsidRDefault="007D58D5" w:rsidP="00A17EC3">
            <w:pPr>
              <w:jc w:val="center"/>
              <w:rPr>
                <w:rFonts w:ascii="Arial Narrow" w:hAnsi="Arial Narrow"/>
                <w:b/>
                <w:sz w:val="18"/>
                <w:szCs w:val="18"/>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Pr>
          <w:p w:rsidR="007D58D5" w:rsidRPr="0097324B" w:rsidRDefault="007D58D5" w:rsidP="00A17EC3">
            <w:pPr>
              <w:rPr>
                <w:rFonts w:ascii="Arial Narrow" w:hAnsi="Arial Narrow"/>
                <w:sz w:val="18"/>
                <w:szCs w:val="18"/>
              </w:rPr>
            </w:pPr>
            <w:r w:rsidRPr="0097324B">
              <w:rPr>
                <w:rFonts w:ascii="Arial Narrow" w:hAnsi="Arial Narrow"/>
                <w:b/>
                <w:sz w:val="18"/>
                <w:szCs w:val="18"/>
              </w:rPr>
              <w:t xml:space="preserve">Category / Program:   </w:t>
            </w:r>
            <w:r w:rsidRPr="0097324B">
              <w:rPr>
                <w:rFonts w:ascii="Arial Narrow" w:hAnsi="Arial Narrow"/>
                <w:sz w:val="18"/>
                <w:szCs w:val="18"/>
              </w:rPr>
              <w:t xml:space="preserve">GENERAL – General Schedule (Code GE) </w:t>
            </w:r>
          </w:p>
        </w:tc>
      </w:tr>
      <w:tr w:rsidR="007D58D5" w:rsidRPr="0097324B" w:rsidTr="00A17EC3">
        <w:tblPrEx>
          <w:tblCellMar>
            <w:top w:w="15" w:type="dxa"/>
            <w:left w:w="15" w:type="dxa"/>
            <w:bottom w:w="15" w:type="dxa"/>
            <w:right w:w="15" w:type="dxa"/>
          </w:tblCellMar>
        </w:tblPrEx>
        <w:tc>
          <w:tcPr>
            <w:tcW w:w="1413" w:type="dxa"/>
            <w:gridSpan w:val="2"/>
            <w:vMerge/>
            <w:shd w:val="clear" w:color="auto" w:fill="auto"/>
            <w:vAlign w:val="center"/>
          </w:tcPr>
          <w:p w:rsidR="007D58D5" w:rsidRPr="0097324B" w:rsidRDefault="007D58D5" w:rsidP="00A17EC3">
            <w:pPr>
              <w:widowControl w:val="0"/>
              <w:rPr>
                <w:rFonts w:ascii="Arial Narrow" w:hAnsi="Arial Narrow"/>
                <w:b/>
                <w:sz w:val="18"/>
                <w:szCs w:val="18"/>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Pr>
          <w:p w:rsidR="007D58D5" w:rsidRPr="0097324B" w:rsidRDefault="007D58D5" w:rsidP="00A17EC3">
            <w:pPr>
              <w:widowControl w:val="0"/>
              <w:rPr>
                <w:rFonts w:ascii="Arial Narrow" w:hAnsi="Arial Narrow"/>
                <w:b/>
                <w:bCs/>
                <w:snapToGrid w:val="0"/>
                <w:sz w:val="18"/>
                <w:szCs w:val="18"/>
              </w:rPr>
            </w:pPr>
            <w:r w:rsidRPr="0097324B">
              <w:rPr>
                <w:rFonts w:ascii="Arial Narrow" w:hAnsi="Arial Narrow"/>
                <w:b/>
                <w:sz w:val="18"/>
                <w:szCs w:val="18"/>
              </w:rPr>
              <w:t xml:space="preserve">Prescriber type:   </w:t>
            </w:r>
            <w:r w:rsidRPr="0097324B">
              <w:rPr>
                <w:rFonts w:ascii="Arial Narrow" w:hAnsi="Arial Narrow"/>
                <w:sz w:val="18"/>
                <w:szCs w:val="18"/>
              </w:rPr>
              <w:fldChar w:fldCharType="begin">
                <w:ffData>
                  <w:name w:val=""/>
                  <w:enabled/>
                  <w:calcOnExit w:val="0"/>
                  <w:checkBox>
                    <w:sizeAuto/>
                    <w:default w:val="1"/>
                  </w:checkBox>
                </w:ffData>
              </w:fldChar>
            </w:r>
            <w:r w:rsidRPr="0097324B">
              <w:rPr>
                <w:rFonts w:ascii="Arial Narrow" w:hAnsi="Arial Narrow"/>
                <w:sz w:val="18"/>
                <w:szCs w:val="18"/>
              </w:rPr>
              <w:instrText xml:space="preserve"> FORMCHECKBOX </w:instrText>
            </w:r>
            <w:r w:rsidR="00BE74BF">
              <w:rPr>
                <w:rFonts w:ascii="Arial Narrow" w:hAnsi="Arial Narrow"/>
                <w:sz w:val="18"/>
                <w:szCs w:val="18"/>
              </w:rPr>
            </w:r>
            <w:r w:rsidR="00BE74BF">
              <w:rPr>
                <w:rFonts w:ascii="Arial Narrow" w:hAnsi="Arial Narrow"/>
                <w:sz w:val="18"/>
                <w:szCs w:val="18"/>
              </w:rPr>
              <w:fldChar w:fldCharType="separate"/>
            </w:r>
            <w:r w:rsidRPr="0097324B">
              <w:rPr>
                <w:rFonts w:ascii="Arial Narrow" w:hAnsi="Arial Narrow"/>
                <w:sz w:val="18"/>
                <w:szCs w:val="18"/>
              </w:rPr>
              <w:fldChar w:fldCharType="end"/>
            </w:r>
            <w:r w:rsidRPr="0097324B">
              <w:rPr>
                <w:rFonts w:ascii="Arial Narrow" w:hAnsi="Arial Narrow"/>
                <w:sz w:val="18"/>
                <w:szCs w:val="18"/>
              </w:rPr>
              <w:t xml:space="preserve"> Medical Practitioners    </w:t>
            </w:r>
          </w:p>
        </w:tc>
      </w:tr>
      <w:tr w:rsidR="007D58D5" w:rsidRPr="0097324B" w:rsidTr="00A17EC3">
        <w:tblPrEx>
          <w:tblCellMar>
            <w:top w:w="15" w:type="dxa"/>
            <w:left w:w="15" w:type="dxa"/>
            <w:bottom w:w="15" w:type="dxa"/>
            <w:right w:w="15" w:type="dxa"/>
          </w:tblCellMar>
        </w:tblPrEx>
        <w:tc>
          <w:tcPr>
            <w:tcW w:w="1413" w:type="dxa"/>
            <w:gridSpan w:val="2"/>
            <w:vMerge/>
            <w:shd w:val="clear" w:color="auto" w:fill="auto"/>
            <w:vAlign w:val="center"/>
          </w:tcPr>
          <w:p w:rsidR="007D58D5" w:rsidRPr="0097324B" w:rsidRDefault="007D58D5" w:rsidP="00A17EC3">
            <w:pPr>
              <w:rPr>
                <w:rFonts w:ascii="Arial Narrow" w:hAnsi="Arial Narrow"/>
                <w:b/>
                <w:sz w:val="18"/>
                <w:szCs w:val="18"/>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Pr>
          <w:p w:rsidR="007D58D5" w:rsidRPr="0097324B" w:rsidRDefault="007D58D5" w:rsidP="00A17EC3">
            <w:pPr>
              <w:rPr>
                <w:rFonts w:ascii="Arial Narrow" w:hAnsi="Arial Narrow"/>
                <w:b/>
                <w:sz w:val="18"/>
                <w:szCs w:val="18"/>
              </w:rPr>
            </w:pPr>
            <w:r w:rsidRPr="0097324B">
              <w:rPr>
                <w:rFonts w:ascii="Arial Narrow" w:hAnsi="Arial Narrow"/>
                <w:b/>
                <w:sz w:val="18"/>
                <w:szCs w:val="18"/>
              </w:rPr>
              <w:t xml:space="preserve">Restriction Type: </w:t>
            </w:r>
            <w:r w:rsidRPr="0097324B">
              <w:rPr>
                <w:rFonts w:ascii="Arial Narrow" w:eastAsia="Calibri" w:hAnsi="Arial Narrow"/>
                <w:sz w:val="18"/>
                <w:szCs w:val="18"/>
              </w:rPr>
              <w:fldChar w:fldCharType="begin">
                <w:ffData>
                  <w:name w:val="Check3"/>
                  <w:enabled/>
                  <w:calcOnExit w:val="0"/>
                  <w:checkBox>
                    <w:sizeAuto/>
                    <w:default w:val="1"/>
                  </w:checkBox>
                </w:ffData>
              </w:fldChar>
            </w:r>
            <w:r w:rsidRPr="0097324B">
              <w:rPr>
                <w:rFonts w:ascii="Arial Narrow" w:eastAsia="Calibri" w:hAnsi="Arial Narrow"/>
                <w:sz w:val="18"/>
                <w:szCs w:val="18"/>
              </w:rPr>
              <w:instrText xml:space="preserve"> FORMCHECKBOX </w:instrText>
            </w:r>
            <w:r w:rsidR="00BE74BF">
              <w:rPr>
                <w:rFonts w:ascii="Arial Narrow" w:eastAsia="Calibri" w:hAnsi="Arial Narrow"/>
                <w:sz w:val="18"/>
                <w:szCs w:val="18"/>
              </w:rPr>
            </w:r>
            <w:r w:rsidR="00BE74BF">
              <w:rPr>
                <w:rFonts w:ascii="Arial Narrow" w:eastAsia="Calibri" w:hAnsi="Arial Narrow"/>
                <w:sz w:val="18"/>
                <w:szCs w:val="18"/>
              </w:rPr>
              <w:fldChar w:fldCharType="separate"/>
            </w:r>
            <w:r w:rsidRPr="0097324B">
              <w:rPr>
                <w:rFonts w:ascii="Arial Narrow" w:eastAsia="Calibri" w:hAnsi="Arial Narrow"/>
                <w:sz w:val="18"/>
                <w:szCs w:val="18"/>
              </w:rPr>
              <w:fldChar w:fldCharType="end"/>
            </w:r>
            <w:r w:rsidRPr="0097324B">
              <w:rPr>
                <w:rFonts w:ascii="Arial Narrow" w:eastAsia="Calibri" w:hAnsi="Arial Narrow"/>
                <w:sz w:val="18"/>
                <w:szCs w:val="18"/>
              </w:rPr>
              <w:t xml:space="preserve"> Authority Required – immediate/real time assessment by Services Australia</w:t>
            </w:r>
          </w:p>
        </w:tc>
      </w:tr>
      <w:tr w:rsidR="00EF2A6F" w:rsidRPr="0097324B" w:rsidTr="003A395E">
        <w:tblPrEx>
          <w:tblCellMar>
            <w:top w:w="15" w:type="dxa"/>
            <w:left w:w="15" w:type="dxa"/>
            <w:bottom w:w="15" w:type="dxa"/>
            <w:right w:w="15" w:type="dxa"/>
          </w:tblCellMar>
        </w:tblPrEx>
        <w:tc>
          <w:tcPr>
            <w:tcW w:w="421" w:type="dxa"/>
            <w:vMerge w:val="restart"/>
            <w:shd w:val="clear" w:color="auto" w:fill="auto"/>
            <w:textDirection w:val="btLr"/>
            <w:vAlign w:val="center"/>
          </w:tcPr>
          <w:p w:rsidR="003A395E" w:rsidRPr="0097324B" w:rsidRDefault="003A395E" w:rsidP="009326D3">
            <w:pPr>
              <w:widowControl w:val="0"/>
              <w:ind w:left="113" w:right="113"/>
              <w:jc w:val="center"/>
              <w:rPr>
                <w:rFonts w:ascii="Arial Narrow" w:hAnsi="Arial Narrow"/>
                <w:b/>
                <w:bCs/>
                <w:iCs/>
                <w:snapToGrid w:val="0"/>
                <w:sz w:val="18"/>
                <w:szCs w:val="18"/>
              </w:rPr>
            </w:pPr>
            <w:r w:rsidRPr="0097324B">
              <w:rPr>
                <w:rFonts w:ascii="Arial Narrow" w:hAnsi="Arial Narrow"/>
                <w:b/>
                <w:bCs/>
                <w:iCs/>
                <w:snapToGrid w:val="0"/>
                <w:sz w:val="18"/>
                <w:szCs w:val="18"/>
              </w:rPr>
              <w:t>Prescribing Rule Level</w:t>
            </w:r>
          </w:p>
        </w:tc>
        <w:tc>
          <w:tcPr>
            <w:tcW w:w="992" w:type="dxa"/>
            <w:shd w:val="clear" w:color="auto" w:fill="auto"/>
            <w:vAlign w:val="center"/>
          </w:tcPr>
          <w:p w:rsidR="003A395E" w:rsidRPr="0097324B" w:rsidRDefault="003A395E" w:rsidP="003A395E">
            <w:pPr>
              <w:widowControl w:val="0"/>
              <w:jc w:val="center"/>
              <w:rPr>
                <w:rFonts w:ascii="Arial Narrow" w:hAnsi="Arial Narrow"/>
                <w:bCs/>
                <w:iCs/>
                <w:snapToGrid w:val="0"/>
                <w:sz w:val="18"/>
                <w:szCs w:val="18"/>
              </w:rPr>
            </w:pPr>
          </w:p>
        </w:tc>
        <w:tc>
          <w:tcPr>
            <w:tcW w:w="7654" w:type="dxa"/>
            <w:gridSpan w:val="6"/>
            <w:shd w:val="clear" w:color="auto" w:fill="auto"/>
            <w:vAlign w:val="center"/>
          </w:tcPr>
          <w:p w:rsidR="003A395E" w:rsidRPr="0097324B" w:rsidRDefault="003A395E" w:rsidP="00A17EC3">
            <w:pPr>
              <w:widowControl w:val="0"/>
              <w:rPr>
                <w:rFonts w:ascii="Arial Narrow" w:hAnsi="Arial Narrow"/>
                <w:b/>
                <w:bCs/>
                <w:iCs/>
                <w:snapToGrid w:val="0"/>
                <w:sz w:val="18"/>
                <w:szCs w:val="18"/>
              </w:rPr>
            </w:pPr>
            <w:r w:rsidRPr="0097324B">
              <w:rPr>
                <w:rFonts w:ascii="Arial Narrow" w:hAnsi="Arial Narrow"/>
                <w:b/>
                <w:bCs/>
                <w:iCs/>
                <w:snapToGrid w:val="0"/>
                <w:sz w:val="18"/>
                <w:szCs w:val="18"/>
              </w:rPr>
              <w:t>Administrative Advice:</w:t>
            </w:r>
          </w:p>
          <w:p w:rsidR="003A395E" w:rsidRPr="0097324B" w:rsidRDefault="003A395E" w:rsidP="00A17EC3">
            <w:pPr>
              <w:widowControl w:val="0"/>
              <w:rPr>
                <w:rFonts w:ascii="Arial Narrow" w:hAnsi="Arial Narrow"/>
                <w:bCs/>
                <w:snapToGrid w:val="0"/>
                <w:sz w:val="18"/>
                <w:szCs w:val="18"/>
              </w:rPr>
            </w:pPr>
            <w:r w:rsidRPr="0097324B">
              <w:rPr>
                <w:rFonts w:ascii="Arial Narrow" w:hAnsi="Arial Narrow"/>
                <w:bCs/>
                <w:snapToGrid w:val="0"/>
                <w:sz w:val="18"/>
                <w:szCs w:val="18"/>
              </w:rPr>
              <w:t>Applications for authorisation under this restriction may be made in real time using the Online PBS Authorities system (see www.servicesaustralia.gov.au/HPOS) or by telephone by contacting Services Australia on 1800 888 333.</w:t>
            </w:r>
          </w:p>
        </w:tc>
      </w:tr>
      <w:tr w:rsidR="00EF2A6F" w:rsidRPr="0097324B" w:rsidTr="003A395E">
        <w:tblPrEx>
          <w:tblCellMar>
            <w:top w:w="15" w:type="dxa"/>
            <w:left w:w="15" w:type="dxa"/>
            <w:bottom w:w="15" w:type="dxa"/>
            <w:right w:w="15" w:type="dxa"/>
          </w:tblCellMar>
        </w:tblPrEx>
        <w:tc>
          <w:tcPr>
            <w:tcW w:w="421" w:type="dxa"/>
            <w:vMerge/>
            <w:shd w:val="clear" w:color="auto" w:fill="auto"/>
            <w:vAlign w:val="center"/>
          </w:tcPr>
          <w:p w:rsidR="003A395E" w:rsidRPr="0097324B" w:rsidRDefault="003A395E" w:rsidP="00A17EC3">
            <w:pPr>
              <w:widowControl w:val="0"/>
              <w:jc w:val="center"/>
              <w:rPr>
                <w:rFonts w:ascii="Arial Narrow" w:hAnsi="Arial Narrow"/>
                <w:b/>
                <w:bCs/>
                <w:snapToGrid w:val="0"/>
                <w:sz w:val="18"/>
                <w:szCs w:val="18"/>
              </w:rPr>
            </w:pPr>
          </w:p>
        </w:tc>
        <w:tc>
          <w:tcPr>
            <w:tcW w:w="992" w:type="dxa"/>
            <w:shd w:val="clear" w:color="auto" w:fill="auto"/>
            <w:vAlign w:val="center"/>
          </w:tcPr>
          <w:p w:rsidR="003A395E" w:rsidRPr="00223B4C" w:rsidRDefault="003A395E" w:rsidP="00A17EC3">
            <w:pPr>
              <w:widowControl w:val="0"/>
              <w:jc w:val="center"/>
              <w:rPr>
                <w:rFonts w:ascii="Arial Narrow" w:hAnsi="Arial Narrow"/>
                <w:b/>
                <w:sz w:val="18"/>
              </w:rPr>
            </w:pPr>
          </w:p>
        </w:tc>
        <w:tc>
          <w:tcPr>
            <w:tcW w:w="7654" w:type="dxa"/>
            <w:gridSpan w:val="6"/>
            <w:shd w:val="clear" w:color="auto" w:fill="auto"/>
            <w:vAlign w:val="center"/>
            <w:hideMark/>
          </w:tcPr>
          <w:p w:rsidR="003A395E" w:rsidRPr="0097324B" w:rsidRDefault="003A395E" w:rsidP="00A17EC3">
            <w:pPr>
              <w:widowControl w:val="0"/>
              <w:rPr>
                <w:rFonts w:ascii="Arial Narrow" w:hAnsi="Arial Narrow"/>
                <w:bCs/>
                <w:snapToGrid w:val="0"/>
                <w:sz w:val="18"/>
                <w:szCs w:val="18"/>
              </w:rPr>
            </w:pPr>
            <w:r w:rsidRPr="0097324B">
              <w:rPr>
                <w:rFonts w:ascii="Arial Narrow" w:hAnsi="Arial Narrow"/>
                <w:b/>
                <w:bCs/>
                <w:snapToGrid w:val="0"/>
                <w:sz w:val="18"/>
                <w:szCs w:val="18"/>
              </w:rPr>
              <w:t>Administrative Advice:</w:t>
            </w:r>
            <w:r w:rsidRPr="0097324B">
              <w:rPr>
                <w:rFonts w:ascii="Arial Narrow" w:hAnsi="Arial Narrow"/>
                <w:bCs/>
                <w:snapToGrid w:val="0"/>
                <w:sz w:val="18"/>
                <w:szCs w:val="18"/>
              </w:rPr>
              <w:t xml:space="preserve"> No increase in the maximum quantity or number of units may be authorised.</w:t>
            </w:r>
          </w:p>
        </w:tc>
      </w:tr>
      <w:tr w:rsidR="00EF2A6F" w:rsidRPr="0097324B" w:rsidTr="003A395E">
        <w:tblPrEx>
          <w:tblCellMar>
            <w:top w:w="15" w:type="dxa"/>
            <w:left w:w="15" w:type="dxa"/>
            <w:bottom w:w="15" w:type="dxa"/>
            <w:right w:w="15" w:type="dxa"/>
          </w:tblCellMar>
        </w:tblPrEx>
        <w:tc>
          <w:tcPr>
            <w:tcW w:w="421" w:type="dxa"/>
            <w:vMerge/>
            <w:shd w:val="clear" w:color="auto" w:fill="auto"/>
            <w:vAlign w:val="center"/>
          </w:tcPr>
          <w:p w:rsidR="003A395E" w:rsidRPr="0097324B" w:rsidRDefault="003A395E" w:rsidP="00A17EC3">
            <w:pPr>
              <w:widowControl w:val="0"/>
              <w:jc w:val="center"/>
              <w:rPr>
                <w:rFonts w:ascii="Arial Narrow" w:hAnsi="Arial Narrow"/>
                <w:b/>
                <w:bCs/>
                <w:snapToGrid w:val="0"/>
                <w:sz w:val="18"/>
                <w:szCs w:val="18"/>
              </w:rPr>
            </w:pPr>
          </w:p>
        </w:tc>
        <w:tc>
          <w:tcPr>
            <w:tcW w:w="992" w:type="dxa"/>
            <w:shd w:val="clear" w:color="auto" w:fill="auto"/>
            <w:vAlign w:val="center"/>
          </w:tcPr>
          <w:p w:rsidR="003A395E" w:rsidRPr="00223B4C" w:rsidRDefault="003A395E" w:rsidP="00A17EC3">
            <w:pPr>
              <w:widowControl w:val="0"/>
              <w:jc w:val="center"/>
              <w:rPr>
                <w:rFonts w:ascii="Arial Narrow" w:hAnsi="Arial Narrow"/>
                <w:b/>
                <w:sz w:val="18"/>
              </w:rPr>
            </w:pPr>
          </w:p>
        </w:tc>
        <w:tc>
          <w:tcPr>
            <w:tcW w:w="7654" w:type="dxa"/>
            <w:gridSpan w:val="6"/>
            <w:shd w:val="clear" w:color="auto" w:fill="auto"/>
            <w:vAlign w:val="center"/>
            <w:hideMark/>
          </w:tcPr>
          <w:p w:rsidR="003A395E" w:rsidRPr="0097324B" w:rsidRDefault="003A395E" w:rsidP="00A17EC3">
            <w:pPr>
              <w:widowControl w:val="0"/>
              <w:rPr>
                <w:rFonts w:ascii="Arial Narrow" w:hAnsi="Arial Narrow"/>
                <w:bCs/>
                <w:snapToGrid w:val="0"/>
                <w:sz w:val="18"/>
                <w:szCs w:val="18"/>
              </w:rPr>
            </w:pPr>
            <w:r w:rsidRPr="0097324B">
              <w:rPr>
                <w:rFonts w:ascii="Arial Narrow" w:hAnsi="Arial Narrow"/>
                <w:b/>
                <w:bCs/>
                <w:snapToGrid w:val="0"/>
                <w:sz w:val="18"/>
                <w:szCs w:val="18"/>
              </w:rPr>
              <w:t>Administrative Advice:</w:t>
            </w:r>
            <w:r w:rsidRPr="0097324B">
              <w:rPr>
                <w:rFonts w:ascii="Arial Narrow" w:hAnsi="Arial Narrow"/>
                <w:bCs/>
                <w:snapToGrid w:val="0"/>
                <w:sz w:val="18"/>
                <w:szCs w:val="18"/>
              </w:rPr>
              <w:t xml:space="preserve"> No increase in the maximum number of repeats may be authorised.</w:t>
            </w:r>
          </w:p>
        </w:tc>
      </w:tr>
      <w:tr w:rsidR="00EF2A6F" w:rsidRPr="0097324B" w:rsidTr="003A395E">
        <w:tblPrEx>
          <w:tblCellMar>
            <w:top w:w="15" w:type="dxa"/>
            <w:left w:w="15" w:type="dxa"/>
            <w:bottom w:w="15" w:type="dxa"/>
            <w:right w:w="15" w:type="dxa"/>
          </w:tblCellMar>
        </w:tblPrEx>
        <w:tc>
          <w:tcPr>
            <w:tcW w:w="421" w:type="dxa"/>
            <w:vMerge/>
            <w:shd w:val="clear" w:color="auto" w:fill="auto"/>
            <w:vAlign w:val="center"/>
          </w:tcPr>
          <w:p w:rsidR="003A395E" w:rsidRPr="0097324B" w:rsidRDefault="003A395E" w:rsidP="00A17EC3">
            <w:pPr>
              <w:widowControl w:val="0"/>
              <w:jc w:val="center"/>
              <w:rPr>
                <w:rFonts w:ascii="Arial Narrow" w:hAnsi="Arial Narrow"/>
                <w:b/>
                <w:bCs/>
                <w:snapToGrid w:val="0"/>
                <w:sz w:val="18"/>
                <w:szCs w:val="18"/>
              </w:rPr>
            </w:pPr>
          </w:p>
        </w:tc>
        <w:tc>
          <w:tcPr>
            <w:tcW w:w="992" w:type="dxa"/>
            <w:shd w:val="clear" w:color="auto" w:fill="auto"/>
            <w:vAlign w:val="center"/>
          </w:tcPr>
          <w:p w:rsidR="003A395E" w:rsidRPr="00223B4C" w:rsidRDefault="003A395E" w:rsidP="00A17EC3">
            <w:pPr>
              <w:widowControl w:val="0"/>
              <w:jc w:val="center"/>
              <w:rPr>
                <w:rFonts w:ascii="Arial Narrow" w:hAnsi="Arial Narrow"/>
                <w:b/>
                <w:sz w:val="18"/>
              </w:rPr>
            </w:pPr>
          </w:p>
        </w:tc>
        <w:tc>
          <w:tcPr>
            <w:tcW w:w="7654" w:type="dxa"/>
            <w:gridSpan w:val="6"/>
            <w:shd w:val="clear" w:color="auto" w:fill="auto"/>
            <w:vAlign w:val="center"/>
            <w:hideMark/>
          </w:tcPr>
          <w:p w:rsidR="003A395E" w:rsidRPr="0097324B" w:rsidRDefault="003A395E" w:rsidP="00A17EC3">
            <w:pPr>
              <w:widowControl w:val="0"/>
              <w:rPr>
                <w:rFonts w:ascii="Arial Narrow" w:hAnsi="Arial Narrow"/>
                <w:bCs/>
                <w:snapToGrid w:val="0"/>
                <w:sz w:val="18"/>
                <w:szCs w:val="18"/>
              </w:rPr>
            </w:pPr>
            <w:r w:rsidRPr="0097324B">
              <w:rPr>
                <w:rFonts w:ascii="Arial Narrow" w:hAnsi="Arial Narrow"/>
                <w:b/>
                <w:bCs/>
                <w:snapToGrid w:val="0"/>
                <w:sz w:val="18"/>
                <w:szCs w:val="18"/>
              </w:rPr>
              <w:t>Administrative Advice:</w:t>
            </w:r>
            <w:r w:rsidRPr="0097324B">
              <w:rPr>
                <w:rFonts w:ascii="Arial Narrow" w:hAnsi="Arial Narrow"/>
                <w:bCs/>
                <w:snapToGrid w:val="0"/>
                <w:sz w:val="18"/>
                <w:szCs w:val="18"/>
              </w:rPr>
              <w:t xml:space="preserve"> Special Pricing Arrangements apply.</w:t>
            </w:r>
          </w:p>
        </w:tc>
      </w:tr>
      <w:tr w:rsidR="00EF2A6F" w:rsidRPr="0097324B" w:rsidTr="003A395E">
        <w:tblPrEx>
          <w:tblCellMar>
            <w:top w:w="15" w:type="dxa"/>
            <w:left w:w="15" w:type="dxa"/>
            <w:bottom w:w="15" w:type="dxa"/>
            <w:right w:w="15" w:type="dxa"/>
          </w:tblCellMar>
        </w:tblPrEx>
        <w:tc>
          <w:tcPr>
            <w:tcW w:w="421" w:type="dxa"/>
            <w:vMerge/>
            <w:shd w:val="clear" w:color="auto" w:fill="auto"/>
            <w:vAlign w:val="center"/>
          </w:tcPr>
          <w:p w:rsidR="003A395E" w:rsidRPr="0097324B" w:rsidRDefault="003A395E" w:rsidP="00A17EC3">
            <w:pPr>
              <w:widowControl w:val="0"/>
              <w:jc w:val="center"/>
              <w:rPr>
                <w:rFonts w:ascii="Arial Narrow" w:hAnsi="Arial Narrow"/>
                <w:bCs/>
                <w:snapToGrid w:val="0"/>
                <w:sz w:val="18"/>
                <w:szCs w:val="18"/>
              </w:rPr>
            </w:pPr>
          </w:p>
        </w:tc>
        <w:tc>
          <w:tcPr>
            <w:tcW w:w="992" w:type="dxa"/>
            <w:shd w:val="clear" w:color="auto" w:fill="auto"/>
            <w:vAlign w:val="center"/>
          </w:tcPr>
          <w:p w:rsidR="003A395E" w:rsidRPr="00223B4C" w:rsidRDefault="003A395E" w:rsidP="00A17EC3">
            <w:pPr>
              <w:widowControl w:val="0"/>
              <w:jc w:val="center"/>
              <w:rPr>
                <w:rFonts w:ascii="Arial Narrow" w:hAnsi="Arial Narrow"/>
                <w:b/>
                <w:sz w:val="18"/>
              </w:rPr>
            </w:pPr>
          </w:p>
        </w:tc>
        <w:tc>
          <w:tcPr>
            <w:tcW w:w="7654" w:type="dxa"/>
            <w:gridSpan w:val="6"/>
            <w:shd w:val="clear" w:color="auto" w:fill="auto"/>
            <w:vAlign w:val="center"/>
          </w:tcPr>
          <w:p w:rsidR="003A395E" w:rsidRPr="0097324B" w:rsidRDefault="003A395E" w:rsidP="00A17EC3">
            <w:pPr>
              <w:widowControl w:val="0"/>
              <w:rPr>
                <w:rFonts w:ascii="Arial Narrow" w:hAnsi="Arial Narrow"/>
                <w:b/>
                <w:bCs/>
                <w:snapToGrid w:val="0"/>
                <w:sz w:val="18"/>
                <w:szCs w:val="18"/>
              </w:rPr>
            </w:pPr>
            <w:r w:rsidRPr="0097324B">
              <w:rPr>
                <w:rFonts w:ascii="Arial Narrow" w:hAnsi="Arial Narrow"/>
                <w:b/>
                <w:bCs/>
                <w:snapToGrid w:val="0"/>
                <w:sz w:val="18"/>
                <w:szCs w:val="18"/>
              </w:rPr>
              <w:t xml:space="preserve">Administrative Advice: </w:t>
            </w:r>
          </w:p>
          <w:p w:rsidR="003A395E" w:rsidRPr="0097324B" w:rsidRDefault="003A395E" w:rsidP="00A17EC3">
            <w:pPr>
              <w:widowControl w:val="0"/>
              <w:rPr>
                <w:rFonts w:ascii="Arial Narrow" w:hAnsi="Arial Narrow"/>
                <w:b/>
                <w:bCs/>
                <w:snapToGrid w:val="0"/>
                <w:sz w:val="18"/>
                <w:szCs w:val="18"/>
              </w:rPr>
            </w:pPr>
            <w:r w:rsidRPr="0097324B">
              <w:rPr>
                <w:rFonts w:ascii="Arial Narrow" w:hAnsi="Arial Narrow"/>
                <w:bCs/>
                <w:snapToGrid w:val="0"/>
                <w:sz w:val="18"/>
                <w:szCs w:val="18"/>
              </w:rPr>
              <w:t>Cyclin-dependent kinase 4 and 6 (CDK4/6) inhibitors for the purposes of this restriction are abemaciclib, palbociclib and ribociclib</w:t>
            </w:r>
            <w:r w:rsidRPr="0097324B">
              <w:rPr>
                <w:rFonts w:ascii="Arial Narrow" w:hAnsi="Arial Narrow"/>
                <w:b/>
                <w:bCs/>
                <w:snapToGrid w:val="0"/>
                <w:sz w:val="18"/>
                <w:szCs w:val="18"/>
              </w:rPr>
              <w:t xml:space="preserve"> </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
                <w:bCs/>
                <w:snapToGrid w:val="0"/>
                <w:sz w:val="18"/>
                <w:szCs w:val="18"/>
              </w:rPr>
              <w:t>Indication:</w:t>
            </w:r>
            <w:r w:rsidRPr="0097324B">
              <w:rPr>
                <w:rFonts w:ascii="Arial Narrow" w:hAnsi="Arial Narrow"/>
                <w:bCs/>
                <w:snapToGrid w:val="0"/>
                <w:sz w:val="18"/>
                <w:szCs w:val="18"/>
              </w:rPr>
              <w:t xml:space="preserve"> Locally advanced or metastatic breast cancer</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
                <w:bCs/>
                <w:snapToGrid w:val="0"/>
                <w:sz w:val="18"/>
                <w:szCs w:val="18"/>
              </w:rPr>
              <w:t>Treatment Phase:</w:t>
            </w:r>
            <w:r w:rsidRPr="0097324B">
              <w:rPr>
                <w:rFonts w:ascii="Arial Narrow" w:hAnsi="Arial Narrow"/>
                <w:bCs/>
                <w:snapToGrid w:val="0"/>
                <w:sz w:val="18"/>
                <w:szCs w:val="18"/>
              </w:rPr>
              <w:t xml:space="preserve"> Initial treatment</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
                <w:bCs/>
                <w:snapToGrid w:val="0"/>
                <w:sz w:val="18"/>
                <w:szCs w:val="18"/>
              </w:rPr>
            </w:pPr>
          </w:p>
        </w:tc>
        <w:tc>
          <w:tcPr>
            <w:tcW w:w="7654" w:type="dxa"/>
            <w:gridSpan w:val="6"/>
            <w:shd w:val="clear" w:color="auto" w:fill="auto"/>
            <w:vAlign w:val="center"/>
          </w:tcPr>
          <w:p w:rsidR="007D58D5" w:rsidRPr="0097324B" w:rsidRDefault="007D58D5" w:rsidP="00A17EC3">
            <w:pPr>
              <w:widowControl w:val="0"/>
              <w:rPr>
                <w:rFonts w:ascii="Arial Narrow" w:hAnsi="Arial Narrow"/>
                <w:b/>
                <w:bCs/>
                <w:snapToGrid w:val="0"/>
                <w:sz w:val="18"/>
                <w:szCs w:val="18"/>
              </w:rPr>
            </w:pPr>
            <w:r w:rsidRPr="0097324B">
              <w:rPr>
                <w:rFonts w:ascii="Arial Narrow" w:hAnsi="Arial Narrow"/>
                <w:b/>
                <w:bCs/>
                <w:snapToGrid w:val="0"/>
                <w:sz w:val="18"/>
                <w:szCs w:val="18"/>
              </w:rPr>
              <w:t>Clinical criteria:</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Cs/>
                <w:snapToGrid w:val="0"/>
                <w:sz w:val="18"/>
                <w:szCs w:val="18"/>
              </w:rPr>
            </w:pPr>
          </w:p>
        </w:tc>
        <w:tc>
          <w:tcPr>
            <w:tcW w:w="7654" w:type="dxa"/>
            <w:gridSpan w:val="6"/>
            <w:shd w:val="clear" w:color="auto" w:fill="auto"/>
            <w:vAlign w:val="center"/>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Cs/>
                <w:snapToGrid w:val="0"/>
                <w:sz w:val="18"/>
                <w:szCs w:val="18"/>
              </w:rPr>
              <w:t>Patient must be untreated with each of: (i) abemaciclib, (ii) palbociclib, (iii) ribociclib; or</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Cs/>
                <w:snapToGrid w:val="0"/>
                <w:sz w:val="18"/>
                <w:szCs w:val="18"/>
              </w:rPr>
              <w:t>Patient must have developed an intolerance to at least one of the above drugs (other than this drug) of a severity necessitating permanent treatment withdrawal</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
                <w:bCs/>
                <w:snapToGrid w:val="0"/>
                <w:sz w:val="18"/>
                <w:szCs w:val="18"/>
              </w:rPr>
            </w:pPr>
          </w:p>
        </w:tc>
        <w:tc>
          <w:tcPr>
            <w:tcW w:w="7654" w:type="dxa"/>
            <w:gridSpan w:val="6"/>
            <w:shd w:val="clear" w:color="auto" w:fill="auto"/>
            <w:vAlign w:val="center"/>
          </w:tcPr>
          <w:p w:rsidR="007D58D5" w:rsidRPr="0097324B" w:rsidRDefault="007D58D5" w:rsidP="00A17EC3">
            <w:pPr>
              <w:widowControl w:val="0"/>
              <w:rPr>
                <w:rFonts w:ascii="Arial Narrow" w:hAnsi="Arial Narrow"/>
                <w:b/>
                <w:bCs/>
                <w:snapToGrid w:val="0"/>
                <w:sz w:val="18"/>
                <w:szCs w:val="18"/>
              </w:rPr>
            </w:pPr>
            <w:r w:rsidRPr="0097324B">
              <w:rPr>
                <w:rFonts w:ascii="Arial Narrow" w:hAnsi="Arial Narrow"/>
                <w:b/>
                <w:sz w:val="18"/>
                <w:szCs w:val="18"/>
              </w:rPr>
              <w:t>AND</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Cs/>
                <w:snapToGrid w:val="0"/>
                <w:sz w:val="18"/>
                <w:szCs w:val="18"/>
              </w:rPr>
              <w:t>The condition must be hormone receptor positive</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
                <w:bCs/>
                <w:snapToGrid w:val="0"/>
                <w:sz w:val="18"/>
                <w:szCs w:val="18"/>
              </w:rPr>
              <w:t>AND</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Cs/>
                <w:snapToGrid w:val="0"/>
                <w:sz w:val="18"/>
                <w:szCs w:val="18"/>
              </w:rPr>
              <w:t>The condition must be human epidermal growth factor receptor 2 (HER2) negative</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
                <w:bCs/>
                <w:snapToGrid w:val="0"/>
                <w:sz w:val="18"/>
                <w:szCs w:val="18"/>
              </w:rPr>
              <w:t>AND</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Cs/>
                <w:snapToGrid w:val="0"/>
                <w:sz w:val="18"/>
                <w:szCs w:val="18"/>
              </w:rPr>
              <w:t>The condition must be inoperable</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
                <w:bCs/>
                <w:snapToGrid w:val="0"/>
                <w:sz w:val="18"/>
                <w:szCs w:val="18"/>
              </w:rPr>
              <w:t>AND</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Cs/>
                <w:snapToGrid w:val="0"/>
                <w:sz w:val="18"/>
                <w:szCs w:val="18"/>
              </w:rPr>
              <w:t>Patient must have a World Health Organisation (WHO) Eastern Cooperative Oncology Group (ECOG) performance status score of 2 or less</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
                <w:bCs/>
                <w:snapToGrid w:val="0"/>
                <w:sz w:val="18"/>
                <w:szCs w:val="18"/>
              </w:rPr>
              <w:t>AND</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Cs/>
                <w:i/>
                <w:snapToGrid w:val="0"/>
                <w:sz w:val="18"/>
                <w:szCs w:val="18"/>
              </w:rPr>
            </w:pPr>
          </w:p>
        </w:tc>
        <w:tc>
          <w:tcPr>
            <w:tcW w:w="7654" w:type="dxa"/>
            <w:gridSpan w:val="6"/>
            <w:shd w:val="clear" w:color="auto" w:fill="auto"/>
            <w:vAlign w:val="center"/>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Cs/>
                <w:snapToGrid w:val="0"/>
                <w:sz w:val="18"/>
                <w:szCs w:val="18"/>
              </w:rPr>
              <w:t>The treatment must be in combination, where the patient has never been treated with endocrine therapy for advanced/metastatic disease, with one of: (i) anastrozole, (ii) letrozole, (iii) fulvestrant; or</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Cs/>
                <w:i/>
                <w:snapToGrid w:val="0"/>
                <w:sz w:val="18"/>
                <w:szCs w:val="18"/>
              </w:rPr>
            </w:pPr>
          </w:p>
        </w:tc>
        <w:tc>
          <w:tcPr>
            <w:tcW w:w="7654" w:type="dxa"/>
            <w:gridSpan w:val="6"/>
            <w:shd w:val="clear" w:color="auto" w:fill="auto"/>
            <w:vAlign w:val="center"/>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Cs/>
                <w:snapToGrid w:val="0"/>
                <w:sz w:val="18"/>
                <w:szCs w:val="18"/>
              </w:rPr>
              <w:t>The treatment must be in combination, where the patient has recurrence/progressive disease despite being treated with endocrine therapy for advanced/metastatic disease, with fulvestrant only</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Cs/>
                <w:snapToGrid w:val="0"/>
                <w:sz w:val="18"/>
                <w:szCs w:val="18"/>
              </w:rPr>
            </w:pPr>
          </w:p>
        </w:tc>
        <w:tc>
          <w:tcPr>
            <w:tcW w:w="7654" w:type="dxa"/>
            <w:gridSpan w:val="6"/>
            <w:shd w:val="clear" w:color="auto" w:fill="auto"/>
            <w:vAlign w:val="center"/>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
                <w:bCs/>
                <w:snapToGrid w:val="0"/>
                <w:sz w:val="18"/>
                <w:szCs w:val="18"/>
              </w:rPr>
              <w:t>AND</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Cs/>
                <w:snapToGrid w:val="0"/>
                <w:sz w:val="18"/>
                <w:szCs w:val="18"/>
              </w:rPr>
            </w:pPr>
          </w:p>
        </w:tc>
        <w:tc>
          <w:tcPr>
            <w:tcW w:w="7654" w:type="dxa"/>
            <w:gridSpan w:val="6"/>
            <w:shd w:val="clear" w:color="auto" w:fill="auto"/>
            <w:vAlign w:val="center"/>
          </w:tcPr>
          <w:p w:rsidR="007D58D5" w:rsidRPr="0097324B" w:rsidRDefault="007D58D5" w:rsidP="00A17EC3">
            <w:pPr>
              <w:widowControl w:val="0"/>
              <w:rPr>
                <w:rFonts w:ascii="Arial Narrow" w:hAnsi="Arial Narrow"/>
                <w:bCs/>
                <w:i/>
                <w:snapToGrid w:val="0"/>
                <w:sz w:val="18"/>
                <w:szCs w:val="18"/>
              </w:rPr>
            </w:pPr>
            <w:r w:rsidRPr="0097324B">
              <w:rPr>
                <w:rFonts w:ascii="Arial Narrow" w:hAnsi="Arial Narrow"/>
                <w:b/>
                <w:bCs/>
                <w:snapToGrid w:val="0"/>
                <w:sz w:val="18"/>
                <w:szCs w:val="18"/>
              </w:rPr>
              <w:t>Clinical criteria:</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Cs/>
                <w:snapToGrid w:val="0"/>
                <w:sz w:val="18"/>
                <w:szCs w:val="18"/>
              </w:rPr>
            </w:pPr>
          </w:p>
        </w:tc>
        <w:tc>
          <w:tcPr>
            <w:tcW w:w="7654" w:type="dxa"/>
            <w:gridSpan w:val="6"/>
            <w:shd w:val="clear" w:color="auto" w:fill="auto"/>
            <w:vAlign w:val="center"/>
          </w:tcPr>
          <w:p w:rsidR="007D58D5" w:rsidRPr="0097324B" w:rsidRDefault="007D58D5" w:rsidP="00A17EC3">
            <w:pPr>
              <w:widowControl w:val="0"/>
              <w:rPr>
                <w:rFonts w:ascii="Arial Narrow" w:hAnsi="Arial Narrow"/>
                <w:bCs/>
                <w:i/>
                <w:snapToGrid w:val="0"/>
                <w:sz w:val="18"/>
                <w:szCs w:val="18"/>
              </w:rPr>
            </w:pPr>
            <w:r w:rsidRPr="0097324B">
              <w:rPr>
                <w:rFonts w:ascii="Arial Narrow" w:hAnsi="Arial Narrow"/>
                <w:sz w:val="18"/>
                <w:szCs w:val="18"/>
              </w:rPr>
              <w:t>The treatment must not be in combination with another drug of the same pharmacological class as this drug</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Cs/>
                <w:snapToGrid w:val="0"/>
                <w:sz w:val="18"/>
                <w:szCs w:val="18"/>
              </w:rPr>
            </w:pPr>
          </w:p>
        </w:tc>
        <w:tc>
          <w:tcPr>
            <w:tcW w:w="7654" w:type="dxa"/>
            <w:gridSpan w:val="6"/>
            <w:shd w:val="clear" w:color="auto" w:fill="auto"/>
            <w:vAlign w:val="center"/>
          </w:tcPr>
          <w:p w:rsidR="007D58D5" w:rsidRPr="0097324B" w:rsidRDefault="007D58D5" w:rsidP="00A17EC3">
            <w:pPr>
              <w:widowControl w:val="0"/>
              <w:rPr>
                <w:rFonts w:ascii="Arial Narrow" w:hAnsi="Arial Narrow"/>
                <w:bCs/>
                <w:i/>
                <w:snapToGrid w:val="0"/>
                <w:sz w:val="18"/>
                <w:szCs w:val="18"/>
              </w:rPr>
            </w:pPr>
            <w:r w:rsidRPr="0097324B">
              <w:rPr>
                <w:rFonts w:ascii="Arial Narrow" w:hAnsi="Arial Narrow"/>
                <w:b/>
                <w:bCs/>
                <w:snapToGrid w:val="0"/>
                <w:sz w:val="18"/>
                <w:szCs w:val="18"/>
              </w:rPr>
              <w:t>Population criteria:</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Cs/>
                <w:snapToGrid w:val="0"/>
                <w:sz w:val="18"/>
                <w:szCs w:val="18"/>
              </w:rPr>
            </w:pPr>
          </w:p>
        </w:tc>
        <w:tc>
          <w:tcPr>
            <w:tcW w:w="7654" w:type="dxa"/>
            <w:gridSpan w:val="6"/>
            <w:shd w:val="clear" w:color="auto" w:fill="auto"/>
            <w:vAlign w:val="center"/>
          </w:tcPr>
          <w:p w:rsidR="007D58D5" w:rsidRPr="0097324B" w:rsidRDefault="007D58D5" w:rsidP="00A17EC3">
            <w:pPr>
              <w:widowControl w:val="0"/>
              <w:rPr>
                <w:rFonts w:ascii="Arial Narrow" w:hAnsi="Arial Narrow"/>
                <w:bCs/>
                <w:i/>
                <w:snapToGrid w:val="0"/>
                <w:sz w:val="18"/>
                <w:szCs w:val="18"/>
              </w:rPr>
            </w:pPr>
            <w:r w:rsidRPr="0097324B">
              <w:rPr>
                <w:rFonts w:ascii="Arial Narrow" w:hAnsi="Arial Narrow"/>
                <w:bCs/>
                <w:snapToGrid w:val="0"/>
                <w:sz w:val="18"/>
                <w:szCs w:val="18"/>
              </w:rPr>
              <w:t>Patient must not be premenopausal</w:t>
            </w:r>
          </w:p>
        </w:tc>
      </w:tr>
      <w:tr w:rsidR="007D58D5" w:rsidRPr="0097324B" w:rsidTr="00A17EC3">
        <w:tblPrEx>
          <w:tblCellMar>
            <w:top w:w="15" w:type="dxa"/>
            <w:left w:w="15" w:type="dxa"/>
            <w:bottom w:w="15" w:type="dxa"/>
            <w:right w:w="15" w:type="dxa"/>
          </w:tblCellMar>
        </w:tblPrEx>
        <w:tc>
          <w:tcPr>
            <w:tcW w:w="9067" w:type="dxa"/>
            <w:gridSpan w:val="8"/>
            <w:shd w:val="clear" w:color="auto" w:fill="auto"/>
          </w:tcPr>
          <w:p w:rsidR="007D58D5" w:rsidRPr="0097324B" w:rsidRDefault="007D58D5" w:rsidP="00A17EC3">
            <w:pPr>
              <w:widowControl w:val="0"/>
              <w:rPr>
                <w:rFonts w:ascii="Arial Narrow" w:hAnsi="Arial Narrow"/>
                <w:b/>
                <w:bCs/>
                <w:snapToGrid w:val="0"/>
                <w:sz w:val="18"/>
                <w:szCs w:val="18"/>
              </w:rPr>
            </w:pPr>
          </w:p>
        </w:tc>
      </w:tr>
      <w:tr w:rsidR="007D58D5" w:rsidRPr="0097324B" w:rsidTr="00A17EC3">
        <w:tblPrEx>
          <w:tblCellMar>
            <w:top w:w="15" w:type="dxa"/>
            <w:left w:w="15" w:type="dxa"/>
            <w:bottom w:w="15" w:type="dxa"/>
            <w:right w:w="15" w:type="dxa"/>
          </w:tblCellMar>
          <w:tblLook w:val="04A0" w:firstRow="1" w:lastRow="0" w:firstColumn="1" w:lastColumn="0" w:noHBand="0" w:noVBand="1"/>
        </w:tblPrEx>
        <w:tc>
          <w:tcPr>
            <w:tcW w:w="9067" w:type="dxa"/>
            <w:gridSpan w:val="8"/>
            <w:shd w:val="clear" w:color="auto" w:fill="auto"/>
          </w:tcPr>
          <w:p w:rsidR="007D58D5" w:rsidRPr="0097324B" w:rsidRDefault="007D58D5" w:rsidP="00A17EC3">
            <w:pPr>
              <w:widowControl w:val="0"/>
              <w:rPr>
                <w:rFonts w:ascii="Arial Narrow" w:hAnsi="Arial Narrow"/>
                <w:b/>
                <w:bCs/>
                <w:snapToGrid w:val="0"/>
                <w:sz w:val="18"/>
                <w:szCs w:val="18"/>
              </w:rPr>
            </w:pPr>
            <w:r w:rsidRPr="0097324B">
              <w:rPr>
                <w:rFonts w:ascii="Arial Narrow" w:hAnsi="Arial Narrow"/>
                <w:b/>
                <w:bCs/>
                <w:snapToGrid w:val="0"/>
                <w:sz w:val="18"/>
                <w:szCs w:val="18"/>
              </w:rPr>
              <w:t>Edit Restriction Summary 10050 / ToC: 10019 to appear as follows:</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
                <w:bCs/>
                <w:snapToGrid w:val="0"/>
                <w:sz w:val="18"/>
                <w:szCs w:val="18"/>
              </w:rPr>
              <w:t>Indication:</w:t>
            </w:r>
            <w:r w:rsidRPr="0097324B">
              <w:rPr>
                <w:rFonts w:ascii="Arial Narrow" w:hAnsi="Arial Narrow"/>
                <w:bCs/>
                <w:snapToGrid w:val="0"/>
                <w:sz w:val="18"/>
                <w:szCs w:val="18"/>
              </w:rPr>
              <w:t xml:space="preserve"> Locally advanced or metastatic breast cancer</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
                <w:bCs/>
                <w:snapToGrid w:val="0"/>
                <w:sz w:val="18"/>
                <w:szCs w:val="18"/>
              </w:rPr>
              <w:t>Treatment Phase:</w:t>
            </w:r>
            <w:r w:rsidRPr="0097324B">
              <w:rPr>
                <w:rFonts w:ascii="Arial Narrow" w:hAnsi="Arial Narrow"/>
                <w:bCs/>
                <w:snapToGrid w:val="0"/>
                <w:sz w:val="18"/>
                <w:szCs w:val="18"/>
              </w:rPr>
              <w:t xml:space="preserve"> Continuing treatment</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Cs/>
                <w:snapToGrid w:val="0"/>
                <w:sz w:val="18"/>
                <w:szCs w:val="18"/>
              </w:rPr>
              <w:t>Patient must have previously received PBS-subsidised treatment with this drug for this condition</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
                <w:bCs/>
                <w:snapToGrid w:val="0"/>
                <w:sz w:val="18"/>
                <w:szCs w:val="18"/>
              </w:rPr>
              <w:t>AND</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Cs/>
                <w:snapToGrid w:val="0"/>
                <w:sz w:val="18"/>
                <w:szCs w:val="18"/>
              </w:rPr>
            </w:pPr>
          </w:p>
        </w:tc>
        <w:tc>
          <w:tcPr>
            <w:tcW w:w="7654" w:type="dxa"/>
            <w:gridSpan w:val="6"/>
            <w:shd w:val="clear" w:color="auto" w:fill="auto"/>
            <w:vAlign w:val="center"/>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Cs/>
                <w:snapToGrid w:val="0"/>
                <w:sz w:val="18"/>
                <w:szCs w:val="18"/>
              </w:rPr>
              <w:t>Patient must not have developed disease progression while being treated with this drug for this condition</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
                <w:bCs/>
                <w:strike/>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
                <w:bCs/>
                <w:snapToGrid w:val="0"/>
                <w:sz w:val="18"/>
                <w:szCs w:val="18"/>
              </w:rPr>
              <w:t>AND</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Cs/>
                <w:i/>
                <w:snapToGrid w:val="0"/>
                <w:sz w:val="18"/>
                <w:szCs w:val="18"/>
              </w:rPr>
            </w:pPr>
          </w:p>
        </w:tc>
        <w:tc>
          <w:tcPr>
            <w:tcW w:w="7654" w:type="dxa"/>
            <w:gridSpan w:val="6"/>
            <w:shd w:val="clear" w:color="auto" w:fill="auto"/>
            <w:vAlign w:val="center"/>
          </w:tcPr>
          <w:p w:rsidR="007D58D5" w:rsidRPr="0097324B" w:rsidRDefault="007D58D5" w:rsidP="00A17EC3">
            <w:pPr>
              <w:widowControl w:val="0"/>
              <w:rPr>
                <w:rFonts w:ascii="Arial Narrow" w:hAnsi="Arial Narrow"/>
                <w:bCs/>
                <w:strike/>
                <w:snapToGrid w:val="0"/>
                <w:sz w:val="18"/>
                <w:szCs w:val="18"/>
              </w:rPr>
            </w:pPr>
            <w:r w:rsidRPr="0097324B">
              <w:rPr>
                <w:rFonts w:ascii="Arial Narrow" w:hAnsi="Arial Narrow"/>
                <w:bCs/>
                <w:snapToGrid w:val="0"/>
                <w:sz w:val="18"/>
                <w:szCs w:val="18"/>
              </w:rPr>
              <w:t>The treatment must be in combination with one of: (i) anastrozole, (ii) letrozole, (iii) fulvestrant</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
                <w:bCs/>
                <w:snapToGrid w:val="0"/>
                <w:sz w:val="18"/>
                <w:szCs w:val="18"/>
              </w:rPr>
              <w:t>AND</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Cs/>
                <w:snapToGrid w:val="0"/>
                <w:sz w:val="18"/>
                <w:szCs w:val="18"/>
              </w:rPr>
            </w:pPr>
          </w:p>
        </w:tc>
        <w:tc>
          <w:tcPr>
            <w:tcW w:w="7654" w:type="dxa"/>
            <w:gridSpan w:val="6"/>
            <w:shd w:val="clear" w:color="auto" w:fill="auto"/>
            <w:vAlign w:val="center"/>
          </w:tcPr>
          <w:p w:rsidR="007D58D5" w:rsidRPr="0097324B" w:rsidRDefault="007D58D5" w:rsidP="00A17EC3">
            <w:pPr>
              <w:widowControl w:val="0"/>
              <w:rPr>
                <w:rFonts w:ascii="Arial Narrow" w:hAnsi="Arial Narrow"/>
                <w:bCs/>
                <w:i/>
                <w:snapToGrid w:val="0"/>
                <w:sz w:val="18"/>
                <w:szCs w:val="18"/>
              </w:rPr>
            </w:pPr>
            <w:r w:rsidRPr="0097324B">
              <w:rPr>
                <w:rFonts w:ascii="Arial Narrow" w:hAnsi="Arial Narrow"/>
                <w:sz w:val="18"/>
                <w:szCs w:val="18"/>
              </w:rPr>
              <w:t>The treatment must not be in combination with another drug of the same pharmacological class as this drug</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Cs/>
                <w:snapToGrid w:val="0"/>
                <w:sz w:val="18"/>
                <w:szCs w:val="18"/>
              </w:rPr>
            </w:pPr>
          </w:p>
        </w:tc>
        <w:tc>
          <w:tcPr>
            <w:tcW w:w="7654" w:type="dxa"/>
            <w:gridSpan w:val="6"/>
            <w:shd w:val="clear" w:color="auto" w:fill="auto"/>
            <w:vAlign w:val="center"/>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
                <w:bCs/>
                <w:snapToGrid w:val="0"/>
                <w:sz w:val="18"/>
                <w:szCs w:val="18"/>
              </w:rPr>
              <w:t>AND</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
                <w:bCs/>
                <w:snapToGrid w:val="0"/>
                <w:sz w:val="18"/>
                <w:szCs w:val="18"/>
              </w:rPr>
              <w:t>Population criteria:</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rPr>
                <w:rFonts w:ascii="Arial Narrow" w:hAnsi="Arial Narrow"/>
                <w:bCs/>
                <w:snapToGrid w:val="0"/>
                <w:sz w:val="18"/>
                <w:szCs w:val="18"/>
              </w:rPr>
            </w:pPr>
            <w:r w:rsidRPr="0097324B">
              <w:rPr>
                <w:rFonts w:ascii="Arial Narrow" w:hAnsi="Arial Narrow"/>
                <w:bCs/>
                <w:snapToGrid w:val="0"/>
                <w:sz w:val="18"/>
                <w:szCs w:val="18"/>
              </w:rPr>
              <w:t>Patient must not be premenopausal</w:t>
            </w:r>
          </w:p>
        </w:tc>
      </w:tr>
      <w:tr w:rsidR="007D58D5" w:rsidRPr="0097324B" w:rsidTr="00A17EC3">
        <w:tblPrEx>
          <w:tblCellMar>
            <w:top w:w="15" w:type="dxa"/>
            <w:left w:w="15" w:type="dxa"/>
            <w:bottom w:w="15" w:type="dxa"/>
            <w:right w:w="15" w:type="dxa"/>
          </w:tblCellMar>
          <w:tblLook w:val="04A0" w:firstRow="1" w:lastRow="0" w:firstColumn="1" w:lastColumn="0" w:noHBand="0" w:noVBand="1"/>
        </w:tblPrEx>
        <w:tc>
          <w:tcPr>
            <w:tcW w:w="9067" w:type="dxa"/>
            <w:gridSpan w:val="8"/>
          </w:tcPr>
          <w:p w:rsidR="007D58D5" w:rsidRPr="0097324B" w:rsidRDefault="007D58D5" w:rsidP="00A17EC3">
            <w:pPr>
              <w:widowControl w:val="0"/>
              <w:ind w:left="57" w:right="57"/>
              <w:rPr>
                <w:rFonts w:ascii="Arial Narrow" w:hAnsi="Arial Narrow"/>
                <w:b/>
                <w:bCs/>
                <w:strike/>
                <w:snapToGrid w:val="0"/>
                <w:sz w:val="18"/>
                <w:szCs w:val="18"/>
              </w:rPr>
            </w:pPr>
          </w:p>
        </w:tc>
      </w:tr>
      <w:tr w:rsidR="007D58D5" w:rsidRPr="0097324B" w:rsidTr="00A17EC3">
        <w:tblPrEx>
          <w:tblCellMar>
            <w:top w:w="15" w:type="dxa"/>
            <w:left w:w="15" w:type="dxa"/>
            <w:bottom w:w="15" w:type="dxa"/>
            <w:right w:w="15" w:type="dxa"/>
          </w:tblCellMar>
          <w:tblLook w:val="04A0" w:firstRow="1" w:lastRow="0" w:firstColumn="1" w:lastColumn="0" w:noHBand="0" w:noVBand="1"/>
        </w:tblPrEx>
        <w:tc>
          <w:tcPr>
            <w:tcW w:w="9067" w:type="dxa"/>
            <w:gridSpan w:val="8"/>
            <w:shd w:val="clear" w:color="auto" w:fill="auto"/>
          </w:tcPr>
          <w:p w:rsidR="007D58D5" w:rsidRPr="0097324B" w:rsidRDefault="007D58D5" w:rsidP="00A17EC3">
            <w:pPr>
              <w:widowControl w:val="0"/>
              <w:ind w:left="57" w:right="57"/>
              <w:rPr>
                <w:rFonts w:ascii="Arial Narrow" w:hAnsi="Arial Narrow"/>
                <w:b/>
                <w:bCs/>
                <w:strike/>
                <w:snapToGrid w:val="0"/>
                <w:sz w:val="18"/>
                <w:szCs w:val="18"/>
              </w:rPr>
            </w:pPr>
            <w:r w:rsidRPr="0097324B">
              <w:rPr>
                <w:rFonts w:ascii="Arial Narrow" w:hAnsi="Arial Narrow"/>
                <w:b/>
                <w:sz w:val="18"/>
                <w:szCs w:val="18"/>
              </w:rPr>
              <w:t>Add Restriction Summary: NEW / ToC: NEW</w:t>
            </w:r>
          </w:p>
        </w:tc>
      </w:tr>
      <w:tr w:rsidR="007D58D5" w:rsidRPr="0097324B" w:rsidTr="009326D3">
        <w:tblPrEx>
          <w:tblCellMar>
            <w:top w:w="15" w:type="dxa"/>
            <w:left w:w="15" w:type="dxa"/>
            <w:bottom w:w="15" w:type="dxa"/>
            <w:right w:w="15" w:type="dxa"/>
          </w:tblCellMar>
        </w:tblPrEx>
        <w:trPr>
          <w:trHeight w:val="158"/>
        </w:trPr>
        <w:tc>
          <w:tcPr>
            <w:tcW w:w="1413" w:type="dxa"/>
            <w:gridSpan w:val="2"/>
            <w:vMerge w:val="restart"/>
            <w:shd w:val="clear" w:color="auto" w:fill="auto"/>
            <w:vAlign w:val="center"/>
          </w:tcPr>
          <w:p w:rsidR="007D58D5" w:rsidRPr="0097324B" w:rsidRDefault="007D58D5" w:rsidP="00A17EC3">
            <w:pPr>
              <w:widowControl w:val="0"/>
              <w:jc w:val="center"/>
              <w:rPr>
                <w:rFonts w:ascii="Arial Narrow" w:hAnsi="Arial Narrow"/>
                <w:b/>
                <w:bCs/>
                <w:snapToGrid w:val="0"/>
                <w:sz w:val="18"/>
                <w:szCs w:val="18"/>
              </w:rPr>
            </w:pPr>
            <w:r w:rsidRPr="0097324B">
              <w:rPr>
                <w:rFonts w:ascii="Arial Narrow" w:hAnsi="Arial Narrow"/>
                <w:b/>
                <w:bCs/>
                <w:snapToGrid w:val="0"/>
                <w:sz w:val="18"/>
                <w:szCs w:val="18"/>
              </w:rPr>
              <w:t>Concept ID</w:t>
            </w:r>
          </w:p>
          <w:p w:rsidR="007D58D5" w:rsidRPr="0097324B" w:rsidRDefault="007D58D5" w:rsidP="00A17EC3">
            <w:pPr>
              <w:ind w:left="57"/>
              <w:jc w:val="center"/>
              <w:rPr>
                <w:rFonts w:ascii="Arial Narrow" w:hAnsi="Arial Narrow"/>
                <w:b/>
                <w:sz w:val="18"/>
                <w:szCs w:val="18"/>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Pr>
          <w:p w:rsidR="007D58D5" w:rsidRPr="0097324B" w:rsidRDefault="007D58D5" w:rsidP="00A17EC3">
            <w:pPr>
              <w:ind w:left="57"/>
              <w:rPr>
                <w:rFonts w:ascii="Arial Narrow" w:hAnsi="Arial Narrow"/>
                <w:sz w:val="18"/>
                <w:szCs w:val="18"/>
              </w:rPr>
            </w:pPr>
            <w:r w:rsidRPr="0097324B">
              <w:rPr>
                <w:rFonts w:ascii="Arial Narrow" w:hAnsi="Arial Narrow"/>
                <w:b/>
                <w:sz w:val="18"/>
                <w:szCs w:val="18"/>
              </w:rPr>
              <w:t xml:space="preserve">Category / Program:   </w:t>
            </w:r>
            <w:r w:rsidRPr="0097324B">
              <w:rPr>
                <w:rFonts w:ascii="Arial Narrow" w:hAnsi="Arial Narrow"/>
                <w:sz w:val="18"/>
                <w:szCs w:val="18"/>
              </w:rPr>
              <w:t xml:space="preserve">GENERAL – General Schedule (Code GE) </w:t>
            </w:r>
          </w:p>
        </w:tc>
      </w:tr>
      <w:tr w:rsidR="007D58D5" w:rsidRPr="0097324B" w:rsidTr="00A17EC3">
        <w:tblPrEx>
          <w:tblCellMar>
            <w:top w:w="15" w:type="dxa"/>
            <w:left w:w="15" w:type="dxa"/>
            <w:bottom w:w="15" w:type="dxa"/>
            <w:right w:w="15" w:type="dxa"/>
          </w:tblCellMar>
        </w:tblPrEx>
        <w:tc>
          <w:tcPr>
            <w:tcW w:w="1413" w:type="dxa"/>
            <w:gridSpan w:val="2"/>
            <w:vMerge/>
            <w:shd w:val="clear" w:color="auto" w:fill="auto"/>
            <w:vAlign w:val="center"/>
          </w:tcPr>
          <w:p w:rsidR="007D58D5" w:rsidRPr="0097324B" w:rsidRDefault="007D58D5" w:rsidP="00A17EC3">
            <w:pPr>
              <w:widowControl w:val="0"/>
              <w:ind w:left="57"/>
              <w:rPr>
                <w:rFonts w:ascii="Arial Narrow" w:hAnsi="Arial Narrow"/>
                <w:b/>
                <w:sz w:val="18"/>
                <w:szCs w:val="18"/>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Pr>
          <w:p w:rsidR="007D58D5" w:rsidRPr="0097324B" w:rsidRDefault="007D58D5" w:rsidP="00A17EC3">
            <w:pPr>
              <w:widowControl w:val="0"/>
              <w:ind w:left="57"/>
              <w:rPr>
                <w:rFonts w:ascii="Arial Narrow" w:hAnsi="Arial Narrow"/>
                <w:b/>
                <w:bCs/>
                <w:snapToGrid w:val="0"/>
                <w:sz w:val="18"/>
                <w:szCs w:val="18"/>
              </w:rPr>
            </w:pPr>
            <w:r w:rsidRPr="0097324B">
              <w:rPr>
                <w:rFonts w:ascii="Arial Narrow" w:hAnsi="Arial Narrow"/>
                <w:b/>
                <w:sz w:val="18"/>
                <w:szCs w:val="18"/>
              </w:rPr>
              <w:t xml:space="preserve">Prescriber type:   </w:t>
            </w:r>
            <w:r w:rsidRPr="0097324B">
              <w:rPr>
                <w:rFonts w:ascii="Arial Narrow" w:hAnsi="Arial Narrow"/>
                <w:sz w:val="18"/>
                <w:szCs w:val="18"/>
              </w:rPr>
              <w:fldChar w:fldCharType="begin">
                <w:ffData>
                  <w:name w:val=""/>
                  <w:enabled/>
                  <w:calcOnExit w:val="0"/>
                  <w:checkBox>
                    <w:sizeAuto/>
                    <w:default w:val="1"/>
                  </w:checkBox>
                </w:ffData>
              </w:fldChar>
            </w:r>
            <w:r w:rsidRPr="0097324B">
              <w:rPr>
                <w:rFonts w:ascii="Arial Narrow" w:hAnsi="Arial Narrow"/>
                <w:sz w:val="18"/>
                <w:szCs w:val="18"/>
              </w:rPr>
              <w:instrText xml:space="preserve"> FORMCHECKBOX </w:instrText>
            </w:r>
            <w:r w:rsidR="00BE74BF">
              <w:rPr>
                <w:rFonts w:ascii="Arial Narrow" w:hAnsi="Arial Narrow"/>
                <w:sz w:val="18"/>
                <w:szCs w:val="18"/>
              </w:rPr>
            </w:r>
            <w:r w:rsidR="00BE74BF">
              <w:rPr>
                <w:rFonts w:ascii="Arial Narrow" w:hAnsi="Arial Narrow"/>
                <w:sz w:val="18"/>
                <w:szCs w:val="18"/>
              </w:rPr>
              <w:fldChar w:fldCharType="separate"/>
            </w:r>
            <w:r w:rsidRPr="0097324B">
              <w:rPr>
                <w:rFonts w:ascii="Arial Narrow" w:hAnsi="Arial Narrow"/>
                <w:sz w:val="18"/>
                <w:szCs w:val="18"/>
              </w:rPr>
              <w:fldChar w:fldCharType="end"/>
            </w:r>
            <w:r w:rsidRPr="0097324B">
              <w:rPr>
                <w:rFonts w:ascii="Arial Narrow" w:hAnsi="Arial Narrow"/>
                <w:sz w:val="18"/>
                <w:szCs w:val="18"/>
              </w:rPr>
              <w:t xml:space="preserve"> Medical Practitioners    </w:t>
            </w:r>
          </w:p>
        </w:tc>
      </w:tr>
      <w:tr w:rsidR="007D58D5" w:rsidRPr="0097324B" w:rsidTr="00A17EC3">
        <w:tblPrEx>
          <w:tblCellMar>
            <w:top w:w="15" w:type="dxa"/>
            <w:left w:w="15" w:type="dxa"/>
            <w:bottom w:w="15" w:type="dxa"/>
            <w:right w:w="15" w:type="dxa"/>
          </w:tblCellMar>
        </w:tblPrEx>
        <w:trPr>
          <w:trHeight w:val="194"/>
        </w:trPr>
        <w:tc>
          <w:tcPr>
            <w:tcW w:w="1413" w:type="dxa"/>
            <w:gridSpan w:val="2"/>
            <w:vMerge/>
            <w:shd w:val="clear" w:color="auto" w:fill="auto"/>
            <w:vAlign w:val="center"/>
          </w:tcPr>
          <w:p w:rsidR="007D58D5" w:rsidRPr="0097324B" w:rsidRDefault="007D58D5" w:rsidP="00A17EC3">
            <w:pPr>
              <w:ind w:left="57"/>
              <w:rPr>
                <w:rFonts w:ascii="Arial Narrow" w:hAnsi="Arial Narrow"/>
                <w:b/>
                <w:sz w:val="18"/>
                <w:szCs w:val="18"/>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Pr>
          <w:p w:rsidR="007D58D5" w:rsidRPr="0097324B" w:rsidRDefault="007D58D5" w:rsidP="00A17EC3">
            <w:pPr>
              <w:ind w:left="57"/>
              <w:rPr>
                <w:rFonts w:ascii="Arial Narrow" w:hAnsi="Arial Narrow"/>
                <w:b/>
                <w:sz w:val="18"/>
                <w:szCs w:val="18"/>
              </w:rPr>
            </w:pPr>
            <w:r w:rsidRPr="0097324B">
              <w:rPr>
                <w:rFonts w:ascii="Arial Narrow" w:hAnsi="Arial Narrow"/>
                <w:b/>
                <w:sz w:val="18"/>
                <w:szCs w:val="18"/>
              </w:rPr>
              <w:t xml:space="preserve">Restriction type: </w:t>
            </w:r>
            <w:r w:rsidRPr="0097324B">
              <w:rPr>
                <w:rFonts w:ascii="Arial Narrow" w:eastAsia="Calibri" w:hAnsi="Arial Narrow"/>
                <w:sz w:val="18"/>
                <w:szCs w:val="18"/>
              </w:rPr>
              <w:fldChar w:fldCharType="begin">
                <w:ffData>
                  <w:name w:val="Check3"/>
                  <w:enabled/>
                  <w:calcOnExit w:val="0"/>
                  <w:checkBox>
                    <w:sizeAuto/>
                    <w:default w:val="1"/>
                  </w:checkBox>
                </w:ffData>
              </w:fldChar>
            </w:r>
            <w:r w:rsidRPr="0097324B">
              <w:rPr>
                <w:rFonts w:ascii="Arial Narrow" w:eastAsia="Calibri" w:hAnsi="Arial Narrow"/>
                <w:sz w:val="18"/>
                <w:szCs w:val="18"/>
              </w:rPr>
              <w:instrText xml:space="preserve"> FORMCHECKBOX </w:instrText>
            </w:r>
            <w:r w:rsidR="00BE74BF">
              <w:rPr>
                <w:rFonts w:ascii="Arial Narrow" w:eastAsia="Calibri" w:hAnsi="Arial Narrow"/>
                <w:sz w:val="18"/>
                <w:szCs w:val="18"/>
              </w:rPr>
            </w:r>
            <w:r w:rsidR="00BE74BF">
              <w:rPr>
                <w:rFonts w:ascii="Arial Narrow" w:eastAsia="Calibri" w:hAnsi="Arial Narrow"/>
                <w:sz w:val="18"/>
                <w:szCs w:val="18"/>
              </w:rPr>
              <w:fldChar w:fldCharType="separate"/>
            </w:r>
            <w:r w:rsidRPr="0097324B">
              <w:rPr>
                <w:rFonts w:ascii="Arial Narrow" w:eastAsia="Calibri" w:hAnsi="Arial Narrow"/>
                <w:sz w:val="18"/>
                <w:szCs w:val="18"/>
              </w:rPr>
              <w:fldChar w:fldCharType="end"/>
            </w:r>
            <w:r w:rsidRPr="0097324B">
              <w:rPr>
                <w:rFonts w:ascii="Arial Narrow" w:eastAsia="Calibri" w:hAnsi="Arial Narrow"/>
                <w:sz w:val="18"/>
                <w:szCs w:val="18"/>
              </w:rPr>
              <w:t xml:space="preserve"> Authority Required – immediate/real time assessment by Services Australia </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Indication:</w:t>
            </w:r>
            <w:r w:rsidRPr="0097324B">
              <w:rPr>
                <w:rFonts w:ascii="Arial Narrow" w:hAnsi="Arial Narrow"/>
                <w:bCs/>
                <w:snapToGrid w:val="0"/>
                <w:sz w:val="18"/>
                <w:szCs w:val="18"/>
              </w:rPr>
              <w:t xml:space="preserve"> Locally advanced or metastatic breast cancer</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Treatment Phase:</w:t>
            </w:r>
            <w:r w:rsidRPr="0097324B">
              <w:rPr>
                <w:rFonts w:ascii="Arial Narrow" w:hAnsi="Arial Narrow"/>
                <w:bCs/>
                <w:snapToGrid w:val="0"/>
                <w:sz w:val="18"/>
                <w:szCs w:val="18"/>
              </w:rPr>
              <w:t xml:space="preserve"> Transitioning from non-PBS to PBS-subsidised supply  - ‘Grandfather’ arrangements</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
                <w:bCs/>
                <w:snapToGrid w:val="0"/>
                <w:sz w:val="18"/>
                <w:szCs w:val="18"/>
              </w:rPr>
            </w:pPr>
          </w:p>
        </w:tc>
        <w:tc>
          <w:tcPr>
            <w:tcW w:w="7654" w:type="dxa"/>
            <w:gridSpan w:val="6"/>
            <w:shd w:val="clear" w:color="auto" w:fill="auto"/>
            <w:vAlign w:val="center"/>
          </w:tcPr>
          <w:p w:rsidR="007D58D5" w:rsidRPr="0097324B" w:rsidRDefault="007D58D5" w:rsidP="00A17EC3">
            <w:pPr>
              <w:widowControl w:val="0"/>
              <w:ind w:left="57"/>
              <w:rPr>
                <w:rFonts w:ascii="Arial Narrow" w:hAnsi="Arial Narrow"/>
                <w:b/>
                <w:bCs/>
                <w:snapToGrid w:val="0"/>
                <w:sz w:val="18"/>
                <w:szCs w:val="18"/>
              </w:rPr>
            </w:pPr>
            <w:r w:rsidRPr="0097324B">
              <w:rPr>
                <w:rFonts w:ascii="Arial Narrow" w:hAnsi="Arial Narrow"/>
                <w:b/>
                <w:bCs/>
                <w:snapToGrid w:val="0"/>
                <w:sz w:val="18"/>
                <w:szCs w:val="18"/>
              </w:rPr>
              <w:t>Clinical criteria:</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Cs/>
                <w:snapToGrid w:val="0"/>
                <w:sz w:val="18"/>
                <w:szCs w:val="18"/>
              </w:rPr>
            </w:pPr>
          </w:p>
        </w:tc>
        <w:tc>
          <w:tcPr>
            <w:tcW w:w="7654" w:type="dxa"/>
            <w:gridSpan w:val="6"/>
            <w:shd w:val="clear" w:color="auto" w:fill="auto"/>
            <w:vAlign w:val="center"/>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Cs/>
                <w:snapToGrid w:val="0"/>
                <w:sz w:val="18"/>
                <w:szCs w:val="18"/>
              </w:rPr>
              <w:t>Patient must have received treatment with this drug for this PBS-indication prior to [insert date of PBS listing]</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
                <w:bCs/>
                <w:snapToGrid w:val="0"/>
                <w:sz w:val="18"/>
                <w:szCs w:val="18"/>
              </w:rPr>
            </w:pPr>
          </w:p>
        </w:tc>
        <w:tc>
          <w:tcPr>
            <w:tcW w:w="7654" w:type="dxa"/>
            <w:gridSpan w:val="6"/>
            <w:shd w:val="clear" w:color="auto" w:fill="auto"/>
            <w:vAlign w:val="center"/>
          </w:tcPr>
          <w:p w:rsidR="007D58D5" w:rsidRPr="0097324B" w:rsidRDefault="007D58D5" w:rsidP="00A17EC3">
            <w:pPr>
              <w:widowControl w:val="0"/>
              <w:ind w:left="57"/>
              <w:rPr>
                <w:rFonts w:ascii="Arial Narrow" w:hAnsi="Arial Narrow"/>
                <w:b/>
                <w:bCs/>
                <w:snapToGrid w:val="0"/>
                <w:sz w:val="18"/>
                <w:szCs w:val="18"/>
              </w:rPr>
            </w:pPr>
            <w:r w:rsidRPr="0097324B">
              <w:rPr>
                <w:rFonts w:ascii="Arial Narrow" w:hAnsi="Arial Narrow"/>
                <w:b/>
                <w:bCs/>
                <w:snapToGrid w:val="0"/>
                <w:sz w:val="18"/>
                <w:szCs w:val="18"/>
              </w:rPr>
              <w:t>AND</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
                <w:bCs/>
                <w:snapToGrid w:val="0"/>
                <w:sz w:val="18"/>
                <w:szCs w:val="18"/>
              </w:rPr>
            </w:pPr>
          </w:p>
        </w:tc>
        <w:tc>
          <w:tcPr>
            <w:tcW w:w="7654" w:type="dxa"/>
            <w:gridSpan w:val="6"/>
            <w:shd w:val="clear" w:color="auto" w:fill="auto"/>
            <w:vAlign w:val="center"/>
          </w:tcPr>
          <w:p w:rsidR="007D58D5" w:rsidRPr="0097324B" w:rsidRDefault="007D58D5" w:rsidP="00A17EC3">
            <w:pPr>
              <w:widowControl w:val="0"/>
              <w:ind w:left="57"/>
              <w:rPr>
                <w:rFonts w:ascii="Arial Narrow" w:hAnsi="Arial Narrow"/>
                <w:b/>
                <w:bCs/>
                <w:snapToGrid w:val="0"/>
                <w:sz w:val="18"/>
                <w:szCs w:val="18"/>
              </w:rPr>
            </w:pPr>
            <w:r w:rsidRPr="0097324B">
              <w:rPr>
                <w:rFonts w:ascii="Arial Narrow" w:hAnsi="Arial Narrow"/>
                <w:b/>
                <w:bCs/>
                <w:snapToGrid w:val="0"/>
                <w:sz w:val="18"/>
                <w:szCs w:val="18"/>
              </w:rPr>
              <w:t>Clinical criteria:</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Cs/>
                <w:snapToGrid w:val="0"/>
                <w:sz w:val="18"/>
                <w:szCs w:val="18"/>
              </w:rPr>
            </w:pPr>
          </w:p>
        </w:tc>
        <w:tc>
          <w:tcPr>
            <w:tcW w:w="7654" w:type="dxa"/>
            <w:gridSpan w:val="6"/>
            <w:shd w:val="clear" w:color="auto" w:fill="auto"/>
            <w:vAlign w:val="center"/>
          </w:tcPr>
          <w:p w:rsidR="007D58D5" w:rsidRPr="0097324B" w:rsidRDefault="007D58D5" w:rsidP="00A17EC3">
            <w:pPr>
              <w:widowControl w:val="0"/>
              <w:ind w:left="57"/>
              <w:rPr>
                <w:rFonts w:ascii="Arial Narrow" w:hAnsi="Arial Narrow"/>
                <w:b/>
                <w:bCs/>
                <w:snapToGrid w:val="0"/>
                <w:sz w:val="18"/>
                <w:szCs w:val="18"/>
              </w:rPr>
            </w:pPr>
            <w:r w:rsidRPr="0097324B">
              <w:rPr>
                <w:rFonts w:ascii="Arial Narrow" w:hAnsi="Arial Narrow"/>
                <w:bCs/>
                <w:snapToGrid w:val="0"/>
                <w:sz w:val="18"/>
                <w:szCs w:val="18"/>
              </w:rPr>
              <w:t>Patient must not have developed disease progression while being treated with this drug for this condition</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
                <w:bCs/>
                <w:snapToGrid w:val="0"/>
                <w:sz w:val="18"/>
                <w:szCs w:val="18"/>
              </w:rPr>
            </w:pPr>
          </w:p>
        </w:tc>
        <w:tc>
          <w:tcPr>
            <w:tcW w:w="7654" w:type="dxa"/>
            <w:gridSpan w:val="6"/>
            <w:shd w:val="clear" w:color="auto" w:fill="auto"/>
            <w:vAlign w:val="center"/>
          </w:tcPr>
          <w:p w:rsidR="007D58D5" w:rsidRPr="0097324B" w:rsidRDefault="007D58D5" w:rsidP="00A17EC3">
            <w:pPr>
              <w:widowControl w:val="0"/>
              <w:ind w:left="57"/>
              <w:rPr>
                <w:rFonts w:ascii="Arial Narrow" w:hAnsi="Arial Narrow"/>
                <w:b/>
                <w:bCs/>
                <w:snapToGrid w:val="0"/>
                <w:sz w:val="18"/>
                <w:szCs w:val="18"/>
              </w:rPr>
            </w:pPr>
            <w:r w:rsidRPr="0097324B">
              <w:rPr>
                <w:rFonts w:ascii="Arial Narrow" w:hAnsi="Arial Narrow"/>
                <w:b/>
                <w:bCs/>
                <w:snapToGrid w:val="0"/>
                <w:sz w:val="18"/>
                <w:szCs w:val="18"/>
              </w:rPr>
              <w:t>AND</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Cs/>
                <w:snapToGrid w:val="0"/>
                <w:sz w:val="18"/>
                <w:szCs w:val="18"/>
              </w:rPr>
            </w:pPr>
          </w:p>
        </w:tc>
        <w:tc>
          <w:tcPr>
            <w:tcW w:w="7654" w:type="dxa"/>
            <w:gridSpan w:val="6"/>
            <w:shd w:val="clear" w:color="auto" w:fill="auto"/>
            <w:vAlign w:val="center"/>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Cs/>
                <w:snapToGrid w:val="0"/>
                <w:sz w:val="18"/>
                <w:szCs w:val="18"/>
              </w:rPr>
              <w:t>Patient must have been untreated with each of: (i) abemaciclib, (ii) palbociclib, (iii) ribociclib, at the time non-PBS supply was initiated; or</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Cs/>
                <w:snapToGrid w:val="0"/>
                <w:sz w:val="18"/>
                <w:szCs w:val="18"/>
              </w:rPr>
              <w:t>Patient must have developed an intolerance to at least one of the above drugs (other than this drug) of a severity necessitating permanent treatment withdrawal</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AND</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Cs/>
                <w:snapToGrid w:val="0"/>
                <w:sz w:val="18"/>
                <w:szCs w:val="18"/>
              </w:rPr>
              <w:t>The condition must be hormone receptor positive</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AND</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Cs/>
                <w:snapToGrid w:val="0"/>
                <w:sz w:val="18"/>
                <w:szCs w:val="18"/>
              </w:rPr>
              <w:t>The condition must be human epidermal growth factor receptor 2 (HER2) negative</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AND</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Cs/>
                <w:snapToGrid w:val="0"/>
                <w:sz w:val="18"/>
                <w:szCs w:val="18"/>
              </w:rPr>
              <w:t>The condition must be inoperable</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AND</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7D58D5" w:rsidRPr="0097324B" w:rsidTr="00A17EC3">
        <w:tblPrEx>
          <w:tblCellMar>
            <w:top w:w="15" w:type="dxa"/>
            <w:left w:w="15" w:type="dxa"/>
            <w:bottom w:w="15" w:type="dxa"/>
            <w:right w:w="15" w:type="dxa"/>
          </w:tblCellMar>
        </w:tblPrEx>
        <w:trPr>
          <w:trHeight w:val="529"/>
        </w:trPr>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Cs/>
                <w:snapToGrid w:val="0"/>
                <w:sz w:val="18"/>
                <w:szCs w:val="18"/>
              </w:rPr>
              <w:t xml:space="preserve">Patient must have had a World Health Organisation (WHO) Eastern Cooperative Oncology Group (ECOG) performance status score no higher than 2 at the time of non-PBS supply was initiated </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AND</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Cs/>
                <w:snapToGrid w:val="0"/>
                <w:sz w:val="18"/>
                <w:szCs w:val="18"/>
              </w:rPr>
            </w:pPr>
          </w:p>
        </w:tc>
        <w:tc>
          <w:tcPr>
            <w:tcW w:w="7654" w:type="dxa"/>
            <w:gridSpan w:val="6"/>
            <w:shd w:val="clear" w:color="auto" w:fill="auto"/>
            <w:vAlign w:val="center"/>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Cs/>
                <w:snapToGrid w:val="0"/>
                <w:sz w:val="18"/>
                <w:szCs w:val="18"/>
              </w:rPr>
              <w:t>The treatment must be in combination with one of: (i) anastrozole, (ii) letrozole, (iii) fulvestrant, where the patient had never been treated with endocrine therapy for advanced/metastatic disease at the time non-PBS supply was initiated; or</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Cs/>
                <w:snapToGrid w:val="0"/>
                <w:sz w:val="18"/>
                <w:szCs w:val="18"/>
              </w:rPr>
            </w:pPr>
          </w:p>
        </w:tc>
        <w:tc>
          <w:tcPr>
            <w:tcW w:w="7654" w:type="dxa"/>
            <w:gridSpan w:val="6"/>
            <w:shd w:val="clear" w:color="auto" w:fill="auto"/>
            <w:vAlign w:val="center"/>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Cs/>
                <w:snapToGrid w:val="0"/>
                <w:sz w:val="18"/>
                <w:szCs w:val="18"/>
              </w:rPr>
              <w:t>The treatment must be in combination with fulvestrant only, where at the time non-PBS supply was initiated, the patient had recurrent/progressive disease despite being treated with endocrine therapy for advanced/metastatic disease</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AND</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Clinical criteria:</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jc w:val="center"/>
              <w:rPr>
                <w:rFonts w:ascii="Arial Narrow" w:hAnsi="Arial Narrow"/>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ind w:left="57"/>
              <w:rPr>
                <w:rFonts w:ascii="Arial Narrow" w:hAnsi="Arial Narrow"/>
                <w:bCs/>
                <w:i/>
                <w:snapToGrid w:val="0"/>
                <w:sz w:val="18"/>
                <w:szCs w:val="18"/>
              </w:rPr>
            </w:pPr>
            <w:r w:rsidRPr="0097324B">
              <w:rPr>
                <w:rFonts w:ascii="Arial Narrow" w:hAnsi="Arial Narrow"/>
                <w:sz w:val="18"/>
                <w:szCs w:val="18"/>
              </w:rPr>
              <w:t>The treatment must not be in combination with another drug of the same pharmacological class as this drug</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Cs/>
                <w:snapToGrid w:val="0"/>
                <w:sz w:val="18"/>
                <w:szCs w:val="18"/>
              </w:rPr>
            </w:pPr>
          </w:p>
        </w:tc>
        <w:tc>
          <w:tcPr>
            <w:tcW w:w="7654" w:type="dxa"/>
            <w:gridSpan w:val="6"/>
            <w:shd w:val="clear" w:color="auto" w:fill="auto"/>
            <w:vAlign w:val="center"/>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AND</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Population criteria:</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Cs/>
                <w:snapToGrid w:val="0"/>
                <w:sz w:val="18"/>
                <w:szCs w:val="18"/>
              </w:rPr>
            </w:pPr>
          </w:p>
        </w:tc>
        <w:tc>
          <w:tcPr>
            <w:tcW w:w="7654" w:type="dxa"/>
            <w:gridSpan w:val="6"/>
            <w:shd w:val="clear" w:color="auto" w:fill="auto"/>
            <w:vAlign w:val="center"/>
            <w:hideMark/>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Cs/>
                <w:snapToGrid w:val="0"/>
                <w:sz w:val="18"/>
                <w:szCs w:val="18"/>
              </w:rPr>
              <w:t>Patient must not be premenopausal</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
                <w:bCs/>
                <w:snapToGrid w:val="0"/>
                <w:sz w:val="18"/>
                <w:szCs w:val="18"/>
              </w:rPr>
            </w:pPr>
          </w:p>
        </w:tc>
        <w:tc>
          <w:tcPr>
            <w:tcW w:w="7654" w:type="dxa"/>
            <w:gridSpan w:val="6"/>
            <w:shd w:val="clear" w:color="auto" w:fill="auto"/>
            <w:vAlign w:val="center"/>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Administrative Advice:</w:t>
            </w:r>
            <w:r w:rsidRPr="0097324B">
              <w:rPr>
                <w:rFonts w:ascii="Arial Narrow" w:hAnsi="Arial Narrow"/>
                <w:bCs/>
                <w:snapToGrid w:val="0"/>
                <w:sz w:val="18"/>
                <w:szCs w:val="18"/>
              </w:rPr>
              <w:t xml:space="preserve"> Patients may qualify for PBS-subsidised treatment under this restriction once only. For continuing PBS-subsidised treatment, a 'Grandfathered' patient must qualify under the 'Continuing treatment' criteria.</w:t>
            </w:r>
          </w:p>
        </w:tc>
      </w:tr>
      <w:tr w:rsidR="007D58D5" w:rsidRPr="0097324B" w:rsidTr="00A17EC3">
        <w:tblPrEx>
          <w:tblCellMar>
            <w:top w:w="15" w:type="dxa"/>
            <w:left w:w="15" w:type="dxa"/>
            <w:bottom w:w="15" w:type="dxa"/>
            <w:right w:w="15" w:type="dxa"/>
          </w:tblCellMar>
        </w:tblPrEx>
        <w:tc>
          <w:tcPr>
            <w:tcW w:w="1413" w:type="dxa"/>
            <w:gridSpan w:val="2"/>
            <w:shd w:val="clear" w:color="auto" w:fill="auto"/>
            <w:vAlign w:val="center"/>
          </w:tcPr>
          <w:p w:rsidR="007D58D5" w:rsidRPr="0097324B" w:rsidRDefault="007D58D5" w:rsidP="00A17EC3">
            <w:pPr>
              <w:widowControl w:val="0"/>
              <w:ind w:left="57"/>
              <w:jc w:val="center"/>
              <w:rPr>
                <w:rFonts w:ascii="Arial Narrow" w:hAnsi="Arial Narrow"/>
                <w:b/>
                <w:bCs/>
                <w:snapToGrid w:val="0"/>
                <w:sz w:val="18"/>
                <w:szCs w:val="18"/>
              </w:rPr>
            </w:pPr>
          </w:p>
        </w:tc>
        <w:tc>
          <w:tcPr>
            <w:tcW w:w="7654" w:type="dxa"/>
            <w:gridSpan w:val="6"/>
            <w:shd w:val="clear" w:color="auto" w:fill="auto"/>
            <w:vAlign w:val="center"/>
          </w:tcPr>
          <w:p w:rsidR="007D58D5" w:rsidRPr="0097324B" w:rsidRDefault="007D58D5" w:rsidP="00A17EC3">
            <w:pPr>
              <w:widowControl w:val="0"/>
              <w:ind w:left="57"/>
              <w:rPr>
                <w:rFonts w:ascii="Arial Narrow" w:hAnsi="Arial Narrow"/>
                <w:bCs/>
                <w:snapToGrid w:val="0"/>
                <w:sz w:val="18"/>
                <w:szCs w:val="18"/>
              </w:rPr>
            </w:pPr>
            <w:r w:rsidRPr="0097324B">
              <w:rPr>
                <w:rFonts w:ascii="Arial Narrow" w:hAnsi="Arial Narrow"/>
                <w:b/>
                <w:bCs/>
                <w:snapToGrid w:val="0"/>
                <w:sz w:val="18"/>
                <w:szCs w:val="18"/>
              </w:rPr>
              <w:t>Administrative Advice:</w:t>
            </w:r>
            <w:r w:rsidRPr="0097324B">
              <w:rPr>
                <w:rFonts w:ascii="Arial Narrow" w:hAnsi="Arial Narrow"/>
                <w:bCs/>
                <w:snapToGrid w:val="0"/>
                <w:sz w:val="18"/>
                <w:szCs w:val="18"/>
              </w:rPr>
              <w:t xml:space="preserve"> This grandfather restriction will cease to operate from 12 months after the date specified in the clinical criteria.</w:t>
            </w:r>
          </w:p>
        </w:tc>
      </w:tr>
      <w:bookmarkEnd w:id="27"/>
    </w:tbl>
    <w:p w:rsidR="00F71A3C" w:rsidRDefault="00F71A3C" w:rsidP="00041D71">
      <w:pPr>
        <w:pStyle w:val="3-BodyText"/>
        <w:numPr>
          <w:ilvl w:val="0"/>
          <w:numId w:val="0"/>
        </w:numPr>
        <w:ind w:left="720" w:hanging="720"/>
      </w:pPr>
    </w:p>
    <w:p w:rsidR="00D61AB0" w:rsidRDefault="00D61AB0" w:rsidP="00D61AB0">
      <w:pPr>
        <w:pStyle w:val="3-BodyText"/>
        <w:numPr>
          <w:ilvl w:val="0"/>
          <w:numId w:val="0"/>
        </w:numPr>
        <w:rPr>
          <w:b/>
          <w:i/>
        </w:rPr>
      </w:pPr>
      <w:r w:rsidRPr="00D61AB0">
        <w:rPr>
          <w:b/>
          <w:i/>
        </w:rPr>
        <w:lastRenderedPageBreak/>
        <w:t>This restriction may be subject to further review. Should there be any changes made to the restriction the Sponsor will be informed.</w:t>
      </w:r>
    </w:p>
    <w:p w:rsidR="004B35FB" w:rsidRDefault="004B35FB" w:rsidP="004B35FB">
      <w:pPr>
        <w:keepNext/>
        <w:widowControl w:val="0"/>
        <w:numPr>
          <w:ilvl w:val="0"/>
          <w:numId w:val="1"/>
        </w:numPr>
        <w:spacing w:before="240" w:after="120"/>
        <w:outlineLvl w:val="0"/>
        <w:rPr>
          <w:bCs/>
          <w:lang w:val="en-GB"/>
        </w:rPr>
      </w:pPr>
      <w:r w:rsidRPr="004B35FB">
        <w:rPr>
          <w:rFonts w:asciiTheme="minorHAnsi" w:hAnsiTheme="minorHAnsi"/>
          <w:b/>
          <w:bCs/>
          <w:snapToGrid w:val="0"/>
          <w:sz w:val="32"/>
        </w:rPr>
        <w:t>Context for Decision</w:t>
      </w:r>
    </w:p>
    <w:p w:rsidR="004B35FB" w:rsidRPr="007129F2" w:rsidRDefault="004B35FB" w:rsidP="004B35FB">
      <w:pPr>
        <w:spacing w:after="120"/>
        <w:ind w:left="426"/>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4B35FB" w:rsidRPr="004B35FB" w:rsidRDefault="004B35FB" w:rsidP="004B35FB">
      <w:pPr>
        <w:keepNext/>
        <w:widowControl w:val="0"/>
        <w:numPr>
          <w:ilvl w:val="0"/>
          <w:numId w:val="1"/>
        </w:numPr>
        <w:spacing w:before="240" w:after="120"/>
        <w:outlineLvl w:val="0"/>
        <w:rPr>
          <w:rFonts w:asciiTheme="minorHAnsi" w:hAnsiTheme="minorHAnsi"/>
          <w:b/>
          <w:bCs/>
          <w:snapToGrid w:val="0"/>
          <w:sz w:val="32"/>
        </w:rPr>
      </w:pPr>
      <w:r w:rsidRPr="004B35FB">
        <w:rPr>
          <w:rFonts w:asciiTheme="minorHAnsi" w:hAnsiTheme="minorHAnsi"/>
          <w:b/>
          <w:bCs/>
          <w:snapToGrid w:val="0"/>
          <w:sz w:val="32"/>
        </w:rPr>
        <w:t>Sponsor’s Comment</w:t>
      </w:r>
    </w:p>
    <w:p w:rsidR="004B35FB" w:rsidRPr="001179AC" w:rsidRDefault="004B35FB" w:rsidP="004B35FB">
      <w:pPr>
        <w:spacing w:after="120"/>
        <w:ind w:left="426"/>
        <w:rPr>
          <w:bCs/>
        </w:rPr>
      </w:pPr>
      <w:r w:rsidRPr="00C07617">
        <w:rPr>
          <w:bCs/>
        </w:rPr>
        <w:t>The sponsor had no comment.</w:t>
      </w:r>
    </w:p>
    <w:p w:rsidR="004B35FB" w:rsidRPr="00D61AB0" w:rsidRDefault="004B35FB" w:rsidP="00D61AB0">
      <w:pPr>
        <w:pStyle w:val="3-BodyText"/>
        <w:numPr>
          <w:ilvl w:val="0"/>
          <w:numId w:val="0"/>
        </w:numPr>
        <w:rPr>
          <w:b/>
          <w:i/>
        </w:rPr>
      </w:pPr>
    </w:p>
    <w:sectPr w:rsidR="004B35FB" w:rsidRPr="00D61AB0" w:rsidSect="00251006">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83AE" w16cex:dateUtc="2021-03-30T00:02:00Z"/>
  <w16cex:commentExtensible w16cex:durableId="240D88ED" w16cex:dateUtc="2021-03-30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74CA12" w16cid:durableId="240D83AE"/>
  <w16cid:commentId w16cid:paraId="5387D859" w16cid:durableId="240D7EAA"/>
  <w16cid:commentId w16cid:paraId="1A93F407" w16cid:durableId="240D88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9ED" w:rsidRDefault="000559ED" w:rsidP="00124A51">
      <w:r>
        <w:separator/>
      </w:r>
    </w:p>
    <w:p w:rsidR="000559ED" w:rsidRDefault="000559ED"/>
  </w:endnote>
  <w:endnote w:type="continuationSeparator" w:id="0">
    <w:p w:rsidR="000559ED" w:rsidRDefault="000559ED" w:rsidP="00124A51">
      <w:r>
        <w:continuationSeparator/>
      </w:r>
    </w:p>
    <w:p w:rsidR="000559ED" w:rsidRDefault="000559ED"/>
  </w:endnote>
  <w:endnote w:type="continuationNotice" w:id="1">
    <w:p w:rsidR="000559ED" w:rsidRDefault="00055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9ED" w:rsidRDefault="00055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9ED" w:rsidRDefault="000559ED" w:rsidP="003156C5">
    <w:pPr>
      <w:pStyle w:val="Footer"/>
      <w:jc w:val="center"/>
    </w:pPr>
  </w:p>
  <w:p w:rsidR="000559ED" w:rsidRPr="00B4068C" w:rsidRDefault="000559ED" w:rsidP="00B4068C">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BE74BF">
      <w:rPr>
        <w:b/>
        <w:noProof/>
      </w:rPr>
      <w:t>26</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9ED" w:rsidRDefault="00055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9ED" w:rsidRDefault="000559ED" w:rsidP="00124A51">
      <w:r>
        <w:separator/>
      </w:r>
    </w:p>
    <w:p w:rsidR="000559ED" w:rsidRDefault="000559ED"/>
  </w:footnote>
  <w:footnote w:type="continuationSeparator" w:id="0">
    <w:p w:rsidR="000559ED" w:rsidRDefault="000559ED" w:rsidP="00124A51">
      <w:r>
        <w:continuationSeparator/>
      </w:r>
    </w:p>
    <w:p w:rsidR="000559ED" w:rsidRDefault="000559ED"/>
  </w:footnote>
  <w:footnote w:type="continuationNotice" w:id="1">
    <w:p w:rsidR="000559ED" w:rsidRDefault="000559ED"/>
  </w:footnote>
  <w:footnote w:id="2">
    <w:p w:rsidR="000559ED" w:rsidRDefault="000559ED">
      <w:pPr>
        <w:pStyle w:val="FootnoteText"/>
      </w:pPr>
      <w:r>
        <w:rPr>
          <w:rStyle w:val="FootnoteReference"/>
        </w:rPr>
        <w:footnoteRef/>
      </w:r>
      <w:r>
        <w:t xml:space="preserve"> </w:t>
      </w:r>
      <w:r w:rsidRPr="009F799B">
        <w:rPr>
          <w:rFonts w:asciiTheme="minorHAnsi" w:hAnsiTheme="minorHAnsi"/>
          <w:bCs/>
          <w:snapToGrid w:val="0"/>
        </w:rPr>
        <w:t>Cherny NI, Dafni U, Bogaerts J, et al: ESMO-Magnitude of Clinical Benefit Scale version 1.1. Annals of Oncology 28:2340-2366, 2017]</w:t>
      </w:r>
    </w:p>
  </w:footnote>
  <w:footnote w:id="3">
    <w:p w:rsidR="000559ED" w:rsidRPr="00FC3112" w:rsidRDefault="000559ED" w:rsidP="00064A09">
      <w:pPr>
        <w:pStyle w:val="NormalWeb"/>
        <w:rPr>
          <w:snapToGrid/>
          <w:lang w:val="en-AU" w:eastAsia="en-GB"/>
        </w:rPr>
      </w:pPr>
      <w:r>
        <w:rPr>
          <w:rStyle w:val="FootnoteReference"/>
        </w:rPr>
        <w:footnoteRef/>
      </w:r>
      <w:r>
        <w:t xml:space="preserve"> </w:t>
      </w:r>
      <w:r w:rsidRPr="00FC3112">
        <w:rPr>
          <w:rFonts w:ascii="Calibri" w:hAnsi="Calibri" w:cs="Calibri"/>
          <w:snapToGrid/>
          <w:sz w:val="20"/>
          <w:szCs w:val="20"/>
          <w:lang w:val="en-AU" w:eastAsia="en-GB"/>
        </w:rPr>
        <w:t xml:space="preserve">Tanaka S, Kinjo Y, Kataoka Y et al. Statistical issues and recommendations for non-inferiority trials in oncology: a systematic review. Clin Cancer Res; 18(7); 1837-47. </w:t>
      </w:r>
    </w:p>
    <w:p w:rsidR="000559ED" w:rsidRDefault="000559ED" w:rsidP="00064A0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9ED" w:rsidRDefault="00055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9ED" w:rsidRPr="00056684" w:rsidRDefault="000559ED" w:rsidP="00B4068C">
    <w:pPr>
      <w:pStyle w:val="Header"/>
      <w:ind w:left="360"/>
      <w:rPr>
        <w:rFonts w:asciiTheme="minorHAnsi" w:hAnsiTheme="minorHAnsi"/>
        <w:i/>
        <w:color w:val="808080"/>
      </w:rPr>
    </w:pPr>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March 2021</w:t>
    </w:r>
    <w:r w:rsidRPr="00056684">
      <w:rPr>
        <w:rFonts w:asciiTheme="minorHAnsi" w:hAnsiTheme="minorHAnsi"/>
        <w:i/>
        <w:color w:val="808080"/>
      </w:rPr>
      <w:t xml:space="preserve"> PBAC Meeting</w:t>
    </w:r>
  </w:p>
  <w:p w:rsidR="000559ED" w:rsidRDefault="000559ED" w:rsidP="00B4068C">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9ED" w:rsidRDefault="00055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60AF01E"/>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EF078C"/>
    <w:multiLevelType w:val="hybridMultilevel"/>
    <w:tmpl w:val="8C10CFBA"/>
    <w:lvl w:ilvl="0" w:tplc="0C4E4756">
      <w:start w:val="1"/>
      <w:numFmt w:val="lowerLetter"/>
      <w:pStyle w:val="NormalLetter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9F147C"/>
    <w:multiLevelType w:val="hybridMultilevel"/>
    <w:tmpl w:val="061821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06A4093"/>
    <w:multiLevelType w:val="hybridMultilevel"/>
    <w:tmpl w:val="21D06E12"/>
    <w:lvl w:ilvl="0" w:tplc="203ABEC2">
      <w:start w:val="1"/>
      <w:numFmt w:val="bullet"/>
      <w:lvlText w:val="•"/>
      <w:lvlJc w:val="left"/>
      <w:pPr>
        <w:tabs>
          <w:tab w:val="num" w:pos="720"/>
        </w:tabs>
        <w:ind w:left="720" w:hanging="360"/>
      </w:pPr>
      <w:rPr>
        <w:rFonts w:ascii="Arial" w:hAnsi="Arial" w:hint="default"/>
      </w:rPr>
    </w:lvl>
    <w:lvl w:ilvl="1" w:tplc="C2282604">
      <w:start w:val="1"/>
      <w:numFmt w:val="bullet"/>
      <w:lvlText w:val="•"/>
      <w:lvlJc w:val="left"/>
      <w:pPr>
        <w:tabs>
          <w:tab w:val="num" w:pos="1440"/>
        </w:tabs>
        <w:ind w:left="1440" w:hanging="360"/>
      </w:pPr>
      <w:rPr>
        <w:rFonts w:ascii="Arial" w:hAnsi="Arial" w:hint="default"/>
      </w:rPr>
    </w:lvl>
    <w:lvl w:ilvl="2" w:tplc="AB2C432A" w:tentative="1">
      <w:start w:val="1"/>
      <w:numFmt w:val="bullet"/>
      <w:lvlText w:val="•"/>
      <w:lvlJc w:val="left"/>
      <w:pPr>
        <w:tabs>
          <w:tab w:val="num" w:pos="2160"/>
        </w:tabs>
        <w:ind w:left="2160" w:hanging="360"/>
      </w:pPr>
      <w:rPr>
        <w:rFonts w:ascii="Arial" w:hAnsi="Arial" w:hint="default"/>
      </w:rPr>
    </w:lvl>
    <w:lvl w:ilvl="3" w:tplc="0994F4C0" w:tentative="1">
      <w:start w:val="1"/>
      <w:numFmt w:val="bullet"/>
      <w:lvlText w:val="•"/>
      <w:lvlJc w:val="left"/>
      <w:pPr>
        <w:tabs>
          <w:tab w:val="num" w:pos="2880"/>
        </w:tabs>
        <w:ind w:left="2880" w:hanging="360"/>
      </w:pPr>
      <w:rPr>
        <w:rFonts w:ascii="Arial" w:hAnsi="Arial" w:hint="default"/>
      </w:rPr>
    </w:lvl>
    <w:lvl w:ilvl="4" w:tplc="008AEB8A" w:tentative="1">
      <w:start w:val="1"/>
      <w:numFmt w:val="bullet"/>
      <w:lvlText w:val="•"/>
      <w:lvlJc w:val="left"/>
      <w:pPr>
        <w:tabs>
          <w:tab w:val="num" w:pos="3600"/>
        </w:tabs>
        <w:ind w:left="3600" w:hanging="360"/>
      </w:pPr>
      <w:rPr>
        <w:rFonts w:ascii="Arial" w:hAnsi="Arial" w:hint="default"/>
      </w:rPr>
    </w:lvl>
    <w:lvl w:ilvl="5" w:tplc="AF0CFF78" w:tentative="1">
      <w:start w:val="1"/>
      <w:numFmt w:val="bullet"/>
      <w:lvlText w:val="•"/>
      <w:lvlJc w:val="left"/>
      <w:pPr>
        <w:tabs>
          <w:tab w:val="num" w:pos="4320"/>
        </w:tabs>
        <w:ind w:left="4320" w:hanging="360"/>
      </w:pPr>
      <w:rPr>
        <w:rFonts w:ascii="Arial" w:hAnsi="Arial" w:hint="default"/>
      </w:rPr>
    </w:lvl>
    <w:lvl w:ilvl="6" w:tplc="2EC21616" w:tentative="1">
      <w:start w:val="1"/>
      <w:numFmt w:val="bullet"/>
      <w:lvlText w:val="•"/>
      <w:lvlJc w:val="left"/>
      <w:pPr>
        <w:tabs>
          <w:tab w:val="num" w:pos="5040"/>
        </w:tabs>
        <w:ind w:left="5040" w:hanging="360"/>
      </w:pPr>
      <w:rPr>
        <w:rFonts w:ascii="Arial" w:hAnsi="Arial" w:hint="default"/>
      </w:rPr>
    </w:lvl>
    <w:lvl w:ilvl="7" w:tplc="8E48F7F8" w:tentative="1">
      <w:start w:val="1"/>
      <w:numFmt w:val="bullet"/>
      <w:lvlText w:val="•"/>
      <w:lvlJc w:val="left"/>
      <w:pPr>
        <w:tabs>
          <w:tab w:val="num" w:pos="5760"/>
        </w:tabs>
        <w:ind w:left="5760" w:hanging="360"/>
      </w:pPr>
      <w:rPr>
        <w:rFonts w:ascii="Arial" w:hAnsi="Arial" w:hint="default"/>
      </w:rPr>
    </w:lvl>
    <w:lvl w:ilvl="8" w:tplc="720EFD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060FDD"/>
    <w:multiLevelType w:val="hybridMultilevel"/>
    <w:tmpl w:val="73A05F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5E2ABD"/>
    <w:multiLevelType w:val="hybridMultilevel"/>
    <w:tmpl w:val="7B20D8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34A063A"/>
    <w:multiLevelType w:val="hybridMultilevel"/>
    <w:tmpl w:val="4A948E22"/>
    <w:lvl w:ilvl="0" w:tplc="48203FE6">
      <w:start w:val="1"/>
      <w:numFmt w:val="bullet"/>
      <w:lvlText w:val=""/>
      <w:lvlJc w:val="left"/>
      <w:pPr>
        <w:ind w:left="829" w:hanging="360"/>
      </w:pPr>
      <w:rPr>
        <w:rFonts w:ascii="Symbol" w:hAnsi="Symbol" w:hint="default"/>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A63DA2"/>
    <w:multiLevelType w:val="hybridMultilevel"/>
    <w:tmpl w:val="EF9CE8FC"/>
    <w:lvl w:ilvl="0" w:tplc="AD2022C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0B6ECC"/>
    <w:multiLevelType w:val="hybridMultilevel"/>
    <w:tmpl w:val="433EFFD0"/>
    <w:lvl w:ilvl="0" w:tplc="DEFAC1A4">
      <w:start w:val="1"/>
      <w:numFmt w:val="bullet"/>
      <w:pStyle w:val="NormalBulletList"/>
      <w:lvlText w:val=""/>
      <w:lvlJc w:val="left"/>
      <w:pPr>
        <w:ind w:left="720" w:hanging="360"/>
      </w:pPr>
      <w:rPr>
        <w:rFonts w:ascii="Symbol" w:hAnsi="Symbol" w:hint="default"/>
      </w:rPr>
    </w:lvl>
    <w:lvl w:ilvl="1" w:tplc="853CC43C">
      <w:start w:val="1"/>
      <w:numFmt w:val="bullet"/>
      <w:pStyle w:val="NormalBulletList2"/>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20A79"/>
    <w:multiLevelType w:val="hybridMultilevel"/>
    <w:tmpl w:val="4BFA299E"/>
    <w:lvl w:ilvl="0" w:tplc="0A4C882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BC6808"/>
    <w:multiLevelType w:val="hybridMultilevel"/>
    <w:tmpl w:val="E85A5904"/>
    <w:lvl w:ilvl="0" w:tplc="A218E272">
      <w:start w:val="7"/>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A32444"/>
    <w:multiLevelType w:val="hybridMultilevel"/>
    <w:tmpl w:val="DFBCEB48"/>
    <w:lvl w:ilvl="0" w:tplc="C862D9CA">
      <w:start w:val="1"/>
      <w:numFmt w:val="bullet"/>
      <w:lvlText w:val="•"/>
      <w:lvlJc w:val="left"/>
      <w:pPr>
        <w:tabs>
          <w:tab w:val="num" w:pos="720"/>
        </w:tabs>
        <w:ind w:left="720" w:hanging="360"/>
      </w:pPr>
      <w:rPr>
        <w:rFonts w:ascii="Arial" w:hAnsi="Arial" w:hint="default"/>
      </w:rPr>
    </w:lvl>
    <w:lvl w:ilvl="1" w:tplc="962EEB66">
      <w:start w:val="1"/>
      <w:numFmt w:val="bullet"/>
      <w:lvlText w:val="•"/>
      <w:lvlJc w:val="left"/>
      <w:pPr>
        <w:tabs>
          <w:tab w:val="num" w:pos="1440"/>
        </w:tabs>
        <w:ind w:left="1440" w:hanging="360"/>
      </w:pPr>
      <w:rPr>
        <w:rFonts w:ascii="Arial" w:hAnsi="Arial" w:hint="default"/>
      </w:rPr>
    </w:lvl>
    <w:lvl w:ilvl="2" w:tplc="40126EBC" w:tentative="1">
      <w:start w:val="1"/>
      <w:numFmt w:val="bullet"/>
      <w:lvlText w:val="•"/>
      <w:lvlJc w:val="left"/>
      <w:pPr>
        <w:tabs>
          <w:tab w:val="num" w:pos="2160"/>
        </w:tabs>
        <w:ind w:left="2160" w:hanging="360"/>
      </w:pPr>
      <w:rPr>
        <w:rFonts w:ascii="Arial" w:hAnsi="Arial" w:hint="default"/>
      </w:rPr>
    </w:lvl>
    <w:lvl w:ilvl="3" w:tplc="92E02B08" w:tentative="1">
      <w:start w:val="1"/>
      <w:numFmt w:val="bullet"/>
      <w:lvlText w:val="•"/>
      <w:lvlJc w:val="left"/>
      <w:pPr>
        <w:tabs>
          <w:tab w:val="num" w:pos="2880"/>
        </w:tabs>
        <w:ind w:left="2880" w:hanging="360"/>
      </w:pPr>
      <w:rPr>
        <w:rFonts w:ascii="Arial" w:hAnsi="Arial" w:hint="default"/>
      </w:rPr>
    </w:lvl>
    <w:lvl w:ilvl="4" w:tplc="39BE96BC" w:tentative="1">
      <w:start w:val="1"/>
      <w:numFmt w:val="bullet"/>
      <w:lvlText w:val="•"/>
      <w:lvlJc w:val="left"/>
      <w:pPr>
        <w:tabs>
          <w:tab w:val="num" w:pos="3600"/>
        </w:tabs>
        <w:ind w:left="3600" w:hanging="360"/>
      </w:pPr>
      <w:rPr>
        <w:rFonts w:ascii="Arial" w:hAnsi="Arial" w:hint="default"/>
      </w:rPr>
    </w:lvl>
    <w:lvl w:ilvl="5" w:tplc="1346BEA2" w:tentative="1">
      <w:start w:val="1"/>
      <w:numFmt w:val="bullet"/>
      <w:lvlText w:val="•"/>
      <w:lvlJc w:val="left"/>
      <w:pPr>
        <w:tabs>
          <w:tab w:val="num" w:pos="4320"/>
        </w:tabs>
        <w:ind w:left="4320" w:hanging="360"/>
      </w:pPr>
      <w:rPr>
        <w:rFonts w:ascii="Arial" w:hAnsi="Arial" w:hint="default"/>
      </w:rPr>
    </w:lvl>
    <w:lvl w:ilvl="6" w:tplc="08C2591E" w:tentative="1">
      <w:start w:val="1"/>
      <w:numFmt w:val="bullet"/>
      <w:lvlText w:val="•"/>
      <w:lvlJc w:val="left"/>
      <w:pPr>
        <w:tabs>
          <w:tab w:val="num" w:pos="5040"/>
        </w:tabs>
        <w:ind w:left="5040" w:hanging="360"/>
      </w:pPr>
      <w:rPr>
        <w:rFonts w:ascii="Arial" w:hAnsi="Arial" w:hint="default"/>
      </w:rPr>
    </w:lvl>
    <w:lvl w:ilvl="7" w:tplc="5330F07A" w:tentative="1">
      <w:start w:val="1"/>
      <w:numFmt w:val="bullet"/>
      <w:lvlText w:val="•"/>
      <w:lvlJc w:val="left"/>
      <w:pPr>
        <w:tabs>
          <w:tab w:val="num" w:pos="5760"/>
        </w:tabs>
        <w:ind w:left="5760" w:hanging="360"/>
      </w:pPr>
      <w:rPr>
        <w:rFonts w:ascii="Arial" w:hAnsi="Arial" w:hint="default"/>
      </w:rPr>
    </w:lvl>
    <w:lvl w:ilvl="8" w:tplc="1AA209E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CEE3388"/>
    <w:multiLevelType w:val="hybridMultilevel"/>
    <w:tmpl w:val="36BAD3B2"/>
    <w:lvl w:ilvl="0" w:tplc="00C26B94">
      <w:start w:val="1"/>
      <w:numFmt w:val="bullet"/>
      <w:lvlText w:val="•"/>
      <w:lvlJc w:val="left"/>
      <w:pPr>
        <w:tabs>
          <w:tab w:val="num" w:pos="720"/>
        </w:tabs>
        <w:ind w:left="720" w:hanging="360"/>
      </w:pPr>
      <w:rPr>
        <w:rFonts w:ascii="Arial" w:hAnsi="Arial" w:hint="default"/>
      </w:rPr>
    </w:lvl>
    <w:lvl w:ilvl="1" w:tplc="77DCBC62">
      <w:start w:val="110"/>
      <w:numFmt w:val="bullet"/>
      <w:lvlText w:val="•"/>
      <w:lvlJc w:val="left"/>
      <w:pPr>
        <w:tabs>
          <w:tab w:val="num" w:pos="1440"/>
        </w:tabs>
        <w:ind w:left="1440" w:hanging="360"/>
      </w:pPr>
      <w:rPr>
        <w:rFonts w:ascii="Arial" w:hAnsi="Arial" w:hint="default"/>
      </w:rPr>
    </w:lvl>
    <w:lvl w:ilvl="2" w:tplc="ADCABA3C" w:tentative="1">
      <w:start w:val="1"/>
      <w:numFmt w:val="bullet"/>
      <w:lvlText w:val="•"/>
      <w:lvlJc w:val="left"/>
      <w:pPr>
        <w:tabs>
          <w:tab w:val="num" w:pos="2160"/>
        </w:tabs>
        <w:ind w:left="2160" w:hanging="360"/>
      </w:pPr>
      <w:rPr>
        <w:rFonts w:ascii="Arial" w:hAnsi="Arial" w:hint="default"/>
      </w:rPr>
    </w:lvl>
    <w:lvl w:ilvl="3" w:tplc="2CB8F00A" w:tentative="1">
      <w:start w:val="1"/>
      <w:numFmt w:val="bullet"/>
      <w:lvlText w:val="•"/>
      <w:lvlJc w:val="left"/>
      <w:pPr>
        <w:tabs>
          <w:tab w:val="num" w:pos="2880"/>
        </w:tabs>
        <w:ind w:left="2880" w:hanging="360"/>
      </w:pPr>
      <w:rPr>
        <w:rFonts w:ascii="Arial" w:hAnsi="Arial" w:hint="default"/>
      </w:rPr>
    </w:lvl>
    <w:lvl w:ilvl="4" w:tplc="5E1A767A" w:tentative="1">
      <w:start w:val="1"/>
      <w:numFmt w:val="bullet"/>
      <w:lvlText w:val="•"/>
      <w:lvlJc w:val="left"/>
      <w:pPr>
        <w:tabs>
          <w:tab w:val="num" w:pos="3600"/>
        </w:tabs>
        <w:ind w:left="3600" w:hanging="360"/>
      </w:pPr>
      <w:rPr>
        <w:rFonts w:ascii="Arial" w:hAnsi="Arial" w:hint="default"/>
      </w:rPr>
    </w:lvl>
    <w:lvl w:ilvl="5" w:tplc="83BE9B46" w:tentative="1">
      <w:start w:val="1"/>
      <w:numFmt w:val="bullet"/>
      <w:lvlText w:val="•"/>
      <w:lvlJc w:val="left"/>
      <w:pPr>
        <w:tabs>
          <w:tab w:val="num" w:pos="4320"/>
        </w:tabs>
        <w:ind w:left="4320" w:hanging="360"/>
      </w:pPr>
      <w:rPr>
        <w:rFonts w:ascii="Arial" w:hAnsi="Arial" w:hint="default"/>
      </w:rPr>
    </w:lvl>
    <w:lvl w:ilvl="6" w:tplc="6D003644" w:tentative="1">
      <w:start w:val="1"/>
      <w:numFmt w:val="bullet"/>
      <w:lvlText w:val="•"/>
      <w:lvlJc w:val="left"/>
      <w:pPr>
        <w:tabs>
          <w:tab w:val="num" w:pos="5040"/>
        </w:tabs>
        <w:ind w:left="5040" w:hanging="360"/>
      </w:pPr>
      <w:rPr>
        <w:rFonts w:ascii="Arial" w:hAnsi="Arial" w:hint="default"/>
      </w:rPr>
    </w:lvl>
    <w:lvl w:ilvl="7" w:tplc="4266C2BA" w:tentative="1">
      <w:start w:val="1"/>
      <w:numFmt w:val="bullet"/>
      <w:lvlText w:val="•"/>
      <w:lvlJc w:val="left"/>
      <w:pPr>
        <w:tabs>
          <w:tab w:val="num" w:pos="5760"/>
        </w:tabs>
        <w:ind w:left="5760" w:hanging="360"/>
      </w:pPr>
      <w:rPr>
        <w:rFonts w:ascii="Arial" w:hAnsi="Arial" w:hint="default"/>
      </w:rPr>
    </w:lvl>
    <w:lvl w:ilvl="8" w:tplc="F6223B2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2C22D8"/>
    <w:multiLevelType w:val="hybridMultilevel"/>
    <w:tmpl w:val="590475D8"/>
    <w:lvl w:ilvl="0" w:tplc="4D02DC70">
      <w:start w:val="1"/>
      <w:numFmt w:val="bullet"/>
      <w:lvlText w:val=""/>
      <w:lvlJc w:val="left"/>
      <w:pPr>
        <w:ind w:left="720" w:hanging="360"/>
      </w:pPr>
      <w:rPr>
        <w:rFonts w:ascii="Symbol" w:hAnsi="Symbol" w:hint="default"/>
        <w:b w:val="0"/>
        <w:i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84D033C"/>
    <w:multiLevelType w:val="multilevel"/>
    <w:tmpl w:val="1FC066CA"/>
    <w:lvl w:ilvl="0">
      <w:start w:val="1"/>
      <w:numFmt w:val="decimal"/>
      <w:pStyle w:val="2-SectionHeading"/>
      <w:lvlText w:val="%1"/>
      <w:lvlJc w:val="left"/>
      <w:pPr>
        <w:ind w:left="720" w:hanging="720"/>
      </w:pPr>
      <w:rPr>
        <w:rFonts w:hint="default"/>
        <w:b/>
        <w:i w:val="0"/>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31376F"/>
    <w:multiLevelType w:val="hybridMultilevel"/>
    <w:tmpl w:val="3410D8A8"/>
    <w:lvl w:ilvl="0" w:tplc="2C007BF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17"/>
  </w:num>
  <w:num w:numId="3">
    <w:abstractNumId w:val="18"/>
  </w:num>
  <w:num w:numId="4">
    <w:abstractNumId w:val="2"/>
  </w:num>
  <w:num w:numId="5">
    <w:abstractNumId w:val="27"/>
  </w:num>
  <w:num w:numId="6">
    <w:abstractNumId w:val="0"/>
  </w:num>
  <w:num w:numId="7">
    <w:abstractNumId w:val="22"/>
  </w:num>
  <w:num w:numId="8">
    <w:abstractNumId w:val="16"/>
  </w:num>
  <w:num w:numId="9">
    <w:abstractNumId w:val="4"/>
  </w:num>
  <w:num w:numId="10">
    <w:abstractNumId w:val="9"/>
  </w:num>
  <w:num w:numId="11">
    <w:abstractNumId w:val="10"/>
  </w:num>
  <w:num w:numId="12">
    <w:abstractNumId w:val="26"/>
  </w:num>
  <w:num w:numId="13">
    <w:abstractNumId w:val="14"/>
  </w:num>
  <w:num w:numId="14">
    <w:abstractNumId w:val="28"/>
  </w:num>
  <w:num w:numId="15">
    <w:abstractNumId w:val="11"/>
  </w:num>
  <w:num w:numId="16">
    <w:abstractNumId w:val="19"/>
  </w:num>
  <w:num w:numId="17">
    <w:abstractNumId w:val="23"/>
  </w:num>
  <w:num w:numId="18">
    <w:abstractNumId w:val="24"/>
  </w:num>
  <w:num w:numId="19">
    <w:abstractNumId w:val="8"/>
  </w:num>
  <w:num w:numId="20">
    <w:abstractNumId w:val="5"/>
  </w:num>
  <w:num w:numId="21">
    <w:abstractNumId w:val="27"/>
  </w:num>
  <w:num w:numId="22">
    <w:abstractNumId w:val="27"/>
  </w:num>
  <w:num w:numId="23">
    <w:abstractNumId w:val="20"/>
  </w:num>
  <w:num w:numId="24">
    <w:abstractNumId w:val="21"/>
  </w:num>
  <w:num w:numId="25">
    <w:abstractNumId w:val="6"/>
  </w:num>
  <w:num w:numId="26">
    <w:abstractNumId w:val="3"/>
  </w:num>
  <w:num w:numId="27">
    <w:abstractNumId w:val="13"/>
  </w:num>
  <w:num w:numId="28">
    <w:abstractNumId w:val="15"/>
  </w:num>
  <w:num w:numId="29">
    <w:abstractNumId w:val="12"/>
  </w:num>
  <w:num w:numId="30">
    <w:abstractNumId w:val="7"/>
  </w:num>
  <w:num w:numId="31">
    <w:abstractNumId w:val="18"/>
  </w:num>
  <w:num w:numId="32">
    <w:abstractNumId w:val="27"/>
    <w:lvlOverride w:ilvl="0">
      <w:startOverride w:val="6"/>
    </w:lvlOverride>
    <w:lvlOverride w:ilvl="1">
      <w:startOverride w:val="44"/>
    </w:lvlOverride>
  </w:num>
  <w:num w:numId="33">
    <w:abstractNumId w:val="27"/>
  </w:num>
  <w:num w:numId="34">
    <w:abstractNumId w:val="18"/>
  </w:num>
  <w:num w:numId="35">
    <w:abstractNumId w:val="18"/>
  </w:num>
  <w:num w:numId="36">
    <w:abstractNumId w:val="27"/>
  </w:num>
  <w:num w:numId="37">
    <w:abstractNumId w:val="1"/>
  </w:num>
  <w:num w:numId="38">
    <w:abstractNumId w:val="27"/>
  </w:num>
  <w:num w:numId="39">
    <w:abstractNumId w:val="27"/>
  </w:num>
  <w:num w:numId="40">
    <w:abstractNumId w:val="18"/>
  </w:num>
  <w:num w:numId="41">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3499"/>
    <w:rsid w:val="000039B7"/>
    <w:rsid w:val="0000639A"/>
    <w:rsid w:val="00007DB0"/>
    <w:rsid w:val="00007F38"/>
    <w:rsid w:val="00011AB0"/>
    <w:rsid w:val="00013247"/>
    <w:rsid w:val="00015886"/>
    <w:rsid w:val="000162EF"/>
    <w:rsid w:val="00016A44"/>
    <w:rsid w:val="00016B6C"/>
    <w:rsid w:val="000175FD"/>
    <w:rsid w:val="00020744"/>
    <w:rsid w:val="000207C9"/>
    <w:rsid w:val="000214DD"/>
    <w:rsid w:val="00021755"/>
    <w:rsid w:val="000219C3"/>
    <w:rsid w:val="0002225F"/>
    <w:rsid w:val="00023763"/>
    <w:rsid w:val="000250C7"/>
    <w:rsid w:val="00025694"/>
    <w:rsid w:val="00025C41"/>
    <w:rsid w:val="00025D51"/>
    <w:rsid w:val="000260C3"/>
    <w:rsid w:val="000274B8"/>
    <w:rsid w:val="000307B6"/>
    <w:rsid w:val="000309BC"/>
    <w:rsid w:val="00031E96"/>
    <w:rsid w:val="00032C0C"/>
    <w:rsid w:val="00033863"/>
    <w:rsid w:val="000344B8"/>
    <w:rsid w:val="00035DC0"/>
    <w:rsid w:val="0003638B"/>
    <w:rsid w:val="00036829"/>
    <w:rsid w:val="000372DB"/>
    <w:rsid w:val="00037F97"/>
    <w:rsid w:val="00040895"/>
    <w:rsid w:val="00041D71"/>
    <w:rsid w:val="000430AC"/>
    <w:rsid w:val="00043460"/>
    <w:rsid w:val="000435EE"/>
    <w:rsid w:val="00043C37"/>
    <w:rsid w:val="00044FC9"/>
    <w:rsid w:val="00045017"/>
    <w:rsid w:val="00045A2B"/>
    <w:rsid w:val="0004698F"/>
    <w:rsid w:val="0004711C"/>
    <w:rsid w:val="00053187"/>
    <w:rsid w:val="0005383E"/>
    <w:rsid w:val="000539D0"/>
    <w:rsid w:val="00054621"/>
    <w:rsid w:val="000546D7"/>
    <w:rsid w:val="00055089"/>
    <w:rsid w:val="000559ED"/>
    <w:rsid w:val="00056D63"/>
    <w:rsid w:val="00056ECF"/>
    <w:rsid w:val="00057D1A"/>
    <w:rsid w:val="000604DF"/>
    <w:rsid w:val="00062871"/>
    <w:rsid w:val="0006343C"/>
    <w:rsid w:val="00064A09"/>
    <w:rsid w:val="000651BB"/>
    <w:rsid w:val="000653B5"/>
    <w:rsid w:val="00066360"/>
    <w:rsid w:val="00066863"/>
    <w:rsid w:val="00066AF8"/>
    <w:rsid w:val="000678BA"/>
    <w:rsid w:val="00067AD0"/>
    <w:rsid w:val="00070B70"/>
    <w:rsid w:val="00070D18"/>
    <w:rsid w:val="00071248"/>
    <w:rsid w:val="000719D6"/>
    <w:rsid w:val="000720B9"/>
    <w:rsid w:val="0007347B"/>
    <w:rsid w:val="000737F7"/>
    <w:rsid w:val="00073C40"/>
    <w:rsid w:val="00075C58"/>
    <w:rsid w:val="0007672F"/>
    <w:rsid w:val="00076B54"/>
    <w:rsid w:val="000774F0"/>
    <w:rsid w:val="00080909"/>
    <w:rsid w:val="00080E62"/>
    <w:rsid w:val="000812B5"/>
    <w:rsid w:val="000812CA"/>
    <w:rsid w:val="00081E63"/>
    <w:rsid w:val="0008258D"/>
    <w:rsid w:val="00082C1A"/>
    <w:rsid w:val="000836AD"/>
    <w:rsid w:val="00083E99"/>
    <w:rsid w:val="00084DFD"/>
    <w:rsid w:val="00084FA8"/>
    <w:rsid w:val="0008518F"/>
    <w:rsid w:val="000856C5"/>
    <w:rsid w:val="00085C31"/>
    <w:rsid w:val="000901DB"/>
    <w:rsid w:val="000902D9"/>
    <w:rsid w:val="00090470"/>
    <w:rsid w:val="00090B84"/>
    <w:rsid w:val="00090C7E"/>
    <w:rsid w:val="00092502"/>
    <w:rsid w:val="00092600"/>
    <w:rsid w:val="0009262B"/>
    <w:rsid w:val="0009329F"/>
    <w:rsid w:val="00093310"/>
    <w:rsid w:val="0009445C"/>
    <w:rsid w:val="00095200"/>
    <w:rsid w:val="00095FE5"/>
    <w:rsid w:val="00096171"/>
    <w:rsid w:val="00096284"/>
    <w:rsid w:val="000A1BC0"/>
    <w:rsid w:val="000A1EA6"/>
    <w:rsid w:val="000A2577"/>
    <w:rsid w:val="000A4BC6"/>
    <w:rsid w:val="000A6039"/>
    <w:rsid w:val="000A6944"/>
    <w:rsid w:val="000A6A0D"/>
    <w:rsid w:val="000A7453"/>
    <w:rsid w:val="000A7D08"/>
    <w:rsid w:val="000B0121"/>
    <w:rsid w:val="000B0670"/>
    <w:rsid w:val="000B0E75"/>
    <w:rsid w:val="000B2C44"/>
    <w:rsid w:val="000B2DCB"/>
    <w:rsid w:val="000B409B"/>
    <w:rsid w:val="000B48B3"/>
    <w:rsid w:val="000B5206"/>
    <w:rsid w:val="000B5936"/>
    <w:rsid w:val="000B5CE0"/>
    <w:rsid w:val="000B5D2A"/>
    <w:rsid w:val="000B6CAC"/>
    <w:rsid w:val="000B7612"/>
    <w:rsid w:val="000B78AE"/>
    <w:rsid w:val="000C18B6"/>
    <w:rsid w:val="000C1DAF"/>
    <w:rsid w:val="000C3A84"/>
    <w:rsid w:val="000C3DF9"/>
    <w:rsid w:val="000C576D"/>
    <w:rsid w:val="000C5E09"/>
    <w:rsid w:val="000C5F95"/>
    <w:rsid w:val="000C6713"/>
    <w:rsid w:val="000D1BFC"/>
    <w:rsid w:val="000D1D5D"/>
    <w:rsid w:val="000D237F"/>
    <w:rsid w:val="000D25DF"/>
    <w:rsid w:val="000D266C"/>
    <w:rsid w:val="000D281A"/>
    <w:rsid w:val="000D2848"/>
    <w:rsid w:val="000D326A"/>
    <w:rsid w:val="000D51FB"/>
    <w:rsid w:val="000D5507"/>
    <w:rsid w:val="000D6F3C"/>
    <w:rsid w:val="000E0640"/>
    <w:rsid w:val="000E135D"/>
    <w:rsid w:val="000E6D23"/>
    <w:rsid w:val="000E7323"/>
    <w:rsid w:val="000F00BA"/>
    <w:rsid w:val="000F1CA1"/>
    <w:rsid w:val="000F316A"/>
    <w:rsid w:val="000F32A9"/>
    <w:rsid w:val="000F3C74"/>
    <w:rsid w:val="000F4BB8"/>
    <w:rsid w:val="000F4FA9"/>
    <w:rsid w:val="000F529A"/>
    <w:rsid w:val="000F53FB"/>
    <w:rsid w:val="000F59A0"/>
    <w:rsid w:val="000F7127"/>
    <w:rsid w:val="000F79B2"/>
    <w:rsid w:val="000F7B54"/>
    <w:rsid w:val="00100F8A"/>
    <w:rsid w:val="00102827"/>
    <w:rsid w:val="0010452E"/>
    <w:rsid w:val="00105AE2"/>
    <w:rsid w:val="00105E2F"/>
    <w:rsid w:val="001060C6"/>
    <w:rsid w:val="00106B80"/>
    <w:rsid w:val="0011032E"/>
    <w:rsid w:val="00110E49"/>
    <w:rsid w:val="001111F4"/>
    <w:rsid w:val="001129F2"/>
    <w:rsid w:val="00112FA4"/>
    <w:rsid w:val="0011348B"/>
    <w:rsid w:val="00114F6C"/>
    <w:rsid w:val="00115982"/>
    <w:rsid w:val="00116C53"/>
    <w:rsid w:val="0011750A"/>
    <w:rsid w:val="00117895"/>
    <w:rsid w:val="00121799"/>
    <w:rsid w:val="00121853"/>
    <w:rsid w:val="00121D4F"/>
    <w:rsid w:val="001222FC"/>
    <w:rsid w:val="00122E33"/>
    <w:rsid w:val="00123902"/>
    <w:rsid w:val="0012413E"/>
    <w:rsid w:val="001241B3"/>
    <w:rsid w:val="0012459A"/>
    <w:rsid w:val="00124A51"/>
    <w:rsid w:val="00126621"/>
    <w:rsid w:val="001268BF"/>
    <w:rsid w:val="00126B1D"/>
    <w:rsid w:val="001301E9"/>
    <w:rsid w:val="00130788"/>
    <w:rsid w:val="00131D82"/>
    <w:rsid w:val="00132B22"/>
    <w:rsid w:val="00132D30"/>
    <w:rsid w:val="0013372D"/>
    <w:rsid w:val="00133D36"/>
    <w:rsid w:val="001356C2"/>
    <w:rsid w:val="0013571D"/>
    <w:rsid w:val="00135955"/>
    <w:rsid w:val="00137645"/>
    <w:rsid w:val="0014015A"/>
    <w:rsid w:val="00140D78"/>
    <w:rsid w:val="00140E99"/>
    <w:rsid w:val="00143F67"/>
    <w:rsid w:val="00145540"/>
    <w:rsid w:val="001456B0"/>
    <w:rsid w:val="001475B8"/>
    <w:rsid w:val="00150179"/>
    <w:rsid w:val="001529CA"/>
    <w:rsid w:val="001530EB"/>
    <w:rsid w:val="00153994"/>
    <w:rsid w:val="00155871"/>
    <w:rsid w:val="00155BCA"/>
    <w:rsid w:val="00156F8F"/>
    <w:rsid w:val="00157130"/>
    <w:rsid w:val="001576B1"/>
    <w:rsid w:val="00157842"/>
    <w:rsid w:val="0016047B"/>
    <w:rsid w:val="00160A4C"/>
    <w:rsid w:val="00162913"/>
    <w:rsid w:val="00163EFF"/>
    <w:rsid w:val="00163F66"/>
    <w:rsid w:val="00163FCE"/>
    <w:rsid w:val="0016543D"/>
    <w:rsid w:val="00165965"/>
    <w:rsid w:val="001661FB"/>
    <w:rsid w:val="00166FAF"/>
    <w:rsid w:val="001671A0"/>
    <w:rsid w:val="0016767F"/>
    <w:rsid w:val="001717E6"/>
    <w:rsid w:val="00171C38"/>
    <w:rsid w:val="001725A0"/>
    <w:rsid w:val="00172A62"/>
    <w:rsid w:val="00173565"/>
    <w:rsid w:val="00173B07"/>
    <w:rsid w:val="0017504E"/>
    <w:rsid w:val="001751FA"/>
    <w:rsid w:val="001808C8"/>
    <w:rsid w:val="00181D9C"/>
    <w:rsid w:val="001844B2"/>
    <w:rsid w:val="00184778"/>
    <w:rsid w:val="00184B0E"/>
    <w:rsid w:val="00184D90"/>
    <w:rsid w:val="00185BD7"/>
    <w:rsid w:val="00185F97"/>
    <w:rsid w:val="00186B70"/>
    <w:rsid w:val="0018752F"/>
    <w:rsid w:val="00187A54"/>
    <w:rsid w:val="00191815"/>
    <w:rsid w:val="00193838"/>
    <w:rsid w:val="0019398F"/>
    <w:rsid w:val="00194618"/>
    <w:rsid w:val="0019479F"/>
    <w:rsid w:val="00194AD8"/>
    <w:rsid w:val="00195222"/>
    <w:rsid w:val="00195384"/>
    <w:rsid w:val="001975D8"/>
    <w:rsid w:val="001A02CB"/>
    <w:rsid w:val="001A1191"/>
    <w:rsid w:val="001A178E"/>
    <w:rsid w:val="001A292B"/>
    <w:rsid w:val="001A2B0B"/>
    <w:rsid w:val="001A3926"/>
    <w:rsid w:val="001A43FA"/>
    <w:rsid w:val="001A47C5"/>
    <w:rsid w:val="001A50C9"/>
    <w:rsid w:val="001A5846"/>
    <w:rsid w:val="001A59FB"/>
    <w:rsid w:val="001A5E9E"/>
    <w:rsid w:val="001A6354"/>
    <w:rsid w:val="001A6366"/>
    <w:rsid w:val="001A6AFC"/>
    <w:rsid w:val="001A7AE8"/>
    <w:rsid w:val="001A7FBD"/>
    <w:rsid w:val="001B037C"/>
    <w:rsid w:val="001B0F6C"/>
    <w:rsid w:val="001B1CFE"/>
    <w:rsid w:val="001B204E"/>
    <w:rsid w:val="001B2372"/>
    <w:rsid w:val="001B3443"/>
    <w:rsid w:val="001B4B8C"/>
    <w:rsid w:val="001B4D20"/>
    <w:rsid w:val="001B53DD"/>
    <w:rsid w:val="001B56F8"/>
    <w:rsid w:val="001B59BD"/>
    <w:rsid w:val="001B7179"/>
    <w:rsid w:val="001B7551"/>
    <w:rsid w:val="001B76A5"/>
    <w:rsid w:val="001B77AE"/>
    <w:rsid w:val="001C12ED"/>
    <w:rsid w:val="001C2A9B"/>
    <w:rsid w:val="001C4299"/>
    <w:rsid w:val="001C4874"/>
    <w:rsid w:val="001C4A28"/>
    <w:rsid w:val="001C4C7B"/>
    <w:rsid w:val="001C4C92"/>
    <w:rsid w:val="001C5F94"/>
    <w:rsid w:val="001C64CA"/>
    <w:rsid w:val="001C6E66"/>
    <w:rsid w:val="001C7A5B"/>
    <w:rsid w:val="001D06DD"/>
    <w:rsid w:val="001D1100"/>
    <w:rsid w:val="001D1217"/>
    <w:rsid w:val="001D1391"/>
    <w:rsid w:val="001D25D7"/>
    <w:rsid w:val="001D304A"/>
    <w:rsid w:val="001D3D5D"/>
    <w:rsid w:val="001D50B2"/>
    <w:rsid w:val="001D544C"/>
    <w:rsid w:val="001D6B9E"/>
    <w:rsid w:val="001D75E0"/>
    <w:rsid w:val="001D7645"/>
    <w:rsid w:val="001E05AD"/>
    <w:rsid w:val="001E0E90"/>
    <w:rsid w:val="001E14A2"/>
    <w:rsid w:val="001E1E86"/>
    <w:rsid w:val="001E238E"/>
    <w:rsid w:val="001E2483"/>
    <w:rsid w:val="001E2B1E"/>
    <w:rsid w:val="001E2CFF"/>
    <w:rsid w:val="001E2F24"/>
    <w:rsid w:val="001E30D4"/>
    <w:rsid w:val="001E34DF"/>
    <w:rsid w:val="001E361B"/>
    <w:rsid w:val="001E450B"/>
    <w:rsid w:val="001E52EB"/>
    <w:rsid w:val="001E61D2"/>
    <w:rsid w:val="001E740C"/>
    <w:rsid w:val="001F1235"/>
    <w:rsid w:val="001F1CB3"/>
    <w:rsid w:val="001F1F02"/>
    <w:rsid w:val="001F3020"/>
    <w:rsid w:val="001F38B5"/>
    <w:rsid w:val="001F3BF1"/>
    <w:rsid w:val="001F4081"/>
    <w:rsid w:val="001F6A85"/>
    <w:rsid w:val="001F7361"/>
    <w:rsid w:val="001F745B"/>
    <w:rsid w:val="00200D57"/>
    <w:rsid w:val="002011B0"/>
    <w:rsid w:val="00201C54"/>
    <w:rsid w:val="00203181"/>
    <w:rsid w:val="00203783"/>
    <w:rsid w:val="0020385F"/>
    <w:rsid w:val="002068A0"/>
    <w:rsid w:val="00207021"/>
    <w:rsid w:val="0020732F"/>
    <w:rsid w:val="00207D00"/>
    <w:rsid w:val="002105C1"/>
    <w:rsid w:val="00213BC9"/>
    <w:rsid w:val="00213EF5"/>
    <w:rsid w:val="002157A5"/>
    <w:rsid w:val="00216BF5"/>
    <w:rsid w:val="002176BD"/>
    <w:rsid w:val="00220928"/>
    <w:rsid w:val="00222111"/>
    <w:rsid w:val="00223206"/>
    <w:rsid w:val="00223623"/>
    <w:rsid w:val="00223B49"/>
    <w:rsid w:val="00223B4C"/>
    <w:rsid w:val="00223D5A"/>
    <w:rsid w:val="00224C6B"/>
    <w:rsid w:val="00224DD4"/>
    <w:rsid w:val="0022534B"/>
    <w:rsid w:val="0022616A"/>
    <w:rsid w:val="002278A0"/>
    <w:rsid w:val="00230127"/>
    <w:rsid w:val="002309CC"/>
    <w:rsid w:val="002313DD"/>
    <w:rsid w:val="00231855"/>
    <w:rsid w:val="0023209F"/>
    <w:rsid w:val="00232287"/>
    <w:rsid w:val="00232AB5"/>
    <w:rsid w:val="00233C01"/>
    <w:rsid w:val="00233DA6"/>
    <w:rsid w:val="0023413C"/>
    <w:rsid w:val="002346F0"/>
    <w:rsid w:val="00235152"/>
    <w:rsid w:val="00235178"/>
    <w:rsid w:val="00235713"/>
    <w:rsid w:val="0023629D"/>
    <w:rsid w:val="0023698A"/>
    <w:rsid w:val="00237255"/>
    <w:rsid w:val="0023769D"/>
    <w:rsid w:val="00240012"/>
    <w:rsid w:val="00240963"/>
    <w:rsid w:val="002417B6"/>
    <w:rsid w:val="002424AF"/>
    <w:rsid w:val="002425AF"/>
    <w:rsid w:val="002439DC"/>
    <w:rsid w:val="002441D2"/>
    <w:rsid w:val="00244DC8"/>
    <w:rsid w:val="002458BA"/>
    <w:rsid w:val="00245CE9"/>
    <w:rsid w:val="0024636C"/>
    <w:rsid w:val="00247925"/>
    <w:rsid w:val="00247D79"/>
    <w:rsid w:val="002501FA"/>
    <w:rsid w:val="00251006"/>
    <w:rsid w:val="00252380"/>
    <w:rsid w:val="002524D5"/>
    <w:rsid w:val="00253B1D"/>
    <w:rsid w:val="00254DCF"/>
    <w:rsid w:val="0025534B"/>
    <w:rsid w:val="00255BB7"/>
    <w:rsid w:val="00257541"/>
    <w:rsid w:val="00257A39"/>
    <w:rsid w:val="00257AC4"/>
    <w:rsid w:val="00261EEF"/>
    <w:rsid w:val="00262A1A"/>
    <w:rsid w:val="00262A87"/>
    <w:rsid w:val="00264D26"/>
    <w:rsid w:val="00264DFC"/>
    <w:rsid w:val="002662ED"/>
    <w:rsid w:val="00266862"/>
    <w:rsid w:val="00267642"/>
    <w:rsid w:val="00267AEA"/>
    <w:rsid w:val="002700E6"/>
    <w:rsid w:val="002725D7"/>
    <w:rsid w:val="0027294B"/>
    <w:rsid w:val="00272F3A"/>
    <w:rsid w:val="00273EB4"/>
    <w:rsid w:val="00274682"/>
    <w:rsid w:val="002747A5"/>
    <w:rsid w:val="0027536A"/>
    <w:rsid w:val="00275C5A"/>
    <w:rsid w:val="002760CD"/>
    <w:rsid w:val="00277755"/>
    <w:rsid w:val="00277829"/>
    <w:rsid w:val="00281014"/>
    <w:rsid w:val="00284661"/>
    <w:rsid w:val="0028657E"/>
    <w:rsid w:val="0028665D"/>
    <w:rsid w:val="002867B5"/>
    <w:rsid w:val="002875D7"/>
    <w:rsid w:val="002904B1"/>
    <w:rsid w:val="00290EED"/>
    <w:rsid w:val="0029139D"/>
    <w:rsid w:val="00294183"/>
    <w:rsid w:val="002A14AB"/>
    <w:rsid w:val="002A1BA0"/>
    <w:rsid w:val="002A2ADE"/>
    <w:rsid w:val="002A2F50"/>
    <w:rsid w:val="002A3065"/>
    <w:rsid w:val="002A3BEF"/>
    <w:rsid w:val="002A549B"/>
    <w:rsid w:val="002A603F"/>
    <w:rsid w:val="002B05A1"/>
    <w:rsid w:val="002B09A4"/>
    <w:rsid w:val="002B10E9"/>
    <w:rsid w:val="002B1596"/>
    <w:rsid w:val="002B18B7"/>
    <w:rsid w:val="002B1C1F"/>
    <w:rsid w:val="002B24D0"/>
    <w:rsid w:val="002B3977"/>
    <w:rsid w:val="002B432F"/>
    <w:rsid w:val="002B62B3"/>
    <w:rsid w:val="002B6754"/>
    <w:rsid w:val="002B6858"/>
    <w:rsid w:val="002B6C8B"/>
    <w:rsid w:val="002B6CCE"/>
    <w:rsid w:val="002C1AF9"/>
    <w:rsid w:val="002C2510"/>
    <w:rsid w:val="002C2661"/>
    <w:rsid w:val="002C2775"/>
    <w:rsid w:val="002C27C1"/>
    <w:rsid w:val="002C2832"/>
    <w:rsid w:val="002C3ACC"/>
    <w:rsid w:val="002C5099"/>
    <w:rsid w:val="002C5889"/>
    <w:rsid w:val="002C6323"/>
    <w:rsid w:val="002C67A6"/>
    <w:rsid w:val="002C68EB"/>
    <w:rsid w:val="002C71CE"/>
    <w:rsid w:val="002C7B42"/>
    <w:rsid w:val="002C7DC1"/>
    <w:rsid w:val="002D08F8"/>
    <w:rsid w:val="002D0AB6"/>
    <w:rsid w:val="002D0D06"/>
    <w:rsid w:val="002D2753"/>
    <w:rsid w:val="002D2E00"/>
    <w:rsid w:val="002D30AE"/>
    <w:rsid w:val="002D5575"/>
    <w:rsid w:val="002D577C"/>
    <w:rsid w:val="002D5E85"/>
    <w:rsid w:val="002D6049"/>
    <w:rsid w:val="002D6E0E"/>
    <w:rsid w:val="002D6FF1"/>
    <w:rsid w:val="002E00EC"/>
    <w:rsid w:val="002E1071"/>
    <w:rsid w:val="002E1136"/>
    <w:rsid w:val="002E15B9"/>
    <w:rsid w:val="002E18CA"/>
    <w:rsid w:val="002E2158"/>
    <w:rsid w:val="002E3502"/>
    <w:rsid w:val="002E4F02"/>
    <w:rsid w:val="002E71A3"/>
    <w:rsid w:val="002E74D3"/>
    <w:rsid w:val="002E75A1"/>
    <w:rsid w:val="002E7722"/>
    <w:rsid w:val="002E785F"/>
    <w:rsid w:val="002F07BA"/>
    <w:rsid w:val="002F0DA9"/>
    <w:rsid w:val="002F1014"/>
    <w:rsid w:val="002F21A8"/>
    <w:rsid w:val="002F2A9B"/>
    <w:rsid w:val="002F2ACA"/>
    <w:rsid w:val="002F5226"/>
    <w:rsid w:val="002F643C"/>
    <w:rsid w:val="002F71C0"/>
    <w:rsid w:val="002F74F1"/>
    <w:rsid w:val="00301017"/>
    <w:rsid w:val="0030155F"/>
    <w:rsid w:val="003026C3"/>
    <w:rsid w:val="003036EC"/>
    <w:rsid w:val="0030430A"/>
    <w:rsid w:val="0030587B"/>
    <w:rsid w:val="00306B9F"/>
    <w:rsid w:val="00306D98"/>
    <w:rsid w:val="0030786C"/>
    <w:rsid w:val="0031031A"/>
    <w:rsid w:val="00310981"/>
    <w:rsid w:val="003124D9"/>
    <w:rsid w:val="00312594"/>
    <w:rsid w:val="00313546"/>
    <w:rsid w:val="00314516"/>
    <w:rsid w:val="00314A7A"/>
    <w:rsid w:val="00315498"/>
    <w:rsid w:val="003156C5"/>
    <w:rsid w:val="00316474"/>
    <w:rsid w:val="00317C70"/>
    <w:rsid w:val="00317E28"/>
    <w:rsid w:val="00322107"/>
    <w:rsid w:val="00322355"/>
    <w:rsid w:val="0032250E"/>
    <w:rsid w:val="00322846"/>
    <w:rsid w:val="00324028"/>
    <w:rsid w:val="003240DD"/>
    <w:rsid w:val="00324322"/>
    <w:rsid w:val="003245A9"/>
    <w:rsid w:val="00324652"/>
    <w:rsid w:val="00325FC5"/>
    <w:rsid w:val="00326D1D"/>
    <w:rsid w:val="00326DA7"/>
    <w:rsid w:val="003270E4"/>
    <w:rsid w:val="00330DAA"/>
    <w:rsid w:val="00330F5C"/>
    <w:rsid w:val="00334274"/>
    <w:rsid w:val="00336042"/>
    <w:rsid w:val="003366C9"/>
    <w:rsid w:val="003371B0"/>
    <w:rsid w:val="00337EBF"/>
    <w:rsid w:val="00340AD1"/>
    <w:rsid w:val="00340DF1"/>
    <w:rsid w:val="0034117E"/>
    <w:rsid w:val="00341A15"/>
    <w:rsid w:val="00344171"/>
    <w:rsid w:val="00345084"/>
    <w:rsid w:val="0034537A"/>
    <w:rsid w:val="00346553"/>
    <w:rsid w:val="00346FC7"/>
    <w:rsid w:val="003478B0"/>
    <w:rsid w:val="003517F9"/>
    <w:rsid w:val="00351BA9"/>
    <w:rsid w:val="00352D69"/>
    <w:rsid w:val="00353F38"/>
    <w:rsid w:val="00354F64"/>
    <w:rsid w:val="0035620E"/>
    <w:rsid w:val="003579CD"/>
    <w:rsid w:val="00360345"/>
    <w:rsid w:val="00360D46"/>
    <w:rsid w:val="00361A05"/>
    <w:rsid w:val="00362456"/>
    <w:rsid w:val="003624C4"/>
    <w:rsid w:val="00362FFA"/>
    <w:rsid w:val="00363786"/>
    <w:rsid w:val="00363B00"/>
    <w:rsid w:val="003643DC"/>
    <w:rsid w:val="00365355"/>
    <w:rsid w:val="003654AC"/>
    <w:rsid w:val="0036570C"/>
    <w:rsid w:val="00365789"/>
    <w:rsid w:val="0037000C"/>
    <w:rsid w:val="003710CF"/>
    <w:rsid w:val="00371661"/>
    <w:rsid w:val="00371A0E"/>
    <w:rsid w:val="0037358A"/>
    <w:rsid w:val="003735C2"/>
    <w:rsid w:val="0037406F"/>
    <w:rsid w:val="00374095"/>
    <w:rsid w:val="00374196"/>
    <w:rsid w:val="00374F8C"/>
    <w:rsid w:val="003750F6"/>
    <w:rsid w:val="003760FC"/>
    <w:rsid w:val="00376821"/>
    <w:rsid w:val="003775CA"/>
    <w:rsid w:val="003806DE"/>
    <w:rsid w:val="00381CA3"/>
    <w:rsid w:val="00382555"/>
    <w:rsid w:val="003831DC"/>
    <w:rsid w:val="00383345"/>
    <w:rsid w:val="0038365C"/>
    <w:rsid w:val="0038369B"/>
    <w:rsid w:val="00383B78"/>
    <w:rsid w:val="00383E57"/>
    <w:rsid w:val="00384B83"/>
    <w:rsid w:val="003855A5"/>
    <w:rsid w:val="00385A9D"/>
    <w:rsid w:val="003902B1"/>
    <w:rsid w:val="0039179C"/>
    <w:rsid w:val="00391E79"/>
    <w:rsid w:val="00391E80"/>
    <w:rsid w:val="00394DEA"/>
    <w:rsid w:val="0039666A"/>
    <w:rsid w:val="00396896"/>
    <w:rsid w:val="00396FD0"/>
    <w:rsid w:val="003A109C"/>
    <w:rsid w:val="003A172F"/>
    <w:rsid w:val="003A177A"/>
    <w:rsid w:val="003A1A7A"/>
    <w:rsid w:val="003A2392"/>
    <w:rsid w:val="003A24D5"/>
    <w:rsid w:val="003A2831"/>
    <w:rsid w:val="003A395E"/>
    <w:rsid w:val="003A3CB6"/>
    <w:rsid w:val="003A3ED1"/>
    <w:rsid w:val="003A44DB"/>
    <w:rsid w:val="003A7ED1"/>
    <w:rsid w:val="003B1062"/>
    <w:rsid w:val="003B2FF5"/>
    <w:rsid w:val="003B3971"/>
    <w:rsid w:val="003B4724"/>
    <w:rsid w:val="003B50DE"/>
    <w:rsid w:val="003B55D1"/>
    <w:rsid w:val="003B5B61"/>
    <w:rsid w:val="003B634B"/>
    <w:rsid w:val="003C0784"/>
    <w:rsid w:val="003C1654"/>
    <w:rsid w:val="003C308F"/>
    <w:rsid w:val="003C3B39"/>
    <w:rsid w:val="003C5542"/>
    <w:rsid w:val="003C5F6A"/>
    <w:rsid w:val="003C7D19"/>
    <w:rsid w:val="003C7D2F"/>
    <w:rsid w:val="003D0205"/>
    <w:rsid w:val="003D1828"/>
    <w:rsid w:val="003D1DE4"/>
    <w:rsid w:val="003D1E9A"/>
    <w:rsid w:val="003D2422"/>
    <w:rsid w:val="003D255C"/>
    <w:rsid w:val="003D39A1"/>
    <w:rsid w:val="003D3FBF"/>
    <w:rsid w:val="003D48FE"/>
    <w:rsid w:val="003D4A30"/>
    <w:rsid w:val="003D6867"/>
    <w:rsid w:val="003D7452"/>
    <w:rsid w:val="003D79BB"/>
    <w:rsid w:val="003D7C98"/>
    <w:rsid w:val="003D7D9D"/>
    <w:rsid w:val="003E0543"/>
    <w:rsid w:val="003E1AAE"/>
    <w:rsid w:val="003E2A61"/>
    <w:rsid w:val="003E329E"/>
    <w:rsid w:val="003E3331"/>
    <w:rsid w:val="003E3CB2"/>
    <w:rsid w:val="003E4A63"/>
    <w:rsid w:val="003E596C"/>
    <w:rsid w:val="003E749E"/>
    <w:rsid w:val="003F26A9"/>
    <w:rsid w:val="003F2905"/>
    <w:rsid w:val="003F3A48"/>
    <w:rsid w:val="003F4156"/>
    <w:rsid w:val="003F5ADF"/>
    <w:rsid w:val="003F7D71"/>
    <w:rsid w:val="0040046C"/>
    <w:rsid w:val="0040060A"/>
    <w:rsid w:val="00400B29"/>
    <w:rsid w:val="00401B5C"/>
    <w:rsid w:val="00403C88"/>
    <w:rsid w:val="00404CA3"/>
    <w:rsid w:val="0040504B"/>
    <w:rsid w:val="004059F4"/>
    <w:rsid w:val="00407FE5"/>
    <w:rsid w:val="004101B0"/>
    <w:rsid w:val="00410326"/>
    <w:rsid w:val="00410708"/>
    <w:rsid w:val="00410D3E"/>
    <w:rsid w:val="00410EC7"/>
    <w:rsid w:val="00411AE6"/>
    <w:rsid w:val="00411B28"/>
    <w:rsid w:val="00411B39"/>
    <w:rsid w:val="004127A7"/>
    <w:rsid w:val="00412FD0"/>
    <w:rsid w:val="00413A1E"/>
    <w:rsid w:val="00414476"/>
    <w:rsid w:val="00414C2E"/>
    <w:rsid w:val="004151CF"/>
    <w:rsid w:val="00416364"/>
    <w:rsid w:val="004165EF"/>
    <w:rsid w:val="004172AE"/>
    <w:rsid w:val="00417E4A"/>
    <w:rsid w:val="0042047F"/>
    <w:rsid w:val="00420AA6"/>
    <w:rsid w:val="00420B9F"/>
    <w:rsid w:val="0042192C"/>
    <w:rsid w:val="00421BFB"/>
    <w:rsid w:val="00422260"/>
    <w:rsid w:val="0042231D"/>
    <w:rsid w:val="0042413F"/>
    <w:rsid w:val="00427E31"/>
    <w:rsid w:val="004319F8"/>
    <w:rsid w:val="00431E55"/>
    <w:rsid w:val="004321F6"/>
    <w:rsid w:val="00433044"/>
    <w:rsid w:val="00433C66"/>
    <w:rsid w:val="00434088"/>
    <w:rsid w:val="00434306"/>
    <w:rsid w:val="004360FF"/>
    <w:rsid w:val="004368EC"/>
    <w:rsid w:val="004375B9"/>
    <w:rsid w:val="004402E9"/>
    <w:rsid w:val="00441130"/>
    <w:rsid w:val="00442892"/>
    <w:rsid w:val="004428D0"/>
    <w:rsid w:val="00442ED2"/>
    <w:rsid w:val="00443F26"/>
    <w:rsid w:val="00444185"/>
    <w:rsid w:val="004443A7"/>
    <w:rsid w:val="0044442C"/>
    <w:rsid w:val="00445941"/>
    <w:rsid w:val="004464EB"/>
    <w:rsid w:val="004467C1"/>
    <w:rsid w:val="00447D26"/>
    <w:rsid w:val="00447DFC"/>
    <w:rsid w:val="004510A3"/>
    <w:rsid w:val="00451FAB"/>
    <w:rsid w:val="00452261"/>
    <w:rsid w:val="0045408F"/>
    <w:rsid w:val="00455C35"/>
    <w:rsid w:val="00455D45"/>
    <w:rsid w:val="00460529"/>
    <w:rsid w:val="00463416"/>
    <w:rsid w:val="00464595"/>
    <w:rsid w:val="00464E03"/>
    <w:rsid w:val="004658B5"/>
    <w:rsid w:val="00471EA5"/>
    <w:rsid w:val="00472A79"/>
    <w:rsid w:val="004730E0"/>
    <w:rsid w:val="00473F19"/>
    <w:rsid w:val="00474A28"/>
    <w:rsid w:val="00475E22"/>
    <w:rsid w:val="00477314"/>
    <w:rsid w:val="0048048D"/>
    <w:rsid w:val="0048088E"/>
    <w:rsid w:val="00480F2B"/>
    <w:rsid w:val="00481874"/>
    <w:rsid w:val="00482720"/>
    <w:rsid w:val="004835E7"/>
    <w:rsid w:val="0048649F"/>
    <w:rsid w:val="004867E2"/>
    <w:rsid w:val="00490892"/>
    <w:rsid w:val="00490B17"/>
    <w:rsid w:val="00491B3A"/>
    <w:rsid w:val="00492CFD"/>
    <w:rsid w:val="00494207"/>
    <w:rsid w:val="00494DD5"/>
    <w:rsid w:val="004962D2"/>
    <w:rsid w:val="00496DA5"/>
    <w:rsid w:val="004970B2"/>
    <w:rsid w:val="004A0DA1"/>
    <w:rsid w:val="004A13D6"/>
    <w:rsid w:val="004A140D"/>
    <w:rsid w:val="004A1EAB"/>
    <w:rsid w:val="004A39D8"/>
    <w:rsid w:val="004A52E9"/>
    <w:rsid w:val="004A5D40"/>
    <w:rsid w:val="004A6040"/>
    <w:rsid w:val="004A6597"/>
    <w:rsid w:val="004A7848"/>
    <w:rsid w:val="004B0656"/>
    <w:rsid w:val="004B15F4"/>
    <w:rsid w:val="004B1CB4"/>
    <w:rsid w:val="004B2F18"/>
    <w:rsid w:val="004B2FC9"/>
    <w:rsid w:val="004B35FB"/>
    <w:rsid w:val="004B3A96"/>
    <w:rsid w:val="004B3D96"/>
    <w:rsid w:val="004B3DDB"/>
    <w:rsid w:val="004B44FD"/>
    <w:rsid w:val="004B496D"/>
    <w:rsid w:val="004B5608"/>
    <w:rsid w:val="004B5CFC"/>
    <w:rsid w:val="004B6046"/>
    <w:rsid w:val="004B6B6E"/>
    <w:rsid w:val="004B6F79"/>
    <w:rsid w:val="004B7383"/>
    <w:rsid w:val="004B774D"/>
    <w:rsid w:val="004C0453"/>
    <w:rsid w:val="004C13CB"/>
    <w:rsid w:val="004C344A"/>
    <w:rsid w:val="004C4AED"/>
    <w:rsid w:val="004D0040"/>
    <w:rsid w:val="004D0C60"/>
    <w:rsid w:val="004D112F"/>
    <w:rsid w:val="004D2C2D"/>
    <w:rsid w:val="004D4896"/>
    <w:rsid w:val="004D4CA3"/>
    <w:rsid w:val="004D4D3B"/>
    <w:rsid w:val="004D69B5"/>
    <w:rsid w:val="004D7227"/>
    <w:rsid w:val="004E0557"/>
    <w:rsid w:val="004E0E7F"/>
    <w:rsid w:val="004E0EB8"/>
    <w:rsid w:val="004E16C8"/>
    <w:rsid w:val="004E18E9"/>
    <w:rsid w:val="004E1B4D"/>
    <w:rsid w:val="004E2256"/>
    <w:rsid w:val="004E2ADC"/>
    <w:rsid w:val="004E3FB9"/>
    <w:rsid w:val="004E43B2"/>
    <w:rsid w:val="004E737A"/>
    <w:rsid w:val="004F0C6B"/>
    <w:rsid w:val="004F104E"/>
    <w:rsid w:val="004F161E"/>
    <w:rsid w:val="004F1D02"/>
    <w:rsid w:val="004F2679"/>
    <w:rsid w:val="004F2949"/>
    <w:rsid w:val="004F2A16"/>
    <w:rsid w:val="004F2CEE"/>
    <w:rsid w:val="004F2F21"/>
    <w:rsid w:val="004F3DE5"/>
    <w:rsid w:val="004F6024"/>
    <w:rsid w:val="004F6913"/>
    <w:rsid w:val="004F7865"/>
    <w:rsid w:val="0050174E"/>
    <w:rsid w:val="00501854"/>
    <w:rsid w:val="0050219B"/>
    <w:rsid w:val="00503F17"/>
    <w:rsid w:val="005041FA"/>
    <w:rsid w:val="005063A2"/>
    <w:rsid w:val="00506928"/>
    <w:rsid w:val="005077EF"/>
    <w:rsid w:val="00510DBF"/>
    <w:rsid w:val="00511AD5"/>
    <w:rsid w:val="00511DC7"/>
    <w:rsid w:val="00511E03"/>
    <w:rsid w:val="00514197"/>
    <w:rsid w:val="005142C5"/>
    <w:rsid w:val="0051501B"/>
    <w:rsid w:val="005152B5"/>
    <w:rsid w:val="0051752F"/>
    <w:rsid w:val="0052123C"/>
    <w:rsid w:val="00521319"/>
    <w:rsid w:val="00522BC8"/>
    <w:rsid w:val="00523C28"/>
    <w:rsid w:val="0052634E"/>
    <w:rsid w:val="0052643B"/>
    <w:rsid w:val="00527611"/>
    <w:rsid w:val="005278A8"/>
    <w:rsid w:val="00530CE6"/>
    <w:rsid w:val="0053176B"/>
    <w:rsid w:val="005335D8"/>
    <w:rsid w:val="005361D5"/>
    <w:rsid w:val="00536F42"/>
    <w:rsid w:val="00537182"/>
    <w:rsid w:val="00540BCD"/>
    <w:rsid w:val="00541EDD"/>
    <w:rsid w:val="00542743"/>
    <w:rsid w:val="00542C2D"/>
    <w:rsid w:val="00544C1F"/>
    <w:rsid w:val="00545A1C"/>
    <w:rsid w:val="005478BD"/>
    <w:rsid w:val="00547907"/>
    <w:rsid w:val="005479E3"/>
    <w:rsid w:val="00550250"/>
    <w:rsid w:val="005514A0"/>
    <w:rsid w:val="00551985"/>
    <w:rsid w:val="00551A89"/>
    <w:rsid w:val="00552A76"/>
    <w:rsid w:val="00552BD3"/>
    <w:rsid w:val="005532A0"/>
    <w:rsid w:val="00554E39"/>
    <w:rsid w:val="00555109"/>
    <w:rsid w:val="00556748"/>
    <w:rsid w:val="00556B35"/>
    <w:rsid w:val="00556C6C"/>
    <w:rsid w:val="0055741A"/>
    <w:rsid w:val="005576B2"/>
    <w:rsid w:val="005611B7"/>
    <w:rsid w:val="0056149B"/>
    <w:rsid w:val="005618D4"/>
    <w:rsid w:val="00562F5C"/>
    <w:rsid w:val="00565DF0"/>
    <w:rsid w:val="0056650F"/>
    <w:rsid w:val="005668B7"/>
    <w:rsid w:val="0056696F"/>
    <w:rsid w:val="005670D8"/>
    <w:rsid w:val="00572269"/>
    <w:rsid w:val="0057244A"/>
    <w:rsid w:val="00572F26"/>
    <w:rsid w:val="005750C5"/>
    <w:rsid w:val="005752DE"/>
    <w:rsid w:val="00575A5E"/>
    <w:rsid w:val="00575D8D"/>
    <w:rsid w:val="0057617F"/>
    <w:rsid w:val="005765E1"/>
    <w:rsid w:val="00576972"/>
    <w:rsid w:val="005805B9"/>
    <w:rsid w:val="00581EDD"/>
    <w:rsid w:val="00583699"/>
    <w:rsid w:val="00584324"/>
    <w:rsid w:val="00584564"/>
    <w:rsid w:val="00584AFB"/>
    <w:rsid w:val="00585CDD"/>
    <w:rsid w:val="00586587"/>
    <w:rsid w:val="00587058"/>
    <w:rsid w:val="005904A5"/>
    <w:rsid w:val="00591957"/>
    <w:rsid w:val="00591C59"/>
    <w:rsid w:val="00592135"/>
    <w:rsid w:val="00592BC3"/>
    <w:rsid w:val="00593D54"/>
    <w:rsid w:val="00594841"/>
    <w:rsid w:val="00595812"/>
    <w:rsid w:val="00595A82"/>
    <w:rsid w:val="0059633C"/>
    <w:rsid w:val="0059639F"/>
    <w:rsid w:val="00596F61"/>
    <w:rsid w:val="00597BF9"/>
    <w:rsid w:val="00597C51"/>
    <w:rsid w:val="005A309A"/>
    <w:rsid w:val="005A321F"/>
    <w:rsid w:val="005A373D"/>
    <w:rsid w:val="005A4465"/>
    <w:rsid w:val="005A6E9C"/>
    <w:rsid w:val="005A7A6F"/>
    <w:rsid w:val="005B0B58"/>
    <w:rsid w:val="005B473D"/>
    <w:rsid w:val="005B4857"/>
    <w:rsid w:val="005B4E53"/>
    <w:rsid w:val="005B5857"/>
    <w:rsid w:val="005B6786"/>
    <w:rsid w:val="005B738D"/>
    <w:rsid w:val="005B7B87"/>
    <w:rsid w:val="005B7EED"/>
    <w:rsid w:val="005C094D"/>
    <w:rsid w:val="005C1119"/>
    <w:rsid w:val="005C19C4"/>
    <w:rsid w:val="005C1B83"/>
    <w:rsid w:val="005C25FF"/>
    <w:rsid w:val="005C2D55"/>
    <w:rsid w:val="005C2D5E"/>
    <w:rsid w:val="005C346B"/>
    <w:rsid w:val="005C751A"/>
    <w:rsid w:val="005D0373"/>
    <w:rsid w:val="005D044D"/>
    <w:rsid w:val="005D0ABD"/>
    <w:rsid w:val="005D17EF"/>
    <w:rsid w:val="005D18AD"/>
    <w:rsid w:val="005D2457"/>
    <w:rsid w:val="005D26B4"/>
    <w:rsid w:val="005D288A"/>
    <w:rsid w:val="005D2FE9"/>
    <w:rsid w:val="005D3567"/>
    <w:rsid w:val="005D4A45"/>
    <w:rsid w:val="005D511D"/>
    <w:rsid w:val="005D6368"/>
    <w:rsid w:val="005D7D98"/>
    <w:rsid w:val="005E19AA"/>
    <w:rsid w:val="005E3AEE"/>
    <w:rsid w:val="005E4192"/>
    <w:rsid w:val="005E6CBC"/>
    <w:rsid w:val="005E72FF"/>
    <w:rsid w:val="005E73C0"/>
    <w:rsid w:val="005F172C"/>
    <w:rsid w:val="005F2683"/>
    <w:rsid w:val="005F2706"/>
    <w:rsid w:val="005F480E"/>
    <w:rsid w:val="005F486F"/>
    <w:rsid w:val="005F597E"/>
    <w:rsid w:val="005F5F01"/>
    <w:rsid w:val="005F60C6"/>
    <w:rsid w:val="005F64C1"/>
    <w:rsid w:val="005F6731"/>
    <w:rsid w:val="005F6A8F"/>
    <w:rsid w:val="005F6BB7"/>
    <w:rsid w:val="005F6F69"/>
    <w:rsid w:val="005F7588"/>
    <w:rsid w:val="006003BB"/>
    <w:rsid w:val="00603DB9"/>
    <w:rsid w:val="00604DBA"/>
    <w:rsid w:val="0060523E"/>
    <w:rsid w:val="00606072"/>
    <w:rsid w:val="00606AB4"/>
    <w:rsid w:val="00606FBA"/>
    <w:rsid w:val="00607669"/>
    <w:rsid w:val="006076F4"/>
    <w:rsid w:val="00607AFD"/>
    <w:rsid w:val="00610C04"/>
    <w:rsid w:val="006110F2"/>
    <w:rsid w:val="00612834"/>
    <w:rsid w:val="00612BE2"/>
    <w:rsid w:val="00612F97"/>
    <w:rsid w:val="0061345D"/>
    <w:rsid w:val="0061549B"/>
    <w:rsid w:val="00616802"/>
    <w:rsid w:val="00617B24"/>
    <w:rsid w:val="00617E12"/>
    <w:rsid w:val="00620C25"/>
    <w:rsid w:val="00621477"/>
    <w:rsid w:val="00621ADA"/>
    <w:rsid w:val="006224EB"/>
    <w:rsid w:val="00623F7B"/>
    <w:rsid w:val="0062502B"/>
    <w:rsid w:val="006261FA"/>
    <w:rsid w:val="006264C6"/>
    <w:rsid w:val="0062685F"/>
    <w:rsid w:val="00627897"/>
    <w:rsid w:val="00627DE0"/>
    <w:rsid w:val="00630B80"/>
    <w:rsid w:val="0063158F"/>
    <w:rsid w:val="00631D6B"/>
    <w:rsid w:val="00632183"/>
    <w:rsid w:val="006330A1"/>
    <w:rsid w:val="0063479F"/>
    <w:rsid w:val="006353F0"/>
    <w:rsid w:val="006357B5"/>
    <w:rsid w:val="00635C57"/>
    <w:rsid w:val="006364A1"/>
    <w:rsid w:val="0063678E"/>
    <w:rsid w:val="00637BFD"/>
    <w:rsid w:val="006409F8"/>
    <w:rsid w:val="00641352"/>
    <w:rsid w:val="00641C4E"/>
    <w:rsid w:val="00641FB3"/>
    <w:rsid w:val="00643E36"/>
    <w:rsid w:val="0064434C"/>
    <w:rsid w:val="0064486E"/>
    <w:rsid w:val="006471CC"/>
    <w:rsid w:val="006477BA"/>
    <w:rsid w:val="00647A29"/>
    <w:rsid w:val="00647ABA"/>
    <w:rsid w:val="0065079F"/>
    <w:rsid w:val="006507C5"/>
    <w:rsid w:val="00650B52"/>
    <w:rsid w:val="00652A28"/>
    <w:rsid w:val="0065379F"/>
    <w:rsid w:val="00654128"/>
    <w:rsid w:val="006549DB"/>
    <w:rsid w:val="00656188"/>
    <w:rsid w:val="006567D8"/>
    <w:rsid w:val="006568B1"/>
    <w:rsid w:val="0065715A"/>
    <w:rsid w:val="00657F4D"/>
    <w:rsid w:val="00660F68"/>
    <w:rsid w:val="006610F1"/>
    <w:rsid w:val="0066117C"/>
    <w:rsid w:val="0066164F"/>
    <w:rsid w:val="00661C6B"/>
    <w:rsid w:val="0066278C"/>
    <w:rsid w:val="00666DDC"/>
    <w:rsid w:val="00670024"/>
    <w:rsid w:val="00671004"/>
    <w:rsid w:val="00672646"/>
    <w:rsid w:val="00673220"/>
    <w:rsid w:val="006747A5"/>
    <w:rsid w:val="00674E42"/>
    <w:rsid w:val="006762A2"/>
    <w:rsid w:val="0067651E"/>
    <w:rsid w:val="006813F8"/>
    <w:rsid w:val="00682075"/>
    <w:rsid w:val="00682112"/>
    <w:rsid w:val="00682BA6"/>
    <w:rsid w:val="006848ED"/>
    <w:rsid w:val="00685C3D"/>
    <w:rsid w:val="00686957"/>
    <w:rsid w:val="00686B6D"/>
    <w:rsid w:val="006872BA"/>
    <w:rsid w:val="00690795"/>
    <w:rsid w:val="00691648"/>
    <w:rsid w:val="006917D7"/>
    <w:rsid w:val="00693C7B"/>
    <w:rsid w:val="0069434C"/>
    <w:rsid w:val="0069444A"/>
    <w:rsid w:val="00694F44"/>
    <w:rsid w:val="006961FD"/>
    <w:rsid w:val="00696F51"/>
    <w:rsid w:val="0069701C"/>
    <w:rsid w:val="006979A5"/>
    <w:rsid w:val="006A6507"/>
    <w:rsid w:val="006A6B99"/>
    <w:rsid w:val="006A7E5F"/>
    <w:rsid w:val="006B18CC"/>
    <w:rsid w:val="006B1A01"/>
    <w:rsid w:val="006B261B"/>
    <w:rsid w:val="006B282D"/>
    <w:rsid w:val="006B2C90"/>
    <w:rsid w:val="006B35E6"/>
    <w:rsid w:val="006B3949"/>
    <w:rsid w:val="006B433A"/>
    <w:rsid w:val="006B465A"/>
    <w:rsid w:val="006B4AF9"/>
    <w:rsid w:val="006B4D1E"/>
    <w:rsid w:val="006B6424"/>
    <w:rsid w:val="006B6DD0"/>
    <w:rsid w:val="006B7BCB"/>
    <w:rsid w:val="006C0339"/>
    <w:rsid w:val="006C0399"/>
    <w:rsid w:val="006C29B5"/>
    <w:rsid w:val="006C2A8E"/>
    <w:rsid w:val="006C31D8"/>
    <w:rsid w:val="006C3255"/>
    <w:rsid w:val="006C3F26"/>
    <w:rsid w:val="006C3F77"/>
    <w:rsid w:val="006C440E"/>
    <w:rsid w:val="006C44DF"/>
    <w:rsid w:val="006C572B"/>
    <w:rsid w:val="006C5F18"/>
    <w:rsid w:val="006D0D17"/>
    <w:rsid w:val="006D24E9"/>
    <w:rsid w:val="006D3C7D"/>
    <w:rsid w:val="006D4000"/>
    <w:rsid w:val="006D4659"/>
    <w:rsid w:val="006D5D5F"/>
    <w:rsid w:val="006D62D6"/>
    <w:rsid w:val="006D68FB"/>
    <w:rsid w:val="006D6A5E"/>
    <w:rsid w:val="006D7C46"/>
    <w:rsid w:val="006E0F9F"/>
    <w:rsid w:val="006E2868"/>
    <w:rsid w:val="006E3A73"/>
    <w:rsid w:val="006E488E"/>
    <w:rsid w:val="006E51FF"/>
    <w:rsid w:val="006E6314"/>
    <w:rsid w:val="006E6BB6"/>
    <w:rsid w:val="006F1079"/>
    <w:rsid w:val="006F306C"/>
    <w:rsid w:val="006F5142"/>
    <w:rsid w:val="006F63A5"/>
    <w:rsid w:val="006F75DE"/>
    <w:rsid w:val="007003C5"/>
    <w:rsid w:val="0070142B"/>
    <w:rsid w:val="0070276E"/>
    <w:rsid w:val="00702F8F"/>
    <w:rsid w:val="007043D2"/>
    <w:rsid w:val="00704B9E"/>
    <w:rsid w:val="007079FC"/>
    <w:rsid w:val="00707A10"/>
    <w:rsid w:val="007102DC"/>
    <w:rsid w:val="00710940"/>
    <w:rsid w:val="00710C7C"/>
    <w:rsid w:val="007110C0"/>
    <w:rsid w:val="007111CD"/>
    <w:rsid w:val="007114DF"/>
    <w:rsid w:val="00711A36"/>
    <w:rsid w:val="00714C26"/>
    <w:rsid w:val="0071529C"/>
    <w:rsid w:val="007170DA"/>
    <w:rsid w:val="007172AD"/>
    <w:rsid w:val="00717C41"/>
    <w:rsid w:val="00720454"/>
    <w:rsid w:val="00720801"/>
    <w:rsid w:val="00721083"/>
    <w:rsid w:val="00722004"/>
    <w:rsid w:val="00722B1B"/>
    <w:rsid w:val="00723ACB"/>
    <w:rsid w:val="00723BDA"/>
    <w:rsid w:val="0072416F"/>
    <w:rsid w:val="0072764E"/>
    <w:rsid w:val="00727B0A"/>
    <w:rsid w:val="00727C94"/>
    <w:rsid w:val="00731B0A"/>
    <w:rsid w:val="00731EAE"/>
    <w:rsid w:val="00733073"/>
    <w:rsid w:val="00735033"/>
    <w:rsid w:val="00735328"/>
    <w:rsid w:val="0073545D"/>
    <w:rsid w:val="0073685B"/>
    <w:rsid w:val="00736EC5"/>
    <w:rsid w:val="007404F4"/>
    <w:rsid w:val="007426E1"/>
    <w:rsid w:val="007427EC"/>
    <w:rsid w:val="007449BF"/>
    <w:rsid w:val="00744E38"/>
    <w:rsid w:val="00746037"/>
    <w:rsid w:val="00746BC0"/>
    <w:rsid w:val="00747DD2"/>
    <w:rsid w:val="007510B4"/>
    <w:rsid w:val="00752142"/>
    <w:rsid w:val="0075218E"/>
    <w:rsid w:val="007523F9"/>
    <w:rsid w:val="0075288B"/>
    <w:rsid w:val="0075357E"/>
    <w:rsid w:val="00754350"/>
    <w:rsid w:val="00754E53"/>
    <w:rsid w:val="00755BFD"/>
    <w:rsid w:val="00756EA0"/>
    <w:rsid w:val="007573E8"/>
    <w:rsid w:val="007575B1"/>
    <w:rsid w:val="007578F6"/>
    <w:rsid w:val="00760498"/>
    <w:rsid w:val="00760C4E"/>
    <w:rsid w:val="00760F9E"/>
    <w:rsid w:val="007610F4"/>
    <w:rsid w:val="007627BE"/>
    <w:rsid w:val="0076440A"/>
    <w:rsid w:val="00764F03"/>
    <w:rsid w:val="00765B1A"/>
    <w:rsid w:val="00766594"/>
    <w:rsid w:val="00767AC1"/>
    <w:rsid w:val="0077048A"/>
    <w:rsid w:val="00770ADB"/>
    <w:rsid w:val="00770C3E"/>
    <w:rsid w:val="00773DBF"/>
    <w:rsid w:val="00777335"/>
    <w:rsid w:val="00777348"/>
    <w:rsid w:val="007843F2"/>
    <w:rsid w:val="00785A9F"/>
    <w:rsid w:val="007864CE"/>
    <w:rsid w:val="00786B49"/>
    <w:rsid w:val="00786B5E"/>
    <w:rsid w:val="00787A06"/>
    <w:rsid w:val="007906CE"/>
    <w:rsid w:val="00791FE2"/>
    <w:rsid w:val="007925DF"/>
    <w:rsid w:val="0079489A"/>
    <w:rsid w:val="00795DD5"/>
    <w:rsid w:val="0079798A"/>
    <w:rsid w:val="007A08AA"/>
    <w:rsid w:val="007A0A12"/>
    <w:rsid w:val="007A132D"/>
    <w:rsid w:val="007A1345"/>
    <w:rsid w:val="007A2392"/>
    <w:rsid w:val="007A273F"/>
    <w:rsid w:val="007A2DDB"/>
    <w:rsid w:val="007A58E9"/>
    <w:rsid w:val="007A70BA"/>
    <w:rsid w:val="007A7354"/>
    <w:rsid w:val="007A7B4B"/>
    <w:rsid w:val="007B098A"/>
    <w:rsid w:val="007B0D68"/>
    <w:rsid w:val="007B22EA"/>
    <w:rsid w:val="007B2504"/>
    <w:rsid w:val="007B251D"/>
    <w:rsid w:val="007B3DFA"/>
    <w:rsid w:val="007B4F58"/>
    <w:rsid w:val="007B528D"/>
    <w:rsid w:val="007B5F1D"/>
    <w:rsid w:val="007B63CA"/>
    <w:rsid w:val="007B77D1"/>
    <w:rsid w:val="007B7A86"/>
    <w:rsid w:val="007C07C7"/>
    <w:rsid w:val="007C1CD9"/>
    <w:rsid w:val="007C32EF"/>
    <w:rsid w:val="007C361D"/>
    <w:rsid w:val="007C44AB"/>
    <w:rsid w:val="007C4917"/>
    <w:rsid w:val="007C4B84"/>
    <w:rsid w:val="007C70FF"/>
    <w:rsid w:val="007C723C"/>
    <w:rsid w:val="007C77EA"/>
    <w:rsid w:val="007C7C25"/>
    <w:rsid w:val="007D004F"/>
    <w:rsid w:val="007D0760"/>
    <w:rsid w:val="007D0B38"/>
    <w:rsid w:val="007D2E2A"/>
    <w:rsid w:val="007D3F79"/>
    <w:rsid w:val="007D3F87"/>
    <w:rsid w:val="007D4ED6"/>
    <w:rsid w:val="007D5440"/>
    <w:rsid w:val="007D58C9"/>
    <w:rsid w:val="007D58D5"/>
    <w:rsid w:val="007D5B63"/>
    <w:rsid w:val="007D64DC"/>
    <w:rsid w:val="007D69EB"/>
    <w:rsid w:val="007E128F"/>
    <w:rsid w:val="007E1DF4"/>
    <w:rsid w:val="007E288D"/>
    <w:rsid w:val="007E54AF"/>
    <w:rsid w:val="007E574E"/>
    <w:rsid w:val="007F06BE"/>
    <w:rsid w:val="007F1017"/>
    <w:rsid w:val="007F1DA5"/>
    <w:rsid w:val="007F237E"/>
    <w:rsid w:val="007F26F4"/>
    <w:rsid w:val="007F27EE"/>
    <w:rsid w:val="007F346E"/>
    <w:rsid w:val="007F4A3F"/>
    <w:rsid w:val="007F4A61"/>
    <w:rsid w:val="007F5255"/>
    <w:rsid w:val="007F56CC"/>
    <w:rsid w:val="007F61C2"/>
    <w:rsid w:val="007F66F9"/>
    <w:rsid w:val="007F688C"/>
    <w:rsid w:val="007F68B3"/>
    <w:rsid w:val="007F7399"/>
    <w:rsid w:val="007F7B7A"/>
    <w:rsid w:val="00800CB5"/>
    <w:rsid w:val="00801585"/>
    <w:rsid w:val="00801A84"/>
    <w:rsid w:val="00801C01"/>
    <w:rsid w:val="00802A0C"/>
    <w:rsid w:val="00802E0C"/>
    <w:rsid w:val="00803D1E"/>
    <w:rsid w:val="00803D94"/>
    <w:rsid w:val="00805142"/>
    <w:rsid w:val="00805436"/>
    <w:rsid w:val="00805653"/>
    <w:rsid w:val="00805FCE"/>
    <w:rsid w:val="00806737"/>
    <w:rsid w:val="00807A8B"/>
    <w:rsid w:val="00807F57"/>
    <w:rsid w:val="00807F9C"/>
    <w:rsid w:val="008107D2"/>
    <w:rsid w:val="0081082F"/>
    <w:rsid w:val="00811383"/>
    <w:rsid w:val="00811F93"/>
    <w:rsid w:val="00812149"/>
    <w:rsid w:val="00812757"/>
    <w:rsid w:val="00812CAC"/>
    <w:rsid w:val="008144C3"/>
    <w:rsid w:val="00815B29"/>
    <w:rsid w:val="00816361"/>
    <w:rsid w:val="008166EF"/>
    <w:rsid w:val="00816FEF"/>
    <w:rsid w:val="008206A0"/>
    <w:rsid w:val="00820A8C"/>
    <w:rsid w:val="00820E5B"/>
    <w:rsid w:val="008215FB"/>
    <w:rsid w:val="00823174"/>
    <w:rsid w:val="00825751"/>
    <w:rsid w:val="00825F1F"/>
    <w:rsid w:val="008264EB"/>
    <w:rsid w:val="00830231"/>
    <w:rsid w:val="00833988"/>
    <w:rsid w:val="00833B05"/>
    <w:rsid w:val="00834950"/>
    <w:rsid w:val="008362B4"/>
    <w:rsid w:val="0083746C"/>
    <w:rsid w:val="008376D9"/>
    <w:rsid w:val="0084029C"/>
    <w:rsid w:val="00840664"/>
    <w:rsid w:val="00840CA2"/>
    <w:rsid w:val="0084374F"/>
    <w:rsid w:val="00844A22"/>
    <w:rsid w:val="0084548F"/>
    <w:rsid w:val="008470B8"/>
    <w:rsid w:val="00847703"/>
    <w:rsid w:val="00847971"/>
    <w:rsid w:val="00847DF5"/>
    <w:rsid w:val="0085309D"/>
    <w:rsid w:val="0085481A"/>
    <w:rsid w:val="0085595E"/>
    <w:rsid w:val="00856897"/>
    <w:rsid w:val="00856E9A"/>
    <w:rsid w:val="0085721B"/>
    <w:rsid w:val="00860328"/>
    <w:rsid w:val="0086075D"/>
    <w:rsid w:val="00862138"/>
    <w:rsid w:val="00862502"/>
    <w:rsid w:val="00862CC1"/>
    <w:rsid w:val="00864616"/>
    <w:rsid w:val="00864F6D"/>
    <w:rsid w:val="00865FD5"/>
    <w:rsid w:val="008660D4"/>
    <w:rsid w:val="00866D60"/>
    <w:rsid w:val="0086727D"/>
    <w:rsid w:val="00867F0C"/>
    <w:rsid w:val="0087062B"/>
    <w:rsid w:val="00871FA9"/>
    <w:rsid w:val="008728E9"/>
    <w:rsid w:val="00882874"/>
    <w:rsid w:val="00882E3C"/>
    <w:rsid w:val="00883787"/>
    <w:rsid w:val="00883CA2"/>
    <w:rsid w:val="008855E4"/>
    <w:rsid w:val="00886333"/>
    <w:rsid w:val="00886CD2"/>
    <w:rsid w:val="008872FB"/>
    <w:rsid w:val="0089172A"/>
    <w:rsid w:val="00891E6F"/>
    <w:rsid w:val="0089275D"/>
    <w:rsid w:val="00892A36"/>
    <w:rsid w:val="00893239"/>
    <w:rsid w:val="00894489"/>
    <w:rsid w:val="0089612A"/>
    <w:rsid w:val="008963A5"/>
    <w:rsid w:val="00896D5D"/>
    <w:rsid w:val="00897916"/>
    <w:rsid w:val="008A19F0"/>
    <w:rsid w:val="008A3363"/>
    <w:rsid w:val="008A3371"/>
    <w:rsid w:val="008A3C3E"/>
    <w:rsid w:val="008A434D"/>
    <w:rsid w:val="008A599A"/>
    <w:rsid w:val="008A79DE"/>
    <w:rsid w:val="008B1757"/>
    <w:rsid w:val="008B34EC"/>
    <w:rsid w:val="008B43F8"/>
    <w:rsid w:val="008B4ACD"/>
    <w:rsid w:val="008B5BFE"/>
    <w:rsid w:val="008B65BE"/>
    <w:rsid w:val="008B6D77"/>
    <w:rsid w:val="008B7992"/>
    <w:rsid w:val="008B7BF4"/>
    <w:rsid w:val="008B7D7E"/>
    <w:rsid w:val="008C19E1"/>
    <w:rsid w:val="008C3840"/>
    <w:rsid w:val="008C5116"/>
    <w:rsid w:val="008C5610"/>
    <w:rsid w:val="008C5739"/>
    <w:rsid w:val="008C5C25"/>
    <w:rsid w:val="008C5D71"/>
    <w:rsid w:val="008C7E67"/>
    <w:rsid w:val="008C7ECB"/>
    <w:rsid w:val="008D29D1"/>
    <w:rsid w:val="008D2AD6"/>
    <w:rsid w:val="008D3B86"/>
    <w:rsid w:val="008D4755"/>
    <w:rsid w:val="008D4C3D"/>
    <w:rsid w:val="008D61D2"/>
    <w:rsid w:val="008D743C"/>
    <w:rsid w:val="008E01F2"/>
    <w:rsid w:val="008E0D3C"/>
    <w:rsid w:val="008E1B9E"/>
    <w:rsid w:val="008E40CE"/>
    <w:rsid w:val="008E44BC"/>
    <w:rsid w:val="008E4AEB"/>
    <w:rsid w:val="008E55AB"/>
    <w:rsid w:val="008F0241"/>
    <w:rsid w:val="008F09AD"/>
    <w:rsid w:val="008F0E25"/>
    <w:rsid w:val="008F120A"/>
    <w:rsid w:val="008F27E0"/>
    <w:rsid w:val="008F44A3"/>
    <w:rsid w:val="008F48EB"/>
    <w:rsid w:val="008F4F0B"/>
    <w:rsid w:val="008F55D5"/>
    <w:rsid w:val="008F7EC5"/>
    <w:rsid w:val="00900079"/>
    <w:rsid w:val="009005EB"/>
    <w:rsid w:val="00901CEA"/>
    <w:rsid w:val="0090300B"/>
    <w:rsid w:val="00904217"/>
    <w:rsid w:val="009046C4"/>
    <w:rsid w:val="009062A5"/>
    <w:rsid w:val="00910715"/>
    <w:rsid w:val="00910FA7"/>
    <w:rsid w:val="009111BB"/>
    <w:rsid w:val="00911272"/>
    <w:rsid w:val="009135D6"/>
    <w:rsid w:val="00914C77"/>
    <w:rsid w:val="00921ACB"/>
    <w:rsid w:val="0092369B"/>
    <w:rsid w:val="00923C88"/>
    <w:rsid w:val="009241B5"/>
    <w:rsid w:val="00925B0F"/>
    <w:rsid w:val="009317D5"/>
    <w:rsid w:val="009326D3"/>
    <w:rsid w:val="00934988"/>
    <w:rsid w:val="00935E8B"/>
    <w:rsid w:val="0093665D"/>
    <w:rsid w:val="00937089"/>
    <w:rsid w:val="009422D8"/>
    <w:rsid w:val="00944F8A"/>
    <w:rsid w:val="00945A6C"/>
    <w:rsid w:val="00946E1F"/>
    <w:rsid w:val="0095043F"/>
    <w:rsid w:val="009504CA"/>
    <w:rsid w:val="00950899"/>
    <w:rsid w:val="009510A2"/>
    <w:rsid w:val="00953257"/>
    <w:rsid w:val="0095474C"/>
    <w:rsid w:val="009554B3"/>
    <w:rsid w:val="00956789"/>
    <w:rsid w:val="0095742F"/>
    <w:rsid w:val="00960579"/>
    <w:rsid w:val="00961182"/>
    <w:rsid w:val="00961B33"/>
    <w:rsid w:val="00962CB9"/>
    <w:rsid w:val="0096333B"/>
    <w:rsid w:val="00964312"/>
    <w:rsid w:val="0096493E"/>
    <w:rsid w:val="00965B8A"/>
    <w:rsid w:val="00965E5D"/>
    <w:rsid w:val="0097071F"/>
    <w:rsid w:val="009717AC"/>
    <w:rsid w:val="00972D6B"/>
    <w:rsid w:val="0097324B"/>
    <w:rsid w:val="009751C1"/>
    <w:rsid w:val="0097522E"/>
    <w:rsid w:val="009767CC"/>
    <w:rsid w:val="00981149"/>
    <w:rsid w:val="009811F1"/>
    <w:rsid w:val="00981807"/>
    <w:rsid w:val="00983E57"/>
    <w:rsid w:val="0098481C"/>
    <w:rsid w:val="009849F4"/>
    <w:rsid w:val="0098534E"/>
    <w:rsid w:val="00985DE2"/>
    <w:rsid w:val="0098675D"/>
    <w:rsid w:val="009903B1"/>
    <w:rsid w:val="00990573"/>
    <w:rsid w:val="009910C1"/>
    <w:rsid w:val="00991AEC"/>
    <w:rsid w:val="009926E0"/>
    <w:rsid w:val="00992D14"/>
    <w:rsid w:val="0099451E"/>
    <w:rsid w:val="00995DA2"/>
    <w:rsid w:val="00996B1A"/>
    <w:rsid w:val="00997418"/>
    <w:rsid w:val="00997951"/>
    <w:rsid w:val="00997A9B"/>
    <w:rsid w:val="009A2DCC"/>
    <w:rsid w:val="009A386E"/>
    <w:rsid w:val="009A4AFA"/>
    <w:rsid w:val="009A53F0"/>
    <w:rsid w:val="009A5ABC"/>
    <w:rsid w:val="009A7F10"/>
    <w:rsid w:val="009B1828"/>
    <w:rsid w:val="009B3490"/>
    <w:rsid w:val="009B3E26"/>
    <w:rsid w:val="009B5499"/>
    <w:rsid w:val="009B5BA9"/>
    <w:rsid w:val="009C1FF4"/>
    <w:rsid w:val="009C2962"/>
    <w:rsid w:val="009C3706"/>
    <w:rsid w:val="009C3A3A"/>
    <w:rsid w:val="009C49CA"/>
    <w:rsid w:val="009C5D8A"/>
    <w:rsid w:val="009C667E"/>
    <w:rsid w:val="009C6CEA"/>
    <w:rsid w:val="009C6F49"/>
    <w:rsid w:val="009C7330"/>
    <w:rsid w:val="009C7B85"/>
    <w:rsid w:val="009D008D"/>
    <w:rsid w:val="009D0254"/>
    <w:rsid w:val="009D075E"/>
    <w:rsid w:val="009D1A64"/>
    <w:rsid w:val="009D23A6"/>
    <w:rsid w:val="009D2F59"/>
    <w:rsid w:val="009D49CB"/>
    <w:rsid w:val="009D535A"/>
    <w:rsid w:val="009D5B91"/>
    <w:rsid w:val="009D669E"/>
    <w:rsid w:val="009D6B2A"/>
    <w:rsid w:val="009D792E"/>
    <w:rsid w:val="009E0DFE"/>
    <w:rsid w:val="009E27BA"/>
    <w:rsid w:val="009E31F6"/>
    <w:rsid w:val="009E4C07"/>
    <w:rsid w:val="009E4DE2"/>
    <w:rsid w:val="009E5209"/>
    <w:rsid w:val="009E592B"/>
    <w:rsid w:val="009F321D"/>
    <w:rsid w:val="009F612C"/>
    <w:rsid w:val="009F76ED"/>
    <w:rsid w:val="009F797B"/>
    <w:rsid w:val="009F799B"/>
    <w:rsid w:val="00A00F56"/>
    <w:rsid w:val="00A01184"/>
    <w:rsid w:val="00A02050"/>
    <w:rsid w:val="00A021BC"/>
    <w:rsid w:val="00A037C2"/>
    <w:rsid w:val="00A03D43"/>
    <w:rsid w:val="00A04380"/>
    <w:rsid w:val="00A04E39"/>
    <w:rsid w:val="00A05472"/>
    <w:rsid w:val="00A05C32"/>
    <w:rsid w:val="00A0653F"/>
    <w:rsid w:val="00A068B4"/>
    <w:rsid w:val="00A06E65"/>
    <w:rsid w:val="00A10FC0"/>
    <w:rsid w:val="00A11CD0"/>
    <w:rsid w:val="00A13948"/>
    <w:rsid w:val="00A14390"/>
    <w:rsid w:val="00A1555B"/>
    <w:rsid w:val="00A155C5"/>
    <w:rsid w:val="00A155EB"/>
    <w:rsid w:val="00A15A82"/>
    <w:rsid w:val="00A169E6"/>
    <w:rsid w:val="00A16AD8"/>
    <w:rsid w:val="00A17EC3"/>
    <w:rsid w:val="00A21C95"/>
    <w:rsid w:val="00A21CF3"/>
    <w:rsid w:val="00A24813"/>
    <w:rsid w:val="00A25EC0"/>
    <w:rsid w:val="00A27AEC"/>
    <w:rsid w:val="00A320DB"/>
    <w:rsid w:val="00A3241C"/>
    <w:rsid w:val="00A33169"/>
    <w:rsid w:val="00A33E55"/>
    <w:rsid w:val="00A35D16"/>
    <w:rsid w:val="00A366F5"/>
    <w:rsid w:val="00A37BCD"/>
    <w:rsid w:val="00A41689"/>
    <w:rsid w:val="00A42592"/>
    <w:rsid w:val="00A43705"/>
    <w:rsid w:val="00A43C59"/>
    <w:rsid w:val="00A46FA6"/>
    <w:rsid w:val="00A475AE"/>
    <w:rsid w:val="00A50ECD"/>
    <w:rsid w:val="00A518F3"/>
    <w:rsid w:val="00A51A24"/>
    <w:rsid w:val="00A52729"/>
    <w:rsid w:val="00A53675"/>
    <w:rsid w:val="00A56449"/>
    <w:rsid w:val="00A564D7"/>
    <w:rsid w:val="00A56B6A"/>
    <w:rsid w:val="00A578DC"/>
    <w:rsid w:val="00A60BAF"/>
    <w:rsid w:val="00A61D09"/>
    <w:rsid w:val="00A6231A"/>
    <w:rsid w:val="00A640E2"/>
    <w:rsid w:val="00A64D65"/>
    <w:rsid w:val="00A6725B"/>
    <w:rsid w:val="00A70605"/>
    <w:rsid w:val="00A71427"/>
    <w:rsid w:val="00A72A56"/>
    <w:rsid w:val="00A73134"/>
    <w:rsid w:val="00A75B64"/>
    <w:rsid w:val="00A76001"/>
    <w:rsid w:val="00A777B2"/>
    <w:rsid w:val="00A77923"/>
    <w:rsid w:val="00A803DF"/>
    <w:rsid w:val="00A81133"/>
    <w:rsid w:val="00A81D27"/>
    <w:rsid w:val="00A825D4"/>
    <w:rsid w:val="00A828F6"/>
    <w:rsid w:val="00A82B73"/>
    <w:rsid w:val="00A86E8B"/>
    <w:rsid w:val="00A87164"/>
    <w:rsid w:val="00A900EB"/>
    <w:rsid w:val="00A93072"/>
    <w:rsid w:val="00A930D8"/>
    <w:rsid w:val="00A938BD"/>
    <w:rsid w:val="00A93953"/>
    <w:rsid w:val="00A9543D"/>
    <w:rsid w:val="00A959D8"/>
    <w:rsid w:val="00A96CDB"/>
    <w:rsid w:val="00AA113D"/>
    <w:rsid w:val="00AA2C69"/>
    <w:rsid w:val="00AA3226"/>
    <w:rsid w:val="00AA49B6"/>
    <w:rsid w:val="00AA683E"/>
    <w:rsid w:val="00AA6BD5"/>
    <w:rsid w:val="00AA6BD8"/>
    <w:rsid w:val="00AA6C7D"/>
    <w:rsid w:val="00AA707A"/>
    <w:rsid w:val="00AA7FD6"/>
    <w:rsid w:val="00AB042A"/>
    <w:rsid w:val="00AB146E"/>
    <w:rsid w:val="00AB19EF"/>
    <w:rsid w:val="00AB1F69"/>
    <w:rsid w:val="00AB2D34"/>
    <w:rsid w:val="00AB3430"/>
    <w:rsid w:val="00AB37B9"/>
    <w:rsid w:val="00AB4AD1"/>
    <w:rsid w:val="00AB5E07"/>
    <w:rsid w:val="00AB7CFA"/>
    <w:rsid w:val="00AC00E5"/>
    <w:rsid w:val="00AC11C2"/>
    <w:rsid w:val="00AC25F4"/>
    <w:rsid w:val="00AC3921"/>
    <w:rsid w:val="00AC4269"/>
    <w:rsid w:val="00AC5B48"/>
    <w:rsid w:val="00AD0C7A"/>
    <w:rsid w:val="00AD1450"/>
    <w:rsid w:val="00AD1E40"/>
    <w:rsid w:val="00AD4F16"/>
    <w:rsid w:val="00AD6502"/>
    <w:rsid w:val="00AD70E7"/>
    <w:rsid w:val="00AE0695"/>
    <w:rsid w:val="00AE3E7E"/>
    <w:rsid w:val="00AE48DD"/>
    <w:rsid w:val="00AF0002"/>
    <w:rsid w:val="00AF0D53"/>
    <w:rsid w:val="00AF11D8"/>
    <w:rsid w:val="00AF1315"/>
    <w:rsid w:val="00AF19BF"/>
    <w:rsid w:val="00AF2DC3"/>
    <w:rsid w:val="00AF6EB1"/>
    <w:rsid w:val="00AF768B"/>
    <w:rsid w:val="00AF7C18"/>
    <w:rsid w:val="00AF7D4F"/>
    <w:rsid w:val="00AF7D90"/>
    <w:rsid w:val="00B01784"/>
    <w:rsid w:val="00B01C06"/>
    <w:rsid w:val="00B033E5"/>
    <w:rsid w:val="00B03A63"/>
    <w:rsid w:val="00B04F17"/>
    <w:rsid w:val="00B05724"/>
    <w:rsid w:val="00B06098"/>
    <w:rsid w:val="00B06190"/>
    <w:rsid w:val="00B106F1"/>
    <w:rsid w:val="00B10D5C"/>
    <w:rsid w:val="00B115CC"/>
    <w:rsid w:val="00B1513C"/>
    <w:rsid w:val="00B162DB"/>
    <w:rsid w:val="00B16835"/>
    <w:rsid w:val="00B201A4"/>
    <w:rsid w:val="00B201D1"/>
    <w:rsid w:val="00B213A6"/>
    <w:rsid w:val="00B220F4"/>
    <w:rsid w:val="00B235B0"/>
    <w:rsid w:val="00B23D19"/>
    <w:rsid w:val="00B243B4"/>
    <w:rsid w:val="00B244F0"/>
    <w:rsid w:val="00B24DF6"/>
    <w:rsid w:val="00B2539C"/>
    <w:rsid w:val="00B25C67"/>
    <w:rsid w:val="00B32C3F"/>
    <w:rsid w:val="00B33969"/>
    <w:rsid w:val="00B34FCB"/>
    <w:rsid w:val="00B34FE2"/>
    <w:rsid w:val="00B35166"/>
    <w:rsid w:val="00B357D8"/>
    <w:rsid w:val="00B360F4"/>
    <w:rsid w:val="00B36A00"/>
    <w:rsid w:val="00B37BFC"/>
    <w:rsid w:val="00B40358"/>
    <w:rsid w:val="00B4068C"/>
    <w:rsid w:val="00B41614"/>
    <w:rsid w:val="00B42851"/>
    <w:rsid w:val="00B42F80"/>
    <w:rsid w:val="00B435CB"/>
    <w:rsid w:val="00B443AB"/>
    <w:rsid w:val="00B45E15"/>
    <w:rsid w:val="00B46931"/>
    <w:rsid w:val="00B4766F"/>
    <w:rsid w:val="00B505C8"/>
    <w:rsid w:val="00B508F8"/>
    <w:rsid w:val="00B50B59"/>
    <w:rsid w:val="00B50DB8"/>
    <w:rsid w:val="00B52299"/>
    <w:rsid w:val="00B52579"/>
    <w:rsid w:val="00B53654"/>
    <w:rsid w:val="00B53905"/>
    <w:rsid w:val="00B54606"/>
    <w:rsid w:val="00B54B5B"/>
    <w:rsid w:val="00B5562E"/>
    <w:rsid w:val="00B55862"/>
    <w:rsid w:val="00B55D65"/>
    <w:rsid w:val="00B56836"/>
    <w:rsid w:val="00B57000"/>
    <w:rsid w:val="00B5717B"/>
    <w:rsid w:val="00B60939"/>
    <w:rsid w:val="00B60AFD"/>
    <w:rsid w:val="00B62200"/>
    <w:rsid w:val="00B62715"/>
    <w:rsid w:val="00B64C22"/>
    <w:rsid w:val="00B65611"/>
    <w:rsid w:val="00B65A1F"/>
    <w:rsid w:val="00B67B85"/>
    <w:rsid w:val="00B70C0A"/>
    <w:rsid w:val="00B70E8E"/>
    <w:rsid w:val="00B7140B"/>
    <w:rsid w:val="00B757B8"/>
    <w:rsid w:val="00B75FFA"/>
    <w:rsid w:val="00B76C92"/>
    <w:rsid w:val="00B77521"/>
    <w:rsid w:val="00B810CE"/>
    <w:rsid w:val="00B818A4"/>
    <w:rsid w:val="00B81A8A"/>
    <w:rsid w:val="00B8237B"/>
    <w:rsid w:val="00B84117"/>
    <w:rsid w:val="00B858F0"/>
    <w:rsid w:val="00B85AA2"/>
    <w:rsid w:val="00B8649C"/>
    <w:rsid w:val="00B8695D"/>
    <w:rsid w:val="00B87F0A"/>
    <w:rsid w:val="00B9038F"/>
    <w:rsid w:val="00B92D0B"/>
    <w:rsid w:val="00B94459"/>
    <w:rsid w:val="00B94945"/>
    <w:rsid w:val="00B94DD6"/>
    <w:rsid w:val="00B972EA"/>
    <w:rsid w:val="00BA07BF"/>
    <w:rsid w:val="00BA089F"/>
    <w:rsid w:val="00BA0AE4"/>
    <w:rsid w:val="00BA12BA"/>
    <w:rsid w:val="00BA1570"/>
    <w:rsid w:val="00BA322D"/>
    <w:rsid w:val="00BA3634"/>
    <w:rsid w:val="00BA4D5C"/>
    <w:rsid w:val="00BA6108"/>
    <w:rsid w:val="00BA63D2"/>
    <w:rsid w:val="00BA63FA"/>
    <w:rsid w:val="00BA74E7"/>
    <w:rsid w:val="00BA771B"/>
    <w:rsid w:val="00BA7847"/>
    <w:rsid w:val="00BB00B3"/>
    <w:rsid w:val="00BB09AB"/>
    <w:rsid w:val="00BB0BDD"/>
    <w:rsid w:val="00BB1236"/>
    <w:rsid w:val="00BB176C"/>
    <w:rsid w:val="00BB2A73"/>
    <w:rsid w:val="00BB32C3"/>
    <w:rsid w:val="00BB3A45"/>
    <w:rsid w:val="00BB4ACC"/>
    <w:rsid w:val="00BB605F"/>
    <w:rsid w:val="00BB703E"/>
    <w:rsid w:val="00BB732D"/>
    <w:rsid w:val="00BB7405"/>
    <w:rsid w:val="00BC1FAC"/>
    <w:rsid w:val="00BC2043"/>
    <w:rsid w:val="00BC324A"/>
    <w:rsid w:val="00BC344A"/>
    <w:rsid w:val="00BC3631"/>
    <w:rsid w:val="00BC54A1"/>
    <w:rsid w:val="00BC591F"/>
    <w:rsid w:val="00BC6C98"/>
    <w:rsid w:val="00BC7D6D"/>
    <w:rsid w:val="00BD1731"/>
    <w:rsid w:val="00BD1E75"/>
    <w:rsid w:val="00BD2108"/>
    <w:rsid w:val="00BD379E"/>
    <w:rsid w:val="00BD41FB"/>
    <w:rsid w:val="00BD4C10"/>
    <w:rsid w:val="00BD5E37"/>
    <w:rsid w:val="00BD68A3"/>
    <w:rsid w:val="00BD6938"/>
    <w:rsid w:val="00BD6CF3"/>
    <w:rsid w:val="00BE0DB3"/>
    <w:rsid w:val="00BE0ECA"/>
    <w:rsid w:val="00BE100F"/>
    <w:rsid w:val="00BE1A36"/>
    <w:rsid w:val="00BE2180"/>
    <w:rsid w:val="00BE21F2"/>
    <w:rsid w:val="00BE2A17"/>
    <w:rsid w:val="00BE3414"/>
    <w:rsid w:val="00BE3591"/>
    <w:rsid w:val="00BE39FB"/>
    <w:rsid w:val="00BE3D79"/>
    <w:rsid w:val="00BE4275"/>
    <w:rsid w:val="00BE441B"/>
    <w:rsid w:val="00BE66F9"/>
    <w:rsid w:val="00BE74BF"/>
    <w:rsid w:val="00BF06AE"/>
    <w:rsid w:val="00BF0F95"/>
    <w:rsid w:val="00BF2433"/>
    <w:rsid w:val="00BF34D3"/>
    <w:rsid w:val="00BF4D17"/>
    <w:rsid w:val="00BF5E46"/>
    <w:rsid w:val="00BF61C9"/>
    <w:rsid w:val="00BF6C94"/>
    <w:rsid w:val="00BF7815"/>
    <w:rsid w:val="00C00424"/>
    <w:rsid w:val="00C00DC8"/>
    <w:rsid w:val="00C02EAD"/>
    <w:rsid w:val="00C04926"/>
    <w:rsid w:val="00C0523B"/>
    <w:rsid w:val="00C05FB2"/>
    <w:rsid w:val="00C1037C"/>
    <w:rsid w:val="00C10C2B"/>
    <w:rsid w:val="00C1179F"/>
    <w:rsid w:val="00C12B4F"/>
    <w:rsid w:val="00C12C14"/>
    <w:rsid w:val="00C148B3"/>
    <w:rsid w:val="00C15E36"/>
    <w:rsid w:val="00C15F04"/>
    <w:rsid w:val="00C16489"/>
    <w:rsid w:val="00C179B3"/>
    <w:rsid w:val="00C17E3F"/>
    <w:rsid w:val="00C200AA"/>
    <w:rsid w:val="00C22F10"/>
    <w:rsid w:val="00C237ED"/>
    <w:rsid w:val="00C24632"/>
    <w:rsid w:val="00C25418"/>
    <w:rsid w:val="00C25D27"/>
    <w:rsid w:val="00C25D9C"/>
    <w:rsid w:val="00C26C8F"/>
    <w:rsid w:val="00C2778B"/>
    <w:rsid w:val="00C311D8"/>
    <w:rsid w:val="00C31649"/>
    <w:rsid w:val="00C32818"/>
    <w:rsid w:val="00C3434C"/>
    <w:rsid w:val="00C34844"/>
    <w:rsid w:val="00C35084"/>
    <w:rsid w:val="00C35C9C"/>
    <w:rsid w:val="00C36107"/>
    <w:rsid w:val="00C40385"/>
    <w:rsid w:val="00C4057F"/>
    <w:rsid w:val="00C40CDF"/>
    <w:rsid w:val="00C41768"/>
    <w:rsid w:val="00C4245F"/>
    <w:rsid w:val="00C475AA"/>
    <w:rsid w:val="00C47A8E"/>
    <w:rsid w:val="00C53C98"/>
    <w:rsid w:val="00C53DC6"/>
    <w:rsid w:val="00C56BD7"/>
    <w:rsid w:val="00C56FCF"/>
    <w:rsid w:val="00C57B6C"/>
    <w:rsid w:val="00C61C82"/>
    <w:rsid w:val="00C628A6"/>
    <w:rsid w:val="00C63254"/>
    <w:rsid w:val="00C64344"/>
    <w:rsid w:val="00C65108"/>
    <w:rsid w:val="00C65576"/>
    <w:rsid w:val="00C659E0"/>
    <w:rsid w:val="00C659E3"/>
    <w:rsid w:val="00C66165"/>
    <w:rsid w:val="00C7032A"/>
    <w:rsid w:val="00C7060A"/>
    <w:rsid w:val="00C70E7B"/>
    <w:rsid w:val="00C7151A"/>
    <w:rsid w:val="00C717E3"/>
    <w:rsid w:val="00C71F60"/>
    <w:rsid w:val="00C72241"/>
    <w:rsid w:val="00C750C8"/>
    <w:rsid w:val="00C7560F"/>
    <w:rsid w:val="00C775AE"/>
    <w:rsid w:val="00C80532"/>
    <w:rsid w:val="00C80A0E"/>
    <w:rsid w:val="00C80C45"/>
    <w:rsid w:val="00C8213F"/>
    <w:rsid w:val="00C82B37"/>
    <w:rsid w:val="00C83EC2"/>
    <w:rsid w:val="00C85154"/>
    <w:rsid w:val="00C85C6B"/>
    <w:rsid w:val="00C862E2"/>
    <w:rsid w:val="00C8767D"/>
    <w:rsid w:val="00C8797A"/>
    <w:rsid w:val="00C900B8"/>
    <w:rsid w:val="00C9023D"/>
    <w:rsid w:val="00C90C71"/>
    <w:rsid w:val="00C91FD1"/>
    <w:rsid w:val="00C92B1F"/>
    <w:rsid w:val="00C92FA2"/>
    <w:rsid w:val="00C931CF"/>
    <w:rsid w:val="00C938CF"/>
    <w:rsid w:val="00C93B8F"/>
    <w:rsid w:val="00C94053"/>
    <w:rsid w:val="00C94176"/>
    <w:rsid w:val="00C9469D"/>
    <w:rsid w:val="00C950A5"/>
    <w:rsid w:val="00C95723"/>
    <w:rsid w:val="00C9611B"/>
    <w:rsid w:val="00C9624D"/>
    <w:rsid w:val="00C969DA"/>
    <w:rsid w:val="00CA00E9"/>
    <w:rsid w:val="00CA06CA"/>
    <w:rsid w:val="00CA0EC7"/>
    <w:rsid w:val="00CA1E1B"/>
    <w:rsid w:val="00CA2C77"/>
    <w:rsid w:val="00CA2F1E"/>
    <w:rsid w:val="00CA444F"/>
    <w:rsid w:val="00CA5245"/>
    <w:rsid w:val="00CA71F4"/>
    <w:rsid w:val="00CA7B09"/>
    <w:rsid w:val="00CA7D6D"/>
    <w:rsid w:val="00CB12A5"/>
    <w:rsid w:val="00CB17F1"/>
    <w:rsid w:val="00CB1CAC"/>
    <w:rsid w:val="00CB2F2A"/>
    <w:rsid w:val="00CB4A35"/>
    <w:rsid w:val="00CB5460"/>
    <w:rsid w:val="00CB5A73"/>
    <w:rsid w:val="00CB5B1A"/>
    <w:rsid w:val="00CB6B22"/>
    <w:rsid w:val="00CB6D69"/>
    <w:rsid w:val="00CB7F5F"/>
    <w:rsid w:val="00CC1B39"/>
    <w:rsid w:val="00CC2E46"/>
    <w:rsid w:val="00CC35EA"/>
    <w:rsid w:val="00CC3848"/>
    <w:rsid w:val="00CC3D51"/>
    <w:rsid w:val="00CC797F"/>
    <w:rsid w:val="00CD0B94"/>
    <w:rsid w:val="00CD19AF"/>
    <w:rsid w:val="00CD3F77"/>
    <w:rsid w:val="00CD43BC"/>
    <w:rsid w:val="00CD561C"/>
    <w:rsid w:val="00CD6ADC"/>
    <w:rsid w:val="00CD7193"/>
    <w:rsid w:val="00CD73A7"/>
    <w:rsid w:val="00CE10A4"/>
    <w:rsid w:val="00CE21D1"/>
    <w:rsid w:val="00CE355A"/>
    <w:rsid w:val="00CE38C8"/>
    <w:rsid w:val="00CE3E9F"/>
    <w:rsid w:val="00CE41F3"/>
    <w:rsid w:val="00CE44CD"/>
    <w:rsid w:val="00CE5665"/>
    <w:rsid w:val="00CE6274"/>
    <w:rsid w:val="00CE77B6"/>
    <w:rsid w:val="00CF0EEC"/>
    <w:rsid w:val="00CF2B8D"/>
    <w:rsid w:val="00CF456B"/>
    <w:rsid w:val="00CF5A22"/>
    <w:rsid w:val="00D00142"/>
    <w:rsid w:val="00D001D7"/>
    <w:rsid w:val="00D00262"/>
    <w:rsid w:val="00D004FE"/>
    <w:rsid w:val="00D01E13"/>
    <w:rsid w:val="00D023BD"/>
    <w:rsid w:val="00D0262E"/>
    <w:rsid w:val="00D04D03"/>
    <w:rsid w:val="00D0562F"/>
    <w:rsid w:val="00D05E3D"/>
    <w:rsid w:val="00D05F87"/>
    <w:rsid w:val="00D06139"/>
    <w:rsid w:val="00D10541"/>
    <w:rsid w:val="00D110BD"/>
    <w:rsid w:val="00D1125B"/>
    <w:rsid w:val="00D12893"/>
    <w:rsid w:val="00D12A97"/>
    <w:rsid w:val="00D1329A"/>
    <w:rsid w:val="00D13585"/>
    <w:rsid w:val="00D13675"/>
    <w:rsid w:val="00D1410C"/>
    <w:rsid w:val="00D141E1"/>
    <w:rsid w:val="00D147A8"/>
    <w:rsid w:val="00D15314"/>
    <w:rsid w:val="00D15D1C"/>
    <w:rsid w:val="00D16FB5"/>
    <w:rsid w:val="00D17D6C"/>
    <w:rsid w:val="00D2155B"/>
    <w:rsid w:val="00D234C7"/>
    <w:rsid w:val="00D23D11"/>
    <w:rsid w:val="00D23FEC"/>
    <w:rsid w:val="00D244B6"/>
    <w:rsid w:val="00D2510B"/>
    <w:rsid w:val="00D26583"/>
    <w:rsid w:val="00D2754D"/>
    <w:rsid w:val="00D27826"/>
    <w:rsid w:val="00D27B27"/>
    <w:rsid w:val="00D313DD"/>
    <w:rsid w:val="00D33BE9"/>
    <w:rsid w:val="00D33F93"/>
    <w:rsid w:val="00D35169"/>
    <w:rsid w:val="00D357FF"/>
    <w:rsid w:val="00D3625E"/>
    <w:rsid w:val="00D377DD"/>
    <w:rsid w:val="00D41D43"/>
    <w:rsid w:val="00D424C7"/>
    <w:rsid w:val="00D426F8"/>
    <w:rsid w:val="00D42EF2"/>
    <w:rsid w:val="00D43903"/>
    <w:rsid w:val="00D43B2A"/>
    <w:rsid w:val="00D43D83"/>
    <w:rsid w:val="00D440EB"/>
    <w:rsid w:val="00D446FA"/>
    <w:rsid w:val="00D45185"/>
    <w:rsid w:val="00D45CE7"/>
    <w:rsid w:val="00D47432"/>
    <w:rsid w:val="00D47575"/>
    <w:rsid w:val="00D50453"/>
    <w:rsid w:val="00D51CDC"/>
    <w:rsid w:val="00D5243B"/>
    <w:rsid w:val="00D533EC"/>
    <w:rsid w:val="00D53AC6"/>
    <w:rsid w:val="00D56A95"/>
    <w:rsid w:val="00D57E73"/>
    <w:rsid w:val="00D61AB0"/>
    <w:rsid w:val="00D62463"/>
    <w:rsid w:val="00D6361F"/>
    <w:rsid w:val="00D6545F"/>
    <w:rsid w:val="00D65BFC"/>
    <w:rsid w:val="00D661E0"/>
    <w:rsid w:val="00D66630"/>
    <w:rsid w:val="00D670BA"/>
    <w:rsid w:val="00D70F16"/>
    <w:rsid w:val="00D7117E"/>
    <w:rsid w:val="00D72F57"/>
    <w:rsid w:val="00D7302C"/>
    <w:rsid w:val="00D73B38"/>
    <w:rsid w:val="00D73C5A"/>
    <w:rsid w:val="00D7438F"/>
    <w:rsid w:val="00D74FE6"/>
    <w:rsid w:val="00D75865"/>
    <w:rsid w:val="00D75A8E"/>
    <w:rsid w:val="00D75D99"/>
    <w:rsid w:val="00D76320"/>
    <w:rsid w:val="00D76A44"/>
    <w:rsid w:val="00D77E32"/>
    <w:rsid w:val="00D8144E"/>
    <w:rsid w:val="00D815EF"/>
    <w:rsid w:val="00D81B12"/>
    <w:rsid w:val="00D81F26"/>
    <w:rsid w:val="00D823E8"/>
    <w:rsid w:val="00D85312"/>
    <w:rsid w:val="00D86231"/>
    <w:rsid w:val="00D866A9"/>
    <w:rsid w:val="00D86DD1"/>
    <w:rsid w:val="00D8773B"/>
    <w:rsid w:val="00D91923"/>
    <w:rsid w:val="00D93753"/>
    <w:rsid w:val="00D9675F"/>
    <w:rsid w:val="00D96E89"/>
    <w:rsid w:val="00DA2F6B"/>
    <w:rsid w:val="00DA2FC0"/>
    <w:rsid w:val="00DA3167"/>
    <w:rsid w:val="00DA4471"/>
    <w:rsid w:val="00DA4DC3"/>
    <w:rsid w:val="00DA5D02"/>
    <w:rsid w:val="00DA77A5"/>
    <w:rsid w:val="00DB193B"/>
    <w:rsid w:val="00DB2FAA"/>
    <w:rsid w:val="00DB3DBF"/>
    <w:rsid w:val="00DB484F"/>
    <w:rsid w:val="00DC02AA"/>
    <w:rsid w:val="00DC04F6"/>
    <w:rsid w:val="00DC0690"/>
    <w:rsid w:val="00DC11A5"/>
    <w:rsid w:val="00DC1A61"/>
    <w:rsid w:val="00DC1D65"/>
    <w:rsid w:val="00DC2955"/>
    <w:rsid w:val="00DC3C57"/>
    <w:rsid w:val="00DC5501"/>
    <w:rsid w:val="00DC7154"/>
    <w:rsid w:val="00DC7E8A"/>
    <w:rsid w:val="00DD0F78"/>
    <w:rsid w:val="00DD0F8D"/>
    <w:rsid w:val="00DD143F"/>
    <w:rsid w:val="00DD1D88"/>
    <w:rsid w:val="00DD273C"/>
    <w:rsid w:val="00DD3F28"/>
    <w:rsid w:val="00DD4537"/>
    <w:rsid w:val="00DD4E15"/>
    <w:rsid w:val="00DD662C"/>
    <w:rsid w:val="00DE2304"/>
    <w:rsid w:val="00DE3138"/>
    <w:rsid w:val="00DE37F8"/>
    <w:rsid w:val="00DE4FCB"/>
    <w:rsid w:val="00DE5D07"/>
    <w:rsid w:val="00DE663B"/>
    <w:rsid w:val="00DE72A7"/>
    <w:rsid w:val="00DE7832"/>
    <w:rsid w:val="00DF18FC"/>
    <w:rsid w:val="00DF371A"/>
    <w:rsid w:val="00DF3780"/>
    <w:rsid w:val="00DF493B"/>
    <w:rsid w:val="00DF5439"/>
    <w:rsid w:val="00DF5D2B"/>
    <w:rsid w:val="00DF7224"/>
    <w:rsid w:val="00DF7DEA"/>
    <w:rsid w:val="00DF7F08"/>
    <w:rsid w:val="00E00E8E"/>
    <w:rsid w:val="00E01C63"/>
    <w:rsid w:val="00E02E5E"/>
    <w:rsid w:val="00E03E61"/>
    <w:rsid w:val="00E04657"/>
    <w:rsid w:val="00E05630"/>
    <w:rsid w:val="00E06DBB"/>
    <w:rsid w:val="00E07194"/>
    <w:rsid w:val="00E10149"/>
    <w:rsid w:val="00E11340"/>
    <w:rsid w:val="00E122A1"/>
    <w:rsid w:val="00E127BE"/>
    <w:rsid w:val="00E139C9"/>
    <w:rsid w:val="00E16372"/>
    <w:rsid w:val="00E17BB2"/>
    <w:rsid w:val="00E20E4D"/>
    <w:rsid w:val="00E20ED6"/>
    <w:rsid w:val="00E21358"/>
    <w:rsid w:val="00E21BE7"/>
    <w:rsid w:val="00E2249B"/>
    <w:rsid w:val="00E22A0D"/>
    <w:rsid w:val="00E244F6"/>
    <w:rsid w:val="00E25428"/>
    <w:rsid w:val="00E268B2"/>
    <w:rsid w:val="00E2771E"/>
    <w:rsid w:val="00E307EE"/>
    <w:rsid w:val="00E311EF"/>
    <w:rsid w:val="00E318FD"/>
    <w:rsid w:val="00E32180"/>
    <w:rsid w:val="00E34948"/>
    <w:rsid w:val="00E35619"/>
    <w:rsid w:val="00E37569"/>
    <w:rsid w:val="00E401B2"/>
    <w:rsid w:val="00E4078B"/>
    <w:rsid w:val="00E41E30"/>
    <w:rsid w:val="00E42F73"/>
    <w:rsid w:val="00E43D70"/>
    <w:rsid w:val="00E466F3"/>
    <w:rsid w:val="00E47026"/>
    <w:rsid w:val="00E47B2C"/>
    <w:rsid w:val="00E51560"/>
    <w:rsid w:val="00E51646"/>
    <w:rsid w:val="00E520D7"/>
    <w:rsid w:val="00E52564"/>
    <w:rsid w:val="00E5320D"/>
    <w:rsid w:val="00E53FC8"/>
    <w:rsid w:val="00E54347"/>
    <w:rsid w:val="00E55424"/>
    <w:rsid w:val="00E55915"/>
    <w:rsid w:val="00E55BB5"/>
    <w:rsid w:val="00E613E2"/>
    <w:rsid w:val="00E6242A"/>
    <w:rsid w:val="00E62737"/>
    <w:rsid w:val="00E62865"/>
    <w:rsid w:val="00E628C6"/>
    <w:rsid w:val="00E63C2E"/>
    <w:rsid w:val="00E65E79"/>
    <w:rsid w:val="00E66BA2"/>
    <w:rsid w:val="00E670F2"/>
    <w:rsid w:val="00E67416"/>
    <w:rsid w:val="00E71623"/>
    <w:rsid w:val="00E718B6"/>
    <w:rsid w:val="00E723BA"/>
    <w:rsid w:val="00E73581"/>
    <w:rsid w:val="00E74C40"/>
    <w:rsid w:val="00E759D8"/>
    <w:rsid w:val="00E820D0"/>
    <w:rsid w:val="00E823FF"/>
    <w:rsid w:val="00E833F7"/>
    <w:rsid w:val="00E83BDF"/>
    <w:rsid w:val="00E85AA9"/>
    <w:rsid w:val="00E862C0"/>
    <w:rsid w:val="00E87A1D"/>
    <w:rsid w:val="00E9024C"/>
    <w:rsid w:val="00E9049F"/>
    <w:rsid w:val="00E9094A"/>
    <w:rsid w:val="00E90AFA"/>
    <w:rsid w:val="00E918E5"/>
    <w:rsid w:val="00E91D35"/>
    <w:rsid w:val="00E926A5"/>
    <w:rsid w:val="00E95409"/>
    <w:rsid w:val="00EA112D"/>
    <w:rsid w:val="00EA17C3"/>
    <w:rsid w:val="00EA2CAA"/>
    <w:rsid w:val="00EA3864"/>
    <w:rsid w:val="00EA39D9"/>
    <w:rsid w:val="00EA4997"/>
    <w:rsid w:val="00EA68DA"/>
    <w:rsid w:val="00EA6994"/>
    <w:rsid w:val="00EA6D2B"/>
    <w:rsid w:val="00EA7F1C"/>
    <w:rsid w:val="00EB15B6"/>
    <w:rsid w:val="00EB16A7"/>
    <w:rsid w:val="00EB3D06"/>
    <w:rsid w:val="00EB4916"/>
    <w:rsid w:val="00EB4CFE"/>
    <w:rsid w:val="00EB5DCB"/>
    <w:rsid w:val="00EB6155"/>
    <w:rsid w:val="00EB69AE"/>
    <w:rsid w:val="00EB74E5"/>
    <w:rsid w:val="00EC00AB"/>
    <w:rsid w:val="00EC00C9"/>
    <w:rsid w:val="00EC0DD9"/>
    <w:rsid w:val="00EC1B03"/>
    <w:rsid w:val="00EC2649"/>
    <w:rsid w:val="00EC31ED"/>
    <w:rsid w:val="00EC5836"/>
    <w:rsid w:val="00EC5C5C"/>
    <w:rsid w:val="00EC5C5E"/>
    <w:rsid w:val="00EC5DFE"/>
    <w:rsid w:val="00EC6019"/>
    <w:rsid w:val="00EC6345"/>
    <w:rsid w:val="00EC662C"/>
    <w:rsid w:val="00EC688C"/>
    <w:rsid w:val="00EC6B91"/>
    <w:rsid w:val="00EC7A0F"/>
    <w:rsid w:val="00EC7E14"/>
    <w:rsid w:val="00ED0B2C"/>
    <w:rsid w:val="00ED2C09"/>
    <w:rsid w:val="00ED3087"/>
    <w:rsid w:val="00ED57EA"/>
    <w:rsid w:val="00ED5BD4"/>
    <w:rsid w:val="00ED7513"/>
    <w:rsid w:val="00EE07D3"/>
    <w:rsid w:val="00EE1996"/>
    <w:rsid w:val="00EE1C01"/>
    <w:rsid w:val="00EE21C9"/>
    <w:rsid w:val="00EE22AF"/>
    <w:rsid w:val="00EE49D1"/>
    <w:rsid w:val="00EF0171"/>
    <w:rsid w:val="00EF1B25"/>
    <w:rsid w:val="00EF1BD5"/>
    <w:rsid w:val="00EF1DA0"/>
    <w:rsid w:val="00EF2A6F"/>
    <w:rsid w:val="00EF2C5D"/>
    <w:rsid w:val="00EF35F4"/>
    <w:rsid w:val="00EF4747"/>
    <w:rsid w:val="00EF4BF8"/>
    <w:rsid w:val="00EF50E1"/>
    <w:rsid w:val="00EF5C3E"/>
    <w:rsid w:val="00EF6ACE"/>
    <w:rsid w:val="00F00750"/>
    <w:rsid w:val="00F02253"/>
    <w:rsid w:val="00F03670"/>
    <w:rsid w:val="00F03C2E"/>
    <w:rsid w:val="00F03F1D"/>
    <w:rsid w:val="00F04A66"/>
    <w:rsid w:val="00F04B4B"/>
    <w:rsid w:val="00F0516C"/>
    <w:rsid w:val="00F067A2"/>
    <w:rsid w:val="00F07542"/>
    <w:rsid w:val="00F079B0"/>
    <w:rsid w:val="00F07B9E"/>
    <w:rsid w:val="00F1116F"/>
    <w:rsid w:val="00F1263A"/>
    <w:rsid w:val="00F1267D"/>
    <w:rsid w:val="00F13735"/>
    <w:rsid w:val="00F1535B"/>
    <w:rsid w:val="00F15B77"/>
    <w:rsid w:val="00F1657B"/>
    <w:rsid w:val="00F20954"/>
    <w:rsid w:val="00F229DD"/>
    <w:rsid w:val="00F24837"/>
    <w:rsid w:val="00F25263"/>
    <w:rsid w:val="00F2575F"/>
    <w:rsid w:val="00F265D0"/>
    <w:rsid w:val="00F26B10"/>
    <w:rsid w:val="00F27565"/>
    <w:rsid w:val="00F27984"/>
    <w:rsid w:val="00F30A64"/>
    <w:rsid w:val="00F310D4"/>
    <w:rsid w:val="00F31D5A"/>
    <w:rsid w:val="00F32057"/>
    <w:rsid w:val="00F323CB"/>
    <w:rsid w:val="00F3355F"/>
    <w:rsid w:val="00F33975"/>
    <w:rsid w:val="00F33DE9"/>
    <w:rsid w:val="00F347A4"/>
    <w:rsid w:val="00F352F9"/>
    <w:rsid w:val="00F35E6D"/>
    <w:rsid w:val="00F3619A"/>
    <w:rsid w:val="00F3624B"/>
    <w:rsid w:val="00F40AAA"/>
    <w:rsid w:val="00F40BA7"/>
    <w:rsid w:val="00F40EEF"/>
    <w:rsid w:val="00F40F9D"/>
    <w:rsid w:val="00F41ACD"/>
    <w:rsid w:val="00F42FCC"/>
    <w:rsid w:val="00F45DCC"/>
    <w:rsid w:val="00F46CB6"/>
    <w:rsid w:val="00F46E95"/>
    <w:rsid w:val="00F4756D"/>
    <w:rsid w:val="00F47B64"/>
    <w:rsid w:val="00F47DE8"/>
    <w:rsid w:val="00F531B9"/>
    <w:rsid w:val="00F542C1"/>
    <w:rsid w:val="00F55E73"/>
    <w:rsid w:val="00F55EDA"/>
    <w:rsid w:val="00F5610E"/>
    <w:rsid w:val="00F56C80"/>
    <w:rsid w:val="00F60092"/>
    <w:rsid w:val="00F6188C"/>
    <w:rsid w:val="00F61C18"/>
    <w:rsid w:val="00F62E6A"/>
    <w:rsid w:val="00F6309F"/>
    <w:rsid w:val="00F65E24"/>
    <w:rsid w:val="00F65F4B"/>
    <w:rsid w:val="00F67A69"/>
    <w:rsid w:val="00F70BFF"/>
    <w:rsid w:val="00F70C9D"/>
    <w:rsid w:val="00F71A3C"/>
    <w:rsid w:val="00F72D7B"/>
    <w:rsid w:val="00F73BF2"/>
    <w:rsid w:val="00F74CD9"/>
    <w:rsid w:val="00F76566"/>
    <w:rsid w:val="00F80A7B"/>
    <w:rsid w:val="00F80D33"/>
    <w:rsid w:val="00F80E5D"/>
    <w:rsid w:val="00F81E78"/>
    <w:rsid w:val="00F82A77"/>
    <w:rsid w:val="00F834B8"/>
    <w:rsid w:val="00F83A18"/>
    <w:rsid w:val="00F84C75"/>
    <w:rsid w:val="00F851CE"/>
    <w:rsid w:val="00F864D5"/>
    <w:rsid w:val="00F866BF"/>
    <w:rsid w:val="00F90222"/>
    <w:rsid w:val="00F91219"/>
    <w:rsid w:val="00F92444"/>
    <w:rsid w:val="00F92B2B"/>
    <w:rsid w:val="00F9321A"/>
    <w:rsid w:val="00F93511"/>
    <w:rsid w:val="00F9393E"/>
    <w:rsid w:val="00F93C92"/>
    <w:rsid w:val="00F9486F"/>
    <w:rsid w:val="00F94AA9"/>
    <w:rsid w:val="00F96B62"/>
    <w:rsid w:val="00F96D1B"/>
    <w:rsid w:val="00F96FD0"/>
    <w:rsid w:val="00F97A20"/>
    <w:rsid w:val="00F97A78"/>
    <w:rsid w:val="00FA07C0"/>
    <w:rsid w:val="00FA0B20"/>
    <w:rsid w:val="00FA165C"/>
    <w:rsid w:val="00FA24E7"/>
    <w:rsid w:val="00FA34EC"/>
    <w:rsid w:val="00FA4FC7"/>
    <w:rsid w:val="00FA5BD9"/>
    <w:rsid w:val="00FA5DF1"/>
    <w:rsid w:val="00FA5EE6"/>
    <w:rsid w:val="00FA7956"/>
    <w:rsid w:val="00FB16BE"/>
    <w:rsid w:val="00FB2FCB"/>
    <w:rsid w:val="00FB5E75"/>
    <w:rsid w:val="00FB7A30"/>
    <w:rsid w:val="00FB7C55"/>
    <w:rsid w:val="00FC062C"/>
    <w:rsid w:val="00FC1074"/>
    <w:rsid w:val="00FC1465"/>
    <w:rsid w:val="00FC1884"/>
    <w:rsid w:val="00FC1E1B"/>
    <w:rsid w:val="00FC22AF"/>
    <w:rsid w:val="00FC2C8A"/>
    <w:rsid w:val="00FC2FA4"/>
    <w:rsid w:val="00FC3112"/>
    <w:rsid w:val="00FC371D"/>
    <w:rsid w:val="00FC3917"/>
    <w:rsid w:val="00FC5F0B"/>
    <w:rsid w:val="00FD1336"/>
    <w:rsid w:val="00FD15FE"/>
    <w:rsid w:val="00FD1C34"/>
    <w:rsid w:val="00FD2100"/>
    <w:rsid w:val="00FD35C1"/>
    <w:rsid w:val="00FD3900"/>
    <w:rsid w:val="00FD436C"/>
    <w:rsid w:val="00FD446D"/>
    <w:rsid w:val="00FD4F2C"/>
    <w:rsid w:val="00FD5723"/>
    <w:rsid w:val="00FD6394"/>
    <w:rsid w:val="00FD6885"/>
    <w:rsid w:val="00FD6DF2"/>
    <w:rsid w:val="00FE0496"/>
    <w:rsid w:val="00FE0E6C"/>
    <w:rsid w:val="00FE1CDC"/>
    <w:rsid w:val="00FE1F8B"/>
    <w:rsid w:val="00FE40D1"/>
    <w:rsid w:val="00FE57BE"/>
    <w:rsid w:val="00FE70C3"/>
    <w:rsid w:val="00FE72A8"/>
    <w:rsid w:val="00FF0D7D"/>
    <w:rsid w:val="00FF2AD9"/>
    <w:rsid w:val="00FF359F"/>
    <w:rsid w:val="00FF3DCF"/>
    <w:rsid w:val="00FF46AA"/>
    <w:rsid w:val="00FF492C"/>
    <w:rsid w:val="00FF4A21"/>
    <w:rsid w:val="00FF58C9"/>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F3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DE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Bayer Caption,IB Caption,Medical Caption,Char,CSR Caption,Caption Char1,Caption Char Char,Char Char Char,Char Char1,Char1,Table caption,Caption 3,c,appendix,Figure caption,Figure caption1 Char Char,Caption SYNEVi,- H17"/>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PRIMA Char,Bayer Caption Char,IB Caption Char,Medical Caption Char,Char Char,CSR Caption Char,Caption Char1 Char,Caption Char Char Char,Char Char Char Char,Char Char1 Char,Char1 Char,Table caption Char,Caption 3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PBAC ES Paragraph,Styl moj,Akapit z listą11,Table Legend,ES Paragraph,PBAC normal points,Bullet Lis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PBAC ES Paragraph Char,Styl moj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Dossier table,Section 3- footnotes,PBAC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Frontpagelarge">
    <w:name w:val="Frontpage large"/>
    <w:basedOn w:val="Normal"/>
    <w:next w:val="Normal"/>
    <w:qFormat/>
    <w:rsid w:val="009422D8"/>
    <w:pPr>
      <w:spacing w:after="200" w:line="276" w:lineRule="auto"/>
      <w:jc w:val="center"/>
    </w:pPr>
    <w:rPr>
      <w:rFonts w:eastAsiaTheme="majorEastAsia" w:cstheme="majorBidi"/>
      <w:b/>
      <w:sz w:val="48"/>
      <w:szCs w:val="22"/>
      <w:lang w:eastAsia="en-US" w:bidi="en-US"/>
    </w:rPr>
  </w:style>
  <w:style w:type="paragraph" w:styleId="ListNumber2">
    <w:name w:val="List Number 2"/>
    <w:basedOn w:val="Normal"/>
    <w:uiPriority w:val="99"/>
    <w:semiHidden/>
    <w:unhideWhenUsed/>
    <w:rsid w:val="009422D8"/>
    <w:pPr>
      <w:numPr>
        <w:numId w:val="6"/>
      </w:numPr>
      <w:spacing w:line="360" w:lineRule="auto"/>
      <w:contextualSpacing/>
    </w:pPr>
    <w:rPr>
      <w:rFonts w:asciiTheme="minorBidi" w:eastAsiaTheme="minorEastAsia" w:hAnsiTheme="minorBidi" w:cstheme="minorBidi"/>
      <w:bCs/>
      <w:color w:val="323232"/>
      <w:sz w:val="20"/>
      <w:szCs w:val="20"/>
      <w:lang w:val="en-GB" w:eastAsia="zh-TW"/>
    </w:rPr>
  </w:style>
  <w:style w:type="paragraph" w:customStyle="1" w:styleId="Table">
    <w:name w:val="Table"/>
    <w:basedOn w:val="Normal"/>
    <w:link w:val="TableChar"/>
    <w:qFormat/>
    <w:rsid w:val="006E3A73"/>
    <w:pPr>
      <w:jc w:val="left"/>
    </w:pPr>
    <w:rPr>
      <w:rFonts w:eastAsiaTheme="majorEastAsia" w:cstheme="majorBidi"/>
      <w:sz w:val="20"/>
      <w:szCs w:val="22"/>
      <w:lang w:eastAsia="en-US" w:bidi="en-US"/>
    </w:rPr>
  </w:style>
  <w:style w:type="character" w:customStyle="1" w:styleId="TableChar">
    <w:name w:val="Table Char"/>
    <w:basedOn w:val="DefaultParagraphFont"/>
    <w:link w:val="Table"/>
    <w:locked/>
    <w:rsid w:val="006E3A73"/>
    <w:rPr>
      <w:rFonts w:ascii="Calibri" w:eastAsiaTheme="majorEastAsia" w:hAnsi="Calibri" w:cstheme="majorBidi"/>
      <w:szCs w:val="22"/>
      <w:lang w:eastAsia="en-US" w:bidi="en-US"/>
    </w:rPr>
  </w:style>
  <w:style w:type="paragraph" w:customStyle="1" w:styleId="TableBullets">
    <w:name w:val="Table Bullets"/>
    <w:basedOn w:val="Table"/>
    <w:link w:val="TableBulletsChar"/>
    <w:uiPriority w:val="5"/>
    <w:qFormat/>
    <w:rsid w:val="006E3A73"/>
    <w:pPr>
      <w:numPr>
        <w:numId w:val="7"/>
      </w:numPr>
      <w:ind w:left="357" w:hanging="357"/>
    </w:pPr>
  </w:style>
  <w:style w:type="paragraph" w:styleId="DocumentMap">
    <w:name w:val="Document Map"/>
    <w:basedOn w:val="Normal"/>
    <w:link w:val="DocumentMapChar"/>
    <w:uiPriority w:val="99"/>
    <w:semiHidden/>
    <w:unhideWhenUsed/>
    <w:rsid w:val="006E3A73"/>
    <w:pPr>
      <w:jc w:val="left"/>
    </w:pPr>
    <w:rPr>
      <w:rFonts w:ascii="Tahoma" w:eastAsiaTheme="majorEastAsia" w:hAnsi="Tahoma" w:cs="Tahoma"/>
      <w:sz w:val="16"/>
      <w:szCs w:val="16"/>
      <w:lang w:eastAsia="en-US" w:bidi="en-US"/>
    </w:rPr>
  </w:style>
  <w:style w:type="character" w:customStyle="1" w:styleId="DocumentMapChar">
    <w:name w:val="Document Map Char"/>
    <w:basedOn w:val="DefaultParagraphFont"/>
    <w:link w:val="DocumentMap"/>
    <w:uiPriority w:val="99"/>
    <w:semiHidden/>
    <w:rsid w:val="006E3A73"/>
    <w:rPr>
      <w:rFonts w:ascii="Tahoma" w:eastAsiaTheme="majorEastAsia" w:hAnsi="Tahoma" w:cs="Tahoma"/>
      <w:sz w:val="16"/>
      <w:szCs w:val="16"/>
      <w:lang w:eastAsia="en-US" w:bidi="en-US"/>
    </w:rPr>
  </w:style>
  <w:style w:type="character" w:customStyle="1" w:styleId="TableBulletsChar">
    <w:name w:val="Table Bullets Char"/>
    <w:basedOn w:val="TableChar"/>
    <w:link w:val="TableBullets"/>
    <w:uiPriority w:val="5"/>
    <w:rsid w:val="006E3A73"/>
    <w:rPr>
      <w:rFonts w:ascii="Calibri" w:eastAsiaTheme="majorEastAsia" w:hAnsi="Calibri" w:cstheme="majorBidi"/>
      <w:szCs w:val="22"/>
      <w:lang w:eastAsia="en-US" w:bidi="en-US"/>
    </w:rPr>
  </w:style>
  <w:style w:type="character" w:customStyle="1" w:styleId="Small">
    <w:name w:val="Small"/>
    <w:basedOn w:val="DefaultParagraphFont"/>
    <w:uiPriority w:val="4"/>
    <w:qFormat/>
    <w:rsid w:val="0062685F"/>
    <w:rPr>
      <w:rFonts w:ascii="Calibri" w:hAnsi="Calibri"/>
      <w:b w:val="0"/>
      <w:sz w:val="20"/>
    </w:rPr>
  </w:style>
  <w:style w:type="table" w:customStyle="1" w:styleId="Summarybox1">
    <w:name w:val="Summary box1"/>
    <w:basedOn w:val="TableNormal"/>
    <w:next w:val="TableGrid"/>
    <w:uiPriority w:val="59"/>
    <w:rsid w:val="0072764E"/>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Italics">
    <w:name w:val="Small Italics"/>
    <w:basedOn w:val="Small"/>
    <w:uiPriority w:val="4"/>
    <w:qFormat/>
    <w:rsid w:val="004E737A"/>
    <w:rPr>
      <w:rFonts w:ascii="Calibri" w:hAnsi="Calibri"/>
      <w:b w:val="0"/>
      <w:i/>
      <w:sz w:val="20"/>
    </w:rPr>
  </w:style>
  <w:style w:type="table" w:customStyle="1" w:styleId="TableGrid1">
    <w:name w:val="Table Grid1"/>
    <w:basedOn w:val="TableNormal"/>
    <w:next w:val="TableGrid"/>
    <w:uiPriority w:val="59"/>
    <w:rsid w:val="004E737A"/>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Italics">
    <w:name w:val="Font Italics"/>
    <w:basedOn w:val="Font"/>
    <w:uiPriority w:val="1"/>
    <w:qFormat/>
    <w:rsid w:val="00CE21D1"/>
    <w:rPr>
      <w:rFonts w:ascii="Calibri" w:hAnsi="Calibri"/>
      <w:b w:val="0"/>
      <w:i/>
      <w:sz w:val="24"/>
    </w:rPr>
  </w:style>
  <w:style w:type="character" w:customStyle="1" w:styleId="Font">
    <w:name w:val="Font"/>
    <w:basedOn w:val="DefaultParagraphFont"/>
    <w:uiPriority w:val="1"/>
    <w:qFormat/>
    <w:rsid w:val="00CE21D1"/>
    <w:rPr>
      <w:rFonts w:ascii="Calibri" w:hAnsi="Calibri"/>
      <w:b w:val="0"/>
      <w:sz w:val="24"/>
    </w:rPr>
  </w:style>
  <w:style w:type="character" w:customStyle="1" w:styleId="CaptionFootnoteChar">
    <w:name w:val="Caption Footnote Char"/>
    <w:basedOn w:val="DefaultParagraphFont"/>
    <w:link w:val="CaptionFootnote"/>
    <w:rsid w:val="006B433A"/>
    <w:rPr>
      <w:rFonts w:ascii="Calibri" w:hAnsi="Calibri"/>
      <w:bCs/>
      <w:sz w:val="16"/>
      <w:szCs w:val="18"/>
    </w:rPr>
  </w:style>
  <w:style w:type="paragraph" w:customStyle="1" w:styleId="CaptionFootnote">
    <w:name w:val="Caption Footnote"/>
    <w:basedOn w:val="Caption"/>
    <w:link w:val="CaptionFootnoteChar"/>
    <w:qFormat/>
    <w:rsid w:val="006B433A"/>
    <w:pPr>
      <w:widowControl w:val="0"/>
      <w:spacing w:after="0"/>
      <w:jc w:val="left"/>
    </w:pPr>
    <w:rPr>
      <w:rFonts w:cs="Times New Roman"/>
      <w:b w:val="0"/>
      <w:color w:val="auto"/>
      <w:sz w:val="16"/>
    </w:rPr>
  </w:style>
  <w:style w:type="character" w:customStyle="1" w:styleId="SmallBold">
    <w:name w:val="Small Bold"/>
    <w:basedOn w:val="Small"/>
    <w:uiPriority w:val="4"/>
    <w:qFormat/>
    <w:rsid w:val="006C29B5"/>
    <w:rPr>
      <w:rFonts w:ascii="Calibri" w:hAnsi="Calibri"/>
      <w:b/>
      <w:sz w:val="20"/>
      <w:lang w:val="en-AU"/>
    </w:rPr>
  </w:style>
  <w:style w:type="paragraph" w:styleId="FootnoteText">
    <w:name w:val="footnote text"/>
    <w:basedOn w:val="Normal"/>
    <w:link w:val="FootnoteTextChar"/>
    <w:unhideWhenUsed/>
    <w:rsid w:val="001241B3"/>
    <w:rPr>
      <w:sz w:val="20"/>
      <w:szCs w:val="20"/>
    </w:rPr>
  </w:style>
  <w:style w:type="character" w:customStyle="1" w:styleId="FootnoteTextChar">
    <w:name w:val="Footnote Text Char"/>
    <w:basedOn w:val="DefaultParagraphFont"/>
    <w:link w:val="FootnoteText"/>
    <w:rsid w:val="001241B3"/>
    <w:rPr>
      <w:rFonts w:ascii="Calibri" w:hAnsi="Calibri" w:cs="Arial"/>
    </w:rPr>
  </w:style>
  <w:style w:type="character" w:styleId="FootnoteReference">
    <w:name w:val="footnote reference"/>
    <w:basedOn w:val="DefaultParagraphFont"/>
    <w:unhideWhenUsed/>
    <w:rsid w:val="001241B3"/>
    <w:rPr>
      <w:vertAlign w:val="superscript"/>
    </w:rPr>
  </w:style>
  <w:style w:type="character" w:customStyle="1" w:styleId="UnresolvedMention1">
    <w:name w:val="Unresolved Mention1"/>
    <w:basedOn w:val="DefaultParagraphFont"/>
    <w:uiPriority w:val="99"/>
    <w:semiHidden/>
    <w:unhideWhenUsed/>
    <w:rsid w:val="001241B3"/>
    <w:rPr>
      <w:color w:val="605E5C"/>
      <w:shd w:val="clear" w:color="auto" w:fill="E1DFDD"/>
    </w:rPr>
  </w:style>
  <w:style w:type="paragraph" w:customStyle="1" w:styleId="NormalBulletList">
    <w:name w:val="Normal Bullet List"/>
    <w:basedOn w:val="Normal"/>
    <w:uiPriority w:val="3"/>
    <w:qFormat/>
    <w:rsid w:val="00070B70"/>
    <w:pPr>
      <w:numPr>
        <w:numId w:val="8"/>
      </w:numPr>
      <w:spacing w:after="240" w:line="276" w:lineRule="auto"/>
      <w:contextualSpacing/>
      <w:jc w:val="left"/>
    </w:pPr>
    <w:rPr>
      <w:rFonts w:eastAsiaTheme="majorEastAsia" w:cstheme="majorBidi"/>
      <w:szCs w:val="22"/>
      <w:lang w:eastAsia="en-US" w:bidi="en-US"/>
    </w:rPr>
  </w:style>
  <w:style w:type="paragraph" w:customStyle="1" w:styleId="NormalBulletList2">
    <w:name w:val="Normal Bullet List 2"/>
    <w:basedOn w:val="NormalBulletList"/>
    <w:qFormat/>
    <w:rsid w:val="00070B70"/>
    <w:pPr>
      <w:numPr>
        <w:ilvl w:val="1"/>
      </w:numPr>
      <w:spacing w:after="0"/>
      <w:ind w:left="709" w:hanging="357"/>
    </w:pPr>
  </w:style>
  <w:style w:type="character" w:customStyle="1" w:styleId="apple-converted-space">
    <w:name w:val="apple-converted-space"/>
    <w:basedOn w:val="DefaultParagraphFont"/>
    <w:rsid w:val="00092502"/>
  </w:style>
  <w:style w:type="character" w:customStyle="1" w:styleId="SmallSuperscript">
    <w:name w:val="Small Superscript"/>
    <w:basedOn w:val="Small"/>
    <w:uiPriority w:val="1"/>
    <w:qFormat/>
    <w:rsid w:val="006224EB"/>
    <w:rPr>
      <w:rFonts w:ascii="Calibri" w:hAnsi="Calibri"/>
      <w:b w:val="0"/>
      <w:sz w:val="20"/>
      <w:vertAlign w:val="superscript"/>
    </w:rPr>
  </w:style>
  <w:style w:type="paragraph" w:customStyle="1" w:styleId="TableCentre">
    <w:name w:val="Table Centre"/>
    <w:basedOn w:val="Table"/>
    <w:qFormat/>
    <w:rsid w:val="007E574E"/>
    <w:pPr>
      <w:jc w:val="center"/>
    </w:pPr>
  </w:style>
  <w:style w:type="character" w:customStyle="1" w:styleId="FontSuperscript">
    <w:name w:val="Font Superscript"/>
    <w:basedOn w:val="Font"/>
    <w:uiPriority w:val="1"/>
    <w:qFormat/>
    <w:rsid w:val="0048649F"/>
    <w:rPr>
      <w:rFonts w:ascii="Calibri" w:hAnsi="Calibri"/>
      <w:b w:val="0"/>
      <w:sz w:val="24"/>
      <w:vertAlign w:val="superscript"/>
    </w:rPr>
  </w:style>
  <w:style w:type="character" w:customStyle="1" w:styleId="SmallUnderline">
    <w:name w:val="Small Underline"/>
    <w:basedOn w:val="Small"/>
    <w:uiPriority w:val="4"/>
    <w:qFormat/>
    <w:rsid w:val="00135955"/>
    <w:rPr>
      <w:rFonts w:ascii="Calibri" w:hAnsi="Calibri"/>
      <w:b w:val="0"/>
      <w:sz w:val="20"/>
      <w:u w:val="single"/>
    </w:rPr>
  </w:style>
  <w:style w:type="paragraph" w:customStyle="1" w:styleId="Bullet1">
    <w:name w:val="Bullet 1"/>
    <w:basedOn w:val="ListParagraph"/>
    <w:link w:val="Bullet1Char"/>
    <w:rsid w:val="00E139C9"/>
    <w:pPr>
      <w:numPr>
        <w:numId w:val="0"/>
      </w:numPr>
      <w:spacing w:before="120"/>
      <w:jc w:val="left"/>
    </w:pPr>
    <w:rPr>
      <w:rFonts w:ascii="Calibri" w:hAnsi="Calibri" w:cs="Times New Roman"/>
      <w:snapToGrid/>
      <w:szCs w:val="20"/>
      <w:lang w:val="en-GB" w:eastAsia="en-GB"/>
    </w:rPr>
  </w:style>
  <w:style w:type="character" w:customStyle="1" w:styleId="Bullet1Char">
    <w:name w:val="Bullet 1 Char"/>
    <w:basedOn w:val="DefaultParagraphFont"/>
    <w:link w:val="Bullet1"/>
    <w:rsid w:val="00E139C9"/>
    <w:rPr>
      <w:rFonts w:ascii="Calibri" w:hAnsi="Calibri"/>
      <w:sz w:val="24"/>
      <w:lang w:val="en-GB" w:eastAsia="en-GB"/>
    </w:rPr>
  </w:style>
  <w:style w:type="paragraph" w:customStyle="1" w:styleId="NormalLetterList">
    <w:name w:val="Normal Letter List"/>
    <w:basedOn w:val="Normal"/>
    <w:uiPriority w:val="99"/>
    <w:qFormat/>
    <w:rsid w:val="00460529"/>
    <w:pPr>
      <w:numPr>
        <w:numId w:val="9"/>
      </w:numPr>
      <w:spacing w:after="240" w:line="276" w:lineRule="auto"/>
      <w:ind w:left="357" w:hanging="357"/>
      <w:contextualSpacing/>
      <w:jc w:val="left"/>
    </w:pPr>
    <w:rPr>
      <w:rFonts w:eastAsiaTheme="majorEastAsia" w:cstheme="majorBidi"/>
      <w:szCs w:val="22"/>
      <w:lang w:eastAsia="en-US" w:bidi="en-US"/>
    </w:rPr>
  </w:style>
  <w:style w:type="table" w:customStyle="1" w:styleId="Defaulttable">
    <w:name w:val="Default table"/>
    <w:basedOn w:val="TableNormal"/>
    <w:uiPriority w:val="99"/>
    <w:rsid w:val="00460529"/>
    <w:rPr>
      <w:rFonts w:asciiTheme="minorHAnsi" w:eastAsiaTheme="minorHAnsi" w:hAnsiTheme="minorHAnsi" w:cstheme="minorBidi"/>
      <w:sz w:val="22"/>
      <w:szCs w:val="22"/>
      <w:lang w:val="en-US" w:eastAsia="en-US"/>
    </w:rPr>
    <w:tblPr/>
  </w:style>
  <w:style w:type="character" w:customStyle="1" w:styleId="FontNormal">
    <w:name w:val="Font Normal"/>
    <w:basedOn w:val="DefaultParagraphFont"/>
    <w:uiPriority w:val="99"/>
    <w:rsid w:val="00B62200"/>
    <w:rPr>
      <w:rFonts w:ascii="Calibri" w:hAnsi="Calibri" w:cs="Calibri"/>
      <w:sz w:val="24"/>
      <w:szCs w:val="22"/>
      <w:lang w:val="en-AU"/>
    </w:rPr>
  </w:style>
  <w:style w:type="paragraph" w:customStyle="1" w:styleId="Default">
    <w:name w:val="Default"/>
    <w:rsid w:val="000250C7"/>
    <w:pPr>
      <w:autoSpaceDE w:val="0"/>
      <w:autoSpaceDN w:val="0"/>
      <w:adjustRightInd w:val="0"/>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8E01F2"/>
    <w:rPr>
      <w:color w:val="605E5C"/>
      <w:shd w:val="clear" w:color="auto" w:fill="E1DFDD"/>
    </w:rPr>
  </w:style>
  <w:style w:type="character" w:customStyle="1" w:styleId="SmallHighlight">
    <w:name w:val="Small Highlight"/>
    <w:basedOn w:val="Small"/>
    <w:uiPriority w:val="1"/>
    <w:qFormat/>
    <w:rsid w:val="00117895"/>
    <w:rPr>
      <w:rFonts w:ascii="Calibri" w:hAnsi="Calibri"/>
      <w:b w:val="0"/>
      <w:sz w:val="20"/>
      <w:bdr w:val="none" w:sz="0" w:space="0" w:color="auto"/>
      <w:shd w:val="clear" w:color="auto" w:fill="FFFF00"/>
    </w:rPr>
  </w:style>
  <w:style w:type="paragraph" w:customStyle="1" w:styleId="msonormal0">
    <w:name w:val="msonormal"/>
    <w:basedOn w:val="Normal"/>
    <w:rsid w:val="004F2A16"/>
    <w:pPr>
      <w:spacing w:before="100" w:beforeAutospacing="1" w:after="100" w:afterAutospacing="1"/>
      <w:jc w:val="left"/>
    </w:pPr>
    <w:rPr>
      <w:rFonts w:ascii="Times New Roman" w:hAnsi="Times New Roman" w:cs="Times New Roman"/>
    </w:rPr>
  </w:style>
  <w:style w:type="table" w:customStyle="1" w:styleId="TableGridbeth1">
    <w:name w:val="Table Gridbeth1"/>
    <w:basedOn w:val="TableNormal"/>
    <w:uiPriority w:val="59"/>
    <w:rsid w:val="004F2A16"/>
    <w:rPr>
      <w:rFonts w:ascii="Candara" w:hAnsi="Candara"/>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4F2A16"/>
    <w:rPr>
      <w:rFonts w:eastAsia="Batang"/>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Bodytext">
    <w:name w:val="3. Body text"/>
    <w:basedOn w:val="ListParagraph"/>
    <w:qFormat/>
    <w:rsid w:val="009D2F59"/>
    <w:pPr>
      <w:numPr>
        <w:numId w:val="0"/>
      </w:numPr>
      <w:ind w:left="720" w:hanging="720"/>
      <w:jc w:val="left"/>
    </w:pPr>
    <w:rPr>
      <w:rFonts w:eastAsiaTheme="minorHAnsi" w:cstheme="minorBidi"/>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5805299">
      <w:bodyDiv w:val="1"/>
      <w:marLeft w:val="0"/>
      <w:marRight w:val="0"/>
      <w:marTop w:val="0"/>
      <w:marBottom w:val="0"/>
      <w:divBdr>
        <w:top w:val="none" w:sz="0" w:space="0" w:color="auto"/>
        <w:left w:val="none" w:sz="0" w:space="0" w:color="auto"/>
        <w:bottom w:val="none" w:sz="0" w:space="0" w:color="auto"/>
        <w:right w:val="none" w:sz="0" w:space="0" w:color="auto"/>
      </w:divBdr>
      <w:divsChild>
        <w:div w:id="599997201">
          <w:marLeft w:val="0"/>
          <w:marRight w:val="0"/>
          <w:marTop w:val="0"/>
          <w:marBottom w:val="0"/>
          <w:divBdr>
            <w:top w:val="none" w:sz="0" w:space="0" w:color="auto"/>
            <w:left w:val="none" w:sz="0" w:space="0" w:color="auto"/>
            <w:bottom w:val="none" w:sz="0" w:space="0" w:color="auto"/>
            <w:right w:val="none" w:sz="0" w:space="0" w:color="auto"/>
          </w:divBdr>
          <w:divsChild>
            <w:div w:id="1971128668">
              <w:marLeft w:val="0"/>
              <w:marRight w:val="0"/>
              <w:marTop w:val="0"/>
              <w:marBottom w:val="0"/>
              <w:divBdr>
                <w:top w:val="none" w:sz="0" w:space="0" w:color="auto"/>
                <w:left w:val="none" w:sz="0" w:space="0" w:color="auto"/>
                <w:bottom w:val="none" w:sz="0" w:space="0" w:color="auto"/>
                <w:right w:val="none" w:sz="0" w:space="0" w:color="auto"/>
              </w:divBdr>
              <w:divsChild>
                <w:div w:id="5372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476">
      <w:bodyDiv w:val="1"/>
      <w:marLeft w:val="0"/>
      <w:marRight w:val="0"/>
      <w:marTop w:val="0"/>
      <w:marBottom w:val="0"/>
      <w:divBdr>
        <w:top w:val="none" w:sz="0" w:space="0" w:color="auto"/>
        <w:left w:val="none" w:sz="0" w:space="0" w:color="auto"/>
        <w:bottom w:val="none" w:sz="0" w:space="0" w:color="auto"/>
        <w:right w:val="none" w:sz="0" w:space="0" w:color="auto"/>
      </w:divBdr>
      <w:divsChild>
        <w:div w:id="1149709405">
          <w:marLeft w:val="0"/>
          <w:marRight w:val="0"/>
          <w:marTop w:val="0"/>
          <w:marBottom w:val="0"/>
          <w:divBdr>
            <w:top w:val="none" w:sz="0" w:space="0" w:color="auto"/>
            <w:left w:val="none" w:sz="0" w:space="0" w:color="auto"/>
            <w:bottom w:val="none" w:sz="0" w:space="0" w:color="auto"/>
            <w:right w:val="none" w:sz="0" w:space="0" w:color="auto"/>
          </w:divBdr>
          <w:divsChild>
            <w:div w:id="1939751842">
              <w:marLeft w:val="0"/>
              <w:marRight w:val="0"/>
              <w:marTop w:val="0"/>
              <w:marBottom w:val="0"/>
              <w:divBdr>
                <w:top w:val="none" w:sz="0" w:space="0" w:color="auto"/>
                <w:left w:val="none" w:sz="0" w:space="0" w:color="auto"/>
                <w:bottom w:val="none" w:sz="0" w:space="0" w:color="auto"/>
                <w:right w:val="none" w:sz="0" w:space="0" w:color="auto"/>
              </w:divBdr>
              <w:divsChild>
                <w:div w:id="257644083">
                  <w:marLeft w:val="0"/>
                  <w:marRight w:val="0"/>
                  <w:marTop w:val="0"/>
                  <w:marBottom w:val="0"/>
                  <w:divBdr>
                    <w:top w:val="none" w:sz="0" w:space="0" w:color="auto"/>
                    <w:left w:val="none" w:sz="0" w:space="0" w:color="auto"/>
                    <w:bottom w:val="none" w:sz="0" w:space="0" w:color="auto"/>
                    <w:right w:val="none" w:sz="0" w:space="0" w:color="auto"/>
                  </w:divBdr>
                </w:div>
              </w:divsChild>
            </w:div>
            <w:div w:id="2089424355">
              <w:marLeft w:val="0"/>
              <w:marRight w:val="0"/>
              <w:marTop w:val="0"/>
              <w:marBottom w:val="0"/>
              <w:divBdr>
                <w:top w:val="none" w:sz="0" w:space="0" w:color="auto"/>
                <w:left w:val="none" w:sz="0" w:space="0" w:color="auto"/>
                <w:bottom w:val="none" w:sz="0" w:space="0" w:color="auto"/>
                <w:right w:val="none" w:sz="0" w:space="0" w:color="auto"/>
              </w:divBdr>
              <w:divsChild>
                <w:div w:id="21146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6484">
          <w:marLeft w:val="0"/>
          <w:marRight w:val="0"/>
          <w:marTop w:val="0"/>
          <w:marBottom w:val="0"/>
          <w:divBdr>
            <w:top w:val="none" w:sz="0" w:space="0" w:color="auto"/>
            <w:left w:val="none" w:sz="0" w:space="0" w:color="auto"/>
            <w:bottom w:val="none" w:sz="0" w:space="0" w:color="auto"/>
            <w:right w:val="none" w:sz="0" w:space="0" w:color="auto"/>
          </w:divBdr>
          <w:divsChild>
            <w:div w:id="535897905">
              <w:marLeft w:val="0"/>
              <w:marRight w:val="0"/>
              <w:marTop w:val="0"/>
              <w:marBottom w:val="0"/>
              <w:divBdr>
                <w:top w:val="none" w:sz="0" w:space="0" w:color="auto"/>
                <w:left w:val="none" w:sz="0" w:space="0" w:color="auto"/>
                <w:bottom w:val="none" w:sz="0" w:space="0" w:color="auto"/>
                <w:right w:val="none" w:sz="0" w:space="0" w:color="auto"/>
              </w:divBdr>
              <w:divsChild>
                <w:div w:id="1529834938">
                  <w:marLeft w:val="0"/>
                  <w:marRight w:val="0"/>
                  <w:marTop w:val="0"/>
                  <w:marBottom w:val="0"/>
                  <w:divBdr>
                    <w:top w:val="none" w:sz="0" w:space="0" w:color="auto"/>
                    <w:left w:val="none" w:sz="0" w:space="0" w:color="auto"/>
                    <w:bottom w:val="none" w:sz="0" w:space="0" w:color="auto"/>
                    <w:right w:val="none" w:sz="0" w:space="0" w:color="auto"/>
                  </w:divBdr>
                </w:div>
              </w:divsChild>
            </w:div>
            <w:div w:id="1682733981">
              <w:marLeft w:val="0"/>
              <w:marRight w:val="0"/>
              <w:marTop w:val="0"/>
              <w:marBottom w:val="0"/>
              <w:divBdr>
                <w:top w:val="none" w:sz="0" w:space="0" w:color="auto"/>
                <w:left w:val="none" w:sz="0" w:space="0" w:color="auto"/>
                <w:bottom w:val="none" w:sz="0" w:space="0" w:color="auto"/>
                <w:right w:val="none" w:sz="0" w:space="0" w:color="auto"/>
              </w:divBdr>
              <w:divsChild>
                <w:div w:id="6536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0007466">
      <w:bodyDiv w:val="1"/>
      <w:marLeft w:val="0"/>
      <w:marRight w:val="0"/>
      <w:marTop w:val="0"/>
      <w:marBottom w:val="0"/>
      <w:divBdr>
        <w:top w:val="none" w:sz="0" w:space="0" w:color="auto"/>
        <w:left w:val="none" w:sz="0" w:space="0" w:color="auto"/>
        <w:bottom w:val="none" w:sz="0" w:space="0" w:color="auto"/>
        <w:right w:val="none" w:sz="0" w:space="0" w:color="auto"/>
      </w:divBdr>
    </w:div>
    <w:div w:id="149254777">
      <w:bodyDiv w:val="1"/>
      <w:marLeft w:val="0"/>
      <w:marRight w:val="0"/>
      <w:marTop w:val="0"/>
      <w:marBottom w:val="0"/>
      <w:divBdr>
        <w:top w:val="none" w:sz="0" w:space="0" w:color="auto"/>
        <w:left w:val="none" w:sz="0" w:space="0" w:color="auto"/>
        <w:bottom w:val="none" w:sz="0" w:space="0" w:color="auto"/>
        <w:right w:val="none" w:sz="0" w:space="0" w:color="auto"/>
      </w:divBdr>
      <w:divsChild>
        <w:div w:id="1707024700">
          <w:marLeft w:val="0"/>
          <w:marRight w:val="0"/>
          <w:marTop w:val="0"/>
          <w:marBottom w:val="0"/>
          <w:divBdr>
            <w:top w:val="none" w:sz="0" w:space="0" w:color="auto"/>
            <w:left w:val="none" w:sz="0" w:space="0" w:color="auto"/>
            <w:bottom w:val="none" w:sz="0" w:space="0" w:color="auto"/>
            <w:right w:val="none" w:sz="0" w:space="0" w:color="auto"/>
          </w:divBdr>
          <w:divsChild>
            <w:div w:id="1498691617">
              <w:marLeft w:val="0"/>
              <w:marRight w:val="0"/>
              <w:marTop w:val="0"/>
              <w:marBottom w:val="0"/>
              <w:divBdr>
                <w:top w:val="none" w:sz="0" w:space="0" w:color="auto"/>
                <w:left w:val="none" w:sz="0" w:space="0" w:color="auto"/>
                <w:bottom w:val="none" w:sz="0" w:space="0" w:color="auto"/>
                <w:right w:val="none" w:sz="0" w:space="0" w:color="auto"/>
              </w:divBdr>
              <w:divsChild>
                <w:div w:id="127579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8376">
      <w:bodyDiv w:val="1"/>
      <w:marLeft w:val="0"/>
      <w:marRight w:val="0"/>
      <w:marTop w:val="0"/>
      <w:marBottom w:val="0"/>
      <w:divBdr>
        <w:top w:val="none" w:sz="0" w:space="0" w:color="auto"/>
        <w:left w:val="none" w:sz="0" w:space="0" w:color="auto"/>
        <w:bottom w:val="none" w:sz="0" w:space="0" w:color="auto"/>
        <w:right w:val="none" w:sz="0" w:space="0" w:color="auto"/>
      </w:divBdr>
      <w:divsChild>
        <w:div w:id="602809662">
          <w:marLeft w:val="360"/>
          <w:marRight w:val="0"/>
          <w:marTop w:val="200"/>
          <w:marBottom w:val="0"/>
          <w:divBdr>
            <w:top w:val="none" w:sz="0" w:space="0" w:color="auto"/>
            <w:left w:val="none" w:sz="0" w:space="0" w:color="auto"/>
            <w:bottom w:val="none" w:sz="0" w:space="0" w:color="auto"/>
            <w:right w:val="none" w:sz="0" w:space="0" w:color="auto"/>
          </w:divBdr>
        </w:div>
        <w:div w:id="697438244">
          <w:marLeft w:val="1080"/>
          <w:marRight w:val="0"/>
          <w:marTop w:val="100"/>
          <w:marBottom w:val="0"/>
          <w:divBdr>
            <w:top w:val="none" w:sz="0" w:space="0" w:color="auto"/>
            <w:left w:val="none" w:sz="0" w:space="0" w:color="auto"/>
            <w:bottom w:val="none" w:sz="0" w:space="0" w:color="auto"/>
            <w:right w:val="none" w:sz="0" w:space="0" w:color="auto"/>
          </w:divBdr>
        </w:div>
        <w:div w:id="1302223239">
          <w:marLeft w:val="1080"/>
          <w:marRight w:val="0"/>
          <w:marTop w:val="100"/>
          <w:marBottom w:val="0"/>
          <w:divBdr>
            <w:top w:val="none" w:sz="0" w:space="0" w:color="auto"/>
            <w:left w:val="none" w:sz="0" w:space="0" w:color="auto"/>
            <w:bottom w:val="none" w:sz="0" w:space="0" w:color="auto"/>
            <w:right w:val="none" w:sz="0" w:space="0" w:color="auto"/>
          </w:divBdr>
        </w:div>
        <w:div w:id="23873461">
          <w:marLeft w:val="1080"/>
          <w:marRight w:val="0"/>
          <w:marTop w:val="100"/>
          <w:marBottom w:val="0"/>
          <w:divBdr>
            <w:top w:val="none" w:sz="0" w:space="0" w:color="auto"/>
            <w:left w:val="none" w:sz="0" w:space="0" w:color="auto"/>
            <w:bottom w:val="none" w:sz="0" w:space="0" w:color="auto"/>
            <w:right w:val="none" w:sz="0" w:space="0" w:color="auto"/>
          </w:divBdr>
        </w:div>
      </w:divsChild>
    </w:div>
    <w:div w:id="175576655">
      <w:bodyDiv w:val="1"/>
      <w:marLeft w:val="0"/>
      <w:marRight w:val="0"/>
      <w:marTop w:val="0"/>
      <w:marBottom w:val="0"/>
      <w:divBdr>
        <w:top w:val="none" w:sz="0" w:space="0" w:color="auto"/>
        <w:left w:val="none" w:sz="0" w:space="0" w:color="auto"/>
        <w:bottom w:val="none" w:sz="0" w:space="0" w:color="auto"/>
        <w:right w:val="none" w:sz="0" w:space="0" w:color="auto"/>
      </w:divBdr>
      <w:divsChild>
        <w:div w:id="697391117">
          <w:marLeft w:val="0"/>
          <w:marRight w:val="0"/>
          <w:marTop w:val="0"/>
          <w:marBottom w:val="0"/>
          <w:divBdr>
            <w:top w:val="none" w:sz="0" w:space="0" w:color="auto"/>
            <w:left w:val="none" w:sz="0" w:space="0" w:color="auto"/>
            <w:bottom w:val="none" w:sz="0" w:space="0" w:color="auto"/>
            <w:right w:val="none" w:sz="0" w:space="0" w:color="auto"/>
          </w:divBdr>
          <w:divsChild>
            <w:div w:id="63841394">
              <w:marLeft w:val="0"/>
              <w:marRight w:val="0"/>
              <w:marTop w:val="0"/>
              <w:marBottom w:val="0"/>
              <w:divBdr>
                <w:top w:val="none" w:sz="0" w:space="0" w:color="auto"/>
                <w:left w:val="none" w:sz="0" w:space="0" w:color="auto"/>
                <w:bottom w:val="none" w:sz="0" w:space="0" w:color="auto"/>
                <w:right w:val="none" w:sz="0" w:space="0" w:color="auto"/>
              </w:divBdr>
              <w:divsChild>
                <w:div w:id="8890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92345">
      <w:bodyDiv w:val="1"/>
      <w:marLeft w:val="0"/>
      <w:marRight w:val="0"/>
      <w:marTop w:val="0"/>
      <w:marBottom w:val="0"/>
      <w:divBdr>
        <w:top w:val="none" w:sz="0" w:space="0" w:color="auto"/>
        <w:left w:val="none" w:sz="0" w:space="0" w:color="auto"/>
        <w:bottom w:val="none" w:sz="0" w:space="0" w:color="auto"/>
        <w:right w:val="none" w:sz="0" w:space="0" w:color="auto"/>
      </w:divBdr>
      <w:divsChild>
        <w:div w:id="570233217">
          <w:marLeft w:val="0"/>
          <w:marRight w:val="0"/>
          <w:marTop w:val="0"/>
          <w:marBottom w:val="0"/>
          <w:divBdr>
            <w:top w:val="none" w:sz="0" w:space="0" w:color="auto"/>
            <w:left w:val="none" w:sz="0" w:space="0" w:color="auto"/>
            <w:bottom w:val="none" w:sz="0" w:space="0" w:color="auto"/>
            <w:right w:val="none" w:sz="0" w:space="0" w:color="auto"/>
          </w:divBdr>
          <w:divsChild>
            <w:div w:id="1372026158">
              <w:marLeft w:val="0"/>
              <w:marRight w:val="0"/>
              <w:marTop w:val="0"/>
              <w:marBottom w:val="0"/>
              <w:divBdr>
                <w:top w:val="none" w:sz="0" w:space="0" w:color="auto"/>
                <w:left w:val="none" w:sz="0" w:space="0" w:color="auto"/>
                <w:bottom w:val="none" w:sz="0" w:space="0" w:color="auto"/>
                <w:right w:val="none" w:sz="0" w:space="0" w:color="auto"/>
              </w:divBdr>
              <w:divsChild>
                <w:div w:id="12590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22314">
      <w:bodyDiv w:val="1"/>
      <w:marLeft w:val="0"/>
      <w:marRight w:val="0"/>
      <w:marTop w:val="0"/>
      <w:marBottom w:val="0"/>
      <w:divBdr>
        <w:top w:val="none" w:sz="0" w:space="0" w:color="auto"/>
        <w:left w:val="none" w:sz="0" w:space="0" w:color="auto"/>
        <w:bottom w:val="none" w:sz="0" w:space="0" w:color="auto"/>
        <w:right w:val="none" w:sz="0" w:space="0" w:color="auto"/>
      </w:divBdr>
    </w:div>
    <w:div w:id="274362596">
      <w:bodyDiv w:val="1"/>
      <w:marLeft w:val="0"/>
      <w:marRight w:val="0"/>
      <w:marTop w:val="0"/>
      <w:marBottom w:val="0"/>
      <w:divBdr>
        <w:top w:val="none" w:sz="0" w:space="0" w:color="auto"/>
        <w:left w:val="none" w:sz="0" w:space="0" w:color="auto"/>
        <w:bottom w:val="none" w:sz="0" w:space="0" w:color="auto"/>
        <w:right w:val="none" w:sz="0" w:space="0" w:color="auto"/>
      </w:divBdr>
      <w:divsChild>
        <w:div w:id="633412580">
          <w:marLeft w:val="0"/>
          <w:marRight w:val="0"/>
          <w:marTop w:val="0"/>
          <w:marBottom w:val="0"/>
          <w:divBdr>
            <w:top w:val="none" w:sz="0" w:space="0" w:color="auto"/>
            <w:left w:val="none" w:sz="0" w:space="0" w:color="auto"/>
            <w:bottom w:val="none" w:sz="0" w:space="0" w:color="auto"/>
            <w:right w:val="none" w:sz="0" w:space="0" w:color="auto"/>
          </w:divBdr>
          <w:divsChild>
            <w:div w:id="626860032">
              <w:marLeft w:val="0"/>
              <w:marRight w:val="0"/>
              <w:marTop w:val="0"/>
              <w:marBottom w:val="0"/>
              <w:divBdr>
                <w:top w:val="none" w:sz="0" w:space="0" w:color="auto"/>
                <w:left w:val="none" w:sz="0" w:space="0" w:color="auto"/>
                <w:bottom w:val="none" w:sz="0" w:space="0" w:color="auto"/>
                <w:right w:val="none" w:sz="0" w:space="0" w:color="auto"/>
              </w:divBdr>
              <w:divsChild>
                <w:div w:id="19752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6363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8018774">
      <w:bodyDiv w:val="1"/>
      <w:marLeft w:val="0"/>
      <w:marRight w:val="0"/>
      <w:marTop w:val="0"/>
      <w:marBottom w:val="0"/>
      <w:divBdr>
        <w:top w:val="none" w:sz="0" w:space="0" w:color="auto"/>
        <w:left w:val="none" w:sz="0" w:space="0" w:color="auto"/>
        <w:bottom w:val="none" w:sz="0" w:space="0" w:color="auto"/>
        <w:right w:val="none" w:sz="0" w:space="0" w:color="auto"/>
      </w:divBdr>
    </w:div>
    <w:div w:id="350300959">
      <w:bodyDiv w:val="1"/>
      <w:marLeft w:val="0"/>
      <w:marRight w:val="0"/>
      <w:marTop w:val="0"/>
      <w:marBottom w:val="0"/>
      <w:divBdr>
        <w:top w:val="none" w:sz="0" w:space="0" w:color="auto"/>
        <w:left w:val="none" w:sz="0" w:space="0" w:color="auto"/>
        <w:bottom w:val="none" w:sz="0" w:space="0" w:color="auto"/>
        <w:right w:val="none" w:sz="0" w:space="0" w:color="auto"/>
      </w:divBdr>
      <w:divsChild>
        <w:div w:id="623118981">
          <w:marLeft w:val="0"/>
          <w:marRight w:val="0"/>
          <w:marTop w:val="0"/>
          <w:marBottom w:val="0"/>
          <w:divBdr>
            <w:top w:val="none" w:sz="0" w:space="0" w:color="auto"/>
            <w:left w:val="none" w:sz="0" w:space="0" w:color="auto"/>
            <w:bottom w:val="none" w:sz="0" w:space="0" w:color="auto"/>
            <w:right w:val="none" w:sz="0" w:space="0" w:color="auto"/>
          </w:divBdr>
          <w:divsChild>
            <w:div w:id="1964925643">
              <w:marLeft w:val="0"/>
              <w:marRight w:val="0"/>
              <w:marTop w:val="0"/>
              <w:marBottom w:val="0"/>
              <w:divBdr>
                <w:top w:val="none" w:sz="0" w:space="0" w:color="auto"/>
                <w:left w:val="none" w:sz="0" w:space="0" w:color="auto"/>
                <w:bottom w:val="none" w:sz="0" w:space="0" w:color="auto"/>
                <w:right w:val="none" w:sz="0" w:space="0" w:color="auto"/>
              </w:divBdr>
              <w:divsChild>
                <w:div w:id="10247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74518">
      <w:bodyDiv w:val="1"/>
      <w:marLeft w:val="0"/>
      <w:marRight w:val="0"/>
      <w:marTop w:val="0"/>
      <w:marBottom w:val="0"/>
      <w:divBdr>
        <w:top w:val="none" w:sz="0" w:space="0" w:color="auto"/>
        <w:left w:val="none" w:sz="0" w:space="0" w:color="auto"/>
        <w:bottom w:val="none" w:sz="0" w:space="0" w:color="auto"/>
        <w:right w:val="none" w:sz="0" w:space="0" w:color="auto"/>
      </w:divBdr>
    </w:div>
    <w:div w:id="427193370">
      <w:bodyDiv w:val="1"/>
      <w:marLeft w:val="0"/>
      <w:marRight w:val="0"/>
      <w:marTop w:val="0"/>
      <w:marBottom w:val="0"/>
      <w:divBdr>
        <w:top w:val="none" w:sz="0" w:space="0" w:color="auto"/>
        <w:left w:val="none" w:sz="0" w:space="0" w:color="auto"/>
        <w:bottom w:val="none" w:sz="0" w:space="0" w:color="auto"/>
        <w:right w:val="none" w:sz="0" w:space="0" w:color="auto"/>
      </w:divBdr>
      <w:divsChild>
        <w:div w:id="79719009">
          <w:marLeft w:val="0"/>
          <w:marRight w:val="0"/>
          <w:marTop w:val="0"/>
          <w:marBottom w:val="0"/>
          <w:divBdr>
            <w:top w:val="none" w:sz="0" w:space="0" w:color="auto"/>
            <w:left w:val="none" w:sz="0" w:space="0" w:color="auto"/>
            <w:bottom w:val="none" w:sz="0" w:space="0" w:color="auto"/>
            <w:right w:val="none" w:sz="0" w:space="0" w:color="auto"/>
          </w:divBdr>
          <w:divsChild>
            <w:div w:id="746541385">
              <w:marLeft w:val="0"/>
              <w:marRight w:val="0"/>
              <w:marTop w:val="0"/>
              <w:marBottom w:val="0"/>
              <w:divBdr>
                <w:top w:val="none" w:sz="0" w:space="0" w:color="auto"/>
                <w:left w:val="none" w:sz="0" w:space="0" w:color="auto"/>
                <w:bottom w:val="none" w:sz="0" w:space="0" w:color="auto"/>
                <w:right w:val="none" w:sz="0" w:space="0" w:color="auto"/>
              </w:divBdr>
              <w:divsChild>
                <w:div w:id="1169255699">
                  <w:marLeft w:val="0"/>
                  <w:marRight w:val="0"/>
                  <w:marTop w:val="0"/>
                  <w:marBottom w:val="0"/>
                  <w:divBdr>
                    <w:top w:val="none" w:sz="0" w:space="0" w:color="auto"/>
                    <w:left w:val="none" w:sz="0" w:space="0" w:color="auto"/>
                    <w:bottom w:val="none" w:sz="0" w:space="0" w:color="auto"/>
                    <w:right w:val="none" w:sz="0" w:space="0" w:color="auto"/>
                  </w:divBdr>
                </w:div>
              </w:divsChild>
            </w:div>
            <w:div w:id="1716273784">
              <w:marLeft w:val="0"/>
              <w:marRight w:val="0"/>
              <w:marTop w:val="0"/>
              <w:marBottom w:val="0"/>
              <w:divBdr>
                <w:top w:val="none" w:sz="0" w:space="0" w:color="auto"/>
                <w:left w:val="none" w:sz="0" w:space="0" w:color="auto"/>
                <w:bottom w:val="none" w:sz="0" w:space="0" w:color="auto"/>
                <w:right w:val="none" w:sz="0" w:space="0" w:color="auto"/>
              </w:divBdr>
              <w:divsChild>
                <w:div w:id="2436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1625">
          <w:marLeft w:val="0"/>
          <w:marRight w:val="0"/>
          <w:marTop w:val="0"/>
          <w:marBottom w:val="0"/>
          <w:divBdr>
            <w:top w:val="none" w:sz="0" w:space="0" w:color="auto"/>
            <w:left w:val="none" w:sz="0" w:space="0" w:color="auto"/>
            <w:bottom w:val="none" w:sz="0" w:space="0" w:color="auto"/>
            <w:right w:val="none" w:sz="0" w:space="0" w:color="auto"/>
          </w:divBdr>
          <w:divsChild>
            <w:div w:id="1273829226">
              <w:marLeft w:val="0"/>
              <w:marRight w:val="0"/>
              <w:marTop w:val="0"/>
              <w:marBottom w:val="0"/>
              <w:divBdr>
                <w:top w:val="none" w:sz="0" w:space="0" w:color="auto"/>
                <w:left w:val="none" w:sz="0" w:space="0" w:color="auto"/>
                <w:bottom w:val="none" w:sz="0" w:space="0" w:color="auto"/>
                <w:right w:val="none" w:sz="0" w:space="0" w:color="auto"/>
              </w:divBdr>
              <w:divsChild>
                <w:div w:id="592669779">
                  <w:marLeft w:val="0"/>
                  <w:marRight w:val="0"/>
                  <w:marTop w:val="0"/>
                  <w:marBottom w:val="0"/>
                  <w:divBdr>
                    <w:top w:val="none" w:sz="0" w:space="0" w:color="auto"/>
                    <w:left w:val="none" w:sz="0" w:space="0" w:color="auto"/>
                    <w:bottom w:val="none" w:sz="0" w:space="0" w:color="auto"/>
                    <w:right w:val="none" w:sz="0" w:space="0" w:color="auto"/>
                  </w:divBdr>
                </w:div>
              </w:divsChild>
            </w:div>
            <w:div w:id="1821653034">
              <w:marLeft w:val="0"/>
              <w:marRight w:val="0"/>
              <w:marTop w:val="0"/>
              <w:marBottom w:val="0"/>
              <w:divBdr>
                <w:top w:val="none" w:sz="0" w:space="0" w:color="auto"/>
                <w:left w:val="none" w:sz="0" w:space="0" w:color="auto"/>
                <w:bottom w:val="none" w:sz="0" w:space="0" w:color="auto"/>
                <w:right w:val="none" w:sz="0" w:space="0" w:color="auto"/>
              </w:divBdr>
              <w:divsChild>
                <w:div w:id="11212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27396">
      <w:bodyDiv w:val="1"/>
      <w:marLeft w:val="0"/>
      <w:marRight w:val="0"/>
      <w:marTop w:val="0"/>
      <w:marBottom w:val="0"/>
      <w:divBdr>
        <w:top w:val="none" w:sz="0" w:space="0" w:color="auto"/>
        <w:left w:val="none" w:sz="0" w:space="0" w:color="auto"/>
        <w:bottom w:val="none" w:sz="0" w:space="0" w:color="auto"/>
        <w:right w:val="none" w:sz="0" w:space="0" w:color="auto"/>
      </w:divBdr>
      <w:divsChild>
        <w:div w:id="217210734">
          <w:marLeft w:val="0"/>
          <w:marRight w:val="0"/>
          <w:marTop w:val="0"/>
          <w:marBottom w:val="0"/>
          <w:divBdr>
            <w:top w:val="none" w:sz="0" w:space="0" w:color="auto"/>
            <w:left w:val="none" w:sz="0" w:space="0" w:color="auto"/>
            <w:bottom w:val="none" w:sz="0" w:space="0" w:color="auto"/>
            <w:right w:val="none" w:sz="0" w:space="0" w:color="auto"/>
          </w:divBdr>
          <w:divsChild>
            <w:div w:id="101151135">
              <w:marLeft w:val="0"/>
              <w:marRight w:val="0"/>
              <w:marTop w:val="0"/>
              <w:marBottom w:val="0"/>
              <w:divBdr>
                <w:top w:val="none" w:sz="0" w:space="0" w:color="auto"/>
                <w:left w:val="none" w:sz="0" w:space="0" w:color="auto"/>
                <w:bottom w:val="none" w:sz="0" w:space="0" w:color="auto"/>
                <w:right w:val="none" w:sz="0" w:space="0" w:color="auto"/>
              </w:divBdr>
              <w:divsChild>
                <w:div w:id="13869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66911">
      <w:bodyDiv w:val="1"/>
      <w:marLeft w:val="0"/>
      <w:marRight w:val="0"/>
      <w:marTop w:val="0"/>
      <w:marBottom w:val="0"/>
      <w:divBdr>
        <w:top w:val="none" w:sz="0" w:space="0" w:color="auto"/>
        <w:left w:val="none" w:sz="0" w:space="0" w:color="auto"/>
        <w:bottom w:val="none" w:sz="0" w:space="0" w:color="auto"/>
        <w:right w:val="none" w:sz="0" w:space="0" w:color="auto"/>
      </w:divBdr>
      <w:divsChild>
        <w:div w:id="779490092">
          <w:marLeft w:val="0"/>
          <w:marRight w:val="0"/>
          <w:marTop w:val="0"/>
          <w:marBottom w:val="0"/>
          <w:divBdr>
            <w:top w:val="none" w:sz="0" w:space="0" w:color="auto"/>
            <w:left w:val="none" w:sz="0" w:space="0" w:color="auto"/>
            <w:bottom w:val="none" w:sz="0" w:space="0" w:color="auto"/>
            <w:right w:val="none" w:sz="0" w:space="0" w:color="auto"/>
          </w:divBdr>
          <w:divsChild>
            <w:div w:id="513155692">
              <w:marLeft w:val="0"/>
              <w:marRight w:val="0"/>
              <w:marTop w:val="0"/>
              <w:marBottom w:val="0"/>
              <w:divBdr>
                <w:top w:val="none" w:sz="0" w:space="0" w:color="auto"/>
                <w:left w:val="none" w:sz="0" w:space="0" w:color="auto"/>
                <w:bottom w:val="none" w:sz="0" w:space="0" w:color="auto"/>
                <w:right w:val="none" w:sz="0" w:space="0" w:color="auto"/>
              </w:divBdr>
              <w:divsChild>
                <w:div w:id="15832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19018">
      <w:bodyDiv w:val="1"/>
      <w:marLeft w:val="0"/>
      <w:marRight w:val="0"/>
      <w:marTop w:val="0"/>
      <w:marBottom w:val="0"/>
      <w:divBdr>
        <w:top w:val="none" w:sz="0" w:space="0" w:color="auto"/>
        <w:left w:val="none" w:sz="0" w:space="0" w:color="auto"/>
        <w:bottom w:val="none" w:sz="0" w:space="0" w:color="auto"/>
        <w:right w:val="none" w:sz="0" w:space="0" w:color="auto"/>
      </w:divBdr>
      <w:divsChild>
        <w:div w:id="1814636080">
          <w:marLeft w:val="0"/>
          <w:marRight w:val="0"/>
          <w:marTop w:val="0"/>
          <w:marBottom w:val="0"/>
          <w:divBdr>
            <w:top w:val="none" w:sz="0" w:space="0" w:color="auto"/>
            <w:left w:val="none" w:sz="0" w:space="0" w:color="auto"/>
            <w:bottom w:val="none" w:sz="0" w:space="0" w:color="auto"/>
            <w:right w:val="none" w:sz="0" w:space="0" w:color="auto"/>
          </w:divBdr>
          <w:divsChild>
            <w:div w:id="1870800725">
              <w:marLeft w:val="0"/>
              <w:marRight w:val="0"/>
              <w:marTop w:val="0"/>
              <w:marBottom w:val="0"/>
              <w:divBdr>
                <w:top w:val="none" w:sz="0" w:space="0" w:color="auto"/>
                <w:left w:val="none" w:sz="0" w:space="0" w:color="auto"/>
                <w:bottom w:val="none" w:sz="0" w:space="0" w:color="auto"/>
                <w:right w:val="none" w:sz="0" w:space="0" w:color="auto"/>
              </w:divBdr>
              <w:divsChild>
                <w:div w:id="18909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6794">
      <w:bodyDiv w:val="1"/>
      <w:marLeft w:val="0"/>
      <w:marRight w:val="0"/>
      <w:marTop w:val="0"/>
      <w:marBottom w:val="0"/>
      <w:divBdr>
        <w:top w:val="none" w:sz="0" w:space="0" w:color="auto"/>
        <w:left w:val="none" w:sz="0" w:space="0" w:color="auto"/>
        <w:bottom w:val="none" w:sz="0" w:space="0" w:color="auto"/>
        <w:right w:val="none" w:sz="0" w:space="0" w:color="auto"/>
      </w:divBdr>
      <w:divsChild>
        <w:div w:id="421026926">
          <w:marLeft w:val="0"/>
          <w:marRight w:val="0"/>
          <w:marTop w:val="0"/>
          <w:marBottom w:val="0"/>
          <w:divBdr>
            <w:top w:val="none" w:sz="0" w:space="0" w:color="auto"/>
            <w:left w:val="none" w:sz="0" w:space="0" w:color="auto"/>
            <w:bottom w:val="none" w:sz="0" w:space="0" w:color="auto"/>
            <w:right w:val="none" w:sz="0" w:space="0" w:color="auto"/>
          </w:divBdr>
          <w:divsChild>
            <w:div w:id="1331829772">
              <w:marLeft w:val="0"/>
              <w:marRight w:val="0"/>
              <w:marTop w:val="0"/>
              <w:marBottom w:val="0"/>
              <w:divBdr>
                <w:top w:val="none" w:sz="0" w:space="0" w:color="auto"/>
                <w:left w:val="none" w:sz="0" w:space="0" w:color="auto"/>
                <w:bottom w:val="none" w:sz="0" w:space="0" w:color="auto"/>
                <w:right w:val="none" w:sz="0" w:space="0" w:color="auto"/>
              </w:divBdr>
              <w:divsChild>
                <w:div w:id="13018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13065">
      <w:bodyDiv w:val="1"/>
      <w:marLeft w:val="0"/>
      <w:marRight w:val="0"/>
      <w:marTop w:val="0"/>
      <w:marBottom w:val="0"/>
      <w:divBdr>
        <w:top w:val="none" w:sz="0" w:space="0" w:color="auto"/>
        <w:left w:val="none" w:sz="0" w:space="0" w:color="auto"/>
        <w:bottom w:val="none" w:sz="0" w:space="0" w:color="auto"/>
        <w:right w:val="none" w:sz="0" w:space="0" w:color="auto"/>
      </w:divBdr>
      <w:divsChild>
        <w:div w:id="2040663665">
          <w:marLeft w:val="0"/>
          <w:marRight w:val="0"/>
          <w:marTop w:val="0"/>
          <w:marBottom w:val="0"/>
          <w:divBdr>
            <w:top w:val="none" w:sz="0" w:space="0" w:color="auto"/>
            <w:left w:val="none" w:sz="0" w:space="0" w:color="auto"/>
            <w:bottom w:val="none" w:sz="0" w:space="0" w:color="auto"/>
            <w:right w:val="none" w:sz="0" w:space="0" w:color="auto"/>
          </w:divBdr>
          <w:divsChild>
            <w:div w:id="1037196694">
              <w:marLeft w:val="0"/>
              <w:marRight w:val="0"/>
              <w:marTop w:val="0"/>
              <w:marBottom w:val="0"/>
              <w:divBdr>
                <w:top w:val="none" w:sz="0" w:space="0" w:color="auto"/>
                <w:left w:val="none" w:sz="0" w:space="0" w:color="auto"/>
                <w:bottom w:val="none" w:sz="0" w:space="0" w:color="auto"/>
                <w:right w:val="none" w:sz="0" w:space="0" w:color="auto"/>
              </w:divBdr>
              <w:divsChild>
                <w:div w:id="15310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4951">
      <w:bodyDiv w:val="1"/>
      <w:marLeft w:val="0"/>
      <w:marRight w:val="0"/>
      <w:marTop w:val="0"/>
      <w:marBottom w:val="0"/>
      <w:divBdr>
        <w:top w:val="none" w:sz="0" w:space="0" w:color="auto"/>
        <w:left w:val="none" w:sz="0" w:space="0" w:color="auto"/>
        <w:bottom w:val="none" w:sz="0" w:space="0" w:color="auto"/>
        <w:right w:val="none" w:sz="0" w:space="0" w:color="auto"/>
      </w:divBdr>
      <w:divsChild>
        <w:div w:id="949623707">
          <w:marLeft w:val="0"/>
          <w:marRight w:val="0"/>
          <w:marTop w:val="0"/>
          <w:marBottom w:val="0"/>
          <w:divBdr>
            <w:top w:val="none" w:sz="0" w:space="0" w:color="auto"/>
            <w:left w:val="none" w:sz="0" w:space="0" w:color="auto"/>
            <w:bottom w:val="none" w:sz="0" w:space="0" w:color="auto"/>
            <w:right w:val="none" w:sz="0" w:space="0" w:color="auto"/>
          </w:divBdr>
          <w:divsChild>
            <w:div w:id="293684233">
              <w:marLeft w:val="0"/>
              <w:marRight w:val="0"/>
              <w:marTop w:val="0"/>
              <w:marBottom w:val="0"/>
              <w:divBdr>
                <w:top w:val="none" w:sz="0" w:space="0" w:color="auto"/>
                <w:left w:val="none" w:sz="0" w:space="0" w:color="auto"/>
                <w:bottom w:val="none" w:sz="0" w:space="0" w:color="auto"/>
                <w:right w:val="none" w:sz="0" w:space="0" w:color="auto"/>
              </w:divBdr>
              <w:divsChild>
                <w:div w:id="1310162796">
                  <w:marLeft w:val="0"/>
                  <w:marRight w:val="0"/>
                  <w:marTop w:val="0"/>
                  <w:marBottom w:val="0"/>
                  <w:divBdr>
                    <w:top w:val="none" w:sz="0" w:space="0" w:color="auto"/>
                    <w:left w:val="none" w:sz="0" w:space="0" w:color="auto"/>
                    <w:bottom w:val="none" w:sz="0" w:space="0" w:color="auto"/>
                    <w:right w:val="none" w:sz="0" w:space="0" w:color="auto"/>
                  </w:divBdr>
                </w:div>
              </w:divsChild>
            </w:div>
            <w:div w:id="1469782174">
              <w:marLeft w:val="0"/>
              <w:marRight w:val="0"/>
              <w:marTop w:val="0"/>
              <w:marBottom w:val="0"/>
              <w:divBdr>
                <w:top w:val="none" w:sz="0" w:space="0" w:color="auto"/>
                <w:left w:val="none" w:sz="0" w:space="0" w:color="auto"/>
                <w:bottom w:val="none" w:sz="0" w:space="0" w:color="auto"/>
                <w:right w:val="none" w:sz="0" w:space="0" w:color="auto"/>
              </w:divBdr>
              <w:divsChild>
                <w:div w:id="835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6098">
          <w:marLeft w:val="0"/>
          <w:marRight w:val="0"/>
          <w:marTop w:val="0"/>
          <w:marBottom w:val="0"/>
          <w:divBdr>
            <w:top w:val="none" w:sz="0" w:space="0" w:color="auto"/>
            <w:left w:val="none" w:sz="0" w:space="0" w:color="auto"/>
            <w:bottom w:val="none" w:sz="0" w:space="0" w:color="auto"/>
            <w:right w:val="none" w:sz="0" w:space="0" w:color="auto"/>
          </w:divBdr>
          <w:divsChild>
            <w:div w:id="1192887679">
              <w:marLeft w:val="0"/>
              <w:marRight w:val="0"/>
              <w:marTop w:val="0"/>
              <w:marBottom w:val="0"/>
              <w:divBdr>
                <w:top w:val="none" w:sz="0" w:space="0" w:color="auto"/>
                <w:left w:val="none" w:sz="0" w:space="0" w:color="auto"/>
                <w:bottom w:val="none" w:sz="0" w:space="0" w:color="auto"/>
                <w:right w:val="none" w:sz="0" w:space="0" w:color="auto"/>
              </w:divBdr>
              <w:divsChild>
                <w:div w:id="1436629541">
                  <w:marLeft w:val="0"/>
                  <w:marRight w:val="0"/>
                  <w:marTop w:val="0"/>
                  <w:marBottom w:val="0"/>
                  <w:divBdr>
                    <w:top w:val="none" w:sz="0" w:space="0" w:color="auto"/>
                    <w:left w:val="none" w:sz="0" w:space="0" w:color="auto"/>
                    <w:bottom w:val="none" w:sz="0" w:space="0" w:color="auto"/>
                    <w:right w:val="none" w:sz="0" w:space="0" w:color="auto"/>
                  </w:divBdr>
                </w:div>
              </w:divsChild>
            </w:div>
            <w:div w:id="1936399254">
              <w:marLeft w:val="0"/>
              <w:marRight w:val="0"/>
              <w:marTop w:val="0"/>
              <w:marBottom w:val="0"/>
              <w:divBdr>
                <w:top w:val="none" w:sz="0" w:space="0" w:color="auto"/>
                <w:left w:val="none" w:sz="0" w:space="0" w:color="auto"/>
                <w:bottom w:val="none" w:sz="0" w:space="0" w:color="auto"/>
                <w:right w:val="none" w:sz="0" w:space="0" w:color="auto"/>
              </w:divBdr>
              <w:divsChild>
                <w:div w:id="222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86817">
      <w:bodyDiv w:val="1"/>
      <w:marLeft w:val="0"/>
      <w:marRight w:val="0"/>
      <w:marTop w:val="0"/>
      <w:marBottom w:val="0"/>
      <w:divBdr>
        <w:top w:val="none" w:sz="0" w:space="0" w:color="auto"/>
        <w:left w:val="none" w:sz="0" w:space="0" w:color="auto"/>
        <w:bottom w:val="none" w:sz="0" w:space="0" w:color="auto"/>
        <w:right w:val="none" w:sz="0" w:space="0" w:color="auto"/>
      </w:divBdr>
      <w:divsChild>
        <w:div w:id="186724142">
          <w:marLeft w:val="0"/>
          <w:marRight w:val="0"/>
          <w:marTop w:val="0"/>
          <w:marBottom w:val="0"/>
          <w:divBdr>
            <w:top w:val="none" w:sz="0" w:space="0" w:color="auto"/>
            <w:left w:val="none" w:sz="0" w:space="0" w:color="auto"/>
            <w:bottom w:val="none" w:sz="0" w:space="0" w:color="auto"/>
            <w:right w:val="none" w:sz="0" w:space="0" w:color="auto"/>
          </w:divBdr>
          <w:divsChild>
            <w:div w:id="436219370">
              <w:marLeft w:val="0"/>
              <w:marRight w:val="0"/>
              <w:marTop w:val="0"/>
              <w:marBottom w:val="0"/>
              <w:divBdr>
                <w:top w:val="none" w:sz="0" w:space="0" w:color="auto"/>
                <w:left w:val="none" w:sz="0" w:space="0" w:color="auto"/>
                <w:bottom w:val="none" w:sz="0" w:space="0" w:color="auto"/>
                <w:right w:val="none" w:sz="0" w:space="0" w:color="auto"/>
              </w:divBdr>
              <w:divsChild>
                <w:div w:id="144966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5383">
      <w:bodyDiv w:val="1"/>
      <w:marLeft w:val="0"/>
      <w:marRight w:val="0"/>
      <w:marTop w:val="0"/>
      <w:marBottom w:val="0"/>
      <w:divBdr>
        <w:top w:val="none" w:sz="0" w:space="0" w:color="auto"/>
        <w:left w:val="none" w:sz="0" w:space="0" w:color="auto"/>
        <w:bottom w:val="none" w:sz="0" w:space="0" w:color="auto"/>
        <w:right w:val="none" w:sz="0" w:space="0" w:color="auto"/>
      </w:divBdr>
      <w:divsChild>
        <w:div w:id="617177346">
          <w:marLeft w:val="0"/>
          <w:marRight w:val="0"/>
          <w:marTop w:val="0"/>
          <w:marBottom w:val="0"/>
          <w:divBdr>
            <w:top w:val="none" w:sz="0" w:space="0" w:color="auto"/>
            <w:left w:val="none" w:sz="0" w:space="0" w:color="auto"/>
            <w:bottom w:val="none" w:sz="0" w:space="0" w:color="auto"/>
            <w:right w:val="none" w:sz="0" w:space="0" w:color="auto"/>
          </w:divBdr>
          <w:divsChild>
            <w:div w:id="1747916953">
              <w:marLeft w:val="0"/>
              <w:marRight w:val="0"/>
              <w:marTop w:val="0"/>
              <w:marBottom w:val="0"/>
              <w:divBdr>
                <w:top w:val="none" w:sz="0" w:space="0" w:color="auto"/>
                <w:left w:val="none" w:sz="0" w:space="0" w:color="auto"/>
                <w:bottom w:val="none" w:sz="0" w:space="0" w:color="auto"/>
                <w:right w:val="none" w:sz="0" w:space="0" w:color="auto"/>
              </w:divBdr>
              <w:divsChild>
                <w:div w:id="705183281">
                  <w:marLeft w:val="0"/>
                  <w:marRight w:val="0"/>
                  <w:marTop w:val="0"/>
                  <w:marBottom w:val="0"/>
                  <w:divBdr>
                    <w:top w:val="none" w:sz="0" w:space="0" w:color="auto"/>
                    <w:left w:val="none" w:sz="0" w:space="0" w:color="auto"/>
                    <w:bottom w:val="none" w:sz="0" w:space="0" w:color="auto"/>
                    <w:right w:val="none" w:sz="0" w:space="0" w:color="auto"/>
                  </w:divBdr>
                  <w:divsChild>
                    <w:div w:id="20864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10382">
      <w:bodyDiv w:val="1"/>
      <w:marLeft w:val="0"/>
      <w:marRight w:val="0"/>
      <w:marTop w:val="0"/>
      <w:marBottom w:val="0"/>
      <w:divBdr>
        <w:top w:val="none" w:sz="0" w:space="0" w:color="auto"/>
        <w:left w:val="none" w:sz="0" w:space="0" w:color="auto"/>
        <w:bottom w:val="none" w:sz="0" w:space="0" w:color="auto"/>
        <w:right w:val="none" w:sz="0" w:space="0" w:color="auto"/>
      </w:divBdr>
      <w:divsChild>
        <w:div w:id="109202845">
          <w:marLeft w:val="0"/>
          <w:marRight w:val="0"/>
          <w:marTop w:val="0"/>
          <w:marBottom w:val="0"/>
          <w:divBdr>
            <w:top w:val="none" w:sz="0" w:space="0" w:color="auto"/>
            <w:left w:val="none" w:sz="0" w:space="0" w:color="auto"/>
            <w:bottom w:val="none" w:sz="0" w:space="0" w:color="auto"/>
            <w:right w:val="none" w:sz="0" w:space="0" w:color="auto"/>
          </w:divBdr>
          <w:divsChild>
            <w:div w:id="1147285674">
              <w:marLeft w:val="0"/>
              <w:marRight w:val="0"/>
              <w:marTop w:val="0"/>
              <w:marBottom w:val="0"/>
              <w:divBdr>
                <w:top w:val="none" w:sz="0" w:space="0" w:color="auto"/>
                <w:left w:val="none" w:sz="0" w:space="0" w:color="auto"/>
                <w:bottom w:val="none" w:sz="0" w:space="0" w:color="auto"/>
                <w:right w:val="none" w:sz="0" w:space="0" w:color="auto"/>
              </w:divBdr>
              <w:divsChild>
                <w:div w:id="10950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470591">
      <w:bodyDiv w:val="1"/>
      <w:marLeft w:val="0"/>
      <w:marRight w:val="0"/>
      <w:marTop w:val="0"/>
      <w:marBottom w:val="0"/>
      <w:divBdr>
        <w:top w:val="none" w:sz="0" w:space="0" w:color="auto"/>
        <w:left w:val="none" w:sz="0" w:space="0" w:color="auto"/>
        <w:bottom w:val="none" w:sz="0" w:space="0" w:color="auto"/>
        <w:right w:val="none" w:sz="0" w:space="0" w:color="auto"/>
      </w:divBdr>
      <w:divsChild>
        <w:div w:id="2087720432">
          <w:marLeft w:val="0"/>
          <w:marRight w:val="0"/>
          <w:marTop w:val="0"/>
          <w:marBottom w:val="0"/>
          <w:divBdr>
            <w:top w:val="none" w:sz="0" w:space="0" w:color="auto"/>
            <w:left w:val="none" w:sz="0" w:space="0" w:color="auto"/>
            <w:bottom w:val="none" w:sz="0" w:space="0" w:color="auto"/>
            <w:right w:val="none" w:sz="0" w:space="0" w:color="auto"/>
          </w:divBdr>
          <w:divsChild>
            <w:div w:id="1664624853">
              <w:marLeft w:val="0"/>
              <w:marRight w:val="0"/>
              <w:marTop w:val="0"/>
              <w:marBottom w:val="0"/>
              <w:divBdr>
                <w:top w:val="none" w:sz="0" w:space="0" w:color="auto"/>
                <w:left w:val="none" w:sz="0" w:space="0" w:color="auto"/>
                <w:bottom w:val="none" w:sz="0" w:space="0" w:color="auto"/>
                <w:right w:val="none" w:sz="0" w:space="0" w:color="auto"/>
              </w:divBdr>
              <w:divsChild>
                <w:div w:id="6730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8178">
      <w:bodyDiv w:val="1"/>
      <w:marLeft w:val="0"/>
      <w:marRight w:val="0"/>
      <w:marTop w:val="0"/>
      <w:marBottom w:val="0"/>
      <w:divBdr>
        <w:top w:val="none" w:sz="0" w:space="0" w:color="auto"/>
        <w:left w:val="none" w:sz="0" w:space="0" w:color="auto"/>
        <w:bottom w:val="none" w:sz="0" w:space="0" w:color="auto"/>
        <w:right w:val="none" w:sz="0" w:space="0" w:color="auto"/>
      </w:divBdr>
      <w:divsChild>
        <w:div w:id="1039668693">
          <w:marLeft w:val="0"/>
          <w:marRight w:val="0"/>
          <w:marTop w:val="0"/>
          <w:marBottom w:val="0"/>
          <w:divBdr>
            <w:top w:val="none" w:sz="0" w:space="0" w:color="auto"/>
            <w:left w:val="none" w:sz="0" w:space="0" w:color="auto"/>
            <w:bottom w:val="none" w:sz="0" w:space="0" w:color="auto"/>
            <w:right w:val="none" w:sz="0" w:space="0" w:color="auto"/>
          </w:divBdr>
          <w:divsChild>
            <w:div w:id="1232541816">
              <w:marLeft w:val="0"/>
              <w:marRight w:val="0"/>
              <w:marTop w:val="0"/>
              <w:marBottom w:val="0"/>
              <w:divBdr>
                <w:top w:val="none" w:sz="0" w:space="0" w:color="auto"/>
                <w:left w:val="none" w:sz="0" w:space="0" w:color="auto"/>
                <w:bottom w:val="none" w:sz="0" w:space="0" w:color="auto"/>
                <w:right w:val="none" w:sz="0" w:space="0" w:color="auto"/>
              </w:divBdr>
              <w:divsChild>
                <w:div w:id="1967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18299">
      <w:bodyDiv w:val="1"/>
      <w:marLeft w:val="0"/>
      <w:marRight w:val="0"/>
      <w:marTop w:val="0"/>
      <w:marBottom w:val="0"/>
      <w:divBdr>
        <w:top w:val="none" w:sz="0" w:space="0" w:color="auto"/>
        <w:left w:val="none" w:sz="0" w:space="0" w:color="auto"/>
        <w:bottom w:val="none" w:sz="0" w:space="0" w:color="auto"/>
        <w:right w:val="none" w:sz="0" w:space="0" w:color="auto"/>
      </w:divBdr>
    </w:div>
    <w:div w:id="723529837">
      <w:bodyDiv w:val="1"/>
      <w:marLeft w:val="0"/>
      <w:marRight w:val="0"/>
      <w:marTop w:val="0"/>
      <w:marBottom w:val="0"/>
      <w:divBdr>
        <w:top w:val="none" w:sz="0" w:space="0" w:color="auto"/>
        <w:left w:val="none" w:sz="0" w:space="0" w:color="auto"/>
        <w:bottom w:val="none" w:sz="0" w:space="0" w:color="auto"/>
        <w:right w:val="none" w:sz="0" w:space="0" w:color="auto"/>
      </w:divBdr>
    </w:div>
    <w:div w:id="735593863">
      <w:bodyDiv w:val="1"/>
      <w:marLeft w:val="0"/>
      <w:marRight w:val="0"/>
      <w:marTop w:val="0"/>
      <w:marBottom w:val="0"/>
      <w:divBdr>
        <w:top w:val="none" w:sz="0" w:space="0" w:color="auto"/>
        <w:left w:val="none" w:sz="0" w:space="0" w:color="auto"/>
        <w:bottom w:val="none" w:sz="0" w:space="0" w:color="auto"/>
        <w:right w:val="none" w:sz="0" w:space="0" w:color="auto"/>
      </w:divBdr>
      <w:divsChild>
        <w:div w:id="1262032365">
          <w:marLeft w:val="0"/>
          <w:marRight w:val="0"/>
          <w:marTop w:val="0"/>
          <w:marBottom w:val="0"/>
          <w:divBdr>
            <w:top w:val="none" w:sz="0" w:space="0" w:color="auto"/>
            <w:left w:val="none" w:sz="0" w:space="0" w:color="auto"/>
            <w:bottom w:val="none" w:sz="0" w:space="0" w:color="auto"/>
            <w:right w:val="none" w:sz="0" w:space="0" w:color="auto"/>
          </w:divBdr>
          <w:divsChild>
            <w:div w:id="1427532356">
              <w:marLeft w:val="0"/>
              <w:marRight w:val="0"/>
              <w:marTop w:val="0"/>
              <w:marBottom w:val="0"/>
              <w:divBdr>
                <w:top w:val="none" w:sz="0" w:space="0" w:color="auto"/>
                <w:left w:val="none" w:sz="0" w:space="0" w:color="auto"/>
                <w:bottom w:val="none" w:sz="0" w:space="0" w:color="auto"/>
                <w:right w:val="none" w:sz="0" w:space="0" w:color="auto"/>
              </w:divBdr>
              <w:divsChild>
                <w:div w:id="12092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20489">
      <w:bodyDiv w:val="1"/>
      <w:marLeft w:val="0"/>
      <w:marRight w:val="0"/>
      <w:marTop w:val="0"/>
      <w:marBottom w:val="0"/>
      <w:divBdr>
        <w:top w:val="none" w:sz="0" w:space="0" w:color="auto"/>
        <w:left w:val="none" w:sz="0" w:space="0" w:color="auto"/>
        <w:bottom w:val="none" w:sz="0" w:space="0" w:color="auto"/>
        <w:right w:val="none" w:sz="0" w:space="0" w:color="auto"/>
      </w:divBdr>
      <w:divsChild>
        <w:div w:id="1943223855">
          <w:marLeft w:val="0"/>
          <w:marRight w:val="0"/>
          <w:marTop w:val="0"/>
          <w:marBottom w:val="0"/>
          <w:divBdr>
            <w:top w:val="none" w:sz="0" w:space="0" w:color="auto"/>
            <w:left w:val="none" w:sz="0" w:space="0" w:color="auto"/>
            <w:bottom w:val="none" w:sz="0" w:space="0" w:color="auto"/>
            <w:right w:val="none" w:sz="0" w:space="0" w:color="auto"/>
          </w:divBdr>
          <w:divsChild>
            <w:div w:id="308830251">
              <w:marLeft w:val="0"/>
              <w:marRight w:val="0"/>
              <w:marTop w:val="0"/>
              <w:marBottom w:val="0"/>
              <w:divBdr>
                <w:top w:val="none" w:sz="0" w:space="0" w:color="auto"/>
                <w:left w:val="none" w:sz="0" w:space="0" w:color="auto"/>
                <w:bottom w:val="none" w:sz="0" w:space="0" w:color="auto"/>
                <w:right w:val="none" w:sz="0" w:space="0" w:color="auto"/>
              </w:divBdr>
              <w:divsChild>
                <w:div w:id="18251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458462">
      <w:bodyDiv w:val="1"/>
      <w:marLeft w:val="0"/>
      <w:marRight w:val="0"/>
      <w:marTop w:val="0"/>
      <w:marBottom w:val="0"/>
      <w:divBdr>
        <w:top w:val="none" w:sz="0" w:space="0" w:color="auto"/>
        <w:left w:val="none" w:sz="0" w:space="0" w:color="auto"/>
        <w:bottom w:val="none" w:sz="0" w:space="0" w:color="auto"/>
        <w:right w:val="none" w:sz="0" w:space="0" w:color="auto"/>
      </w:divBdr>
      <w:divsChild>
        <w:div w:id="1533376191">
          <w:marLeft w:val="1080"/>
          <w:marRight w:val="0"/>
          <w:marTop w:val="100"/>
          <w:marBottom w:val="0"/>
          <w:divBdr>
            <w:top w:val="none" w:sz="0" w:space="0" w:color="auto"/>
            <w:left w:val="none" w:sz="0" w:space="0" w:color="auto"/>
            <w:bottom w:val="none" w:sz="0" w:space="0" w:color="auto"/>
            <w:right w:val="none" w:sz="0" w:space="0" w:color="auto"/>
          </w:divBdr>
        </w:div>
        <w:div w:id="1740588844">
          <w:marLeft w:val="1080"/>
          <w:marRight w:val="0"/>
          <w:marTop w:val="100"/>
          <w:marBottom w:val="0"/>
          <w:divBdr>
            <w:top w:val="none" w:sz="0" w:space="0" w:color="auto"/>
            <w:left w:val="none" w:sz="0" w:space="0" w:color="auto"/>
            <w:bottom w:val="none" w:sz="0" w:space="0" w:color="auto"/>
            <w:right w:val="none" w:sz="0" w:space="0" w:color="auto"/>
          </w:divBdr>
        </w:div>
      </w:divsChild>
    </w:div>
    <w:div w:id="802498537">
      <w:bodyDiv w:val="1"/>
      <w:marLeft w:val="0"/>
      <w:marRight w:val="0"/>
      <w:marTop w:val="0"/>
      <w:marBottom w:val="0"/>
      <w:divBdr>
        <w:top w:val="none" w:sz="0" w:space="0" w:color="auto"/>
        <w:left w:val="none" w:sz="0" w:space="0" w:color="auto"/>
        <w:bottom w:val="none" w:sz="0" w:space="0" w:color="auto"/>
        <w:right w:val="none" w:sz="0" w:space="0" w:color="auto"/>
      </w:divBdr>
      <w:divsChild>
        <w:div w:id="1389263652">
          <w:marLeft w:val="0"/>
          <w:marRight w:val="0"/>
          <w:marTop w:val="0"/>
          <w:marBottom w:val="0"/>
          <w:divBdr>
            <w:top w:val="none" w:sz="0" w:space="0" w:color="auto"/>
            <w:left w:val="none" w:sz="0" w:space="0" w:color="auto"/>
            <w:bottom w:val="none" w:sz="0" w:space="0" w:color="auto"/>
            <w:right w:val="none" w:sz="0" w:space="0" w:color="auto"/>
          </w:divBdr>
          <w:divsChild>
            <w:div w:id="812018858">
              <w:marLeft w:val="0"/>
              <w:marRight w:val="0"/>
              <w:marTop w:val="0"/>
              <w:marBottom w:val="0"/>
              <w:divBdr>
                <w:top w:val="none" w:sz="0" w:space="0" w:color="auto"/>
                <w:left w:val="none" w:sz="0" w:space="0" w:color="auto"/>
                <w:bottom w:val="none" w:sz="0" w:space="0" w:color="auto"/>
                <w:right w:val="none" w:sz="0" w:space="0" w:color="auto"/>
              </w:divBdr>
              <w:divsChild>
                <w:div w:id="1386173540">
                  <w:marLeft w:val="0"/>
                  <w:marRight w:val="0"/>
                  <w:marTop w:val="0"/>
                  <w:marBottom w:val="0"/>
                  <w:divBdr>
                    <w:top w:val="none" w:sz="0" w:space="0" w:color="auto"/>
                    <w:left w:val="none" w:sz="0" w:space="0" w:color="auto"/>
                    <w:bottom w:val="none" w:sz="0" w:space="0" w:color="auto"/>
                    <w:right w:val="none" w:sz="0" w:space="0" w:color="auto"/>
                  </w:divBdr>
                  <w:divsChild>
                    <w:div w:id="1959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351036">
      <w:bodyDiv w:val="1"/>
      <w:marLeft w:val="0"/>
      <w:marRight w:val="0"/>
      <w:marTop w:val="0"/>
      <w:marBottom w:val="0"/>
      <w:divBdr>
        <w:top w:val="none" w:sz="0" w:space="0" w:color="auto"/>
        <w:left w:val="none" w:sz="0" w:space="0" w:color="auto"/>
        <w:bottom w:val="none" w:sz="0" w:space="0" w:color="auto"/>
        <w:right w:val="none" w:sz="0" w:space="0" w:color="auto"/>
      </w:divBdr>
      <w:divsChild>
        <w:div w:id="2004164595">
          <w:marLeft w:val="0"/>
          <w:marRight w:val="0"/>
          <w:marTop w:val="0"/>
          <w:marBottom w:val="0"/>
          <w:divBdr>
            <w:top w:val="none" w:sz="0" w:space="0" w:color="auto"/>
            <w:left w:val="none" w:sz="0" w:space="0" w:color="auto"/>
            <w:bottom w:val="none" w:sz="0" w:space="0" w:color="auto"/>
            <w:right w:val="none" w:sz="0" w:space="0" w:color="auto"/>
          </w:divBdr>
          <w:divsChild>
            <w:div w:id="175384291">
              <w:marLeft w:val="0"/>
              <w:marRight w:val="0"/>
              <w:marTop w:val="0"/>
              <w:marBottom w:val="0"/>
              <w:divBdr>
                <w:top w:val="none" w:sz="0" w:space="0" w:color="auto"/>
                <w:left w:val="none" w:sz="0" w:space="0" w:color="auto"/>
                <w:bottom w:val="none" w:sz="0" w:space="0" w:color="auto"/>
                <w:right w:val="none" w:sz="0" w:space="0" w:color="auto"/>
              </w:divBdr>
              <w:divsChild>
                <w:div w:id="6059837">
                  <w:marLeft w:val="0"/>
                  <w:marRight w:val="0"/>
                  <w:marTop w:val="0"/>
                  <w:marBottom w:val="0"/>
                  <w:divBdr>
                    <w:top w:val="none" w:sz="0" w:space="0" w:color="auto"/>
                    <w:left w:val="none" w:sz="0" w:space="0" w:color="auto"/>
                    <w:bottom w:val="none" w:sz="0" w:space="0" w:color="auto"/>
                    <w:right w:val="none" w:sz="0" w:space="0" w:color="auto"/>
                  </w:divBdr>
                </w:div>
              </w:divsChild>
            </w:div>
            <w:div w:id="1083064468">
              <w:marLeft w:val="0"/>
              <w:marRight w:val="0"/>
              <w:marTop w:val="0"/>
              <w:marBottom w:val="0"/>
              <w:divBdr>
                <w:top w:val="none" w:sz="0" w:space="0" w:color="auto"/>
                <w:left w:val="none" w:sz="0" w:space="0" w:color="auto"/>
                <w:bottom w:val="none" w:sz="0" w:space="0" w:color="auto"/>
                <w:right w:val="none" w:sz="0" w:space="0" w:color="auto"/>
              </w:divBdr>
              <w:divsChild>
                <w:div w:id="1652979498">
                  <w:marLeft w:val="0"/>
                  <w:marRight w:val="0"/>
                  <w:marTop w:val="0"/>
                  <w:marBottom w:val="0"/>
                  <w:divBdr>
                    <w:top w:val="none" w:sz="0" w:space="0" w:color="auto"/>
                    <w:left w:val="none" w:sz="0" w:space="0" w:color="auto"/>
                    <w:bottom w:val="none" w:sz="0" w:space="0" w:color="auto"/>
                    <w:right w:val="none" w:sz="0" w:space="0" w:color="auto"/>
                  </w:divBdr>
                </w:div>
              </w:divsChild>
            </w:div>
            <w:div w:id="1134174616">
              <w:marLeft w:val="0"/>
              <w:marRight w:val="0"/>
              <w:marTop w:val="0"/>
              <w:marBottom w:val="0"/>
              <w:divBdr>
                <w:top w:val="none" w:sz="0" w:space="0" w:color="auto"/>
                <w:left w:val="none" w:sz="0" w:space="0" w:color="auto"/>
                <w:bottom w:val="none" w:sz="0" w:space="0" w:color="auto"/>
                <w:right w:val="none" w:sz="0" w:space="0" w:color="auto"/>
              </w:divBdr>
              <w:divsChild>
                <w:div w:id="19987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5530">
      <w:bodyDiv w:val="1"/>
      <w:marLeft w:val="0"/>
      <w:marRight w:val="0"/>
      <w:marTop w:val="0"/>
      <w:marBottom w:val="0"/>
      <w:divBdr>
        <w:top w:val="none" w:sz="0" w:space="0" w:color="auto"/>
        <w:left w:val="none" w:sz="0" w:space="0" w:color="auto"/>
        <w:bottom w:val="none" w:sz="0" w:space="0" w:color="auto"/>
        <w:right w:val="none" w:sz="0" w:space="0" w:color="auto"/>
      </w:divBdr>
      <w:divsChild>
        <w:div w:id="1319459160">
          <w:marLeft w:val="0"/>
          <w:marRight w:val="0"/>
          <w:marTop w:val="0"/>
          <w:marBottom w:val="0"/>
          <w:divBdr>
            <w:top w:val="none" w:sz="0" w:space="0" w:color="auto"/>
            <w:left w:val="none" w:sz="0" w:space="0" w:color="auto"/>
            <w:bottom w:val="none" w:sz="0" w:space="0" w:color="auto"/>
            <w:right w:val="none" w:sz="0" w:space="0" w:color="auto"/>
          </w:divBdr>
          <w:divsChild>
            <w:div w:id="1554807585">
              <w:marLeft w:val="0"/>
              <w:marRight w:val="0"/>
              <w:marTop w:val="0"/>
              <w:marBottom w:val="0"/>
              <w:divBdr>
                <w:top w:val="none" w:sz="0" w:space="0" w:color="auto"/>
                <w:left w:val="none" w:sz="0" w:space="0" w:color="auto"/>
                <w:bottom w:val="none" w:sz="0" w:space="0" w:color="auto"/>
                <w:right w:val="none" w:sz="0" w:space="0" w:color="auto"/>
              </w:divBdr>
              <w:divsChild>
                <w:div w:id="6040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94089">
      <w:bodyDiv w:val="1"/>
      <w:marLeft w:val="0"/>
      <w:marRight w:val="0"/>
      <w:marTop w:val="0"/>
      <w:marBottom w:val="0"/>
      <w:divBdr>
        <w:top w:val="none" w:sz="0" w:space="0" w:color="auto"/>
        <w:left w:val="none" w:sz="0" w:space="0" w:color="auto"/>
        <w:bottom w:val="none" w:sz="0" w:space="0" w:color="auto"/>
        <w:right w:val="none" w:sz="0" w:space="0" w:color="auto"/>
      </w:divBdr>
      <w:divsChild>
        <w:div w:id="1984118900">
          <w:marLeft w:val="1080"/>
          <w:marRight w:val="0"/>
          <w:marTop w:val="100"/>
          <w:marBottom w:val="0"/>
          <w:divBdr>
            <w:top w:val="none" w:sz="0" w:space="0" w:color="auto"/>
            <w:left w:val="none" w:sz="0" w:space="0" w:color="auto"/>
            <w:bottom w:val="none" w:sz="0" w:space="0" w:color="auto"/>
            <w:right w:val="none" w:sz="0" w:space="0" w:color="auto"/>
          </w:divBdr>
        </w:div>
      </w:divsChild>
    </w:div>
    <w:div w:id="874805110">
      <w:bodyDiv w:val="1"/>
      <w:marLeft w:val="0"/>
      <w:marRight w:val="0"/>
      <w:marTop w:val="0"/>
      <w:marBottom w:val="0"/>
      <w:divBdr>
        <w:top w:val="none" w:sz="0" w:space="0" w:color="auto"/>
        <w:left w:val="none" w:sz="0" w:space="0" w:color="auto"/>
        <w:bottom w:val="none" w:sz="0" w:space="0" w:color="auto"/>
        <w:right w:val="none" w:sz="0" w:space="0" w:color="auto"/>
      </w:divBdr>
    </w:div>
    <w:div w:id="876703981">
      <w:bodyDiv w:val="1"/>
      <w:marLeft w:val="0"/>
      <w:marRight w:val="0"/>
      <w:marTop w:val="0"/>
      <w:marBottom w:val="0"/>
      <w:divBdr>
        <w:top w:val="none" w:sz="0" w:space="0" w:color="auto"/>
        <w:left w:val="none" w:sz="0" w:space="0" w:color="auto"/>
        <w:bottom w:val="none" w:sz="0" w:space="0" w:color="auto"/>
        <w:right w:val="none" w:sz="0" w:space="0" w:color="auto"/>
      </w:divBdr>
      <w:divsChild>
        <w:div w:id="1317958669">
          <w:marLeft w:val="0"/>
          <w:marRight w:val="0"/>
          <w:marTop w:val="0"/>
          <w:marBottom w:val="0"/>
          <w:divBdr>
            <w:top w:val="none" w:sz="0" w:space="0" w:color="auto"/>
            <w:left w:val="none" w:sz="0" w:space="0" w:color="auto"/>
            <w:bottom w:val="none" w:sz="0" w:space="0" w:color="auto"/>
            <w:right w:val="none" w:sz="0" w:space="0" w:color="auto"/>
          </w:divBdr>
          <w:divsChild>
            <w:div w:id="1402486200">
              <w:marLeft w:val="0"/>
              <w:marRight w:val="0"/>
              <w:marTop w:val="0"/>
              <w:marBottom w:val="0"/>
              <w:divBdr>
                <w:top w:val="none" w:sz="0" w:space="0" w:color="auto"/>
                <w:left w:val="none" w:sz="0" w:space="0" w:color="auto"/>
                <w:bottom w:val="none" w:sz="0" w:space="0" w:color="auto"/>
                <w:right w:val="none" w:sz="0" w:space="0" w:color="auto"/>
              </w:divBdr>
              <w:divsChild>
                <w:div w:id="1150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67763">
      <w:bodyDiv w:val="1"/>
      <w:marLeft w:val="0"/>
      <w:marRight w:val="0"/>
      <w:marTop w:val="0"/>
      <w:marBottom w:val="0"/>
      <w:divBdr>
        <w:top w:val="none" w:sz="0" w:space="0" w:color="auto"/>
        <w:left w:val="none" w:sz="0" w:space="0" w:color="auto"/>
        <w:bottom w:val="none" w:sz="0" w:space="0" w:color="auto"/>
        <w:right w:val="none" w:sz="0" w:space="0" w:color="auto"/>
      </w:divBdr>
      <w:divsChild>
        <w:div w:id="1459763385">
          <w:marLeft w:val="446"/>
          <w:marRight w:val="0"/>
          <w:marTop w:val="120"/>
          <w:marBottom w:val="120"/>
          <w:divBdr>
            <w:top w:val="none" w:sz="0" w:space="0" w:color="auto"/>
            <w:left w:val="none" w:sz="0" w:space="0" w:color="auto"/>
            <w:bottom w:val="none" w:sz="0" w:space="0" w:color="auto"/>
            <w:right w:val="none" w:sz="0" w:space="0" w:color="auto"/>
          </w:divBdr>
        </w:div>
      </w:divsChild>
    </w:div>
    <w:div w:id="912815752">
      <w:bodyDiv w:val="1"/>
      <w:marLeft w:val="0"/>
      <w:marRight w:val="0"/>
      <w:marTop w:val="0"/>
      <w:marBottom w:val="0"/>
      <w:divBdr>
        <w:top w:val="none" w:sz="0" w:space="0" w:color="auto"/>
        <w:left w:val="none" w:sz="0" w:space="0" w:color="auto"/>
        <w:bottom w:val="none" w:sz="0" w:space="0" w:color="auto"/>
        <w:right w:val="none" w:sz="0" w:space="0" w:color="auto"/>
      </w:divBdr>
      <w:divsChild>
        <w:div w:id="1571503610">
          <w:marLeft w:val="0"/>
          <w:marRight w:val="0"/>
          <w:marTop w:val="0"/>
          <w:marBottom w:val="0"/>
          <w:divBdr>
            <w:top w:val="none" w:sz="0" w:space="0" w:color="auto"/>
            <w:left w:val="none" w:sz="0" w:space="0" w:color="auto"/>
            <w:bottom w:val="none" w:sz="0" w:space="0" w:color="auto"/>
            <w:right w:val="none" w:sz="0" w:space="0" w:color="auto"/>
          </w:divBdr>
          <w:divsChild>
            <w:div w:id="469398161">
              <w:marLeft w:val="0"/>
              <w:marRight w:val="0"/>
              <w:marTop w:val="0"/>
              <w:marBottom w:val="0"/>
              <w:divBdr>
                <w:top w:val="none" w:sz="0" w:space="0" w:color="auto"/>
                <w:left w:val="none" w:sz="0" w:space="0" w:color="auto"/>
                <w:bottom w:val="none" w:sz="0" w:space="0" w:color="auto"/>
                <w:right w:val="none" w:sz="0" w:space="0" w:color="auto"/>
              </w:divBdr>
              <w:divsChild>
                <w:div w:id="434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8148">
      <w:bodyDiv w:val="1"/>
      <w:marLeft w:val="0"/>
      <w:marRight w:val="0"/>
      <w:marTop w:val="0"/>
      <w:marBottom w:val="0"/>
      <w:divBdr>
        <w:top w:val="none" w:sz="0" w:space="0" w:color="auto"/>
        <w:left w:val="none" w:sz="0" w:space="0" w:color="auto"/>
        <w:bottom w:val="none" w:sz="0" w:space="0" w:color="auto"/>
        <w:right w:val="none" w:sz="0" w:space="0" w:color="auto"/>
      </w:divBdr>
    </w:div>
    <w:div w:id="957415710">
      <w:bodyDiv w:val="1"/>
      <w:marLeft w:val="0"/>
      <w:marRight w:val="0"/>
      <w:marTop w:val="0"/>
      <w:marBottom w:val="0"/>
      <w:divBdr>
        <w:top w:val="none" w:sz="0" w:space="0" w:color="auto"/>
        <w:left w:val="none" w:sz="0" w:space="0" w:color="auto"/>
        <w:bottom w:val="none" w:sz="0" w:space="0" w:color="auto"/>
        <w:right w:val="none" w:sz="0" w:space="0" w:color="auto"/>
      </w:divBdr>
      <w:divsChild>
        <w:div w:id="1195729376">
          <w:marLeft w:val="0"/>
          <w:marRight w:val="0"/>
          <w:marTop w:val="0"/>
          <w:marBottom w:val="0"/>
          <w:divBdr>
            <w:top w:val="none" w:sz="0" w:space="0" w:color="auto"/>
            <w:left w:val="none" w:sz="0" w:space="0" w:color="auto"/>
            <w:bottom w:val="none" w:sz="0" w:space="0" w:color="auto"/>
            <w:right w:val="none" w:sz="0" w:space="0" w:color="auto"/>
          </w:divBdr>
          <w:divsChild>
            <w:div w:id="124662199">
              <w:marLeft w:val="0"/>
              <w:marRight w:val="0"/>
              <w:marTop w:val="0"/>
              <w:marBottom w:val="0"/>
              <w:divBdr>
                <w:top w:val="none" w:sz="0" w:space="0" w:color="auto"/>
                <w:left w:val="none" w:sz="0" w:space="0" w:color="auto"/>
                <w:bottom w:val="none" w:sz="0" w:space="0" w:color="auto"/>
                <w:right w:val="none" w:sz="0" w:space="0" w:color="auto"/>
              </w:divBdr>
              <w:divsChild>
                <w:div w:id="1307776499">
                  <w:marLeft w:val="0"/>
                  <w:marRight w:val="0"/>
                  <w:marTop w:val="0"/>
                  <w:marBottom w:val="0"/>
                  <w:divBdr>
                    <w:top w:val="none" w:sz="0" w:space="0" w:color="auto"/>
                    <w:left w:val="none" w:sz="0" w:space="0" w:color="auto"/>
                    <w:bottom w:val="none" w:sz="0" w:space="0" w:color="auto"/>
                    <w:right w:val="none" w:sz="0" w:space="0" w:color="auto"/>
                  </w:divBdr>
                </w:div>
              </w:divsChild>
            </w:div>
            <w:div w:id="162818865">
              <w:marLeft w:val="0"/>
              <w:marRight w:val="0"/>
              <w:marTop w:val="0"/>
              <w:marBottom w:val="0"/>
              <w:divBdr>
                <w:top w:val="none" w:sz="0" w:space="0" w:color="auto"/>
                <w:left w:val="none" w:sz="0" w:space="0" w:color="auto"/>
                <w:bottom w:val="none" w:sz="0" w:space="0" w:color="auto"/>
                <w:right w:val="none" w:sz="0" w:space="0" w:color="auto"/>
              </w:divBdr>
              <w:divsChild>
                <w:div w:id="15365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4355">
          <w:marLeft w:val="0"/>
          <w:marRight w:val="0"/>
          <w:marTop w:val="0"/>
          <w:marBottom w:val="0"/>
          <w:divBdr>
            <w:top w:val="none" w:sz="0" w:space="0" w:color="auto"/>
            <w:left w:val="none" w:sz="0" w:space="0" w:color="auto"/>
            <w:bottom w:val="none" w:sz="0" w:space="0" w:color="auto"/>
            <w:right w:val="none" w:sz="0" w:space="0" w:color="auto"/>
          </w:divBdr>
          <w:divsChild>
            <w:div w:id="264046308">
              <w:marLeft w:val="0"/>
              <w:marRight w:val="0"/>
              <w:marTop w:val="0"/>
              <w:marBottom w:val="0"/>
              <w:divBdr>
                <w:top w:val="none" w:sz="0" w:space="0" w:color="auto"/>
                <w:left w:val="none" w:sz="0" w:space="0" w:color="auto"/>
                <w:bottom w:val="none" w:sz="0" w:space="0" w:color="auto"/>
                <w:right w:val="none" w:sz="0" w:space="0" w:color="auto"/>
              </w:divBdr>
              <w:divsChild>
                <w:div w:id="1359310292">
                  <w:marLeft w:val="0"/>
                  <w:marRight w:val="0"/>
                  <w:marTop w:val="0"/>
                  <w:marBottom w:val="0"/>
                  <w:divBdr>
                    <w:top w:val="none" w:sz="0" w:space="0" w:color="auto"/>
                    <w:left w:val="none" w:sz="0" w:space="0" w:color="auto"/>
                    <w:bottom w:val="none" w:sz="0" w:space="0" w:color="auto"/>
                    <w:right w:val="none" w:sz="0" w:space="0" w:color="auto"/>
                  </w:divBdr>
                </w:div>
              </w:divsChild>
            </w:div>
            <w:div w:id="1940915272">
              <w:marLeft w:val="0"/>
              <w:marRight w:val="0"/>
              <w:marTop w:val="0"/>
              <w:marBottom w:val="0"/>
              <w:divBdr>
                <w:top w:val="none" w:sz="0" w:space="0" w:color="auto"/>
                <w:left w:val="none" w:sz="0" w:space="0" w:color="auto"/>
                <w:bottom w:val="none" w:sz="0" w:space="0" w:color="auto"/>
                <w:right w:val="none" w:sz="0" w:space="0" w:color="auto"/>
              </w:divBdr>
              <w:divsChild>
                <w:div w:id="21471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85827">
      <w:bodyDiv w:val="1"/>
      <w:marLeft w:val="0"/>
      <w:marRight w:val="0"/>
      <w:marTop w:val="0"/>
      <w:marBottom w:val="0"/>
      <w:divBdr>
        <w:top w:val="none" w:sz="0" w:space="0" w:color="auto"/>
        <w:left w:val="none" w:sz="0" w:space="0" w:color="auto"/>
        <w:bottom w:val="none" w:sz="0" w:space="0" w:color="auto"/>
        <w:right w:val="none" w:sz="0" w:space="0" w:color="auto"/>
      </w:divBdr>
      <w:divsChild>
        <w:div w:id="146092901">
          <w:marLeft w:val="0"/>
          <w:marRight w:val="0"/>
          <w:marTop w:val="0"/>
          <w:marBottom w:val="0"/>
          <w:divBdr>
            <w:top w:val="none" w:sz="0" w:space="0" w:color="auto"/>
            <w:left w:val="none" w:sz="0" w:space="0" w:color="auto"/>
            <w:bottom w:val="none" w:sz="0" w:space="0" w:color="auto"/>
            <w:right w:val="none" w:sz="0" w:space="0" w:color="auto"/>
          </w:divBdr>
          <w:divsChild>
            <w:div w:id="907957508">
              <w:marLeft w:val="0"/>
              <w:marRight w:val="0"/>
              <w:marTop w:val="0"/>
              <w:marBottom w:val="0"/>
              <w:divBdr>
                <w:top w:val="none" w:sz="0" w:space="0" w:color="auto"/>
                <w:left w:val="none" w:sz="0" w:space="0" w:color="auto"/>
                <w:bottom w:val="none" w:sz="0" w:space="0" w:color="auto"/>
                <w:right w:val="none" w:sz="0" w:space="0" w:color="auto"/>
              </w:divBdr>
              <w:divsChild>
                <w:div w:id="1320233651">
                  <w:marLeft w:val="0"/>
                  <w:marRight w:val="0"/>
                  <w:marTop w:val="0"/>
                  <w:marBottom w:val="0"/>
                  <w:divBdr>
                    <w:top w:val="none" w:sz="0" w:space="0" w:color="auto"/>
                    <w:left w:val="none" w:sz="0" w:space="0" w:color="auto"/>
                    <w:bottom w:val="none" w:sz="0" w:space="0" w:color="auto"/>
                    <w:right w:val="none" w:sz="0" w:space="0" w:color="auto"/>
                  </w:divBdr>
                  <w:divsChild>
                    <w:div w:id="884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07485">
      <w:bodyDiv w:val="1"/>
      <w:marLeft w:val="0"/>
      <w:marRight w:val="0"/>
      <w:marTop w:val="0"/>
      <w:marBottom w:val="0"/>
      <w:divBdr>
        <w:top w:val="none" w:sz="0" w:space="0" w:color="auto"/>
        <w:left w:val="none" w:sz="0" w:space="0" w:color="auto"/>
        <w:bottom w:val="none" w:sz="0" w:space="0" w:color="auto"/>
        <w:right w:val="none" w:sz="0" w:space="0" w:color="auto"/>
      </w:divBdr>
      <w:divsChild>
        <w:div w:id="1666860766">
          <w:marLeft w:val="0"/>
          <w:marRight w:val="0"/>
          <w:marTop w:val="0"/>
          <w:marBottom w:val="0"/>
          <w:divBdr>
            <w:top w:val="none" w:sz="0" w:space="0" w:color="auto"/>
            <w:left w:val="none" w:sz="0" w:space="0" w:color="auto"/>
            <w:bottom w:val="none" w:sz="0" w:space="0" w:color="auto"/>
            <w:right w:val="none" w:sz="0" w:space="0" w:color="auto"/>
          </w:divBdr>
          <w:divsChild>
            <w:div w:id="532353348">
              <w:marLeft w:val="0"/>
              <w:marRight w:val="0"/>
              <w:marTop w:val="0"/>
              <w:marBottom w:val="0"/>
              <w:divBdr>
                <w:top w:val="none" w:sz="0" w:space="0" w:color="auto"/>
                <w:left w:val="none" w:sz="0" w:space="0" w:color="auto"/>
                <w:bottom w:val="none" w:sz="0" w:space="0" w:color="auto"/>
                <w:right w:val="none" w:sz="0" w:space="0" w:color="auto"/>
              </w:divBdr>
              <w:divsChild>
                <w:div w:id="918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12013">
      <w:bodyDiv w:val="1"/>
      <w:marLeft w:val="0"/>
      <w:marRight w:val="0"/>
      <w:marTop w:val="0"/>
      <w:marBottom w:val="0"/>
      <w:divBdr>
        <w:top w:val="none" w:sz="0" w:space="0" w:color="auto"/>
        <w:left w:val="none" w:sz="0" w:space="0" w:color="auto"/>
        <w:bottom w:val="none" w:sz="0" w:space="0" w:color="auto"/>
        <w:right w:val="none" w:sz="0" w:space="0" w:color="auto"/>
      </w:divBdr>
      <w:divsChild>
        <w:div w:id="185749618">
          <w:marLeft w:val="0"/>
          <w:marRight w:val="0"/>
          <w:marTop w:val="0"/>
          <w:marBottom w:val="0"/>
          <w:divBdr>
            <w:top w:val="none" w:sz="0" w:space="0" w:color="auto"/>
            <w:left w:val="none" w:sz="0" w:space="0" w:color="auto"/>
            <w:bottom w:val="none" w:sz="0" w:space="0" w:color="auto"/>
            <w:right w:val="none" w:sz="0" w:space="0" w:color="auto"/>
          </w:divBdr>
          <w:divsChild>
            <w:div w:id="52393862">
              <w:marLeft w:val="0"/>
              <w:marRight w:val="0"/>
              <w:marTop w:val="0"/>
              <w:marBottom w:val="0"/>
              <w:divBdr>
                <w:top w:val="none" w:sz="0" w:space="0" w:color="auto"/>
                <w:left w:val="none" w:sz="0" w:space="0" w:color="auto"/>
                <w:bottom w:val="none" w:sz="0" w:space="0" w:color="auto"/>
                <w:right w:val="none" w:sz="0" w:space="0" w:color="auto"/>
              </w:divBdr>
              <w:divsChild>
                <w:div w:id="16840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7912">
      <w:bodyDiv w:val="1"/>
      <w:marLeft w:val="0"/>
      <w:marRight w:val="0"/>
      <w:marTop w:val="0"/>
      <w:marBottom w:val="0"/>
      <w:divBdr>
        <w:top w:val="none" w:sz="0" w:space="0" w:color="auto"/>
        <w:left w:val="none" w:sz="0" w:space="0" w:color="auto"/>
        <w:bottom w:val="none" w:sz="0" w:space="0" w:color="auto"/>
        <w:right w:val="none" w:sz="0" w:space="0" w:color="auto"/>
      </w:divBdr>
    </w:div>
    <w:div w:id="1193422013">
      <w:bodyDiv w:val="1"/>
      <w:marLeft w:val="0"/>
      <w:marRight w:val="0"/>
      <w:marTop w:val="0"/>
      <w:marBottom w:val="0"/>
      <w:divBdr>
        <w:top w:val="none" w:sz="0" w:space="0" w:color="auto"/>
        <w:left w:val="none" w:sz="0" w:space="0" w:color="auto"/>
        <w:bottom w:val="none" w:sz="0" w:space="0" w:color="auto"/>
        <w:right w:val="none" w:sz="0" w:space="0" w:color="auto"/>
      </w:divBdr>
    </w:div>
    <w:div w:id="1199128336">
      <w:bodyDiv w:val="1"/>
      <w:marLeft w:val="0"/>
      <w:marRight w:val="0"/>
      <w:marTop w:val="0"/>
      <w:marBottom w:val="0"/>
      <w:divBdr>
        <w:top w:val="none" w:sz="0" w:space="0" w:color="auto"/>
        <w:left w:val="none" w:sz="0" w:space="0" w:color="auto"/>
        <w:bottom w:val="none" w:sz="0" w:space="0" w:color="auto"/>
        <w:right w:val="none" w:sz="0" w:space="0" w:color="auto"/>
      </w:divBdr>
      <w:divsChild>
        <w:div w:id="364141656">
          <w:marLeft w:val="0"/>
          <w:marRight w:val="0"/>
          <w:marTop w:val="0"/>
          <w:marBottom w:val="0"/>
          <w:divBdr>
            <w:top w:val="none" w:sz="0" w:space="0" w:color="auto"/>
            <w:left w:val="none" w:sz="0" w:space="0" w:color="auto"/>
            <w:bottom w:val="none" w:sz="0" w:space="0" w:color="auto"/>
            <w:right w:val="none" w:sz="0" w:space="0" w:color="auto"/>
          </w:divBdr>
          <w:divsChild>
            <w:div w:id="417990894">
              <w:marLeft w:val="0"/>
              <w:marRight w:val="0"/>
              <w:marTop w:val="0"/>
              <w:marBottom w:val="0"/>
              <w:divBdr>
                <w:top w:val="none" w:sz="0" w:space="0" w:color="auto"/>
                <w:left w:val="none" w:sz="0" w:space="0" w:color="auto"/>
                <w:bottom w:val="none" w:sz="0" w:space="0" w:color="auto"/>
                <w:right w:val="none" w:sz="0" w:space="0" w:color="auto"/>
              </w:divBdr>
              <w:divsChild>
                <w:div w:id="9243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78044">
      <w:bodyDiv w:val="1"/>
      <w:marLeft w:val="0"/>
      <w:marRight w:val="0"/>
      <w:marTop w:val="0"/>
      <w:marBottom w:val="0"/>
      <w:divBdr>
        <w:top w:val="none" w:sz="0" w:space="0" w:color="auto"/>
        <w:left w:val="none" w:sz="0" w:space="0" w:color="auto"/>
        <w:bottom w:val="none" w:sz="0" w:space="0" w:color="auto"/>
        <w:right w:val="none" w:sz="0" w:space="0" w:color="auto"/>
      </w:divBdr>
    </w:div>
    <w:div w:id="1237204465">
      <w:bodyDiv w:val="1"/>
      <w:marLeft w:val="0"/>
      <w:marRight w:val="0"/>
      <w:marTop w:val="0"/>
      <w:marBottom w:val="0"/>
      <w:divBdr>
        <w:top w:val="none" w:sz="0" w:space="0" w:color="auto"/>
        <w:left w:val="none" w:sz="0" w:space="0" w:color="auto"/>
        <w:bottom w:val="none" w:sz="0" w:space="0" w:color="auto"/>
        <w:right w:val="none" w:sz="0" w:space="0" w:color="auto"/>
      </w:divBdr>
      <w:divsChild>
        <w:div w:id="1127091143">
          <w:marLeft w:val="0"/>
          <w:marRight w:val="0"/>
          <w:marTop w:val="0"/>
          <w:marBottom w:val="0"/>
          <w:divBdr>
            <w:top w:val="none" w:sz="0" w:space="0" w:color="auto"/>
            <w:left w:val="none" w:sz="0" w:space="0" w:color="auto"/>
            <w:bottom w:val="none" w:sz="0" w:space="0" w:color="auto"/>
            <w:right w:val="none" w:sz="0" w:space="0" w:color="auto"/>
          </w:divBdr>
          <w:divsChild>
            <w:div w:id="1768500325">
              <w:marLeft w:val="0"/>
              <w:marRight w:val="0"/>
              <w:marTop w:val="0"/>
              <w:marBottom w:val="0"/>
              <w:divBdr>
                <w:top w:val="none" w:sz="0" w:space="0" w:color="auto"/>
                <w:left w:val="none" w:sz="0" w:space="0" w:color="auto"/>
                <w:bottom w:val="none" w:sz="0" w:space="0" w:color="auto"/>
                <w:right w:val="none" w:sz="0" w:space="0" w:color="auto"/>
              </w:divBdr>
              <w:divsChild>
                <w:div w:id="563296780">
                  <w:marLeft w:val="0"/>
                  <w:marRight w:val="0"/>
                  <w:marTop w:val="0"/>
                  <w:marBottom w:val="0"/>
                  <w:divBdr>
                    <w:top w:val="none" w:sz="0" w:space="0" w:color="auto"/>
                    <w:left w:val="none" w:sz="0" w:space="0" w:color="auto"/>
                    <w:bottom w:val="none" w:sz="0" w:space="0" w:color="auto"/>
                    <w:right w:val="none" w:sz="0" w:space="0" w:color="auto"/>
                  </w:divBdr>
                  <w:divsChild>
                    <w:div w:id="17189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85985">
      <w:bodyDiv w:val="1"/>
      <w:marLeft w:val="0"/>
      <w:marRight w:val="0"/>
      <w:marTop w:val="0"/>
      <w:marBottom w:val="0"/>
      <w:divBdr>
        <w:top w:val="none" w:sz="0" w:space="0" w:color="auto"/>
        <w:left w:val="none" w:sz="0" w:space="0" w:color="auto"/>
        <w:bottom w:val="none" w:sz="0" w:space="0" w:color="auto"/>
        <w:right w:val="none" w:sz="0" w:space="0" w:color="auto"/>
      </w:divBdr>
      <w:divsChild>
        <w:div w:id="676736305">
          <w:marLeft w:val="0"/>
          <w:marRight w:val="0"/>
          <w:marTop w:val="0"/>
          <w:marBottom w:val="0"/>
          <w:divBdr>
            <w:top w:val="none" w:sz="0" w:space="0" w:color="auto"/>
            <w:left w:val="none" w:sz="0" w:space="0" w:color="auto"/>
            <w:bottom w:val="none" w:sz="0" w:space="0" w:color="auto"/>
            <w:right w:val="none" w:sz="0" w:space="0" w:color="auto"/>
          </w:divBdr>
          <w:divsChild>
            <w:div w:id="250503459">
              <w:marLeft w:val="0"/>
              <w:marRight w:val="0"/>
              <w:marTop w:val="0"/>
              <w:marBottom w:val="0"/>
              <w:divBdr>
                <w:top w:val="none" w:sz="0" w:space="0" w:color="auto"/>
                <w:left w:val="none" w:sz="0" w:space="0" w:color="auto"/>
                <w:bottom w:val="none" w:sz="0" w:space="0" w:color="auto"/>
                <w:right w:val="none" w:sz="0" w:space="0" w:color="auto"/>
              </w:divBdr>
              <w:divsChild>
                <w:div w:id="2436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2839">
      <w:bodyDiv w:val="1"/>
      <w:marLeft w:val="0"/>
      <w:marRight w:val="0"/>
      <w:marTop w:val="0"/>
      <w:marBottom w:val="0"/>
      <w:divBdr>
        <w:top w:val="none" w:sz="0" w:space="0" w:color="auto"/>
        <w:left w:val="none" w:sz="0" w:space="0" w:color="auto"/>
        <w:bottom w:val="none" w:sz="0" w:space="0" w:color="auto"/>
        <w:right w:val="none" w:sz="0" w:space="0" w:color="auto"/>
      </w:divBdr>
      <w:divsChild>
        <w:div w:id="319815969">
          <w:marLeft w:val="0"/>
          <w:marRight w:val="0"/>
          <w:marTop w:val="0"/>
          <w:marBottom w:val="0"/>
          <w:divBdr>
            <w:top w:val="none" w:sz="0" w:space="0" w:color="auto"/>
            <w:left w:val="none" w:sz="0" w:space="0" w:color="auto"/>
            <w:bottom w:val="none" w:sz="0" w:space="0" w:color="auto"/>
            <w:right w:val="none" w:sz="0" w:space="0" w:color="auto"/>
          </w:divBdr>
          <w:divsChild>
            <w:div w:id="1037244832">
              <w:marLeft w:val="0"/>
              <w:marRight w:val="0"/>
              <w:marTop w:val="0"/>
              <w:marBottom w:val="0"/>
              <w:divBdr>
                <w:top w:val="none" w:sz="0" w:space="0" w:color="auto"/>
                <w:left w:val="none" w:sz="0" w:space="0" w:color="auto"/>
                <w:bottom w:val="none" w:sz="0" w:space="0" w:color="auto"/>
                <w:right w:val="none" w:sz="0" w:space="0" w:color="auto"/>
              </w:divBdr>
              <w:divsChild>
                <w:div w:id="5823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8517">
      <w:bodyDiv w:val="1"/>
      <w:marLeft w:val="0"/>
      <w:marRight w:val="0"/>
      <w:marTop w:val="0"/>
      <w:marBottom w:val="0"/>
      <w:divBdr>
        <w:top w:val="none" w:sz="0" w:space="0" w:color="auto"/>
        <w:left w:val="none" w:sz="0" w:space="0" w:color="auto"/>
        <w:bottom w:val="none" w:sz="0" w:space="0" w:color="auto"/>
        <w:right w:val="none" w:sz="0" w:space="0" w:color="auto"/>
      </w:divBdr>
    </w:div>
    <w:div w:id="1343822489">
      <w:bodyDiv w:val="1"/>
      <w:marLeft w:val="0"/>
      <w:marRight w:val="0"/>
      <w:marTop w:val="0"/>
      <w:marBottom w:val="0"/>
      <w:divBdr>
        <w:top w:val="none" w:sz="0" w:space="0" w:color="auto"/>
        <w:left w:val="none" w:sz="0" w:space="0" w:color="auto"/>
        <w:bottom w:val="none" w:sz="0" w:space="0" w:color="auto"/>
        <w:right w:val="none" w:sz="0" w:space="0" w:color="auto"/>
      </w:divBdr>
      <w:divsChild>
        <w:div w:id="2046637952">
          <w:marLeft w:val="0"/>
          <w:marRight w:val="0"/>
          <w:marTop w:val="0"/>
          <w:marBottom w:val="0"/>
          <w:divBdr>
            <w:top w:val="none" w:sz="0" w:space="0" w:color="auto"/>
            <w:left w:val="none" w:sz="0" w:space="0" w:color="auto"/>
            <w:bottom w:val="none" w:sz="0" w:space="0" w:color="auto"/>
            <w:right w:val="none" w:sz="0" w:space="0" w:color="auto"/>
          </w:divBdr>
          <w:divsChild>
            <w:div w:id="340011141">
              <w:marLeft w:val="0"/>
              <w:marRight w:val="0"/>
              <w:marTop w:val="0"/>
              <w:marBottom w:val="0"/>
              <w:divBdr>
                <w:top w:val="none" w:sz="0" w:space="0" w:color="auto"/>
                <w:left w:val="none" w:sz="0" w:space="0" w:color="auto"/>
                <w:bottom w:val="none" w:sz="0" w:space="0" w:color="auto"/>
                <w:right w:val="none" w:sz="0" w:space="0" w:color="auto"/>
              </w:divBdr>
              <w:divsChild>
                <w:div w:id="831916647">
                  <w:marLeft w:val="0"/>
                  <w:marRight w:val="0"/>
                  <w:marTop w:val="0"/>
                  <w:marBottom w:val="0"/>
                  <w:divBdr>
                    <w:top w:val="none" w:sz="0" w:space="0" w:color="auto"/>
                    <w:left w:val="none" w:sz="0" w:space="0" w:color="auto"/>
                    <w:bottom w:val="none" w:sz="0" w:space="0" w:color="auto"/>
                    <w:right w:val="none" w:sz="0" w:space="0" w:color="auto"/>
                  </w:divBdr>
                  <w:divsChild>
                    <w:div w:id="9890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6941">
      <w:bodyDiv w:val="1"/>
      <w:marLeft w:val="0"/>
      <w:marRight w:val="0"/>
      <w:marTop w:val="0"/>
      <w:marBottom w:val="0"/>
      <w:divBdr>
        <w:top w:val="none" w:sz="0" w:space="0" w:color="auto"/>
        <w:left w:val="none" w:sz="0" w:space="0" w:color="auto"/>
        <w:bottom w:val="none" w:sz="0" w:space="0" w:color="auto"/>
        <w:right w:val="none" w:sz="0" w:space="0" w:color="auto"/>
      </w:divBdr>
      <w:divsChild>
        <w:div w:id="1453943641">
          <w:marLeft w:val="0"/>
          <w:marRight w:val="0"/>
          <w:marTop w:val="0"/>
          <w:marBottom w:val="0"/>
          <w:divBdr>
            <w:top w:val="none" w:sz="0" w:space="0" w:color="auto"/>
            <w:left w:val="none" w:sz="0" w:space="0" w:color="auto"/>
            <w:bottom w:val="none" w:sz="0" w:space="0" w:color="auto"/>
            <w:right w:val="none" w:sz="0" w:space="0" w:color="auto"/>
          </w:divBdr>
          <w:divsChild>
            <w:div w:id="1399287701">
              <w:marLeft w:val="0"/>
              <w:marRight w:val="0"/>
              <w:marTop w:val="0"/>
              <w:marBottom w:val="0"/>
              <w:divBdr>
                <w:top w:val="none" w:sz="0" w:space="0" w:color="auto"/>
                <w:left w:val="none" w:sz="0" w:space="0" w:color="auto"/>
                <w:bottom w:val="none" w:sz="0" w:space="0" w:color="auto"/>
                <w:right w:val="none" w:sz="0" w:space="0" w:color="auto"/>
              </w:divBdr>
              <w:divsChild>
                <w:div w:id="977304447">
                  <w:marLeft w:val="0"/>
                  <w:marRight w:val="0"/>
                  <w:marTop w:val="0"/>
                  <w:marBottom w:val="0"/>
                  <w:divBdr>
                    <w:top w:val="none" w:sz="0" w:space="0" w:color="auto"/>
                    <w:left w:val="none" w:sz="0" w:space="0" w:color="auto"/>
                    <w:bottom w:val="none" w:sz="0" w:space="0" w:color="auto"/>
                    <w:right w:val="none" w:sz="0" w:space="0" w:color="auto"/>
                  </w:divBdr>
                  <w:divsChild>
                    <w:div w:id="20540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22124">
      <w:bodyDiv w:val="1"/>
      <w:marLeft w:val="0"/>
      <w:marRight w:val="0"/>
      <w:marTop w:val="0"/>
      <w:marBottom w:val="0"/>
      <w:divBdr>
        <w:top w:val="none" w:sz="0" w:space="0" w:color="auto"/>
        <w:left w:val="none" w:sz="0" w:space="0" w:color="auto"/>
        <w:bottom w:val="none" w:sz="0" w:space="0" w:color="auto"/>
        <w:right w:val="none" w:sz="0" w:space="0" w:color="auto"/>
      </w:divBdr>
    </w:div>
    <w:div w:id="1512639816">
      <w:bodyDiv w:val="1"/>
      <w:marLeft w:val="0"/>
      <w:marRight w:val="0"/>
      <w:marTop w:val="0"/>
      <w:marBottom w:val="0"/>
      <w:divBdr>
        <w:top w:val="none" w:sz="0" w:space="0" w:color="auto"/>
        <w:left w:val="none" w:sz="0" w:space="0" w:color="auto"/>
        <w:bottom w:val="none" w:sz="0" w:space="0" w:color="auto"/>
        <w:right w:val="none" w:sz="0" w:space="0" w:color="auto"/>
      </w:divBdr>
      <w:divsChild>
        <w:div w:id="283773872">
          <w:marLeft w:val="0"/>
          <w:marRight w:val="0"/>
          <w:marTop w:val="0"/>
          <w:marBottom w:val="0"/>
          <w:divBdr>
            <w:top w:val="none" w:sz="0" w:space="0" w:color="auto"/>
            <w:left w:val="none" w:sz="0" w:space="0" w:color="auto"/>
            <w:bottom w:val="none" w:sz="0" w:space="0" w:color="auto"/>
            <w:right w:val="none" w:sz="0" w:space="0" w:color="auto"/>
          </w:divBdr>
          <w:divsChild>
            <w:div w:id="576938098">
              <w:marLeft w:val="0"/>
              <w:marRight w:val="0"/>
              <w:marTop w:val="0"/>
              <w:marBottom w:val="0"/>
              <w:divBdr>
                <w:top w:val="none" w:sz="0" w:space="0" w:color="auto"/>
                <w:left w:val="none" w:sz="0" w:space="0" w:color="auto"/>
                <w:bottom w:val="none" w:sz="0" w:space="0" w:color="auto"/>
                <w:right w:val="none" w:sz="0" w:space="0" w:color="auto"/>
              </w:divBdr>
              <w:divsChild>
                <w:div w:id="11112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6319">
      <w:bodyDiv w:val="1"/>
      <w:marLeft w:val="0"/>
      <w:marRight w:val="0"/>
      <w:marTop w:val="0"/>
      <w:marBottom w:val="0"/>
      <w:divBdr>
        <w:top w:val="none" w:sz="0" w:space="0" w:color="auto"/>
        <w:left w:val="none" w:sz="0" w:space="0" w:color="auto"/>
        <w:bottom w:val="none" w:sz="0" w:space="0" w:color="auto"/>
        <w:right w:val="none" w:sz="0" w:space="0" w:color="auto"/>
      </w:divBdr>
      <w:divsChild>
        <w:div w:id="26297594">
          <w:marLeft w:val="0"/>
          <w:marRight w:val="0"/>
          <w:marTop w:val="0"/>
          <w:marBottom w:val="0"/>
          <w:divBdr>
            <w:top w:val="none" w:sz="0" w:space="0" w:color="auto"/>
            <w:left w:val="none" w:sz="0" w:space="0" w:color="auto"/>
            <w:bottom w:val="none" w:sz="0" w:space="0" w:color="auto"/>
            <w:right w:val="none" w:sz="0" w:space="0" w:color="auto"/>
          </w:divBdr>
          <w:divsChild>
            <w:div w:id="39280820">
              <w:marLeft w:val="0"/>
              <w:marRight w:val="0"/>
              <w:marTop w:val="0"/>
              <w:marBottom w:val="0"/>
              <w:divBdr>
                <w:top w:val="none" w:sz="0" w:space="0" w:color="auto"/>
                <w:left w:val="none" w:sz="0" w:space="0" w:color="auto"/>
                <w:bottom w:val="none" w:sz="0" w:space="0" w:color="auto"/>
                <w:right w:val="none" w:sz="0" w:space="0" w:color="auto"/>
              </w:divBdr>
              <w:divsChild>
                <w:div w:id="162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12185">
      <w:bodyDiv w:val="1"/>
      <w:marLeft w:val="0"/>
      <w:marRight w:val="0"/>
      <w:marTop w:val="0"/>
      <w:marBottom w:val="0"/>
      <w:divBdr>
        <w:top w:val="none" w:sz="0" w:space="0" w:color="auto"/>
        <w:left w:val="none" w:sz="0" w:space="0" w:color="auto"/>
        <w:bottom w:val="none" w:sz="0" w:space="0" w:color="auto"/>
        <w:right w:val="none" w:sz="0" w:space="0" w:color="auto"/>
      </w:divBdr>
      <w:divsChild>
        <w:div w:id="265356224">
          <w:marLeft w:val="0"/>
          <w:marRight w:val="0"/>
          <w:marTop w:val="0"/>
          <w:marBottom w:val="0"/>
          <w:divBdr>
            <w:top w:val="none" w:sz="0" w:space="0" w:color="auto"/>
            <w:left w:val="none" w:sz="0" w:space="0" w:color="auto"/>
            <w:bottom w:val="none" w:sz="0" w:space="0" w:color="auto"/>
            <w:right w:val="none" w:sz="0" w:space="0" w:color="auto"/>
          </w:divBdr>
          <w:divsChild>
            <w:div w:id="235358323">
              <w:marLeft w:val="0"/>
              <w:marRight w:val="0"/>
              <w:marTop w:val="0"/>
              <w:marBottom w:val="0"/>
              <w:divBdr>
                <w:top w:val="none" w:sz="0" w:space="0" w:color="auto"/>
                <w:left w:val="none" w:sz="0" w:space="0" w:color="auto"/>
                <w:bottom w:val="none" w:sz="0" w:space="0" w:color="auto"/>
                <w:right w:val="none" w:sz="0" w:space="0" w:color="auto"/>
              </w:divBdr>
              <w:divsChild>
                <w:div w:id="2038196565">
                  <w:marLeft w:val="0"/>
                  <w:marRight w:val="0"/>
                  <w:marTop w:val="0"/>
                  <w:marBottom w:val="0"/>
                  <w:divBdr>
                    <w:top w:val="none" w:sz="0" w:space="0" w:color="auto"/>
                    <w:left w:val="none" w:sz="0" w:space="0" w:color="auto"/>
                    <w:bottom w:val="none" w:sz="0" w:space="0" w:color="auto"/>
                    <w:right w:val="none" w:sz="0" w:space="0" w:color="auto"/>
                  </w:divBdr>
                  <w:divsChild>
                    <w:div w:id="4261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774549">
      <w:bodyDiv w:val="1"/>
      <w:marLeft w:val="0"/>
      <w:marRight w:val="0"/>
      <w:marTop w:val="0"/>
      <w:marBottom w:val="0"/>
      <w:divBdr>
        <w:top w:val="none" w:sz="0" w:space="0" w:color="auto"/>
        <w:left w:val="none" w:sz="0" w:space="0" w:color="auto"/>
        <w:bottom w:val="none" w:sz="0" w:space="0" w:color="auto"/>
        <w:right w:val="none" w:sz="0" w:space="0" w:color="auto"/>
      </w:divBdr>
      <w:divsChild>
        <w:div w:id="944577514">
          <w:marLeft w:val="0"/>
          <w:marRight w:val="0"/>
          <w:marTop w:val="0"/>
          <w:marBottom w:val="0"/>
          <w:divBdr>
            <w:top w:val="none" w:sz="0" w:space="0" w:color="auto"/>
            <w:left w:val="none" w:sz="0" w:space="0" w:color="auto"/>
            <w:bottom w:val="none" w:sz="0" w:space="0" w:color="auto"/>
            <w:right w:val="none" w:sz="0" w:space="0" w:color="auto"/>
          </w:divBdr>
          <w:divsChild>
            <w:div w:id="513958083">
              <w:marLeft w:val="0"/>
              <w:marRight w:val="0"/>
              <w:marTop w:val="0"/>
              <w:marBottom w:val="0"/>
              <w:divBdr>
                <w:top w:val="none" w:sz="0" w:space="0" w:color="auto"/>
                <w:left w:val="none" w:sz="0" w:space="0" w:color="auto"/>
                <w:bottom w:val="none" w:sz="0" w:space="0" w:color="auto"/>
                <w:right w:val="none" w:sz="0" w:space="0" w:color="auto"/>
              </w:divBdr>
              <w:divsChild>
                <w:div w:id="17724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06305">
      <w:bodyDiv w:val="1"/>
      <w:marLeft w:val="0"/>
      <w:marRight w:val="0"/>
      <w:marTop w:val="0"/>
      <w:marBottom w:val="0"/>
      <w:divBdr>
        <w:top w:val="none" w:sz="0" w:space="0" w:color="auto"/>
        <w:left w:val="none" w:sz="0" w:space="0" w:color="auto"/>
        <w:bottom w:val="none" w:sz="0" w:space="0" w:color="auto"/>
        <w:right w:val="none" w:sz="0" w:space="0" w:color="auto"/>
      </w:divBdr>
    </w:div>
    <w:div w:id="1685286402">
      <w:bodyDiv w:val="1"/>
      <w:marLeft w:val="0"/>
      <w:marRight w:val="0"/>
      <w:marTop w:val="0"/>
      <w:marBottom w:val="0"/>
      <w:divBdr>
        <w:top w:val="none" w:sz="0" w:space="0" w:color="auto"/>
        <w:left w:val="none" w:sz="0" w:space="0" w:color="auto"/>
        <w:bottom w:val="none" w:sz="0" w:space="0" w:color="auto"/>
        <w:right w:val="none" w:sz="0" w:space="0" w:color="auto"/>
      </w:divBdr>
      <w:divsChild>
        <w:div w:id="1269774166">
          <w:marLeft w:val="0"/>
          <w:marRight w:val="0"/>
          <w:marTop w:val="0"/>
          <w:marBottom w:val="0"/>
          <w:divBdr>
            <w:top w:val="none" w:sz="0" w:space="0" w:color="auto"/>
            <w:left w:val="none" w:sz="0" w:space="0" w:color="auto"/>
            <w:bottom w:val="none" w:sz="0" w:space="0" w:color="auto"/>
            <w:right w:val="none" w:sz="0" w:space="0" w:color="auto"/>
          </w:divBdr>
          <w:divsChild>
            <w:div w:id="1218128073">
              <w:marLeft w:val="0"/>
              <w:marRight w:val="0"/>
              <w:marTop w:val="0"/>
              <w:marBottom w:val="0"/>
              <w:divBdr>
                <w:top w:val="none" w:sz="0" w:space="0" w:color="auto"/>
                <w:left w:val="none" w:sz="0" w:space="0" w:color="auto"/>
                <w:bottom w:val="none" w:sz="0" w:space="0" w:color="auto"/>
                <w:right w:val="none" w:sz="0" w:space="0" w:color="auto"/>
              </w:divBdr>
              <w:divsChild>
                <w:div w:id="491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063">
      <w:bodyDiv w:val="1"/>
      <w:marLeft w:val="0"/>
      <w:marRight w:val="0"/>
      <w:marTop w:val="0"/>
      <w:marBottom w:val="0"/>
      <w:divBdr>
        <w:top w:val="none" w:sz="0" w:space="0" w:color="auto"/>
        <w:left w:val="none" w:sz="0" w:space="0" w:color="auto"/>
        <w:bottom w:val="none" w:sz="0" w:space="0" w:color="auto"/>
        <w:right w:val="none" w:sz="0" w:space="0" w:color="auto"/>
      </w:divBdr>
      <w:divsChild>
        <w:div w:id="598761855">
          <w:marLeft w:val="0"/>
          <w:marRight w:val="0"/>
          <w:marTop w:val="0"/>
          <w:marBottom w:val="0"/>
          <w:divBdr>
            <w:top w:val="none" w:sz="0" w:space="0" w:color="auto"/>
            <w:left w:val="none" w:sz="0" w:space="0" w:color="auto"/>
            <w:bottom w:val="none" w:sz="0" w:space="0" w:color="auto"/>
            <w:right w:val="none" w:sz="0" w:space="0" w:color="auto"/>
          </w:divBdr>
          <w:divsChild>
            <w:div w:id="2007434888">
              <w:marLeft w:val="0"/>
              <w:marRight w:val="0"/>
              <w:marTop w:val="0"/>
              <w:marBottom w:val="0"/>
              <w:divBdr>
                <w:top w:val="none" w:sz="0" w:space="0" w:color="auto"/>
                <w:left w:val="none" w:sz="0" w:space="0" w:color="auto"/>
                <w:bottom w:val="none" w:sz="0" w:space="0" w:color="auto"/>
                <w:right w:val="none" w:sz="0" w:space="0" w:color="auto"/>
              </w:divBdr>
              <w:divsChild>
                <w:div w:id="195987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6296">
      <w:bodyDiv w:val="1"/>
      <w:marLeft w:val="0"/>
      <w:marRight w:val="0"/>
      <w:marTop w:val="0"/>
      <w:marBottom w:val="0"/>
      <w:divBdr>
        <w:top w:val="none" w:sz="0" w:space="0" w:color="auto"/>
        <w:left w:val="none" w:sz="0" w:space="0" w:color="auto"/>
        <w:bottom w:val="none" w:sz="0" w:space="0" w:color="auto"/>
        <w:right w:val="none" w:sz="0" w:space="0" w:color="auto"/>
      </w:divBdr>
      <w:divsChild>
        <w:div w:id="1737823473">
          <w:marLeft w:val="0"/>
          <w:marRight w:val="0"/>
          <w:marTop w:val="0"/>
          <w:marBottom w:val="0"/>
          <w:divBdr>
            <w:top w:val="none" w:sz="0" w:space="0" w:color="auto"/>
            <w:left w:val="none" w:sz="0" w:space="0" w:color="auto"/>
            <w:bottom w:val="none" w:sz="0" w:space="0" w:color="auto"/>
            <w:right w:val="none" w:sz="0" w:space="0" w:color="auto"/>
          </w:divBdr>
          <w:divsChild>
            <w:div w:id="502285253">
              <w:marLeft w:val="0"/>
              <w:marRight w:val="0"/>
              <w:marTop w:val="0"/>
              <w:marBottom w:val="0"/>
              <w:divBdr>
                <w:top w:val="none" w:sz="0" w:space="0" w:color="auto"/>
                <w:left w:val="none" w:sz="0" w:space="0" w:color="auto"/>
                <w:bottom w:val="none" w:sz="0" w:space="0" w:color="auto"/>
                <w:right w:val="none" w:sz="0" w:space="0" w:color="auto"/>
              </w:divBdr>
              <w:divsChild>
                <w:div w:id="19984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20452">
      <w:bodyDiv w:val="1"/>
      <w:marLeft w:val="0"/>
      <w:marRight w:val="0"/>
      <w:marTop w:val="0"/>
      <w:marBottom w:val="0"/>
      <w:divBdr>
        <w:top w:val="none" w:sz="0" w:space="0" w:color="auto"/>
        <w:left w:val="none" w:sz="0" w:space="0" w:color="auto"/>
        <w:bottom w:val="none" w:sz="0" w:space="0" w:color="auto"/>
        <w:right w:val="none" w:sz="0" w:space="0" w:color="auto"/>
      </w:divBdr>
      <w:divsChild>
        <w:div w:id="8532191">
          <w:marLeft w:val="0"/>
          <w:marRight w:val="0"/>
          <w:marTop w:val="0"/>
          <w:marBottom w:val="0"/>
          <w:divBdr>
            <w:top w:val="none" w:sz="0" w:space="0" w:color="auto"/>
            <w:left w:val="none" w:sz="0" w:space="0" w:color="auto"/>
            <w:bottom w:val="none" w:sz="0" w:space="0" w:color="auto"/>
            <w:right w:val="none" w:sz="0" w:space="0" w:color="auto"/>
          </w:divBdr>
          <w:divsChild>
            <w:div w:id="2131632954">
              <w:marLeft w:val="0"/>
              <w:marRight w:val="0"/>
              <w:marTop w:val="0"/>
              <w:marBottom w:val="0"/>
              <w:divBdr>
                <w:top w:val="none" w:sz="0" w:space="0" w:color="auto"/>
                <w:left w:val="none" w:sz="0" w:space="0" w:color="auto"/>
                <w:bottom w:val="none" w:sz="0" w:space="0" w:color="auto"/>
                <w:right w:val="none" w:sz="0" w:space="0" w:color="auto"/>
              </w:divBdr>
              <w:divsChild>
                <w:div w:id="20336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8467">
      <w:bodyDiv w:val="1"/>
      <w:marLeft w:val="0"/>
      <w:marRight w:val="0"/>
      <w:marTop w:val="0"/>
      <w:marBottom w:val="0"/>
      <w:divBdr>
        <w:top w:val="none" w:sz="0" w:space="0" w:color="auto"/>
        <w:left w:val="none" w:sz="0" w:space="0" w:color="auto"/>
        <w:bottom w:val="none" w:sz="0" w:space="0" w:color="auto"/>
        <w:right w:val="none" w:sz="0" w:space="0" w:color="auto"/>
      </w:divBdr>
      <w:divsChild>
        <w:div w:id="1307049997">
          <w:marLeft w:val="0"/>
          <w:marRight w:val="0"/>
          <w:marTop w:val="0"/>
          <w:marBottom w:val="0"/>
          <w:divBdr>
            <w:top w:val="none" w:sz="0" w:space="0" w:color="auto"/>
            <w:left w:val="none" w:sz="0" w:space="0" w:color="auto"/>
            <w:bottom w:val="none" w:sz="0" w:space="0" w:color="auto"/>
            <w:right w:val="none" w:sz="0" w:space="0" w:color="auto"/>
          </w:divBdr>
          <w:divsChild>
            <w:div w:id="1489202339">
              <w:marLeft w:val="0"/>
              <w:marRight w:val="0"/>
              <w:marTop w:val="0"/>
              <w:marBottom w:val="0"/>
              <w:divBdr>
                <w:top w:val="none" w:sz="0" w:space="0" w:color="auto"/>
                <w:left w:val="none" w:sz="0" w:space="0" w:color="auto"/>
                <w:bottom w:val="none" w:sz="0" w:space="0" w:color="auto"/>
                <w:right w:val="none" w:sz="0" w:space="0" w:color="auto"/>
              </w:divBdr>
              <w:divsChild>
                <w:div w:id="756562950">
                  <w:marLeft w:val="0"/>
                  <w:marRight w:val="0"/>
                  <w:marTop w:val="0"/>
                  <w:marBottom w:val="0"/>
                  <w:divBdr>
                    <w:top w:val="none" w:sz="0" w:space="0" w:color="auto"/>
                    <w:left w:val="none" w:sz="0" w:space="0" w:color="auto"/>
                    <w:bottom w:val="none" w:sz="0" w:space="0" w:color="auto"/>
                    <w:right w:val="none" w:sz="0" w:space="0" w:color="auto"/>
                  </w:divBdr>
                  <w:divsChild>
                    <w:div w:id="4239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3303">
      <w:bodyDiv w:val="1"/>
      <w:marLeft w:val="0"/>
      <w:marRight w:val="0"/>
      <w:marTop w:val="0"/>
      <w:marBottom w:val="0"/>
      <w:divBdr>
        <w:top w:val="none" w:sz="0" w:space="0" w:color="auto"/>
        <w:left w:val="none" w:sz="0" w:space="0" w:color="auto"/>
        <w:bottom w:val="none" w:sz="0" w:space="0" w:color="auto"/>
        <w:right w:val="none" w:sz="0" w:space="0" w:color="auto"/>
      </w:divBdr>
      <w:divsChild>
        <w:div w:id="1415279086">
          <w:marLeft w:val="0"/>
          <w:marRight w:val="0"/>
          <w:marTop w:val="0"/>
          <w:marBottom w:val="0"/>
          <w:divBdr>
            <w:top w:val="none" w:sz="0" w:space="0" w:color="auto"/>
            <w:left w:val="none" w:sz="0" w:space="0" w:color="auto"/>
            <w:bottom w:val="none" w:sz="0" w:space="0" w:color="auto"/>
            <w:right w:val="none" w:sz="0" w:space="0" w:color="auto"/>
          </w:divBdr>
          <w:divsChild>
            <w:div w:id="2118793149">
              <w:marLeft w:val="0"/>
              <w:marRight w:val="0"/>
              <w:marTop w:val="0"/>
              <w:marBottom w:val="0"/>
              <w:divBdr>
                <w:top w:val="none" w:sz="0" w:space="0" w:color="auto"/>
                <w:left w:val="none" w:sz="0" w:space="0" w:color="auto"/>
                <w:bottom w:val="none" w:sz="0" w:space="0" w:color="auto"/>
                <w:right w:val="none" w:sz="0" w:space="0" w:color="auto"/>
              </w:divBdr>
              <w:divsChild>
                <w:div w:id="20745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60139">
      <w:bodyDiv w:val="1"/>
      <w:marLeft w:val="0"/>
      <w:marRight w:val="0"/>
      <w:marTop w:val="0"/>
      <w:marBottom w:val="0"/>
      <w:divBdr>
        <w:top w:val="none" w:sz="0" w:space="0" w:color="auto"/>
        <w:left w:val="none" w:sz="0" w:space="0" w:color="auto"/>
        <w:bottom w:val="none" w:sz="0" w:space="0" w:color="auto"/>
        <w:right w:val="none" w:sz="0" w:space="0" w:color="auto"/>
      </w:divBdr>
      <w:divsChild>
        <w:div w:id="1014189908">
          <w:marLeft w:val="0"/>
          <w:marRight w:val="0"/>
          <w:marTop w:val="0"/>
          <w:marBottom w:val="0"/>
          <w:divBdr>
            <w:top w:val="none" w:sz="0" w:space="0" w:color="auto"/>
            <w:left w:val="none" w:sz="0" w:space="0" w:color="auto"/>
            <w:bottom w:val="none" w:sz="0" w:space="0" w:color="auto"/>
            <w:right w:val="none" w:sz="0" w:space="0" w:color="auto"/>
          </w:divBdr>
          <w:divsChild>
            <w:div w:id="1890455958">
              <w:marLeft w:val="0"/>
              <w:marRight w:val="0"/>
              <w:marTop w:val="0"/>
              <w:marBottom w:val="0"/>
              <w:divBdr>
                <w:top w:val="none" w:sz="0" w:space="0" w:color="auto"/>
                <w:left w:val="none" w:sz="0" w:space="0" w:color="auto"/>
                <w:bottom w:val="none" w:sz="0" w:space="0" w:color="auto"/>
                <w:right w:val="none" w:sz="0" w:space="0" w:color="auto"/>
              </w:divBdr>
              <w:divsChild>
                <w:div w:id="17763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16350">
      <w:bodyDiv w:val="1"/>
      <w:marLeft w:val="0"/>
      <w:marRight w:val="0"/>
      <w:marTop w:val="0"/>
      <w:marBottom w:val="0"/>
      <w:divBdr>
        <w:top w:val="none" w:sz="0" w:space="0" w:color="auto"/>
        <w:left w:val="none" w:sz="0" w:space="0" w:color="auto"/>
        <w:bottom w:val="none" w:sz="0" w:space="0" w:color="auto"/>
        <w:right w:val="none" w:sz="0" w:space="0" w:color="auto"/>
      </w:divBdr>
      <w:divsChild>
        <w:div w:id="525559798">
          <w:marLeft w:val="0"/>
          <w:marRight w:val="0"/>
          <w:marTop w:val="0"/>
          <w:marBottom w:val="0"/>
          <w:divBdr>
            <w:top w:val="none" w:sz="0" w:space="0" w:color="auto"/>
            <w:left w:val="none" w:sz="0" w:space="0" w:color="auto"/>
            <w:bottom w:val="none" w:sz="0" w:space="0" w:color="auto"/>
            <w:right w:val="none" w:sz="0" w:space="0" w:color="auto"/>
          </w:divBdr>
          <w:divsChild>
            <w:div w:id="496309452">
              <w:marLeft w:val="0"/>
              <w:marRight w:val="0"/>
              <w:marTop w:val="0"/>
              <w:marBottom w:val="0"/>
              <w:divBdr>
                <w:top w:val="none" w:sz="0" w:space="0" w:color="auto"/>
                <w:left w:val="none" w:sz="0" w:space="0" w:color="auto"/>
                <w:bottom w:val="none" w:sz="0" w:space="0" w:color="auto"/>
                <w:right w:val="none" w:sz="0" w:space="0" w:color="auto"/>
              </w:divBdr>
              <w:divsChild>
                <w:div w:id="326904699">
                  <w:marLeft w:val="0"/>
                  <w:marRight w:val="0"/>
                  <w:marTop w:val="0"/>
                  <w:marBottom w:val="0"/>
                  <w:divBdr>
                    <w:top w:val="none" w:sz="0" w:space="0" w:color="auto"/>
                    <w:left w:val="none" w:sz="0" w:space="0" w:color="auto"/>
                    <w:bottom w:val="none" w:sz="0" w:space="0" w:color="auto"/>
                    <w:right w:val="none" w:sz="0" w:space="0" w:color="auto"/>
                  </w:divBdr>
                </w:div>
              </w:divsChild>
            </w:div>
            <w:div w:id="774904113">
              <w:marLeft w:val="0"/>
              <w:marRight w:val="0"/>
              <w:marTop w:val="0"/>
              <w:marBottom w:val="0"/>
              <w:divBdr>
                <w:top w:val="none" w:sz="0" w:space="0" w:color="auto"/>
                <w:left w:val="none" w:sz="0" w:space="0" w:color="auto"/>
                <w:bottom w:val="none" w:sz="0" w:space="0" w:color="auto"/>
                <w:right w:val="none" w:sz="0" w:space="0" w:color="auto"/>
              </w:divBdr>
              <w:divsChild>
                <w:div w:id="1925455542">
                  <w:marLeft w:val="0"/>
                  <w:marRight w:val="0"/>
                  <w:marTop w:val="0"/>
                  <w:marBottom w:val="0"/>
                  <w:divBdr>
                    <w:top w:val="none" w:sz="0" w:space="0" w:color="auto"/>
                    <w:left w:val="none" w:sz="0" w:space="0" w:color="auto"/>
                    <w:bottom w:val="none" w:sz="0" w:space="0" w:color="auto"/>
                    <w:right w:val="none" w:sz="0" w:space="0" w:color="auto"/>
                  </w:divBdr>
                </w:div>
              </w:divsChild>
            </w:div>
            <w:div w:id="2112429012">
              <w:marLeft w:val="0"/>
              <w:marRight w:val="0"/>
              <w:marTop w:val="0"/>
              <w:marBottom w:val="0"/>
              <w:divBdr>
                <w:top w:val="none" w:sz="0" w:space="0" w:color="auto"/>
                <w:left w:val="none" w:sz="0" w:space="0" w:color="auto"/>
                <w:bottom w:val="none" w:sz="0" w:space="0" w:color="auto"/>
                <w:right w:val="none" w:sz="0" w:space="0" w:color="auto"/>
              </w:divBdr>
              <w:divsChild>
                <w:div w:id="232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30402">
      <w:bodyDiv w:val="1"/>
      <w:marLeft w:val="0"/>
      <w:marRight w:val="0"/>
      <w:marTop w:val="0"/>
      <w:marBottom w:val="0"/>
      <w:divBdr>
        <w:top w:val="none" w:sz="0" w:space="0" w:color="auto"/>
        <w:left w:val="none" w:sz="0" w:space="0" w:color="auto"/>
        <w:bottom w:val="none" w:sz="0" w:space="0" w:color="auto"/>
        <w:right w:val="none" w:sz="0" w:space="0" w:color="auto"/>
      </w:divBdr>
      <w:divsChild>
        <w:div w:id="597954587">
          <w:marLeft w:val="0"/>
          <w:marRight w:val="0"/>
          <w:marTop w:val="0"/>
          <w:marBottom w:val="0"/>
          <w:divBdr>
            <w:top w:val="none" w:sz="0" w:space="0" w:color="auto"/>
            <w:left w:val="none" w:sz="0" w:space="0" w:color="auto"/>
            <w:bottom w:val="none" w:sz="0" w:space="0" w:color="auto"/>
            <w:right w:val="none" w:sz="0" w:space="0" w:color="auto"/>
          </w:divBdr>
          <w:divsChild>
            <w:div w:id="2106345498">
              <w:marLeft w:val="0"/>
              <w:marRight w:val="0"/>
              <w:marTop w:val="0"/>
              <w:marBottom w:val="0"/>
              <w:divBdr>
                <w:top w:val="none" w:sz="0" w:space="0" w:color="auto"/>
                <w:left w:val="none" w:sz="0" w:space="0" w:color="auto"/>
                <w:bottom w:val="none" w:sz="0" w:space="0" w:color="auto"/>
                <w:right w:val="none" w:sz="0" w:space="0" w:color="auto"/>
              </w:divBdr>
              <w:divsChild>
                <w:div w:id="13209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64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00159795">
      <w:bodyDiv w:val="1"/>
      <w:marLeft w:val="0"/>
      <w:marRight w:val="0"/>
      <w:marTop w:val="0"/>
      <w:marBottom w:val="0"/>
      <w:divBdr>
        <w:top w:val="none" w:sz="0" w:space="0" w:color="auto"/>
        <w:left w:val="none" w:sz="0" w:space="0" w:color="auto"/>
        <w:bottom w:val="none" w:sz="0" w:space="0" w:color="auto"/>
        <w:right w:val="none" w:sz="0" w:space="0" w:color="auto"/>
      </w:divBdr>
      <w:divsChild>
        <w:div w:id="1344094229">
          <w:marLeft w:val="0"/>
          <w:marRight w:val="0"/>
          <w:marTop w:val="0"/>
          <w:marBottom w:val="0"/>
          <w:divBdr>
            <w:top w:val="none" w:sz="0" w:space="0" w:color="auto"/>
            <w:left w:val="none" w:sz="0" w:space="0" w:color="auto"/>
            <w:bottom w:val="none" w:sz="0" w:space="0" w:color="auto"/>
            <w:right w:val="none" w:sz="0" w:space="0" w:color="auto"/>
          </w:divBdr>
          <w:divsChild>
            <w:div w:id="1817456709">
              <w:marLeft w:val="0"/>
              <w:marRight w:val="0"/>
              <w:marTop w:val="0"/>
              <w:marBottom w:val="0"/>
              <w:divBdr>
                <w:top w:val="none" w:sz="0" w:space="0" w:color="auto"/>
                <w:left w:val="none" w:sz="0" w:space="0" w:color="auto"/>
                <w:bottom w:val="none" w:sz="0" w:space="0" w:color="auto"/>
                <w:right w:val="none" w:sz="0" w:space="0" w:color="auto"/>
              </w:divBdr>
              <w:divsChild>
                <w:div w:id="8017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74138">
      <w:bodyDiv w:val="1"/>
      <w:marLeft w:val="0"/>
      <w:marRight w:val="0"/>
      <w:marTop w:val="0"/>
      <w:marBottom w:val="0"/>
      <w:divBdr>
        <w:top w:val="none" w:sz="0" w:space="0" w:color="auto"/>
        <w:left w:val="none" w:sz="0" w:space="0" w:color="auto"/>
        <w:bottom w:val="none" w:sz="0" w:space="0" w:color="auto"/>
        <w:right w:val="none" w:sz="0" w:space="0" w:color="auto"/>
      </w:divBdr>
    </w:div>
    <w:div w:id="2062367802">
      <w:bodyDiv w:val="1"/>
      <w:marLeft w:val="0"/>
      <w:marRight w:val="0"/>
      <w:marTop w:val="0"/>
      <w:marBottom w:val="0"/>
      <w:divBdr>
        <w:top w:val="none" w:sz="0" w:space="0" w:color="auto"/>
        <w:left w:val="none" w:sz="0" w:space="0" w:color="auto"/>
        <w:bottom w:val="none" w:sz="0" w:space="0" w:color="auto"/>
        <w:right w:val="none" w:sz="0" w:space="0" w:color="auto"/>
      </w:divBdr>
      <w:divsChild>
        <w:div w:id="229075775">
          <w:marLeft w:val="0"/>
          <w:marRight w:val="0"/>
          <w:marTop w:val="0"/>
          <w:marBottom w:val="0"/>
          <w:divBdr>
            <w:top w:val="none" w:sz="0" w:space="0" w:color="auto"/>
            <w:left w:val="none" w:sz="0" w:space="0" w:color="auto"/>
            <w:bottom w:val="none" w:sz="0" w:space="0" w:color="auto"/>
            <w:right w:val="none" w:sz="0" w:space="0" w:color="auto"/>
          </w:divBdr>
          <w:divsChild>
            <w:div w:id="918053298">
              <w:marLeft w:val="0"/>
              <w:marRight w:val="0"/>
              <w:marTop w:val="0"/>
              <w:marBottom w:val="0"/>
              <w:divBdr>
                <w:top w:val="none" w:sz="0" w:space="0" w:color="auto"/>
                <w:left w:val="none" w:sz="0" w:space="0" w:color="auto"/>
                <w:bottom w:val="none" w:sz="0" w:space="0" w:color="auto"/>
                <w:right w:val="none" w:sz="0" w:space="0" w:color="auto"/>
              </w:divBdr>
              <w:divsChild>
                <w:div w:id="1694914104">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10128">
      <w:bodyDiv w:val="1"/>
      <w:marLeft w:val="0"/>
      <w:marRight w:val="0"/>
      <w:marTop w:val="0"/>
      <w:marBottom w:val="0"/>
      <w:divBdr>
        <w:top w:val="none" w:sz="0" w:space="0" w:color="auto"/>
        <w:left w:val="none" w:sz="0" w:space="0" w:color="auto"/>
        <w:bottom w:val="none" w:sz="0" w:space="0" w:color="auto"/>
        <w:right w:val="none" w:sz="0" w:space="0" w:color="auto"/>
      </w:divBdr>
    </w:div>
    <w:div w:id="2090536717">
      <w:bodyDiv w:val="1"/>
      <w:marLeft w:val="0"/>
      <w:marRight w:val="0"/>
      <w:marTop w:val="0"/>
      <w:marBottom w:val="0"/>
      <w:divBdr>
        <w:top w:val="none" w:sz="0" w:space="0" w:color="auto"/>
        <w:left w:val="none" w:sz="0" w:space="0" w:color="auto"/>
        <w:bottom w:val="none" w:sz="0" w:space="0" w:color="auto"/>
        <w:right w:val="none" w:sz="0" w:space="0" w:color="auto"/>
      </w:divBdr>
      <w:divsChild>
        <w:div w:id="1803109711">
          <w:marLeft w:val="0"/>
          <w:marRight w:val="0"/>
          <w:marTop w:val="0"/>
          <w:marBottom w:val="0"/>
          <w:divBdr>
            <w:top w:val="none" w:sz="0" w:space="0" w:color="auto"/>
            <w:left w:val="none" w:sz="0" w:space="0" w:color="auto"/>
            <w:bottom w:val="none" w:sz="0" w:space="0" w:color="auto"/>
            <w:right w:val="none" w:sz="0" w:space="0" w:color="auto"/>
          </w:divBdr>
          <w:divsChild>
            <w:div w:id="944003214">
              <w:marLeft w:val="0"/>
              <w:marRight w:val="0"/>
              <w:marTop w:val="0"/>
              <w:marBottom w:val="0"/>
              <w:divBdr>
                <w:top w:val="none" w:sz="0" w:space="0" w:color="auto"/>
                <w:left w:val="none" w:sz="0" w:space="0" w:color="auto"/>
                <w:bottom w:val="none" w:sz="0" w:space="0" w:color="auto"/>
                <w:right w:val="none" w:sz="0" w:space="0" w:color="auto"/>
              </w:divBdr>
              <w:divsChild>
                <w:div w:id="7241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89D9F-EEEB-49BE-977C-76A79F646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11914</Words>
  <Characters>69144</Characters>
  <Application>Microsoft Office Word</Application>
  <DocSecurity>0</DocSecurity>
  <Lines>576</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2021-06-29T05:55:00Z</dcterms:created>
  <dcterms:modified xsi:type="dcterms:W3CDTF">2021-06-29T05:55:00Z</dcterms:modified>
</cp:coreProperties>
</file>