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AE67" w14:textId="77777777" w:rsidR="002C0AF6" w:rsidRPr="004F4D93" w:rsidRDefault="00217908" w:rsidP="005A09EA">
      <w:pPr>
        <w:pStyle w:val="1MainTitle"/>
        <w:tabs>
          <w:tab w:val="left" w:pos="2694"/>
        </w:tabs>
        <w:ind w:left="0" w:firstLine="0"/>
        <w:rPr>
          <w:rFonts w:eastAsia="Calibri"/>
          <w:lang w:eastAsia="en-US"/>
        </w:rPr>
      </w:pPr>
      <w:r w:rsidRPr="004F4D93">
        <w:rPr>
          <w:rFonts w:eastAsia="Calibri"/>
          <w:lang w:eastAsia="en-US"/>
        </w:rPr>
        <w:t xml:space="preserve">5.18 </w:t>
      </w:r>
      <w:r w:rsidR="00A67FE5" w:rsidRPr="004F4D93">
        <w:rPr>
          <w:rFonts w:eastAsia="Calibri"/>
          <w:lang w:eastAsia="en-US"/>
        </w:rPr>
        <w:t>A</w:t>
      </w:r>
      <w:r w:rsidR="008D52A0" w:rsidRPr="004F4D93">
        <w:rPr>
          <w:rFonts w:eastAsia="Calibri"/>
          <w:lang w:eastAsia="en-US"/>
        </w:rPr>
        <w:t>CICLOVIR</w:t>
      </w:r>
      <w:r w:rsidR="00A67FE5" w:rsidRPr="004F4D93">
        <w:rPr>
          <w:rFonts w:eastAsia="Calibri"/>
          <w:lang w:eastAsia="en-US"/>
        </w:rPr>
        <w:t xml:space="preserve"> </w:t>
      </w:r>
    </w:p>
    <w:p w14:paraId="157D5227" w14:textId="77777777" w:rsidR="006352BF" w:rsidRPr="004F4D93" w:rsidRDefault="002C0AF6" w:rsidP="002C0AF6">
      <w:pPr>
        <w:pStyle w:val="1MainTitle"/>
        <w:ind w:firstLine="0"/>
        <w:rPr>
          <w:rFonts w:eastAsia="Calibri"/>
          <w:lang w:eastAsia="en-US"/>
        </w:rPr>
      </w:pPr>
      <w:r w:rsidRPr="004F4D93">
        <w:rPr>
          <w:rFonts w:eastAsia="Calibri"/>
          <w:lang w:eastAsia="en-US"/>
        </w:rPr>
        <w:t xml:space="preserve">Eye ointment 30 mg per g, 4.5 g </w:t>
      </w:r>
    </w:p>
    <w:p w14:paraId="03C56682" w14:textId="77777777" w:rsidR="00217908" w:rsidRPr="004F4D93" w:rsidRDefault="00A67FE5" w:rsidP="002C0AF6">
      <w:pPr>
        <w:pStyle w:val="1MainTitle"/>
        <w:ind w:firstLine="0"/>
        <w:rPr>
          <w:rFonts w:eastAsia="Calibri"/>
          <w:lang w:eastAsia="en-US"/>
        </w:rPr>
      </w:pPr>
      <w:r w:rsidRPr="004F4D93">
        <w:rPr>
          <w:rFonts w:eastAsia="Calibri"/>
          <w:lang w:eastAsia="en-US"/>
        </w:rPr>
        <w:t>Xorox®,</w:t>
      </w:r>
    </w:p>
    <w:p w14:paraId="46FA3B04" w14:textId="77777777" w:rsidR="00A67FE5" w:rsidRPr="004F4D93" w:rsidRDefault="00A67FE5" w:rsidP="002C0AF6">
      <w:pPr>
        <w:pStyle w:val="1MainTitle"/>
        <w:ind w:firstLine="0"/>
        <w:rPr>
          <w:rFonts w:eastAsia="Calibri"/>
          <w:lang w:eastAsia="en-US"/>
        </w:rPr>
      </w:pPr>
      <w:r w:rsidRPr="004F4D93">
        <w:rPr>
          <w:rFonts w:eastAsia="Calibri"/>
          <w:lang w:eastAsia="en-US"/>
        </w:rPr>
        <w:t xml:space="preserve">Clinect Pty Ltd </w:t>
      </w:r>
    </w:p>
    <w:p w14:paraId="08B6E9FA" w14:textId="77777777" w:rsidR="00280050" w:rsidRPr="004F4D93" w:rsidRDefault="00AC7569" w:rsidP="002C0AF6">
      <w:pPr>
        <w:pStyle w:val="2-SectionHeading"/>
        <w:jc w:val="both"/>
      </w:pPr>
      <w:r w:rsidRPr="004F4D93">
        <w:t>Purpose of Application</w:t>
      </w:r>
    </w:p>
    <w:p w14:paraId="6C3ACB9F" w14:textId="6A8AEB4D" w:rsidR="00A72B19" w:rsidRPr="004F4D93" w:rsidRDefault="00AC7569" w:rsidP="002C0AF6">
      <w:pPr>
        <w:pStyle w:val="3Bodytext"/>
        <w:jc w:val="both"/>
      </w:pPr>
      <w:r w:rsidRPr="004F4D93">
        <w:t xml:space="preserve">The minor submission </w:t>
      </w:r>
      <w:r w:rsidR="00A67FE5" w:rsidRPr="004F4D93">
        <w:t xml:space="preserve">requested a </w:t>
      </w:r>
      <w:r w:rsidR="005344F6" w:rsidRPr="004F4D93">
        <w:t>General Schedule</w:t>
      </w:r>
      <w:r w:rsidR="00484491" w:rsidRPr="004F4D93">
        <w:t xml:space="preserve"> Restricted Benefit listing of </w:t>
      </w:r>
      <w:r w:rsidR="0074452B" w:rsidRPr="004F4D93">
        <w:t>a new generic brand of a</w:t>
      </w:r>
      <w:r w:rsidR="00A67FE5" w:rsidRPr="004F4D93">
        <w:t>ciclovir 3% eye ointment</w:t>
      </w:r>
      <w:r w:rsidR="00484491" w:rsidRPr="004F4D93">
        <w:t xml:space="preserve"> (Xorox®), hereafter referred to as Xorox</w:t>
      </w:r>
      <w:r w:rsidR="00FA4C0A" w:rsidRPr="004F4D93">
        <w:t>,</w:t>
      </w:r>
      <w:r w:rsidR="00A67FE5" w:rsidRPr="004F4D93">
        <w:t xml:space="preserve"> </w:t>
      </w:r>
      <w:r w:rsidR="009A35A8" w:rsidRPr="004F4D93">
        <w:t xml:space="preserve">for the treatment of Herpes </w:t>
      </w:r>
      <w:r w:rsidR="007325AE" w:rsidRPr="004F4D93">
        <w:t>s</w:t>
      </w:r>
      <w:r w:rsidR="009A35A8" w:rsidRPr="004F4D93">
        <w:t>imple</w:t>
      </w:r>
      <w:r w:rsidR="007325AE" w:rsidRPr="004F4D93">
        <w:t>x</w:t>
      </w:r>
      <w:r w:rsidR="009A35A8" w:rsidRPr="004F4D93">
        <w:t xml:space="preserve"> </w:t>
      </w:r>
      <w:r w:rsidR="007325AE" w:rsidRPr="004F4D93">
        <w:t>k</w:t>
      </w:r>
      <w:r w:rsidR="009A35A8" w:rsidRPr="004F4D93">
        <w:t>eratitis (HSK)</w:t>
      </w:r>
      <w:r w:rsidR="002C0AF6" w:rsidRPr="004F4D93">
        <w:t>, under the same conditions</w:t>
      </w:r>
      <w:r w:rsidR="009A35A8" w:rsidRPr="004F4D93">
        <w:t xml:space="preserve"> </w:t>
      </w:r>
      <w:r w:rsidR="00C534C9" w:rsidRPr="004F4D93">
        <w:t>as the current</w:t>
      </w:r>
      <w:r w:rsidR="00F346F8" w:rsidRPr="004F4D93">
        <w:t xml:space="preserve"> S</w:t>
      </w:r>
      <w:r w:rsidR="009A35A8" w:rsidRPr="004F4D93">
        <w:t xml:space="preserve">ection </w:t>
      </w:r>
      <w:r w:rsidR="00F346F8" w:rsidRPr="004F4D93">
        <w:t xml:space="preserve">19A </w:t>
      </w:r>
      <w:r w:rsidR="001558D6" w:rsidRPr="004F4D93">
        <w:t xml:space="preserve">approved </w:t>
      </w:r>
      <w:r w:rsidR="002C0AF6" w:rsidRPr="004F4D93">
        <w:t>product</w:t>
      </w:r>
      <w:r w:rsidR="001558D6" w:rsidRPr="004F4D93">
        <w:t>,</w:t>
      </w:r>
      <w:r w:rsidR="002C0AF6" w:rsidRPr="004F4D93">
        <w:t xml:space="preserve"> </w:t>
      </w:r>
      <w:r w:rsidR="00F346F8" w:rsidRPr="004F4D93">
        <w:t>AciVision®</w:t>
      </w:r>
      <w:r w:rsidR="002C0AF6" w:rsidRPr="004F4D93">
        <w:t>.</w:t>
      </w:r>
    </w:p>
    <w:p w14:paraId="26A28E9F" w14:textId="77777777" w:rsidR="005344F6" w:rsidRPr="004F4D93" w:rsidRDefault="00532585" w:rsidP="00DF2413">
      <w:pPr>
        <w:pStyle w:val="2-SectionHeading"/>
        <w:jc w:val="both"/>
      </w:pPr>
      <w:r w:rsidRPr="004F4D93">
        <w:t>Background</w:t>
      </w:r>
    </w:p>
    <w:p w14:paraId="454626FA" w14:textId="77777777" w:rsidR="00056755" w:rsidRPr="004F4D93" w:rsidRDefault="00056755" w:rsidP="00056755">
      <w:pPr>
        <w:pStyle w:val="4-SubsectionHeading"/>
      </w:pPr>
      <w:r w:rsidRPr="004F4D93">
        <w:t xml:space="preserve">Registration status </w:t>
      </w:r>
    </w:p>
    <w:p w14:paraId="2F522E05" w14:textId="77777777" w:rsidR="00AC285F" w:rsidRPr="004F4D93" w:rsidRDefault="00AC285F" w:rsidP="002C0AF6">
      <w:pPr>
        <w:pStyle w:val="3Bodytext"/>
        <w:jc w:val="both"/>
      </w:pPr>
      <w:r w:rsidRPr="004F4D93">
        <w:t xml:space="preserve">Xorox was </w:t>
      </w:r>
      <w:r w:rsidR="00932444" w:rsidRPr="004F4D93">
        <w:t xml:space="preserve">listed on the </w:t>
      </w:r>
      <w:r w:rsidRPr="004F4D93">
        <w:t xml:space="preserve">ARTG on 6 November 2020 </w:t>
      </w:r>
      <w:r w:rsidR="005B12B5" w:rsidRPr="004F4D93">
        <w:t xml:space="preserve">and was </w:t>
      </w:r>
      <w:r w:rsidR="0048704C" w:rsidRPr="004F4D93">
        <w:t xml:space="preserve">considered by the TGA delegate to be bioequivalent to </w:t>
      </w:r>
      <w:r w:rsidRPr="004F4D93">
        <w:t>the originator brand, Zovirax</w:t>
      </w:r>
      <w:r w:rsidR="007C7EF3" w:rsidRPr="004F4D93">
        <w:t>®</w:t>
      </w:r>
      <w:r w:rsidRPr="004F4D93">
        <w:t xml:space="preserve"> ophthalmic ointment</w:t>
      </w:r>
      <w:r w:rsidR="0000365D" w:rsidRPr="004F4D93">
        <w:t>, sponsored by GlaxoSmithKline Australia Pty Ltd (GSK Australia)</w:t>
      </w:r>
      <w:r w:rsidRPr="004F4D93">
        <w:t xml:space="preserve">. </w:t>
      </w:r>
    </w:p>
    <w:p w14:paraId="7EBC508D" w14:textId="77777777" w:rsidR="009C3B87" w:rsidRPr="004F4D93" w:rsidRDefault="009C3B87" w:rsidP="002C0AF6">
      <w:pPr>
        <w:pStyle w:val="3Bodytext"/>
        <w:jc w:val="both"/>
      </w:pPr>
      <w:r w:rsidRPr="004F4D93">
        <w:t>On 24 October 2014</w:t>
      </w:r>
      <w:r w:rsidR="0000365D" w:rsidRPr="004F4D93">
        <w:t xml:space="preserve"> </w:t>
      </w:r>
      <w:r w:rsidR="009A35A8" w:rsidRPr="004F4D93">
        <w:t>GSK Australia</w:t>
      </w:r>
      <w:r w:rsidR="005B12B5" w:rsidRPr="004F4D93">
        <w:t xml:space="preserve">, in consultation with </w:t>
      </w:r>
      <w:r w:rsidR="0000365D" w:rsidRPr="004F4D93">
        <w:t xml:space="preserve">the </w:t>
      </w:r>
      <w:r w:rsidR="005B12B5" w:rsidRPr="004F4D93">
        <w:t>TGA</w:t>
      </w:r>
      <w:r w:rsidR="0000365D" w:rsidRPr="004F4D93">
        <w:t>,</w:t>
      </w:r>
      <w:r w:rsidR="0051481F" w:rsidRPr="004F4D93">
        <w:t xml:space="preserve"> recalled Zovirax </w:t>
      </w:r>
      <w:r w:rsidRPr="004F4D93">
        <w:t>after metal particles were found in three different lots of the active pharmaceutical ingredient, aciclovir. This recall resulted in a product shortage for this medicine</w:t>
      </w:r>
      <w:r w:rsidR="00FD3E5E" w:rsidRPr="004F4D93">
        <w:t xml:space="preserve"> (paragraph 3.1, </w:t>
      </w:r>
      <w:r w:rsidR="00855D5F" w:rsidRPr="004F4D93">
        <w:t>a</w:t>
      </w:r>
      <w:r w:rsidR="00FD3E5E" w:rsidRPr="004F4D93">
        <w:t>ciclovir (AciVision), Public Summary Document (PSD), July 2015)</w:t>
      </w:r>
      <w:r w:rsidRPr="004F4D93">
        <w:t>.</w:t>
      </w:r>
    </w:p>
    <w:p w14:paraId="196B3027" w14:textId="77777777" w:rsidR="00FD3E5E" w:rsidRPr="004F4D93" w:rsidRDefault="009C3B87" w:rsidP="002C0AF6">
      <w:pPr>
        <w:pStyle w:val="3Bodytext"/>
        <w:jc w:val="both"/>
        <w:rPr>
          <w:rFonts w:cstheme="minorHAnsi"/>
          <w:snapToGrid w:val="0"/>
        </w:rPr>
      </w:pPr>
      <w:r w:rsidRPr="004F4D93">
        <w:t>The TGA approved the importation and supply of an unregistere</w:t>
      </w:r>
      <w:r w:rsidR="005B12B5" w:rsidRPr="004F4D93">
        <w:t>d product in Australia, AciVision</w:t>
      </w:r>
      <w:r w:rsidR="001558D6" w:rsidRPr="004F4D93">
        <w:t>,</w:t>
      </w:r>
      <w:r w:rsidRPr="004F4D93">
        <w:t xml:space="preserve"> under Section 19A of the </w:t>
      </w:r>
      <w:r w:rsidRPr="004F4D93">
        <w:rPr>
          <w:i/>
        </w:rPr>
        <w:t>Therapeutic Goods Act 1989</w:t>
      </w:r>
      <w:r w:rsidRPr="004F4D93">
        <w:t xml:space="preserve">, from 25 February to </w:t>
      </w:r>
      <w:r w:rsidR="0051481F" w:rsidRPr="004F4D93">
        <w:t>30 June 2016</w:t>
      </w:r>
      <w:r w:rsidR="00983705" w:rsidRPr="004F4D93">
        <w:t xml:space="preserve"> (paragraph 3.3, </w:t>
      </w:r>
      <w:r w:rsidR="008D52A0" w:rsidRPr="004F4D93">
        <w:t>a</w:t>
      </w:r>
      <w:r w:rsidR="00983705" w:rsidRPr="004F4D93">
        <w:t>ciclovir</w:t>
      </w:r>
      <w:r w:rsidR="008D52A0" w:rsidRPr="004F4D93">
        <w:t xml:space="preserve"> (AciVision)</w:t>
      </w:r>
      <w:r w:rsidR="00983705" w:rsidRPr="004F4D93">
        <w:t xml:space="preserve">, PSD, July 2015). </w:t>
      </w:r>
    </w:p>
    <w:p w14:paraId="4023169E" w14:textId="77777777" w:rsidR="009C3B87" w:rsidRPr="004F4D93" w:rsidRDefault="009A35A8" w:rsidP="002C0AF6">
      <w:pPr>
        <w:pStyle w:val="3Bodytext"/>
        <w:jc w:val="both"/>
      </w:pPr>
      <w:r w:rsidRPr="004F4D93">
        <w:t>On</w:t>
      </w:r>
      <w:r w:rsidR="005B12B5" w:rsidRPr="004F4D93">
        <w:t xml:space="preserve"> 15 March 2018, </w:t>
      </w:r>
      <w:r w:rsidRPr="004F4D93">
        <w:t>GSK Australia</w:t>
      </w:r>
      <w:r w:rsidR="008A6B8E" w:rsidRPr="004F4D93">
        <w:t xml:space="preserve"> </w:t>
      </w:r>
      <w:r w:rsidR="00F34E4D" w:rsidRPr="004F4D93">
        <w:t>noti</w:t>
      </w:r>
      <w:r w:rsidR="005B12B5" w:rsidRPr="004F4D93">
        <w:t xml:space="preserve">fied </w:t>
      </w:r>
      <w:r w:rsidR="0000365D" w:rsidRPr="004F4D93">
        <w:t xml:space="preserve">the </w:t>
      </w:r>
      <w:r w:rsidR="005B12B5" w:rsidRPr="004F4D93">
        <w:t xml:space="preserve">TGA of </w:t>
      </w:r>
      <w:r w:rsidR="00720CD7" w:rsidRPr="004F4D93">
        <w:t xml:space="preserve">the </w:t>
      </w:r>
      <w:r w:rsidR="005B12B5" w:rsidRPr="004F4D93">
        <w:t xml:space="preserve">discontinuation of </w:t>
      </w:r>
      <w:r w:rsidR="00855D5F" w:rsidRPr="004F4D93">
        <w:t>Zovirax.</w:t>
      </w:r>
    </w:p>
    <w:p w14:paraId="1D278C0F" w14:textId="77777777" w:rsidR="007C7EF3" w:rsidRPr="004F4D93" w:rsidRDefault="008D1DF3" w:rsidP="007C7EF3">
      <w:pPr>
        <w:pStyle w:val="4-SubsectionHeading"/>
      </w:pPr>
      <w:r w:rsidRPr="004F4D93">
        <w:t>Previous PBAC consideration</w:t>
      </w:r>
    </w:p>
    <w:p w14:paraId="1134DB11" w14:textId="77777777" w:rsidR="007C7EF3" w:rsidRPr="004F4D93" w:rsidRDefault="007C7EF3" w:rsidP="00E74514">
      <w:pPr>
        <w:pStyle w:val="3Bodytext"/>
        <w:jc w:val="both"/>
      </w:pPr>
      <w:r w:rsidRPr="004F4D93" w:rsidDel="00EC258D">
        <w:t xml:space="preserve">Xorox has not been previously considered by the PBAC. </w:t>
      </w:r>
    </w:p>
    <w:p w14:paraId="33C4D6D2" w14:textId="77777777" w:rsidR="00ED588B" w:rsidRPr="004F4D93" w:rsidRDefault="00ED588B" w:rsidP="00E74514">
      <w:pPr>
        <w:pStyle w:val="3Bodytext"/>
        <w:jc w:val="both"/>
      </w:pPr>
      <w:r w:rsidRPr="004F4D93">
        <w:t xml:space="preserve">Zovirax ophthalmic ointment was PBS listed on 1 April 1985. </w:t>
      </w:r>
    </w:p>
    <w:p w14:paraId="2172003F" w14:textId="77777777" w:rsidR="00F13F0F" w:rsidRPr="004F4D93" w:rsidRDefault="00ED588B" w:rsidP="00E74514">
      <w:pPr>
        <w:pStyle w:val="3Bodytext"/>
        <w:jc w:val="both"/>
      </w:pPr>
      <w:r w:rsidRPr="004F4D93">
        <w:t>At its July 2015 meeting, the PBAC recommended the temporary Restrict</w:t>
      </w:r>
      <w:r w:rsidR="007325AE" w:rsidRPr="004F4D93">
        <w:t>ed</w:t>
      </w:r>
      <w:r w:rsidRPr="004F4D93">
        <w:t xml:space="preserve"> Benefit listing of </w:t>
      </w:r>
      <w:r w:rsidR="002060B1" w:rsidRPr="004F4D93">
        <w:t xml:space="preserve">aciclovir </w:t>
      </w:r>
      <w:r w:rsidRPr="004F4D93">
        <w:t>AciVision 3</w:t>
      </w:r>
      <w:r w:rsidR="007325AE" w:rsidRPr="004F4D93">
        <w:t> </w:t>
      </w:r>
      <w:r w:rsidRPr="004F4D93">
        <w:t xml:space="preserve">mg/ml (3%, 4.5 g) on the PBS as an alternative to currently listed, </w:t>
      </w:r>
      <w:r w:rsidR="002060B1" w:rsidRPr="004F4D93">
        <w:t xml:space="preserve">aciclovir </w:t>
      </w:r>
      <w:r w:rsidRPr="004F4D93">
        <w:t xml:space="preserve">Zovirax (3%, 4.5 g), to ensure access to a treatment for </w:t>
      </w:r>
      <w:r w:rsidR="0029640D" w:rsidRPr="004F4D93">
        <w:t>HSK</w:t>
      </w:r>
      <w:r w:rsidRPr="004F4D93">
        <w:t xml:space="preserve"> (paragraph 6.1, </w:t>
      </w:r>
      <w:r w:rsidR="00855D5F" w:rsidRPr="004F4D93">
        <w:t>a</w:t>
      </w:r>
      <w:r w:rsidRPr="004F4D93">
        <w:t>ciclovir, PSD, July 2015).</w:t>
      </w:r>
    </w:p>
    <w:p w14:paraId="2D802F14" w14:textId="77777777" w:rsidR="00ED588B" w:rsidRPr="004F4D93" w:rsidRDefault="00F13F0F" w:rsidP="00E74514">
      <w:pPr>
        <w:pStyle w:val="3Bodytext"/>
        <w:jc w:val="both"/>
      </w:pPr>
      <w:r w:rsidRPr="004F4D93">
        <w:t>T</w:t>
      </w:r>
      <w:r w:rsidR="00ED588B" w:rsidRPr="004F4D93">
        <w:t>he PBAC considered there was a clinical need for aciclovir 3% eye ointment supply to be maintained on the PBS</w:t>
      </w:r>
      <w:r w:rsidRPr="004F4D93">
        <w:t xml:space="preserve">. The PBAC considered that the listing should remain during the validity of the Section 19A approval by the TGA </w:t>
      </w:r>
      <w:r w:rsidR="00ED588B" w:rsidRPr="004F4D93">
        <w:t xml:space="preserve">(paragraph 6.2, Aciclovir, PSD, July 2015). </w:t>
      </w:r>
    </w:p>
    <w:p w14:paraId="299AE2F7" w14:textId="77777777" w:rsidR="00ED588B" w:rsidRPr="004F4D93" w:rsidRDefault="002060B1" w:rsidP="00E74514">
      <w:pPr>
        <w:pStyle w:val="3Bodytext"/>
        <w:jc w:val="both"/>
      </w:pPr>
      <w:r w:rsidRPr="004F4D93">
        <w:lastRenderedPageBreak/>
        <w:t>At the time of PBAC consideration t</w:t>
      </w:r>
      <w:r w:rsidR="0011518C" w:rsidRPr="004F4D93">
        <w:t xml:space="preserve">he current Section 19A approval for AciVision </w:t>
      </w:r>
      <w:r w:rsidRPr="004F4D93">
        <w:t>wa</w:t>
      </w:r>
      <w:r w:rsidR="0011518C" w:rsidRPr="004F4D93">
        <w:t xml:space="preserve">s due to expire on 28 February 2021. </w:t>
      </w:r>
      <w:r w:rsidRPr="004F4D93">
        <w:t>The Section 19A approval was subsequently extended until 30 April 2021.</w:t>
      </w:r>
    </w:p>
    <w:p w14:paraId="3601E942" w14:textId="77777777" w:rsidR="00512440" w:rsidRPr="004F4D93" w:rsidRDefault="00512440" w:rsidP="00E74514">
      <w:pPr>
        <w:pStyle w:val="3Bodytext"/>
        <w:jc w:val="both"/>
      </w:pPr>
      <w:r w:rsidRPr="004F4D93">
        <w:t xml:space="preserve">The </w:t>
      </w:r>
      <w:r w:rsidR="00CF7BAD" w:rsidRPr="004F4D93">
        <w:t>PBAC considered a request from GSK Australia to delist Zovirax at its July 2018 meeting. The basis for GSK</w:t>
      </w:r>
      <w:r w:rsidR="0029640D" w:rsidRPr="004F4D93">
        <w:t xml:space="preserve"> Australia</w:t>
      </w:r>
      <w:r w:rsidR="00CF7BAD" w:rsidRPr="004F4D93">
        <w:t xml:space="preserve">’s request was that Zovirax will no longer be manufactured, due to repeated challenges in guaranteeing sustainable product supply. </w:t>
      </w:r>
      <w:r w:rsidR="002448AB" w:rsidRPr="004F4D93">
        <w:t>The PBAC considered that there is a clinical need for the supply of an aciclovir ointment to be maintained on the PBS, either by keeping this product on the PBS or by finding an alternative supply.</w:t>
      </w:r>
    </w:p>
    <w:p w14:paraId="025E666B" w14:textId="77777777" w:rsidR="0029640D" w:rsidRPr="004F4D93" w:rsidRDefault="002448AB" w:rsidP="00855D5F">
      <w:pPr>
        <w:pStyle w:val="3Bodytext"/>
      </w:pPr>
      <w:r w:rsidRPr="004F4D93">
        <w:t xml:space="preserve">Zovirax was delisted from the PBS on 1 December 2019. </w:t>
      </w:r>
    </w:p>
    <w:p w14:paraId="7A8BB763" w14:textId="77777777" w:rsidR="00E159C2" w:rsidRPr="004F4D93" w:rsidRDefault="00E159C2" w:rsidP="00140D89">
      <w:pPr>
        <w:rPr>
          <w:rFonts w:asciiTheme="minorHAnsi" w:hAnsiTheme="minorHAnsi" w:cstheme="minorHAnsi"/>
          <w:i/>
        </w:rPr>
      </w:pPr>
      <w:r w:rsidRPr="004F4D93">
        <w:rPr>
          <w:rFonts w:asciiTheme="minorHAnsi" w:hAnsiTheme="minorHAnsi" w:cstheme="minorHAnsi"/>
          <w:i/>
        </w:rPr>
        <w:t xml:space="preserve">For more detail on the PBAC’s view, see section </w:t>
      </w:r>
      <w:r w:rsidR="00140D89" w:rsidRPr="004F4D93">
        <w:rPr>
          <w:rFonts w:asciiTheme="minorHAnsi" w:hAnsiTheme="minorHAnsi" w:cstheme="minorHAnsi"/>
          <w:i/>
        </w:rPr>
        <w:t>6</w:t>
      </w:r>
      <w:r w:rsidRPr="004F4D93">
        <w:rPr>
          <w:rFonts w:asciiTheme="minorHAnsi" w:hAnsiTheme="minorHAnsi" w:cstheme="minorHAnsi"/>
          <w:i/>
        </w:rPr>
        <w:t xml:space="preserve"> PBAC outcome.</w:t>
      </w:r>
    </w:p>
    <w:p w14:paraId="5D074AB9" w14:textId="77777777" w:rsidR="001E045A" w:rsidRPr="004F4D93" w:rsidRDefault="001E045A" w:rsidP="002C0AF6">
      <w:pPr>
        <w:pStyle w:val="2-SectionHeading"/>
        <w:jc w:val="both"/>
      </w:pPr>
      <w:r w:rsidRPr="004F4D93">
        <w:t>Requested listing</w:t>
      </w:r>
    </w:p>
    <w:p w14:paraId="7BCA926A" w14:textId="77777777" w:rsidR="001E045A" w:rsidRPr="004F4D93" w:rsidRDefault="001E045A" w:rsidP="002C0AF6">
      <w:pPr>
        <w:pStyle w:val="3Bodytext"/>
        <w:jc w:val="both"/>
      </w:pPr>
      <w:r w:rsidRPr="004F4D93">
        <w:t xml:space="preserve">The submission requested Xorox be made available through the PBS under the same </w:t>
      </w:r>
      <w:r w:rsidR="00D84529" w:rsidRPr="004F4D93">
        <w:t>conditions</w:t>
      </w:r>
      <w:r w:rsidRPr="004F4D93">
        <w:t xml:space="preserve"> as the current AciVision product.</w:t>
      </w:r>
    </w:p>
    <w:p w14:paraId="255FEC56" w14:textId="3FC40E41" w:rsidR="00C42D30" w:rsidRDefault="001E045A" w:rsidP="00991063">
      <w:pPr>
        <w:pStyle w:val="3Bodytext"/>
        <w:numPr>
          <w:ilvl w:val="0"/>
          <w:numId w:val="0"/>
        </w:numPr>
        <w:ind w:left="720"/>
        <w:jc w:val="both"/>
        <w:rPr>
          <w:i/>
        </w:rPr>
      </w:pPr>
      <w:r w:rsidRPr="004F4D93">
        <w:rPr>
          <w:i/>
        </w:rPr>
        <w:t xml:space="preserve">Add 2 new medicinal product packs (MPP)/trade product packs (TPP) (shown in italic text) to the existing treatment prescribing rule as restricted benefit as follows: </w:t>
      </w:r>
    </w:p>
    <w:p w14:paraId="5F639E9E" w14:textId="77777777" w:rsidR="00C42D30" w:rsidRDefault="00C42D30">
      <w:pPr>
        <w:rPr>
          <w:rFonts w:asciiTheme="minorHAnsi" w:hAnsiTheme="minorHAnsi" w:cstheme="minorBidi"/>
          <w:i/>
          <w:szCs w:val="22"/>
          <w:lang w:eastAsia="en-AU"/>
        </w:rPr>
      </w:pPr>
      <w:r>
        <w:rPr>
          <w:i/>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1E045A" w:rsidRPr="004F4D93" w14:paraId="0D60DD06" w14:textId="77777777" w:rsidTr="00F33173">
        <w:trPr>
          <w:cantSplit/>
          <w:trHeight w:val="471"/>
        </w:trPr>
        <w:tc>
          <w:tcPr>
            <w:tcW w:w="3964" w:type="dxa"/>
          </w:tcPr>
          <w:p w14:paraId="6BFA7495" w14:textId="77777777" w:rsidR="001E045A" w:rsidRPr="004F4D93" w:rsidRDefault="001E045A" w:rsidP="00C06AB0">
            <w:pPr>
              <w:keepNext/>
              <w:spacing w:after="0" w:line="240" w:lineRule="auto"/>
              <w:ind w:left="22"/>
              <w:jc w:val="both"/>
              <w:rPr>
                <w:rFonts w:ascii="Arial Narrow" w:hAnsi="Arial Narrow" w:cs="Arial"/>
                <w:b/>
                <w:bCs/>
                <w:sz w:val="18"/>
                <w:szCs w:val="18"/>
              </w:rPr>
            </w:pPr>
            <w:r w:rsidRPr="004F4D93">
              <w:rPr>
                <w:rFonts w:ascii="Arial Narrow" w:hAnsi="Arial Narrow" w:cs="Arial"/>
                <w:b/>
                <w:bCs/>
                <w:sz w:val="18"/>
                <w:szCs w:val="18"/>
              </w:rPr>
              <w:t>MEDICINAL PRODUCT</w:t>
            </w:r>
          </w:p>
          <w:p w14:paraId="02577410" w14:textId="77777777" w:rsidR="001E045A" w:rsidRPr="004F4D93" w:rsidRDefault="001E045A" w:rsidP="00C06AB0">
            <w:pPr>
              <w:keepNext/>
              <w:spacing w:after="0" w:line="240" w:lineRule="auto"/>
              <w:ind w:left="22"/>
              <w:jc w:val="both"/>
              <w:rPr>
                <w:rFonts w:ascii="Arial Narrow" w:hAnsi="Arial Narrow" w:cs="Arial"/>
                <w:b/>
                <w:sz w:val="18"/>
                <w:szCs w:val="18"/>
              </w:rPr>
            </w:pPr>
            <w:r w:rsidRPr="004F4D93">
              <w:rPr>
                <w:rFonts w:ascii="Arial Narrow" w:hAnsi="Arial Narrow" w:cs="Arial"/>
                <w:b/>
                <w:bCs/>
                <w:sz w:val="18"/>
                <w:szCs w:val="18"/>
              </w:rPr>
              <w:t>medicinal product pack</w:t>
            </w:r>
          </w:p>
        </w:tc>
        <w:tc>
          <w:tcPr>
            <w:tcW w:w="993" w:type="dxa"/>
          </w:tcPr>
          <w:p w14:paraId="700C4E12" w14:textId="77777777" w:rsidR="001E045A" w:rsidRPr="004F4D93" w:rsidRDefault="001E045A" w:rsidP="00C06AB0">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PBS item code</w:t>
            </w:r>
          </w:p>
        </w:tc>
        <w:tc>
          <w:tcPr>
            <w:tcW w:w="850" w:type="dxa"/>
          </w:tcPr>
          <w:p w14:paraId="231BF497" w14:textId="77777777" w:rsidR="001E045A" w:rsidRPr="004F4D93" w:rsidRDefault="001E045A" w:rsidP="00C06AB0">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Max. qty packs</w:t>
            </w:r>
          </w:p>
        </w:tc>
        <w:tc>
          <w:tcPr>
            <w:tcW w:w="709" w:type="dxa"/>
          </w:tcPr>
          <w:p w14:paraId="02830C91" w14:textId="77777777" w:rsidR="001E045A" w:rsidRPr="004F4D93" w:rsidRDefault="001E045A" w:rsidP="00C06AB0">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Max. qty units</w:t>
            </w:r>
          </w:p>
        </w:tc>
        <w:tc>
          <w:tcPr>
            <w:tcW w:w="709" w:type="dxa"/>
          </w:tcPr>
          <w:p w14:paraId="7885C3A1" w14:textId="77777777" w:rsidR="001E045A" w:rsidRPr="004F4D93" w:rsidRDefault="001E045A" w:rsidP="00C06AB0">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№.of</w:t>
            </w:r>
          </w:p>
          <w:p w14:paraId="3EAEF718" w14:textId="77777777" w:rsidR="001E045A" w:rsidRPr="004F4D93" w:rsidRDefault="001E045A" w:rsidP="00C06AB0">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Rpts</w:t>
            </w:r>
          </w:p>
        </w:tc>
        <w:tc>
          <w:tcPr>
            <w:tcW w:w="1842" w:type="dxa"/>
          </w:tcPr>
          <w:p w14:paraId="594A2B02" w14:textId="77777777" w:rsidR="001E045A" w:rsidRPr="00723D8D" w:rsidRDefault="001E045A" w:rsidP="00C06AB0">
            <w:pPr>
              <w:keepNext/>
              <w:spacing w:after="0" w:line="240" w:lineRule="auto"/>
              <w:jc w:val="both"/>
              <w:rPr>
                <w:rFonts w:ascii="Arial Narrow" w:hAnsi="Arial Narrow" w:cs="Arial"/>
                <w:b/>
                <w:sz w:val="18"/>
                <w:szCs w:val="18"/>
              </w:rPr>
            </w:pPr>
            <w:r w:rsidRPr="004F4D93">
              <w:rPr>
                <w:rFonts w:ascii="Arial Narrow" w:hAnsi="Arial Narrow" w:cs="Arial"/>
                <w:b/>
                <w:sz w:val="18"/>
                <w:szCs w:val="18"/>
              </w:rPr>
              <w:t>Available brands</w:t>
            </w:r>
          </w:p>
        </w:tc>
      </w:tr>
      <w:tr w:rsidR="001E045A" w:rsidRPr="004F4D93" w14:paraId="58F2307F" w14:textId="77777777" w:rsidTr="00F33173">
        <w:trPr>
          <w:cantSplit/>
          <w:trHeight w:val="224"/>
        </w:trPr>
        <w:tc>
          <w:tcPr>
            <w:tcW w:w="9067" w:type="dxa"/>
            <w:gridSpan w:val="6"/>
          </w:tcPr>
          <w:p w14:paraId="580BD4DE" w14:textId="77777777" w:rsidR="001E045A" w:rsidRPr="004F4D93" w:rsidRDefault="001E045A" w:rsidP="002C0AF6">
            <w:pPr>
              <w:keepNext/>
              <w:spacing w:after="0" w:line="240" w:lineRule="auto"/>
              <w:ind w:left="22"/>
              <w:jc w:val="both"/>
              <w:rPr>
                <w:rFonts w:ascii="Arial Narrow" w:hAnsi="Arial Narrow" w:cs="Arial"/>
                <w:sz w:val="18"/>
                <w:szCs w:val="18"/>
              </w:rPr>
            </w:pPr>
            <w:r w:rsidRPr="004F4D93">
              <w:rPr>
                <w:rFonts w:ascii="Arial Narrow" w:hAnsi="Arial Narrow" w:cs="Arial"/>
                <w:sz w:val="18"/>
                <w:szCs w:val="18"/>
              </w:rPr>
              <w:t xml:space="preserve">ACICLOVIR  </w:t>
            </w:r>
          </w:p>
        </w:tc>
      </w:tr>
      <w:tr w:rsidR="001E045A" w:rsidRPr="004F4D93" w14:paraId="52F1B910" w14:textId="77777777" w:rsidTr="00F33173">
        <w:trPr>
          <w:cantSplit/>
          <w:trHeight w:val="553"/>
        </w:trPr>
        <w:tc>
          <w:tcPr>
            <w:tcW w:w="3964" w:type="dxa"/>
          </w:tcPr>
          <w:p w14:paraId="5E3B6EE6" w14:textId="77777777" w:rsidR="001E045A" w:rsidRPr="004F4D93" w:rsidRDefault="001E045A" w:rsidP="002C0AF6">
            <w:pPr>
              <w:keepNext/>
              <w:spacing w:after="0" w:line="240" w:lineRule="auto"/>
              <w:ind w:left="22"/>
              <w:jc w:val="both"/>
              <w:rPr>
                <w:rFonts w:ascii="Arial Narrow" w:hAnsi="Arial Narrow" w:cs="Arial"/>
                <w:sz w:val="18"/>
                <w:szCs w:val="18"/>
              </w:rPr>
            </w:pPr>
            <w:r w:rsidRPr="004F4D93">
              <w:rPr>
                <w:rFonts w:ascii="Arial Narrow" w:hAnsi="Arial Narrow" w:cs="Arial"/>
                <w:sz w:val="18"/>
                <w:szCs w:val="18"/>
              </w:rPr>
              <w:t>aciclovir 3mg/g (3%) eye ointment, 4.5g [existing MPP]</w:t>
            </w:r>
          </w:p>
        </w:tc>
        <w:tc>
          <w:tcPr>
            <w:tcW w:w="993" w:type="dxa"/>
          </w:tcPr>
          <w:p w14:paraId="291A4393" w14:textId="77777777" w:rsidR="001E045A" w:rsidRPr="004F4D93" w:rsidRDefault="001E045A" w:rsidP="002C0AF6">
            <w:pPr>
              <w:keepNext/>
              <w:spacing w:after="0" w:line="240" w:lineRule="auto"/>
              <w:jc w:val="both"/>
              <w:rPr>
                <w:rFonts w:ascii="Arial Narrow" w:hAnsi="Arial Narrow" w:cs="Arial"/>
                <w:sz w:val="18"/>
                <w:szCs w:val="18"/>
              </w:rPr>
            </w:pPr>
            <w:r w:rsidRPr="004F4D93">
              <w:rPr>
                <w:rFonts w:ascii="Arial Narrow" w:hAnsi="Arial Narrow" w:cs="Arial"/>
                <w:sz w:val="18"/>
                <w:szCs w:val="18"/>
              </w:rPr>
              <w:t>11652G</w:t>
            </w:r>
          </w:p>
        </w:tc>
        <w:tc>
          <w:tcPr>
            <w:tcW w:w="850" w:type="dxa"/>
          </w:tcPr>
          <w:p w14:paraId="6F9F25F5" w14:textId="77777777" w:rsidR="001E045A" w:rsidRPr="004F4D93" w:rsidRDefault="001E045A" w:rsidP="002C0AF6">
            <w:pPr>
              <w:keepNext/>
              <w:spacing w:after="0" w:line="240" w:lineRule="auto"/>
              <w:jc w:val="both"/>
              <w:rPr>
                <w:rFonts w:ascii="Arial Narrow" w:hAnsi="Arial Narrow" w:cs="Arial"/>
                <w:sz w:val="18"/>
                <w:szCs w:val="18"/>
              </w:rPr>
            </w:pPr>
            <w:r w:rsidRPr="004F4D93">
              <w:rPr>
                <w:rFonts w:ascii="Arial Narrow" w:hAnsi="Arial Narrow" w:cs="Arial"/>
                <w:sz w:val="18"/>
                <w:szCs w:val="18"/>
              </w:rPr>
              <w:t>1</w:t>
            </w:r>
          </w:p>
        </w:tc>
        <w:tc>
          <w:tcPr>
            <w:tcW w:w="709" w:type="dxa"/>
          </w:tcPr>
          <w:p w14:paraId="478013C0" w14:textId="77777777" w:rsidR="001E045A" w:rsidRPr="004F4D93" w:rsidRDefault="001E045A" w:rsidP="002C0AF6">
            <w:pPr>
              <w:keepNext/>
              <w:spacing w:after="0" w:line="240" w:lineRule="auto"/>
              <w:jc w:val="both"/>
              <w:rPr>
                <w:rFonts w:ascii="Arial Narrow" w:hAnsi="Arial Narrow" w:cs="Arial"/>
                <w:sz w:val="18"/>
                <w:szCs w:val="18"/>
              </w:rPr>
            </w:pPr>
            <w:r w:rsidRPr="004F4D93">
              <w:rPr>
                <w:rFonts w:ascii="Arial Narrow" w:hAnsi="Arial Narrow" w:cs="Arial"/>
                <w:sz w:val="18"/>
                <w:szCs w:val="18"/>
              </w:rPr>
              <w:t>1</w:t>
            </w:r>
          </w:p>
        </w:tc>
        <w:tc>
          <w:tcPr>
            <w:tcW w:w="709" w:type="dxa"/>
          </w:tcPr>
          <w:p w14:paraId="17828E62" w14:textId="77777777" w:rsidR="001E045A" w:rsidRPr="004F4D93" w:rsidRDefault="001E045A" w:rsidP="002C0AF6">
            <w:pPr>
              <w:keepNext/>
              <w:spacing w:after="0" w:line="240" w:lineRule="auto"/>
              <w:jc w:val="both"/>
              <w:rPr>
                <w:rFonts w:ascii="Arial Narrow" w:hAnsi="Arial Narrow" w:cs="Arial"/>
                <w:sz w:val="18"/>
                <w:szCs w:val="18"/>
              </w:rPr>
            </w:pPr>
            <w:r w:rsidRPr="004F4D93">
              <w:rPr>
                <w:rFonts w:ascii="Arial Narrow" w:hAnsi="Arial Narrow" w:cs="Arial"/>
                <w:sz w:val="18"/>
                <w:szCs w:val="18"/>
              </w:rPr>
              <w:t>0</w:t>
            </w:r>
          </w:p>
        </w:tc>
        <w:tc>
          <w:tcPr>
            <w:tcW w:w="1842" w:type="dxa"/>
          </w:tcPr>
          <w:p w14:paraId="069D1315" w14:textId="77777777" w:rsidR="001E045A" w:rsidRPr="004F4D93" w:rsidRDefault="001E045A" w:rsidP="002C0AF6">
            <w:pPr>
              <w:keepNext/>
              <w:spacing w:after="0" w:line="240" w:lineRule="auto"/>
              <w:jc w:val="both"/>
              <w:rPr>
                <w:rFonts w:ascii="Arial Narrow" w:hAnsi="Arial Narrow" w:cs="Arial"/>
                <w:sz w:val="18"/>
                <w:szCs w:val="18"/>
              </w:rPr>
            </w:pPr>
            <w:r w:rsidRPr="004F4D93">
              <w:rPr>
                <w:rFonts w:ascii="Arial Narrow" w:hAnsi="Arial Narrow" w:cs="Arial"/>
                <w:sz w:val="18"/>
                <w:szCs w:val="18"/>
              </w:rPr>
              <w:t>AciVision [existing TPP]</w:t>
            </w:r>
          </w:p>
        </w:tc>
      </w:tr>
      <w:tr w:rsidR="001E045A" w:rsidRPr="004F4D93" w14:paraId="12CBC5DA" w14:textId="77777777" w:rsidTr="00F33173">
        <w:trPr>
          <w:cantSplit/>
          <w:trHeight w:val="553"/>
        </w:trPr>
        <w:tc>
          <w:tcPr>
            <w:tcW w:w="3964" w:type="dxa"/>
          </w:tcPr>
          <w:p w14:paraId="1E5569A4"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aciclovir 3mg/g (3%) eye ointment, 4.5g [new MPP]</w:t>
            </w:r>
          </w:p>
        </w:tc>
        <w:tc>
          <w:tcPr>
            <w:tcW w:w="993" w:type="dxa"/>
          </w:tcPr>
          <w:p w14:paraId="4DC26F5A"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NEW</w:t>
            </w:r>
          </w:p>
        </w:tc>
        <w:tc>
          <w:tcPr>
            <w:tcW w:w="850" w:type="dxa"/>
          </w:tcPr>
          <w:p w14:paraId="3736A111"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1</w:t>
            </w:r>
          </w:p>
        </w:tc>
        <w:tc>
          <w:tcPr>
            <w:tcW w:w="709" w:type="dxa"/>
          </w:tcPr>
          <w:p w14:paraId="45CDED0E"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1</w:t>
            </w:r>
          </w:p>
        </w:tc>
        <w:tc>
          <w:tcPr>
            <w:tcW w:w="709" w:type="dxa"/>
          </w:tcPr>
          <w:p w14:paraId="080C10CD"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0</w:t>
            </w:r>
          </w:p>
        </w:tc>
        <w:tc>
          <w:tcPr>
            <w:tcW w:w="1842" w:type="dxa"/>
          </w:tcPr>
          <w:p w14:paraId="51ED2C5D" w14:textId="77777777" w:rsidR="001E045A" w:rsidRPr="004F4D93" w:rsidRDefault="001E045A" w:rsidP="002C0AF6">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Xorox [new TPP]</w:t>
            </w:r>
          </w:p>
        </w:tc>
      </w:tr>
    </w:tbl>
    <w:p w14:paraId="53520855" w14:textId="5AB9F106" w:rsidR="001E045A" w:rsidRPr="004F4D93" w:rsidRDefault="00C42D30" w:rsidP="00C42D30">
      <w:bookmarkStart w:id="0" w:name="_GoBack"/>
      <w:bookmarkEnd w:id="0"/>
      <w:r>
        <w:rPr>
          <w:rFonts w:ascii="Arial Narrow" w:hAnsi="Arial Narrow"/>
          <w:b/>
          <w:sz w:val="18"/>
          <w:szCs w:val="18"/>
        </w:rPr>
        <w:t>R</w:t>
      </w:r>
      <w:r w:rsidR="001E045A" w:rsidRPr="004F4D93">
        <w:rPr>
          <w:rFonts w:ascii="Arial Narrow" w:hAnsi="Arial Narrow"/>
          <w:b/>
          <w:sz w:val="18"/>
          <w:szCs w:val="18"/>
        </w:rPr>
        <w:t>estriction Summary 5</w:t>
      </w:r>
      <w:r w:rsidR="007C4EBB" w:rsidRPr="004F4D93">
        <w:rPr>
          <w:rFonts w:ascii="Arial Narrow" w:hAnsi="Arial Narrow"/>
          <w:b/>
          <w:sz w:val="18"/>
          <w:szCs w:val="18"/>
        </w:rPr>
        <w:t>965</w:t>
      </w:r>
      <w:r w:rsidR="001E045A" w:rsidRPr="004F4D93">
        <w:rPr>
          <w:rFonts w:ascii="Arial Narrow" w:hAnsi="Arial Narrow"/>
          <w:b/>
          <w:sz w:val="18"/>
          <w:szCs w:val="18"/>
        </w:rPr>
        <w:t xml:space="preserve"> / Treatment of Concept:  </w:t>
      </w:r>
      <w:r w:rsidR="00F33173" w:rsidRPr="004F4D93">
        <w:rPr>
          <w:rFonts w:ascii="Arial Narrow" w:hAnsi="Arial Narrow"/>
          <w:b/>
          <w:sz w:val="18"/>
          <w:szCs w:val="18"/>
        </w:rPr>
        <w:t>5965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6F2C2F" w:rsidRPr="004F4D93" w14:paraId="351632DA" w14:textId="77777777" w:rsidTr="005A09EA">
        <w:tc>
          <w:tcPr>
            <w:tcW w:w="5000" w:type="pct"/>
            <w:tcBorders>
              <w:top w:val="single" w:sz="4" w:space="0" w:color="auto"/>
              <w:left w:val="single" w:sz="4" w:space="0" w:color="auto"/>
              <w:bottom w:val="single" w:sz="4" w:space="0" w:color="auto"/>
              <w:right w:val="single" w:sz="4" w:space="0" w:color="auto"/>
            </w:tcBorders>
          </w:tcPr>
          <w:p w14:paraId="0D168C6F" w14:textId="77777777" w:rsidR="006F2C2F" w:rsidRPr="004F4D93" w:rsidRDefault="006F2C2F" w:rsidP="002C0AF6">
            <w:pPr>
              <w:jc w:val="both"/>
              <w:rPr>
                <w:rFonts w:ascii="Arial Narrow" w:hAnsi="Arial Narrow" w:cs="Arial"/>
                <w:sz w:val="18"/>
                <w:szCs w:val="18"/>
              </w:rPr>
            </w:pPr>
            <w:r w:rsidRPr="004F4D93">
              <w:rPr>
                <w:rFonts w:ascii="Arial Narrow" w:hAnsi="Arial Narrow" w:cs="Arial"/>
                <w:b/>
                <w:sz w:val="18"/>
                <w:szCs w:val="18"/>
              </w:rPr>
              <w:t xml:space="preserve">Category / Program:   </w:t>
            </w:r>
            <w:r w:rsidRPr="004F4D93">
              <w:rPr>
                <w:rFonts w:ascii="Arial Narrow" w:hAnsi="Arial Narrow" w:cs="Arial"/>
                <w:sz w:val="18"/>
                <w:szCs w:val="18"/>
              </w:rPr>
              <w:t xml:space="preserve">GENERAL – General Schedule (Code GE) </w:t>
            </w:r>
          </w:p>
        </w:tc>
      </w:tr>
      <w:tr w:rsidR="006F2C2F" w:rsidRPr="004F4D93" w14:paraId="17D2CA4E" w14:textId="77777777" w:rsidTr="005A09EA">
        <w:trPr>
          <w:trHeight w:val="240"/>
        </w:trPr>
        <w:tc>
          <w:tcPr>
            <w:tcW w:w="5000" w:type="pct"/>
            <w:tcBorders>
              <w:top w:val="single" w:sz="4" w:space="0" w:color="auto"/>
              <w:left w:val="single" w:sz="4" w:space="0" w:color="auto"/>
              <w:bottom w:val="single" w:sz="4" w:space="0" w:color="auto"/>
              <w:right w:val="single" w:sz="4" w:space="0" w:color="auto"/>
            </w:tcBorders>
          </w:tcPr>
          <w:p w14:paraId="2FA99556" w14:textId="77777777" w:rsidR="006F2C2F" w:rsidRPr="004F4D93" w:rsidRDefault="006F2C2F" w:rsidP="007C4EBB">
            <w:pPr>
              <w:jc w:val="both"/>
              <w:rPr>
                <w:rFonts w:ascii="Arial Narrow" w:hAnsi="Arial Narrow" w:cs="Arial"/>
                <w:b/>
                <w:sz w:val="18"/>
                <w:szCs w:val="18"/>
              </w:rPr>
            </w:pPr>
            <w:r w:rsidRPr="004F4D93">
              <w:rPr>
                <w:rFonts w:ascii="Arial Narrow" w:hAnsi="Arial Narrow" w:cs="Arial"/>
                <w:b/>
                <w:sz w:val="18"/>
                <w:szCs w:val="18"/>
              </w:rPr>
              <w:t xml:space="preserve">Prescriber type:   </w:t>
            </w:r>
            <w:r w:rsidRPr="004F4D93">
              <w:rPr>
                <w:rFonts w:ascii="Arial Narrow" w:hAnsi="Arial Narrow" w:cs="Arial"/>
                <w:sz w:val="18"/>
                <w:szCs w:val="18"/>
              </w:rPr>
              <w:t xml:space="preserve">    </w:t>
            </w:r>
            <w:r w:rsidRPr="00723D8D">
              <w:rPr>
                <w:rFonts w:ascii="Arial Narrow" w:hAnsi="Arial Narrow" w:cs="Arial"/>
                <w:sz w:val="18"/>
                <w:szCs w:val="18"/>
              </w:rPr>
              <w:fldChar w:fldCharType="begin">
                <w:ffData>
                  <w:name w:val=""/>
                  <w:enabled/>
                  <w:calcOnExit w:val="0"/>
                  <w:checkBox>
                    <w:sizeAuto/>
                    <w:default w:val="1"/>
                  </w:checkBox>
                </w:ffData>
              </w:fldChar>
            </w:r>
            <w:r w:rsidRPr="004F4D93">
              <w:rPr>
                <w:rFonts w:ascii="Arial Narrow" w:hAnsi="Arial Narrow" w:cs="Arial"/>
                <w:sz w:val="18"/>
                <w:szCs w:val="18"/>
              </w:rPr>
              <w:instrText xml:space="preserve"> FORMCHECKBOX </w:instrText>
            </w:r>
            <w:r w:rsidR="008A17B2">
              <w:rPr>
                <w:rFonts w:ascii="Arial Narrow" w:hAnsi="Arial Narrow" w:cs="Arial"/>
                <w:sz w:val="18"/>
                <w:szCs w:val="18"/>
              </w:rPr>
            </w:r>
            <w:r w:rsidR="008A17B2">
              <w:rPr>
                <w:rFonts w:ascii="Arial Narrow" w:hAnsi="Arial Narrow" w:cs="Arial"/>
                <w:sz w:val="18"/>
                <w:szCs w:val="18"/>
              </w:rPr>
              <w:fldChar w:fldCharType="separate"/>
            </w:r>
            <w:r w:rsidRPr="00723D8D">
              <w:rPr>
                <w:rFonts w:ascii="Arial Narrow" w:hAnsi="Arial Narrow" w:cs="Arial"/>
                <w:sz w:val="18"/>
                <w:szCs w:val="18"/>
              </w:rPr>
              <w:fldChar w:fldCharType="end"/>
            </w:r>
            <w:r w:rsidRPr="004F4D93">
              <w:rPr>
                <w:rFonts w:ascii="Arial Narrow" w:hAnsi="Arial Narrow" w:cs="Arial"/>
                <w:sz w:val="18"/>
                <w:szCs w:val="18"/>
              </w:rPr>
              <w:t xml:space="preserve">Medical Practitioners   </w:t>
            </w:r>
            <w:r w:rsidRPr="00723D8D">
              <w:rPr>
                <w:rFonts w:ascii="Arial Narrow" w:hAnsi="Arial Narrow" w:cs="Arial"/>
                <w:sz w:val="18"/>
                <w:szCs w:val="18"/>
              </w:rPr>
              <w:fldChar w:fldCharType="begin">
                <w:ffData>
                  <w:name w:val="Check3"/>
                  <w:enabled/>
                  <w:calcOnExit w:val="0"/>
                  <w:checkBox>
                    <w:sizeAuto/>
                    <w:default w:val="1"/>
                  </w:checkBox>
                </w:ffData>
              </w:fldChar>
            </w:r>
            <w:r w:rsidRPr="004F4D93">
              <w:rPr>
                <w:rFonts w:ascii="Arial Narrow" w:hAnsi="Arial Narrow" w:cs="Arial"/>
                <w:sz w:val="18"/>
                <w:szCs w:val="18"/>
              </w:rPr>
              <w:instrText xml:space="preserve"> </w:instrText>
            </w:r>
            <w:bookmarkStart w:id="1" w:name="Check3"/>
            <w:r w:rsidRPr="004F4D93">
              <w:rPr>
                <w:rFonts w:ascii="Arial Narrow" w:hAnsi="Arial Narrow" w:cs="Arial"/>
                <w:sz w:val="18"/>
                <w:szCs w:val="18"/>
              </w:rPr>
              <w:instrText xml:space="preserve">FORMCHECKBOX </w:instrText>
            </w:r>
            <w:r w:rsidR="008A17B2">
              <w:rPr>
                <w:rFonts w:ascii="Arial Narrow" w:hAnsi="Arial Narrow" w:cs="Arial"/>
                <w:sz w:val="18"/>
                <w:szCs w:val="18"/>
              </w:rPr>
            </w:r>
            <w:r w:rsidR="008A17B2">
              <w:rPr>
                <w:rFonts w:ascii="Arial Narrow" w:hAnsi="Arial Narrow" w:cs="Arial"/>
                <w:sz w:val="18"/>
                <w:szCs w:val="18"/>
              </w:rPr>
              <w:fldChar w:fldCharType="separate"/>
            </w:r>
            <w:r w:rsidRPr="00723D8D">
              <w:rPr>
                <w:rFonts w:ascii="Arial Narrow" w:hAnsi="Arial Narrow" w:cs="Arial"/>
                <w:sz w:val="18"/>
                <w:szCs w:val="18"/>
              </w:rPr>
              <w:fldChar w:fldCharType="end"/>
            </w:r>
            <w:bookmarkEnd w:id="1"/>
            <w:r w:rsidRPr="004F4D93">
              <w:rPr>
                <w:rFonts w:ascii="Arial Narrow" w:hAnsi="Arial Narrow" w:cs="Arial"/>
                <w:sz w:val="18"/>
                <w:szCs w:val="18"/>
              </w:rPr>
              <w:t>Nurse practitioners</w:t>
            </w:r>
          </w:p>
        </w:tc>
      </w:tr>
      <w:tr w:rsidR="006F2C2F" w:rsidRPr="004F4D93" w14:paraId="2B68447B" w14:textId="77777777" w:rsidTr="005A09EA">
        <w:tc>
          <w:tcPr>
            <w:tcW w:w="5000" w:type="pct"/>
            <w:tcBorders>
              <w:top w:val="single" w:sz="4" w:space="0" w:color="auto"/>
              <w:left w:val="single" w:sz="4" w:space="0" w:color="auto"/>
              <w:bottom w:val="single" w:sz="4" w:space="0" w:color="auto"/>
              <w:right w:val="single" w:sz="4" w:space="0" w:color="auto"/>
            </w:tcBorders>
          </w:tcPr>
          <w:p w14:paraId="0CA7BF72" w14:textId="77777777" w:rsidR="006F2C2F" w:rsidRPr="004F4D93" w:rsidRDefault="006F2C2F" w:rsidP="003E14E6">
            <w:pPr>
              <w:spacing w:after="0"/>
              <w:jc w:val="both"/>
              <w:rPr>
                <w:rFonts w:ascii="Arial Narrow" w:hAnsi="Arial Narrow" w:cs="Arial"/>
                <w:b/>
                <w:sz w:val="18"/>
                <w:szCs w:val="18"/>
              </w:rPr>
            </w:pPr>
            <w:r w:rsidRPr="004F4D93">
              <w:rPr>
                <w:rFonts w:ascii="Arial Narrow" w:hAnsi="Arial Narrow" w:cs="Arial"/>
                <w:b/>
                <w:sz w:val="18"/>
                <w:szCs w:val="18"/>
              </w:rPr>
              <w:t>Restriction Type:</w:t>
            </w:r>
          </w:p>
          <w:p w14:paraId="1A68393B" w14:textId="77777777" w:rsidR="006F2C2F" w:rsidRPr="004F4D93" w:rsidRDefault="006F2C2F" w:rsidP="003E14E6">
            <w:pPr>
              <w:spacing w:after="0"/>
              <w:jc w:val="both"/>
              <w:rPr>
                <w:rFonts w:ascii="Arial Narrow" w:eastAsia="Calibri" w:hAnsi="Arial Narrow" w:cs="Arial"/>
                <w:sz w:val="18"/>
                <w:szCs w:val="18"/>
              </w:rPr>
            </w:pPr>
            <w:r w:rsidRPr="00723D8D">
              <w:rPr>
                <w:rFonts w:ascii="Arial Narrow" w:eastAsia="Calibri" w:hAnsi="Arial Narrow" w:cs="Arial"/>
                <w:sz w:val="18"/>
                <w:szCs w:val="18"/>
              </w:rPr>
              <w:fldChar w:fldCharType="begin">
                <w:ffData>
                  <w:name w:val=""/>
                  <w:enabled/>
                  <w:calcOnExit w:val="0"/>
                  <w:checkBox>
                    <w:sizeAuto/>
                    <w:default w:val="1"/>
                  </w:checkBox>
                </w:ffData>
              </w:fldChar>
            </w:r>
            <w:r w:rsidRPr="004F4D93">
              <w:rPr>
                <w:rFonts w:ascii="Arial Narrow" w:eastAsia="Calibri" w:hAnsi="Arial Narrow" w:cs="Arial"/>
                <w:sz w:val="18"/>
                <w:szCs w:val="18"/>
              </w:rPr>
              <w:instrText xml:space="preserve"> FORMCHECKBOX </w:instrText>
            </w:r>
            <w:r w:rsidR="008A17B2">
              <w:rPr>
                <w:rFonts w:ascii="Arial Narrow" w:eastAsia="Calibri" w:hAnsi="Arial Narrow" w:cs="Arial"/>
                <w:sz w:val="18"/>
                <w:szCs w:val="18"/>
              </w:rPr>
            </w:r>
            <w:r w:rsidR="008A17B2">
              <w:rPr>
                <w:rFonts w:ascii="Arial Narrow" w:eastAsia="Calibri" w:hAnsi="Arial Narrow" w:cs="Arial"/>
                <w:sz w:val="18"/>
                <w:szCs w:val="18"/>
              </w:rPr>
              <w:fldChar w:fldCharType="separate"/>
            </w:r>
            <w:r w:rsidRPr="00723D8D">
              <w:rPr>
                <w:rFonts w:ascii="Arial Narrow" w:eastAsia="Calibri" w:hAnsi="Arial Narrow" w:cs="Arial"/>
                <w:sz w:val="18"/>
                <w:szCs w:val="18"/>
              </w:rPr>
              <w:fldChar w:fldCharType="end"/>
            </w:r>
            <w:r w:rsidRPr="004F4D93">
              <w:rPr>
                <w:rFonts w:ascii="Arial Narrow" w:eastAsia="Calibri" w:hAnsi="Arial Narrow" w:cs="Arial"/>
                <w:sz w:val="18"/>
                <w:szCs w:val="18"/>
              </w:rPr>
              <w:t>Restricted benefit</w:t>
            </w:r>
          </w:p>
        </w:tc>
      </w:tr>
      <w:tr w:rsidR="006F2C2F" w:rsidRPr="004F4D93" w14:paraId="647BFB25" w14:textId="77777777" w:rsidTr="005A09EA">
        <w:tc>
          <w:tcPr>
            <w:tcW w:w="5000" w:type="pct"/>
            <w:vAlign w:val="center"/>
            <w:hideMark/>
          </w:tcPr>
          <w:p w14:paraId="5A17F76D" w14:textId="77777777" w:rsidR="006F2C2F" w:rsidRPr="004F4D93" w:rsidRDefault="006F2C2F" w:rsidP="003E14E6">
            <w:pPr>
              <w:spacing w:after="0"/>
              <w:jc w:val="both"/>
              <w:rPr>
                <w:rFonts w:ascii="Arial Narrow" w:hAnsi="Arial Narrow"/>
                <w:color w:val="333333"/>
                <w:sz w:val="18"/>
                <w:szCs w:val="18"/>
              </w:rPr>
            </w:pPr>
            <w:r w:rsidRPr="004F4D93">
              <w:rPr>
                <w:rFonts w:ascii="Arial Narrow" w:hAnsi="Arial Narrow"/>
                <w:b/>
                <w:bCs/>
                <w:color w:val="333333"/>
                <w:sz w:val="18"/>
                <w:szCs w:val="18"/>
              </w:rPr>
              <w:t>Indication:</w:t>
            </w:r>
            <w:r w:rsidRPr="004F4D93">
              <w:rPr>
                <w:rFonts w:ascii="Arial Narrow" w:hAnsi="Arial Narrow"/>
                <w:color w:val="333333"/>
                <w:sz w:val="18"/>
                <w:szCs w:val="18"/>
              </w:rPr>
              <w:t xml:space="preserve"> Herpes Simplex Keratitis </w:t>
            </w:r>
          </w:p>
        </w:tc>
      </w:tr>
      <w:tr w:rsidR="006F2C2F" w:rsidRPr="004F4D93" w14:paraId="758A2D00" w14:textId="77777777" w:rsidTr="005A09EA">
        <w:tc>
          <w:tcPr>
            <w:tcW w:w="5000" w:type="pct"/>
            <w:vAlign w:val="center"/>
          </w:tcPr>
          <w:p w14:paraId="035E9F86" w14:textId="77777777" w:rsidR="006F2C2F" w:rsidRPr="004F4D93" w:rsidRDefault="006F2C2F" w:rsidP="00F33173">
            <w:pPr>
              <w:spacing w:after="0"/>
              <w:jc w:val="both"/>
              <w:rPr>
                <w:rFonts w:ascii="Arial Narrow" w:hAnsi="Arial Narrow"/>
                <w:b/>
                <w:bCs/>
                <w:color w:val="333333"/>
                <w:sz w:val="18"/>
                <w:szCs w:val="18"/>
              </w:rPr>
            </w:pPr>
            <w:r w:rsidRPr="004F4D93">
              <w:rPr>
                <w:rFonts w:ascii="Arial Narrow" w:hAnsi="Arial Narrow"/>
                <w:b/>
                <w:bCs/>
                <w:color w:val="333333"/>
                <w:sz w:val="18"/>
                <w:szCs w:val="18"/>
              </w:rPr>
              <w:t>Administrative Advice:</w:t>
            </w:r>
          </w:p>
          <w:p w14:paraId="601A8C6D" w14:textId="77777777" w:rsidR="006F2C2F" w:rsidRPr="004F4D93" w:rsidRDefault="006F2C2F" w:rsidP="00F33173">
            <w:pPr>
              <w:spacing w:after="0"/>
              <w:jc w:val="both"/>
              <w:rPr>
                <w:rFonts w:ascii="Arial Narrow" w:hAnsi="Arial Narrow"/>
                <w:bCs/>
                <w:color w:val="333333"/>
                <w:sz w:val="18"/>
                <w:szCs w:val="18"/>
              </w:rPr>
            </w:pPr>
            <w:r w:rsidRPr="004F4D93">
              <w:rPr>
                <w:rFonts w:ascii="Arial Narrow" w:hAnsi="Arial Narrow"/>
                <w:bCs/>
                <w:color w:val="333333"/>
                <w:sz w:val="18"/>
                <w:szCs w:val="18"/>
              </w:rPr>
              <w:t xml:space="preserve">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 </w:t>
            </w:r>
          </w:p>
        </w:tc>
      </w:tr>
    </w:tbl>
    <w:p w14:paraId="50ED5F6C" w14:textId="77777777" w:rsidR="001E045A" w:rsidRPr="004F4D93" w:rsidRDefault="001E045A" w:rsidP="007C4EBB">
      <w:pPr>
        <w:pStyle w:val="3Bodytext"/>
        <w:numPr>
          <w:ilvl w:val="0"/>
          <w:numId w:val="0"/>
        </w:num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7C4EBB" w:rsidRPr="004F4D93" w14:paraId="76DF8711" w14:textId="77777777" w:rsidTr="00F33173">
        <w:trPr>
          <w:cantSplit/>
          <w:trHeight w:val="471"/>
        </w:trPr>
        <w:tc>
          <w:tcPr>
            <w:tcW w:w="3964" w:type="dxa"/>
          </w:tcPr>
          <w:p w14:paraId="3D7286FB" w14:textId="77777777" w:rsidR="007C4EBB" w:rsidRPr="004F4D93" w:rsidRDefault="007C4EBB" w:rsidP="00F33173">
            <w:pPr>
              <w:keepNext/>
              <w:spacing w:after="0" w:line="240" w:lineRule="auto"/>
              <w:ind w:left="22"/>
              <w:jc w:val="both"/>
              <w:rPr>
                <w:rFonts w:ascii="Arial Narrow" w:hAnsi="Arial Narrow" w:cs="Arial"/>
                <w:b/>
                <w:bCs/>
                <w:sz w:val="18"/>
                <w:szCs w:val="18"/>
              </w:rPr>
            </w:pPr>
            <w:r w:rsidRPr="004F4D93">
              <w:rPr>
                <w:rFonts w:ascii="Arial Narrow" w:hAnsi="Arial Narrow" w:cs="Arial"/>
                <w:b/>
                <w:bCs/>
                <w:sz w:val="18"/>
                <w:szCs w:val="18"/>
              </w:rPr>
              <w:t>MEDICINAL PRODUCT</w:t>
            </w:r>
          </w:p>
          <w:p w14:paraId="6DB10F5E" w14:textId="77777777" w:rsidR="007C4EBB" w:rsidRPr="004F4D93" w:rsidRDefault="007C4EBB" w:rsidP="00F33173">
            <w:pPr>
              <w:keepNext/>
              <w:spacing w:after="0" w:line="240" w:lineRule="auto"/>
              <w:ind w:left="22"/>
              <w:jc w:val="both"/>
              <w:rPr>
                <w:rFonts w:ascii="Arial Narrow" w:hAnsi="Arial Narrow" w:cs="Arial"/>
                <w:b/>
                <w:sz w:val="18"/>
                <w:szCs w:val="18"/>
              </w:rPr>
            </w:pPr>
            <w:r w:rsidRPr="004F4D93">
              <w:rPr>
                <w:rFonts w:ascii="Arial Narrow" w:hAnsi="Arial Narrow" w:cs="Arial"/>
                <w:b/>
                <w:bCs/>
                <w:sz w:val="18"/>
                <w:szCs w:val="18"/>
              </w:rPr>
              <w:t>medicinal product pack</w:t>
            </w:r>
          </w:p>
        </w:tc>
        <w:tc>
          <w:tcPr>
            <w:tcW w:w="993" w:type="dxa"/>
          </w:tcPr>
          <w:p w14:paraId="3CA76E3A" w14:textId="77777777" w:rsidR="007C4EBB" w:rsidRPr="004F4D93" w:rsidRDefault="007C4EBB" w:rsidP="00F33173">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PBS item code</w:t>
            </w:r>
          </w:p>
        </w:tc>
        <w:tc>
          <w:tcPr>
            <w:tcW w:w="850" w:type="dxa"/>
          </w:tcPr>
          <w:p w14:paraId="7E3C8241" w14:textId="77777777" w:rsidR="007C4EBB" w:rsidRPr="004F4D93" w:rsidRDefault="007C4EBB" w:rsidP="00F33173">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Max. qty packs</w:t>
            </w:r>
          </w:p>
        </w:tc>
        <w:tc>
          <w:tcPr>
            <w:tcW w:w="709" w:type="dxa"/>
          </w:tcPr>
          <w:p w14:paraId="725DF9FC" w14:textId="77777777" w:rsidR="007C4EBB" w:rsidRPr="004F4D93" w:rsidRDefault="007C4EBB" w:rsidP="00F33173">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Max. qty units</w:t>
            </w:r>
          </w:p>
        </w:tc>
        <w:tc>
          <w:tcPr>
            <w:tcW w:w="709" w:type="dxa"/>
          </w:tcPr>
          <w:p w14:paraId="1A4C3ADA" w14:textId="77777777" w:rsidR="007C4EBB" w:rsidRPr="004F4D93" w:rsidRDefault="007C4EBB" w:rsidP="00F33173">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№.of</w:t>
            </w:r>
          </w:p>
          <w:p w14:paraId="797A6BDF" w14:textId="77777777" w:rsidR="007C4EBB" w:rsidRPr="004F4D93" w:rsidRDefault="007C4EBB" w:rsidP="00F33173">
            <w:pPr>
              <w:keepNext/>
              <w:spacing w:after="0" w:line="240" w:lineRule="auto"/>
              <w:ind w:left="-108"/>
              <w:jc w:val="both"/>
              <w:rPr>
                <w:rFonts w:ascii="Arial Narrow" w:hAnsi="Arial Narrow" w:cs="Arial"/>
                <w:b/>
                <w:sz w:val="18"/>
                <w:szCs w:val="18"/>
              </w:rPr>
            </w:pPr>
            <w:r w:rsidRPr="004F4D93">
              <w:rPr>
                <w:rFonts w:ascii="Arial Narrow" w:hAnsi="Arial Narrow" w:cs="Arial"/>
                <w:b/>
                <w:sz w:val="18"/>
                <w:szCs w:val="18"/>
              </w:rPr>
              <w:t>Rpts</w:t>
            </w:r>
          </w:p>
        </w:tc>
        <w:tc>
          <w:tcPr>
            <w:tcW w:w="1842" w:type="dxa"/>
          </w:tcPr>
          <w:p w14:paraId="6889506E" w14:textId="77777777" w:rsidR="007C4EBB" w:rsidRPr="00723D8D" w:rsidRDefault="007C4EBB" w:rsidP="00F33173">
            <w:pPr>
              <w:keepNext/>
              <w:spacing w:after="0" w:line="240" w:lineRule="auto"/>
              <w:jc w:val="both"/>
              <w:rPr>
                <w:rFonts w:ascii="Arial Narrow" w:hAnsi="Arial Narrow" w:cs="Arial"/>
                <w:b/>
                <w:sz w:val="18"/>
                <w:szCs w:val="18"/>
              </w:rPr>
            </w:pPr>
            <w:r w:rsidRPr="004F4D93">
              <w:rPr>
                <w:rFonts w:ascii="Arial Narrow" w:hAnsi="Arial Narrow" w:cs="Arial"/>
                <w:b/>
                <w:sz w:val="18"/>
                <w:szCs w:val="18"/>
              </w:rPr>
              <w:t>Available brands</w:t>
            </w:r>
          </w:p>
        </w:tc>
      </w:tr>
      <w:tr w:rsidR="007C4EBB" w:rsidRPr="004F4D93" w14:paraId="50767B6F" w14:textId="77777777" w:rsidTr="00F33173">
        <w:trPr>
          <w:cantSplit/>
          <w:trHeight w:val="224"/>
        </w:trPr>
        <w:tc>
          <w:tcPr>
            <w:tcW w:w="9067" w:type="dxa"/>
            <w:gridSpan w:val="6"/>
          </w:tcPr>
          <w:p w14:paraId="784D81B9" w14:textId="77777777" w:rsidR="007C4EBB" w:rsidRPr="004F4D93" w:rsidRDefault="007C4EBB" w:rsidP="00F33173">
            <w:pPr>
              <w:keepNext/>
              <w:spacing w:after="0" w:line="240" w:lineRule="auto"/>
              <w:ind w:left="22"/>
              <w:jc w:val="both"/>
              <w:rPr>
                <w:rFonts w:ascii="Arial Narrow" w:hAnsi="Arial Narrow" w:cs="Arial"/>
                <w:sz w:val="18"/>
                <w:szCs w:val="18"/>
              </w:rPr>
            </w:pPr>
            <w:r w:rsidRPr="004F4D93">
              <w:rPr>
                <w:rFonts w:ascii="Arial Narrow" w:hAnsi="Arial Narrow" w:cs="Arial"/>
                <w:sz w:val="18"/>
                <w:szCs w:val="18"/>
              </w:rPr>
              <w:t xml:space="preserve">ACICLOVIR  </w:t>
            </w:r>
          </w:p>
        </w:tc>
      </w:tr>
      <w:tr w:rsidR="007C4EBB" w:rsidRPr="004F4D93" w14:paraId="0BE02D99" w14:textId="77777777" w:rsidTr="00F33173">
        <w:trPr>
          <w:cantSplit/>
          <w:trHeight w:val="553"/>
        </w:trPr>
        <w:tc>
          <w:tcPr>
            <w:tcW w:w="3964" w:type="dxa"/>
          </w:tcPr>
          <w:p w14:paraId="6C6A3A72" w14:textId="77777777" w:rsidR="007C4EBB" w:rsidRPr="004F4D93" w:rsidRDefault="007C4EBB" w:rsidP="00F33173">
            <w:pPr>
              <w:keepNext/>
              <w:spacing w:after="0" w:line="240" w:lineRule="auto"/>
              <w:ind w:left="22"/>
              <w:jc w:val="both"/>
              <w:rPr>
                <w:rFonts w:ascii="Arial Narrow" w:hAnsi="Arial Narrow" w:cs="Arial"/>
                <w:sz w:val="18"/>
                <w:szCs w:val="18"/>
              </w:rPr>
            </w:pPr>
            <w:r w:rsidRPr="004F4D93">
              <w:rPr>
                <w:rFonts w:ascii="Arial Narrow" w:hAnsi="Arial Narrow" w:cs="Arial"/>
                <w:sz w:val="18"/>
                <w:szCs w:val="18"/>
              </w:rPr>
              <w:t>aciclovir 3mg/g (3%) eye ointment, 4.5g [existing MPP]</w:t>
            </w:r>
          </w:p>
        </w:tc>
        <w:tc>
          <w:tcPr>
            <w:tcW w:w="993" w:type="dxa"/>
          </w:tcPr>
          <w:p w14:paraId="4251218C" w14:textId="77777777" w:rsidR="007C4EBB" w:rsidRPr="004F4D93" w:rsidRDefault="007C4EBB" w:rsidP="00F33173">
            <w:pPr>
              <w:keepNext/>
              <w:spacing w:after="0" w:line="240" w:lineRule="auto"/>
              <w:jc w:val="both"/>
              <w:rPr>
                <w:rFonts w:ascii="Arial Narrow" w:hAnsi="Arial Narrow" w:cs="Arial"/>
                <w:sz w:val="18"/>
                <w:szCs w:val="18"/>
              </w:rPr>
            </w:pPr>
            <w:r w:rsidRPr="004F4D93">
              <w:rPr>
                <w:rFonts w:ascii="Arial Narrow" w:hAnsi="Arial Narrow" w:cs="Arial"/>
                <w:sz w:val="18"/>
                <w:szCs w:val="18"/>
              </w:rPr>
              <w:t>11654J</w:t>
            </w:r>
          </w:p>
        </w:tc>
        <w:tc>
          <w:tcPr>
            <w:tcW w:w="850" w:type="dxa"/>
          </w:tcPr>
          <w:p w14:paraId="3D80D4B2" w14:textId="77777777" w:rsidR="007C4EBB" w:rsidRPr="004F4D93" w:rsidRDefault="007C4EBB" w:rsidP="00F33173">
            <w:pPr>
              <w:keepNext/>
              <w:spacing w:after="0" w:line="240" w:lineRule="auto"/>
              <w:jc w:val="both"/>
              <w:rPr>
                <w:rFonts w:ascii="Arial Narrow" w:hAnsi="Arial Narrow" w:cs="Arial"/>
                <w:sz w:val="18"/>
                <w:szCs w:val="18"/>
              </w:rPr>
            </w:pPr>
            <w:r w:rsidRPr="004F4D93">
              <w:rPr>
                <w:rFonts w:ascii="Arial Narrow" w:hAnsi="Arial Narrow" w:cs="Arial"/>
                <w:sz w:val="18"/>
                <w:szCs w:val="18"/>
              </w:rPr>
              <w:t>1</w:t>
            </w:r>
          </w:p>
        </w:tc>
        <w:tc>
          <w:tcPr>
            <w:tcW w:w="709" w:type="dxa"/>
          </w:tcPr>
          <w:p w14:paraId="126C8C87" w14:textId="77777777" w:rsidR="007C4EBB" w:rsidRPr="004F4D93" w:rsidRDefault="007C4EBB" w:rsidP="00F33173">
            <w:pPr>
              <w:keepNext/>
              <w:spacing w:after="0" w:line="240" w:lineRule="auto"/>
              <w:jc w:val="both"/>
              <w:rPr>
                <w:rFonts w:ascii="Arial Narrow" w:hAnsi="Arial Narrow" w:cs="Arial"/>
                <w:sz w:val="18"/>
                <w:szCs w:val="18"/>
              </w:rPr>
            </w:pPr>
            <w:r w:rsidRPr="004F4D93">
              <w:rPr>
                <w:rFonts w:ascii="Arial Narrow" w:hAnsi="Arial Narrow" w:cs="Arial"/>
                <w:sz w:val="18"/>
                <w:szCs w:val="18"/>
              </w:rPr>
              <w:t>1</w:t>
            </w:r>
          </w:p>
        </w:tc>
        <w:tc>
          <w:tcPr>
            <w:tcW w:w="709" w:type="dxa"/>
          </w:tcPr>
          <w:p w14:paraId="6957E50B" w14:textId="77777777" w:rsidR="007C4EBB" w:rsidRPr="004F4D93" w:rsidRDefault="007C4EBB" w:rsidP="00F33173">
            <w:pPr>
              <w:keepNext/>
              <w:spacing w:after="0" w:line="240" w:lineRule="auto"/>
              <w:jc w:val="both"/>
              <w:rPr>
                <w:rFonts w:ascii="Arial Narrow" w:hAnsi="Arial Narrow" w:cs="Arial"/>
                <w:sz w:val="18"/>
                <w:szCs w:val="18"/>
              </w:rPr>
            </w:pPr>
            <w:r w:rsidRPr="004F4D93">
              <w:rPr>
                <w:rFonts w:ascii="Arial Narrow" w:hAnsi="Arial Narrow" w:cs="Arial"/>
                <w:sz w:val="18"/>
                <w:szCs w:val="18"/>
              </w:rPr>
              <w:t>0</w:t>
            </w:r>
          </w:p>
        </w:tc>
        <w:tc>
          <w:tcPr>
            <w:tcW w:w="1842" w:type="dxa"/>
          </w:tcPr>
          <w:p w14:paraId="6BFAB434" w14:textId="77777777" w:rsidR="007C4EBB" w:rsidRPr="004F4D93" w:rsidRDefault="007C4EBB" w:rsidP="00F33173">
            <w:pPr>
              <w:keepNext/>
              <w:spacing w:after="0" w:line="240" w:lineRule="auto"/>
              <w:jc w:val="both"/>
              <w:rPr>
                <w:rFonts w:ascii="Arial Narrow" w:hAnsi="Arial Narrow" w:cs="Arial"/>
                <w:sz w:val="18"/>
                <w:szCs w:val="18"/>
              </w:rPr>
            </w:pPr>
            <w:r w:rsidRPr="004F4D93">
              <w:rPr>
                <w:rFonts w:ascii="Arial Narrow" w:hAnsi="Arial Narrow" w:cs="Arial"/>
                <w:sz w:val="18"/>
                <w:szCs w:val="18"/>
              </w:rPr>
              <w:t>AciVision [existing TPP]</w:t>
            </w:r>
          </w:p>
        </w:tc>
      </w:tr>
      <w:tr w:rsidR="007C4EBB" w:rsidRPr="004F4D93" w14:paraId="03B7B039" w14:textId="77777777" w:rsidTr="00F33173">
        <w:trPr>
          <w:cantSplit/>
          <w:trHeight w:val="553"/>
        </w:trPr>
        <w:tc>
          <w:tcPr>
            <w:tcW w:w="3964" w:type="dxa"/>
          </w:tcPr>
          <w:p w14:paraId="3242000E" w14:textId="77777777" w:rsidR="007C4EBB" w:rsidRPr="004F4D93" w:rsidRDefault="007C4EBB" w:rsidP="00F33173">
            <w:pPr>
              <w:keepNext/>
              <w:spacing w:after="0" w:line="240" w:lineRule="auto"/>
              <w:ind w:left="22"/>
              <w:jc w:val="both"/>
              <w:rPr>
                <w:rFonts w:ascii="Arial Narrow" w:hAnsi="Arial Narrow" w:cs="Arial"/>
                <w:i/>
                <w:sz w:val="18"/>
                <w:szCs w:val="18"/>
              </w:rPr>
            </w:pPr>
            <w:r w:rsidRPr="004F4D93">
              <w:rPr>
                <w:rFonts w:ascii="Arial Narrow" w:hAnsi="Arial Narrow" w:cs="Arial"/>
                <w:i/>
                <w:sz w:val="18"/>
                <w:szCs w:val="18"/>
              </w:rPr>
              <w:t>aciclovir 3mg/g (3%) eye ointment, 4.5g [new MPP]</w:t>
            </w:r>
          </w:p>
        </w:tc>
        <w:tc>
          <w:tcPr>
            <w:tcW w:w="993" w:type="dxa"/>
          </w:tcPr>
          <w:p w14:paraId="2908D8C7" w14:textId="77777777" w:rsidR="007C4EBB" w:rsidRPr="004F4D93" w:rsidRDefault="007C4EBB" w:rsidP="00F33173">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NEW</w:t>
            </w:r>
          </w:p>
        </w:tc>
        <w:tc>
          <w:tcPr>
            <w:tcW w:w="850" w:type="dxa"/>
          </w:tcPr>
          <w:p w14:paraId="53710CE7" w14:textId="77777777" w:rsidR="007C4EBB" w:rsidRPr="004F4D93" w:rsidRDefault="007C4EBB" w:rsidP="00F33173">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1</w:t>
            </w:r>
          </w:p>
        </w:tc>
        <w:tc>
          <w:tcPr>
            <w:tcW w:w="709" w:type="dxa"/>
          </w:tcPr>
          <w:p w14:paraId="3308E61E" w14:textId="77777777" w:rsidR="007C4EBB" w:rsidRPr="004F4D93" w:rsidRDefault="007C4EBB" w:rsidP="00F33173">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1</w:t>
            </w:r>
          </w:p>
        </w:tc>
        <w:tc>
          <w:tcPr>
            <w:tcW w:w="709" w:type="dxa"/>
          </w:tcPr>
          <w:p w14:paraId="7770CB76" w14:textId="77777777" w:rsidR="007C4EBB" w:rsidRPr="004F4D93" w:rsidRDefault="007C4EBB" w:rsidP="00F33173">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0</w:t>
            </w:r>
          </w:p>
        </w:tc>
        <w:tc>
          <w:tcPr>
            <w:tcW w:w="1842" w:type="dxa"/>
          </w:tcPr>
          <w:p w14:paraId="3D3A6168" w14:textId="77777777" w:rsidR="007C4EBB" w:rsidRPr="004F4D93" w:rsidRDefault="007C4EBB" w:rsidP="00F33173">
            <w:pPr>
              <w:keepNext/>
              <w:spacing w:after="0" w:line="240" w:lineRule="auto"/>
              <w:jc w:val="both"/>
              <w:rPr>
                <w:rFonts w:ascii="Arial Narrow" w:hAnsi="Arial Narrow" w:cs="Arial"/>
                <w:i/>
                <w:sz w:val="18"/>
                <w:szCs w:val="18"/>
              </w:rPr>
            </w:pPr>
            <w:r w:rsidRPr="004F4D93">
              <w:rPr>
                <w:rFonts w:ascii="Arial Narrow" w:hAnsi="Arial Narrow" w:cs="Arial"/>
                <w:i/>
                <w:sz w:val="18"/>
                <w:szCs w:val="18"/>
              </w:rPr>
              <w:t>Xorox [new TPP]</w:t>
            </w:r>
          </w:p>
        </w:tc>
      </w:tr>
    </w:tbl>
    <w:p w14:paraId="38F01B3A" w14:textId="77777777" w:rsidR="004E4FBF" w:rsidRPr="004F4D93" w:rsidRDefault="004E4FBF" w:rsidP="00F33173">
      <w:pPr>
        <w:jc w:val="both"/>
        <w:rPr>
          <w:rFonts w:ascii="Arial Narrow" w:hAnsi="Arial Narrow"/>
          <w:b/>
          <w:sz w:val="18"/>
          <w:szCs w:val="18"/>
        </w:rPr>
      </w:pPr>
    </w:p>
    <w:p w14:paraId="6E515377" w14:textId="77777777" w:rsidR="00F33173" w:rsidRPr="004F4D93" w:rsidRDefault="00F33173" w:rsidP="00F33173">
      <w:pPr>
        <w:jc w:val="both"/>
      </w:pPr>
      <w:r w:rsidRPr="004F4D93">
        <w:rPr>
          <w:rFonts w:ascii="Arial Narrow" w:hAnsi="Arial Narrow"/>
          <w:b/>
          <w:sz w:val="18"/>
          <w:szCs w:val="18"/>
        </w:rPr>
        <w:t>Restriction Summary 5964 / Treatment of Concept:  5964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6F2C2F" w:rsidRPr="004F4D93" w14:paraId="19449739" w14:textId="77777777" w:rsidTr="005A09EA">
        <w:tc>
          <w:tcPr>
            <w:tcW w:w="5000" w:type="pct"/>
            <w:tcBorders>
              <w:top w:val="single" w:sz="4" w:space="0" w:color="auto"/>
              <w:left w:val="single" w:sz="4" w:space="0" w:color="auto"/>
              <w:bottom w:val="single" w:sz="4" w:space="0" w:color="auto"/>
              <w:right w:val="single" w:sz="4" w:space="0" w:color="auto"/>
            </w:tcBorders>
          </w:tcPr>
          <w:p w14:paraId="40FBDC70" w14:textId="77777777" w:rsidR="006F2C2F" w:rsidRPr="004F4D93" w:rsidRDefault="006F2C2F" w:rsidP="00F33173">
            <w:pPr>
              <w:jc w:val="both"/>
              <w:rPr>
                <w:rFonts w:ascii="Arial Narrow" w:hAnsi="Arial Narrow" w:cs="Arial"/>
                <w:sz w:val="18"/>
                <w:szCs w:val="18"/>
              </w:rPr>
            </w:pPr>
            <w:r w:rsidRPr="004F4D93">
              <w:rPr>
                <w:rFonts w:ascii="Arial Narrow" w:hAnsi="Arial Narrow" w:cs="Arial"/>
                <w:b/>
                <w:sz w:val="18"/>
                <w:szCs w:val="18"/>
              </w:rPr>
              <w:t xml:space="preserve">Category / Program:   </w:t>
            </w:r>
            <w:r w:rsidRPr="004F4D93">
              <w:rPr>
                <w:rFonts w:ascii="Arial Narrow" w:hAnsi="Arial Narrow" w:cs="Arial"/>
                <w:sz w:val="18"/>
                <w:szCs w:val="18"/>
              </w:rPr>
              <w:t xml:space="preserve">GENERAL – General Schedule (Code GE) </w:t>
            </w:r>
          </w:p>
        </w:tc>
      </w:tr>
      <w:tr w:rsidR="006F2C2F" w:rsidRPr="004F4D93" w14:paraId="3B831B30" w14:textId="77777777" w:rsidTr="005A09EA">
        <w:trPr>
          <w:trHeight w:val="240"/>
        </w:trPr>
        <w:tc>
          <w:tcPr>
            <w:tcW w:w="5000" w:type="pct"/>
            <w:tcBorders>
              <w:top w:val="single" w:sz="4" w:space="0" w:color="auto"/>
              <w:left w:val="single" w:sz="4" w:space="0" w:color="auto"/>
              <w:bottom w:val="single" w:sz="4" w:space="0" w:color="auto"/>
              <w:right w:val="single" w:sz="4" w:space="0" w:color="auto"/>
            </w:tcBorders>
          </w:tcPr>
          <w:p w14:paraId="776A13B6" w14:textId="77777777" w:rsidR="006F2C2F" w:rsidRPr="004F4D93" w:rsidRDefault="006F2C2F" w:rsidP="00F33173">
            <w:pPr>
              <w:jc w:val="both"/>
              <w:rPr>
                <w:rFonts w:ascii="Arial Narrow" w:hAnsi="Arial Narrow" w:cs="Arial"/>
                <w:b/>
                <w:sz w:val="18"/>
                <w:szCs w:val="18"/>
              </w:rPr>
            </w:pPr>
            <w:r w:rsidRPr="004F4D93">
              <w:rPr>
                <w:rFonts w:ascii="Arial Narrow" w:hAnsi="Arial Narrow" w:cs="Arial"/>
                <w:b/>
                <w:sz w:val="18"/>
                <w:szCs w:val="18"/>
              </w:rPr>
              <w:t xml:space="preserve">Prescriber type:   </w:t>
            </w:r>
            <w:r w:rsidRPr="004F4D93">
              <w:rPr>
                <w:rFonts w:ascii="Arial Narrow" w:hAnsi="Arial Narrow" w:cs="Arial"/>
                <w:sz w:val="18"/>
                <w:szCs w:val="18"/>
              </w:rPr>
              <w:t xml:space="preserve">    </w:t>
            </w:r>
            <w:r w:rsidRPr="00723D8D">
              <w:rPr>
                <w:rFonts w:ascii="Arial Narrow" w:hAnsi="Arial Narrow" w:cs="Arial"/>
                <w:sz w:val="18"/>
                <w:szCs w:val="18"/>
              </w:rPr>
              <w:fldChar w:fldCharType="begin">
                <w:ffData>
                  <w:name w:val=""/>
                  <w:enabled/>
                  <w:calcOnExit w:val="0"/>
                  <w:checkBox>
                    <w:sizeAuto/>
                    <w:default w:val="1"/>
                  </w:checkBox>
                </w:ffData>
              </w:fldChar>
            </w:r>
            <w:r w:rsidRPr="004F4D93">
              <w:rPr>
                <w:rFonts w:ascii="Arial Narrow" w:hAnsi="Arial Narrow" w:cs="Arial"/>
                <w:sz w:val="18"/>
                <w:szCs w:val="18"/>
              </w:rPr>
              <w:instrText xml:space="preserve"> FORMCHECKBOX </w:instrText>
            </w:r>
            <w:r w:rsidR="008A17B2">
              <w:rPr>
                <w:rFonts w:ascii="Arial Narrow" w:hAnsi="Arial Narrow" w:cs="Arial"/>
                <w:sz w:val="18"/>
                <w:szCs w:val="18"/>
              </w:rPr>
            </w:r>
            <w:r w:rsidR="008A17B2">
              <w:rPr>
                <w:rFonts w:ascii="Arial Narrow" w:hAnsi="Arial Narrow" w:cs="Arial"/>
                <w:sz w:val="18"/>
                <w:szCs w:val="18"/>
              </w:rPr>
              <w:fldChar w:fldCharType="separate"/>
            </w:r>
            <w:r w:rsidRPr="00723D8D">
              <w:rPr>
                <w:rFonts w:ascii="Arial Narrow" w:hAnsi="Arial Narrow" w:cs="Arial"/>
                <w:sz w:val="18"/>
                <w:szCs w:val="18"/>
              </w:rPr>
              <w:fldChar w:fldCharType="end"/>
            </w:r>
            <w:r w:rsidRPr="004F4D93">
              <w:rPr>
                <w:rFonts w:ascii="Arial Narrow" w:hAnsi="Arial Narrow" w:cs="Arial"/>
                <w:sz w:val="18"/>
                <w:szCs w:val="18"/>
              </w:rPr>
              <w:t>Optometrist</w:t>
            </w:r>
          </w:p>
        </w:tc>
      </w:tr>
      <w:tr w:rsidR="006F2C2F" w:rsidRPr="004F4D93" w14:paraId="7DDDC705" w14:textId="77777777" w:rsidTr="005A09EA">
        <w:tc>
          <w:tcPr>
            <w:tcW w:w="5000" w:type="pct"/>
            <w:tcBorders>
              <w:top w:val="single" w:sz="4" w:space="0" w:color="auto"/>
              <w:left w:val="single" w:sz="4" w:space="0" w:color="auto"/>
              <w:bottom w:val="single" w:sz="4" w:space="0" w:color="auto"/>
              <w:right w:val="single" w:sz="4" w:space="0" w:color="auto"/>
            </w:tcBorders>
          </w:tcPr>
          <w:p w14:paraId="2FB6D3D6" w14:textId="77777777" w:rsidR="006F2C2F" w:rsidRPr="004F4D93" w:rsidRDefault="006F2C2F" w:rsidP="00F33173">
            <w:pPr>
              <w:spacing w:after="0"/>
              <w:jc w:val="both"/>
              <w:rPr>
                <w:rFonts w:ascii="Arial Narrow" w:hAnsi="Arial Narrow" w:cs="Arial"/>
                <w:b/>
                <w:sz w:val="18"/>
                <w:szCs w:val="18"/>
              </w:rPr>
            </w:pPr>
            <w:r w:rsidRPr="004F4D93">
              <w:rPr>
                <w:rFonts w:ascii="Arial Narrow" w:hAnsi="Arial Narrow" w:cs="Arial"/>
                <w:b/>
                <w:sz w:val="18"/>
                <w:szCs w:val="18"/>
              </w:rPr>
              <w:t>Restriction Type:</w:t>
            </w:r>
          </w:p>
          <w:p w14:paraId="13E97297" w14:textId="77777777" w:rsidR="006F2C2F" w:rsidRPr="004F4D93" w:rsidRDefault="006F2C2F" w:rsidP="00F33173">
            <w:pPr>
              <w:spacing w:after="0"/>
              <w:jc w:val="both"/>
              <w:rPr>
                <w:rFonts w:ascii="Arial Narrow" w:eastAsia="Calibri" w:hAnsi="Arial Narrow" w:cs="Arial"/>
                <w:sz w:val="18"/>
                <w:szCs w:val="18"/>
              </w:rPr>
            </w:pPr>
            <w:r w:rsidRPr="00723D8D">
              <w:rPr>
                <w:rFonts w:ascii="Arial Narrow" w:eastAsia="Calibri" w:hAnsi="Arial Narrow" w:cs="Arial"/>
                <w:sz w:val="18"/>
                <w:szCs w:val="18"/>
              </w:rPr>
              <w:fldChar w:fldCharType="begin">
                <w:ffData>
                  <w:name w:val=""/>
                  <w:enabled/>
                  <w:calcOnExit w:val="0"/>
                  <w:checkBox>
                    <w:sizeAuto/>
                    <w:default w:val="1"/>
                  </w:checkBox>
                </w:ffData>
              </w:fldChar>
            </w:r>
            <w:r w:rsidRPr="004F4D93">
              <w:rPr>
                <w:rFonts w:ascii="Arial Narrow" w:eastAsia="Calibri" w:hAnsi="Arial Narrow" w:cs="Arial"/>
                <w:sz w:val="18"/>
                <w:szCs w:val="18"/>
              </w:rPr>
              <w:instrText xml:space="preserve"> FORMCHECKBOX </w:instrText>
            </w:r>
            <w:r w:rsidR="008A17B2">
              <w:rPr>
                <w:rFonts w:ascii="Arial Narrow" w:eastAsia="Calibri" w:hAnsi="Arial Narrow" w:cs="Arial"/>
                <w:sz w:val="18"/>
                <w:szCs w:val="18"/>
              </w:rPr>
            </w:r>
            <w:r w:rsidR="008A17B2">
              <w:rPr>
                <w:rFonts w:ascii="Arial Narrow" w:eastAsia="Calibri" w:hAnsi="Arial Narrow" w:cs="Arial"/>
                <w:sz w:val="18"/>
                <w:szCs w:val="18"/>
              </w:rPr>
              <w:fldChar w:fldCharType="separate"/>
            </w:r>
            <w:r w:rsidRPr="00723D8D">
              <w:rPr>
                <w:rFonts w:ascii="Arial Narrow" w:eastAsia="Calibri" w:hAnsi="Arial Narrow" w:cs="Arial"/>
                <w:sz w:val="18"/>
                <w:szCs w:val="18"/>
              </w:rPr>
              <w:fldChar w:fldCharType="end"/>
            </w:r>
            <w:r w:rsidRPr="004F4D93">
              <w:rPr>
                <w:rFonts w:ascii="Arial Narrow" w:eastAsia="Calibri" w:hAnsi="Arial Narrow" w:cs="Arial"/>
                <w:sz w:val="18"/>
                <w:szCs w:val="18"/>
              </w:rPr>
              <w:t>Restricted benefit</w:t>
            </w:r>
          </w:p>
        </w:tc>
      </w:tr>
      <w:tr w:rsidR="006F2C2F" w:rsidRPr="004F4D93" w14:paraId="00C6BA15" w14:textId="77777777" w:rsidTr="005A09EA">
        <w:tc>
          <w:tcPr>
            <w:tcW w:w="5000" w:type="pct"/>
            <w:vAlign w:val="center"/>
            <w:hideMark/>
          </w:tcPr>
          <w:p w14:paraId="4029058D" w14:textId="77777777" w:rsidR="006F2C2F" w:rsidRPr="004F4D93" w:rsidRDefault="006F2C2F" w:rsidP="00F33173">
            <w:pPr>
              <w:spacing w:after="0"/>
              <w:jc w:val="both"/>
              <w:rPr>
                <w:rFonts w:ascii="Arial Narrow" w:hAnsi="Arial Narrow"/>
                <w:color w:val="333333"/>
                <w:sz w:val="18"/>
                <w:szCs w:val="18"/>
              </w:rPr>
            </w:pPr>
            <w:r w:rsidRPr="004F4D93">
              <w:rPr>
                <w:rFonts w:ascii="Arial Narrow" w:hAnsi="Arial Narrow"/>
                <w:b/>
                <w:bCs/>
                <w:color w:val="333333"/>
                <w:sz w:val="18"/>
                <w:szCs w:val="18"/>
              </w:rPr>
              <w:t>Indication:</w:t>
            </w:r>
            <w:r w:rsidRPr="004F4D93">
              <w:rPr>
                <w:rFonts w:ascii="Arial Narrow" w:hAnsi="Arial Narrow"/>
                <w:color w:val="333333"/>
                <w:sz w:val="18"/>
                <w:szCs w:val="18"/>
              </w:rPr>
              <w:t xml:space="preserve"> Herpes Simplex Keratitis </w:t>
            </w:r>
          </w:p>
        </w:tc>
      </w:tr>
    </w:tbl>
    <w:p w14:paraId="62DD7285" w14:textId="77777777" w:rsidR="00D36DD3" w:rsidRPr="004F4D93" w:rsidRDefault="00D36DD3" w:rsidP="002C0AF6">
      <w:pPr>
        <w:pStyle w:val="2-SectionHeading"/>
        <w:jc w:val="both"/>
        <w:rPr>
          <w:rFonts w:cstheme="minorHAnsi"/>
          <w:b w:val="0"/>
        </w:rPr>
      </w:pPr>
      <w:r w:rsidRPr="004F4D93">
        <w:t>Comparator</w:t>
      </w:r>
      <w:r w:rsidRPr="004F4D93">
        <w:rPr>
          <w:rFonts w:cstheme="minorHAnsi"/>
        </w:rPr>
        <w:t xml:space="preserve"> </w:t>
      </w:r>
    </w:p>
    <w:p w14:paraId="647F4FAD" w14:textId="77777777" w:rsidR="008E405A" w:rsidRPr="004F4D93" w:rsidRDefault="008E405A" w:rsidP="002C0AF6">
      <w:pPr>
        <w:pStyle w:val="3Bodytext"/>
        <w:jc w:val="both"/>
      </w:pPr>
      <w:r w:rsidRPr="004F4D93">
        <w:t xml:space="preserve">The submission nominated AciVision as the main comparator as AciVision is the only PBS-listed </w:t>
      </w:r>
      <w:r w:rsidR="00B96F8F" w:rsidRPr="004F4D93">
        <w:t>brand</w:t>
      </w:r>
      <w:r w:rsidRPr="004F4D93">
        <w:t xml:space="preserve"> of aciclovir eye ointment</w:t>
      </w:r>
      <w:r w:rsidR="00D33CC6" w:rsidRPr="004F4D93">
        <w:t>,</w:t>
      </w:r>
      <w:r w:rsidRPr="004F4D93">
        <w:t xml:space="preserve"> but acknowledged that AciVision</w:t>
      </w:r>
      <w:r w:rsidR="00357C2B" w:rsidRPr="004F4D93">
        <w:t xml:space="preserve"> is</w:t>
      </w:r>
      <w:r w:rsidR="00B96F8F" w:rsidRPr="004F4D93">
        <w:t xml:space="preserve"> not </w:t>
      </w:r>
      <w:r w:rsidR="00AA023B" w:rsidRPr="004F4D93">
        <w:t>ARTG</w:t>
      </w:r>
      <w:r w:rsidR="00357C2B" w:rsidRPr="004F4D93">
        <w:t xml:space="preserve"> registered and</w:t>
      </w:r>
      <w:r w:rsidRPr="004F4D93">
        <w:t xml:space="preserve"> supplied as a Section 19A item. </w:t>
      </w:r>
      <w:r w:rsidR="00E401AD" w:rsidRPr="004F4D93">
        <w:t>The PBAC considered t</w:t>
      </w:r>
      <w:r w:rsidR="00D33CC6" w:rsidRPr="004F4D93">
        <w:t>his was appropriate.</w:t>
      </w:r>
      <w:r w:rsidR="00D33CC6" w:rsidRPr="004F4D93">
        <w:rPr>
          <w:i/>
        </w:rPr>
        <w:t xml:space="preserve"> </w:t>
      </w:r>
    </w:p>
    <w:p w14:paraId="032092B7" w14:textId="77777777" w:rsidR="00C95244" w:rsidRPr="004F4D93" w:rsidRDefault="00741EBF" w:rsidP="004C1E45">
      <w:pPr>
        <w:pStyle w:val="3Bodytext"/>
        <w:jc w:val="both"/>
      </w:pPr>
      <w:r w:rsidRPr="004F4D93">
        <w:t xml:space="preserve">The </w:t>
      </w:r>
      <w:r w:rsidR="00B96F8F" w:rsidRPr="004F4D93">
        <w:t xml:space="preserve">submission </w:t>
      </w:r>
      <w:r w:rsidR="003B643E" w:rsidRPr="004F4D93">
        <w:t xml:space="preserve">nominated Zovirax as an alternative comparator. </w:t>
      </w:r>
    </w:p>
    <w:p w14:paraId="13A93B6B" w14:textId="77777777" w:rsidR="004F4976" w:rsidRPr="004F4D93" w:rsidRDefault="004F4976" w:rsidP="004F4976">
      <w:pPr>
        <w:pStyle w:val="3Bodytext"/>
        <w:jc w:val="both"/>
      </w:pPr>
      <w:r w:rsidRPr="004F4D93">
        <w:t>The PBAC could only recommend listing aciclovir (Xorox) at a higher price than the alternative therapy or therapies if it is satisfied that it provides, for some patients, a significant improvement in efficacy or reduction of toxicity over the alternative therapy or therapies (</w:t>
      </w:r>
      <w:r w:rsidR="00AE5C0F" w:rsidRPr="004F4D93">
        <w:t>the Act</w:t>
      </w:r>
      <w:r w:rsidRPr="004F4D93">
        <w:t xml:space="preserve">, Section 101(3B)). </w:t>
      </w:r>
      <w:r w:rsidR="00825660" w:rsidRPr="004F4D93">
        <w:t>The PBAC considered that t</w:t>
      </w:r>
      <w:r w:rsidRPr="004F4D93">
        <w:t xml:space="preserve">he </w:t>
      </w:r>
      <w:r w:rsidR="00F45D9E">
        <w:t>alternative therapy</w:t>
      </w:r>
      <w:r w:rsidRPr="004F4D93">
        <w:t xml:space="preserve"> in this case </w:t>
      </w:r>
      <w:r w:rsidR="00F45D9E">
        <w:t xml:space="preserve">is </w:t>
      </w:r>
      <w:r w:rsidRPr="004F4D93">
        <w:t>the current</w:t>
      </w:r>
      <w:r w:rsidR="00825660" w:rsidRPr="004F4D93">
        <w:t>ly</w:t>
      </w:r>
      <w:r w:rsidRPr="004F4D93">
        <w:t xml:space="preserve"> list</w:t>
      </w:r>
      <w:r w:rsidR="00825660" w:rsidRPr="004F4D93">
        <w:t xml:space="preserve">ed </w:t>
      </w:r>
      <w:r w:rsidR="00730403">
        <w:t>S19A product</w:t>
      </w:r>
      <w:r w:rsidR="008176F4">
        <w:t>,</w:t>
      </w:r>
      <w:r w:rsidR="00730403">
        <w:t xml:space="preserve"> </w:t>
      </w:r>
      <w:r w:rsidR="00825660" w:rsidRPr="004F4D93">
        <w:t>AciVision</w:t>
      </w:r>
      <w:r w:rsidRPr="004F4D93">
        <w:t>.</w:t>
      </w:r>
      <w:r w:rsidR="00825660" w:rsidRPr="004F4D93">
        <w:t xml:space="preserve"> The PBAC considered that</w:t>
      </w:r>
      <w:r w:rsidRPr="004F4D93">
        <w:t xml:space="preserve"> </w:t>
      </w:r>
      <w:r w:rsidR="00825660" w:rsidRPr="004F4D93">
        <w:t xml:space="preserve">given </w:t>
      </w:r>
      <w:r w:rsidRPr="004F4D93">
        <w:t xml:space="preserve">there are no data to establish superiority over AciVision, there is no justification for the price of Xorox to be higher than </w:t>
      </w:r>
      <w:r w:rsidR="004C6549" w:rsidRPr="004F4D93">
        <w:t xml:space="preserve">the price of </w:t>
      </w:r>
      <w:r w:rsidR="00F45D9E">
        <w:t>AciVision.</w:t>
      </w:r>
    </w:p>
    <w:p w14:paraId="5E592F8B" w14:textId="77777777" w:rsidR="007B2874" w:rsidRPr="004F4D93" w:rsidRDefault="007B2874" w:rsidP="004F4976">
      <w:pPr>
        <w:pStyle w:val="3Bodytext"/>
        <w:jc w:val="both"/>
      </w:pPr>
      <w:r w:rsidRPr="004F4D93">
        <w:t>The submission considered that Xorox could also be considered equivalent to AciVision</w:t>
      </w:r>
      <w:r w:rsidR="00C33B20" w:rsidRPr="004F4D93">
        <w:t>,</w:t>
      </w:r>
      <w:r w:rsidRPr="004F4D93">
        <w:t xml:space="preserve"> as AciVision comprises the same active ingredient, strength and formulation as Zovirax</w:t>
      </w:r>
      <w:r w:rsidR="00C33B20" w:rsidRPr="004F4D93">
        <w:t>,</w:t>
      </w:r>
      <w:r w:rsidRPr="004F4D93">
        <w:t xml:space="preserve"> and Xorox has been determined to be bioequivalent to Zovirax. </w:t>
      </w:r>
    </w:p>
    <w:p w14:paraId="1E81D6C4" w14:textId="77777777" w:rsidR="008176F4" w:rsidRPr="008176F4" w:rsidRDefault="00E159C2" w:rsidP="008176F4">
      <w:pPr>
        <w:rPr>
          <w:rFonts w:asciiTheme="minorHAnsi" w:hAnsiTheme="minorHAnsi" w:cstheme="minorHAnsi"/>
          <w:i/>
        </w:rPr>
      </w:pPr>
      <w:r w:rsidRPr="004F4D93">
        <w:rPr>
          <w:rFonts w:asciiTheme="minorHAnsi" w:hAnsiTheme="minorHAnsi" w:cstheme="minorHAnsi"/>
          <w:i/>
        </w:rPr>
        <w:t xml:space="preserve">For more detail on the PBAC’s view, see section </w:t>
      </w:r>
      <w:r w:rsidR="00825660" w:rsidRPr="004F4D93">
        <w:rPr>
          <w:rFonts w:asciiTheme="minorHAnsi" w:hAnsiTheme="minorHAnsi" w:cstheme="minorHAnsi"/>
          <w:i/>
        </w:rPr>
        <w:t>6</w:t>
      </w:r>
      <w:r w:rsidRPr="004F4D93">
        <w:rPr>
          <w:rFonts w:asciiTheme="minorHAnsi" w:hAnsiTheme="minorHAnsi" w:cstheme="minorHAnsi"/>
          <w:i/>
        </w:rPr>
        <w:t xml:space="preserve"> PBAC outcome.</w:t>
      </w:r>
    </w:p>
    <w:p w14:paraId="7618ECED" w14:textId="77777777" w:rsidR="00653FB8" w:rsidRPr="004F4D93" w:rsidRDefault="00D33CC6" w:rsidP="00855D5F">
      <w:pPr>
        <w:pStyle w:val="2-SectionHeading"/>
        <w:rPr>
          <w:i/>
          <w:sz w:val="28"/>
        </w:rPr>
      </w:pPr>
      <w:r w:rsidRPr="004F4D93">
        <w:t>Consideration of the evidence</w:t>
      </w:r>
    </w:p>
    <w:p w14:paraId="35462421" w14:textId="77777777" w:rsidR="001858BD" w:rsidRPr="004F4D93" w:rsidRDefault="001858BD" w:rsidP="00142A83">
      <w:pPr>
        <w:pStyle w:val="3Bodytext"/>
        <w:jc w:val="both"/>
      </w:pPr>
      <w:r w:rsidRPr="004F4D93">
        <w:t>The submission proposed a higher approved ex-manufacturer price (AEMP) of $</w:t>
      </w:r>
      <w:r w:rsidR="00F04337">
        <w:rPr>
          <w:noProof/>
          <w:color w:val="000000"/>
          <w:highlight w:val="black"/>
        </w:rPr>
        <w:t>''''''''''''</w:t>
      </w:r>
      <w:r w:rsidRPr="004F4D93">
        <w:t xml:space="preserve"> compared with the current AciVision AEMP of $49.50. The submission indicated that the requested price is on the basis of securing ongoing supply of a</w:t>
      </w:r>
      <w:r w:rsidR="00D85985" w:rsidRPr="004F4D93">
        <w:t>n ARTG</w:t>
      </w:r>
      <w:r w:rsidRPr="004F4D93">
        <w:t xml:space="preserve"> registered medicine to provide a critical treatment in a low volume, mature market.</w:t>
      </w:r>
      <w:r w:rsidRPr="004F4D93">
        <w:rPr>
          <w:i/>
        </w:rPr>
        <w:t xml:space="preserve"> </w:t>
      </w:r>
      <w:r w:rsidRPr="004F4D93">
        <w:t>The proposed AEMP of $</w:t>
      </w:r>
      <w:r w:rsidR="00F04337">
        <w:rPr>
          <w:noProof/>
          <w:color w:val="000000"/>
          <w:highlight w:val="black"/>
        </w:rPr>
        <w:t>''''''''''</w:t>
      </w:r>
      <w:r w:rsidRPr="004F4D93">
        <w:t xml:space="preserve"> represents an increase of </w:t>
      </w:r>
      <w:r w:rsidR="00F04337">
        <w:rPr>
          <w:noProof/>
          <w:color w:val="000000"/>
          <w:highlight w:val="black"/>
        </w:rPr>
        <w:t>''''''''''''</w:t>
      </w:r>
      <w:r w:rsidRPr="004F4D93">
        <w:t xml:space="preserve">% from the AEMP of Zovirax ($25.10) when it was PBS-listed, and an increase of </w:t>
      </w:r>
      <w:r w:rsidR="00F04337">
        <w:rPr>
          <w:noProof/>
          <w:color w:val="000000"/>
          <w:highlight w:val="black"/>
        </w:rPr>
        <w:t>'''''</w:t>
      </w:r>
      <w:r w:rsidRPr="004F4D93">
        <w:t>% from the current AEMP of AciVision.</w:t>
      </w:r>
      <w:r w:rsidRPr="004F4D93">
        <w:rPr>
          <w:i/>
        </w:rPr>
        <w:t xml:space="preserve"> </w:t>
      </w:r>
      <w:r w:rsidRPr="004F4D93">
        <w:t xml:space="preserve">The pre-PBAC Response indicated that significant costs have been incurred by </w:t>
      </w:r>
      <w:r w:rsidR="00AC0233" w:rsidRPr="004F4D93">
        <w:t>Agepha Pharma, the company which holds the ARTG registration for Xorox,</w:t>
      </w:r>
      <w:r w:rsidRPr="004F4D93">
        <w:t xml:space="preserve"> in setting up the required framework to be able to sell in Australia including costs associated with TGA registration and PBAC submission. The pre-PBAC Response noted that given </w:t>
      </w:r>
      <w:r w:rsidR="00AC0233" w:rsidRPr="004F4D93">
        <w:t>Agepha Pharma</w:t>
      </w:r>
      <w:r w:rsidRPr="004F4D93">
        <w:t xml:space="preserve"> is a small company with </w:t>
      </w:r>
      <w:r w:rsidR="00F04337">
        <w:rPr>
          <w:noProof/>
          <w:color w:val="000000"/>
          <w:highlight w:val="black"/>
        </w:rPr>
        <w:t xml:space="preserve">''' ''''''''''' '''''''''''''''' '''' '''''' ''''''''''''''''' ''''''''''''''' '''' ''''''''''''''''''''''' '''''''''' ''''' ''''''' ''''''''''''''''''''' ''''''''''''''' ''''''''' '''' ''''' ''''''''''''''''' '''''''''' ''''''' '''''''''''' '''''' ''''''''''''''' '''''''''''''''' '''' '''''''''' ''''' '''''''''' ''' ''''''''''''''''''''''' ''''''''''''' '''' ''''''''''' '''''''''''' </w:t>
      </w:r>
    </w:p>
    <w:p w14:paraId="5EE4CC58" w14:textId="77777777" w:rsidR="00680DE4" w:rsidRPr="004F4D93" w:rsidRDefault="00680DE4" w:rsidP="00C06AB0">
      <w:pPr>
        <w:pStyle w:val="4-SubsectionHeading"/>
      </w:pPr>
      <w:r w:rsidRPr="004F4D93">
        <w:t>Sponsor hearing</w:t>
      </w:r>
    </w:p>
    <w:p w14:paraId="0A803B51" w14:textId="77777777" w:rsidR="00680DE4" w:rsidRPr="004F4D93" w:rsidRDefault="00680DE4" w:rsidP="00825660">
      <w:pPr>
        <w:pStyle w:val="3Bodytext"/>
        <w:rPr>
          <w:snapToGrid w:val="0"/>
        </w:rPr>
      </w:pPr>
      <w:r w:rsidRPr="004F4D93">
        <w:rPr>
          <w:snapToGrid w:val="0"/>
        </w:rPr>
        <w:t>Ther</w:t>
      </w:r>
      <w:r w:rsidR="00BA0B86" w:rsidRPr="004F4D93">
        <w:rPr>
          <w:snapToGrid w:val="0"/>
        </w:rPr>
        <w:t>e was no hearing for this item</w:t>
      </w:r>
      <w:r w:rsidR="00194F9F" w:rsidRPr="004F4D93">
        <w:rPr>
          <w:snapToGrid w:val="0"/>
        </w:rPr>
        <w:t xml:space="preserve"> as it was a minor submission</w:t>
      </w:r>
      <w:r w:rsidR="00BA0B86" w:rsidRPr="004F4D93">
        <w:rPr>
          <w:snapToGrid w:val="0"/>
        </w:rPr>
        <w:t>.</w:t>
      </w:r>
    </w:p>
    <w:p w14:paraId="747042C0" w14:textId="77777777" w:rsidR="00680DE4" w:rsidRPr="004F4D93" w:rsidRDefault="00680DE4" w:rsidP="00C06AB0">
      <w:pPr>
        <w:pStyle w:val="4-SubsectionHeading"/>
      </w:pPr>
      <w:r w:rsidRPr="004F4D93">
        <w:t>Consumer comments</w:t>
      </w:r>
    </w:p>
    <w:p w14:paraId="11BDC606" w14:textId="77777777" w:rsidR="00280304" w:rsidRPr="004F4D93" w:rsidRDefault="00680DE4" w:rsidP="00E74514">
      <w:pPr>
        <w:pStyle w:val="3Bodytext"/>
        <w:jc w:val="both"/>
      </w:pPr>
      <w:r w:rsidRPr="004F4D93">
        <w:rPr>
          <w:rFonts w:cs="Arial"/>
          <w:bCs/>
          <w:snapToGrid w:val="0"/>
        </w:rPr>
        <w:t xml:space="preserve">The PBAC noted and welcomed the input from </w:t>
      </w:r>
      <w:r w:rsidR="001A6234" w:rsidRPr="004F4D93">
        <w:rPr>
          <w:rFonts w:cs="Arial"/>
          <w:bCs/>
          <w:snapToGrid w:val="0"/>
        </w:rPr>
        <w:t>one individual</w:t>
      </w:r>
      <w:r w:rsidRPr="004F4D93">
        <w:rPr>
          <w:rFonts w:cs="Arial"/>
          <w:bCs/>
          <w:snapToGrid w:val="0"/>
        </w:rPr>
        <w:t xml:space="preserve"> via the Consumer Comments facility on the PBS website</w:t>
      </w:r>
      <w:r w:rsidR="004F4D93">
        <w:rPr>
          <w:rFonts w:cs="Arial"/>
          <w:bCs/>
          <w:snapToGrid w:val="0"/>
        </w:rPr>
        <w:t xml:space="preserve">. </w:t>
      </w:r>
      <w:r w:rsidRPr="004F4D93">
        <w:rPr>
          <w:rFonts w:cs="Arial"/>
          <w:bCs/>
          <w:snapToGrid w:val="0"/>
        </w:rPr>
        <w:t xml:space="preserve">The </w:t>
      </w:r>
      <w:r w:rsidR="00314782" w:rsidRPr="004F4D93">
        <w:rPr>
          <w:rFonts w:cs="Arial"/>
          <w:bCs/>
          <w:snapToGrid w:val="0"/>
        </w:rPr>
        <w:t xml:space="preserve">comment </w:t>
      </w:r>
      <w:r w:rsidR="00F26DE3" w:rsidRPr="004F4D93">
        <w:rPr>
          <w:rFonts w:cs="Arial"/>
          <w:bCs/>
          <w:snapToGrid w:val="0"/>
        </w:rPr>
        <w:t>described</w:t>
      </w:r>
      <w:r w:rsidR="00314782" w:rsidRPr="004F4D93">
        <w:rPr>
          <w:rFonts w:cs="Arial"/>
          <w:bCs/>
          <w:snapToGrid w:val="0"/>
        </w:rPr>
        <w:t xml:space="preserve"> the </w:t>
      </w:r>
      <w:r w:rsidR="00F26DE3" w:rsidRPr="004F4D93">
        <w:rPr>
          <w:rFonts w:cs="Arial"/>
          <w:bCs/>
          <w:snapToGrid w:val="0"/>
        </w:rPr>
        <w:t xml:space="preserve">impact of HSK on a patient’s </w:t>
      </w:r>
      <w:r w:rsidR="00314782" w:rsidRPr="004F4D93">
        <w:rPr>
          <w:rFonts w:cs="Arial"/>
          <w:bCs/>
          <w:snapToGrid w:val="0"/>
        </w:rPr>
        <w:t>quality of life.</w:t>
      </w:r>
      <w:r w:rsidRPr="004F4D93">
        <w:rPr>
          <w:rFonts w:cs="Arial"/>
          <w:bCs/>
          <w:snapToGrid w:val="0"/>
        </w:rPr>
        <w:t xml:space="preserve"> </w:t>
      </w:r>
    </w:p>
    <w:p w14:paraId="38629AD6" w14:textId="77777777" w:rsidR="009B2E0E" w:rsidRPr="004F4D93" w:rsidRDefault="009B2E0E" w:rsidP="00677AD7">
      <w:pPr>
        <w:pStyle w:val="4-SubsectionHeading"/>
      </w:pPr>
      <w:r w:rsidRPr="004F4D93">
        <w:t>Estimated PBS usage &amp; financial implications</w:t>
      </w:r>
    </w:p>
    <w:p w14:paraId="39DAE899" w14:textId="77777777" w:rsidR="00AE738B" w:rsidRPr="004F4D93" w:rsidRDefault="00AE738B" w:rsidP="00A44B06">
      <w:pPr>
        <w:pStyle w:val="3Bodytext"/>
      </w:pPr>
      <w:r w:rsidRPr="004F4D93">
        <w:t xml:space="preserve">The submission estimated a net cost to the PBS of </w:t>
      </w:r>
      <w:r w:rsidR="00A44B06" w:rsidRPr="005A09EA">
        <w:t>$0 to &lt; $10 million</w:t>
      </w:r>
      <w:r w:rsidR="00B73E43" w:rsidRPr="004F4D93">
        <w:t xml:space="preserve"> in Year 6 of listing, with a total net cost to the PBS of </w:t>
      </w:r>
      <w:r w:rsidR="00A44B06" w:rsidRPr="005A09EA">
        <w:t>$0 to &lt; $10 million</w:t>
      </w:r>
      <w:r w:rsidR="005906C8" w:rsidRPr="004F4D93">
        <w:t xml:space="preserve"> </w:t>
      </w:r>
      <w:r w:rsidR="00B73E43" w:rsidRPr="004F4D93">
        <w:t xml:space="preserve">over the first 6 years of listing. This is summarised in Table 1 below. </w:t>
      </w:r>
    </w:p>
    <w:p w14:paraId="1E19FBCB" w14:textId="77777777" w:rsidR="00312F57" w:rsidRPr="004F4D93" w:rsidRDefault="00312F57" w:rsidP="002C0AF6">
      <w:pPr>
        <w:pStyle w:val="3Bodytext"/>
        <w:jc w:val="both"/>
      </w:pPr>
      <w:r w:rsidRPr="004F4D93">
        <w:t xml:space="preserve">The submission used a market-share approach to </w:t>
      </w:r>
      <w:r w:rsidR="00B05FEA" w:rsidRPr="004F4D93">
        <w:t>estimate</w:t>
      </w:r>
      <w:r w:rsidR="00AE738B" w:rsidRPr="004F4D93">
        <w:t xml:space="preserve"> a 100% market share</w:t>
      </w:r>
      <w:r w:rsidR="00B05FEA" w:rsidRPr="004F4D93">
        <w:t>,</w:t>
      </w:r>
      <w:r w:rsidR="00AE738B" w:rsidRPr="004F4D93">
        <w:t xml:space="preserve"> with the assumption that S</w:t>
      </w:r>
      <w:r w:rsidR="004C6549" w:rsidRPr="004F4D93">
        <w:t xml:space="preserve">ection </w:t>
      </w:r>
      <w:r w:rsidR="00AE738B" w:rsidRPr="004F4D93">
        <w:t>19A would be revoked for AciVision when Xorox is listed</w:t>
      </w:r>
      <w:r w:rsidRPr="004F4D93">
        <w:t>.</w:t>
      </w:r>
      <w:r w:rsidR="00253906" w:rsidRPr="004F4D93">
        <w:t xml:space="preserve"> </w:t>
      </w:r>
    </w:p>
    <w:p w14:paraId="65DD55CA" w14:textId="77777777" w:rsidR="00F8020C" w:rsidRPr="004F4D93" w:rsidRDefault="00F8020C" w:rsidP="00A44B06">
      <w:pPr>
        <w:pStyle w:val="3Bodytext"/>
      </w:pPr>
      <w:r w:rsidRPr="004F4D93">
        <w:t xml:space="preserve">The submission noted that the market size has likely been impacted by years of supply challenges, and considered that additional growth beyond a return to </w:t>
      </w:r>
      <w:r w:rsidR="00F927CD" w:rsidRPr="004F4D93">
        <w:t>that prior to the Zovirax supply disruptions</w:t>
      </w:r>
      <w:r w:rsidR="007D2BA8" w:rsidRPr="004F4D93">
        <w:t xml:space="preserve"> </w:t>
      </w:r>
      <w:r w:rsidRPr="004F4D93">
        <w:t xml:space="preserve">is not expected. </w:t>
      </w:r>
      <w:r w:rsidR="00726275" w:rsidRPr="004F4D93">
        <w:t xml:space="preserve">The submission </w:t>
      </w:r>
      <w:r w:rsidR="00D1651A" w:rsidRPr="004F4D93">
        <w:t>applie</w:t>
      </w:r>
      <w:r w:rsidR="007D2BA8" w:rsidRPr="004F4D93">
        <w:t>d</w:t>
      </w:r>
      <w:r w:rsidR="00D1651A" w:rsidRPr="004F4D93">
        <w:t xml:space="preserve"> an annual growth rate of </w:t>
      </w:r>
      <w:r w:rsidR="00F04337">
        <w:rPr>
          <w:noProof/>
          <w:color w:val="000000"/>
          <w:highlight w:val="black"/>
        </w:rPr>
        <w:t>''''''</w:t>
      </w:r>
      <w:r w:rsidR="00D1651A" w:rsidRPr="004F4D93">
        <w:t>%</w:t>
      </w:r>
      <w:r w:rsidR="007D2BA8" w:rsidRPr="004F4D93">
        <w:t xml:space="preserve"> for the first six years of listing which results in </w:t>
      </w:r>
      <w:r w:rsidR="00A44B06" w:rsidRPr="00A44B06">
        <w:t>20,000 to &lt; 30,000</w:t>
      </w:r>
      <w:r w:rsidR="00A44B06">
        <w:t xml:space="preserve"> </w:t>
      </w:r>
      <w:r w:rsidR="007D2BA8" w:rsidRPr="004F4D93">
        <w:t>PBS services by 2026</w:t>
      </w:r>
      <w:r w:rsidR="007D2BA8" w:rsidRPr="004F4D93">
        <w:rPr>
          <w:i/>
        </w:rPr>
        <w:t xml:space="preserve">. </w:t>
      </w:r>
      <w:r w:rsidR="007D2BA8" w:rsidRPr="004F4D93">
        <w:t xml:space="preserve">The sponsor considered this represents a gradual return of the market to its approximate size prior to Zovirax supply disruptions noting that average PBS services for the three years prior to supply disruption (2011/12, 2012/13, 2013/14) </w:t>
      </w:r>
      <w:r w:rsidR="00C33B20" w:rsidRPr="004F4D93">
        <w:t xml:space="preserve">was </w:t>
      </w:r>
      <w:r w:rsidR="007D2BA8" w:rsidRPr="004F4D93">
        <w:t>29,600</w:t>
      </w:r>
      <w:r w:rsidR="004F4D93">
        <w:t xml:space="preserve">. </w:t>
      </w:r>
    </w:p>
    <w:p w14:paraId="77310550" w14:textId="77777777" w:rsidR="005A799B" w:rsidRPr="004F4D93" w:rsidRDefault="005A799B" w:rsidP="00142A83">
      <w:pPr>
        <w:keepNext/>
        <w:keepLines/>
        <w:spacing w:after="0"/>
        <w:rPr>
          <w:sz w:val="20"/>
          <w:szCs w:val="22"/>
        </w:rPr>
      </w:pPr>
      <w:r w:rsidRPr="004F4D93">
        <w:rPr>
          <w:rStyle w:val="CommentReference"/>
          <w:rFonts w:ascii="Arial Narrow" w:hAnsi="Arial Narrow"/>
          <w:b/>
          <w:sz w:val="20"/>
          <w:szCs w:val="22"/>
        </w:rPr>
        <w:t>Table</w:t>
      </w:r>
      <w:r w:rsidRPr="004F4D93">
        <w:rPr>
          <w:rFonts w:ascii="Arial Narrow" w:eastAsiaTheme="majorEastAsia" w:hAnsi="Arial Narrow"/>
          <w:b/>
          <w:sz w:val="20"/>
          <w:szCs w:val="22"/>
        </w:rPr>
        <w:t xml:space="preserve"> 1: </w:t>
      </w:r>
      <w:r w:rsidRPr="004F4D93">
        <w:rPr>
          <w:rStyle w:val="CommentReference"/>
          <w:rFonts w:ascii="Arial Narrow" w:hAnsi="Arial Narrow"/>
          <w:b/>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5"/>
        <w:gridCol w:w="1167"/>
        <w:gridCol w:w="1167"/>
        <w:gridCol w:w="1167"/>
        <w:gridCol w:w="1167"/>
        <w:gridCol w:w="1168"/>
      </w:tblGrid>
      <w:tr w:rsidR="005A799B" w:rsidRPr="004F4D93" w14:paraId="25B38AD6" w14:textId="77777777" w:rsidTr="00991063">
        <w:trPr>
          <w:trHeight w:val="247"/>
          <w:tblHeader/>
        </w:trPr>
        <w:tc>
          <w:tcPr>
            <w:tcW w:w="1118" w:type="pct"/>
            <w:shd w:val="clear" w:color="auto" w:fill="auto"/>
            <w:vAlign w:val="center"/>
          </w:tcPr>
          <w:p w14:paraId="2EA5D396" w14:textId="77777777" w:rsidR="005A799B" w:rsidRPr="004F4D93" w:rsidRDefault="005A799B" w:rsidP="00142A83">
            <w:pPr>
              <w:pStyle w:val="TableText"/>
              <w:keepLines/>
              <w:jc w:val="both"/>
            </w:pPr>
          </w:p>
        </w:tc>
        <w:tc>
          <w:tcPr>
            <w:tcW w:w="646" w:type="pct"/>
            <w:shd w:val="clear" w:color="auto" w:fill="auto"/>
            <w:vAlign w:val="center"/>
          </w:tcPr>
          <w:p w14:paraId="2AB2EF58" w14:textId="77777777" w:rsidR="005A799B" w:rsidRPr="004F4D93" w:rsidRDefault="005A799B" w:rsidP="00142A83">
            <w:pPr>
              <w:pStyle w:val="TableText"/>
              <w:keepLines/>
              <w:jc w:val="both"/>
              <w:rPr>
                <w:b/>
              </w:rPr>
            </w:pPr>
            <w:r w:rsidRPr="004F4D93">
              <w:rPr>
                <w:b/>
              </w:rPr>
              <w:t>Year 1</w:t>
            </w:r>
          </w:p>
        </w:tc>
        <w:tc>
          <w:tcPr>
            <w:tcW w:w="647" w:type="pct"/>
            <w:shd w:val="clear" w:color="auto" w:fill="auto"/>
            <w:vAlign w:val="center"/>
          </w:tcPr>
          <w:p w14:paraId="2D94D23F" w14:textId="77777777" w:rsidR="005A799B" w:rsidRPr="004F4D93" w:rsidRDefault="005A799B" w:rsidP="00142A83">
            <w:pPr>
              <w:pStyle w:val="TableText"/>
              <w:keepLines/>
              <w:jc w:val="both"/>
              <w:rPr>
                <w:b/>
              </w:rPr>
            </w:pPr>
            <w:r w:rsidRPr="004F4D93">
              <w:rPr>
                <w:b/>
              </w:rPr>
              <w:t>Year 2</w:t>
            </w:r>
          </w:p>
        </w:tc>
        <w:tc>
          <w:tcPr>
            <w:tcW w:w="647" w:type="pct"/>
            <w:shd w:val="clear" w:color="auto" w:fill="auto"/>
            <w:vAlign w:val="center"/>
          </w:tcPr>
          <w:p w14:paraId="4152751B" w14:textId="77777777" w:rsidR="005A799B" w:rsidRPr="004F4D93" w:rsidRDefault="005A799B" w:rsidP="00142A83">
            <w:pPr>
              <w:pStyle w:val="TableText"/>
              <w:keepLines/>
              <w:jc w:val="both"/>
              <w:rPr>
                <w:b/>
              </w:rPr>
            </w:pPr>
            <w:r w:rsidRPr="004F4D93">
              <w:rPr>
                <w:b/>
              </w:rPr>
              <w:t>Year 3</w:t>
            </w:r>
          </w:p>
        </w:tc>
        <w:tc>
          <w:tcPr>
            <w:tcW w:w="647" w:type="pct"/>
            <w:shd w:val="clear" w:color="auto" w:fill="auto"/>
            <w:vAlign w:val="center"/>
          </w:tcPr>
          <w:p w14:paraId="13636BD2" w14:textId="77777777" w:rsidR="005A799B" w:rsidRPr="004F4D93" w:rsidRDefault="005A799B" w:rsidP="00142A83">
            <w:pPr>
              <w:pStyle w:val="TableText"/>
              <w:keepLines/>
              <w:jc w:val="both"/>
              <w:rPr>
                <w:b/>
              </w:rPr>
            </w:pPr>
            <w:r w:rsidRPr="004F4D93">
              <w:rPr>
                <w:b/>
              </w:rPr>
              <w:t>Year 4</w:t>
            </w:r>
          </w:p>
        </w:tc>
        <w:tc>
          <w:tcPr>
            <w:tcW w:w="647" w:type="pct"/>
            <w:shd w:val="clear" w:color="auto" w:fill="auto"/>
            <w:vAlign w:val="center"/>
          </w:tcPr>
          <w:p w14:paraId="682C170D" w14:textId="77777777" w:rsidR="005A799B" w:rsidRPr="004F4D93" w:rsidRDefault="005A799B" w:rsidP="00142A83">
            <w:pPr>
              <w:pStyle w:val="TableText"/>
              <w:keepLines/>
              <w:jc w:val="both"/>
              <w:rPr>
                <w:b/>
              </w:rPr>
            </w:pPr>
            <w:r w:rsidRPr="004F4D93">
              <w:rPr>
                <w:b/>
              </w:rPr>
              <w:t>Year 5</w:t>
            </w:r>
          </w:p>
        </w:tc>
        <w:tc>
          <w:tcPr>
            <w:tcW w:w="648" w:type="pct"/>
          </w:tcPr>
          <w:p w14:paraId="7E7D3DA9" w14:textId="77777777" w:rsidR="005A799B" w:rsidRPr="004F4D93" w:rsidRDefault="005A799B" w:rsidP="00142A83">
            <w:pPr>
              <w:pStyle w:val="TableText"/>
              <w:keepLines/>
              <w:jc w:val="both"/>
              <w:rPr>
                <w:b/>
              </w:rPr>
            </w:pPr>
            <w:r w:rsidRPr="004F4D93">
              <w:rPr>
                <w:b/>
              </w:rPr>
              <w:t>Year 6</w:t>
            </w:r>
          </w:p>
        </w:tc>
      </w:tr>
      <w:tr w:rsidR="005A799B" w:rsidRPr="004F4D93" w14:paraId="3E2ACD1A" w14:textId="77777777" w:rsidTr="00991063">
        <w:trPr>
          <w:trHeight w:val="247"/>
        </w:trPr>
        <w:tc>
          <w:tcPr>
            <w:tcW w:w="5000" w:type="pct"/>
            <w:gridSpan w:val="7"/>
            <w:shd w:val="clear" w:color="auto" w:fill="auto"/>
            <w:vAlign w:val="center"/>
          </w:tcPr>
          <w:p w14:paraId="73E1F2C1" w14:textId="77777777" w:rsidR="005A799B" w:rsidRPr="004F4D93" w:rsidRDefault="005A799B" w:rsidP="002C0AF6">
            <w:pPr>
              <w:pStyle w:val="TableText"/>
              <w:jc w:val="both"/>
              <w:rPr>
                <w:b/>
                <w:color w:val="000000"/>
              </w:rPr>
            </w:pPr>
            <w:r w:rsidRPr="004F4D93">
              <w:rPr>
                <w:b/>
                <w:color w:val="000000"/>
              </w:rPr>
              <w:t>Estimated extent of use</w:t>
            </w:r>
          </w:p>
        </w:tc>
      </w:tr>
      <w:tr w:rsidR="005A799B" w:rsidRPr="004F4D93" w14:paraId="369CE620" w14:textId="77777777" w:rsidTr="00991063">
        <w:trPr>
          <w:trHeight w:val="494"/>
        </w:trPr>
        <w:tc>
          <w:tcPr>
            <w:tcW w:w="1118" w:type="pct"/>
            <w:shd w:val="clear" w:color="auto" w:fill="auto"/>
            <w:vAlign w:val="center"/>
          </w:tcPr>
          <w:p w14:paraId="0B0B2302" w14:textId="77777777" w:rsidR="005A799B" w:rsidRPr="004F4D93" w:rsidRDefault="005A799B" w:rsidP="008D1DF3">
            <w:pPr>
              <w:pStyle w:val="TableText"/>
            </w:pPr>
            <w:r w:rsidRPr="004F4D93">
              <w:t>Number of scripts dispensed</w:t>
            </w:r>
            <w:r w:rsidRPr="004F4D93">
              <w:rPr>
                <w:vertAlign w:val="superscript"/>
              </w:rPr>
              <w:t>a</w:t>
            </w:r>
          </w:p>
        </w:tc>
        <w:tc>
          <w:tcPr>
            <w:tcW w:w="646" w:type="pct"/>
            <w:shd w:val="clear" w:color="auto" w:fill="auto"/>
            <w:vAlign w:val="center"/>
          </w:tcPr>
          <w:p w14:paraId="454ABEEB" w14:textId="77777777" w:rsidR="005A799B" w:rsidRPr="00F04337" w:rsidRDefault="00F04337" w:rsidP="008D52A0">
            <w:pPr>
              <w:pStyle w:val="TableText"/>
              <w:jc w:val="center"/>
              <w:rPr>
                <w:color w:val="000000"/>
                <w:vertAlign w:val="superscript"/>
              </w:rPr>
            </w:pPr>
            <w:r>
              <w:rPr>
                <w:noProof/>
                <w:color w:val="000000"/>
                <w:highlight w:val="black"/>
              </w:rPr>
              <w:t>'''''''''''''''''</w:t>
            </w:r>
            <w:r w:rsidR="00E17977" w:rsidRPr="00F04337">
              <w:rPr>
                <w:color w:val="000000"/>
                <w:vertAlign w:val="superscript"/>
              </w:rPr>
              <w:t>1</w:t>
            </w:r>
          </w:p>
        </w:tc>
        <w:tc>
          <w:tcPr>
            <w:tcW w:w="647" w:type="pct"/>
            <w:shd w:val="clear" w:color="auto" w:fill="auto"/>
            <w:vAlign w:val="center"/>
          </w:tcPr>
          <w:p w14:paraId="5F8B2A3E" w14:textId="77777777" w:rsidR="005A799B" w:rsidRPr="00F04337" w:rsidRDefault="00F04337" w:rsidP="008D52A0">
            <w:pPr>
              <w:pStyle w:val="TableText"/>
              <w:jc w:val="center"/>
              <w:rPr>
                <w:color w:val="000000"/>
                <w:vertAlign w:val="superscript"/>
              </w:rPr>
            </w:pPr>
            <w:r>
              <w:rPr>
                <w:noProof/>
                <w:color w:val="000000"/>
                <w:highlight w:val="black"/>
              </w:rPr>
              <w:t>''''''''''''''''''</w:t>
            </w:r>
            <w:r w:rsidR="00E17977" w:rsidRPr="00F04337">
              <w:rPr>
                <w:color w:val="000000"/>
                <w:vertAlign w:val="superscript"/>
              </w:rPr>
              <w:t>1</w:t>
            </w:r>
          </w:p>
        </w:tc>
        <w:tc>
          <w:tcPr>
            <w:tcW w:w="647" w:type="pct"/>
            <w:shd w:val="clear" w:color="auto" w:fill="auto"/>
            <w:vAlign w:val="center"/>
          </w:tcPr>
          <w:p w14:paraId="78E06370" w14:textId="77777777" w:rsidR="005A799B" w:rsidRPr="00F04337" w:rsidRDefault="00F04337" w:rsidP="008D52A0">
            <w:pPr>
              <w:pStyle w:val="TableText"/>
              <w:jc w:val="center"/>
              <w:rPr>
                <w:color w:val="000000"/>
                <w:vertAlign w:val="superscript"/>
              </w:rPr>
            </w:pPr>
            <w:r>
              <w:rPr>
                <w:noProof/>
                <w:color w:val="000000"/>
                <w:highlight w:val="black"/>
              </w:rPr>
              <w:t>'''''''''''''''''</w:t>
            </w:r>
            <w:r w:rsidR="00E17977">
              <w:rPr>
                <w:color w:val="000000"/>
                <w:vertAlign w:val="superscript"/>
              </w:rPr>
              <w:t>1</w:t>
            </w:r>
          </w:p>
        </w:tc>
        <w:tc>
          <w:tcPr>
            <w:tcW w:w="647" w:type="pct"/>
            <w:shd w:val="clear" w:color="auto" w:fill="auto"/>
            <w:vAlign w:val="center"/>
          </w:tcPr>
          <w:p w14:paraId="5353B480" w14:textId="77777777" w:rsidR="005A799B" w:rsidRPr="00F04337" w:rsidRDefault="00F04337" w:rsidP="008D52A0">
            <w:pPr>
              <w:pStyle w:val="TableText"/>
              <w:jc w:val="center"/>
              <w:rPr>
                <w:color w:val="000000"/>
                <w:vertAlign w:val="superscript"/>
              </w:rPr>
            </w:pPr>
            <w:r>
              <w:rPr>
                <w:noProof/>
                <w:color w:val="000000"/>
                <w:highlight w:val="black"/>
              </w:rPr>
              <w:t>'''''''''''''''</w:t>
            </w:r>
            <w:r w:rsidR="00E17977" w:rsidRPr="00F04337">
              <w:rPr>
                <w:color w:val="000000"/>
                <w:vertAlign w:val="superscript"/>
              </w:rPr>
              <w:t>1</w:t>
            </w:r>
          </w:p>
        </w:tc>
        <w:tc>
          <w:tcPr>
            <w:tcW w:w="647" w:type="pct"/>
            <w:shd w:val="clear" w:color="auto" w:fill="auto"/>
            <w:vAlign w:val="center"/>
          </w:tcPr>
          <w:p w14:paraId="4D40733B" w14:textId="77777777" w:rsidR="005A799B" w:rsidRPr="00F04337" w:rsidRDefault="00F04337" w:rsidP="008D52A0">
            <w:pPr>
              <w:pStyle w:val="TableText"/>
              <w:jc w:val="center"/>
              <w:rPr>
                <w:color w:val="000000"/>
                <w:vertAlign w:val="superscript"/>
              </w:rPr>
            </w:pPr>
            <w:r>
              <w:rPr>
                <w:noProof/>
                <w:color w:val="000000"/>
                <w:highlight w:val="black"/>
              </w:rPr>
              <w:t>'''''''''''''''''</w:t>
            </w:r>
            <w:r w:rsidR="00E17977" w:rsidRPr="00F04337">
              <w:rPr>
                <w:color w:val="000000"/>
                <w:vertAlign w:val="superscript"/>
              </w:rPr>
              <w:t>1</w:t>
            </w:r>
          </w:p>
        </w:tc>
        <w:tc>
          <w:tcPr>
            <w:tcW w:w="648" w:type="pct"/>
            <w:vAlign w:val="center"/>
          </w:tcPr>
          <w:p w14:paraId="3C918B61" w14:textId="77777777" w:rsidR="005A799B" w:rsidRPr="00F04337" w:rsidRDefault="00F04337" w:rsidP="008D52A0">
            <w:pPr>
              <w:pStyle w:val="TableText"/>
              <w:jc w:val="center"/>
              <w:rPr>
                <w:color w:val="000000"/>
                <w:vertAlign w:val="superscript"/>
              </w:rPr>
            </w:pPr>
            <w:r>
              <w:rPr>
                <w:noProof/>
                <w:color w:val="000000"/>
                <w:highlight w:val="black"/>
              </w:rPr>
              <w:t>'''''''''''''''''</w:t>
            </w:r>
            <w:r w:rsidR="00E17977" w:rsidRPr="00F04337">
              <w:rPr>
                <w:color w:val="000000"/>
                <w:vertAlign w:val="superscript"/>
              </w:rPr>
              <w:t>1</w:t>
            </w:r>
          </w:p>
        </w:tc>
      </w:tr>
      <w:tr w:rsidR="005A799B" w:rsidRPr="004F4D93" w14:paraId="5DB128AC" w14:textId="77777777" w:rsidTr="00991063">
        <w:trPr>
          <w:trHeight w:val="247"/>
        </w:trPr>
        <w:tc>
          <w:tcPr>
            <w:tcW w:w="5000" w:type="pct"/>
            <w:gridSpan w:val="7"/>
            <w:shd w:val="clear" w:color="auto" w:fill="auto"/>
            <w:vAlign w:val="center"/>
          </w:tcPr>
          <w:p w14:paraId="3C3523F4" w14:textId="77777777" w:rsidR="005A799B" w:rsidRPr="004F4D93" w:rsidRDefault="005A799B" w:rsidP="004F4976">
            <w:pPr>
              <w:pStyle w:val="TableText"/>
              <w:rPr>
                <w:b/>
                <w:color w:val="000000"/>
              </w:rPr>
            </w:pPr>
            <w:r w:rsidRPr="004F4D93">
              <w:rPr>
                <w:b/>
                <w:color w:val="000000"/>
              </w:rPr>
              <w:t>Estimated financial implications of</w:t>
            </w:r>
            <w:r w:rsidR="004C1E45" w:rsidRPr="004F4D93">
              <w:rPr>
                <w:b/>
                <w:color w:val="000000"/>
              </w:rPr>
              <w:t xml:space="preserve"> Xorox</w:t>
            </w:r>
          </w:p>
        </w:tc>
      </w:tr>
      <w:tr w:rsidR="005A799B" w:rsidRPr="004F4D93" w14:paraId="42B00A47" w14:textId="77777777" w:rsidTr="00991063">
        <w:trPr>
          <w:trHeight w:val="247"/>
        </w:trPr>
        <w:tc>
          <w:tcPr>
            <w:tcW w:w="1118" w:type="pct"/>
            <w:shd w:val="clear" w:color="auto" w:fill="auto"/>
            <w:vAlign w:val="center"/>
          </w:tcPr>
          <w:p w14:paraId="707230F0" w14:textId="77777777" w:rsidR="005A799B" w:rsidRPr="004F4D93" w:rsidRDefault="005A799B" w:rsidP="002C0AF6">
            <w:pPr>
              <w:pStyle w:val="TableText"/>
              <w:jc w:val="both"/>
            </w:pPr>
            <w:r w:rsidRPr="004F4D93">
              <w:t>Cost to PBS/RPBS</w:t>
            </w:r>
          </w:p>
        </w:tc>
        <w:tc>
          <w:tcPr>
            <w:tcW w:w="646" w:type="pct"/>
            <w:shd w:val="clear" w:color="auto" w:fill="auto"/>
            <w:vAlign w:val="center"/>
          </w:tcPr>
          <w:p w14:paraId="67CC5AF3"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25CA0E8B"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539CC469"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4027C8C9"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514E9C4A"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8" w:type="pct"/>
            <w:vAlign w:val="center"/>
          </w:tcPr>
          <w:p w14:paraId="4FCE917B"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r>
      <w:tr w:rsidR="005A799B" w:rsidRPr="004F4D93" w14:paraId="58C46982" w14:textId="77777777" w:rsidTr="00991063">
        <w:trPr>
          <w:trHeight w:val="247"/>
        </w:trPr>
        <w:tc>
          <w:tcPr>
            <w:tcW w:w="1118" w:type="pct"/>
            <w:shd w:val="clear" w:color="auto" w:fill="auto"/>
            <w:vAlign w:val="center"/>
          </w:tcPr>
          <w:p w14:paraId="76872386" w14:textId="77777777" w:rsidR="005A799B" w:rsidRPr="004F4D93" w:rsidRDefault="005A799B" w:rsidP="002C0AF6">
            <w:pPr>
              <w:pStyle w:val="TableText"/>
              <w:jc w:val="both"/>
            </w:pPr>
            <w:r w:rsidRPr="004F4D93">
              <w:t>Copayments</w:t>
            </w:r>
          </w:p>
        </w:tc>
        <w:tc>
          <w:tcPr>
            <w:tcW w:w="646" w:type="pct"/>
            <w:shd w:val="clear" w:color="auto" w:fill="auto"/>
            <w:vAlign w:val="center"/>
          </w:tcPr>
          <w:p w14:paraId="396AD4CD"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52727F88"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0D93740E"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6CD7E2EC"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31296D86"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c>
          <w:tcPr>
            <w:tcW w:w="648" w:type="pct"/>
            <w:vAlign w:val="center"/>
          </w:tcPr>
          <w:p w14:paraId="1D5B75D7" w14:textId="77777777" w:rsidR="005A799B" w:rsidRPr="00F04337" w:rsidRDefault="00CC7190" w:rsidP="008D52A0">
            <w:pPr>
              <w:pStyle w:val="TableText"/>
              <w:jc w:val="center"/>
              <w:rPr>
                <w:color w:val="000000"/>
                <w:vertAlign w:val="superscript"/>
              </w:rPr>
            </w:pPr>
            <w:r w:rsidRPr="004F4D93">
              <w:rPr>
                <w:color w:val="000000"/>
              </w:rPr>
              <w:t>-</w:t>
            </w:r>
            <w:r w:rsidR="00C527F6" w:rsidRPr="004F4D93">
              <w:rPr>
                <w:color w:val="000000"/>
              </w:rPr>
              <w:t>$</w:t>
            </w:r>
            <w:r w:rsidR="00F04337">
              <w:rPr>
                <w:noProof/>
                <w:color w:val="000000"/>
                <w:highlight w:val="black"/>
              </w:rPr>
              <w:t>'''''''''''''''''''</w:t>
            </w:r>
            <w:r w:rsidR="008D5EE6">
              <w:rPr>
                <w:color w:val="000000"/>
                <w:vertAlign w:val="superscript"/>
              </w:rPr>
              <w:t>2</w:t>
            </w:r>
          </w:p>
        </w:tc>
      </w:tr>
      <w:tr w:rsidR="005A799B" w:rsidRPr="004F4D93" w14:paraId="574B8EE7" w14:textId="77777777" w:rsidTr="00991063">
        <w:trPr>
          <w:trHeight w:val="483"/>
        </w:trPr>
        <w:tc>
          <w:tcPr>
            <w:tcW w:w="1118" w:type="pct"/>
            <w:shd w:val="clear" w:color="auto" w:fill="auto"/>
            <w:vAlign w:val="center"/>
          </w:tcPr>
          <w:p w14:paraId="0210871B" w14:textId="77777777" w:rsidR="005A799B" w:rsidRPr="004F4D93" w:rsidRDefault="005A799B" w:rsidP="002C0AF6">
            <w:pPr>
              <w:pStyle w:val="TableText"/>
              <w:jc w:val="both"/>
            </w:pPr>
            <w:r w:rsidRPr="004F4D93">
              <w:t>Cost to PBS/RPBS less copayments</w:t>
            </w:r>
          </w:p>
        </w:tc>
        <w:tc>
          <w:tcPr>
            <w:tcW w:w="646" w:type="pct"/>
            <w:shd w:val="clear" w:color="auto" w:fill="auto"/>
            <w:vAlign w:val="center"/>
          </w:tcPr>
          <w:p w14:paraId="4F1BD958"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7A6DEA32"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65BE8037"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5849A827"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1CC4C8C5"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8" w:type="pct"/>
            <w:vAlign w:val="center"/>
          </w:tcPr>
          <w:p w14:paraId="4456F6EC" w14:textId="77777777" w:rsidR="005A799B" w:rsidRPr="00F04337" w:rsidRDefault="00C527F6"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r>
      <w:tr w:rsidR="005A799B" w:rsidRPr="004F4D93" w14:paraId="4ECCB406" w14:textId="77777777" w:rsidTr="00991063">
        <w:trPr>
          <w:trHeight w:val="247"/>
        </w:trPr>
        <w:tc>
          <w:tcPr>
            <w:tcW w:w="5000" w:type="pct"/>
            <w:gridSpan w:val="7"/>
            <w:shd w:val="clear" w:color="auto" w:fill="auto"/>
            <w:vAlign w:val="center"/>
          </w:tcPr>
          <w:p w14:paraId="08B62596" w14:textId="77777777" w:rsidR="005A799B" w:rsidRPr="004F4D93" w:rsidRDefault="005A799B" w:rsidP="004F4976">
            <w:pPr>
              <w:pStyle w:val="TableText"/>
              <w:rPr>
                <w:color w:val="000000"/>
              </w:rPr>
            </w:pPr>
            <w:r w:rsidRPr="004F4D93">
              <w:rPr>
                <w:b/>
                <w:color w:val="000000"/>
              </w:rPr>
              <w:t xml:space="preserve">Estimated financial implications for </w:t>
            </w:r>
            <w:r w:rsidR="004C1E45" w:rsidRPr="004F4D93">
              <w:rPr>
                <w:b/>
                <w:color w:val="000000"/>
              </w:rPr>
              <w:t>AciVision</w:t>
            </w:r>
          </w:p>
        </w:tc>
      </w:tr>
      <w:tr w:rsidR="005A799B" w:rsidRPr="004F4D93" w14:paraId="4C44B9E9" w14:textId="77777777" w:rsidTr="00991063">
        <w:trPr>
          <w:trHeight w:val="247"/>
        </w:trPr>
        <w:tc>
          <w:tcPr>
            <w:tcW w:w="1118" w:type="pct"/>
            <w:shd w:val="clear" w:color="auto" w:fill="auto"/>
            <w:vAlign w:val="center"/>
          </w:tcPr>
          <w:p w14:paraId="1E231D6D" w14:textId="77777777" w:rsidR="005A799B" w:rsidRPr="004F4D93" w:rsidRDefault="005A799B" w:rsidP="002C0AF6">
            <w:pPr>
              <w:pStyle w:val="TableText"/>
              <w:jc w:val="both"/>
            </w:pPr>
            <w:r w:rsidRPr="004F4D93">
              <w:t>Cost to PBS/RPBS</w:t>
            </w:r>
          </w:p>
        </w:tc>
        <w:tc>
          <w:tcPr>
            <w:tcW w:w="646" w:type="pct"/>
            <w:shd w:val="clear" w:color="auto" w:fill="auto"/>
            <w:vAlign w:val="center"/>
          </w:tcPr>
          <w:p w14:paraId="442CB0DE" w14:textId="77777777" w:rsidR="005A799B" w:rsidRPr="00F04337" w:rsidRDefault="00CC7190" w:rsidP="008D52A0">
            <w:pPr>
              <w:pStyle w:val="TableText"/>
              <w:jc w:val="center"/>
              <w:rPr>
                <w:color w:val="000000"/>
                <w:vertAlign w:val="superscript"/>
              </w:rPr>
            </w:pPr>
            <w:r w:rsidRPr="004F4D93">
              <w:rPr>
                <w:color w:val="000000"/>
              </w:rPr>
              <w:t>-</w:t>
            </w:r>
            <w:r w:rsidR="00E3170F"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018A1F6D" w14:textId="77777777" w:rsidR="005A799B" w:rsidRPr="00F04337" w:rsidRDefault="00CC7190" w:rsidP="008D52A0">
            <w:pPr>
              <w:pStyle w:val="TableText"/>
              <w:jc w:val="center"/>
              <w:rPr>
                <w:color w:val="000000"/>
                <w:vertAlign w:val="superscript"/>
              </w:rPr>
            </w:pPr>
            <w:r w:rsidRPr="004F4D93">
              <w:rPr>
                <w:color w:val="000000"/>
              </w:rPr>
              <w:t>-</w:t>
            </w:r>
            <w:r w:rsidR="00E3170F"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2AE445DB" w14:textId="77777777" w:rsidR="005A799B" w:rsidRPr="00F04337" w:rsidRDefault="00CC7190" w:rsidP="008D52A0">
            <w:pPr>
              <w:pStyle w:val="TableText"/>
              <w:jc w:val="center"/>
              <w:rPr>
                <w:color w:val="000000"/>
                <w:vertAlign w:val="superscript"/>
              </w:rPr>
            </w:pPr>
            <w:r w:rsidRPr="004F4D93">
              <w:rPr>
                <w:color w:val="000000"/>
              </w:rPr>
              <w:t>-</w:t>
            </w:r>
            <w:r w:rsidR="00E3170F"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1258B150" w14:textId="77777777" w:rsidR="005A799B" w:rsidRPr="00F04337" w:rsidRDefault="00CC7190" w:rsidP="008D52A0">
            <w:pPr>
              <w:pStyle w:val="TableText"/>
              <w:jc w:val="center"/>
              <w:rPr>
                <w:color w:val="000000"/>
                <w:vertAlign w:val="superscript"/>
              </w:rPr>
            </w:pPr>
            <w:r w:rsidRPr="004F4D93">
              <w:rPr>
                <w:color w:val="000000"/>
              </w:rPr>
              <w:t>-</w:t>
            </w:r>
            <w:r w:rsidR="00E3170F"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6F97055E" w14:textId="77777777" w:rsidR="005A799B" w:rsidRPr="00F04337" w:rsidRDefault="00CC7190" w:rsidP="008D52A0">
            <w:pPr>
              <w:pStyle w:val="TableText"/>
              <w:jc w:val="center"/>
              <w:rPr>
                <w:color w:val="000000"/>
                <w:vertAlign w:val="superscript"/>
              </w:rPr>
            </w:pPr>
            <w:r w:rsidRPr="004F4D93">
              <w:rPr>
                <w:color w:val="000000"/>
              </w:rPr>
              <w:t>-</w:t>
            </w:r>
            <w:r w:rsidR="00E3170F" w:rsidRPr="004F4D93">
              <w:rPr>
                <w:color w:val="000000"/>
              </w:rPr>
              <w:t>$</w:t>
            </w:r>
            <w:r w:rsidR="00F04337">
              <w:rPr>
                <w:noProof/>
                <w:color w:val="000000"/>
                <w:highlight w:val="black"/>
              </w:rPr>
              <w:t>''''''''''''''''''''''''</w:t>
            </w:r>
            <w:r w:rsidR="008D5EE6">
              <w:rPr>
                <w:color w:val="000000"/>
                <w:vertAlign w:val="superscript"/>
              </w:rPr>
              <w:t>2</w:t>
            </w:r>
          </w:p>
        </w:tc>
        <w:tc>
          <w:tcPr>
            <w:tcW w:w="648" w:type="pct"/>
            <w:vAlign w:val="center"/>
          </w:tcPr>
          <w:p w14:paraId="0FB5CB4B"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r>
      <w:tr w:rsidR="005A799B" w:rsidRPr="004F4D93" w14:paraId="492C7447" w14:textId="77777777" w:rsidTr="00991063">
        <w:trPr>
          <w:trHeight w:val="247"/>
        </w:trPr>
        <w:tc>
          <w:tcPr>
            <w:tcW w:w="1118" w:type="pct"/>
            <w:shd w:val="clear" w:color="auto" w:fill="auto"/>
            <w:vAlign w:val="center"/>
          </w:tcPr>
          <w:p w14:paraId="039D0C4B" w14:textId="77777777" w:rsidR="005A799B" w:rsidRPr="004F4D93" w:rsidRDefault="005A799B" w:rsidP="002C0AF6">
            <w:pPr>
              <w:pStyle w:val="TableText"/>
              <w:jc w:val="both"/>
            </w:pPr>
            <w:r w:rsidRPr="004F4D93">
              <w:t>Copayments</w:t>
            </w:r>
          </w:p>
        </w:tc>
        <w:tc>
          <w:tcPr>
            <w:tcW w:w="646" w:type="pct"/>
            <w:shd w:val="clear" w:color="auto" w:fill="auto"/>
            <w:vAlign w:val="center"/>
          </w:tcPr>
          <w:p w14:paraId="3AED5B42"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3ED2CDCA"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382D9DEB"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49100A8D"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07719652"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8" w:type="pct"/>
            <w:vAlign w:val="center"/>
          </w:tcPr>
          <w:p w14:paraId="2BA08C20" w14:textId="77777777" w:rsidR="005A799B" w:rsidRPr="00F04337" w:rsidRDefault="00CE2ACE"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r>
      <w:tr w:rsidR="005A799B" w:rsidRPr="004F4D93" w14:paraId="2BC59BD9" w14:textId="77777777" w:rsidTr="00991063">
        <w:trPr>
          <w:trHeight w:val="494"/>
        </w:trPr>
        <w:tc>
          <w:tcPr>
            <w:tcW w:w="1118" w:type="pct"/>
            <w:shd w:val="clear" w:color="auto" w:fill="auto"/>
            <w:vAlign w:val="center"/>
          </w:tcPr>
          <w:p w14:paraId="49759AAA" w14:textId="77777777" w:rsidR="005A799B" w:rsidRPr="004F4D93" w:rsidRDefault="005A799B" w:rsidP="002C0AF6">
            <w:pPr>
              <w:pStyle w:val="TableText"/>
              <w:jc w:val="both"/>
            </w:pPr>
            <w:r w:rsidRPr="004F4D93">
              <w:t>Cost to PBS/RPBS less copayments</w:t>
            </w:r>
          </w:p>
        </w:tc>
        <w:tc>
          <w:tcPr>
            <w:tcW w:w="646" w:type="pct"/>
            <w:shd w:val="clear" w:color="auto" w:fill="auto"/>
            <w:vAlign w:val="center"/>
          </w:tcPr>
          <w:p w14:paraId="3FBB418D"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0DCE973E"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498CD0E8"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3A3734A4"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c>
          <w:tcPr>
            <w:tcW w:w="647" w:type="pct"/>
            <w:shd w:val="clear" w:color="auto" w:fill="auto"/>
            <w:vAlign w:val="center"/>
          </w:tcPr>
          <w:p w14:paraId="72EB41AE"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c>
          <w:tcPr>
            <w:tcW w:w="648" w:type="pct"/>
            <w:vAlign w:val="center"/>
          </w:tcPr>
          <w:p w14:paraId="4643A2B4" w14:textId="77777777" w:rsidR="005A799B" w:rsidRPr="00F04337" w:rsidRDefault="00CC7190" w:rsidP="008D52A0">
            <w:pPr>
              <w:pStyle w:val="TableText"/>
              <w:jc w:val="center"/>
              <w:rPr>
                <w:color w:val="000000"/>
                <w:vertAlign w:val="superscript"/>
              </w:rPr>
            </w:pPr>
            <w:r w:rsidRPr="004F4D93">
              <w:rPr>
                <w:color w:val="000000"/>
              </w:rPr>
              <w:t>-</w:t>
            </w:r>
            <w:r w:rsidR="00CE2ACE" w:rsidRPr="004F4D93">
              <w:rPr>
                <w:color w:val="000000"/>
              </w:rPr>
              <w:t>$</w:t>
            </w:r>
            <w:r w:rsidR="00F04337">
              <w:rPr>
                <w:noProof/>
                <w:color w:val="000000"/>
                <w:highlight w:val="black"/>
              </w:rPr>
              <w:t>''''''''''''''''''''''''</w:t>
            </w:r>
            <w:r w:rsidR="008D5EE6">
              <w:rPr>
                <w:color w:val="000000"/>
                <w:vertAlign w:val="superscript"/>
              </w:rPr>
              <w:t>2</w:t>
            </w:r>
          </w:p>
        </w:tc>
      </w:tr>
      <w:tr w:rsidR="005A799B" w:rsidRPr="004F4D93" w14:paraId="1B232891" w14:textId="77777777" w:rsidTr="00991063">
        <w:trPr>
          <w:trHeight w:val="494"/>
        </w:trPr>
        <w:tc>
          <w:tcPr>
            <w:tcW w:w="5000" w:type="pct"/>
            <w:gridSpan w:val="7"/>
            <w:shd w:val="clear" w:color="auto" w:fill="auto"/>
            <w:vAlign w:val="center"/>
          </w:tcPr>
          <w:p w14:paraId="56F8A01C" w14:textId="77777777" w:rsidR="005A799B" w:rsidRPr="00F04337" w:rsidRDefault="005A799B" w:rsidP="004F4976">
            <w:pPr>
              <w:pStyle w:val="TableText"/>
              <w:rPr>
                <w:b/>
                <w:color w:val="000000"/>
              </w:rPr>
            </w:pPr>
            <w:r w:rsidRPr="004F4D93">
              <w:rPr>
                <w:b/>
                <w:color w:val="000000"/>
              </w:rPr>
              <w:t>Net financial implications</w:t>
            </w:r>
          </w:p>
        </w:tc>
      </w:tr>
      <w:tr w:rsidR="005A799B" w:rsidRPr="004F4D93" w14:paraId="75A88F7B" w14:textId="77777777" w:rsidTr="00991063">
        <w:trPr>
          <w:trHeight w:val="741"/>
        </w:trPr>
        <w:tc>
          <w:tcPr>
            <w:tcW w:w="1118" w:type="pct"/>
            <w:shd w:val="clear" w:color="auto" w:fill="auto"/>
            <w:vAlign w:val="center"/>
          </w:tcPr>
          <w:p w14:paraId="2ED806B6" w14:textId="77777777" w:rsidR="005A799B" w:rsidRPr="004F4D93" w:rsidRDefault="005A799B" w:rsidP="002C0AF6">
            <w:pPr>
              <w:pStyle w:val="TableText"/>
              <w:jc w:val="both"/>
            </w:pPr>
            <w:r w:rsidRPr="004F4D93">
              <w:t>Net cost to PBS/RPBS</w:t>
            </w:r>
            <w:r w:rsidRPr="004F4D93">
              <w:rPr>
                <w:color w:val="FF0000"/>
              </w:rPr>
              <w:t xml:space="preserve"> </w:t>
            </w:r>
          </w:p>
        </w:tc>
        <w:tc>
          <w:tcPr>
            <w:tcW w:w="646" w:type="pct"/>
            <w:shd w:val="clear" w:color="auto" w:fill="auto"/>
            <w:vAlign w:val="center"/>
          </w:tcPr>
          <w:p w14:paraId="30864B43" w14:textId="77777777" w:rsidR="005A799B" w:rsidRPr="00F04337" w:rsidRDefault="00CC7190"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2B020655" w14:textId="77777777" w:rsidR="005A799B" w:rsidRPr="00F04337" w:rsidRDefault="00CC7190"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07B9BF2D" w14:textId="77777777" w:rsidR="005A799B" w:rsidRPr="00F04337" w:rsidRDefault="00CC7190"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7BE7E215" w14:textId="77777777" w:rsidR="005A799B" w:rsidRPr="00F04337" w:rsidRDefault="00CC7190"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7" w:type="pct"/>
            <w:shd w:val="clear" w:color="auto" w:fill="auto"/>
            <w:vAlign w:val="center"/>
          </w:tcPr>
          <w:p w14:paraId="09D93D70" w14:textId="77777777" w:rsidR="005A799B" w:rsidRPr="00F04337" w:rsidRDefault="00CC7190" w:rsidP="008D52A0">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c>
          <w:tcPr>
            <w:tcW w:w="648" w:type="pct"/>
            <w:vAlign w:val="center"/>
          </w:tcPr>
          <w:p w14:paraId="6E16A443" w14:textId="77777777" w:rsidR="005A799B" w:rsidRPr="00F04337" w:rsidRDefault="00CC7190" w:rsidP="0005486F">
            <w:pPr>
              <w:pStyle w:val="TableText"/>
              <w:jc w:val="center"/>
              <w:rPr>
                <w:color w:val="000000"/>
                <w:vertAlign w:val="superscript"/>
              </w:rPr>
            </w:pPr>
            <w:r w:rsidRPr="004F4D93">
              <w:rPr>
                <w:color w:val="000000"/>
              </w:rPr>
              <w:t>$</w:t>
            </w:r>
            <w:r w:rsidR="00F04337">
              <w:rPr>
                <w:noProof/>
                <w:color w:val="000000"/>
                <w:highlight w:val="black"/>
              </w:rPr>
              <w:t>''''''''''''''''''</w:t>
            </w:r>
            <w:r w:rsidR="00E17977">
              <w:rPr>
                <w:color w:val="000000"/>
                <w:vertAlign w:val="superscript"/>
              </w:rPr>
              <w:t>2</w:t>
            </w:r>
          </w:p>
        </w:tc>
      </w:tr>
    </w:tbl>
    <w:p w14:paraId="5E954650" w14:textId="77777777" w:rsidR="002A723C" w:rsidRPr="004F4D93" w:rsidRDefault="002A723C" w:rsidP="004F4976">
      <w:pPr>
        <w:pStyle w:val="TableFigureFooter"/>
        <w:keepNext/>
        <w:spacing w:after="0"/>
        <w:contextualSpacing w:val="0"/>
        <w:rPr>
          <w:szCs w:val="18"/>
        </w:rPr>
      </w:pPr>
      <w:r w:rsidRPr="004F4D93">
        <w:rPr>
          <w:vertAlign w:val="superscript"/>
        </w:rPr>
        <w:t xml:space="preserve">a </w:t>
      </w:r>
      <w:r w:rsidRPr="004F4D93">
        <w:t>As estimated</w:t>
      </w:r>
      <w:r w:rsidRPr="004F4D93">
        <w:rPr>
          <w:szCs w:val="18"/>
        </w:rPr>
        <w:t xml:space="preserve"> by the submission in Section 4 Utilisation and Cost Workbook.</w:t>
      </w:r>
      <w:r w:rsidR="008D1DF3" w:rsidRPr="004F4D93">
        <w:rPr>
          <w:szCs w:val="18"/>
        </w:rPr>
        <w:t xml:space="preserve">. A growth of 7.5% per year is assumed. </w:t>
      </w:r>
    </w:p>
    <w:p w14:paraId="1FB742CE" w14:textId="77777777" w:rsidR="005A799B" w:rsidRDefault="002A723C" w:rsidP="004F4976">
      <w:pPr>
        <w:pStyle w:val="TableFigureFooter"/>
        <w:keepNext/>
        <w:spacing w:after="0"/>
        <w:contextualSpacing w:val="0"/>
        <w:rPr>
          <w:szCs w:val="18"/>
        </w:rPr>
      </w:pPr>
      <w:r w:rsidRPr="004F4D93">
        <w:rPr>
          <w:szCs w:val="18"/>
        </w:rPr>
        <w:t>Source: Section 4 Utilisation and Cost Workbook (Sheet 3b. Impact – proposed (pub), Sheet 4b. Impact – affected (pub)</w:t>
      </w:r>
    </w:p>
    <w:p w14:paraId="548AA736" w14:textId="77777777" w:rsidR="00F760EA" w:rsidRPr="00F04337" w:rsidRDefault="00F760EA" w:rsidP="004F4976">
      <w:pPr>
        <w:pStyle w:val="TableFigureFooter"/>
        <w:keepNext/>
        <w:spacing w:after="0"/>
        <w:contextualSpacing w:val="0"/>
        <w:rPr>
          <w:i/>
          <w:szCs w:val="18"/>
        </w:rPr>
      </w:pPr>
      <w:r w:rsidRPr="00F04337">
        <w:rPr>
          <w:i/>
          <w:szCs w:val="18"/>
        </w:rPr>
        <w:t>The redacted values correspond to the following ranges</w:t>
      </w:r>
    </w:p>
    <w:p w14:paraId="663D9C4E" w14:textId="77777777" w:rsidR="00F760EA" w:rsidRPr="00F04337" w:rsidRDefault="00E17977" w:rsidP="004F4976">
      <w:pPr>
        <w:pStyle w:val="TableFigureFooter"/>
        <w:keepNext/>
        <w:spacing w:after="0"/>
        <w:contextualSpacing w:val="0"/>
        <w:rPr>
          <w:i/>
          <w:szCs w:val="18"/>
        </w:rPr>
      </w:pPr>
      <w:r w:rsidRPr="00F04337">
        <w:rPr>
          <w:i/>
          <w:szCs w:val="18"/>
          <w:vertAlign w:val="superscript"/>
        </w:rPr>
        <w:t>1</w:t>
      </w:r>
      <w:r w:rsidRPr="00F04337">
        <w:rPr>
          <w:i/>
          <w:szCs w:val="18"/>
        </w:rPr>
        <w:t xml:space="preserve"> 20,000 to &lt; 30,000</w:t>
      </w:r>
    </w:p>
    <w:p w14:paraId="64A2466F" w14:textId="77777777" w:rsidR="00A31520" w:rsidRPr="008D5EE6" w:rsidRDefault="00E17977" w:rsidP="004F4976">
      <w:pPr>
        <w:pStyle w:val="TableFigureFooter"/>
        <w:keepNext/>
        <w:spacing w:after="0"/>
        <w:contextualSpacing w:val="0"/>
        <w:rPr>
          <w:szCs w:val="18"/>
        </w:rPr>
      </w:pPr>
      <w:r w:rsidRPr="00F04337">
        <w:rPr>
          <w:i/>
          <w:szCs w:val="18"/>
          <w:vertAlign w:val="superscript"/>
        </w:rPr>
        <w:t xml:space="preserve">2 </w:t>
      </w:r>
      <w:r w:rsidRPr="00F04337">
        <w:rPr>
          <w:i/>
          <w:szCs w:val="18"/>
        </w:rPr>
        <w:t>$0 to &lt; $10 million</w:t>
      </w:r>
    </w:p>
    <w:p w14:paraId="4074F1F5" w14:textId="77777777" w:rsidR="00153C9F" w:rsidRPr="00F04337" w:rsidRDefault="00153C9F" w:rsidP="004F4976">
      <w:pPr>
        <w:pStyle w:val="TableFigureFooter"/>
        <w:keepNext/>
        <w:spacing w:after="0"/>
        <w:contextualSpacing w:val="0"/>
        <w:rPr>
          <w:szCs w:val="18"/>
        </w:rPr>
      </w:pPr>
    </w:p>
    <w:p w14:paraId="6173117A" w14:textId="77777777" w:rsidR="009B2E0E" w:rsidRPr="004F4D93" w:rsidRDefault="004C1E45" w:rsidP="003E494D">
      <w:pPr>
        <w:pStyle w:val="3Bodytext"/>
        <w:jc w:val="both"/>
      </w:pPr>
      <w:r w:rsidRPr="004F4D93">
        <w:t xml:space="preserve">As a minor submission, the financial estimates have not been independently evaluated. </w:t>
      </w:r>
    </w:p>
    <w:p w14:paraId="16726E7B" w14:textId="77777777" w:rsidR="002A36B5" w:rsidRPr="004F4D93" w:rsidRDefault="002A36B5" w:rsidP="003E494D">
      <w:pPr>
        <w:pStyle w:val="3Bodytext"/>
        <w:jc w:val="both"/>
      </w:pPr>
      <w:r w:rsidRPr="004F4D93">
        <w:t xml:space="preserve">The modelled financial impact of recommending listing of Xorox at the requested AEMP compared to the AEMP for Zovirax and AciVision is </w:t>
      </w:r>
      <w:r w:rsidR="00C33B20" w:rsidRPr="004F4D93">
        <w:t>provided</w:t>
      </w:r>
      <w:r w:rsidRPr="004F4D93">
        <w:t xml:space="preserve"> in Table 2.</w:t>
      </w:r>
    </w:p>
    <w:p w14:paraId="3F053382" w14:textId="77777777" w:rsidR="002A36B5" w:rsidRPr="00723D8D" w:rsidRDefault="002A36B5" w:rsidP="00153C9F">
      <w:pPr>
        <w:spacing w:after="0"/>
        <w:rPr>
          <w:rStyle w:val="CommentReference"/>
          <w:rFonts w:ascii="Arial Narrow" w:hAnsi="Arial Narrow"/>
          <w:sz w:val="20"/>
          <w:szCs w:val="22"/>
        </w:rPr>
      </w:pPr>
      <w:r w:rsidRPr="004F4D93">
        <w:rPr>
          <w:rStyle w:val="CommentReference"/>
          <w:rFonts w:ascii="Arial Narrow" w:hAnsi="Arial Narrow"/>
          <w:b/>
          <w:sz w:val="20"/>
          <w:szCs w:val="22"/>
        </w:rPr>
        <w:t>Table</w:t>
      </w:r>
      <w:r w:rsidRPr="004F4D93">
        <w:rPr>
          <w:rStyle w:val="CommentReference"/>
          <w:rFonts w:ascii="Arial Narrow" w:hAnsi="Arial Narrow"/>
          <w:sz w:val="20"/>
          <w:szCs w:val="22"/>
        </w:rPr>
        <w:t xml:space="preserve"> </w:t>
      </w:r>
      <w:r w:rsidRPr="004F4D93">
        <w:rPr>
          <w:rStyle w:val="CommentReference"/>
          <w:rFonts w:ascii="Arial Narrow" w:hAnsi="Arial Narrow"/>
          <w:b/>
          <w:sz w:val="20"/>
          <w:szCs w:val="22"/>
        </w:rPr>
        <w:t>2</w:t>
      </w:r>
      <w:r w:rsidRPr="004F4D93">
        <w:rPr>
          <w:rStyle w:val="CommentReference"/>
          <w:rFonts w:ascii="Arial Narrow" w:hAnsi="Arial Narrow"/>
          <w:sz w:val="20"/>
          <w:szCs w:val="22"/>
        </w:rPr>
        <w:t xml:space="preserve">: </w:t>
      </w:r>
      <w:r w:rsidRPr="004F4D93">
        <w:rPr>
          <w:rStyle w:val="CommentReference"/>
          <w:rFonts w:ascii="Arial Narrow" w:hAnsi="Arial Narrow"/>
          <w:b/>
          <w:sz w:val="20"/>
          <w:szCs w:val="22"/>
        </w:rPr>
        <w:t>Estimated financial implicat</w:t>
      </w:r>
      <w:r w:rsidR="00153C9F" w:rsidRPr="004F4D93">
        <w:rPr>
          <w:rStyle w:val="CommentReference"/>
          <w:rFonts w:ascii="Arial Narrow" w:hAnsi="Arial Narrow"/>
          <w:b/>
          <w:sz w:val="20"/>
          <w:szCs w:val="22"/>
        </w:rPr>
        <w:t>ions</w:t>
      </w:r>
      <w:r w:rsidRPr="004F4D93">
        <w:rPr>
          <w:rStyle w:val="CommentReference"/>
          <w:rFonts w:ascii="Arial Narrow" w:hAnsi="Arial Narrow"/>
          <w:b/>
          <w:sz w:val="20"/>
          <w:szCs w:val="22"/>
        </w:rPr>
        <w:t xml:space="preserve"> of</w:t>
      </w:r>
      <w:r w:rsidR="00153C9F" w:rsidRPr="004F4D93">
        <w:rPr>
          <w:rStyle w:val="CommentReference"/>
          <w:rFonts w:ascii="Arial Narrow" w:hAnsi="Arial Narrow"/>
          <w:b/>
          <w:sz w:val="20"/>
          <w:szCs w:val="22"/>
        </w:rPr>
        <w:t xml:space="preserve"> the</w:t>
      </w:r>
      <w:r w:rsidRPr="004F4D93">
        <w:rPr>
          <w:rStyle w:val="CommentReference"/>
          <w:rFonts w:ascii="Arial Narrow" w:hAnsi="Arial Narrow"/>
          <w:b/>
          <w:sz w:val="20"/>
          <w:szCs w:val="22"/>
        </w:rPr>
        <w:t xml:space="preserve"> requested AEMP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051"/>
        <w:gridCol w:w="1051"/>
        <w:gridCol w:w="1051"/>
        <w:gridCol w:w="1051"/>
        <w:gridCol w:w="1051"/>
        <w:gridCol w:w="1310"/>
      </w:tblGrid>
      <w:tr w:rsidR="002A36B5" w:rsidRPr="004F4D93" w14:paraId="76563DEA" w14:textId="77777777" w:rsidTr="001F7DE1">
        <w:trPr>
          <w:trHeight w:val="165"/>
        </w:trPr>
        <w:tc>
          <w:tcPr>
            <w:tcW w:w="2361" w:type="dxa"/>
            <w:shd w:val="clear" w:color="000000" w:fill="BBBBBB"/>
            <w:hideMark/>
          </w:tcPr>
          <w:p w14:paraId="4595DF5D" w14:textId="77777777" w:rsidR="002A36B5" w:rsidRPr="00723D8D" w:rsidRDefault="002A36B5" w:rsidP="002A36B5">
            <w:pPr>
              <w:keepNext/>
              <w:keepLines/>
              <w:spacing w:after="0" w:line="240" w:lineRule="auto"/>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Details of price increase</w:t>
            </w:r>
          </w:p>
        </w:tc>
        <w:tc>
          <w:tcPr>
            <w:tcW w:w="1051" w:type="dxa"/>
            <w:shd w:val="clear" w:color="000000" w:fill="BBBBBB"/>
            <w:hideMark/>
          </w:tcPr>
          <w:p w14:paraId="21A6C429"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2021-22</w:t>
            </w:r>
          </w:p>
        </w:tc>
        <w:tc>
          <w:tcPr>
            <w:tcW w:w="1051" w:type="dxa"/>
            <w:shd w:val="clear" w:color="000000" w:fill="BBBBBB"/>
            <w:hideMark/>
          </w:tcPr>
          <w:p w14:paraId="15C0166A"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2022-23</w:t>
            </w:r>
          </w:p>
        </w:tc>
        <w:tc>
          <w:tcPr>
            <w:tcW w:w="1051" w:type="dxa"/>
            <w:shd w:val="clear" w:color="000000" w:fill="BBBBBB"/>
            <w:hideMark/>
          </w:tcPr>
          <w:p w14:paraId="052898DC"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2023-24</w:t>
            </w:r>
          </w:p>
        </w:tc>
        <w:tc>
          <w:tcPr>
            <w:tcW w:w="1051" w:type="dxa"/>
            <w:shd w:val="clear" w:color="000000" w:fill="BBBBBB"/>
            <w:hideMark/>
          </w:tcPr>
          <w:p w14:paraId="017CD3D1"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2024-25</w:t>
            </w:r>
          </w:p>
        </w:tc>
        <w:tc>
          <w:tcPr>
            <w:tcW w:w="1051" w:type="dxa"/>
            <w:shd w:val="clear" w:color="000000" w:fill="BBBBBB"/>
            <w:hideMark/>
          </w:tcPr>
          <w:p w14:paraId="2CD6ACA1"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2025-26</w:t>
            </w:r>
          </w:p>
        </w:tc>
        <w:tc>
          <w:tcPr>
            <w:tcW w:w="1310" w:type="dxa"/>
            <w:shd w:val="clear" w:color="auto" w:fill="BFBFBF" w:themeFill="background1" w:themeFillShade="BF"/>
            <w:hideMark/>
          </w:tcPr>
          <w:p w14:paraId="42A95CB4" w14:textId="77777777" w:rsidR="002A36B5" w:rsidRPr="00723D8D" w:rsidRDefault="002A36B5" w:rsidP="002A36B5">
            <w:pPr>
              <w:keepNext/>
              <w:keepLines/>
              <w:spacing w:after="0" w:line="240" w:lineRule="auto"/>
              <w:jc w:val="right"/>
              <w:rPr>
                <w:rFonts w:ascii="Arial Narrow" w:eastAsia="Times New Roman" w:hAnsi="Arial Narrow" w:cs="Arial"/>
                <w:b/>
                <w:bCs/>
                <w:color w:val="000000"/>
                <w:sz w:val="20"/>
                <w:szCs w:val="20"/>
              </w:rPr>
            </w:pPr>
            <w:r w:rsidRPr="00723D8D">
              <w:rPr>
                <w:rFonts w:ascii="Arial Narrow" w:eastAsia="Times New Roman" w:hAnsi="Arial Narrow" w:cs="Arial"/>
                <w:b/>
                <w:bCs/>
                <w:color w:val="000000"/>
                <w:sz w:val="20"/>
                <w:szCs w:val="20"/>
              </w:rPr>
              <w:t>TOTAL</w:t>
            </w:r>
          </w:p>
        </w:tc>
      </w:tr>
      <w:tr w:rsidR="002A36B5" w:rsidRPr="004F4D93" w14:paraId="266D44EB" w14:textId="77777777" w:rsidTr="001F7DE1">
        <w:trPr>
          <w:trHeight w:val="820"/>
        </w:trPr>
        <w:tc>
          <w:tcPr>
            <w:tcW w:w="2361" w:type="dxa"/>
            <w:shd w:val="clear" w:color="000000" w:fill="FFFFFF"/>
            <w:hideMark/>
          </w:tcPr>
          <w:p w14:paraId="65923E54" w14:textId="77777777" w:rsidR="002A36B5" w:rsidRPr="00723D8D" w:rsidRDefault="002A36B5" w:rsidP="002A36B5">
            <w:pPr>
              <w:keepNext/>
              <w:keepLines/>
              <w:spacing w:after="0" w:line="240" w:lineRule="auto"/>
              <w:rPr>
                <w:rFonts w:ascii="Arial Narrow" w:eastAsia="Times New Roman" w:hAnsi="Arial Narrow" w:cs="Arial"/>
                <w:sz w:val="20"/>
                <w:szCs w:val="20"/>
              </w:rPr>
            </w:pPr>
            <w:r w:rsidRPr="00723D8D">
              <w:rPr>
                <w:rFonts w:ascii="Arial Narrow" w:eastAsia="Times New Roman" w:hAnsi="Arial Narrow" w:cs="Arial"/>
                <w:sz w:val="20"/>
                <w:szCs w:val="20"/>
              </w:rPr>
              <w:t>Increase aciclovir eye ointment AEMP from $25.10 to $</w:t>
            </w:r>
            <w:r w:rsidR="00F04337">
              <w:rPr>
                <w:rFonts w:ascii="Arial Narrow" w:eastAsia="Times New Roman" w:hAnsi="Arial Narrow" w:cs="Arial"/>
                <w:noProof/>
                <w:color w:val="000000"/>
                <w:sz w:val="20"/>
                <w:szCs w:val="20"/>
                <w:highlight w:val="black"/>
              </w:rPr>
              <w:t xml:space="preserve">''''''''''''' </w:t>
            </w:r>
            <w:r w:rsidRPr="00723D8D">
              <w:rPr>
                <w:rFonts w:ascii="Arial Narrow" w:eastAsia="Times New Roman" w:hAnsi="Arial Narrow" w:cs="Arial"/>
                <w:sz w:val="20"/>
                <w:szCs w:val="20"/>
              </w:rPr>
              <w:t>on 1 July 2021 (+</w:t>
            </w:r>
            <w:r w:rsidR="00F04337">
              <w:rPr>
                <w:rFonts w:ascii="Arial Narrow" w:eastAsia="Times New Roman" w:hAnsi="Arial Narrow" w:cs="Arial"/>
                <w:noProof/>
                <w:color w:val="000000"/>
                <w:sz w:val="20"/>
                <w:szCs w:val="20"/>
                <w:highlight w:val="black"/>
              </w:rPr>
              <w:t>'''''''''''''''</w:t>
            </w:r>
            <w:r w:rsidRPr="00723D8D">
              <w:rPr>
                <w:rFonts w:ascii="Arial Narrow" w:eastAsia="Times New Roman" w:hAnsi="Arial Narrow" w:cs="Arial"/>
                <w:sz w:val="20"/>
                <w:szCs w:val="20"/>
              </w:rPr>
              <w:t>%)</w:t>
            </w:r>
          </w:p>
        </w:tc>
        <w:tc>
          <w:tcPr>
            <w:tcW w:w="1051" w:type="dxa"/>
            <w:shd w:val="clear" w:color="auto" w:fill="auto"/>
            <w:noWrap/>
          </w:tcPr>
          <w:p w14:paraId="366E1454" w14:textId="77777777" w:rsidR="002A36B5" w:rsidRPr="00F04337" w:rsidRDefault="002A36B5" w:rsidP="002A36B5">
            <w:pPr>
              <w:keepNext/>
              <w:keepLines/>
              <w:spacing w:after="0" w:line="240" w:lineRule="auto"/>
              <w:jc w:val="right"/>
              <w:rPr>
                <w:rFonts w:ascii="Arial Narrow" w:eastAsia="Times New Roman"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380E9F00" w14:textId="77777777" w:rsidR="002A36B5" w:rsidRPr="00F04337" w:rsidRDefault="002A36B5" w:rsidP="002A36B5">
            <w:pPr>
              <w:keepNext/>
              <w:keepLines/>
              <w:spacing w:after="0" w:line="240" w:lineRule="auto"/>
              <w:jc w:val="right"/>
              <w:rPr>
                <w:rFonts w:ascii="Arial Narrow" w:eastAsia="Times New Roman"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23F69D97" w14:textId="77777777" w:rsidR="002A36B5" w:rsidRPr="00F04337" w:rsidRDefault="002A36B5" w:rsidP="002A36B5">
            <w:pPr>
              <w:keepNext/>
              <w:keepLines/>
              <w:spacing w:after="0" w:line="240" w:lineRule="auto"/>
              <w:jc w:val="right"/>
              <w:rPr>
                <w:rFonts w:ascii="Arial Narrow" w:eastAsia="Times New Roman"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4708747C" w14:textId="77777777" w:rsidR="002A36B5" w:rsidRPr="00F04337" w:rsidRDefault="002A36B5" w:rsidP="002A36B5">
            <w:pPr>
              <w:keepNext/>
              <w:keepLines/>
              <w:spacing w:after="0" w:line="240" w:lineRule="auto"/>
              <w:jc w:val="right"/>
              <w:rPr>
                <w:rFonts w:ascii="Arial Narrow" w:eastAsia="Times New Roman"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2A698F97" w14:textId="77777777" w:rsidR="002A36B5" w:rsidRPr="00F04337" w:rsidRDefault="002A36B5" w:rsidP="002A36B5">
            <w:pPr>
              <w:keepNext/>
              <w:keepLines/>
              <w:spacing w:after="0" w:line="240" w:lineRule="auto"/>
              <w:jc w:val="right"/>
              <w:rPr>
                <w:rFonts w:ascii="Arial Narrow" w:eastAsia="Times New Roman"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310" w:type="dxa"/>
            <w:shd w:val="clear" w:color="auto" w:fill="BFBFBF" w:themeFill="background1" w:themeFillShade="BF"/>
            <w:noWrap/>
          </w:tcPr>
          <w:p w14:paraId="2EB665D4" w14:textId="77777777" w:rsidR="002A36B5" w:rsidRPr="00F04337" w:rsidRDefault="002A36B5" w:rsidP="002A36B5">
            <w:pPr>
              <w:keepNext/>
              <w:keepLines/>
              <w:spacing w:after="0" w:line="240" w:lineRule="auto"/>
              <w:jc w:val="right"/>
              <w:rPr>
                <w:rFonts w:ascii="Arial Narrow" w:eastAsia="Times New Roman" w:hAnsi="Arial Narrow" w:cs="Arial"/>
                <w:b/>
                <w:bCs/>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r>
      <w:tr w:rsidR="002A36B5" w:rsidRPr="004F4D93" w14:paraId="7B36BD45" w14:textId="77777777" w:rsidTr="001F7DE1">
        <w:trPr>
          <w:trHeight w:val="820"/>
        </w:trPr>
        <w:tc>
          <w:tcPr>
            <w:tcW w:w="2361" w:type="dxa"/>
            <w:shd w:val="clear" w:color="000000" w:fill="FFFFFF"/>
          </w:tcPr>
          <w:p w14:paraId="48F9A91D" w14:textId="77777777" w:rsidR="002A36B5" w:rsidRPr="00723D8D" w:rsidRDefault="002A36B5" w:rsidP="002A36B5">
            <w:pPr>
              <w:keepNext/>
              <w:keepLines/>
              <w:spacing w:after="0" w:line="240" w:lineRule="auto"/>
              <w:rPr>
                <w:rFonts w:ascii="Arial Narrow" w:eastAsia="Times New Roman" w:hAnsi="Arial Narrow" w:cs="Arial"/>
                <w:sz w:val="20"/>
                <w:szCs w:val="20"/>
              </w:rPr>
            </w:pPr>
            <w:r w:rsidRPr="00723D8D">
              <w:rPr>
                <w:rFonts w:ascii="Arial Narrow" w:eastAsia="Times New Roman" w:hAnsi="Arial Narrow" w:cs="Arial"/>
                <w:sz w:val="20"/>
                <w:szCs w:val="20"/>
              </w:rPr>
              <w:t>Increase aciclovir eye ointment AEMP from $49.50 to $</w:t>
            </w:r>
            <w:r w:rsidR="00F04337">
              <w:rPr>
                <w:rFonts w:ascii="Arial Narrow" w:eastAsia="Times New Roman" w:hAnsi="Arial Narrow" w:cs="Arial"/>
                <w:noProof/>
                <w:color w:val="000000"/>
                <w:sz w:val="20"/>
                <w:szCs w:val="20"/>
                <w:highlight w:val="black"/>
              </w:rPr>
              <w:t>''''''''''''</w:t>
            </w:r>
            <w:r w:rsidRPr="00723D8D">
              <w:rPr>
                <w:rFonts w:ascii="Arial Narrow" w:eastAsia="Times New Roman" w:hAnsi="Arial Narrow" w:cs="Arial"/>
                <w:sz w:val="20"/>
                <w:szCs w:val="20"/>
              </w:rPr>
              <w:t xml:space="preserve"> on 1 July 2021 (+</w:t>
            </w:r>
            <w:r w:rsidR="00F04337">
              <w:rPr>
                <w:rFonts w:ascii="Arial Narrow" w:eastAsia="Times New Roman" w:hAnsi="Arial Narrow" w:cs="Arial"/>
                <w:noProof/>
                <w:color w:val="000000"/>
                <w:sz w:val="20"/>
                <w:szCs w:val="20"/>
                <w:highlight w:val="black"/>
              </w:rPr>
              <w:t>'''''''''''''</w:t>
            </w:r>
            <w:r w:rsidRPr="00723D8D">
              <w:rPr>
                <w:rFonts w:ascii="Arial Narrow" w:eastAsia="Times New Roman" w:hAnsi="Arial Narrow" w:cs="Arial"/>
                <w:sz w:val="20"/>
                <w:szCs w:val="20"/>
              </w:rPr>
              <w:t>%)</w:t>
            </w:r>
          </w:p>
        </w:tc>
        <w:tc>
          <w:tcPr>
            <w:tcW w:w="1051" w:type="dxa"/>
            <w:shd w:val="clear" w:color="auto" w:fill="auto"/>
            <w:noWrap/>
          </w:tcPr>
          <w:p w14:paraId="2CD98ACA" w14:textId="77777777" w:rsidR="002A36B5" w:rsidRPr="00F04337" w:rsidRDefault="002A36B5" w:rsidP="002A36B5">
            <w:pPr>
              <w:keepNext/>
              <w:keepLines/>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30AE2546" w14:textId="77777777" w:rsidR="002A36B5" w:rsidRPr="00F04337" w:rsidRDefault="002A36B5" w:rsidP="002A36B5">
            <w:pPr>
              <w:keepNext/>
              <w:keepLines/>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23D8C99F" w14:textId="77777777" w:rsidR="002A36B5" w:rsidRPr="00F04337" w:rsidRDefault="002A36B5" w:rsidP="002A36B5">
            <w:pPr>
              <w:keepNext/>
              <w:keepLines/>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4EBB8E69" w14:textId="77777777" w:rsidR="002A36B5" w:rsidRPr="00F04337" w:rsidRDefault="002A36B5" w:rsidP="002A36B5">
            <w:pPr>
              <w:keepNext/>
              <w:keepLines/>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051" w:type="dxa"/>
            <w:shd w:val="clear" w:color="auto" w:fill="auto"/>
            <w:noWrap/>
          </w:tcPr>
          <w:p w14:paraId="0C532E16" w14:textId="77777777" w:rsidR="002A36B5" w:rsidRPr="00F04337" w:rsidRDefault="002A36B5" w:rsidP="002A36B5">
            <w:pPr>
              <w:keepNext/>
              <w:keepLines/>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tc>
        <w:tc>
          <w:tcPr>
            <w:tcW w:w="1310" w:type="dxa"/>
            <w:shd w:val="clear" w:color="auto" w:fill="BFBFBF" w:themeFill="background1" w:themeFillShade="BF"/>
            <w:noWrap/>
          </w:tcPr>
          <w:p w14:paraId="6E1BB098" w14:textId="77777777" w:rsidR="002A36B5" w:rsidRPr="00F04337" w:rsidRDefault="002A36B5" w:rsidP="002A36B5">
            <w:pPr>
              <w:spacing w:after="0" w:line="240" w:lineRule="auto"/>
              <w:jc w:val="right"/>
              <w:rPr>
                <w:rFonts w:ascii="Arial Narrow" w:hAnsi="Arial Narrow" w:cs="Arial"/>
                <w:sz w:val="20"/>
                <w:szCs w:val="20"/>
                <w:vertAlign w:val="superscript"/>
              </w:rPr>
            </w:pPr>
            <w:r w:rsidRPr="00723D8D">
              <w:rPr>
                <w:rFonts w:ascii="Arial Narrow" w:hAnsi="Arial Narrow" w:cs="Arial"/>
                <w:sz w:val="20"/>
                <w:szCs w:val="20"/>
              </w:rPr>
              <w:t>$</w:t>
            </w:r>
            <w:r w:rsidR="00F04337">
              <w:rPr>
                <w:rFonts w:ascii="Arial Narrow" w:hAnsi="Arial Narrow" w:cs="Arial"/>
                <w:noProof/>
                <w:color w:val="000000"/>
                <w:sz w:val="20"/>
                <w:szCs w:val="20"/>
                <w:highlight w:val="black"/>
              </w:rPr>
              <w:t>''''''''''''''''''''''''''</w:t>
            </w:r>
            <w:r w:rsidR="00A44B06">
              <w:rPr>
                <w:rFonts w:ascii="Arial Narrow" w:hAnsi="Arial Narrow" w:cs="Arial"/>
                <w:sz w:val="20"/>
                <w:szCs w:val="20"/>
                <w:vertAlign w:val="superscript"/>
              </w:rPr>
              <w:t>1</w:t>
            </w:r>
          </w:p>
          <w:p w14:paraId="3752B6AC" w14:textId="77777777" w:rsidR="002A36B5" w:rsidRPr="00723D8D" w:rsidRDefault="002A36B5" w:rsidP="002A36B5">
            <w:pPr>
              <w:keepNext/>
              <w:keepLines/>
              <w:spacing w:after="0" w:line="240" w:lineRule="auto"/>
              <w:jc w:val="right"/>
              <w:rPr>
                <w:rFonts w:ascii="Arial Narrow" w:hAnsi="Arial Narrow" w:cs="Arial"/>
                <w:sz w:val="20"/>
                <w:szCs w:val="20"/>
              </w:rPr>
            </w:pPr>
          </w:p>
        </w:tc>
      </w:tr>
    </w:tbl>
    <w:p w14:paraId="7E0809A2" w14:textId="77777777" w:rsidR="00A44B06" w:rsidRDefault="00C33B20" w:rsidP="00A44B06">
      <w:pPr>
        <w:pStyle w:val="TableFigureFooter"/>
        <w:keepNext/>
        <w:spacing w:after="0"/>
        <w:contextualSpacing w:val="0"/>
        <w:rPr>
          <w:i/>
        </w:rPr>
      </w:pPr>
      <w:r w:rsidRPr="00887F44">
        <w:rPr>
          <w:i/>
        </w:rPr>
        <w:t>E</w:t>
      </w:r>
      <w:r w:rsidR="00ED75FA" w:rsidRPr="00887F44">
        <w:rPr>
          <w:i/>
        </w:rPr>
        <w:t>stimated using the department’s Ph</w:t>
      </w:r>
      <w:r w:rsidR="003F2E87" w:rsidRPr="00887F44">
        <w:rPr>
          <w:i/>
        </w:rPr>
        <w:t>armacy Remuneration and Negotiation Consolidated Information System (Ph</w:t>
      </w:r>
      <w:r w:rsidR="00ED75FA" w:rsidRPr="00887F44">
        <w:rPr>
          <w:i/>
        </w:rPr>
        <w:t>RANCIS</w:t>
      </w:r>
      <w:r w:rsidR="003F2E87" w:rsidRPr="00887F44">
        <w:rPr>
          <w:i/>
        </w:rPr>
        <w:t xml:space="preserve">). </w:t>
      </w:r>
    </w:p>
    <w:p w14:paraId="15667893" w14:textId="77777777" w:rsidR="00A44B06" w:rsidRPr="00F04337" w:rsidRDefault="00A44B06" w:rsidP="00A44B06">
      <w:pPr>
        <w:pStyle w:val="TableFigureFooter"/>
        <w:keepNext/>
        <w:spacing w:after="0"/>
        <w:contextualSpacing w:val="0"/>
        <w:rPr>
          <w:i/>
          <w:szCs w:val="18"/>
        </w:rPr>
      </w:pPr>
      <w:r w:rsidRPr="00F04337">
        <w:rPr>
          <w:i/>
          <w:szCs w:val="18"/>
        </w:rPr>
        <w:t>The redacted values correspond to the following ranges</w:t>
      </w:r>
    </w:p>
    <w:p w14:paraId="172C6876" w14:textId="77777777" w:rsidR="00A44B06" w:rsidRPr="00F04337" w:rsidRDefault="00A44B06" w:rsidP="00A44B06">
      <w:pPr>
        <w:pStyle w:val="TableFigureFooter"/>
        <w:keepNext/>
        <w:spacing w:after="0"/>
        <w:contextualSpacing w:val="0"/>
        <w:rPr>
          <w:i/>
          <w:szCs w:val="18"/>
        </w:rPr>
      </w:pPr>
      <w:r w:rsidRPr="00F04337">
        <w:rPr>
          <w:i/>
          <w:szCs w:val="18"/>
          <w:vertAlign w:val="superscript"/>
        </w:rPr>
        <w:t xml:space="preserve">1 </w:t>
      </w:r>
      <w:r w:rsidRPr="00F04337">
        <w:rPr>
          <w:i/>
          <w:szCs w:val="18"/>
        </w:rPr>
        <w:t>$0 to &lt; $10 million</w:t>
      </w:r>
    </w:p>
    <w:p w14:paraId="1DB02E2B" w14:textId="77777777" w:rsidR="00A44B06" w:rsidRPr="00887F44" w:rsidRDefault="00A44B06" w:rsidP="00153C9F">
      <w:pPr>
        <w:pStyle w:val="3Bodytext"/>
        <w:numPr>
          <w:ilvl w:val="0"/>
          <w:numId w:val="0"/>
        </w:numPr>
        <w:jc w:val="both"/>
        <w:rPr>
          <w:rFonts w:ascii="Arial Narrow" w:hAnsi="Arial Narrow"/>
          <w:i/>
          <w:sz w:val="18"/>
        </w:rPr>
      </w:pPr>
    </w:p>
    <w:p w14:paraId="0AE7DD0C" w14:textId="77777777" w:rsidR="00E159C2" w:rsidRPr="004F4D93" w:rsidRDefault="00E159C2" w:rsidP="004C7E02">
      <w:pPr>
        <w:rPr>
          <w:rFonts w:asciiTheme="minorHAnsi" w:hAnsiTheme="minorHAnsi" w:cstheme="minorHAnsi"/>
          <w:b/>
          <w:i/>
        </w:rPr>
      </w:pPr>
      <w:r w:rsidRPr="004F4D93">
        <w:rPr>
          <w:rFonts w:asciiTheme="minorHAnsi" w:hAnsiTheme="minorHAnsi" w:cstheme="minorHAnsi"/>
          <w:i/>
        </w:rPr>
        <w:t xml:space="preserve">For more detail on the PBAC’s view, see section </w:t>
      </w:r>
      <w:r w:rsidR="00825660" w:rsidRPr="004F4D93">
        <w:rPr>
          <w:rFonts w:asciiTheme="minorHAnsi" w:hAnsiTheme="minorHAnsi" w:cstheme="minorHAnsi"/>
          <w:i/>
        </w:rPr>
        <w:t>6</w:t>
      </w:r>
      <w:r w:rsidRPr="004F4D93">
        <w:rPr>
          <w:rFonts w:asciiTheme="minorHAnsi" w:hAnsiTheme="minorHAnsi" w:cstheme="minorHAnsi"/>
          <w:i/>
        </w:rPr>
        <w:t xml:space="preserve"> PBAC outcome.</w:t>
      </w:r>
    </w:p>
    <w:p w14:paraId="7C17DC63" w14:textId="77777777" w:rsidR="00680DE4" w:rsidRPr="004F4D93" w:rsidRDefault="00680DE4" w:rsidP="00F26DE3">
      <w:pPr>
        <w:pStyle w:val="2-SectionHeading"/>
        <w:rPr>
          <w:b w:val="0"/>
        </w:rPr>
      </w:pPr>
      <w:r w:rsidRPr="004F4D93">
        <w:t>PBAC Outcome</w:t>
      </w:r>
    </w:p>
    <w:p w14:paraId="3A6EC9A9" w14:textId="77777777" w:rsidR="00680DE4" w:rsidRPr="00723D8D" w:rsidRDefault="00680DE4" w:rsidP="00E74514">
      <w:pPr>
        <w:pStyle w:val="3Bodytext"/>
        <w:jc w:val="both"/>
        <w:rPr>
          <w:rFonts w:cs="Arial"/>
          <w:bCs/>
          <w:snapToGrid w:val="0"/>
        </w:rPr>
      </w:pPr>
      <w:r w:rsidRPr="00723D8D">
        <w:rPr>
          <w:rFonts w:cs="Arial"/>
          <w:bCs/>
          <w:snapToGrid w:val="0"/>
        </w:rPr>
        <w:t>The PBAC did not recommend</w:t>
      </w:r>
      <w:r w:rsidR="001A6234" w:rsidRPr="00723D8D">
        <w:rPr>
          <w:rFonts w:cs="Arial"/>
          <w:bCs/>
          <w:snapToGrid w:val="0"/>
        </w:rPr>
        <w:t xml:space="preserve"> the listing of</w:t>
      </w:r>
      <w:r w:rsidR="00840375" w:rsidRPr="00723D8D">
        <w:rPr>
          <w:rFonts w:cs="Arial"/>
          <w:bCs/>
          <w:snapToGrid w:val="0"/>
        </w:rPr>
        <w:t xml:space="preserve"> the </w:t>
      </w:r>
      <w:r w:rsidR="001A6234" w:rsidRPr="00723D8D">
        <w:rPr>
          <w:rFonts w:cs="Arial"/>
          <w:bCs/>
          <w:snapToGrid w:val="0"/>
        </w:rPr>
        <w:t>Xorox</w:t>
      </w:r>
      <w:r w:rsidR="00840375" w:rsidRPr="00723D8D">
        <w:rPr>
          <w:rFonts w:cs="Arial"/>
          <w:bCs/>
          <w:snapToGrid w:val="0"/>
        </w:rPr>
        <w:t xml:space="preserve"> brand of aciclovir 3% eye ointment</w:t>
      </w:r>
      <w:r w:rsidR="003261D2" w:rsidRPr="004F4D93">
        <w:t xml:space="preserve"> </w:t>
      </w:r>
      <w:r w:rsidR="00E73323" w:rsidRPr="00723D8D">
        <w:rPr>
          <w:rFonts w:cs="Arial"/>
          <w:bCs/>
          <w:snapToGrid w:val="0"/>
        </w:rPr>
        <w:t xml:space="preserve">for the treatment of HSK. The PBAC </w:t>
      </w:r>
      <w:r w:rsidR="00D24CDC" w:rsidRPr="00723D8D">
        <w:rPr>
          <w:rFonts w:cs="Arial"/>
          <w:bCs/>
          <w:snapToGrid w:val="0"/>
        </w:rPr>
        <w:t xml:space="preserve">considered there </w:t>
      </w:r>
      <w:r w:rsidR="00B53C2E" w:rsidRPr="00723D8D">
        <w:rPr>
          <w:rFonts w:cs="Arial"/>
          <w:bCs/>
          <w:snapToGrid w:val="0"/>
        </w:rPr>
        <w:t xml:space="preserve">was an inadequate basis for the requested AEMP, which was higher </w:t>
      </w:r>
      <w:r w:rsidR="00E73323" w:rsidRPr="00723D8D">
        <w:rPr>
          <w:rFonts w:cs="Arial"/>
          <w:bCs/>
          <w:snapToGrid w:val="0"/>
        </w:rPr>
        <w:t xml:space="preserve">than </w:t>
      </w:r>
      <w:r w:rsidR="00717A3A" w:rsidRPr="00723D8D">
        <w:rPr>
          <w:rFonts w:cs="Arial"/>
          <w:bCs/>
          <w:snapToGrid w:val="0"/>
        </w:rPr>
        <w:t xml:space="preserve">the delisted </w:t>
      </w:r>
      <w:r w:rsidR="00E73323" w:rsidRPr="00723D8D">
        <w:rPr>
          <w:rFonts w:cs="Arial"/>
          <w:bCs/>
          <w:snapToGrid w:val="0"/>
        </w:rPr>
        <w:t>Zovirax</w:t>
      </w:r>
      <w:r w:rsidR="00717A3A" w:rsidRPr="00723D8D">
        <w:rPr>
          <w:rFonts w:cs="Arial"/>
          <w:bCs/>
          <w:snapToGrid w:val="0"/>
        </w:rPr>
        <w:t xml:space="preserve"> </w:t>
      </w:r>
      <w:r w:rsidR="00E73323" w:rsidRPr="00723D8D">
        <w:rPr>
          <w:rFonts w:cs="Arial"/>
          <w:bCs/>
          <w:snapToGrid w:val="0"/>
        </w:rPr>
        <w:t xml:space="preserve">and </w:t>
      </w:r>
      <w:r w:rsidR="00717A3A" w:rsidRPr="00723D8D">
        <w:rPr>
          <w:rFonts w:cs="Arial"/>
          <w:bCs/>
          <w:snapToGrid w:val="0"/>
        </w:rPr>
        <w:t xml:space="preserve">the currently listed Section 19A approved product, </w:t>
      </w:r>
      <w:r w:rsidR="00E73323" w:rsidRPr="00723D8D">
        <w:rPr>
          <w:rFonts w:cs="Arial"/>
          <w:bCs/>
          <w:snapToGrid w:val="0"/>
        </w:rPr>
        <w:t xml:space="preserve">AciVision. </w:t>
      </w:r>
    </w:p>
    <w:p w14:paraId="473B306F" w14:textId="77777777" w:rsidR="00B53C2E" w:rsidRPr="00723D8D" w:rsidRDefault="00A409B4" w:rsidP="00E74514">
      <w:pPr>
        <w:pStyle w:val="3Bodytext"/>
        <w:jc w:val="both"/>
        <w:rPr>
          <w:rFonts w:cs="Arial"/>
          <w:bCs/>
          <w:snapToGrid w:val="0"/>
        </w:rPr>
      </w:pPr>
      <w:r w:rsidRPr="004F4D93">
        <w:t>The PBAC reiterated there was a clinical need for aciclovir 3% eye ointment supply to be maintained on the PBS. However, the PBAC noted</w:t>
      </w:r>
      <w:r w:rsidR="005F4D2B" w:rsidRPr="004F4D93">
        <w:t xml:space="preserve"> that under Section 101(3B) of the </w:t>
      </w:r>
      <w:r w:rsidR="005F4D2B" w:rsidRPr="004F4D93">
        <w:rPr>
          <w:i/>
        </w:rPr>
        <w:t>National Health Act 1953</w:t>
      </w:r>
      <w:r w:rsidR="005F4D2B" w:rsidRPr="004F4D93">
        <w:t xml:space="preserve">, </w:t>
      </w:r>
      <w:r w:rsidR="00510211" w:rsidRPr="004F4D93">
        <w:t xml:space="preserve">when the proposed medicine is substantially more costly than </w:t>
      </w:r>
      <w:r w:rsidR="00F45D9E">
        <w:t>an alternative therapy</w:t>
      </w:r>
      <w:r w:rsidR="00510211" w:rsidRPr="004F4D93">
        <w:t xml:space="preserve">, the Committee cannot make a positive recommendation unless it is satisfied that, for some patients, the proposed medicine provides a significant improvement in efficacy and/or reduction of toxicity over the alternative </w:t>
      </w:r>
      <w:r w:rsidR="00F45D9E">
        <w:t>therapy</w:t>
      </w:r>
      <w:r w:rsidR="00510211" w:rsidRPr="004F4D93">
        <w:t xml:space="preserve">. The PBAC considered that AciVision </w:t>
      </w:r>
      <w:r w:rsidR="00F45D9E">
        <w:t>was an</w:t>
      </w:r>
      <w:r w:rsidR="00510211" w:rsidRPr="004F4D93">
        <w:t xml:space="preserve"> appropriate alternative the</w:t>
      </w:r>
      <w:r w:rsidR="00F45D9E">
        <w:t>rapy</w:t>
      </w:r>
      <w:r w:rsidR="00510211" w:rsidRPr="004F4D93">
        <w:t xml:space="preserve">, and </w:t>
      </w:r>
      <w:r w:rsidR="003C15BC" w:rsidRPr="004F4D93">
        <w:t xml:space="preserve">that the available evidence did not support that </w:t>
      </w:r>
      <w:r w:rsidR="00510211" w:rsidRPr="004F4D93">
        <w:t xml:space="preserve">Xorox </w:t>
      </w:r>
      <w:r w:rsidR="00BB59B9" w:rsidRPr="004F4D93">
        <w:t xml:space="preserve">provides </w:t>
      </w:r>
      <w:r w:rsidR="005F4D2B" w:rsidRPr="004F4D93">
        <w:t xml:space="preserve">a significant improvement in efficacy or reduction of toxicity over </w:t>
      </w:r>
      <w:r w:rsidR="00F45D9E">
        <w:t>this therapy</w:t>
      </w:r>
      <w:r w:rsidR="00510211" w:rsidRPr="004F4D93">
        <w:t xml:space="preserve">. </w:t>
      </w:r>
    </w:p>
    <w:p w14:paraId="44BDFC93" w14:textId="77777777" w:rsidR="00680DE4" w:rsidRPr="00723D8D" w:rsidRDefault="00680DE4" w:rsidP="00E74514">
      <w:pPr>
        <w:pStyle w:val="3Bodytext"/>
        <w:jc w:val="both"/>
        <w:rPr>
          <w:rFonts w:cs="Arial"/>
          <w:bCs/>
          <w:snapToGrid w:val="0"/>
        </w:rPr>
      </w:pPr>
      <w:r w:rsidRPr="00723D8D">
        <w:rPr>
          <w:rFonts w:cs="Arial"/>
          <w:bCs/>
          <w:snapToGrid w:val="0"/>
        </w:rPr>
        <w:t xml:space="preserve">The PBAC noted that this submission is eligible for an Independent Review. </w:t>
      </w:r>
    </w:p>
    <w:p w14:paraId="478F5C9B" w14:textId="77777777" w:rsidR="00680DE4" w:rsidRPr="00723D8D" w:rsidRDefault="00680DE4" w:rsidP="00680DE4">
      <w:pPr>
        <w:spacing w:before="240" w:after="0"/>
        <w:jc w:val="both"/>
        <w:rPr>
          <w:rFonts w:asciiTheme="minorHAnsi" w:hAnsiTheme="minorHAnsi" w:cs="Arial"/>
          <w:b/>
          <w:bCs/>
          <w:snapToGrid w:val="0"/>
        </w:rPr>
      </w:pPr>
      <w:r w:rsidRPr="00723D8D">
        <w:rPr>
          <w:rFonts w:asciiTheme="minorHAnsi" w:hAnsiTheme="minorHAnsi" w:cs="Arial"/>
          <w:b/>
          <w:bCs/>
          <w:snapToGrid w:val="0"/>
        </w:rPr>
        <w:t>Outcome:</w:t>
      </w:r>
    </w:p>
    <w:p w14:paraId="61E091E7" w14:textId="77777777" w:rsidR="00680DE4" w:rsidRPr="004F4D93" w:rsidRDefault="003261D2" w:rsidP="00B53C2E">
      <w:pPr>
        <w:jc w:val="both"/>
        <w:rPr>
          <w:rFonts w:asciiTheme="minorHAnsi" w:hAnsiTheme="minorHAnsi" w:cs="Arial"/>
          <w:b/>
          <w:bCs/>
          <w:snapToGrid w:val="0"/>
        </w:rPr>
      </w:pPr>
      <w:r w:rsidRPr="00723D8D">
        <w:rPr>
          <w:rFonts w:asciiTheme="minorHAnsi" w:hAnsiTheme="minorHAnsi" w:cs="Arial"/>
          <w:bCs/>
          <w:snapToGrid w:val="0"/>
        </w:rPr>
        <w:t>Not r</w:t>
      </w:r>
      <w:r w:rsidR="00680DE4" w:rsidRPr="00723D8D">
        <w:rPr>
          <w:rFonts w:asciiTheme="minorHAnsi" w:hAnsiTheme="minorHAnsi" w:cs="Arial"/>
          <w:bCs/>
          <w:snapToGrid w:val="0"/>
        </w:rPr>
        <w:t xml:space="preserve">ecommended </w:t>
      </w:r>
    </w:p>
    <w:p w14:paraId="7F4A44D3" w14:textId="77777777" w:rsidR="006F2C2F" w:rsidRPr="005A09EA" w:rsidRDefault="006F2C2F" w:rsidP="00F04337">
      <w:pPr>
        <w:pStyle w:val="2-SectionHeading"/>
      </w:pPr>
      <w:r w:rsidRPr="00C07617">
        <w:t>Context for Decision</w:t>
      </w:r>
    </w:p>
    <w:p w14:paraId="5F3F40CC" w14:textId="77777777" w:rsidR="006F2C2F" w:rsidRPr="007129F2" w:rsidRDefault="006F2C2F" w:rsidP="00F04337">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A5AC8D" w14:textId="77777777" w:rsidR="006F2C2F" w:rsidRPr="00A44B06" w:rsidRDefault="006F2C2F" w:rsidP="00F04337">
      <w:pPr>
        <w:pStyle w:val="2-SectionHeading"/>
      </w:pPr>
      <w:r>
        <w:t>Sponsor’s Comment</w:t>
      </w:r>
    </w:p>
    <w:p w14:paraId="26D959EB" w14:textId="77777777" w:rsidR="00680DE4" w:rsidRPr="004F4D93" w:rsidRDefault="000E2A17" w:rsidP="00F04337">
      <w:pPr>
        <w:spacing w:after="120" w:line="240" w:lineRule="auto"/>
        <w:ind w:left="709"/>
        <w:jc w:val="both"/>
        <w:rPr>
          <w:rFonts w:asciiTheme="minorHAnsi" w:hAnsiTheme="minorHAnsi"/>
        </w:rPr>
      </w:pPr>
      <w:r w:rsidRPr="000E2A17">
        <w:rPr>
          <w:rFonts w:asciiTheme="minorHAnsi" w:hAnsiTheme="minorHAnsi" w:cs="Arial"/>
          <w:bCs/>
          <w:lang w:val="en-GB"/>
        </w:rPr>
        <w:t xml:space="preserve">Clinect and the Department of Health are working towards an alternative pathway to listing this product. </w:t>
      </w:r>
    </w:p>
    <w:p w14:paraId="7B5B44CA" w14:textId="77777777" w:rsidR="00680DE4" w:rsidRPr="004F4D93" w:rsidRDefault="00680DE4" w:rsidP="00680DE4">
      <w:pPr>
        <w:widowControl w:val="0"/>
        <w:jc w:val="both"/>
        <w:rPr>
          <w:rFonts w:asciiTheme="minorHAnsi" w:hAnsiTheme="minorHAnsi" w:cs="Arial"/>
          <w:bCs/>
          <w:snapToGrid w:val="0"/>
        </w:rPr>
      </w:pPr>
    </w:p>
    <w:p w14:paraId="776AF0F7" w14:textId="77777777" w:rsidR="009B2E0E" w:rsidRPr="004F4D93" w:rsidRDefault="009B2E0E" w:rsidP="003E5DEC">
      <w:pPr>
        <w:pStyle w:val="NoSpacing"/>
        <w:rPr>
          <w:rFonts w:asciiTheme="minorHAnsi" w:hAnsiTheme="minorHAnsi" w:cstheme="minorHAnsi"/>
          <w:sz w:val="28"/>
        </w:rPr>
      </w:pPr>
    </w:p>
    <w:p w14:paraId="5CAB3009" w14:textId="77777777" w:rsidR="009B2E0E" w:rsidRPr="004F4D93" w:rsidRDefault="009B2E0E" w:rsidP="002C0AF6">
      <w:pPr>
        <w:spacing w:line="240" w:lineRule="auto"/>
        <w:jc w:val="both"/>
        <w:rPr>
          <w:rFonts w:asciiTheme="minorHAnsi" w:hAnsiTheme="minorHAnsi" w:cstheme="minorHAnsi"/>
          <w:sz w:val="28"/>
        </w:rPr>
      </w:pPr>
    </w:p>
    <w:sectPr w:rsidR="009B2E0E" w:rsidRPr="004F4D93" w:rsidSect="00E745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B4FE5" w14:textId="77777777" w:rsidR="00F04337" w:rsidRDefault="00F04337" w:rsidP="001A2CBE">
      <w:pPr>
        <w:spacing w:after="0" w:line="240" w:lineRule="auto"/>
      </w:pPr>
      <w:r>
        <w:separator/>
      </w:r>
    </w:p>
  </w:endnote>
  <w:endnote w:type="continuationSeparator" w:id="0">
    <w:p w14:paraId="70EDBA18" w14:textId="77777777" w:rsidR="00F04337" w:rsidRDefault="00F04337" w:rsidP="001A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8A24" w14:textId="77777777" w:rsidR="00F04337" w:rsidRDefault="00F0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7C64" w14:textId="58454E55" w:rsidR="00DD2D67" w:rsidRPr="00277BA5" w:rsidRDefault="00DD2D67">
    <w:pPr>
      <w:pStyle w:val="Footer"/>
      <w:jc w:val="center"/>
      <w:rPr>
        <w:rFonts w:asciiTheme="minorHAnsi" w:hAnsiTheme="minorHAnsi" w:cstheme="minorHAnsi"/>
        <w:b/>
        <w:caps/>
        <w:noProof/>
      </w:rPr>
    </w:pPr>
    <w:r w:rsidRPr="00277BA5">
      <w:rPr>
        <w:rFonts w:asciiTheme="minorHAnsi" w:hAnsiTheme="minorHAnsi" w:cstheme="minorHAnsi"/>
        <w:b/>
        <w:caps/>
      </w:rPr>
      <w:fldChar w:fldCharType="begin"/>
    </w:r>
    <w:r w:rsidRPr="00277BA5">
      <w:rPr>
        <w:rFonts w:asciiTheme="minorHAnsi" w:hAnsiTheme="minorHAnsi" w:cstheme="minorHAnsi"/>
        <w:b/>
        <w:caps/>
      </w:rPr>
      <w:instrText xml:space="preserve"> PAGE   \* MERGEFORMAT </w:instrText>
    </w:r>
    <w:r w:rsidRPr="00277BA5">
      <w:rPr>
        <w:rFonts w:asciiTheme="minorHAnsi" w:hAnsiTheme="minorHAnsi" w:cstheme="minorHAnsi"/>
        <w:b/>
        <w:caps/>
      </w:rPr>
      <w:fldChar w:fldCharType="separate"/>
    </w:r>
    <w:r w:rsidR="008A17B2">
      <w:rPr>
        <w:rFonts w:asciiTheme="minorHAnsi" w:hAnsiTheme="minorHAnsi" w:cstheme="minorHAnsi"/>
        <w:b/>
        <w:caps/>
        <w:noProof/>
      </w:rPr>
      <w:t>6</w:t>
    </w:r>
    <w:r w:rsidRPr="00277BA5">
      <w:rPr>
        <w:rFonts w:asciiTheme="minorHAnsi" w:hAnsiTheme="minorHAnsi" w:cstheme="minorHAnsi"/>
        <w:b/>
        <w:caps/>
        <w:noProof/>
      </w:rPr>
      <w:fldChar w:fldCharType="end"/>
    </w:r>
  </w:p>
  <w:p w14:paraId="3307D74E" w14:textId="77777777" w:rsidR="00DD2D67" w:rsidRDefault="00DD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444D" w14:textId="77777777" w:rsidR="00F04337" w:rsidRDefault="00F0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F861" w14:textId="77777777" w:rsidR="00F04337" w:rsidRDefault="00F04337" w:rsidP="001A2CBE">
      <w:pPr>
        <w:spacing w:after="0" w:line="240" w:lineRule="auto"/>
      </w:pPr>
      <w:r>
        <w:separator/>
      </w:r>
    </w:p>
  </w:footnote>
  <w:footnote w:type="continuationSeparator" w:id="0">
    <w:p w14:paraId="42492087" w14:textId="77777777" w:rsidR="00F04337" w:rsidRDefault="00F04337" w:rsidP="001A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3980" w14:textId="77777777" w:rsidR="00F04337" w:rsidRDefault="00F04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4F67" w14:textId="77777777" w:rsidR="00DD2D67" w:rsidRPr="006C52E7" w:rsidRDefault="006F2C2F" w:rsidP="006F2C2F">
    <w:pPr>
      <w:pStyle w:val="Header"/>
      <w:jc w:val="center"/>
      <w:rPr>
        <w:rFonts w:asciiTheme="minorHAnsi" w:hAnsiTheme="minorHAnsi" w:cstheme="minorHAnsi"/>
        <w:i/>
      </w:rPr>
    </w:pPr>
    <w:r>
      <w:rPr>
        <w:rFonts w:asciiTheme="minorHAnsi" w:hAnsiTheme="minorHAnsi" w:cstheme="minorHAnsi"/>
        <w:i/>
      </w:rPr>
      <w:t>Public Summary Document</w:t>
    </w:r>
    <w:r w:rsidR="00DD2D67" w:rsidRPr="006C52E7">
      <w:rPr>
        <w:rFonts w:asciiTheme="minorHAnsi" w:hAnsiTheme="minorHAnsi" w:cstheme="minorHAnsi"/>
        <w:i/>
      </w:rPr>
      <w:t>– March 2021 PBAC Meeting</w:t>
    </w:r>
  </w:p>
  <w:p w14:paraId="7D33DE95" w14:textId="77777777" w:rsidR="00DD2D67" w:rsidRDefault="00DD2D67" w:rsidP="008D52A0">
    <w:pPr>
      <w:pStyle w:val="Header"/>
      <w:jc w:val="right"/>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E57D" w14:textId="77777777" w:rsidR="00F04337" w:rsidRDefault="00F0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1C0466"/>
    <w:multiLevelType w:val="hybridMultilevel"/>
    <w:tmpl w:val="DB667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2652E"/>
    <w:multiLevelType w:val="multilevel"/>
    <w:tmpl w:val="C62886B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A5C64"/>
    <w:multiLevelType w:val="hybridMultilevel"/>
    <w:tmpl w:val="4CB4FE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53795B"/>
    <w:multiLevelType w:val="multilevel"/>
    <w:tmpl w:val="0F5A5FCC"/>
    <w:lvl w:ilvl="0">
      <w:start w:val="1"/>
      <w:numFmt w:val="decimal"/>
      <w:pStyle w:val="2-SectionHeading"/>
      <w:lvlText w:val="%1"/>
      <w:lvlJc w:val="left"/>
      <w:pPr>
        <w:ind w:left="720" w:hanging="720"/>
      </w:pPr>
      <w:rPr>
        <w:rFonts w:hint="default"/>
        <w:b/>
        <w:i w:val="0"/>
        <w:color w:val="auto"/>
        <w:sz w:val="32"/>
        <w:szCs w:val="32"/>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643B1"/>
    <w:multiLevelType w:val="multilevel"/>
    <w:tmpl w:val="42F29D7C"/>
    <w:lvl w:ilvl="0">
      <w:start w:val="3"/>
      <w:numFmt w:val="decimal"/>
      <w:lvlText w:val="%1"/>
      <w:lvlJc w:val="left"/>
      <w:pPr>
        <w:ind w:left="360" w:hanging="360"/>
      </w:pPr>
      <w:rPr>
        <w:rFonts w:hint="default"/>
      </w:rPr>
    </w:lvl>
    <w:lvl w:ilvl="1">
      <w:start w:val="8"/>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A3648"/>
    <w:multiLevelType w:val="hybridMultilevel"/>
    <w:tmpl w:val="30F0F322"/>
    <w:lvl w:ilvl="0" w:tplc="2E38A22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B219F8"/>
    <w:multiLevelType w:val="hybridMultilevel"/>
    <w:tmpl w:val="83523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227293"/>
    <w:multiLevelType w:val="hybridMultilevel"/>
    <w:tmpl w:val="30EE617A"/>
    <w:lvl w:ilvl="0" w:tplc="072C72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2E3C28"/>
    <w:multiLevelType w:val="multilevel"/>
    <w:tmpl w:val="001443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B5C2A"/>
    <w:multiLevelType w:val="hybridMultilevel"/>
    <w:tmpl w:val="082CE130"/>
    <w:lvl w:ilvl="0" w:tplc="52C82238">
      <w:start w:val="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4DF34B9"/>
    <w:multiLevelType w:val="hybridMultilevel"/>
    <w:tmpl w:val="96328C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4E5510"/>
    <w:multiLevelType w:val="hybridMultilevel"/>
    <w:tmpl w:val="1E446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804F92"/>
    <w:multiLevelType w:val="multilevel"/>
    <w:tmpl w:val="903CC664"/>
    <w:lvl w:ilvl="0">
      <w:start w:val="2"/>
      <w:numFmt w:val="decimal"/>
      <w:lvlText w:val="%1"/>
      <w:lvlJc w:val="left"/>
      <w:pPr>
        <w:ind w:left="360" w:hanging="360"/>
      </w:pPr>
      <w:rPr>
        <w:rFonts w:cstheme="minorHAnsi" w:hint="default"/>
      </w:rPr>
    </w:lvl>
    <w:lvl w:ilvl="1">
      <w:start w:val="7"/>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2" w15:restartNumberingAfterBreak="0">
    <w:nsid w:val="6794755D"/>
    <w:multiLevelType w:val="multilevel"/>
    <w:tmpl w:val="7F742A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EEA65FA"/>
    <w:multiLevelType w:val="multilevel"/>
    <w:tmpl w:val="E89C69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A730B3"/>
    <w:multiLevelType w:val="multilevel"/>
    <w:tmpl w:val="F41C56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610FD8"/>
    <w:multiLevelType w:val="multilevel"/>
    <w:tmpl w:val="0C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80D6D88"/>
    <w:multiLevelType w:val="multilevel"/>
    <w:tmpl w:val="84D4535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96BC1D1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BC51916"/>
    <w:multiLevelType w:val="multilevel"/>
    <w:tmpl w:val="3FB44AA8"/>
    <w:lvl w:ilvl="0">
      <w:start w:val="2"/>
      <w:numFmt w:val="decimal"/>
      <w:lvlText w:val="%1"/>
      <w:lvlJc w:val="left"/>
      <w:pPr>
        <w:ind w:left="360" w:hanging="360"/>
      </w:pPr>
      <w:rPr>
        <w:rFonts w:cstheme="minorHAnsi" w:hint="default"/>
      </w:rPr>
    </w:lvl>
    <w:lvl w:ilvl="1">
      <w:start w:val="7"/>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7CF922F3"/>
    <w:multiLevelType w:val="hybridMultilevel"/>
    <w:tmpl w:val="1626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15"/>
  </w:num>
  <w:num w:numId="6">
    <w:abstractNumId w:val="28"/>
  </w:num>
  <w:num w:numId="7">
    <w:abstractNumId w:val="30"/>
  </w:num>
  <w:num w:numId="8">
    <w:abstractNumId w:val="21"/>
  </w:num>
  <w:num w:numId="9">
    <w:abstractNumId w:val="25"/>
  </w:num>
  <w:num w:numId="10">
    <w:abstractNumId w:val="27"/>
  </w:num>
  <w:num w:numId="11">
    <w:abstractNumId w:val="3"/>
  </w:num>
  <w:num w:numId="12">
    <w:abstractNumId w:val="13"/>
  </w:num>
  <w:num w:numId="13">
    <w:abstractNumId w:val="22"/>
  </w:num>
  <w:num w:numId="14">
    <w:abstractNumId w:val="29"/>
  </w:num>
  <w:num w:numId="15">
    <w:abstractNumId w:val="23"/>
  </w:num>
  <w:num w:numId="16">
    <w:abstractNumId w:val="16"/>
  </w:num>
  <w:num w:numId="17">
    <w:abstractNumId w:val="1"/>
  </w:num>
  <w:num w:numId="18">
    <w:abstractNumId w:val="5"/>
  </w:num>
  <w:num w:numId="19">
    <w:abstractNumId w:val="20"/>
  </w:num>
  <w:num w:numId="20">
    <w:abstractNumId w:val="8"/>
  </w:num>
  <w:num w:numId="21">
    <w:abstractNumId w:val="31"/>
  </w:num>
  <w:num w:numId="22">
    <w:abstractNumId w:val="26"/>
  </w:num>
  <w:num w:numId="23">
    <w:abstractNumId w:val="12"/>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17"/>
  </w:num>
  <w:num w:numId="29">
    <w:abstractNumId w:val="19"/>
  </w:num>
  <w:num w:numId="30">
    <w:abstractNumId w:val="4"/>
  </w:num>
  <w:num w:numId="31">
    <w:abstractNumId w:val="0"/>
  </w:num>
  <w:num w:numId="32">
    <w:abstractNumId w:val="11"/>
  </w:num>
  <w:num w:numId="33">
    <w:abstractNumId w:val="14"/>
  </w:num>
  <w:num w:numId="34">
    <w:abstractNumId w:val="10"/>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69"/>
    <w:rsid w:val="0000365D"/>
    <w:rsid w:val="000067F0"/>
    <w:rsid w:val="00022880"/>
    <w:rsid w:val="0002726D"/>
    <w:rsid w:val="00033875"/>
    <w:rsid w:val="0003718F"/>
    <w:rsid w:val="0005486F"/>
    <w:rsid w:val="00056755"/>
    <w:rsid w:val="0007153B"/>
    <w:rsid w:val="00092ADD"/>
    <w:rsid w:val="000A0F53"/>
    <w:rsid w:val="000B6784"/>
    <w:rsid w:val="000C73DD"/>
    <w:rsid w:val="000D13C5"/>
    <w:rsid w:val="000E2A17"/>
    <w:rsid w:val="00105B4C"/>
    <w:rsid w:val="0011518C"/>
    <w:rsid w:val="00125119"/>
    <w:rsid w:val="00140D89"/>
    <w:rsid w:val="00142A83"/>
    <w:rsid w:val="00153C9F"/>
    <w:rsid w:val="001558D6"/>
    <w:rsid w:val="00184DAC"/>
    <w:rsid w:val="00185451"/>
    <w:rsid w:val="001858BD"/>
    <w:rsid w:val="0019331F"/>
    <w:rsid w:val="00194F9F"/>
    <w:rsid w:val="001963B9"/>
    <w:rsid w:val="001A02FA"/>
    <w:rsid w:val="001A2CBE"/>
    <w:rsid w:val="001A6234"/>
    <w:rsid w:val="001D7B0A"/>
    <w:rsid w:val="001E045A"/>
    <w:rsid w:val="001F7D0C"/>
    <w:rsid w:val="001F7DE1"/>
    <w:rsid w:val="002060B1"/>
    <w:rsid w:val="00217908"/>
    <w:rsid w:val="00217990"/>
    <w:rsid w:val="002330D1"/>
    <w:rsid w:val="00242D61"/>
    <w:rsid w:val="002448AB"/>
    <w:rsid w:val="00253906"/>
    <w:rsid w:val="00264DE9"/>
    <w:rsid w:val="002749FF"/>
    <w:rsid w:val="00277BA5"/>
    <w:rsid w:val="00280050"/>
    <w:rsid w:val="00280304"/>
    <w:rsid w:val="00281A28"/>
    <w:rsid w:val="0029640D"/>
    <w:rsid w:val="002A28DF"/>
    <w:rsid w:val="002A36B5"/>
    <w:rsid w:val="002A723C"/>
    <w:rsid w:val="002A79D2"/>
    <w:rsid w:val="002B36F9"/>
    <w:rsid w:val="002C0AF6"/>
    <w:rsid w:val="002D202C"/>
    <w:rsid w:val="002F3297"/>
    <w:rsid w:val="0030068B"/>
    <w:rsid w:val="00312F57"/>
    <w:rsid w:val="00314782"/>
    <w:rsid w:val="003261D2"/>
    <w:rsid w:val="00330A69"/>
    <w:rsid w:val="00335750"/>
    <w:rsid w:val="00337D1B"/>
    <w:rsid w:val="003414A9"/>
    <w:rsid w:val="00347992"/>
    <w:rsid w:val="00353D90"/>
    <w:rsid w:val="00356C1D"/>
    <w:rsid w:val="00357C2B"/>
    <w:rsid w:val="003639F8"/>
    <w:rsid w:val="003650F8"/>
    <w:rsid w:val="00370D48"/>
    <w:rsid w:val="003817C0"/>
    <w:rsid w:val="0038333F"/>
    <w:rsid w:val="00387BD4"/>
    <w:rsid w:val="00387F0C"/>
    <w:rsid w:val="00397B0C"/>
    <w:rsid w:val="00397E1A"/>
    <w:rsid w:val="003B643E"/>
    <w:rsid w:val="003C146C"/>
    <w:rsid w:val="003C15BC"/>
    <w:rsid w:val="003E14E6"/>
    <w:rsid w:val="003E494D"/>
    <w:rsid w:val="003E51F2"/>
    <w:rsid w:val="003E553E"/>
    <w:rsid w:val="003E5DEC"/>
    <w:rsid w:val="003F2E87"/>
    <w:rsid w:val="00403A51"/>
    <w:rsid w:val="00422344"/>
    <w:rsid w:val="004251CF"/>
    <w:rsid w:val="00430DA3"/>
    <w:rsid w:val="00431583"/>
    <w:rsid w:val="004361A1"/>
    <w:rsid w:val="004420D0"/>
    <w:rsid w:val="0046145B"/>
    <w:rsid w:val="00484491"/>
    <w:rsid w:val="0048704C"/>
    <w:rsid w:val="004B014F"/>
    <w:rsid w:val="004C1E45"/>
    <w:rsid w:val="004C6549"/>
    <w:rsid w:val="004C7E02"/>
    <w:rsid w:val="004E3D2C"/>
    <w:rsid w:val="004E4FBF"/>
    <w:rsid w:val="004E6DD9"/>
    <w:rsid w:val="004F3157"/>
    <w:rsid w:val="004F4976"/>
    <w:rsid w:val="004F4D93"/>
    <w:rsid w:val="00502057"/>
    <w:rsid w:val="00510211"/>
    <w:rsid w:val="00512440"/>
    <w:rsid w:val="0051481F"/>
    <w:rsid w:val="005248B6"/>
    <w:rsid w:val="005255A0"/>
    <w:rsid w:val="0052661D"/>
    <w:rsid w:val="00532585"/>
    <w:rsid w:val="005344F6"/>
    <w:rsid w:val="005414E6"/>
    <w:rsid w:val="00552293"/>
    <w:rsid w:val="00573507"/>
    <w:rsid w:val="005906C8"/>
    <w:rsid w:val="005954E0"/>
    <w:rsid w:val="005A09EA"/>
    <w:rsid w:val="005A1424"/>
    <w:rsid w:val="005A1D1C"/>
    <w:rsid w:val="005A7270"/>
    <w:rsid w:val="005A799B"/>
    <w:rsid w:val="005B0DB5"/>
    <w:rsid w:val="005B12B5"/>
    <w:rsid w:val="005C5ADB"/>
    <w:rsid w:val="005D1B17"/>
    <w:rsid w:val="005E45AC"/>
    <w:rsid w:val="005F4D2B"/>
    <w:rsid w:val="00605C8E"/>
    <w:rsid w:val="00607686"/>
    <w:rsid w:val="00621D5F"/>
    <w:rsid w:val="006352BF"/>
    <w:rsid w:val="00645927"/>
    <w:rsid w:val="00651D23"/>
    <w:rsid w:val="00653FB8"/>
    <w:rsid w:val="00677AD7"/>
    <w:rsid w:val="00680DE4"/>
    <w:rsid w:val="00686F61"/>
    <w:rsid w:val="00696CD5"/>
    <w:rsid w:val="00697419"/>
    <w:rsid w:val="006B7B0C"/>
    <w:rsid w:val="006C52E7"/>
    <w:rsid w:val="006F2C2F"/>
    <w:rsid w:val="006F7FD2"/>
    <w:rsid w:val="00703B86"/>
    <w:rsid w:val="007147D3"/>
    <w:rsid w:val="00715003"/>
    <w:rsid w:val="0071783C"/>
    <w:rsid w:val="00717A3A"/>
    <w:rsid w:val="00720CD7"/>
    <w:rsid w:val="00723D8D"/>
    <w:rsid w:val="00726275"/>
    <w:rsid w:val="00730403"/>
    <w:rsid w:val="007325AE"/>
    <w:rsid w:val="00741EBF"/>
    <w:rsid w:val="0074452B"/>
    <w:rsid w:val="007569D9"/>
    <w:rsid w:val="00774F6B"/>
    <w:rsid w:val="007822AA"/>
    <w:rsid w:val="00785DE9"/>
    <w:rsid w:val="007936BD"/>
    <w:rsid w:val="007A73E3"/>
    <w:rsid w:val="007B2874"/>
    <w:rsid w:val="007B49DB"/>
    <w:rsid w:val="007C4EBB"/>
    <w:rsid w:val="007C7EF3"/>
    <w:rsid w:val="007D04E6"/>
    <w:rsid w:val="007D2BA8"/>
    <w:rsid w:val="007E6CAD"/>
    <w:rsid w:val="007F4507"/>
    <w:rsid w:val="008176F4"/>
    <w:rsid w:val="00825660"/>
    <w:rsid w:val="008324F3"/>
    <w:rsid w:val="00836CF8"/>
    <w:rsid w:val="00840375"/>
    <w:rsid w:val="00846A86"/>
    <w:rsid w:val="00846C32"/>
    <w:rsid w:val="0085178A"/>
    <w:rsid w:val="00855D5F"/>
    <w:rsid w:val="00864B21"/>
    <w:rsid w:val="00882ABA"/>
    <w:rsid w:val="00883446"/>
    <w:rsid w:val="00884547"/>
    <w:rsid w:val="008876AF"/>
    <w:rsid w:val="00887F44"/>
    <w:rsid w:val="008901C7"/>
    <w:rsid w:val="008A07B5"/>
    <w:rsid w:val="008A16C6"/>
    <w:rsid w:val="008A17B2"/>
    <w:rsid w:val="008A6B8E"/>
    <w:rsid w:val="008C02D1"/>
    <w:rsid w:val="008C268E"/>
    <w:rsid w:val="008D1B12"/>
    <w:rsid w:val="008D1DF3"/>
    <w:rsid w:val="008D52A0"/>
    <w:rsid w:val="008D5EE6"/>
    <w:rsid w:val="008E405A"/>
    <w:rsid w:val="008E584B"/>
    <w:rsid w:val="008F7EA3"/>
    <w:rsid w:val="0091137C"/>
    <w:rsid w:val="00926EDC"/>
    <w:rsid w:val="00932444"/>
    <w:rsid w:val="00935DE4"/>
    <w:rsid w:val="0094725F"/>
    <w:rsid w:val="00960A51"/>
    <w:rsid w:val="00976044"/>
    <w:rsid w:val="00983705"/>
    <w:rsid w:val="00991063"/>
    <w:rsid w:val="009A16CA"/>
    <w:rsid w:val="009A35A8"/>
    <w:rsid w:val="009A5B3F"/>
    <w:rsid w:val="009A6B1A"/>
    <w:rsid w:val="009B0160"/>
    <w:rsid w:val="009B2E0E"/>
    <w:rsid w:val="009C3B87"/>
    <w:rsid w:val="009C5ACC"/>
    <w:rsid w:val="009D0914"/>
    <w:rsid w:val="009E247F"/>
    <w:rsid w:val="009F64AC"/>
    <w:rsid w:val="00A10EB6"/>
    <w:rsid w:val="00A21944"/>
    <w:rsid w:val="00A2428A"/>
    <w:rsid w:val="00A26D96"/>
    <w:rsid w:val="00A31520"/>
    <w:rsid w:val="00A33C30"/>
    <w:rsid w:val="00A409B4"/>
    <w:rsid w:val="00A42665"/>
    <w:rsid w:val="00A44B06"/>
    <w:rsid w:val="00A461D9"/>
    <w:rsid w:val="00A52C72"/>
    <w:rsid w:val="00A67FE5"/>
    <w:rsid w:val="00A722E5"/>
    <w:rsid w:val="00A72B19"/>
    <w:rsid w:val="00A94606"/>
    <w:rsid w:val="00AA023B"/>
    <w:rsid w:val="00AA0EA3"/>
    <w:rsid w:val="00AA5AF5"/>
    <w:rsid w:val="00AC0233"/>
    <w:rsid w:val="00AC040E"/>
    <w:rsid w:val="00AC285F"/>
    <w:rsid w:val="00AC7569"/>
    <w:rsid w:val="00AD051E"/>
    <w:rsid w:val="00AD3F8C"/>
    <w:rsid w:val="00AD4FF4"/>
    <w:rsid w:val="00AE5C0F"/>
    <w:rsid w:val="00AE738B"/>
    <w:rsid w:val="00AE7817"/>
    <w:rsid w:val="00AF2B86"/>
    <w:rsid w:val="00AF4986"/>
    <w:rsid w:val="00B0581F"/>
    <w:rsid w:val="00B05FEA"/>
    <w:rsid w:val="00B17F64"/>
    <w:rsid w:val="00B207AC"/>
    <w:rsid w:val="00B23704"/>
    <w:rsid w:val="00B245D6"/>
    <w:rsid w:val="00B33502"/>
    <w:rsid w:val="00B36271"/>
    <w:rsid w:val="00B40C9F"/>
    <w:rsid w:val="00B43714"/>
    <w:rsid w:val="00B53C2E"/>
    <w:rsid w:val="00B54F16"/>
    <w:rsid w:val="00B73E43"/>
    <w:rsid w:val="00B77EE0"/>
    <w:rsid w:val="00B86E4C"/>
    <w:rsid w:val="00B96F8F"/>
    <w:rsid w:val="00B97941"/>
    <w:rsid w:val="00BA0B86"/>
    <w:rsid w:val="00BA42C6"/>
    <w:rsid w:val="00BB01FA"/>
    <w:rsid w:val="00BB59B9"/>
    <w:rsid w:val="00BC6B90"/>
    <w:rsid w:val="00BC7B1F"/>
    <w:rsid w:val="00BD50E0"/>
    <w:rsid w:val="00BF5965"/>
    <w:rsid w:val="00C06AB0"/>
    <w:rsid w:val="00C0780A"/>
    <w:rsid w:val="00C23470"/>
    <w:rsid w:val="00C26F93"/>
    <w:rsid w:val="00C278CD"/>
    <w:rsid w:val="00C3362E"/>
    <w:rsid w:val="00C33B20"/>
    <w:rsid w:val="00C414B5"/>
    <w:rsid w:val="00C42D30"/>
    <w:rsid w:val="00C527F6"/>
    <w:rsid w:val="00C534C9"/>
    <w:rsid w:val="00C55CE1"/>
    <w:rsid w:val="00C61B85"/>
    <w:rsid w:val="00C61E0B"/>
    <w:rsid w:val="00C6691A"/>
    <w:rsid w:val="00C84A66"/>
    <w:rsid w:val="00C92FD3"/>
    <w:rsid w:val="00C95244"/>
    <w:rsid w:val="00CB5C17"/>
    <w:rsid w:val="00CC7190"/>
    <w:rsid w:val="00CD08DB"/>
    <w:rsid w:val="00CE2ACE"/>
    <w:rsid w:val="00CE4F55"/>
    <w:rsid w:val="00CF7BAD"/>
    <w:rsid w:val="00D1082A"/>
    <w:rsid w:val="00D10C41"/>
    <w:rsid w:val="00D1651A"/>
    <w:rsid w:val="00D213A5"/>
    <w:rsid w:val="00D24CDC"/>
    <w:rsid w:val="00D33CC6"/>
    <w:rsid w:val="00D36DD3"/>
    <w:rsid w:val="00D530D5"/>
    <w:rsid w:val="00D84529"/>
    <w:rsid w:val="00D85201"/>
    <w:rsid w:val="00D85985"/>
    <w:rsid w:val="00D85CB0"/>
    <w:rsid w:val="00DA2526"/>
    <w:rsid w:val="00DB3019"/>
    <w:rsid w:val="00DB6CC6"/>
    <w:rsid w:val="00DC1235"/>
    <w:rsid w:val="00DD2D67"/>
    <w:rsid w:val="00DE1A47"/>
    <w:rsid w:val="00DE48C7"/>
    <w:rsid w:val="00DE6B49"/>
    <w:rsid w:val="00DF2413"/>
    <w:rsid w:val="00DF7821"/>
    <w:rsid w:val="00E056CF"/>
    <w:rsid w:val="00E072DE"/>
    <w:rsid w:val="00E159C2"/>
    <w:rsid w:val="00E17977"/>
    <w:rsid w:val="00E30500"/>
    <w:rsid w:val="00E30D35"/>
    <w:rsid w:val="00E3170F"/>
    <w:rsid w:val="00E367BF"/>
    <w:rsid w:val="00E401AD"/>
    <w:rsid w:val="00E47968"/>
    <w:rsid w:val="00E6148E"/>
    <w:rsid w:val="00E64699"/>
    <w:rsid w:val="00E73323"/>
    <w:rsid w:val="00E74514"/>
    <w:rsid w:val="00E74EE5"/>
    <w:rsid w:val="00E80529"/>
    <w:rsid w:val="00E83F91"/>
    <w:rsid w:val="00E90DB7"/>
    <w:rsid w:val="00E97ADB"/>
    <w:rsid w:val="00EA0D23"/>
    <w:rsid w:val="00EC258D"/>
    <w:rsid w:val="00ED07D3"/>
    <w:rsid w:val="00ED588B"/>
    <w:rsid w:val="00ED75FA"/>
    <w:rsid w:val="00F022E0"/>
    <w:rsid w:val="00F03CD7"/>
    <w:rsid w:val="00F04337"/>
    <w:rsid w:val="00F13F0F"/>
    <w:rsid w:val="00F14D6C"/>
    <w:rsid w:val="00F26DE3"/>
    <w:rsid w:val="00F33173"/>
    <w:rsid w:val="00F346F8"/>
    <w:rsid w:val="00F34D7C"/>
    <w:rsid w:val="00F34E4D"/>
    <w:rsid w:val="00F43087"/>
    <w:rsid w:val="00F43F17"/>
    <w:rsid w:val="00F45D9E"/>
    <w:rsid w:val="00F4730E"/>
    <w:rsid w:val="00F52376"/>
    <w:rsid w:val="00F70659"/>
    <w:rsid w:val="00F71AD4"/>
    <w:rsid w:val="00F760EA"/>
    <w:rsid w:val="00F8020C"/>
    <w:rsid w:val="00F8224F"/>
    <w:rsid w:val="00F927CD"/>
    <w:rsid w:val="00FA28C3"/>
    <w:rsid w:val="00FA4C0A"/>
    <w:rsid w:val="00FB2586"/>
    <w:rsid w:val="00FD3E5E"/>
    <w:rsid w:val="00FE7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9C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44F6"/>
    <w:pPr>
      <w:keepNext/>
      <w:keepLines/>
      <w:numPr>
        <w:numId w:val="2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section Headings"/>
    <w:basedOn w:val="Normal"/>
    <w:next w:val="Normal"/>
    <w:link w:val="Heading2Char"/>
    <w:uiPriority w:val="1"/>
    <w:qFormat/>
    <w:rsid w:val="0094725F"/>
    <w:pPr>
      <w:keepNext/>
      <w:numPr>
        <w:ilvl w:val="1"/>
        <w:numId w:val="22"/>
      </w:numPr>
      <w:spacing w:after="0" w:line="240" w:lineRule="auto"/>
      <w:jc w:val="both"/>
      <w:outlineLvl w:val="1"/>
    </w:pPr>
    <w:rPr>
      <w:rFonts w:ascii="Arial" w:eastAsia="Times New Roman" w:hAnsi="Arial"/>
      <w:b/>
      <w:i/>
      <w:sz w:val="22"/>
      <w:lang w:eastAsia="en-AU"/>
    </w:rPr>
  </w:style>
  <w:style w:type="paragraph" w:styleId="Heading3">
    <w:name w:val="heading 3"/>
    <w:basedOn w:val="Normal"/>
    <w:next w:val="Normal"/>
    <w:link w:val="Heading3Char"/>
    <w:uiPriority w:val="9"/>
    <w:semiHidden/>
    <w:unhideWhenUsed/>
    <w:qFormat/>
    <w:rsid w:val="005344F6"/>
    <w:pPr>
      <w:keepNext/>
      <w:keepLines/>
      <w:numPr>
        <w:ilvl w:val="2"/>
        <w:numId w:val="22"/>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344F6"/>
    <w:pPr>
      <w:keepNext/>
      <w:keepLines/>
      <w:numPr>
        <w:ilvl w:val="3"/>
        <w:numId w:val="2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344F6"/>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344F6"/>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344F6"/>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344F6"/>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4F6"/>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unhideWhenUsed/>
    <w:rsid w:val="00A67FE5"/>
    <w:pPr>
      <w:tabs>
        <w:tab w:val="center" w:pos="4513"/>
        <w:tab w:val="right" w:pos="9026"/>
      </w:tabs>
      <w:spacing w:after="0" w:line="240" w:lineRule="auto"/>
    </w:pPr>
    <w:rPr>
      <w:rFonts w:eastAsia="Times New Roman"/>
      <w:lang w:eastAsia="en-AU"/>
    </w:rPr>
  </w:style>
  <w:style w:type="character" w:customStyle="1" w:styleId="HeaderChar">
    <w:name w:val="Header Char"/>
    <w:aliases w:val="Page Header Char,Header title Char,he=header Char,cntr/bld Char"/>
    <w:basedOn w:val="DefaultParagraphFont"/>
    <w:link w:val="Header"/>
    <w:uiPriority w:val="99"/>
    <w:rsid w:val="00A67FE5"/>
    <w:rPr>
      <w:rFonts w:eastAsia="Times New Roman"/>
      <w:lang w:eastAsia="en-AU"/>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basedOn w:val="Normal"/>
    <w:link w:val="ListParagraphChar"/>
    <w:uiPriority w:val="34"/>
    <w:qFormat/>
    <w:rsid w:val="00484491"/>
    <w:pPr>
      <w:ind w:left="720"/>
      <w:contextualSpacing/>
    </w:pPr>
  </w:style>
  <w:style w:type="character" w:styleId="CommentReference">
    <w:name w:val="annotation reference"/>
    <w:aliases w:val="Table Title"/>
    <w:basedOn w:val="DefaultParagraphFont"/>
    <w:uiPriority w:val="99"/>
    <w:unhideWhenUsed/>
    <w:qFormat/>
    <w:rsid w:val="006B7B0C"/>
    <w:rPr>
      <w:sz w:val="16"/>
      <w:szCs w:val="16"/>
    </w:rPr>
  </w:style>
  <w:style w:type="paragraph" w:styleId="CommentText">
    <w:name w:val="annotation text"/>
    <w:basedOn w:val="Normal"/>
    <w:link w:val="CommentTextChar"/>
    <w:unhideWhenUsed/>
    <w:rsid w:val="006B7B0C"/>
    <w:pPr>
      <w:spacing w:line="240" w:lineRule="auto"/>
    </w:pPr>
    <w:rPr>
      <w:sz w:val="20"/>
      <w:szCs w:val="20"/>
    </w:rPr>
  </w:style>
  <w:style w:type="character" w:customStyle="1" w:styleId="CommentTextChar">
    <w:name w:val="Comment Text Char"/>
    <w:basedOn w:val="DefaultParagraphFont"/>
    <w:link w:val="CommentText"/>
    <w:rsid w:val="006B7B0C"/>
    <w:rPr>
      <w:sz w:val="20"/>
      <w:szCs w:val="20"/>
    </w:rPr>
  </w:style>
  <w:style w:type="paragraph" w:styleId="CommentSubject">
    <w:name w:val="annotation subject"/>
    <w:basedOn w:val="CommentText"/>
    <w:next w:val="CommentText"/>
    <w:link w:val="CommentSubjectChar"/>
    <w:uiPriority w:val="99"/>
    <w:semiHidden/>
    <w:unhideWhenUsed/>
    <w:rsid w:val="006B7B0C"/>
    <w:rPr>
      <w:b/>
      <w:bCs/>
    </w:rPr>
  </w:style>
  <w:style w:type="character" w:customStyle="1" w:styleId="CommentSubjectChar">
    <w:name w:val="Comment Subject Char"/>
    <w:basedOn w:val="CommentTextChar"/>
    <w:link w:val="CommentSubject"/>
    <w:uiPriority w:val="99"/>
    <w:semiHidden/>
    <w:rsid w:val="006B7B0C"/>
    <w:rPr>
      <w:b/>
      <w:bCs/>
      <w:sz w:val="20"/>
      <w:szCs w:val="20"/>
    </w:rPr>
  </w:style>
  <w:style w:type="paragraph" w:styleId="BalloonText">
    <w:name w:val="Balloon Text"/>
    <w:basedOn w:val="Normal"/>
    <w:link w:val="BalloonTextChar"/>
    <w:uiPriority w:val="99"/>
    <w:semiHidden/>
    <w:unhideWhenUsed/>
    <w:rsid w:val="006B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0C"/>
    <w:rPr>
      <w:rFonts w:ascii="Segoe UI" w:hAnsi="Segoe UI" w:cs="Segoe UI"/>
      <w:sz w:val="18"/>
      <w:szCs w:val="18"/>
    </w:rPr>
  </w:style>
  <w:style w:type="table" w:styleId="TableGrid">
    <w:name w:val="Table Grid"/>
    <w:basedOn w:val="TableNormal"/>
    <w:uiPriority w:val="39"/>
    <w:rsid w:val="0046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9B2E0E"/>
    <w:pPr>
      <w:numPr>
        <w:ilvl w:val="1"/>
        <w:numId w:val="1"/>
      </w:numPr>
      <w:spacing w:after="120" w:line="240" w:lineRule="auto"/>
      <w:contextualSpacing w:val="0"/>
    </w:pPr>
    <w:rPr>
      <w:rFonts w:asciiTheme="minorHAnsi" w:hAnsiTheme="minorHAnsi" w:cstheme="minorBidi"/>
      <w:szCs w:val="22"/>
      <w:lang w:eastAsia="en-AU"/>
    </w:rPr>
  </w:style>
  <w:style w:type="character" w:customStyle="1" w:styleId="3BodytextChar">
    <w:name w:val="3. Body text Char"/>
    <w:basedOn w:val="DefaultParagraphFont"/>
    <w:link w:val="3Bodytext"/>
    <w:rsid w:val="009B2E0E"/>
    <w:rPr>
      <w:rFonts w:asciiTheme="minorHAnsi" w:hAnsiTheme="minorHAnsi" w:cstheme="minorBidi"/>
      <w:szCs w:val="22"/>
      <w:lang w:eastAsia="en-AU"/>
    </w:rPr>
  </w:style>
  <w:style w:type="paragraph" w:customStyle="1" w:styleId="2-SectionHeading">
    <w:name w:val="2-Section Heading"/>
    <w:qFormat/>
    <w:rsid w:val="009B2E0E"/>
    <w:pPr>
      <w:keepNext/>
      <w:numPr>
        <w:numId w:val="1"/>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Tabletitles">
    <w:name w:val="Table titles"/>
    <w:basedOn w:val="NoSpacing"/>
    <w:link w:val="TabletitlesChar"/>
    <w:qFormat/>
    <w:rsid w:val="005A799B"/>
    <w:pPr>
      <w:spacing w:after="60"/>
      <w:jc w:val="both"/>
    </w:pPr>
    <w:rPr>
      <w:rFonts w:ascii="Arial Narrow" w:eastAsia="Times New Roman" w:hAnsi="Arial Narrow"/>
      <w:b/>
      <w:sz w:val="20"/>
      <w:szCs w:val="22"/>
      <w:lang w:eastAsia="en-AU"/>
    </w:rPr>
  </w:style>
  <w:style w:type="character" w:customStyle="1" w:styleId="TabletitlesChar">
    <w:name w:val="Table titles Char"/>
    <w:basedOn w:val="DefaultParagraphFont"/>
    <w:link w:val="Tabletitles"/>
    <w:rsid w:val="005A799B"/>
    <w:rPr>
      <w:rFonts w:ascii="Arial Narrow" w:eastAsia="Times New Roman" w:hAnsi="Arial Narrow"/>
      <w:b/>
      <w:sz w:val="20"/>
      <w:szCs w:val="22"/>
      <w:lang w:eastAsia="en-AU"/>
    </w:rPr>
  </w:style>
  <w:style w:type="paragraph" w:customStyle="1" w:styleId="TableText">
    <w:name w:val="Table Text"/>
    <w:link w:val="TableTextChar"/>
    <w:qFormat/>
    <w:rsid w:val="005A799B"/>
    <w:pPr>
      <w:keepNext/>
      <w:spacing w:after="0" w:line="240" w:lineRule="auto"/>
    </w:pPr>
    <w:rPr>
      <w:rFonts w:ascii="Arial Narrow" w:eastAsiaTheme="majorEastAsia" w:hAnsi="Arial Narrow" w:cstheme="majorBidi"/>
      <w:bCs/>
      <w:sz w:val="20"/>
      <w:lang w:eastAsia="en-AU"/>
    </w:rPr>
  </w:style>
  <w:style w:type="character" w:customStyle="1" w:styleId="TableTextChar">
    <w:name w:val="Table Text Char"/>
    <w:basedOn w:val="DefaultParagraphFont"/>
    <w:link w:val="TableText"/>
    <w:rsid w:val="005A799B"/>
    <w:rPr>
      <w:rFonts w:ascii="Arial Narrow" w:eastAsiaTheme="majorEastAsia" w:hAnsi="Arial Narrow" w:cstheme="majorBidi"/>
      <w:bCs/>
      <w:sz w:val="20"/>
      <w:lang w:eastAsia="en-AU"/>
    </w:rPr>
  </w:style>
  <w:style w:type="paragraph" w:customStyle="1" w:styleId="TableFigureFooter">
    <w:name w:val="Table/Figure Footer"/>
    <w:basedOn w:val="Normal"/>
    <w:link w:val="TableFigureFooterChar"/>
    <w:qFormat/>
    <w:rsid w:val="005A799B"/>
    <w:pPr>
      <w:spacing w:after="120" w:line="240" w:lineRule="auto"/>
      <w:contextualSpacing/>
      <w:jc w:val="both"/>
    </w:pPr>
    <w:rPr>
      <w:rFonts w:ascii="Arial Narrow" w:eastAsia="Times New Roman" w:hAnsi="Arial Narrow" w:cs="Arial"/>
      <w:snapToGrid w:val="0"/>
      <w:sz w:val="18"/>
      <w:szCs w:val="22"/>
      <w:lang w:eastAsia="en-AU"/>
    </w:rPr>
  </w:style>
  <w:style w:type="character" w:customStyle="1" w:styleId="TableFigureFooterChar">
    <w:name w:val="Table/Figure Footer Char"/>
    <w:link w:val="TableFigureFooter"/>
    <w:rsid w:val="005A799B"/>
    <w:rPr>
      <w:rFonts w:ascii="Arial Narrow" w:eastAsia="Times New Roman" w:hAnsi="Arial Narrow" w:cs="Arial"/>
      <w:snapToGrid w:val="0"/>
      <w:sz w:val="18"/>
      <w:szCs w:val="22"/>
      <w:lang w:eastAsia="en-AU"/>
    </w:rPr>
  </w:style>
  <w:style w:type="paragraph" w:styleId="NoSpacing">
    <w:name w:val="No Spacing"/>
    <w:uiPriority w:val="1"/>
    <w:qFormat/>
    <w:rsid w:val="005A799B"/>
    <w:pPr>
      <w:spacing w:after="0" w:line="240" w:lineRule="auto"/>
    </w:pPr>
  </w:style>
  <w:style w:type="paragraph" w:customStyle="1" w:styleId="1MainTitle">
    <w:name w:val="1. Main Title"/>
    <w:basedOn w:val="Title"/>
    <w:link w:val="1MainTitleChar"/>
    <w:qFormat/>
    <w:rsid w:val="00217908"/>
    <w:pPr>
      <w:spacing w:before="120" w:after="160"/>
      <w:ind w:left="720" w:hanging="720"/>
      <w:jc w:val="both"/>
      <w:outlineLvl w:val="0"/>
    </w:pPr>
    <w:rPr>
      <w:rFonts w:asciiTheme="minorHAnsi" w:hAnsiTheme="minorHAnsi"/>
      <w:b/>
      <w:spacing w:val="5"/>
      <w:sz w:val="36"/>
      <w:szCs w:val="36"/>
      <w:lang w:eastAsia="en-AU"/>
    </w:rPr>
  </w:style>
  <w:style w:type="character" w:customStyle="1" w:styleId="1MainTitleChar">
    <w:name w:val="1. Main Title Char"/>
    <w:basedOn w:val="TitleChar"/>
    <w:link w:val="1MainTitle"/>
    <w:rsid w:val="00217908"/>
    <w:rPr>
      <w:rFonts w:asciiTheme="minorHAnsi" w:eastAsiaTheme="majorEastAsia" w:hAnsiTheme="minorHAnsi" w:cstheme="majorBidi"/>
      <w:b/>
      <w:spacing w:val="5"/>
      <w:kern w:val="28"/>
      <w:sz w:val="36"/>
      <w:szCs w:val="36"/>
      <w:lang w:eastAsia="en-AU"/>
    </w:rPr>
  </w:style>
  <w:style w:type="paragraph" w:styleId="Title">
    <w:name w:val="Title"/>
    <w:basedOn w:val="Normal"/>
    <w:next w:val="Normal"/>
    <w:link w:val="TitleChar"/>
    <w:uiPriority w:val="10"/>
    <w:qFormat/>
    <w:rsid w:val="002179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908"/>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A2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CBE"/>
  </w:style>
  <w:style w:type="paragraph" w:customStyle="1" w:styleId="MinorOVRHeader">
    <w:name w:val="Minor OVR Header"/>
    <w:basedOn w:val="Header"/>
    <w:link w:val="MinorOVRHeaderChar"/>
    <w:rsid w:val="001A2CBE"/>
    <w:pPr>
      <w:keepNext/>
      <w:jc w:val="right"/>
    </w:pPr>
    <w:rPr>
      <w:rFonts w:asciiTheme="minorHAnsi" w:hAnsiTheme="minorHAnsi" w:cs="Arial"/>
    </w:rPr>
  </w:style>
  <w:style w:type="character" w:customStyle="1" w:styleId="MinorOVRHeaderChar">
    <w:name w:val="Minor OVR Header Char"/>
    <w:basedOn w:val="HeaderChar"/>
    <w:link w:val="MinorOVRHeader"/>
    <w:rsid w:val="001A2CBE"/>
    <w:rPr>
      <w:rFonts w:asciiTheme="minorHAnsi" w:eastAsia="Times New Roman" w:hAnsiTheme="minorHAnsi" w:cs="Arial"/>
      <w:lang w:eastAsia="en-AU"/>
    </w:rPr>
  </w:style>
  <w:style w:type="paragraph" w:customStyle="1" w:styleId="PBACFooter">
    <w:name w:val="PBAC Footer"/>
    <w:basedOn w:val="Footer"/>
    <w:link w:val="PBACFooterChar"/>
    <w:qFormat/>
    <w:rsid w:val="001A2CBE"/>
    <w:pPr>
      <w:tabs>
        <w:tab w:val="clear" w:pos="4513"/>
        <w:tab w:val="clear" w:pos="9026"/>
        <w:tab w:val="center" w:pos="4153"/>
        <w:tab w:val="right" w:pos="8306"/>
      </w:tabs>
      <w:jc w:val="center"/>
    </w:pPr>
    <w:rPr>
      <w:rFonts w:ascii="Arial" w:eastAsia="Times New Roman" w:hAnsi="Arial" w:cs="Arial"/>
      <w:b/>
      <w:sz w:val="20"/>
      <w:szCs w:val="20"/>
      <w:lang w:eastAsia="en-AU"/>
    </w:rPr>
  </w:style>
  <w:style w:type="character" w:customStyle="1" w:styleId="PBACFooterChar">
    <w:name w:val="PBAC Footer Char"/>
    <w:basedOn w:val="FooterChar"/>
    <w:link w:val="PBACFooter"/>
    <w:rsid w:val="001A2CBE"/>
    <w:rPr>
      <w:rFonts w:ascii="Arial" w:eastAsia="Times New Roman" w:hAnsi="Arial" w:cs="Arial"/>
      <w:b/>
      <w:sz w:val="20"/>
      <w:szCs w:val="20"/>
      <w:lang w:eastAsia="en-AU"/>
    </w:rPr>
  </w:style>
  <w:style w:type="character" w:customStyle="1" w:styleId="Heading2Char">
    <w:name w:val="Heading 2 Char"/>
    <w:aliases w:val="Subsection Headings Char"/>
    <w:basedOn w:val="DefaultParagraphFont"/>
    <w:link w:val="Heading2"/>
    <w:uiPriority w:val="1"/>
    <w:rsid w:val="0094725F"/>
    <w:rPr>
      <w:rFonts w:ascii="Arial" w:eastAsia="Times New Roman" w:hAnsi="Arial"/>
      <w:b/>
      <w:i/>
      <w:sz w:val="22"/>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94725F"/>
  </w:style>
  <w:style w:type="paragraph" w:customStyle="1" w:styleId="4-SubsectionHeading">
    <w:name w:val="4-Subsection Heading"/>
    <w:basedOn w:val="Heading2"/>
    <w:next w:val="Normal"/>
    <w:link w:val="4-SubsectionHeadingChar"/>
    <w:qFormat/>
    <w:rsid w:val="008D1DF3"/>
    <w:pPr>
      <w:numPr>
        <w:ilvl w:val="0"/>
        <w:numId w:val="0"/>
      </w:num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8D1DF3"/>
    <w:rPr>
      <w:rFonts w:asciiTheme="minorHAnsi" w:eastAsiaTheme="majorEastAsia" w:hAnsiTheme="minorHAnsi" w:cstheme="majorBidi"/>
      <w:b/>
      <w:i/>
      <w:spacing w:val="5"/>
      <w:kern w:val="28"/>
      <w:sz w:val="28"/>
      <w:szCs w:val="36"/>
      <w:lang w:eastAsia="en-AU"/>
    </w:rPr>
  </w:style>
  <w:style w:type="character" w:customStyle="1" w:styleId="Heading1Char">
    <w:name w:val="Heading 1 Char"/>
    <w:basedOn w:val="DefaultParagraphFont"/>
    <w:link w:val="Heading1"/>
    <w:uiPriority w:val="9"/>
    <w:rsid w:val="005344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44F6"/>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5344F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344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344F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344F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344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4F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32444"/>
    <w:rPr>
      <w:color w:val="0563C1" w:themeColor="hyperlink"/>
      <w:u w:val="single"/>
    </w:rPr>
  </w:style>
  <w:style w:type="paragraph" w:customStyle="1" w:styleId="PBACHeading1">
    <w:name w:val="PBAC Heading 1"/>
    <w:qFormat/>
    <w:rsid w:val="00680DE4"/>
    <w:pPr>
      <w:spacing w:after="0" w:line="240" w:lineRule="auto"/>
      <w:ind w:left="720" w:hanging="720"/>
    </w:pPr>
    <w:rPr>
      <w:rFonts w:ascii="Arial" w:eastAsia="Times New Roman" w:hAnsi="Arial" w:cs="Arial"/>
      <w:b/>
      <w:snapToGrid w:val="0"/>
      <w:sz w:val="22"/>
      <w:szCs w:val="22"/>
    </w:rPr>
  </w:style>
  <w:style w:type="character" w:styleId="FollowedHyperlink">
    <w:name w:val="FollowedHyperlink"/>
    <w:basedOn w:val="DefaultParagraphFont"/>
    <w:uiPriority w:val="99"/>
    <w:semiHidden/>
    <w:unhideWhenUsed/>
    <w:rsid w:val="009B0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754F-8C8C-4CAE-B7B2-5A7229D0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2021-07-07T02:22:00Z</dcterms:created>
  <dcterms:modified xsi:type="dcterms:W3CDTF">2021-07-07T02:22:00Z</dcterms:modified>
</cp:coreProperties>
</file>