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5C9" w:rsidRPr="00340CF8" w:rsidRDefault="00A235C9" w:rsidP="004E71AA">
      <w:pPr>
        <w:rPr>
          <w:rFonts w:cs="Calibri"/>
        </w:rPr>
      </w:pPr>
      <w:r w:rsidRPr="00D8290D">
        <w:rPr>
          <w:color w:val="FF0000"/>
        </w:rPr>
        <w:t>An addendum to this minute has been included at the end of the document.</w:t>
      </w:r>
    </w:p>
    <w:p w:rsidR="00A010D1" w:rsidRPr="00340CF8" w:rsidRDefault="005C160C" w:rsidP="00A010D1">
      <w:pPr>
        <w:pStyle w:val="1MainTitle"/>
        <w:jc w:val="left"/>
        <w:rPr>
          <w:rFonts w:eastAsia="Calibri"/>
          <w:lang w:eastAsia="en-US"/>
        </w:rPr>
      </w:pPr>
      <w:r w:rsidRPr="00340CF8">
        <w:rPr>
          <w:rFonts w:eastAsia="Calibri"/>
          <w:lang w:eastAsia="en-US"/>
        </w:rPr>
        <w:t>6.1</w:t>
      </w:r>
      <w:r w:rsidR="00D81CCD" w:rsidRPr="00340CF8">
        <w:rPr>
          <w:rFonts w:eastAsia="Calibri"/>
          <w:lang w:eastAsia="en-US"/>
        </w:rPr>
        <w:t>5</w:t>
      </w:r>
      <w:r w:rsidRPr="00340CF8">
        <w:rPr>
          <w:rFonts w:eastAsia="Calibri"/>
          <w:lang w:eastAsia="en-US"/>
        </w:rPr>
        <w:t xml:space="preserve"> </w:t>
      </w:r>
      <w:r w:rsidR="00A010D1" w:rsidRPr="00340CF8">
        <w:rPr>
          <w:rFonts w:eastAsia="Calibri"/>
          <w:lang w:eastAsia="en-US"/>
        </w:rPr>
        <w:t>BEVACIZUMAB</w:t>
      </w:r>
      <w:r w:rsidR="00C4305C" w:rsidRPr="00340CF8">
        <w:rPr>
          <w:rFonts w:eastAsia="Calibri"/>
          <w:lang w:eastAsia="en-US"/>
        </w:rPr>
        <w:t xml:space="preserve">, </w:t>
      </w:r>
    </w:p>
    <w:p w:rsidR="00A010D1" w:rsidRPr="00340CF8" w:rsidRDefault="00A010D1" w:rsidP="00BD2CF0">
      <w:pPr>
        <w:pStyle w:val="1MainTitle"/>
        <w:ind w:firstLine="0"/>
        <w:jc w:val="left"/>
        <w:rPr>
          <w:rFonts w:eastAsia="Calibri"/>
          <w:lang w:eastAsia="en-US"/>
        </w:rPr>
      </w:pPr>
      <w:r w:rsidRPr="00340CF8">
        <w:rPr>
          <w:rFonts w:eastAsia="Calibri"/>
          <w:lang w:eastAsia="en-US"/>
        </w:rPr>
        <w:t xml:space="preserve">Solution for I.V. infusion, 100 mg in 4 mL and 400 mg in 16 mL </w:t>
      </w:r>
    </w:p>
    <w:p w:rsidR="005C160C" w:rsidRPr="00340CF8" w:rsidRDefault="00A010D1" w:rsidP="00BD2CF0">
      <w:pPr>
        <w:pStyle w:val="1MainTitle"/>
        <w:ind w:firstLine="0"/>
        <w:jc w:val="left"/>
        <w:rPr>
          <w:rFonts w:eastAsia="Calibri"/>
          <w:lang w:eastAsia="en-US"/>
        </w:rPr>
      </w:pPr>
      <w:r w:rsidRPr="00340CF8">
        <w:rPr>
          <w:rFonts w:eastAsia="Calibri"/>
          <w:lang w:eastAsia="en-US"/>
        </w:rPr>
        <w:t xml:space="preserve">Mvasi®, </w:t>
      </w:r>
    </w:p>
    <w:p w:rsidR="00A010D1" w:rsidRPr="00340CF8" w:rsidRDefault="00A010D1" w:rsidP="00BD2CF0">
      <w:pPr>
        <w:pStyle w:val="1MainTitle"/>
        <w:ind w:firstLine="0"/>
        <w:jc w:val="left"/>
        <w:rPr>
          <w:rFonts w:eastAsia="Calibri"/>
          <w:lang w:eastAsia="en-US"/>
        </w:rPr>
      </w:pPr>
      <w:r w:rsidRPr="00340CF8">
        <w:rPr>
          <w:rFonts w:eastAsia="Calibri"/>
          <w:lang w:eastAsia="en-US"/>
        </w:rPr>
        <w:t>Amgen Australia Pty Ltd</w:t>
      </w:r>
    </w:p>
    <w:p w:rsidR="008368DE" w:rsidRPr="00340CF8" w:rsidRDefault="008368DE" w:rsidP="00005D98">
      <w:pPr>
        <w:pStyle w:val="2-SectionHeading"/>
        <w:numPr>
          <w:ilvl w:val="0"/>
          <w:numId w:val="3"/>
        </w:numPr>
        <w:ind w:left="720" w:hanging="720"/>
      </w:pPr>
      <w:r w:rsidRPr="00340CF8">
        <w:t xml:space="preserve">Purpose of Application </w:t>
      </w:r>
    </w:p>
    <w:p w:rsidR="008368DE" w:rsidRPr="00340CF8" w:rsidRDefault="00683193" w:rsidP="00005D98">
      <w:pPr>
        <w:pStyle w:val="3Bodytext"/>
        <w:numPr>
          <w:ilvl w:val="1"/>
          <w:numId w:val="3"/>
        </w:numPr>
        <w:rPr>
          <w:rFonts w:eastAsiaTheme="minorHAnsi"/>
        </w:rPr>
      </w:pPr>
      <w:r w:rsidRPr="00340CF8">
        <w:rPr>
          <w:rFonts w:eastAsiaTheme="minorHAnsi"/>
        </w:rPr>
        <w:t xml:space="preserve">The minor submission requested changes </w:t>
      </w:r>
      <w:r w:rsidR="008368DE" w:rsidRPr="00340CF8">
        <w:rPr>
          <w:rFonts w:eastAsiaTheme="minorHAnsi"/>
        </w:rPr>
        <w:t>to the restriction wordin</w:t>
      </w:r>
      <w:r w:rsidR="008368DE" w:rsidRPr="00340CF8">
        <w:rPr>
          <w:rFonts w:eastAsiaTheme="minorHAnsi"/>
          <w:color w:val="000000" w:themeColor="text1"/>
        </w:rPr>
        <w:t>g for bevacizumab</w:t>
      </w:r>
      <w:r w:rsidR="00F0168C" w:rsidRPr="00340CF8">
        <w:rPr>
          <w:rFonts w:eastAsiaTheme="minorHAnsi"/>
          <w:color w:val="000000" w:themeColor="text1"/>
        </w:rPr>
        <w:t xml:space="preserve"> </w:t>
      </w:r>
      <w:r w:rsidRPr="00340CF8">
        <w:rPr>
          <w:rFonts w:eastAsiaTheme="minorHAnsi"/>
        </w:rPr>
        <w:t>for the treatment of</w:t>
      </w:r>
      <w:r w:rsidR="00BD2CF0" w:rsidRPr="00340CF8">
        <w:rPr>
          <w:rFonts w:eastAsiaTheme="minorHAnsi"/>
        </w:rPr>
        <w:t xml:space="preserve"> non-small cell lung cancer (NSCLC) </w:t>
      </w:r>
      <w:r w:rsidRPr="00340CF8">
        <w:rPr>
          <w:rFonts w:eastAsiaTheme="minorHAnsi"/>
        </w:rPr>
        <w:t xml:space="preserve">under Section 100 (Efficient Funding of Chemotherapy) so that it </w:t>
      </w:r>
      <w:r w:rsidR="008368DE" w:rsidRPr="00340CF8">
        <w:rPr>
          <w:rFonts w:eastAsiaTheme="minorHAnsi"/>
        </w:rPr>
        <w:t>align</w:t>
      </w:r>
      <w:r w:rsidR="00D74C56" w:rsidRPr="00340CF8">
        <w:rPr>
          <w:rFonts w:eastAsiaTheme="minorHAnsi"/>
        </w:rPr>
        <w:t>s</w:t>
      </w:r>
      <w:r w:rsidR="008368DE" w:rsidRPr="00340CF8">
        <w:rPr>
          <w:rFonts w:eastAsiaTheme="minorHAnsi"/>
        </w:rPr>
        <w:t xml:space="preserve"> with the TGA-approved </w:t>
      </w:r>
      <w:r w:rsidR="003E072C" w:rsidRPr="00340CF8">
        <w:rPr>
          <w:rFonts w:eastAsiaTheme="minorHAnsi"/>
        </w:rPr>
        <w:t xml:space="preserve">indication </w:t>
      </w:r>
      <w:r w:rsidR="008368DE" w:rsidRPr="00340CF8">
        <w:rPr>
          <w:rFonts w:eastAsiaTheme="minorHAnsi"/>
        </w:rPr>
        <w:t>for the biosimilar brand of bevacizumab (Mvasi®), hereafter referred to</w:t>
      </w:r>
      <w:r w:rsidR="00FB6C29" w:rsidRPr="00340CF8">
        <w:rPr>
          <w:rFonts w:eastAsiaTheme="minorHAnsi"/>
        </w:rPr>
        <w:t xml:space="preserve"> </w:t>
      </w:r>
      <w:r w:rsidR="006B131C" w:rsidRPr="00340CF8">
        <w:rPr>
          <w:rFonts w:eastAsiaTheme="minorHAnsi"/>
        </w:rPr>
        <w:t>as</w:t>
      </w:r>
      <w:r w:rsidR="008368DE" w:rsidRPr="00340CF8">
        <w:rPr>
          <w:rFonts w:eastAsiaTheme="minorHAnsi"/>
        </w:rPr>
        <w:t xml:space="preserve"> Mvasi</w:t>
      </w:r>
      <w:r w:rsidR="00FB6C29" w:rsidRPr="00340CF8">
        <w:rPr>
          <w:rFonts w:eastAsiaTheme="minorHAnsi"/>
        </w:rPr>
        <w:t>.</w:t>
      </w:r>
    </w:p>
    <w:p w:rsidR="009035BA" w:rsidRPr="00340CF8" w:rsidRDefault="009035BA" w:rsidP="009035BA">
      <w:pPr>
        <w:pStyle w:val="2-SectionHeading"/>
        <w:numPr>
          <w:ilvl w:val="0"/>
          <w:numId w:val="3"/>
        </w:numPr>
        <w:ind w:left="720" w:hanging="720"/>
      </w:pPr>
      <w:r w:rsidRPr="00340CF8">
        <w:t xml:space="preserve">Background </w:t>
      </w:r>
    </w:p>
    <w:p w:rsidR="009035BA" w:rsidRPr="00340CF8" w:rsidRDefault="009035BA" w:rsidP="009035BA">
      <w:pPr>
        <w:pStyle w:val="4-SubsectionHeading"/>
      </w:pPr>
      <w:r w:rsidRPr="00340CF8">
        <w:t>Registration status</w:t>
      </w:r>
    </w:p>
    <w:p w:rsidR="009035BA" w:rsidRPr="00340CF8" w:rsidRDefault="009035BA" w:rsidP="009035BA">
      <w:pPr>
        <w:pStyle w:val="3Bodytext"/>
        <w:numPr>
          <w:ilvl w:val="1"/>
          <w:numId w:val="3"/>
        </w:numPr>
        <w:rPr>
          <w:rFonts w:eastAsiaTheme="minorHAnsi"/>
        </w:rPr>
      </w:pPr>
      <w:r w:rsidRPr="00340CF8">
        <w:rPr>
          <w:rFonts w:eastAsiaTheme="minorHAnsi"/>
        </w:rPr>
        <w:t>Mvasi was TGA approved as a biosimilar with the same indications to the reference brand Avastin and was registered on the ARTG on 30</w:t>
      </w:r>
      <w:r w:rsidRPr="00340CF8">
        <w:rPr>
          <w:rFonts w:eastAsiaTheme="minorHAnsi"/>
          <w:vertAlign w:val="superscript"/>
        </w:rPr>
        <w:t xml:space="preserve"> </w:t>
      </w:r>
      <w:r w:rsidRPr="00340CF8">
        <w:rPr>
          <w:rFonts w:eastAsiaTheme="minorHAnsi"/>
        </w:rPr>
        <w:t xml:space="preserve">June 2020. </w:t>
      </w:r>
    </w:p>
    <w:p w:rsidR="009035BA" w:rsidRPr="00340CF8" w:rsidRDefault="009035BA" w:rsidP="006E726C">
      <w:pPr>
        <w:pStyle w:val="3Bodytext"/>
        <w:numPr>
          <w:ilvl w:val="1"/>
          <w:numId w:val="3"/>
        </w:numPr>
        <w:rPr>
          <w:rFonts w:eastAsiaTheme="minorHAnsi"/>
        </w:rPr>
      </w:pPr>
      <w:r w:rsidRPr="00340CF8">
        <w:rPr>
          <w:rFonts w:eastAsiaTheme="minorHAnsi"/>
        </w:rPr>
        <w:t xml:space="preserve">Bevacizumab </w:t>
      </w:r>
      <w:r w:rsidR="006E726C" w:rsidRPr="00340CF8">
        <w:rPr>
          <w:rFonts w:eastAsiaTheme="minorHAnsi"/>
        </w:rPr>
        <w:t xml:space="preserve">is </w:t>
      </w:r>
      <w:r w:rsidR="002860E9" w:rsidRPr="00340CF8">
        <w:rPr>
          <w:rFonts w:eastAsiaTheme="minorHAnsi"/>
        </w:rPr>
        <w:t xml:space="preserve">TGA approved for use </w:t>
      </w:r>
      <w:r w:rsidRPr="00340CF8">
        <w:rPr>
          <w:rFonts w:eastAsiaTheme="minorHAnsi"/>
        </w:rPr>
        <w:t xml:space="preserve">in combination with carboplatin and paclitaxel for first-line treatment of patients with </w:t>
      </w:r>
      <w:r w:rsidR="006E726C" w:rsidRPr="00340CF8">
        <w:rPr>
          <w:rFonts w:eastAsiaTheme="minorHAnsi"/>
        </w:rPr>
        <w:t xml:space="preserve">unresectable advanced, metastatic or recurrent, non-squamous </w:t>
      </w:r>
      <w:r w:rsidRPr="00340CF8">
        <w:rPr>
          <w:rFonts w:eastAsiaTheme="minorHAnsi"/>
        </w:rPr>
        <w:t>NSCLC (</w:t>
      </w:r>
      <w:r w:rsidRPr="00275F2B">
        <w:rPr>
          <w:rFonts w:eastAsiaTheme="minorHAnsi"/>
        </w:rPr>
        <w:t>draft P</w:t>
      </w:r>
      <w:r w:rsidR="006E726C" w:rsidRPr="00275F2B">
        <w:rPr>
          <w:rFonts w:eastAsiaTheme="minorHAnsi"/>
        </w:rPr>
        <w:t xml:space="preserve">roduct </w:t>
      </w:r>
      <w:r w:rsidRPr="00275F2B">
        <w:rPr>
          <w:rFonts w:eastAsiaTheme="minorHAnsi"/>
        </w:rPr>
        <w:t>I</w:t>
      </w:r>
      <w:r w:rsidR="006E726C" w:rsidRPr="00275F2B">
        <w:rPr>
          <w:rFonts w:eastAsiaTheme="minorHAnsi"/>
        </w:rPr>
        <w:t>nformation (PI)</w:t>
      </w:r>
      <w:r w:rsidRPr="00340CF8">
        <w:rPr>
          <w:rFonts w:eastAsiaTheme="minorHAnsi"/>
        </w:rPr>
        <w:t>). Bevacizumab is not specifically registered for use in combination with atezolizumab for NSCLC.</w:t>
      </w:r>
    </w:p>
    <w:p w:rsidR="009035BA" w:rsidRPr="00340CF8" w:rsidRDefault="009035BA" w:rsidP="009035BA">
      <w:pPr>
        <w:pStyle w:val="3Bodytext"/>
        <w:numPr>
          <w:ilvl w:val="1"/>
          <w:numId w:val="3"/>
        </w:numPr>
        <w:rPr>
          <w:rFonts w:eastAsiaTheme="minorHAnsi"/>
        </w:rPr>
      </w:pPr>
      <w:r w:rsidRPr="00340CF8">
        <w:rPr>
          <w:rFonts w:eastAsiaTheme="minorHAnsi"/>
        </w:rPr>
        <w:t xml:space="preserve">Atezolizumab </w:t>
      </w:r>
      <w:r w:rsidR="005247D9" w:rsidRPr="00340CF8">
        <w:rPr>
          <w:rFonts w:eastAsiaTheme="minorHAnsi"/>
        </w:rPr>
        <w:t xml:space="preserve">(Tecentriq®) </w:t>
      </w:r>
      <w:r w:rsidRPr="00340CF8">
        <w:rPr>
          <w:rFonts w:eastAsiaTheme="minorHAnsi"/>
        </w:rPr>
        <w:t xml:space="preserve">is TGA approved for the following indications for NSCLC (atezolizumab PI, p1): </w:t>
      </w:r>
    </w:p>
    <w:p w:rsidR="009035BA" w:rsidRPr="00340CF8" w:rsidRDefault="009035BA" w:rsidP="003039B5">
      <w:pPr>
        <w:pStyle w:val="3Bodytext"/>
        <w:numPr>
          <w:ilvl w:val="2"/>
          <w:numId w:val="31"/>
        </w:numPr>
        <w:ind w:left="1276" w:hanging="436"/>
        <w:rPr>
          <w:rFonts w:eastAsiaTheme="minorHAnsi"/>
        </w:rPr>
      </w:pPr>
      <w:r w:rsidRPr="00340CF8">
        <w:rPr>
          <w:rFonts w:eastAsiaTheme="minorHAnsi"/>
        </w:rPr>
        <w:t>in combination with bevacizumab, paclitaxel and carboplatin, for the first-line treatment of adult patients with metastatic non-squamous non-</w:t>
      </w:r>
      <w:r w:rsidR="00BD065B" w:rsidRPr="00340CF8">
        <w:rPr>
          <w:rFonts w:eastAsiaTheme="minorHAnsi"/>
        </w:rPr>
        <w:t xml:space="preserve">small cell lung cancer (NSCLC). </w:t>
      </w:r>
      <w:r w:rsidRPr="00340CF8">
        <w:rPr>
          <w:rFonts w:eastAsiaTheme="minorHAnsi"/>
        </w:rPr>
        <w:t>In patients with EGFR mutant or ALK-positive NSCLC, in combination with bevacizumab, paclitaxel and carboplatin, only after failure of appropriate targeted therapies.</w:t>
      </w:r>
    </w:p>
    <w:p w:rsidR="009035BA" w:rsidRPr="00340CF8" w:rsidRDefault="009035BA" w:rsidP="003039B5">
      <w:pPr>
        <w:pStyle w:val="3Bodytext"/>
        <w:numPr>
          <w:ilvl w:val="2"/>
          <w:numId w:val="31"/>
        </w:numPr>
        <w:ind w:left="1276" w:hanging="436"/>
        <w:rPr>
          <w:rFonts w:eastAsiaTheme="minorHAnsi"/>
        </w:rPr>
      </w:pPr>
      <w:r w:rsidRPr="00340CF8">
        <w:rPr>
          <w:rFonts w:eastAsiaTheme="minorHAnsi"/>
        </w:rPr>
        <w:t>in combination with nanoparticle albumin-bound paclitaxel (nab-paclitaxel) and carboplatin, for first-line treatment of patients with metastatic non-squamous NSCLC who do not have tumour EGFR or ALK genomic aberrations.</w:t>
      </w:r>
    </w:p>
    <w:p w:rsidR="009035BA" w:rsidRPr="00340CF8" w:rsidRDefault="009035BA" w:rsidP="003039B5">
      <w:pPr>
        <w:pStyle w:val="3Bodytext"/>
        <w:numPr>
          <w:ilvl w:val="2"/>
          <w:numId w:val="31"/>
        </w:numPr>
        <w:ind w:left="1276" w:hanging="436"/>
        <w:rPr>
          <w:rFonts w:eastAsiaTheme="minorHAnsi"/>
        </w:rPr>
      </w:pPr>
      <w:r w:rsidRPr="00340CF8">
        <w:rPr>
          <w:rFonts w:eastAsiaTheme="minorHAnsi"/>
        </w:rPr>
        <w:t>as monotherapy for the treatment of adult patients with locally advanced or metastatic NSCLC after prior chemotherapy. Patients with EGFR mutant or ALK-positive NSCLC should also have received targeted therapies before receiving Tecentriq.</w:t>
      </w:r>
    </w:p>
    <w:p w:rsidR="009035BA" w:rsidRPr="00340CF8" w:rsidRDefault="009035BA" w:rsidP="009035BA">
      <w:pPr>
        <w:pStyle w:val="4-SubsectionHeading"/>
      </w:pPr>
      <w:r w:rsidRPr="00340CF8">
        <w:lastRenderedPageBreak/>
        <w:t>Previous PBAC consideration</w:t>
      </w:r>
    </w:p>
    <w:p w:rsidR="009035BA" w:rsidRPr="00340CF8" w:rsidRDefault="009035BA" w:rsidP="009035BA">
      <w:pPr>
        <w:pStyle w:val="3Bodytext"/>
        <w:numPr>
          <w:ilvl w:val="1"/>
          <w:numId w:val="3"/>
        </w:numPr>
        <w:rPr>
          <w:i/>
        </w:rPr>
      </w:pPr>
      <w:r w:rsidRPr="00340CF8">
        <w:rPr>
          <w:rFonts w:eastAsiaTheme="minorHAnsi"/>
        </w:rPr>
        <w:t xml:space="preserve">At the November 2020 meeting, the PBAC recommended listing Mvasi, under Section 100 (Efficient Funding of Chemotherapy) for all of the indications for which the reference brand, Avastin is currently PBS-listed. The PBAC recommended listing Mvasi on a cost-minimisation basis to the Avastin brand of bevacizumab, and noted that this would result in no net cost to the Government because the listing of Mvasi is not expected to grow the market. </w:t>
      </w:r>
    </w:p>
    <w:p w:rsidR="009035BA" w:rsidRPr="00340CF8" w:rsidRDefault="009035BA" w:rsidP="009035BA">
      <w:pPr>
        <w:pStyle w:val="3Bodytext"/>
        <w:numPr>
          <w:ilvl w:val="1"/>
          <w:numId w:val="3"/>
        </w:numPr>
        <w:rPr>
          <w:i/>
        </w:rPr>
      </w:pPr>
      <w:r w:rsidRPr="00340CF8">
        <w:t xml:space="preserve">At the March 2019 meeting, the PBAC recommended listing atezolizumab and bevacizumab in addition to platinum-doublet chemotherapy (PDC), for treatment of </w:t>
      </w:r>
      <w:r w:rsidRPr="00340CF8">
        <w:rPr>
          <w:rFonts w:eastAsiaTheme="minorHAnsi"/>
        </w:rPr>
        <w:t>metastatic</w:t>
      </w:r>
      <w:r w:rsidRPr="00340CF8">
        <w:t xml:space="preserve"> non-squamous NSCLC </w:t>
      </w:r>
      <w:r w:rsidRPr="00340CF8">
        <w:rPr>
          <w:rFonts w:eastAsiaTheme="minorHAnsi"/>
        </w:rPr>
        <w:t>(paragraph 7.2, Atezolizumab and bevacizumab, Public Summary Document (PSD), March 2019)</w:t>
      </w:r>
      <w:r w:rsidRPr="00340CF8">
        <w:t xml:space="preserve">. The PBAC considered that there was a high clinical need for new treatment options for that specific patient group (EGFR mutant/ALK positive subgroup post TKI therapy population). </w:t>
      </w:r>
    </w:p>
    <w:p w:rsidR="005E566C" w:rsidRPr="00340CF8" w:rsidRDefault="005E566C" w:rsidP="00C53C29">
      <w:pPr>
        <w:pStyle w:val="3Bodytext"/>
        <w:numPr>
          <w:ilvl w:val="1"/>
          <w:numId w:val="3"/>
        </w:numPr>
        <w:rPr>
          <w:i/>
        </w:rPr>
      </w:pPr>
      <w:r w:rsidRPr="00340CF8">
        <w:t>At the March 2011 meeting, the PBAC</w:t>
      </w:r>
      <w:r w:rsidR="003C6F33" w:rsidRPr="00340CF8">
        <w:t xml:space="preserve"> did not recommend the listing of bevacizumab for (1) initial treatment, in combination with carboplatin and paclitaxel, of a patient with advanced or metastatic non-squamous NSCLC who meet certain criteria and (2) continuing treatment, as monotherapy, in a patient who does not have progressive disease. The PBAC rejected the submission on the basis of an unacceptably high and unc</w:t>
      </w:r>
      <w:r w:rsidR="00C53C29" w:rsidRPr="00340CF8">
        <w:t>ertain cost-effectiveness ratio</w:t>
      </w:r>
      <w:r w:rsidR="003C6F33" w:rsidRPr="00340CF8">
        <w:t xml:space="preserve"> (bevacizumab PSD, March 2011)</w:t>
      </w:r>
      <w:r w:rsidR="00C53C29" w:rsidRPr="00340CF8">
        <w:t>.</w:t>
      </w:r>
    </w:p>
    <w:p w:rsidR="00FE7E20" w:rsidRPr="00340CF8" w:rsidRDefault="009035BA" w:rsidP="00F54B8E">
      <w:pPr>
        <w:pStyle w:val="3Bodytext"/>
        <w:numPr>
          <w:ilvl w:val="1"/>
          <w:numId w:val="3"/>
        </w:numPr>
        <w:rPr>
          <w:i/>
        </w:rPr>
      </w:pPr>
      <w:r w:rsidRPr="00340CF8">
        <w:t>At the time of evaluating the minor submission, Avastin was the only brand of bevacizumab listed on the PBS. Another bevacizumab biosimilar, (Zirabev®</w:t>
      </w:r>
      <w:r w:rsidR="007A110A" w:rsidRPr="00340CF8">
        <w:t>,</w:t>
      </w:r>
      <w:r w:rsidRPr="00340CF8">
        <w:t xml:space="preserve"> hereafter referred to as Zirabev</w:t>
      </w:r>
      <w:r w:rsidR="00F517AD" w:rsidRPr="00340CF8">
        <w:t>)</w:t>
      </w:r>
      <w:r w:rsidRPr="00340CF8">
        <w:t>, was recommended by the PBAC at its July 2020 meeting</w:t>
      </w:r>
      <w:r w:rsidR="003039B5" w:rsidRPr="00340CF8">
        <w:t xml:space="preserve"> with the same </w:t>
      </w:r>
      <w:r w:rsidR="00B5752C" w:rsidRPr="00340CF8">
        <w:t xml:space="preserve">PBS </w:t>
      </w:r>
      <w:r w:rsidR="00737233">
        <w:t>listing</w:t>
      </w:r>
      <w:r w:rsidR="00737233" w:rsidRPr="00340CF8">
        <w:t xml:space="preserve"> </w:t>
      </w:r>
      <w:r w:rsidR="003039B5" w:rsidRPr="00340CF8">
        <w:t>as Mvasi</w:t>
      </w:r>
      <w:r w:rsidRPr="00340CF8">
        <w:t>.</w:t>
      </w:r>
    </w:p>
    <w:p w:rsidR="005F263B" w:rsidRPr="00340CF8" w:rsidRDefault="005F263B" w:rsidP="008A63AC">
      <w:pPr>
        <w:pStyle w:val="3Bodytext"/>
        <w:ind w:left="720"/>
        <w:rPr>
          <w:i/>
        </w:rPr>
      </w:pPr>
      <w:r w:rsidRPr="00340CF8">
        <w:rPr>
          <w:i/>
        </w:rPr>
        <w:t xml:space="preserve">For more detail on the PBAC’s view, see section </w:t>
      </w:r>
      <w:r w:rsidR="00E15166" w:rsidRPr="00340CF8">
        <w:rPr>
          <w:i/>
        </w:rPr>
        <w:t>5</w:t>
      </w:r>
      <w:r w:rsidRPr="00340CF8">
        <w:rPr>
          <w:i/>
        </w:rPr>
        <w:t xml:space="preserve"> PBAC outcome.</w:t>
      </w:r>
    </w:p>
    <w:p w:rsidR="008368DE" w:rsidRPr="00340CF8" w:rsidRDefault="002C306A" w:rsidP="00985F27">
      <w:pPr>
        <w:pStyle w:val="2-SectionHeading"/>
        <w:numPr>
          <w:ilvl w:val="0"/>
          <w:numId w:val="3"/>
        </w:numPr>
        <w:ind w:left="720" w:hanging="720"/>
      </w:pPr>
      <w:r w:rsidRPr="00340CF8">
        <w:softHyphen/>
      </w:r>
      <w:r w:rsidR="008368DE" w:rsidRPr="00340CF8">
        <w:t>Requested listing</w:t>
      </w:r>
    </w:p>
    <w:p w:rsidR="000B3247" w:rsidRPr="00340CF8" w:rsidRDefault="005C160C" w:rsidP="00751C57">
      <w:pPr>
        <w:pStyle w:val="3Bodytext"/>
        <w:numPr>
          <w:ilvl w:val="1"/>
          <w:numId w:val="3"/>
        </w:numPr>
        <w:rPr>
          <w:rFonts w:eastAsiaTheme="minorHAnsi"/>
          <w:color w:val="5B9BD5" w:themeColor="accent1"/>
          <w:szCs w:val="24"/>
          <w:lang w:eastAsia="en-US"/>
        </w:rPr>
      </w:pPr>
      <w:r w:rsidRPr="00340CF8">
        <w:rPr>
          <w:rFonts w:eastAsiaTheme="minorHAnsi"/>
        </w:rPr>
        <w:t xml:space="preserve">The submission requested to remove the </w:t>
      </w:r>
      <w:r w:rsidR="00BD2CF0" w:rsidRPr="00340CF8">
        <w:rPr>
          <w:rFonts w:eastAsiaTheme="minorHAnsi"/>
        </w:rPr>
        <w:t xml:space="preserve">requirement </w:t>
      </w:r>
      <w:r w:rsidR="00CD310F" w:rsidRPr="00340CF8">
        <w:rPr>
          <w:rFonts w:eastAsiaTheme="minorHAnsi"/>
        </w:rPr>
        <w:t xml:space="preserve">that bevacizumab be used in </w:t>
      </w:r>
      <w:r w:rsidRPr="00340CF8">
        <w:rPr>
          <w:rFonts w:eastAsiaTheme="minorHAnsi"/>
        </w:rPr>
        <w:t>combination with atezolizumab</w:t>
      </w:r>
      <w:r w:rsidR="00BD2CF0" w:rsidRPr="00340CF8">
        <w:rPr>
          <w:rFonts w:eastAsiaTheme="minorHAnsi"/>
        </w:rPr>
        <w:t xml:space="preserve"> in the </w:t>
      </w:r>
      <w:r w:rsidR="00CD310F" w:rsidRPr="00340CF8">
        <w:rPr>
          <w:rFonts w:eastAsiaTheme="minorHAnsi"/>
        </w:rPr>
        <w:t xml:space="preserve">bevacizumab </w:t>
      </w:r>
      <w:r w:rsidR="00BD2CF0" w:rsidRPr="00340CF8">
        <w:rPr>
          <w:rFonts w:eastAsiaTheme="minorHAnsi"/>
        </w:rPr>
        <w:t>restriction for NSCLC</w:t>
      </w:r>
      <w:r w:rsidRPr="00340CF8">
        <w:rPr>
          <w:rFonts w:eastAsiaTheme="minorHAnsi"/>
        </w:rPr>
        <w:t xml:space="preserve">. </w:t>
      </w:r>
      <w:r w:rsidR="00DD1BAF" w:rsidRPr="00340CF8">
        <w:rPr>
          <w:rFonts w:eastAsiaTheme="minorHAnsi"/>
          <w:szCs w:val="24"/>
          <w:lang w:eastAsia="en-US"/>
        </w:rPr>
        <w:t xml:space="preserve">The submission claimed that removing the combination use of bevacizumab with atezolizumab from the </w:t>
      </w:r>
      <w:r w:rsidR="003B593C">
        <w:rPr>
          <w:rFonts w:eastAsiaTheme="minorHAnsi"/>
          <w:szCs w:val="24"/>
          <w:lang w:eastAsia="en-US"/>
        </w:rPr>
        <w:t>PBS listing</w:t>
      </w:r>
      <w:r w:rsidR="003B593C" w:rsidRPr="00340CF8">
        <w:rPr>
          <w:rFonts w:eastAsiaTheme="minorHAnsi"/>
          <w:szCs w:val="24"/>
          <w:lang w:eastAsia="en-US"/>
        </w:rPr>
        <w:t xml:space="preserve"> </w:t>
      </w:r>
      <w:r w:rsidR="00DD1BAF" w:rsidRPr="00340CF8">
        <w:rPr>
          <w:rFonts w:eastAsiaTheme="minorHAnsi"/>
          <w:szCs w:val="24"/>
          <w:lang w:eastAsia="en-US"/>
        </w:rPr>
        <w:t xml:space="preserve">would allow medical practitioners and patients more choice for treatments of metastatic NSCLC and wider access to biosimilar drugs at lower costs. </w:t>
      </w:r>
    </w:p>
    <w:p w:rsidR="00D87C2E" w:rsidRPr="001516AB" w:rsidRDefault="00D87C2E" w:rsidP="001516AB">
      <w:pPr>
        <w:pStyle w:val="3Bodytext"/>
        <w:numPr>
          <w:ilvl w:val="1"/>
          <w:numId w:val="3"/>
        </w:numPr>
        <w:rPr>
          <w:rFonts w:eastAsiaTheme="minorHAnsi"/>
          <w:color w:val="5B9BD5" w:themeColor="accent1"/>
          <w:szCs w:val="24"/>
          <w:lang w:eastAsia="en-US"/>
        </w:rPr>
      </w:pPr>
      <w:r w:rsidRPr="00340CF8">
        <w:rPr>
          <w:rFonts w:eastAsiaTheme="minorHAnsi"/>
        </w:rPr>
        <w:t>Under</w:t>
      </w:r>
      <w:r w:rsidR="006E0B85" w:rsidRPr="00340CF8">
        <w:rPr>
          <w:rFonts w:eastAsiaTheme="minorHAnsi"/>
        </w:rPr>
        <w:t xml:space="preserve"> </w:t>
      </w:r>
      <w:r w:rsidRPr="00340CF8">
        <w:rPr>
          <w:rFonts w:eastAsiaTheme="minorHAnsi"/>
        </w:rPr>
        <w:t>Initial Treatment 1</w:t>
      </w:r>
      <w:r w:rsidR="00EE5EC5" w:rsidRPr="00340CF8">
        <w:rPr>
          <w:rFonts w:eastAsiaTheme="minorHAnsi"/>
        </w:rPr>
        <w:t xml:space="preserve"> of the </w:t>
      </w:r>
      <w:r w:rsidR="006E0B85" w:rsidRPr="00340CF8">
        <w:rPr>
          <w:rFonts w:eastAsiaTheme="minorHAnsi"/>
        </w:rPr>
        <w:t xml:space="preserve">bevacizumab </w:t>
      </w:r>
      <w:r w:rsidR="00EE5EC5" w:rsidRPr="00340CF8">
        <w:rPr>
          <w:rFonts w:eastAsiaTheme="minorHAnsi"/>
        </w:rPr>
        <w:t>listing</w:t>
      </w:r>
      <w:r w:rsidRPr="00340CF8">
        <w:rPr>
          <w:rFonts w:eastAsiaTheme="minorHAnsi"/>
        </w:rPr>
        <w:t>, t</w:t>
      </w:r>
      <w:r w:rsidR="0003736F" w:rsidRPr="00340CF8">
        <w:rPr>
          <w:rFonts w:eastAsiaTheme="minorHAnsi"/>
        </w:rPr>
        <w:t xml:space="preserve">he requested </w:t>
      </w:r>
      <w:r w:rsidRPr="00340CF8">
        <w:rPr>
          <w:rFonts w:eastAsiaTheme="minorHAnsi"/>
        </w:rPr>
        <w:t xml:space="preserve">restriction change </w:t>
      </w:r>
      <w:r w:rsidR="001C2903" w:rsidRPr="00340CF8">
        <w:rPr>
          <w:rFonts w:eastAsiaTheme="minorHAnsi"/>
        </w:rPr>
        <w:t xml:space="preserve">would </w:t>
      </w:r>
      <w:r w:rsidRPr="00340CF8">
        <w:rPr>
          <w:rFonts w:eastAsiaTheme="minorHAnsi"/>
        </w:rPr>
        <w:t xml:space="preserve">allow for bevacizumab to be used in combination with </w:t>
      </w:r>
      <w:r w:rsidR="00D8510C">
        <w:rPr>
          <w:rFonts w:eastAsiaTheme="minorHAnsi"/>
        </w:rPr>
        <w:t xml:space="preserve">PDC </w:t>
      </w:r>
      <w:r w:rsidR="00C37D09" w:rsidRPr="00340CF8">
        <w:rPr>
          <w:rFonts w:eastAsiaTheme="minorHAnsi"/>
        </w:rPr>
        <w:t>in patients who have</w:t>
      </w:r>
      <w:r w:rsidR="005D407E" w:rsidRPr="00340CF8">
        <w:rPr>
          <w:rFonts w:eastAsiaTheme="minorHAnsi"/>
        </w:rPr>
        <w:t xml:space="preserve"> not previously received treatment for their metastatic disease</w:t>
      </w:r>
      <w:r w:rsidRPr="00340CF8">
        <w:rPr>
          <w:rFonts w:eastAsiaTheme="minorHAnsi"/>
        </w:rPr>
        <w:t xml:space="preserve">. This population </w:t>
      </w:r>
      <w:r w:rsidR="00751C57" w:rsidRPr="00340CF8">
        <w:rPr>
          <w:rFonts w:eastAsiaTheme="minorHAnsi"/>
        </w:rPr>
        <w:t xml:space="preserve">was </w:t>
      </w:r>
      <w:r w:rsidR="0003736F" w:rsidRPr="00340CF8">
        <w:rPr>
          <w:rFonts w:eastAsiaTheme="minorHAnsi"/>
        </w:rPr>
        <w:t>consistent with that requested in the Avastin submission considered at the March 2011 meeting</w:t>
      </w:r>
      <w:r w:rsidR="004737E8" w:rsidRPr="00340CF8">
        <w:rPr>
          <w:rFonts w:eastAsiaTheme="minorHAnsi"/>
        </w:rPr>
        <w:t xml:space="preserve"> which was not recommended by </w:t>
      </w:r>
      <w:r w:rsidR="00681C57" w:rsidRPr="00340CF8">
        <w:rPr>
          <w:rFonts w:eastAsiaTheme="minorHAnsi"/>
        </w:rPr>
        <w:t xml:space="preserve">PBAC </w:t>
      </w:r>
      <w:r w:rsidR="004737E8" w:rsidRPr="00340CF8">
        <w:rPr>
          <w:rFonts w:eastAsiaTheme="minorHAnsi"/>
        </w:rPr>
        <w:t>(</w:t>
      </w:r>
      <w:r w:rsidR="0013197C" w:rsidRPr="00340CF8">
        <w:rPr>
          <w:rFonts w:eastAsiaTheme="minorHAnsi"/>
        </w:rPr>
        <w:t xml:space="preserve">refer </w:t>
      </w:r>
      <w:r w:rsidR="0013197C" w:rsidRPr="003C7D07">
        <w:rPr>
          <w:rFonts w:eastAsiaTheme="minorHAnsi"/>
        </w:rPr>
        <w:t xml:space="preserve">to </w:t>
      </w:r>
      <w:r w:rsidR="004737E8" w:rsidRPr="003C7D07">
        <w:rPr>
          <w:rFonts w:eastAsiaTheme="minorHAnsi"/>
        </w:rPr>
        <w:t>paragraph 2.6</w:t>
      </w:r>
      <w:r w:rsidR="0013197C" w:rsidRPr="003C7D07">
        <w:rPr>
          <w:rFonts w:eastAsiaTheme="minorHAnsi"/>
        </w:rPr>
        <w:t xml:space="preserve"> above</w:t>
      </w:r>
      <w:r w:rsidR="004737E8" w:rsidRPr="003C7D07">
        <w:rPr>
          <w:rFonts w:eastAsiaTheme="minorHAnsi"/>
        </w:rPr>
        <w:t>)</w:t>
      </w:r>
      <w:r w:rsidR="00CD3804" w:rsidRPr="003C7D07">
        <w:rPr>
          <w:rFonts w:eastAsiaTheme="minorHAnsi"/>
        </w:rPr>
        <w:t>.</w:t>
      </w:r>
      <w:r w:rsidR="00F517AD" w:rsidRPr="00340CF8">
        <w:rPr>
          <w:rFonts w:eastAsiaTheme="minorHAnsi"/>
        </w:rPr>
        <w:t xml:space="preserve"> </w:t>
      </w:r>
      <w:r w:rsidR="00730F7E" w:rsidRPr="001516AB">
        <w:rPr>
          <w:rFonts w:eastAsiaTheme="minorHAnsi"/>
        </w:rPr>
        <w:t>Combination</w:t>
      </w:r>
      <w:r w:rsidR="00A27A82" w:rsidRPr="001516AB">
        <w:rPr>
          <w:rFonts w:eastAsiaTheme="minorHAnsi"/>
        </w:rPr>
        <w:t xml:space="preserve"> use of atezolizumab in combination with bevacizumab in NSCLC (and </w:t>
      </w:r>
      <w:r w:rsidR="00730F7E" w:rsidRPr="001516AB">
        <w:rPr>
          <w:rFonts w:eastAsiaTheme="minorHAnsi"/>
        </w:rPr>
        <w:t>hepatocellular carcinoma (</w:t>
      </w:r>
      <w:r w:rsidR="00A27A82" w:rsidRPr="001516AB">
        <w:rPr>
          <w:rFonts w:eastAsiaTheme="minorHAnsi"/>
        </w:rPr>
        <w:t>HCC</w:t>
      </w:r>
      <w:r w:rsidR="00730F7E" w:rsidRPr="001516AB">
        <w:rPr>
          <w:rFonts w:eastAsiaTheme="minorHAnsi"/>
        </w:rPr>
        <w:t>)</w:t>
      </w:r>
      <w:r w:rsidR="00A27A82" w:rsidRPr="001516AB">
        <w:rPr>
          <w:rFonts w:eastAsiaTheme="minorHAnsi"/>
        </w:rPr>
        <w:t xml:space="preserve">) is </w:t>
      </w:r>
      <w:r w:rsidR="0073358A" w:rsidRPr="001516AB">
        <w:rPr>
          <w:rFonts w:eastAsiaTheme="minorHAnsi"/>
        </w:rPr>
        <w:t>provided</w:t>
      </w:r>
      <w:r w:rsidR="00730F7E" w:rsidRPr="001516AB">
        <w:rPr>
          <w:rFonts w:eastAsiaTheme="minorHAnsi"/>
        </w:rPr>
        <w:t xml:space="preserve"> for</w:t>
      </w:r>
      <w:r w:rsidR="0073358A" w:rsidRPr="001516AB">
        <w:rPr>
          <w:rFonts w:eastAsiaTheme="minorHAnsi"/>
        </w:rPr>
        <w:t xml:space="preserve"> by the </w:t>
      </w:r>
      <w:r w:rsidR="00730F7E" w:rsidRPr="001516AB">
        <w:rPr>
          <w:rFonts w:eastAsiaTheme="minorHAnsi"/>
        </w:rPr>
        <w:t xml:space="preserve">atezolizumab </w:t>
      </w:r>
      <w:r w:rsidR="0073358A" w:rsidRPr="001516AB">
        <w:rPr>
          <w:rFonts w:eastAsiaTheme="minorHAnsi"/>
        </w:rPr>
        <w:t xml:space="preserve">registration </w:t>
      </w:r>
      <w:r w:rsidR="00A27A82" w:rsidRPr="001516AB">
        <w:rPr>
          <w:rFonts w:eastAsiaTheme="minorHAnsi"/>
        </w:rPr>
        <w:t>on the ARTG</w:t>
      </w:r>
      <w:r w:rsidR="00340CF8" w:rsidRPr="001516AB">
        <w:rPr>
          <w:rFonts w:eastAsiaTheme="minorHAnsi"/>
        </w:rPr>
        <w:t xml:space="preserve">. </w:t>
      </w:r>
    </w:p>
    <w:p w:rsidR="00133594" w:rsidRPr="00340CF8" w:rsidRDefault="00D87C2E" w:rsidP="006E0B85">
      <w:pPr>
        <w:pStyle w:val="3Bodytext"/>
        <w:numPr>
          <w:ilvl w:val="1"/>
          <w:numId w:val="3"/>
        </w:numPr>
        <w:rPr>
          <w:rFonts w:eastAsiaTheme="minorHAnsi"/>
          <w:color w:val="5B9BD5" w:themeColor="accent1"/>
          <w:szCs w:val="24"/>
          <w:lang w:eastAsia="en-US"/>
        </w:rPr>
      </w:pPr>
      <w:r w:rsidRPr="00340CF8">
        <w:rPr>
          <w:rFonts w:eastAsiaTheme="minorHAnsi"/>
        </w:rPr>
        <w:lastRenderedPageBreak/>
        <w:t>Under Initial Treatment 2</w:t>
      </w:r>
      <w:r w:rsidR="006E0B85" w:rsidRPr="00340CF8">
        <w:rPr>
          <w:rFonts w:eastAsiaTheme="minorHAnsi"/>
        </w:rPr>
        <w:t xml:space="preserve"> of the bevacizumab listing</w:t>
      </w:r>
      <w:r w:rsidRPr="00340CF8">
        <w:rPr>
          <w:rFonts w:eastAsiaTheme="minorHAnsi"/>
        </w:rPr>
        <w:t>,</w:t>
      </w:r>
      <w:r w:rsidR="00F517AD" w:rsidRPr="00340CF8">
        <w:rPr>
          <w:rFonts w:eastAsiaTheme="minorHAnsi"/>
        </w:rPr>
        <w:t xml:space="preserve"> the requested </w:t>
      </w:r>
      <w:r w:rsidRPr="00340CF8">
        <w:rPr>
          <w:rFonts w:eastAsiaTheme="minorHAnsi"/>
        </w:rPr>
        <w:t xml:space="preserve">restriction change </w:t>
      </w:r>
      <w:r w:rsidR="00467681" w:rsidRPr="00340CF8">
        <w:rPr>
          <w:rFonts w:eastAsiaTheme="minorHAnsi"/>
        </w:rPr>
        <w:t xml:space="preserve">would </w:t>
      </w:r>
      <w:r w:rsidR="00B261CB" w:rsidRPr="00340CF8">
        <w:rPr>
          <w:rFonts w:eastAsiaTheme="minorHAnsi"/>
        </w:rPr>
        <w:t>a</w:t>
      </w:r>
      <w:r w:rsidRPr="008F4A39">
        <w:rPr>
          <w:rFonts w:eastAsiaTheme="minorHAnsi"/>
        </w:rPr>
        <w:t>llow</w:t>
      </w:r>
      <w:r w:rsidR="00B261CB" w:rsidRPr="00340CF8">
        <w:rPr>
          <w:rFonts w:eastAsiaTheme="minorHAnsi"/>
        </w:rPr>
        <w:t xml:space="preserve"> for bevacizumab to be </w:t>
      </w:r>
      <w:r w:rsidR="003C7D07">
        <w:rPr>
          <w:rFonts w:eastAsiaTheme="minorHAnsi"/>
        </w:rPr>
        <w:t>combination with PDC in</w:t>
      </w:r>
      <w:r w:rsidR="006E0B85" w:rsidRPr="00340CF8">
        <w:rPr>
          <w:rFonts w:eastAsiaTheme="minorHAnsi"/>
        </w:rPr>
        <w:t xml:space="preserve"> </w:t>
      </w:r>
      <w:r w:rsidR="0073358A" w:rsidRPr="00340CF8">
        <w:rPr>
          <w:rFonts w:eastAsiaTheme="minorHAnsi"/>
        </w:rPr>
        <w:t>non-sq</w:t>
      </w:r>
      <w:r w:rsidR="00E6331F">
        <w:rPr>
          <w:rFonts w:eastAsiaTheme="minorHAnsi"/>
        </w:rPr>
        <w:t>u</w:t>
      </w:r>
      <w:r w:rsidR="003C7D07">
        <w:rPr>
          <w:rFonts w:eastAsiaTheme="minorHAnsi"/>
        </w:rPr>
        <w:t>amous type</w:t>
      </w:r>
      <w:r w:rsidR="0073358A" w:rsidRPr="00340CF8">
        <w:rPr>
          <w:rFonts w:eastAsiaTheme="minorHAnsi"/>
        </w:rPr>
        <w:t xml:space="preserve"> NSCLC</w:t>
      </w:r>
      <w:r w:rsidR="003C7D07">
        <w:rPr>
          <w:rFonts w:eastAsiaTheme="minorHAnsi"/>
        </w:rPr>
        <w:t xml:space="preserve"> </w:t>
      </w:r>
      <w:r w:rsidR="006E0B85" w:rsidRPr="00340CF8">
        <w:rPr>
          <w:rFonts w:eastAsiaTheme="minorHAnsi"/>
        </w:rPr>
        <w:t xml:space="preserve">and requires the patient to have progressed with a TKI </w:t>
      </w:r>
      <w:r w:rsidR="006E0B85" w:rsidRPr="009F66D6">
        <w:rPr>
          <w:rFonts w:eastAsiaTheme="minorHAnsi"/>
        </w:rPr>
        <w:t xml:space="preserve">or ALK TKI. </w:t>
      </w:r>
      <w:r w:rsidR="00467681" w:rsidRPr="009F66D6">
        <w:rPr>
          <w:rFonts w:eastAsiaTheme="minorHAnsi"/>
        </w:rPr>
        <w:t>T</w:t>
      </w:r>
      <w:r w:rsidR="006E0B85" w:rsidRPr="009F66D6">
        <w:rPr>
          <w:rFonts w:eastAsiaTheme="minorHAnsi"/>
        </w:rPr>
        <w:t>his listing would not be consistent with the TGA approved indication for bevacizumab</w:t>
      </w:r>
      <w:r w:rsidR="007A110A" w:rsidRPr="009F66D6">
        <w:rPr>
          <w:rFonts w:eastAsiaTheme="minorHAnsi"/>
        </w:rPr>
        <w:t xml:space="preserve"> for NSCLC</w:t>
      </w:r>
      <w:r w:rsidR="006E0B85" w:rsidRPr="009F66D6">
        <w:rPr>
          <w:rFonts w:eastAsiaTheme="minorHAnsi"/>
        </w:rPr>
        <w:t>.</w:t>
      </w:r>
      <w:r w:rsidR="00540E09" w:rsidRPr="00340CF8">
        <w:rPr>
          <w:rFonts w:eastAsiaTheme="minorHAnsi"/>
        </w:rPr>
        <w:t xml:space="preserve"> </w:t>
      </w:r>
    </w:p>
    <w:p w:rsidR="001821EA" w:rsidRPr="00340CF8" w:rsidRDefault="00133594" w:rsidP="00751C57">
      <w:pPr>
        <w:pStyle w:val="3Bodytext"/>
        <w:numPr>
          <w:ilvl w:val="1"/>
          <w:numId w:val="3"/>
        </w:numPr>
        <w:rPr>
          <w:rFonts w:eastAsiaTheme="minorHAnsi"/>
        </w:rPr>
      </w:pPr>
      <w:r w:rsidRPr="00340CF8">
        <w:rPr>
          <w:rFonts w:eastAsiaTheme="minorHAnsi"/>
        </w:rPr>
        <w:t xml:space="preserve">The pre-PBAC response clarified the intent of the submission was to address the </w:t>
      </w:r>
      <w:r w:rsidR="007A355E" w:rsidRPr="00340CF8">
        <w:rPr>
          <w:rFonts w:eastAsiaTheme="minorHAnsi"/>
        </w:rPr>
        <w:t xml:space="preserve">sponsor’s perception of a </w:t>
      </w:r>
      <w:r w:rsidRPr="00340CF8">
        <w:rPr>
          <w:rFonts w:eastAsiaTheme="minorHAnsi"/>
        </w:rPr>
        <w:t>misalignment between the registration and current PBS restriction</w:t>
      </w:r>
      <w:r w:rsidR="00751C57" w:rsidRPr="00340CF8">
        <w:rPr>
          <w:rFonts w:eastAsiaTheme="minorHAnsi"/>
        </w:rPr>
        <w:t xml:space="preserve"> of bevacizumab for </w:t>
      </w:r>
      <w:r w:rsidRPr="00340CF8">
        <w:rPr>
          <w:rFonts w:eastAsiaTheme="minorHAnsi"/>
        </w:rPr>
        <w:t>NSCLC. The pre-PBAC response noted the</w:t>
      </w:r>
      <w:r w:rsidRPr="00340CF8">
        <w:t xml:space="preserve"> registration of </w:t>
      </w:r>
      <w:r w:rsidRPr="00340CF8">
        <w:rPr>
          <w:rFonts w:eastAsiaTheme="minorHAnsi"/>
        </w:rPr>
        <w:t xml:space="preserve">atezolizumab has been changed to reflect this combination use, however, the registration of the </w:t>
      </w:r>
      <w:r w:rsidR="00050E98">
        <w:rPr>
          <w:rFonts w:eastAsiaTheme="minorHAnsi"/>
        </w:rPr>
        <w:t xml:space="preserve">bevacizumab </w:t>
      </w:r>
      <w:r w:rsidRPr="00340CF8">
        <w:rPr>
          <w:rFonts w:eastAsiaTheme="minorHAnsi"/>
        </w:rPr>
        <w:t>reference brand, Avastin, and biosimilar brands has not been changed. The pre-PBAC response further explained that updating the restriction as requested would not impact on the utilisation of bevacizumab</w:t>
      </w:r>
      <w:r w:rsidR="00050E98">
        <w:rPr>
          <w:rFonts w:eastAsiaTheme="minorHAnsi"/>
        </w:rPr>
        <w:t>,</w:t>
      </w:r>
      <w:r w:rsidRPr="00340CF8">
        <w:rPr>
          <w:rFonts w:eastAsiaTheme="minorHAnsi"/>
        </w:rPr>
        <w:t xml:space="preserve"> as quadruple therapy (atezolizumab + bevacizumab + </w:t>
      </w:r>
      <w:r w:rsidR="003C7D07">
        <w:rPr>
          <w:rFonts w:eastAsiaTheme="minorHAnsi"/>
        </w:rPr>
        <w:t>PDC</w:t>
      </w:r>
      <w:r w:rsidRPr="00340CF8">
        <w:rPr>
          <w:rFonts w:eastAsiaTheme="minorHAnsi"/>
        </w:rPr>
        <w:t>) is currently standard of care in clinical practice.</w:t>
      </w:r>
    </w:p>
    <w:p w:rsidR="004737E8" w:rsidRPr="00340CF8" w:rsidRDefault="001821EA" w:rsidP="002915E9">
      <w:pPr>
        <w:pStyle w:val="3Bodytext"/>
        <w:numPr>
          <w:ilvl w:val="1"/>
          <w:numId w:val="3"/>
        </w:numPr>
        <w:rPr>
          <w:rFonts w:eastAsiaTheme="minorHAnsi"/>
        </w:rPr>
      </w:pPr>
      <w:r w:rsidRPr="00340CF8">
        <w:rPr>
          <w:rFonts w:eastAsiaTheme="minorHAnsi"/>
        </w:rPr>
        <w:t xml:space="preserve">The PBAC noted that </w:t>
      </w:r>
      <w:r w:rsidR="00A24704" w:rsidRPr="00340CF8">
        <w:rPr>
          <w:rFonts w:eastAsiaTheme="minorHAnsi"/>
        </w:rPr>
        <w:t xml:space="preserve">the bevacizumab PI had also not been updated for </w:t>
      </w:r>
      <w:r w:rsidR="00340CF8">
        <w:rPr>
          <w:rFonts w:eastAsiaTheme="minorHAnsi"/>
        </w:rPr>
        <w:t xml:space="preserve">its </w:t>
      </w:r>
      <w:r w:rsidR="00D926E5" w:rsidRPr="00340CF8">
        <w:rPr>
          <w:rFonts w:eastAsiaTheme="minorHAnsi"/>
        </w:rPr>
        <w:t>combination use with atezolizumab for HCC</w:t>
      </w:r>
      <w:r w:rsidR="00050E98">
        <w:rPr>
          <w:rFonts w:eastAsiaTheme="minorHAnsi"/>
        </w:rPr>
        <w:t>,</w:t>
      </w:r>
      <w:r w:rsidR="00D926E5" w:rsidRPr="00340CF8">
        <w:rPr>
          <w:rFonts w:eastAsiaTheme="minorHAnsi"/>
        </w:rPr>
        <w:t xml:space="preserve"> which was recommended at the July 2020 PBAC meeting. </w:t>
      </w:r>
      <w:r w:rsidR="00AB55AD" w:rsidRPr="00340CF8">
        <w:rPr>
          <w:rFonts w:eastAsiaTheme="minorHAnsi"/>
        </w:rPr>
        <w:t xml:space="preserve">The PBAC considered that </w:t>
      </w:r>
      <w:r w:rsidR="004072B1" w:rsidRPr="00340CF8">
        <w:rPr>
          <w:rFonts w:eastAsiaTheme="minorHAnsi"/>
        </w:rPr>
        <w:t xml:space="preserve">this type of </w:t>
      </w:r>
      <w:r w:rsidR="00B217DB" w:rsidRPr="003C7D07">
        <w:rPr>
          <w:rFonts w:eastAsiaTheme="minorHAnsi"/>
        </w:rPr>
        <w:t>misalignment</w:t>
      </w:r>
      <w:r w:rsidR="00B217DB" w:rsidRPr="00340CF8">
        <w:rPr>
          <w:rFonts w:eastAsiaTheme="minorHAnsi"/>
        </w:rPr>
        <w:t xml:space="preserve"> is likely to be repeated</w:t>
      </w:r>
      <w:r w:rsidR="00050E98">
        <w:rPr>
          <w:rFonts w:eastAsiaTheme="minorHAnsi"/>
        </w:rPr>
        <w:t>,</w:t>
      </w:r>
      <w:r w:rsidR="00B217DB" w:rsidRPr="00340CF8">
        <w:rPr>
          <w:rFonts w:eastAsiaTheme="minorHAnsi"/>
        </w:rPr>
        <w:t xml:space="preserve"> noting that there are more </w:t>
      </w:r>
      <w:r w:rsidR="00AB55AD" w:rsidRPr="00340CF8">
        <w:rPr>
          <w:rFonts w:eastAsiaTheme="minorHAnsi"/>
        </w:rPr>
        <w:t xml:space="preserve">medicines coming forward for combination use where TGA registration occurs only </w:t>
      </w:r>
      <w:r w:rsidR="007A355E" w:rsidRPr="00340CF8">
        <w:rPr>
          <w:rFonts w:eastAsiaTheme="minorHAnsi"/>
        </w:rPr>
        <w:t>for</w:t>
      </w:r>
      <w:r w:rsidR="00AB55AD" w:rsidRPr="00340CF8">
        <w:rPr>
          <w:rFonts w:eastAsiaTheme="minorHAnsi"/>
        </w:rPr>
        <w:t xml:space="preserve"> the medicines</w:t>
      </w:r>
      <w:r w:rsidR="007A355E" w:rsidRPr="00340CF8">
        <w:rPr>
          <w:rFonts w:eastAsiaTheme="minorHAnsi"/>
        </w:rPr>
        <w:t xml:space="preserve"> whose patent has not expired</w:t>
      </w:r>
      <w:r w:rsidR="00B217DB" w:rsidRPr="00340CF8">
        <w:rPr>
          <w:rFonts w:eastAsiaTheme="minorHAnsi"/>
        </w:rPr>
        <w:t>.</w:t>
      </w:r>
      <w:r w:rsidR="00AB55AD" w:rsidRPr="00340CF8">
        <w:rPr>
          <w:rFonts w:eastAsiaTheme="minorHAnsi"/>
        </w:rPr>
        <w:t xml:space="preserve"> </w:t>
      </w:r>
      <w:r w:rsidR="004D12FC" w:rsidRPr="00340CF8">
        <w:rPr>
          <w:rFonts w:eastAsiaTheme="minorHAnsi"/>
        </w:rPr>
        <w:t xml:space="preserve">The PBAC </w:t>
      </w:r>
      <w:r w:rsidR="004072B1" w:rsidRPr="00340CF8">
        <w:rPr>
          <w:rFonts w:eastAsiaTheme="minorHAnsi"/>
        </w:rPr>
        <w:t xml:space="preserve">considered that changing the current bevacizumab </w:t>
      </w:r>
      <w:r w:rsidR="00050E98">
        <w:rPr>
          <w:rFonts w:eastAsiaTheme="minorHAnsi"/>
        </w:rPr>
        <w:t xml:space="preserve">PBS </w:t>
      </w:r>
      <w:r w:rsidR="004072B1" w:rsidRPr="00340CF8">
        <w:rPr>
          <w:rFonts w:eastAsiaTheme="minorHAnsi"/>
        </w:rPr>
        <w:t>restriction to unrestricted would allow access to combination treatment with atezolizumab. However, the PBAC noted that this would likely increase utilisation</w:t>
      </w:r>
      <w:r w:rsidR="002915E9" w:rsidRPr="00340CF8">
        <w:rPr>
          <w:rFonts w:eastAsiaTheme="minorHAnsi"/>
        </w:rPr>
        <w:t xml:space="preserve"> by 10-20% (see </w:t>
      </w:r>
      <w:r w:rsidR="002915E9" w:rsidRPr="00E72FBC">
        <w:rPr>
          <w:rFonts w:eastAsiaTheme="minorHAnsi"/>
        </w:rPr>
        <w:t>paragraph 4.</w:t>
      </w:r>
      <w:r w:rsidR="003C7D07" w:rsidRPr="00E72FBC">
        <w:rPr>
          <w:rFonts w:eastAsiaTheme="minorHAnsi"/>
        </w:rPr>
        <w:t>5</w:t>
      </w:r>
      <w:r w:rsidR="002915E9" w:rsidRPr="00340CF8">
        <w:rPr>
          <w:rFonts w:eastAsiaTheme="minorHAnsi"/>
        </w:rPr>
        <w:t xml:space="preserve"> for further details).</w:t>
      </w:r>
      <w:r w:rsidR="002915E9" w:rsidRPr="00340CF8" w:rsidDel="00816C00">
        <w:rPr>
          <w:rFonts w:eastAsiaTheme="minorHAnsi"/>
          <w:i/>
        </w:rPr>
        <w:t xml:space="preserve"> </w:t>
      </w:r>
    </w:p>
    <w:p w:rsidR="00E632AF" w:rsidRPr="00340CF8" w:rsidRDefault="00E632AF" w:rsidP="008A63AC">
      <w:pPr>
        <w:pStyle w:val="3Bodytext"/>
        <w:rPr>
          <w:i/>
        </w:rPr>
      </w:pPr>
      <w:r w:rsidRPr="00340CF8">
        <w:rPr>
          <w:i/>
        </w:rPr>
        <w:t xml:space="preserve">For more detail on the PBAC’s view, see section </w:t>
      </w:r>
      <w:r w:rsidR="00E15166" w:rsidRPr="00340CF8">
        <w:rPr>
          <w:i/>
        </w:rPr>
        <w:t>5</w:t>
      </w:r>
      <w:r w:rsidRPr="00340CF8">
        <w:rPr>
          <w:i/>
        </w:rPr>
        <w:t xml:space="preserve"> PBAC outcome.</w:t>
      </w:r>
    </w:p>
    <w:p w:rsidR="007D5BC1" w:rsidRPr="00340CF8" w:rsidRDefault="00F33E19" w:rsidP="00005D98">
      <w:pPr>
        <w:pStyle w:val="2-SectionHeading"/>
        <w:numPr>
          <w:ilvl w:val="0"/>
          <w:numId w:val="3"/>
        </w:numPr>
        <w:ind w:left="720" w:hanging="720"/>
      </w:pPr>
      <w:r w:rsidRPr="00340CF8">
        <w:t xml:space="preserve">Clinical evidence </w:t>
      </w:r>
    </w:p>
    <w:p w:rsidR="005F263B" w:rsidRPr="00197446" w:rsidRDefault="005F263B" w:rsidP="00197446">
      <w:pPr>
        <w:pStyle w:val="4-SubsectionHeading"/>
      </w:pPr>
      <w:r w:rsidRPr="00197446">
        <w:t>Sponsor hearing</w:t>
      </w:r>
    </w:p>
    <w:p w:rsidR="005F263B" w:rsidRPr="00340CF8" w:rsidRDefault="005F263B" w:rsidP="0036046F">
      <w:pPr>
        <w:pStyle w:val="ListParagraph"/>
        <w:widowControl w:val="0"/>
        <w:numPr>
          <w:ilvl w:val="1"/>
          <w:numId w:val="3"/>
        </w:numPr>
        <w:spacing w:after="120"/>
        <w:rPr>
          <w:rFonts w:asciiTheme="minorHAnsi" w:hAnsiTheme="minorHAnsi" w:cs="Arial"/>
          <w:bCs/>
          <w:snapToGrid w:val="0"/>
        </w:rPr>
      </w:pPr>
      <w:r w:rsidRPr="00340CF8">
        <w:rPr>
          <w:rFonts w:asciiTheme="minorHAnsi" w:hAnsiTheme="minorHAnsi" w:cs="Arial"/>
          <w:bCs/>
          <w:snapToGrid w:val="0"/>
        </w:rPr>
        <w:t>There was no hearing for this item.</w:t>
      </w:r>
    </w:p>
    <w:p w:rsidR="005F263B" w:rsidRPr="00197446" w:rsidRDefault="005F263B" w:rsidP="00197446">
      <w:pPr>
        <w:pStyle w:val="4-SubsectionHeading"/>
      </w:pPr>
      <w:r w:rsidRPr="00197446">
        <w:t>Consumer comments</w:t>
      </w:r>
    </w:p>
    <w:p w:rsidR="0036046F" w:rsidRPr="00340CF8" w:rsidRDefault="005F263B" w:rsidP="0036046F">
      <w:pPr>
        <w:widowControl w:val="0"/>
        <w:numPr>
          <w:ilvl w:val="1"/>
          <w:numId w:val="3"/>
        </w:numPr>
        <w:spacing w:after="120"/>
        <w:rPr>
          <w:rFonts w:asciiTheme="minorHAnsi" w:hAnsiTheme="minorHAnsi" w:cs="Arial"/>
          <w:bCs/>
          <w:snapToGrid w:val="0"/>
        </w:rPr>
      </w:pPr>
      <w:r w:rsidRPr="00340CF8">
        <w:rPr>
          <w:rFonts w:asciiTheme="minorHAnsi" w:hAnsiTheme="minorHAnsi" w:cs="Arial"/>
          <w:bCs/>
          <w:snapToGrid w:val="0"/>
        </w:rPr>
        <w:t xml:space="preserve">The PBAC noted and welcomed the input from </w:t>
      </w:r>
      <w:r w:rsidR="00827773" w:rsidRPr="00340CF8">
        <w:rPr>
          <w:rFonts w:asciiTheme="minorHAnsi" w:hAnsiTheme="minorHAnsi" w:cs="Arial"/>
          <w:bCs/>
          <w:snapToGrid w:val="0"/>
        </w:rPr>
        <w:t>an</w:t>
      </w:r>
      <w:r w:rsidR="0073508B" w:rsidRPr="00340CF8">
        <w:rPr>
          <w:rFonts w:asciiTheme="minorHAnsi" w:hAnsiTheme="minorHAnsi" w:cs="Arial"/>
          <w:bCs/>
          <w:snapToGrid w:val="0"/>
        </w:rPr>
        <w:t xml:space="preserve"> organisation</w:t>
      </w:r>
      <w:r w:rsidRPr="00340CF8">
        <w:rPr>
          <w:rFonts w:asciiTheme="minorHAnsi" w:hAnsiTheme="minorHAnsi" w:cs="Arial"/>
          <w:bCs/>
          <w:snapToGrid w:val="0"/>
        </w:rPr>
        <w:t xml:space="preserve"> </w:t>
      </w:r>
      <w:r w:rsidR="00827773" w:rsidRPr="00340CF8">
        <w:rPr>
          <w:rFonts w:asciiTheme="minorHAnsi" w:hAnsiTheme="minorHAnsi" w:cs="Arial"/>
          <w:bCs/>
          <w:snapToGrid w:val="0"/>
        </w:rPr>
        <w:t xml:space="preserve">(1) </w:t>
      </w:r>
      <w:r w:rsidRPr="00340CF8">
        <w:rPr>
          <w:rFonts w:asciiTheme="minorHAnsi" w:hAnsiTheme="minorHAnsi" w:cs="Arial"/>
          <w:bCs/>
          <w:snapToGrid w:val="0"/>
        </w:rPr>
        <w:t>via the Consumer Commen</w:t>
      </w:r>
      <w:r w:rsidR="0073508B" w:rsidRPr="00340CF8">
        <w:rPr>
          <w:rFonts w:asciiTheme="minorHAnsi" w:hAnsiTheme="minorHAnsi" w:cs="Arial"/>
          <w:bCs/>
          <w:snapToGrid w:val="0"/>
        </w:rPr>
        <w:t xml:space="preserve">ts facility on the PBS website. Comments from Lung Foundation Australia </w:t>
      </w:r>
      <w:r w:rsidR="00DE6222" w:rsidRPr="00340CF8">
        <w:rPr>
          <w:rFonts w:asciiTheme="minorHAnsi" w:hAnsiTheme="minorHAnsi" w:cs="Arial"/>
          <w:bCs/>
          <w:snapToGrid w:val="0"/>
        </w:rPr>
        <w:t xml:space="preserve">supported </w:t>
      </w:r>
      <w:r w:rsidR="00827773" w:rsidRPr="00340CF8">
        <w:rPr>
          <w:rFonts w:asciiTheme="minorHAnsi" w:hAnsiTheme="minorHAnsi" w:cs="Arial"/>
          <w:bCs/>
          <w:snapToGrid w:val="0"/>
        </w:rPr>
        <w:t xml:space="preserve">broadening the restriction wording of </w:t>
      </w:r>
      <w:r w:rsidR="0036046F" w:rsidRPr="00340CF8">
        <w:rPr>
          <w:rFonts w:asciiTheme="minorHAnsi" w:hAnsiTheme="minorHAnsi" w:cs="Arial"/>
          <w:bCs/>
          <w:snapToGrid w:val="0"/>
        </w:rPr>
        <w:t xml:space="preserve">bevacizumab </w:t>
      </w:r>
      <w:r w:rsidR="00827773" w:rsidRPr="00340CF8">
        <w:rPr>
          <w:rFonts w:asciiTheme="minorHAnsi" w:hAnsiTheme="minorHAnsi" w:cs="Arial"/>
          <w:bCs/>
          <w:snapToGrid w:val="0"/>
        </w:rPr>
        <w:t xml:space="preserve">for NSCLC </w:t>
      </w:r>
      <w:r w:rsidR="00DE6222" w:rsidRPr="00340CF8">
        <w:rPr>
          <w:rFonts w:asciiTheme="minorHAnsi" w:hAnsiTheme="minorHAnsi" w:cs="Arial"/>
          <w:bCs/>
          <w:snapToGrid w:val="0"/>
        </w:rPr>
        <w:t xml:space="preserve">as </w:t>
      </w:r>
      <w:r w:rsidR="00827773" w:rsidRPr="00340CF8">
        <w:rPr>
          <w:rFonts w:asciiTheme="minorHAnsi" w:hAnsiTheme="minorHAnsi" w:cs="Arial"/>
          <w:bCs/>
          <w:snapToGrid w:val="0"/>
        </w:rPr>
        <w:t>it w</w:t>
      </w:r>
      <w:r w:rsidR="00DE6222" w:rsidRPr="00340CF8">
        <w:rPr>
          <w:rFonts w:asciiTheme="minorHAnsi" w:hAnsiTheme="minorHAnsi" w:cs="Arial"/>
          <w:bCs/>
          <w:snapToGrid w:val="0"/>
        </w:rPr>
        <w:t xml:space="preserve">ould </w:t>
      </w:r>
      <w:r w:rsidR="00827773" w:rsidRPr="00340CF8">
        <w:rPr>
          <w:rFonts w:asciiTheme="minorHAnsi" w:hAnsiTheme="minorHAnsi" w:cs="Arial"/>
          <w:bCs/>
          <w:snapToGrid w:val="0"/>
        </w:rPr>
        <w:t xml:space="preserve">allow clinicians with flexibility </w:t>
      </w:r>
      <w:r w:rsidR="00DE6222" w:rsidRPr="00340CF8">
        <w:rPr>
          <w:rFonts w:asciiTheme="minorHAnsi" w:hAnsiTheme="minorHAnsi" w:cs="Arial"/>
          <w:bCs/>
          <w:snapToGrid w:val="0"/>
        </w:rPr>
        <w:t xml:space="preserve">to treat </w:t>
      </w:r>
      <w:r w:rsidR="00827773" w:rsidRPr="00340CF8">
        <w:rPr>
          <w:rFonts w:asciiTheme="minorHAnsi" w:hAnsiTheme="minorHAnsi" w:cs="Arial"/>
          <w:bCs/>
          <w:snapToGrid w:val="0"/>
        </w:rPr>
        <w:t xml:space="preserve">a broader range of patients and providing greater access to biosimilar products. The organisation reiterated its support of subsidising the use of biosimilars from </w:t>
      </w:r>
      <w:r w:rsidR="00DE6222" w:rsidRPr="00340CF8">
        <w:rPr>
          <w:rFonts w:asciiTheme="minorHAnsi" w:hAnsiTheme="minorHAnsi" w:cs="Arial"/>
          <w:bCs/>
          <w:snapToGrid w:val="0"/>
        </w:rPr>
        <w:t xml:space="preserve">its comments from the </w:t>
      </w:r>
      <w:r w:rsidR="00827773" w:rsidRPr="00340CF8">
        <w:rPr>
          <w:rFonts w:asciiTheme="minorHAnsi" w:hAnsiTheme="minorHAnsi" w:cs="Arial"/>
          <w:bCs/>
          <w:snapToGrid w:val="0"/>
        </w:rPr>
        <w:t xml:space="preserve">November 2020 consideration </w:t>
      </w:r>
      <w:r w:rsidR="0097142B" w:rsidRPr="00340CF8">
        <w:rPr>
          <w:rFonts w:asciiTheme="minorHAnsi" w:hAnsiTheme="minorHAnsi" w:cs="Arial"/>
          <w:bCs/>
          <w:snapToGrid w:val="0"/>
        </w:rPr>
        <w:t>including</w:t>
      </w:r>
      <w:r w:rsidR="003404B7" w:rsidRPr="00340CF8">
        <w:rPr>
          <w:rFonts w:asciiTheme="minorHAnsi" w:hAnsiTheme="minorHAnsi" w:cs="Arial"/>
          <w:bCs/>
          <w:snapToGrid w:val="0"/>
        </w:rPr>
        <w:t xml:space="preserve"> wider</w:t>
      </w:r>
      <w:r w:rsidR="0097142B" w:rsidRPr="00340CF8">
        <w:rPr>
          <w:rFonts w:asciiTheme="minorHAnsi" w:hAnsiTheme="minorHAnsi" w:cs="Arial"/>
          <w:bCs/>
          <w:snapToGrid w:val="0"/>
        </w:rPr>
        <w:t xml:space="preserve"> </w:t>
      </w:r>
      <w:r w:rsidR="0036046F" w:rsidRPr="00340CF8">
        <w:rPr>
          <w:rFonts w:asciiTheme="minorHAnsi" w:hAnsiTheme="minorHAnsi" w:cs="Arial"/>
          <w:bCs/>
          <w:snapToGrid w:val="0"/>
        </w:rPr>
        <w:t>access to an additional choice of therapy</w:t>
      </w:r>
      <w:r w:rsidR="00827773" w:rsidRPr="00340CF8">
        <w:rPr>
          <w:rFonts w:asciiTheme="minorHAnsi" w:hAnsiTheme="minorHAnsi" w:cs="Arial"/>
          <w:bCs/>
          <w:snapToGrid w:val="0"/>
        </w:rPr>
        <w:t xml:space="preserve">, </w:t>
      </w:r>
      <w:r w:rsidR="0036046F" w:rsidRPr="00340CF8">
        <w:rPr>
          <w:rFonts w:asciiTheme="minorHAnsi" w:hAnsiTheme="minorHAnsi" w:cs="Arial"/>
          <w:bCs/>
          <w:snapToGrid w:val="0"/>
        </w:rPr>
        <w:t>improvement in</w:t>
      </w:r>
      <w:r w:rsidR="0097142B" w:rsidRPr="00340CF8">
        <w:rPr>
          <w:rFonts w:asciiTheme="minorHAnsi" w:hAnsiTheme="minorHAnsi" w:cs="Arial"/>
          <w:bCs/>
          <w:snapToGrid w:val="0"/>
        </w:rPr>
        <w:t xml:space="preserve"> </w:t>
      </w:r>
      <w:r w:rsidR="0036046F" w:rsidRPr="00340CF8">
        <w:rPr>
          <w:rFonts w:asciiTheme="minorHAnsi" w:hAnsiTheme="minorHAnsi" w:cs="Arial"/>
          <w:bCs/>
          <w:snapToGrid w:val="0"/>
        </w:rPr>
        <w:t>patient wellbeing and survivability because of wider access treatment for a broad range of cancers</w:t>
      </w:r>
      <w:r w:rsidR="00827773" w:rsidRPr="00340CF8">
        <w:rPr>
          <w:rFonts w:asciiTheme="minorHAnsi" w:hAnsiTheme="minorHAnsi" w:cs="Arial"/>
          <w:bCs/>
          <w:snapToGrid w:val="0"/>
        </w:rPr>
        <w:t xml:space="preserve"> and </w:t>
      </w:r>
      <w:r w:rsidR="0097142B" w:rsidRPr="00340CF8">
        <w:rPr>
          <w:rFonts w:asciiTheme="minorHAnsi" w:hAnsiTheme="minorHAnsi" w:cs="Arial"/>
          <w:bCs/>
          <w:snapToGrid w:val="0"/>
        </w:rPr>
        <w:t>ensuring</w:t>
      </w:r>
      <w:r w:rsidR="0036046F" w:rsidRPr="00340CF8">
        <w:rPr>
          <w:rFonts w:asciiTheme="minorHAnsi" w:hAnsiTheme="minorHAnsi" w:cs="Arial"/>
          <w:bCs/>
          <w:snapToGrid w:val="0"/>
        </w:rPr>
        <w:t xml:space="preserve"> continuity of supply and reducing costs of </w:t>
      </w:r>
      <w:r w:rsidR="003C7D07">
        <w:rPr>
          <w:rFonts w:asciiTheme="minorHAnsi" w:hAnsiTheme="minorHAnsi" w:cs="Arial"/>
          <w:bCs/>
          <w:snapToGrid w:val="0"/>
        </w:rPr>
        <w:t xml:space="preserve">the </w:t>
      </w:r>
      <w:r w:rsidR="0036046F" w:rsidRPr="00340CF8">
        <w:rPr>
          <w:rFonts w:asciiTheme="minorHAnsi" w:hAnsiTheme="minorHAnsi" w:cs="Arial"/>
          <w:bCs/>
          <w:snapToGrid w:val="0"/>
        </w:rPr>
        <w:t xml:space="preserve">healthcare system. </w:t>
      </w:r>
    </w:p>
    <w:p w:rsidR="00D10E50" w:rsidRPr="00340CF8" w:rsidRDefault="00D10E50" w:rsidP="00500269">
      <w:pPr>
        <w:widowControl w:val="0"/>
        <w:spacing w:before="240" w:line="276" w:lineRule="auto"/>
        <w:outlineLvl w:val="1"/>
        <w:rPr>
          <w:rFonts w:asciiTheme="minorHAnsi" w:hAnsiTheme="minorHAnsi" w:cs="Arial"/>
          <w:b/>
          <w:bCs/>
          <w:i/>
          <w:snapToGrid w:val="0"/>
          <w:sz w:val="28"/>
          <w:szCs w:val="28"/>
        </w:rPr>
      </w:pPr>
      <w:r w:rsidRPr="00340CF8">
        <w:rPr>
          <w:rFonts w:asciiTheme="minorHAnsi" w:hAnsiTheme="minorHAnsi" w:cs="Arial"/>
          <w:b/>
          <w:bCs/>
          <w:i/>
          <w:snapToGrid w:val="0"/>
          <w:sz w:val="28"/>
          <w:szCs w:val="28"/>
        </w:rPr>
        <w:t>Clinical evidence</w:t>
      </w:r>
    </w:p>
    <w:p w:rsidR="00197446" w:rsidRPr="00197446" w:rsidRDefault="00E72E2C" w:rsidP="00197446">
      <w:pPr>
        <w:pStyle w:val="3Bodytext"/>
        <w:numPr>
          <w:ilvl w:val="1"/>
          <w:numId w:val="3"/>
        </w:numPr>
        <w:rPr>
          <w:b/>
        </w:rPr>
      </w:pPr>
      <w:r w:rsidRPr="00340CF8">
        <w:lastRenderedPageBreak/>
        <w:t xml:space="preserve">The </w:t>
      </w:r>
      <w:r w:rsidR="0006080E" w:rsidRPr="00340CF8">
        <w:t xml:space="preserve">minor </w:t>
      </w:r>
      <w:r w:rsidRPr="00340CF8">
        <w:t xml:space="preserve">submission </w:t>
      </w:r>
      <w:r w:rsidR="0006080E" w:rsidRPr="00340CF8">
        <w:t>did not provide</w:t>
      </w:r>
      <w:r w:rsidRPr="00340CF8">
        <w:t xml:space="preserve"> clinical evidence to support the change of restriction</w:t>
      </w:r>
      <w:r w:rsidR="0006080E" w:rsidRPr="00340CF8">
        <w:t xml:space="preserve"> wording</w:t>
      </w:r>
      <w:r w:rsidRPr="00340CF8">
        <w:t>.</w:t>
      </w:r>
      <w:r w:rsidR="008008D9" w:rsidRPr="00340CF8">
        <w:t xml:space="preserve">  </w:t>
      </w:r>
    </w:p>
    <w:p w:rsidR="00BF44B3" w:rsidRPr="00340CF8" w:rsidRDefault="00BF44B3" w:rsidP="00BF44B3">
      <w:pPr>
        <w:pStyle w:val="4-SubsectionHeading"/>
        <w:rPr>
          <w:lang w:eastAsia="en-US"/>
        </w:rPr>
      </w:pPr>
      <w:r w:rsidRPr="00340CF8">
        <w:rPr>
          <w:lang w:eastAsia="en-US"/>
        </w:rPr>
        <w:t>Estimated PBS usage &amp; financial implications</w:t>
      </w:r>
    </w:p>
    <w:p w:rsidR="00BF44B3" w:rsidRPr="00340CF8" w:rsidRDefault="00BF44B3" w:rsidP="00005D98">
      <w:pPr>
        <w:pStyle w:val="3Bodytext"/>
        <w:numPr>
          <w:ilvl w:val="1"/>
          <w:numId w:val="3"/>
        </w:numPr>
        <w:rPr>
          <w:b/>
          <w:color w:val="FF00FF"/>
        </w:rPr>
      </w:pPr>
      <w:r w:rsidRPr="00340CF8">
        <w:t xml:space="preserve">The minor submission </w:t>
      </w:r>
      <w:r w:rsidR="00464FAE" w:rsidRPr="00340CF8">
        <w:t xml:space="preserve">claimed that the amended restriction is not anticipated to </w:t>
      </w:r>
      <w:r w:rsidR="00FD7A9F">
        <w:t>change</w:t>
      </w:r>
      <w:r w:rsidR="00464FAE" w:rsidRPr="00340CF8">
        <w:t xml:space="preserve"> bevacizumab use.</w:t>
      </w:r>
      <w:r w:rsidR="00DE6222" w:rsidRPr="00340CF8">
        <w:t xml:space="preserve"> </w:t>
      </w:r>
      <w:r w:rsidR="00464FAE" w:rsidRPr="00340CF8">
        <w:t xml:space="preserve">However, noting the financial uncertainty arising from the restriction change, the Sponsor proposed a </w:t>
      </w:r>
      <w:r w:rsidR="00F06757">
        <w:rPr>
          <w:noProof/>
          <w:color w:val="000000"/>
          <w:highlight w:val="black"/>
        </w:rPr>
        <w:t>'''</w:t>
      </w:r>
      <w:r w:rsidR="00464FAE" w:rsidRPr="00340CF8">
        <w:t xml:space="preserve">% price reduction to the price of bevacizumab, in addition to the 25% F2 Statutory Price Reduction, when the NSCLC listing </w:t>
      </w:r>
      <w:r w:rsidR="00464FAE" w:rsidRPr="00340CF8">
        <w:rPr>
          <w:rFonts w:eastAsiaTheme="minorHAnsi"/>
        </w:rPr>
        <w:t>change</w:t>
      </w:r>
      <w:r w:rsidR="00464FAE" w:rsidRPr="00340CF8">
        <w:t xml:space="preserve"> comes into</w:t>
      </w:r>
      <w:r w:rsidR="007A6E7E" w:rsidRPr="00340CF8">
        <w:t xml:space="preserve"> effect and assumed this would f</w:t>
      </w:r>
      <w:r w:rsidR="00464FAE" w:rsidRPr="00340CF8">
        <w:t xml:space="preserve">low on to all bevacizumab brands. </w:t>
      </w:r>
    </w:p>
    <w:p w:rsidR="00B457A0" w:rsidRPr="00340CF8" w:rsidRDefault="00B457A0" w:rsidP="007F68BC">
      <w:pPr>
        <w:pStyle w:val="3Bodytext"/>
        <w:numPr>
          <w:ilvl w:val="1"/>
          <w:numId w:val="3"/>
        </w:numPr>
        <w:rPr>
          <w:b/>
          <w:color w:val="FF00FF"/>
        </w:rPr>
      </w:pPr>
      <w:r w:rsidRPr="00340CF8">
        <w:t xml:space="preserve">The PBAC considered </w:t>
      </w:r>
      <w:r w:rsidR="007F68BC" w:rsidRPr="00340CF8">
        <w:t>that changing the current bevacizumab restriction to unrestricted would likely increase utilisation</w:t>
      </w:r>
      <w:r w:rsidR="00FD7A9F">
        <w:t>.</w:t>
      </w:r>
      <w:r w:rsidR="007F68BC" w:rsidRPr="00340CF8">
        <w:t xml:space="preserve"> </w:t>
      </w:r>
      <w:r w:rsidR="00FD7A9F">
        <w:t>N</w:t>
      </w:r>
      <w:r w:rsidR="00B82949" w:rsidRPr="00340CF8">
        <w:t>oting that only around half of the Stage III ovarian cancer population receive therapy with bevacizumab under current restriction criteria</w:t>
      </w:r>
      <w:r w:rsidR="00FD7A9F">
        <w:t>, this use would likely expand to treatment</w:t>
      </w:r>
      <w:r w:rsidR="00655421">
        <w:t xml:space="preserve"> for relapsed disease</w:t>
      </w:r>
      <w:r w:rsidR="00B82949" w:rsidRPr="00340CF8">
        <w:t>. The PBAC also noted that there is potential for</w:t>
      </w:r>
      <w:r w:rsidR="00F85F44">
        <w:t xml:space="preserve"> increased</w:t>
      </w:r>
      <w:r w:rsidR="00B82949" w:rsidRPr="00340CF8">
        <w:t xml:space="preserve"> use in</w:t>
      </w:r>
      <w:r w:rsidR="00E06845" w:rsidRPr="00340CF8">
        <w:t xml:space="preserve"> </w:t>
      </w:r>
      <w:r w:rsidR="006E510F" w:rsidRPr="00340CF8">
        <w:t>glioblastoma</w:t>
      </w:r>
      <w:r w:rsidR="007F68BC" w:rsidRPr="00340CF8">
        <w:t xml:space="preserve">, </w:t>
      </w:r>
      <w:r w:rsidR="00B82949" w:rsidRPr="00340CF8">
        <w:t xml:space="preserve">and </w:t>
      </w:r>
      <w:r w:rsidR="007F68BC" w:rsidRPr="00340CF8">
        <w:t>in non-PBS-reimbursed indications such as non-driver-mutant NSCLC</w:t>
      </w:r>
      <w:r w:rsidR="00340CF8">
        <w:t>,</w:t>
      </w:r>
      <w:r w:rsidR="007F68BC" w:rsidRPr="00340CF8">
        <w:t xml:space="preserve"> breast cancer and non-colorectal gastrointestinal cancers in combination with chemotherapy</w:t>
      </w:r>
      <w:r w:rsidR="00FD7A9F">
        <w:t>;</w:t>
      </w:r>
      <w:r w:rsidR="00B82949" w:rsidRPr="00340CF8">
        <w:t xml:space="preserve"> however</w:t>
      </w:r>
      <w:r w:rsidR="00FD7A9F">
        <w:t>,</w:t>
      </w:r>
      <w:r w:rsidR="00B82949" w:rsidRPr="00340CF8">
        <w:t xml:space="preserve"> considered that these were not likely to drive significant overall changes in utilisation</w:t>
      </w:r>
      <w:r w:rsidR="007F68BC" w:rsidRPr="00340CF8">
        <w:t xml:space="preserve">. The PBAC considered the increase in utilisation would likely be </w:t>
      </w:r>
      <w:r w:rsidR="00B82949" w:rsidRPr="00340CF8">
        <w:t xml:space="preserve">between </w:t>
      </w:r>
      <w:r w:rsidR="007F68BC" w:rsidRPr="00340CF8">
        <w:t>10-20% and would result in a net financial cost to the Government</w:t>
      </w:r>
      <w:r w:rsidR="00B82949" w:rsidRPr="00340CF8">
        <w:t xml:space="preserve">. The PBAC considered that it would be reasonable to </w:t>
      </w:r>
      <w:r w:rsidR="00340CF8">
        <w:t xml:space="preserve">consider that </w:t>
      </w:r>
      <w:r w:rsidR="00B82949" w:rsidRPr="00340CF8">
        <w:t xml:space="preserve">the use of bevacizumab will expand to the </w:t>
      </w:r>
      <w:r w:rsidR="00340CF8">
        <w:t xml:space="preserve">total </w:t>
      </w:r>
      <w:r w:rsidR="00B82949" w:rsidRPr="00340CF8">
        <w:t>estimated prevalence of Stage III</w:t>
      </w:r>
      <w:r w:rsidR="00655421">
        <w:t xml:space="preserve"> and IV</w:t>
      </w:r>
      <w:r w:rsidR="00B82949" w:rsidRPr="00340CF8">
        <w:t xml:space="preserve"> ovarian cancer in Australia</w:t>
      </w:r>
      <w:r w:rsidR="007F68BC" w:rsidRPr="00340CF8">
        <w:t xml:space="preserve">. </w:t>
      </w:r>
    </w:p>
    <w:p w:rsidR="00BF44B3" w:rsidRPr="00340CF8" w:rsidRDefault="00BF44B3" w:rsidP="00005D98">
      <w:pPr>
        <w:pStyle w:val="3Bodytext"/>
        <w:numPr>
          <w:ilvl w:val="1"/>
          <w:numId w:val="3"/>
        </w:numPr>
      </w:pPr>
      <w:r w:rsidRPr="00340CF8">
        <w:t>As a minor submission, the financial estimates have not been independently evaluated.</w:t>
      </w:r>
    </w:p>
    <w:p w:rsidR="00E632AF" w:rsidRPr="00340CF8" w:rsidRDefault="00E632AF" w:rsidP="008A63AC">
      <w:pPr>
        <w:pStyle w:val="3Bodytext"/>
        <w:rPr>
          <w:i/>
        </w:rPr>
      </w:pPr>
      <w:r w:rsidRPr="00340CF8">
        <w:rPr>
          <w:i/>
        </w:rPr>
        <w:t xml:space="preserve">For more detail on the PBAC’s view, see section </w:t>
      </w:r>
      <w:r w:rsidR="00E15166" w:rsidRPr="00340CF8">
        <w:rPr>
          <w:i/>
        </w:rPr>
        <w:t>5</w:t>
      </w:r>
      <w:r w:rsidRPr="00340CF8">
        <w:rPr>
          <w:i/>
        </w:rPr>
        <w:t xml:space="preserve"> PBAC outcome.</w:t>
      </w:r>
    </w:p>
    <w:p w:rsidR="00D10E50" w:rsidRPr="00340CF8" w:rsidRDefault="00D10E50" w:rsidP="008A63AC">
      <w:pPr>
        <w:pStyle w:val="2-SectionHeading"/>
        <w:numPr>
          <w:ilvl w:val="0"/>
          <w:numId w:val="3"/>
        </w:numPr>
        <w:ind w:left="720" w:hanging="720"/>
        <w:rPr>
          <w:b w:val="0"/>
        </w:rPr>
      </w:pPr>
      <w:r w:rsidRPr="00340CF8">
        <w:t>PBAC Outcome</w:t>
      </w:r>
    </w:p>
    <w:p w:rsidR="0045351E" w:rsidRPr="00D82C7C" w:rsidRDefault="00D10E50" w:rsidP="0036046F">
      <w:pPr>
        <w:widowControl w:val="0"/>
        <w:numPr>
          <w:ilvl w:val="1"/>
          <w:numId w:val="3"/>
        </w:numPr>
        <w:spacing w:after="120"/>
        <w:rPr>
          <w:rFonts w:asciiTheme="minorHAnsi" w:hAnsiTheme="minorHAnsi" w:cs="Arial"/>
          <w:bCs/>
          <w:snapToGrid w:val="0"/>
        </w:rPr>
      </w:pPr>
      <w:r w:rsidRPr="003C7D07">
        <w:rPr>
          <w:rFonts w:asciiTheme="minorHAnsi" w:hAnsiTheme="minorHAnsi" w:cs="Arial"/>
          <w:bCs/>
          <w:snapToGrid w:val="0"/>
        </w:rPr>
        <w:t xml:space="preserve">The PBAC recommended the listing of </w:t>
      </w:r>
      <w:r w:rsidR="0045351E" w:rsidRPr="003C7D07">
        <w:rPr>
          <w:rFonts w:asciiTheme="minorHAnsi" w:hAnsiTheme="minorHAnsi" w:cs="Arial"/>
          <w:bCs/>
          <w:snapToGrid w:val="0"/>
        </w:rPr>
        <w:t xml:space="preserve">bevacizumab </w:t>
      </w:r>
      <w:r w:rsidR="004B5E19" w:rsidRPr="003C7D07">
        <w:rPr>
          <w:rFonts w:asciiTheme="minorHAnsi" w:hAnsiTheme="minorHAnsi" w:cs="Arial"/>
          <w:bCs/>
          <w:snapToGrid w:val="0"/>
        </w:rPr>
        <w:t xml:space="preserve">under Section 100 (Efficient Funding of Chemotherapy) </w:t>
      </w:r>
      <w:r w:rsidR="003D2F18" w:rsidRPr="00D82C7C">
        <w:rPr>
          <w:rFonts w:asciiTheme="minorHAnsi" w:hAnsiTheme="minorHAnsi" w:cs="Arial"/>
          <w:bCs/>
          <w:snapToGrid w:val="0"/>
        </w:rPr>
        <w:t xml:space="preserve">as an </w:t>
      </w:r>
      <w:r w:rsidR="0045351E" w:rsidRPr="00D82C7C">
        <w:rPr>
          <w:rFonts w:asciiTheme="minorHAnsi" w:hAnsiTheme="minorHAnsi" w:cs="Arial"/>
          <w:bCs/>
          <w:snapToGrid w:val="0"/>
        </w:rPr>
        <w:t>unrestricted</w:t>
      </w:r>
      <w:r w:rsidR="003D2F18" w:rsidRPr="00D82C7C">
        <w:rPr>
          <w:rFonts w:asciiTheme="minorHAnsi" w:hAnsiTheme="minorHAnsi" w:cs="Arial"/>
          <w:bCs/>
          <w:snapToGrid w:val="0"/>
        </w:rPr>
        <w:t xml:space="preserve"> benefit</w:t>
      </w:r>
      <w:r w:rsidR="0045351E" w:rsidRPr="00D82C7C">
        <w:rPr>
          <w:rFonts w:asciiTheme="minorHAnsi" w:hAnsiTheme="minorHAnsi" w:cs="Arial"/>
          <w:bCs/>
          <w:snapToGrid w:val="0"/>
        </w:rPr>
        <w:t xml:space="preserve">. </w:t>
      </w:r>
    </w:p>
    <w:p w:rsidR="00083897" w:rsidRPr="00D82C7C" w:rsidRDefault="0045351E" w:rsidP="00083897">
      <w:pPr>
        <w:widowControl w:val="0"/>
        <w:numPr>
          <w:ilvl w:val="1"/>
          <w:numId w:val="3"/>
        </w:numPr>
        <w:spacing w:after="120"/>
        <w:rPr>
          <w:rFonts w:asciiTheme="minorHAnsi" w:hAnsiTheme="minorHAnsi" w:cs="Arial"/>
          <w:bCs/>
          <w:snapToGrid w:val="0"/>
        </w:rPr>
      </w:pPr>
      <w:r w:rsidRPr="00D82C7C">
        <w:rPr>
          <w:rFonts w:asciiTheme="minorHAnsi" w:hAnsiTheme="minorHAnsi" w:cs="Arial"/>
          <w:bCs/>
          <w:snapToGrid w:val="0"/>
        </w:rPr>
        <w:t xml:space="preserve">The PBAC noted </w:t>
      </w:r>
      <w:r w:rsidR="007A355E" w:rsidRPr="00D82C7C">
        <w:rPr>
          <w:rFonts w:asciiTheme="minorHAnsi" w:hAnsiTheme="minorHAnsi" w:cs="Arial"/>
          <w:bCs/>
          <w:snapToGrid w:val="0"/>
        </w:rPr>
        <w:t xml:space="preserve">that for combination cancer medicines, the TGA indications for the newer medicine are updated, while the indications for the older, off-patent medicine, are often not updated. Responsibility for regulatory post-marketing surveillance and conditions-of-approval rests with the sponsor of the newer medicine. </w:t>
      </w:r>
      <w:r w:rsidR="005714EF" w:rsidRPr="00D82C7C">
        <w:rPr>
          <w:rFonts w:asciiTheme="minorHAnsi" w:hAnsiTheme="minorHAnsi" w:cs="Arial"/>
          <w:bCs/>
          <w:snapToGrid w:val="0"/>
        </w:rPr>
        <w:t>This has occurred for NSCLC (before the marketing approval of bevacizumab biosimilars) and also for HCC, and is likely to be repeated for other combinations of newer medicines with bevacizumab.</w:t>
      </w:r>
    </w:p>
    <w:p w:rsidR="00D76163" w:rsidRPr="00D82C7C" w:rsidRDefault="00D76163" w:rsidP="00083897">
      <w:pPr>
        <w:widowControl w:val="0"/>
        <w:numPr>
          <w:ilvl w:val="1"/>
          <w:numId w:val="3"/>
        </w:numPr>
        <w:spacing w:after="120"/>
        <w:rPr>
          <w:rFonts w:asciiTheme="minorHAnsi" w:hAnsiTheme="minorHAnsi" w:cs="Arial"/>
          <w:bCs/>
          <w:snapToGrid w:val="0"/>
        </w:rPr>
      </w:pPr>
      <w:r w:rsidRPr="00D82C7C">
        <w:rPr>
          <w:rFonts w:asciiTheme="minorHAnsi" w:hAnsiTheme="minorHAnsi" w:cs="Arial"/>
          <w:bCs/>
          <w:snapToGrid w:val="0"/>
        </w:rPr>
        <w:t xml:space="preserve">The PBAC further noted that it would be appropriate to seek a listing for the first biosimilar for bevacizumab that would assure supply across all listed populations. The PBAC noted the supply assurance arrangements that exist under the </w:t>
      </w:r>
      <w:r w:rsidRPr="00D82C7C">
        <w:rPr>
          <w:rFonts w:asciiTheme="minorHAnsi" w:hAnsiTheme="minorHAnsi" w:cs="Arial"/>
          <w:bCs/>
          <w:i/>
          <w:snapToGrid w:val="0"/>
        </w:rPr>
        <w:t xml:space="preserve">National Health Act 1953 </w:t>
      </w:r>
      <w:r w:rsidRPr="00D82C7C">
        <w:rPr>
          <w:rFonts w:asciiTheme="minorHAnsi" w:hAnsiTheme="minorHAnsi" w:cs="Arial"/>
          <w:bCs/>
          <w:snapToGrid w:val="0"/>
        </w:rPr>
        <w:t xml:space="preserve">and which always apply to the first new brand of a medicine once </w:t>
      </w:r>
      <w:r w:rsidR="00F84DDB" w:rsidRPr="00D82C7C">
        <w:rPr>
          <w:rFonts w:asciiTheme="minorHAnsi" w:hAnsiTheme="minorHAnsi" w:cs="Arial"/>
          <w:bCs/>
          <w:snapToGrid w:val="0"/>
        </w:rPr>
        <w:t>the medicine</w:t>
      </w:r>
      <w:r w:rsidRPr="00D82C7C">
        <w:rPr>
          <w:rFonts w:asciiTheme="minorHAnsi" w:hAnsiTheme="minorHAnsi" w:cs="Arial"/>
          <w:bCs/>
          <w:snapToGrid w:val="0"/>
        </w:rPr>
        <w:t xml:space="preserve"> becomes subject to the first new brand statutory price reduction and moves </w:t>
      </w:r>
      <w:r w:rsidRPr="00D82C7C">
        <w:rPr>
          <w:rFonts w:asciiTheme="minorHAnsi" w:hAnsiTheme="minorHAnsi" w:cs="Arial"/>
          <w:bCs/>
          <w:snapToGrid w:val="0"/>
        </w:rPr>
        <w:lastRenderedPageBreak/>
        <w:t>into price disclosure.</w:t>
      </w:r>
      <w:r w:rsidR="00F84DDB" w:rsidRPr="00D82C7C">
        <w:rPr>
          <w:rFonts w:asciiTheme="minorHAnsi" w:hAnsiTheme="minorHAnsi" w:cs="Arial"/>
          <w:bCs/>
          <w:snapToGrid w:val="0"/>
        </w:rPr>
        <w:t xml:space="preserve"> The PBAC noted that it was common for originator sponsors to cease supply or divest their brands once these mechanisms apply.</w:t>
      </w:r>
    </w:p>
    <w:p w:rsidR="00083897" w:rsidRPr="00D82C7C" w:rsidRDefault="00083897" w:rsidP="00083897">
      <w:pPr>
        <w:widowControl w:val="0"/>
        <w:numPr>
          <w:ilvl w:val="1"/>
          <w:numId w:val="3"/>
        </w:numPr>
        <w:spacing w:after="120"/>
        <w:rPr>
          <w:rFonts w:asciiTheme="minorHAnsi" w:hAnsiTheme="minorHAnsi" w:cs="Arial"/>
          <w:bCs/>
          <w:snapToGrid w:val="0"/>
        </w:rPr>
      </w:pPr>
      <w:r w:rsidRPr="00D82C7C">
        <w:rPr>
          <w:rFonts w:asciiTheme="minorHAnsi" w:hAnsiTheme="minorHAnsi" w:cs="Arial"/>
          <w:bCs/>
          <w:snapToGrid w:val="0"/>
        </w:rPr>
        <w:t xml:space="preserve">The PBAC considered that changing the bevacizumab </w:t>
      </w:r>
      <w:r w:rsidR="006E46EE" w:rsidRPr="00D82C7C">
        <w:rPr>
          <w:rFonts w:asciiTheme="minorHAnsi" w:hAnsiTheme="minorHAnsi" w:cs="Arial"/>
          <w:bCs/>
          <w:snapToGrid w:val="0"/>
        </w:rPr>
        <w:t xml:space="preserve">restriction for all currently listed indications </w:t>
      </w:r>
      <w:r w:rsidRPr="00D82C7C">
        <w:rPr>
          <w:rFonts w:asciiTheme="minorHAnsi" w:hAnsiTheme="minorHAnsi" w:cs="Arial"/>
          <w:bCs/>
          <w:snapToGrid w:val="0"/>
        </w:rPr>
        <w:t>to unrestricted would allow access to combination treatment with atezolizumab</w:t>
      </w:r>
      <w:r w:rsidR="009841B0" w:rsidRPr="00D82C7C">
        <w:rPr>
          <w:rFonts w:asciiTheme="minorHAnsi" w:hAnsiTheme="minorHAnsi" w:cs="Arial"/>
          <w:bCs/>
          <w:snapToGrid w:val="0"/>
        </w:rPr>
        <w:t xml:space="preserve"> so that </w:t>
      </w:r>
      <w:r w:rsidRPr="00D82C7C">
        <w:rPr>
          <w:rFonts w:asciiTheme="minorHAnsi" w:hAnsiTheme="minorHAnsi" w:cs="Arial"/>
          <w:bCs/>
          <w:snapToGrid w:val="0"/>
        </w:rPr>
        <w:t>no patient</w:t>
      </w:r>
      <w:r w:rsidR="00244F45">
        <w:rPr>
          <w:rFonts w:asciiTheme="minorHAnsi" w:hAnsiTheme="minorHAnsi" w:cs="Arial"/>
          <w:bCs/>
          <w:snapToGrid w:val="0"/>
        </w:rPr>
        <w:t>s</w:t>
      </w:r>
      <w:r w:rsidRPr="00D82C7C">
        <w:rPr>
          <w:rFonts w:asciiTheme="minorHAnsi" w:hAnsiTheme="minorHAnsi" w:cs="Arial"/>
          <w:bCs/>
          <w:snapToGrid w:val="0"/>
        </w:rPr>
        <w:t xml:space="preserve"> would be disadvantaged </w:t>
      </w:r>
      <w:r w:rsidR="00D76163" w:rsidRPr="00D82C7C">
        <w:rPr>
          <w:rFonts w:asciiTheme="minorHAnsi" w:hAnsiTheme="minorHAnsi" w:cs="Arial"/>
          <w:bCs/>
          <w:snapToGrid w:val="0"/>
        </w:rPr>
        <w:t>should there be any future concerns around supply</w:t>
      </w:r>
      <w:r w:rsidR="00F84DDB" w:rsidRPr="00D82C7C">
        <w:rPr>
          <w:rFonts w:asciiTheme="minorHAnsi" w:hAnsiTheme="minorHAnsi" w:cs="Arial"/>
          <w:bCs/>
          <w:snapToGrid w:val="0"/>
        </w:rPr>
        <w:t xml:space="preserve"> of the originator brand</w:t>
      </w:r>
      <w:r w:rsidRPr="00D82C7C">
        <w:rPr>
          <w:rFonts w:asciiTheme="minorHAnsi" w:hAnsiTheme="minorHAnsi" w:cs="Arial"/>
          <w:bCs/>
          <w:snapToGrid w:val="0"/>
        </w:rPr>
        <w:t xml:space="preserve">. </w:t>
      </w:r>
      <w:r w:rsidR="003D2F18" w:rsidRPr="00D82C7C">
        <w:rPr>
          <w:rFonts w:asciiTheme="minorHAnsi" w:hAnsiTheme="minorHAnsi" w:cs="Arial"/>
          <w:bCs/>
          <w:snapToGrid w:val="0"/>
        </w:rPr>
        <w:t xml:space="preserve">This includes the only currently non-streamlined indication, glioblastoma, changing from a written only authority to an unrestricted benefit. </w:t>
      </w:r>
      <w:r w:rsidR="00205DC7">
        <w:rPr>
          <w:rFonts w:asciiTheme="minorHAnsi" w:hAnsiTheme="minorHAnsi" w:cs="Arial"/>
          <w:bCs/>
          <w:snapToGrid w:val="0"/>
        </w:rPr>
        <w:t xml:space="preserve">The PBAC considered a </w:t>
      </w:r>
      <w:r w:rsidR="003D2F18" w:rsidRPr="00D82C7C">
        <w:rPr>
          <w:rFonts w:asciiTheme="minorHAnsi" w:hAnsiTheme="minorHAnsi" w:cs="Arial"/>
          <w:bCs/>
          <w:snapToGrid w:val="0"/>
        </w:rPr>
        <w:t>maximum amount</w:t>
      </w:r>
      <w:r w:rsidR="0096240C">
        <w:rPr>
          <w:rFonts w:asciiTheme="minorHAnsi" w:hAnsiTheme="minorHAnsi" w:cs="Arial"/>
          <w:bCs/>
          <w:snapToGrid w:val="0"/>
        </w:rPr>
        <w:t xml:space="preserve"> of </w:t>
      </w:r>
      <w:r w:rsidR="00E03256">
        <w:rPr>
          <w:rFonts w:asciiTheme="minorHAnsi" w:hAnsiTheme="minorHAnsi" w:cs="Arial"/>
          <w:bCs/>
          <w:snapToGrid w:val="0"/>
        </w:rPr>
        <w:t>1800 </w:t>
      </w:r>
      <w:r w:rsidR="0096240C">
        <w:rPr>
          <w:rFonts w:asciiTheme="minorHAnsi" w:hAnsiTheme="minorHAnsi" w:cs="Arial"/>
          <w:bCs/>
          <w:snapToGrid w:val="0"/>
        </w:rPr>
        <w:t>mg</w:t>
      </w:r>
      <w:r w:rsidR="003D2F18" w:rsidRPr="00D82C7C">
        <w:rPr>
          <w:rFonts w:asciiTheme="minorHAnsi" w:hAnsiTheme="minorHAnsi" w:cs="Arial"/>
          <w:bCs/>
          <w:snapToGrid w:val="0"/>
        </w:rPr>
        <w:t xml:space="preserve"> and </w:t>
      </w:r>
      <w:r w:rsidR="00205DC7">
        <w:rPr>
          <w:rFonts w:asciiTheme="minorHAnsi" w:hAnsiTheme="minorHAnsi" w:cs="Arial"/>
          <w:bCs/>
          <w:snapToGrid w:val="0"/>
        </w:rPr>
        <w:t xml:space="preserve">a maximum </w:t>
      </w:r>
      <w:r w:rsidR="00523D15">
        <w:rPr>
          <w:rFonts w:asciiTheme="minorHAnsi" w:hAnsiTheme="minorHAnsi" w:cs="Arial"/>
          <w:bCs/>
          <w:snapToGrid w:val="0"/>
        </w:rPr>
        <w:t>of 7</w:t>
      </w:r>
      <w:r w:rsidR="00F85F44">
        <w:rPr>
          <w:rFonts w:asciiTheme="minorHAnsi" w:hAnsiTheme="minorHAnsi" w:cs="Arial"/>
          <w:bCs/>
          <w:snapToGrid w:val="0"/>
        </w:rPr>
        <w:t xml:space="preserve"> repeats</w:t>
      </w:r>
      <w:r w:rsidR="00205DC7">
        <w:rPr>
          <w:rFonts w:asciiTheme="minorHAnsi" w:hAnsiTheme="minorHAnsi" w:cs="Arial"/>
          <w:bCs/>
          <w:snapToGrid w:val="0"/>
        </w:rPr>
        <w:t xml:space="preserve"> would be appropriate </w:t>
      </w:r>
      <w:r w:rsidR="003D2F18" w:rsidRPr="00D82C7C">
        <w:rPr>
          <w:rFonts w:asciiTheme="minorHAnsi" w:hAnsiTheme="minorHAnsi" w:cs="Arial"/>
          <w:bCs/>
          <w:snapToGrid w:val="0"/>
        </w:rPr>
        <w:t xml:space="preserve">for an unrestricted benefit </w:t>
      </w:r>
      <w:r w:rsidR="00205DC7">
        <w:rPr>
          <w:rFonts w:asciiTheme="minorHAnsi" w:hAnsiTheme="minorHAnsi" w:cs="Arial"/>
          <w:bCs/>
          <w:snapToGrid w:val="0"/>
        </w:rPr>
        <w:t>listing</w:t>
      </w:r>
      <w:r w:rsidR="002E6DBD">
        <w:rPr>
          <w:rFonts w:asciiTheme="minorHAnsi" w:hAnsiTheme="minorHAnsi" w:cs="Arial"/>
          <w:bCs/>
          <w:snapToGrid w:val="0"/>
        </w:rPr>
        <w:t>.</w:t>
      </w:r>
      <w:r w:rsidR="003D2F18" w:rsidRPr="00D82C7C">
        <w:rPr>
          <w:rFonts w:asciiTheme="minorHAnsi" w:hAnsiTheme="minorHAnsi" w:cs="Arial"/>
          <w:bCs/>
          <w:snapToGrid w:val="0"/>
        </w:rPr>
        <w:t xml:space="preserve"> </w:t>
      </w:r>
    </w:p>
    <w:p w:rsidR="00F84DDB" w:rsidRPr="008F4A39" w:rsidRDefault="00083897" w:rsidP="00F84DDB">
      <w:pPr>
        <w:pStyle w:val="3Bodytext"/>
        <w:numPr>
          <w:ilvl w:val="1"/>
          <w:numId w:val="3"/>
        </w:numPr>
        <w:rPr>
          <w:b/>
          <w:color w:val="FF00FF"/>
        </w:rPr>
      </w:pPr>
      <w:r w:rsidRPr="00D82C7C">
        <w:rPr>
          <w:rFonts w:cs="Arial"/>
          <w:bCs/>
          <w:snapToGrid w:val="0"/>
        </w:rPr>
        <w:t xml:space="preserve">The PBAC noted that </w:t>
      </w:r>
      <w:r w:rsidR="009841B0" w:rsidRPr="00D82C7C">
        <w:rPr>
          <w:rFonts w:cs="Arial"/>
          <w:bCs/>
          <w:snapToGrid w:val="0"/>
        </w:rPr>
        <w:t xml:space="preserve">an unrestricted listing for bevacizumab </w:t>
      </w:r>
      <w:r w:rsidRPr="00D82C7C">
        <w:rPr>
          <w:rFonts w:cs="Arial"/>
          <w:bCs/>
          <w:snapToGrid w:val="0"/>
        </w:rPr>
        <w:t>would likely increase utilisation</w:t>
      </w:r>
      <w:r w:rsidR="00F85F44">
        <w:rPr>
          <w:rFonts w:cs="Arial"/>
          <w:bCs/>
          <w:snapToGrid w:val="0"/>
        </w:rPr>
        <w:t>.</w:t>
      </w:r>
      <w:r w:rsidRPr="00D82C7C">
        <w:rPr>
          <w:rFonts w:cs="Arial"/>
          <w:bCs/>
          <w:snapToGrid w:val="0"/>
        </w:rPr>
        <w:t xml:space="preserve"> </w:t>
      </w:r>
      <w:r w:rsidR="00F85F44">
        <w:t>N</w:t>
      </w:r>
      <w:r w:rsidR="00F84DDB" w:rsidRPr="00340CF8">
        <w:t>oting that only around half of the Stage III ovarian cancer population currently receive therapy with bevacizumab under current restriction criteria</w:t>
      </w:r>
      <w:r w:rsidR="00F85F44">
        <w:t>,</w:t>
      </w:r>
      <w:r w:rsidR="00F85F44" w:rsidRPr="00F85F44">
        <w:t xml:space="preserve"> </w:t>
      </w:r>
      <w:r w:rsidR="00F85F44">
        <w:t xml:space="preserve">this use would likely expand to </w:t>
      </w:r>
      <w:r w:rsidR="00E72FBC">
        <w:t>treatment for relapsed disease</w:t>
      </w:r>
      <w:r w:rsidR="00F84DDB" w:rsidRPr="00340CF8">
        <w:t>. The PBAC also noted that there is potential for</w:t>
      </w:r>
      <w:r w:rsidR="00F85F44">
        <w:t xml:space="preserve"> increased</w:t>
      </w:r>
      <w:r w:rsidR="00F84DDB" w:rsidRPr="00340CF8">
        <w:t xml:space="preserve"> use</w:t>
      </w:r>
      <w:r w:rsidR="00F84DDB" w:rsidRPr="00D82C7C" w:rsidDel="00F84DDB">
        <w:rPr>
          <w:rFonts w:cs="Arial"/>
          <w:bCs/>
          <w:snapToGrid w:val="0"/>
        </w:rPr>
        <w:t xml:space="preserve"> </w:t>
      </w:r>
      <w:r w:rsidR="00F84DDB" w:rsidRPr="00D82C7C">
        <w:rPr>
          <w:rFonts w:cs="Arial"/>
          <w:bCs/>
          <w:snapToGrid w:val="0"/>
        </w:rPr>
        <w:t xml:space="preserve">in </w:t>
      </w:r>
      <w:r w:rsidR="009841B0" w:rsidRPr="00D82C7C">
        <w:rPr>
          <w:rFonts w:cs="Arial"/>
          <w:bCs/>
          <w:snapToGrid w:val="0"/>
        </w:rPr>
        <w:t>glioblastoma</w:t>
      </w:r>
      <w:r w:rsidRPr="00D82C7C">
        <w:rPr>
          <w:rFonts w:cs="Arial"/>
          <w:bCs/>
          <w:snapToGrid w:val="0"/>
        </w:rPr>
        <w:t xml:space="preserve">, </w:t>
      </w:r>
      <w:r w:rsidR="00205DC7">
        <w:rPr>
          <w:rFonts w:cs="Arial"/>
          <w:bCs/>
          <w:snapToGrid w:val="0"/>
        </w:rPr>
        <w:t xml:space="preserve">and </w:t>
      </w:r>
      <w:r w:rsidRPr="00D82C7C">
        <w:rPr>
          <w:rFonts w:cs="Arial"/>
          <w:bCs/>
          <w:snapToGrid w:val="0"/>
        </w:rPr>
        <w:t>in non-PBS-reimbursed indications such as non-driver-mutant NSCLC and breast cancer and non-colorectal gastrointestinal cancers in combination with chemotherapy</w:t>
      </w:r>
      <w:r w:rsidR="00F85F44">
        <w:rPr>
          <w:rFonts w:cs="Arial"/>
          <w:bCs/>
          <w:snapToGrid w:val="0"/>
        </w:rPr>
        <w:t>;</w:t>
      </w:r>
      <w:r w:rsidR="00F84DDB" w:rsidRPr="00D82C7C">
        <w:rPr>
          <w:rFonts w:cs="Arial"/>
          <w:bCs/>
          <w:snapToGrid w:val="0"/>
        </w:rPr>
        <w:t xml:space="preserve"> </w:t>
      </w:r>
      <w:r w:rsidR="00F84DDB" w:rsidRPr="00340CF8">
        <w:t>however</w:t>
      </w:r>
      <w:r w:rsidR="00F85F44">
        <w:t>,</w:t>
      </w:r>
      <w:r w:rsidR="00F84DDB" w:rsidRPr="00340CF8">
        <w:t xml:space="preserve"> considered that these were not likely to drive significant overall changes in utilisation</w:t>
      </w:r>
      <w:r w:rsidRPr="00D82C7C">
        <w:rPr>
          <w:rFonts w:cs="Arial"/>
          <w:bCs/>
          <w:snapToGrid w:val="0"/>
        </w:rPr>
        <w:t xml:space="preserve">. The PBAC considered </w:t>
      </w:r>
      <w:r w:rsidR="00880DA8" w:rsidRPr="00D82C7C">
        <w:rPr>
          <w:rFonts w:cs="Arial"/>
          <w:bCs/>
          <w:snapToGrid w:val="0"/>
        </w:rPr>
        <w:t xml:space="preserve">this would increase bevacizumab utilisation by </w:t>
      </w:r>
      <w:r w:rsidR="009841B0" w:rsidRPr="00D82C7C">
        <w:rPr>
          <w:rFonts w:cs="Arial"/>
          <w:bCs/>
          <w:snapToGrid w:val="0"/>
        </w:rPr>
        <w:t xml:space="preserve">approximately </w:t>
      </w:r>
      <w:r w:rsidR="00880DA8" w:rsidRPr="00D82C7C">
        <w:rPr>
          <w:rFonts w:cs="Arial"/>
          <w:bCs/>
          <w:snapToGrid w:val="0"/>
        </w:rPr>
        <w:t xml:space="preserve">10-20%. </w:t>
      </w:r>
      <w:r w:rsidR="00502B6F" w:rsidRPr="00340CF8">
        <w:t xml:space="preserve">The PBAC considered that it would be reasonable to </w:t>
      </w:r>
      <w:r w:rsidR="00502B6F">
        <w:t xml:space="preserve">consider that </w:t>
      </w:r>
      <w:r w:rsidR="00502B6F" w:rsidRPr="00340CF8">
        <w:t xml:space="preserve">the use of bevacizumab will expand to the </w:t>
      </w:r>
      <w:r w:rsidR="00502B6F">
        <w:t xml:space="preserve">total </w:t>
      </w:r>
      <w:r w:rsidR="00502B6F" w:rsidRPr="00340CF8">
        <w:t>estimated prevalence of Stage III</w:t>
      </w:r>
      <w:r w:rsidR="00655421">
        <w:t xml:space="preserve"> and IV</w:t>
      </w:r>
      <w:r w:rsidR="00502B6F" w:rsidRPr="00340CF8">
        <w:t xml:space="preserve"> ovarian cancer in Australia.</w:t>
      </w:r>
      <w:r w:rsidR="00F84DDB" w:rsidRPr="00340CF8">
        <w:t xml:space="preserve"> The PBAC noted that it would be reasonable to use the current average treatment course for ovarian cancer as a proxy</w:t>
      </w:r>
      <w:r w:rsidR="0087283B">
        <w:t xml:space="preserve"> for all bevacizumab treatment courses</w:t>
      </w:r>
      <w:r w:rsidR="00F84DDB" w:rsidRPr="00340CF8">
        <w:t xml:space="preserve">, as it noted that actual length of treatment course with bevacizumab on the PBS for the treatment of ovarian cancer has been shorter than was originally anticipated, and so this represented the actual treatment experience in Australia. </w:t>
      </w:r>
    </w:p>
    <w:p w:rsidR="0045351E" w:rsidRPr="00D82C7C" w:rsidRDefault="00850604" w:rsidP="00083897">
      <w:pPr>
        <w:widowControl w:val="0"/>
        <w:numPr>
          <w:ilvl w:val="1"/>
          <w:numId w:val="3"/>
        </w:numPr>
        <w:spacing w:after="120"/>
        <w:rPr>
          <w:rFonts w:asciiTheme="minorHAnsi" w:hAnsiTheme="minorHAnsi" w:cs="Arial"/>
          <w:bCs/>
          <w:snapToGrid w:val="0"/>
        </w:rPr>
      </w:pPr>
      <w:r w:rsidRPr="00D82C7C">
        <w:rPr>
          <w:rFonts w:asciiTheme="minorHAnsi" w:hAnsiTheme="minorHAnsi" w:cs="Arial"/>
          <w:bCs/>
          <w:snapToGrid w:val="0"/>
        </w:rPr>
        <w:t>T</w:t>
      </w:r>
      <w:r w:rsidR="00880DA8" w:rsidRPr="00D82C7C">
        <w:rPr>
          <w:rFonts w:asciiTheme="minorHAnsi" w:hAnsiTheme="minorHAnsi" w:cs="Arial"/>
          <w:bCs/>
          <w:snapToGrid w:val="0"/>
        </w:rPr>
        <w:t xml:space="preserve">he PBAC considered </w:t>
      </w:r>
      <w:r w:rsidRPr="00D82C7C">
        <w:rPr>
          <w:rFonts w:asciiTheme="minorHAnsi" w:hAnsiTheme="minorHAnsi" w:cs="Arial"/>
          <w:bCs/>
          <w:snapToGrid w:val="0"/>
        </w:rPr>
        <w:t>that for this change to be cost-effective, a further 10-20% price reduction would need to be applied to any biosimilar brand of bevacizumab</w:t>
      </w:r>
      <w:r w:rsidR="00F84DDB" w:rsidRPr="00D82C7C">
        <w:rPr>
          <w:rFonts w:asciiTheme="minorHAnsi" w:hAnsiTheme="minorHAnsi" w:cs="Arial"/>
          <w:bCs/>
          <w:snapToGrid w:val="0"/>
        </w:rPr>
        <w:t xml:space="preserve"> to offset the likely increase in utilisation</w:t>
      </w:r>
      <w:r w:rsidR="00502B6F">
        <w:rPr>
          <w:rFonts w:asciiTheme="minorHAnsi" w:hAnsiTheme="minorHAnsi" w:cs="Arial"/>
          <w:bCs/>
          <w:snapToGrid w:val="0"/>
        </w:rPr>
        <w:t>. This would be</w:t>
      </w:r>
      <w:r w:rsidRPr="00D82C7C">
        <w:rPr>
          <w:rFonts w:asciiTheme="minorHAnsi" w:hAnsiTheme="minorHAnsi" w:cs="Arial"/>
          <w:bCs/>
          <w:snapToGrid w:val="0"/>
        </w:rPr>
        <w:t xml:space="preserve"> in addition to the 2</w:t>
      </w:r>
      <w:r w:rsidR="00CA1889" w:rsidRPr="00D82C7C">
        <w:rPr>
          <w:rFonts w:asciiTheme="minorHAnsi" w:hAnsiTheme="minorHAnsi" w:cs="Arial"/>
          <w:bCs/>
          <w:snapToGrid w:val="0"/>
        </w:rPr>
        <w:t>5% Statutory Price Reduction</w:t>
      </w:r>
      <w:r w:rsidRPr="00D82C7C">
        <w:rPr>
          <w:rFonts w:asciiTheme="minorHAnsi" w:hAnsiTheme="minorHAnsi" w:cs="Arial"/>
          <w:bCs/>
          <w:snapToGrid w:val="0"/>
        </w:rPr>
        <w:t xml:space="preserve"> when any of the recommended biosimilar brands of bevacizumab is listed on the PBS</w:t>
      </w:r>
      <w:r w:rsidR="00F84DDB" w:rsidRPr="00D82C7C">
        <w:rPr>
          <w:rFonts w:asciiTheme="minorHAnsi" w:hAnsiTheme="minorHAnsi" w:cs="Arial"/>
          <w:bCs/>
          <w:snapToGrid w:val="0"/>
        </w:rPr>
        <w:t>, as the 25% reduction is not intended to offset the cost of increased utilisation</w:t>
      </w:r>
      <w:r w:rsidRPr="00D82C7C">
        <w:rPr>
          <w:rFonts w:asciiTheme="minorHAnsi" w:hAnsiTheme="minorHAnsi" w:cs="Arial"/>
          <w:bCs/>
          <w:snapToGrid w:val="0"/>
        </w:rPr>
        <w:t>.</w:t>
      </w:r>
      <w:r w:rsidR="00880DA8" w:rsidRPr="00D82C7C">
        <w:rPr>
          <w:rFonts w:asciiTheme="minorHAnsi" w:hAnsiTheme="minorHAnsi" w:cs="Arial"/>
          <w:bCs/>
          <w:snapToGrid w:val="0"/>
        </w:rPr>
        <w:t xml:space="preserve"> </w:t>
      </w:r>
    </w:p>
    <w:p w:rsidR="00D37C20" w:rsidRPr="00D82C7C" w:rsidRDefault="00D37C20" w:rsidP="008A63AC">
      <w:pPr>
        <w:widowControl w:val="0"/>
        <w:numPr>
          <w:ilvl w:val="1"/>
          <w:numId w:val="3"/>
        </w:numPr>
        <w:spacing w:after="120"/>
        <w:rPr>
          <w:rFonts w:asciiTheme="minorHAnsi" w:hAnsiTheme="minorHAnsi" w:cs="Arial"/>
          <w:bCs/>
          <w:snapToGrid w:val="0"/>
        </w:rPr>
      </w:pPr>
      <w:r w:rsidRPr="00D82C7C">
        <w:rPr>
          <w:rFonts w:asciiTheme="minorHAnsi" w:hAnsiTheme="minorHAnsi" w:cs="Arial"/>
          <w:bCs/>
          <w:snapToGrid w:val="0"/>
        </w:rPr>
        <w:t xml:space="preserve">The PBAC </w:t>
      </w:r>
      <w:r w:rsidR="00880DA8" w:rsidRPr="00D82C7C">
        <w:rPr>
          <w:rFonts w:asciiTheme="minorHAnsi" w:hAnsiTheme="minorHAnsi" w:cs="Arial"/>
          <w:bCs/>
          <w:snapToGrid w:val="0"/>
        </w:rPr>
        <w:t xml:space="preserve">maintained its view from November 2020 </w:t>
      </w:r>
      <w:r w:rsidR="00522475" w:rsidRPr="00D82C7C">
        <w:rPr>
          <w:rFonts w:asciiTheme="minorHAnsi" w:hAnsiTheme="minorHAnsi" w:cs="Arial"/>
          <w:bCs/>
          <w:snapToGrid w:val="0"/>
        </w:rPr>
        <w:t xml:space="preserve">that </w:t>
      </w:r>
      <w:r w:rsidRPr="00D82C7C">
        <w:rPr>
          <w:rFonts w:asciiTheme="minorHAnsi" w:hAnsiTheme="minorHAnsi" w:cs="Arial"/>
          <w:bCs/>
          <w:snapToGrid w:val="0"/>
        </w:rPr>
        <w:t xml:space="preserve">because Mvasi is not expected to provide substantial and clinically relevant improvement in efficacy, or reduction of toxicity over Avastin, or not expected to address a high and urgent unmet clinical need given the presence of an alternative therapy, the criteria prescribed by the </w:t>
      </w:r>
      <w:r w:rsidRPr="00D82C7C">
        <w:rPr>
          <w:rFonts w:asciiTheme="minorHAnsi" w:hAnsiTheme="minorHAnsi" w:cs="Arial"/>
          <w:bCs/>
          <w:i/>
          <w:snapToGrid w:val="0"/>
        </w:rPr>
        <w:t>National Health (Pharmaceuticals and Vaccines – Cost Recovery) Regulations 2009</w:t>
      </w:r>
      <w:r w:rsidRPr="00D82C7C">
        <w:rPr>
          <w:rFonts w:asciiTheme="minorHAnsi" w:hAnsiTheme="minorHAnsi" w:cs="Arial"/>
          <w:bCs/>
          <w:snapToGrid w:val="0"/>
        </w:rPr>
        <w:t xml:space="preserve"> for Pricing Pathway A were not met. </w:t>
      </w:r>
    </w:p>
    <w:p w:rsidR="00D37C20" w:rsidRPr="00D82C7C" w:rsidRDefault="00D37C20" w:rsidP="008A63AC">
      <w:pPr>
        <w:widowControl w:val="0"/>
        <w:numPr>
          <w:ilvl w:val="1"/>
          <w:numId w:val="3"/>
        </w:numPr>
        <w:spacing w:after="120"/>
        <w:rPr>
          <w:rFonts w:asciiTheme="minorHAnsi" w:hAnsiTheme="minorHAnsi" w:cs="Arial"/>
          <w:bCs/>
          <w:snapToGrid w:val="0"/>
        </w:rPr>
      </w:pPr>
      <w:r w:rsidRPr="00D82C7C">
        <w:rPr>
          <w:rFonts w:asciiTheme="minorHAnsi" w:hAnsiTheme="minorHAnsi" w:cs="Arial"/>
          <w:bCs/>
          <w:snapToGrid w:val="0"/>
        </w:rPr>
        <w:t xml:space="preserve">The PBAC noted that this submission is not eligible for an Independent Review as it received a positive recommendation. </w:t>
      </w:r>
    </w:p>
    <w:p w:rsidR="005C7A48" w:rsidRDefault="005C7A48">
      <w:pPr>
        <w:spacing w:after="160" w:line="259" w:lineRule="auto"/>
        <w:jc w:val="left"/>
        <w:rPr>
          <w:rFonts w:asciiTheme="minorHAnsi" w:hAnsiTheme="minorHAnsi" w:cs="Arial"/>
          <w:b/>
          <w:bCs/>
          <w:snapToGrid w:val="0"/>
        </w:rPr>
      </w:pPr>
      <w:r>
        <w:rPr>
          <w:rFonts w:asciiTheme="minorHAnsi" w:hAnsiTheme="minorHAnsi" w:cs="Arial"/>
          <w:b/>
          <w:bCs/>
          <w:snapToGrid w:val="0"/>
        </w:rPr>
        <w:br w:type="page"/>
      </w:r>
    </w:p>
    <w:p w:rsidR="00D10E50" w:rsidRPr="00D82C7C" w:rsidRDefault="00D10E50" w:rsidP="00D10E50">
      <w:pPr>
        <w:spacing w:before="240"/>
        <w:rPr>
          <w:rFonts w:asciiTheme="minorHAnsi" w:hAnsiTheme="minorHAnsi" w:cs="Arial"/>
          <w:b/>
          <w:bCs/>
          <w:snapToGrid w:val="0"/>
        </w:rPr>
      </w:pPr>
      <w:r w:rsidRPr="00D82C7C">
        <w:rPr>
          <w:rFonts w:asciiTheme="minorHAnsi" w:hAnsiTheme="minorHAnsi" w:cs="Arial"/>
          <w:b/>
          <w:bCs/>
          <w:snapToGrid w:val="0"/>
        </w:rPr>
        <w:lastRenderedPageBreak/>
        <w:t>Outcome:</w:t>
      </w:r>
    </w:p>
    <w:p w:rsidR="00D10E50" w:rsidRPr="00D82C7C" w:rsidRDefault="00D10E50" w:rsidP="00D10E50">
      <w:pPr>
        <w:rPr>
          <w:rFonts w:asciiTheme="minorHAnsi" w:hAnsiTheme="minorHAnsi" w:cs="Arial"/>
          <w:bCs/>
          <w:snapToGrid w:val="0"/>
        </w:rPr>
      </w:pPr>
      <w:r w:rsidRPr="00D82C7C">
        <w:rPr>
          <w:rFonts w:asciiTheme="minorHAnsi" w:hAnsiTheme="minorHAnsi" w:cs="Arial"/>
          <w:bCs/>
          <w:snapToGrid w:val="0"/>
        </w:rPr>
        <w:t xml:space="preserve">Recommended </w:t>
      </w:r>
    </w:p>
    <w:p w:rsidR="00D10E50" w:rsidRPr="00340CF8" w:rsidRDefault="00D10E50" w:rsidP="008A63AC">
      <w:pPr>
        <w:pStyle w:val="2-SectionHeading"/>
        <w:numPr>
          <w:ilvl w:val="0"/>
          <w:numId w:val="3"/>
        </w:numPr>
        <w:ind w:left="720" w:hanging="720"/>
        <w:rPr>
          <w:b w:val="0"/>
        </w:rPr>
      </w:pPr>
      <w:r w:rsidRPr="00340CF8">
        <w:t>Recommended listing</w:t>
      </w:r>
    </w:p>
    <w:p w:rsidR="008D6487" w:rsidRPr="00340CF8" w:rsidRDefault="008D6487" w:rsidP="008A63AC">
      <w:pPr>
        <w:pStyle w:val="3-BodyText"/>
        <w:numPr>
          <w:ilvl w:val="1"/>
          <w:numId w:val="3"/>
        </w:numPr>
      </w:pPr>
      <w:r w:rsidRPr="00340CF8">
        <w:t xml:space="preserve">Amend existing listings for bevacizumab </w:t>
      </w:r>
      <w:r w:rsidR="001C4169" w:rsidRPr="00340CF8">
        <w:t>(</w:t>
      </w:r>
      <w:r w:rsidR="00CA1889" w:rsidRPr="00340CF8">
        <w:t>11727F 11731K 11791N 11811P 10120P 10114H 7243F 10885X 11749J 11745E 10121Q, 10115J, 10881Q, 11803F, 11809M, 4400N</w:t>
      </w:r>
      <w:r w:rsidR="002950F3" w:rsidRPr="00340CF8">
        <w:t>, 12166H, 12165G</w:t>
      </w:r>
      <w:r w:rsidR="001C4169" w:rsidRPr="00340CF8">
        <w:t>) to one consolidated listing as follows:</w:t>
      </w:r>
    </w:p>
    <w:p w:rsidR="00EC43B6" w:rsidRPr="008F4A39" w:rsidRDefault="00EC43B6" w:rsidP="00EC43B6">
      <w:pPr>
        <w:pStyle w:val="3-BodyText"/>
        <w:numPr>
          <w:ilvl w:val="1"/>
          <w:numId w:val="3"/>
        </w:numPr>
      </w:pPr>
      <w:r w:rsidRPr="00340CF8">
        <w:t xml:space="preserve">Apply ‘Supply only’ arrangements </w:t>
      </w:r>
      <w:r w:rsidRPr="008F4A39">
        <w:t>to all current listings that have repeats listed, upon creation of the above unrestricted benefit.</w:t>
      </w:r>
    </w:p>
    <w:tbl>
      <w:tblPr>
        <w:tblStyle w:val="TableGrid"/>
        <w:tblW w:w="9209" w:type="dxa"/>
        <w:tblLook w:val="04A0" w:firstRow="1" w:lastRow="0" w:firstColumn="1" w:lastColumn="0" w:noHBand="0" w:noVBand="1"/>
        <w:tblCaption w:val="Recommended listing"/>
      </w:tblPr>
      <w:tblGrid>
        <w:gridCol w:w="1266"/>
        <w:gridCol w:w="1848"/>
        <w:gridCol w:w="1843"/>
        <w:gridCol w:w="1842"/>
        <w:gridCol w:w="2410"/>
      </w:tblGrid>
      <w:tr w:rsidR="008E31BC" w:rsidRPr="00340CF8" w:rsidTr="00191A3B">
        <w:trPr>
          <w:tblHeader/>
        </w:trPr>
        <w:tc>
          <w:tcPr>
            <w:tcW w:w="3114" w:type="dxa"/>
            <w:gridSpan w:val="2"/>
          </w:tcPr>
          <w:p w:rsidR="008E31BC" w:rsidRPr="00340CF8" w:rsidRDefault="008E31BC" w:rsidP="00D10E50">
            <w:pPr>
              <w:widowControl w:val="0"/>
              <w:rPr>
                <w:rFonts w:ascii="Arial Narrow" w:hAnsi="Arial Narrow" w:cs="Arial"/>
                <w:b/>
                <w:bCs/>
                <w:snapToGrid w:val="0"/>
                <w:sz w:val="18"/>
                <w:szCs w:val="18"/>
              </w:rPr>
            </w:pPr>
            <w:bookmarkStart w:id="0" w:name="_GoBack" w:colFirst="0" w:colLast="4"/>
            <w:r w:rsidRPr="00340CF8">
              <w:rPr>
                <w:rFonts w:ascii="Arial Narrow" w:hAnsi="Arial Narrow" w:cs="Arial"/>
                <w:b/>
                <w:bCs/>
                <w:snapToGrid w:val="0"/>
                <w:sz w:val="18"/>
                <w:szCs w:val="18"/>
              </w:rPr>
              <w:t>MEDICINAL PRODUCT</w:t>
            </w:r>
          </w:p>
          <w:p w:rsidR="008E31BC" w:rsidRPr="00340CF8" w:rsidRDefault="008E31BC" w:rsidP="00D10E50">
            <w:pPr>
              <w:widowControl w:val="0"/>
              <w:rPr>
                <w:rFonts w:ascii="Arial Narrow" w:hAnsi="Arial Narrow" w:cs="Arial"/>
                <w:b/>
                <w:bCs/>
                <w:snapToGrid w:val="0"/>
                <w:sz w:val="18"/>
                <w:szCs w:val="18"/>
              </w:rPr>
            </w:pPr>
            <w:r w:rsidRPr="00340CF8">
              <w:rPr>
                <w:rFonts w:ascii="Arial Narrow" w:hAnsi="Arial Narrow" w:cs="Arial"/>
                <w:b/>
                <w:bCs/>
                <w:snapToGrid w:val="0"/>
                <w:sz w:val="18"/>
                <w:szCs w:val="18"/>
              </w:rPr>
              <w:t>Form</w:t>
            </w:r>
          </w:p>
        </w:tc>
        <w:tc>
          <w:tcPr>
            <w:tcW w:w="1843" w:type="dxa"/>
          </w:tcPr>
          <w:p w:rsidR="008E31BC" w:rsidRPr="00340CF8" w:rsidRDefault="008E31BC" w:rsidP="00D82C7C">
            <w:pPr>
              <w:widowControl w:val="0"/>
              <w:jc w:val="center"/>
              <w:rPr>
                <w:rFonts w:ascii="Arial Narrow" w:hAnsi="Arial Narrow" w:cs="Arial"/>
                <w:b/>
                <w:bCs/>
                <w:snapToGrid w:val="0"/>
                <w:sz w:val="18"/>
                <w:szCs w:val="18"/>
              </w:rPr>
            </w:pPr>
            <w:r w:rsidRPr="00340CF8">
              <w:rPr>
                <w:rFonts w:ascii="Arial Narrow" w:hAnsi="Arial Narrow" w:cs="Arial"/>
                <w:b/>
                <w:bCs/>
                <w:snapToGrid w:val="0"/>
                <w:sz w:val="18"/>
                <w:szCs w:val="18"/>
              </w:rPr>
              <w:t>PBS item code</w:t>
            </w:r>
          </w:p>
        </w:tc>
        <w:tc>
          <w:tcPr>
            <w:tcW w:w="1842" w:type="dxa"/>
          </w:tcPr>
          <w:p w:rsidR="008E31BC" w:rsidRPr="00340CF8" w:rsidRDefault="008E31BC" w:rsidP="001C4169">
            <w:pPr>
              <w:widowControl w:val="0"/>
              <w:jc w:val="center"/>
              <w:rPr>
                <w:rFonts w:ascii="Arial Narrow" w:hAnsi="Arial Narrow" w:cs="Arial"/>
                <w:b/>
                <w:bCs/>
                <w:snapToGrid w:val="0"/>
                <w:sz w:val="18"/>
                <w:szCs w:val="18"/>
              </w:rPr>
            </w:pPr>
            <w:r w:rsidRPr="00340CF8">
              <w:rPr>
                <w:rFonts w:ascii="Arial Narrow" w:hAnsi="Arial Narrow" w:cs="Arial"/>
                <w:b/>
                <w:bCs/>
                <w:snapToGrid w:val="0"/>
                <w:sz w:val="18"/>
                <w:szCs w:val="18"/>
              </w:rPr>
              <w:t>Max. Amount</w:t>
            </w:r>
          </w:p>
        </w:tc>
        <w:tc>
          <w:tcPr>
            <w:tcW w:w="2410" w:type="dxa"/>
          </w:tcPr>
          <w:p w:rsidR="008E31BC" w:rsidRPr="00340CF8" w:rsidRDefault="008E31BC" w:rsidP="001C4169">
            <w:pPr>
              <w:widowControl w:val="0"/>
              <w:jc w:val="center"/>
              <w:rPr>
                <w:rFonts w:ascii="Arial Narrow" w:hAnsi="Arial Narrow" w:cs="Arial"/>
                <w:b/>
                <w:bCs/>
                <w:snapToGrid w:val="0"/>
                <w:sz w:val="18"/>
                <w:szCs w:val="18"/>
              </w:rPr>
            </w:pPr>
            <w:r w:rsidRPr="00340CF8">
              <w:rPr>
                <w:rFonts w:ascii="Arial Narrow" w:hAnsi="Arial Narrow" w:cs="Arial"/>
                <w:b/>
                <w:bCs/>
                <w:snapToGrid w:val="0"/>
                <w:sz w:val="18"/>
                <w:szCs w:val="18"/>
              </w:rPr>
              <w:t>No. of Rpts</w:t>
            </w:r>
          </w:p>
        </w:tc>
      </w:tr>
      <w:bookmarkEnd w:id="0"/>
      <w:tr w:rsidR="008E31BC" w:rsidRPr="00340CF8" w:rsidTr="00FB1F9F">
        <w:tc>
          <w:tcPr>
            <w:tcW w:w="3114" w:type="dxa"/>
            <w:gridSpan w:val="2"/>
          </w:tcPr>
          <w:p w:rsidR="008E31BC" w:rsidRPr="00340CF8" w:rsidRDefault="008E31BC" w:rsidP="00D10E50">
            <w:pPr>
              <w:widowControl w:val="0"/>
              <w:rPr>
                <w:rFonts w:ascii="Arial Narrow" w:hAnsi="Arial Narrow" w:cs="Arial"/>
                <w:bCs/>
                <w:snapToGrid w:val="0"/>
                <w:sz w:val="18"/>
                <w:szCs w:val="18"/>
              </w:rPr>
            </w:pPr>
            <w:r w:rsidRPr="00340CF8">
              <w:rPr>
                <w:rFonts w:ascii="Arial Narrow" w:hAnsi="Arial Narrow" w:cs="Arial"/>
                <w:bCs/>
                <w:snapToGrid w:val="0"/>
                <w:sz w:val="18"/>
                <w:szCs w:val="18"/>
              </w:rPr>
              <w:t xml:space="preserve">BEVACIZUMAB </w:t>
            </w:r>
          </w:p>
          <w:p w:rsidR="001C4169" w:rsidRPr="00340CF8" w:rsidRDefault="001C4169" w:rsidP="00CA1889">
            <w:pPr>
              <w:widowControl w:val="0"/>
              <w:rPr>
                <w:rFonts w:ascii="Arial Narrow" w:hAnsi="Arial Narrow" w:cs="Arial"/>
                <w:bCs/>
                <w:snapToGrid w:val="0"/>
                <w:sz w:val="18"/>
                <w:szCs w:val="18"/>
              </w:rPr>
            </w:pPr>
            <w:r w:rsidRPr="00340CF8">
              <w:rPr>
                <w:rFonts w:ascii="Arial Narrow" w:hAnsi="Arial Narrow" w:cs="Arial"/>
                <w:bCs/>
                <w:snapToGrid w:val="0"/>
                <w:sz w:val="18"/>
                <w:szCs w:val="18"/>
              </w:rPr>
              <w:t>Injection</w:t>
            </w:r>
          </w:p>
        </w:tc>
        <w:tc>
          <w:tcPr>
            <w:tcW w:w="1843" w:type="dxa"/>
          </w:tcPr>
          <w:p w:rsidR="008E31BC" w:rsidRPr="00340CF8" w:rsidRDefault="00EC5047" w:rsidP="008A63AC">
            <w:pPr>
              <w:widowControl w:val="0"/>
              <w:jc w:val="left"/>
              <w:rPr>
                <w:rFonts w:ascii="Arial Narrow" w:hAnsi="Arial Narrow" w:cs="Arial"/>
                <w:bCs/>
                <w:snapToGrid w:val="0"/>
                <w:sz w:val="18"/>
                <w:szCs w:val="18"/>
              </w:rPr>
            </w:pPr>
            <w:r w:rsidRPr="00340CF8">
              <w:rPr>
                <w:rFonts w:ascii="Arial Narrow" w:hAnsi="Arial Narrow" w:cs="Arial"/>
                <w:bCs/>
                <w:snapToGrid w:val="0"/>
                <w:sz w:val="18"/>
                <w:szCs w:val="18"/>
              </w:rPr>
              <w:t xml:space="preserve">NEW </w:t>
            </w:r>
            <w:r w:rsidR="008E31BC" w:rsidRPr="00340CF8">
              <w:rPr>
                <w:rFonts w:ascii="Arial Narrow" w:hAnsi="Arial Narrow" w:cs="Arial"/>
                <w:bCs/>
                <w:snapToGrid w:val="0"/>
                <w:sz w:val="18"/>
                <w:szCs w:val="18"/>
              </w:rPr>
              <w:t>(Private)</w:t>
            </w:r>
          </w:p>
          <w:p w:rsidR="008E31BC" w:rsidRPr="00340CF8" w:rsidRDefault="00EC5047" w:rsidP="008A63AC">
            <w:pPr>
              <w:widowControl w:val="0"/>
              <w:jc w:val="left"/>
              <w:rPr>
                <w:rFonts w:ascii="Arial Narrow" w:hAnsi="Arial Narrow" w:cs="Arial"/>
                <w:bCs/>
                <w:snapToGrid w:val="0"/>
                <w:sz w:val="18"/>
                <w:szCs w:val="18"/>
              </w:rPr>
            </w:pPr>
            <w:r w:rsidRPr="00340CF8">
              <w:rPr>
                <w:rFonts w:ascii="Arial Narrow" w:hAnsi="Arial Narrow" w:cs="Arial"/>
                <w:bCs/>
                <w:snapToGrid w:val="0"/>
                <w:sz w:val="18"/>
                <w:szCs w:val="18"/>
              </w:rPr>
              <w:t xml:space="preserve">NEW </w:t>
            </w:r>
            <w:r w:rsidR="008E31BC" w:rsidRPr="00340CF8">
              <w:rPr>
                <w:rFonts w:ascii="Arial Narrow" w:hAnsi="Arial Narrow" w:cs="Arial"/>
                <w:bCs/>
                <w:snapToGrid w:val="0"/>
                <w:sz w:val="18"/>
                <w:szCs w:val="18"/>
              </w:rPr>
              <w:t>(Public)</w:t>
            </w:r>
          </w:p>
        </w:tc>
        <w:tc>
          <w:tcPr>
            <w:tcW w:w="1842" w:type="dxa"/>
          </w:tcPr>
          <w:p w:rsidR="008E31BC" w:rsidRPr="00340CF8" w:rsidRDefault="008E31BC" w:rsidP="001C4169">
            <w:pPr>
              <w:widowControl w:val="0"/>
              <w:jc w:val="center"/>
              <w:rPr>
                <w:rFonts w:ascii="Arial Narrow" w:hAnsi="Arial Narrow" w:cs="Arial"/>
                <w:bCs/>
                <w:snapToGrid w:val="0"/>
                <w:sz w:val="18"/>
                <w:szCs w:val="18"/>
              </w:rPr>
            </w:pPr>
            <w:r w:rsidRPr="00340CF8">
              <w:rPr>
                <w:rFonts w:ascii="Arial Narrow" w:hAnsi="Arial Narrow" w:cs="Arial"/>
                <w:bCs/>
                <w:snapToGrid w:val="0"/>
                <w:sz w:val="18"/>
                <w:szCs w:val="18"/>
              </w:rPr>
              <w:t>1800 mg</w:t>
            </w:r>
          </w:p>
        </w:tc>
        <w:tc>
          <w:tcPr>
            <w:tcW w:w="2410" w:type="dxa"/>
          </w:tcPr>
          <w:p w:rsidR="008E31BC" w:rsidRPr="00340CF8" w:rsidRDefault="00C67CFE" w:rsidP="001C4169">
            <w:pPr>
              <w:widowControl w:val="0"/>
              <w:jc w:val="center"/>
              <w:rPr>
                <w:rFonts w:ascii="Arial Narrow" w:hAnsi="Arial Narrow" w:cs="Arial"/>
                <w:bCs/>
                <w:snapToGrid w:val="0"/>
                <w:sz w:val="18"/>
                <w:szCs w:val="18"/>
              </w:rPr>
            </w:pPr>
            <w:r>
              <w:rPr>
                <w:rFonts w:ascii="Arial Narrow" w:hAnsi="Arial Narrow" w:cs="Arial"/>
                <w:bCs/>
                <w:snapToGrid w:val="0"/>
                <w:sz w:val="18"/>
                <w:szCs w:val="18"/>
              </w:rPr>
              <w:t>7</w:t>
            </w:r>
          </w:p>
        </w:tc>
      </w:tr>
      <w:tr w:rsidR="00FB1F9F" w:rsidRPr="00340CF8" w:rsidTr="00FB1F9F">
        <w:tc>
          <w:tcPr>
            <w:tcW w:w="4957" w:type="dxa"/>
            <w:gridSpan w:val="3"/>
          </w:tcPr>
          <w:p w:rsidR="00FB1F9F" w:rsidRPr="00340CF8" w:rsidRDefault="00FB1F9F" w:rsidP="008A63AC">
            <w:pPr>
              <w:widowControl w:val="0"/>
              <w:jc w:val="left"/>
              <w:rPr>
                <w:rFonts w:ascii="Arial Narrow" w:hAnsi="Arial Narrow" w:cs="Arial"/>
                <w:bCs/>
                <w:snapToGrid w:val="0"/>
                <w:sz w:val="18"/>
                <w:szCs w:val="18"/>
              </w:rPr>
            </w:pPr>
          </w:p>
        </w:tc>
        <w:tc>
          <w:tcPr>
            <w:tcW w:w="4252" w:type="dxa"/>
            <w:gridSpan w:val="2"/>
          </w:tcPr>
          <w:p w:rsidR="00FB1F9F" w:rsidRPr="00340CF8" w:rsidRDefault="00FB1F9F" w:rsidP="00FB1F9F">
            <w:pPr>
              <w:widowControl w:val="0"/>
              <w:jc w:val="center"/>
              <w:rPr>
                <w:rFonts w:ascii="Arial Narrow" w:hAnsi="Arial Narrow" w:cs="Arial"/>
                <w:bCs/>
                <w:snapToGrid w:val="0"/>
                <w:sz w:val="18"/>
                <w:szCs w:val="18"/>
              </w:rPr>
            </w:pPr>
            <w:r w:rsidRPr="00340CF8">
              <w:rPr>
                <w:rFonts w:ascii="Arial Narrow" w:hAnsi="Arial Narrow" w:cs="Arial"/>
                <w:bCs/>
                <w:snapToGrid w:val="0"/>
                <w:sz w:val="18"/>
                <w:szCs w:val="18"/>
              </w:rPr>
              <w:t>Max Qty. multiplier: unlimited</w:t>
            </w:r>
          </w:p>
          <w:p w:rsidR="00FB1F9F" w:rsidRPr="00340CF8" w:rsidRDefault="00FB1F9F" w:rsidP="00AA2690">
            <w:pPr>
              <w:widowControl w:val="0"/>
              <w:jc w:val="center"/>
              <w:rPr>
                <w:rFonts w:ascii="Arial Narrow" w:hAnsi="Arial Narrow" w:cs="Arial"/>
                <w:bCs/>
                <w:snapToGrid w:val="0"/>
                <w:sz w:val="18"/>
                <w:szCs w:val="18"/>
              </w:rPr>
            </w:pPr>
            <w:r w:rsidRPr="00340CF8">
              <w:rPr>
                <w:rFonts w:ascii="Arial Narrow" w:hAnsi="Arial Narrow" w:cs="Arial"/>
                <w:bCs/>
                <w:snapToGrid w:val="0"/>
                <w:sz w:val="18"/>
                <w:szCs w:val="18"/>
              </w:rPr>
              <w:t>Repeat increases</w:t>
            </w:r>
            <w:r w:rsidR="00AA2690" w:rsidRPr="00340CF8">
              <w:rPr>
                <w:rFonts w:ascii="Arial Narrow" w:hAnsi="Arial Narrow" w:cs="Arial"/>
                <w:bCs/>
                <w:snapToGrid w:val="0"/>
                <w:sz w:val="18"/>
                <w:szCs w:val="18"/>
              </w:rPr>
              <w:t xml:space="preserve"> multiplier</w:t>
            </w:r>
            <w:r w:rsidRPr="00340CF8">
              <w:rPr>
                <w:rFonts w:ascii="Arial Narrow" w:hAnsi="Arial Narrow" w:cs="Arial"/>
                <w:bCs/>
                <w:snapToGrid w:val="0"/>
                <w:sz w:val="18"/>
                <w:szCs w:val="18"/>
              </w:rPr>
              <w:t xml:space="preserve">: </w:t>
            </w:r>
            <w:r w:rsidR="00AA2690" w:rsidRPr="00340CF8">
              <w:rPr>
                <w:rFonts w:ascii="Arial Narrow" w:hAnsi="Arial Narrow" w:cs="Arial"/>
                <w:bCs/>
                <w:snapToGrid w:val="0"/>
                <w:sz w:val="18"/>
                <w:szCs w:val="18"/>
              </w:rPr>
              <w:t>2</w:t>
            </w:r>
          </w:p>
        </w:tc>
      </w:tr>
      <w:tr w:rsidR="008E31BC" w:rsidRPr="00340CF8" w:rsidTr="001C4169">
        <w:tc>
          <w:tcPr>
            <w:tcW w:w="9209" w:type="dxa"/>
            <w:gridSpan w:val="5"/>
          </w:tcPr>
          <w:p w:rsidR="008E31BC" w:rsidRPr="00340CF8" w:rsidRDefault="008E31BC" w:rsidP="00D10E50">
            <w:pPr>
              <w:widowControl w:val="0"/>
              <w:rPr>
                <w:rFonts w:ascii="Arial Narrow" w:hAnsi="Arial Narrow" w:cs="Arial"/>
                <w:b/>
                <w:bCs/>
                <w:snapToGrid w:val="0"/>
                <w:sz w:val="18"/>
                <w:szCs w:val="18"/>
              </w:rPr>
            </w:pPr>
            <w:r w:rsidRPr="00340CF8">
              <w:rPr>
                <w:rFonts w:ascii="Arial Narrow" w:hAnsi="Arial Narrow" w:cs="Arial"/>
                <w:b/>
                <w:bCs/>
                <w:snapToGrid w:val="0"/>
                <w:sz w:val="18"/>
                <w:szCs w:val="18"/>
              </w:rPr>
              <w:t>Available brands</w:t>
            </w:r>
          </w:p>
        </w:tc>
      </w:tr>
      <w:tr w:rsidR="008E31BC" w:rsidRPr="00340CF8" w:rsidTr="001C4169">
        <w:tc>
          <w:tcPr>
            <w:tcW w:w="9209" w:type="dxa"/>
            <w:gridSpan w:val="5"/>
          </w:tcPr>
          <w:p w:rsidR="008E31BC" w:rsidRPr="00340CF8" w:rsidRDefault="008E31BC" w:rsidP="00D10E50">
            <w:pPr>
              <w:widowControl w:val="0"/>
              <w:rPr>
                <w:rFonts w:ascii="Arial Narrow" w:hAnsi="Arial Narrow" w:cs="Arial"/>
                <w:bCs/>
                <w:snapToGrid w:val="0"/>
                <w:sz w:val="18"/>
                <w:szCs w:val="18"/>
              </w:rPr>
            </w:pPr>
            <w:r w:rsidRPr="00340CF8">
              <w:rPr>
                <w:rFonts w:ascii="Arial Narrow" w:hAnsi="Arial Narrow" w:cs="Arial"/>
                <w:bCs/>
                <w:snapToGrid w:val="0"/>
                <w:sz w:val="18"/>
                <w:szCs w:val="18"/>
              </w:rPr>
              <w:t>Avastin</w:t>
            </w:r>
          </w:p>
          <w:p w:rsidR="008E31BC" w:rsidRPr="00340CF8" w:rsidRDefault="008E31BC" w:rsidP="00D10E50">
            <w:pPr>
              <w:widowControl w:val="0"/>
              <w:rPr>
                <w:rFonts w:ascii="Arial Narrow" w:hAnsi="Arial Narrow" w:cs="Arial"/>
                <w:bCs/>
                <w:snapToGrid w:val="0"/>
                <w:sz w:val="18"/>
                <w:szCs w:val="18"/>
              </w:rPr>
            </w:pPr>
            <w:r w:rsidRPr="00340CF8">
              <w:rPr>
                <w:rFonts w:ascii="Arial Narrow" w:hAnsi="Arial Narrow" w:cs="Arial"/>
                <w:bCs/>
                <w:snapToGrid w:val="0"/>
                <w:sz w:val="18"/>
                <w:szCs w:val="18"/>
              </w:rPr>
              <w:t>(bevacizumab 400 mg/16 mL injection, 16 mL vial)</w:t>
            </w:r>
          </w:p>
        </w:tc>
      </w:tr>
      <w:tr w:rsidR="008E31BC" w:rsidRPr="00340CF8" w:rsidTr="001C4169">
        <w:tc>
          <w:tcPr>
            <w:tcW w:w="9209" w:type="dxa"/>
            <w:gridSpan w:val="5"/>
          </w:tcPr>
          <w:p w:rsidR="008E31BC" w:rsidRPr="00340CF8" w:rsidRDefault="008E31BC" w:rsidP="00D10E50">
            <w:pPr>
              <w:widowControl w:val="0"/>
              <w:rPr>
                <w:rFonts w:ascii="Arial Narrow" w:hAnsi="Arial Narrow" w:cs="Arial"/>
                <w:bCs/>
                <w:snapToGrid w:val="0"/>
                <w:sz w:val="18"/>
                <w:szCs w:val="18"/>
              </w:rPr>
            </w:pPr>
            <w:r w:rsidRPr="00340CF8">
              <w:rPr>
                <w:rFonts w:ascii="Arial Narrow" w:hAnsi="Arial Narrow" w:cs="Arial"/>
                <w:bCs/>
                <w:snapToGrid w:val="0"/>
                <w:sz w:val="18"/>
                <w:szCs w:val="18"/>
              </w:rPr>
              <w:t xml:space="preserve">Avastin </w:t>
            </w:r>
          </w:p>
          <w:p w:rsidR="008E31BC" w:rsidRPr="00340CF8" w:rsidRDefault="008E31BC" w:rsidP="00D10E50">
            <w:pPr>
              <w:widowControl w:val="0"/>
              <w:rPr>
                <w:rFonts w:ascii="Arial Narrow" w:hAnsi="Arial Narrow" w:cs="Arial"/>
                <w:bCs/>
                <w:snapToGrid w:val="0"/>
                <w:sz w:val="18"/>
                <w:szCs w:val="18"/>
              </w:rPr>
            </w:pPr>
            <w:r w:rsidRPr="00340CF8">
              <w:rPr>
                <w:rFonts w:ascii="Arial Narrow" w:hAnsi="Arial Narrow" w:cs="Arial"/>
                <w:bCs/>
                <w:snapToGrid w:val="0"/>
                <w:sz w:val="18"/>
                <w:szCs w:val="18"/>
              </w:rPr>
              <w:t>(bevacizumab 100 mg/4 mL injection, 4 mL vial)</w:t>
            </w:r>
          </w:p>
        </w:tc>
      </w:tr>
      <w:tr w:rsidR="008E31BC" w:rsidRPr="00340CF8" w:rsidTr="001C4169">
        <w:tc>
          <w:tcPr>
            <w:tcW w:w="9209" w:type="dxa"/>
            <w:gridSpan w:val="5"/>
          </w:tcPr>
          <w:p w:rsidR="008E31BC" w:rsidRPr="00340CF8" w:rsidRDefault="008E31BC" w:rsidP="00D10E50">
            <w:pPr>
              <w:widowControl w:val="0"/>
              <w:rPr>
                <w:rFonts w:ascii="Arial Narrow" w:hAnsi="Arial Narrow" w:cs="Arial"/>
                <w:bCs/>
                <w:snapToGrid w:val="0"/>
                <w:sz w:val="18"/>
                <w:szCs w:val="18"/>
              </w:rPr>
            </w:pPr>
            <w:r w:rsidRPr="00340CF8">
              <w:rPr>
                <w:rFonts w:ascii="Arial Narrow" w:hAnsi="Arial Narrow" w:cs="Arial"/>
                <w:bCs/>
                <w:snapToGrid w:val="0"/>
                <w:sz w:val="18"/>
                <w:szCs w:val="18"/>
              </w:rPr>
              <w:t>Mvasi</w:t>
            </w:r>
          </w:p>
          <w:p w:rsidR="008E31BC" w:rsidRPr="00340CF8" w:rsidRDefault="008E31BC" w:rsidP="00D10E50">
            <w:pPr>
              <w:widowControl w:val="0"/>
              <w:rPr>
                <w:rFonts w:ascii="Arial Narrow" w:hAnsi="Arial Narrow" w:cs="Arial"/>
                <w:bCs/>
                <w:snapToGrid w:val="0"/>
                <w:sz w:val="18"/>
                <w:szCs w:val="18"/>
              </w:rPr>
            </w:pPr>
            <w:r w:rsidRPr="00340CF8">
              <w:rPr>
                <w:rFonts w:ascii="Arial Narrow" w:hAnsi="Arial Narrow" w:cs="Arial"/>
                <w:bCs/>
                <w:snapToGrid w:val="0"/>
                <w:sz w:val="18"/>
                <w:szCs w:val="18"/>
              </w:rPr>
              <w:t>(bevacizumab 400 mg/16 mL injection, 16 mL vial)</w:t>
            </w:r>
          </w:p>
        </w:tc>
      </w:tr>
      <w:tr w:rsidR="008E31BC" w:rsidRPr="00340CF8" w:rsidTr="001C4169">
        <w:tc>
          <w:tcPr>
            <w:tcW w:w="9209" w:type="dxa"/>
            <w:gridSpan w:val="5"/>
          </w:tcPr>
          <w:p w:rsidR="008E31BC" w:rsidRPr="00340CF8" w:rsidRDefault="008E31BC" w:rsidP="00D10E50">
            <w:pPr>
              <w:widowControl w:val="0"/>
              <w:rPr>
                <w:rFonts w:ascii="Arial Narrow" w:hAnsi="Arial Narrow" w:cs="Arial"/>
                <w:bCs/>
                <w:snapToGrid w:val="0"/>
                <w:sz w:val="18"/>
                <w:szCs w:val="18"/>
              </w:rPr>
            </w:pPr>
            <w:r w:rsidRPr="00340CF8">
              <w:rPr>
                <w:rFonts w:ascii="Arial Narrow" w:hAnsi="Arial Narrow" w:cs="Arial"/>
                <w:bCs/>
                <w:snapToGrid w:val="0"/>
                <w:sz w:val="18"/>
                <w:szCs w:val="18"/>
              </w:rPr>
              <w:t>Mvasi</w:t>
            </w:r>
          </w:p>
          <w:p w:rsidR="008E31BC" w:rsidRPr="00340CF8" w:rsidRDefault="008E31BC" w:rsidP="00D10E50">
            <w:pPr>
              <w:widowControl w:val="0"/>
              <w:rPr>
                <w:rFonts w:ascii="Arial Narrow" w:hAnsi="Arial Narrow" w:cs="Arial"/>
                <w:bCs/>
                <w:snapToGrid w:val="0"/>
                <w:sz w:val="18"/>
                <w:szCs w:val="18"/>
              </w:rPr>
            </w:pPr>
            <w:r w:rsidRPr="00340CF8">
              <w:rPr>
                <w:rFonts w:ascii="Arial Narrow" w:hAnsi="Arial Narrow" w:cs="Arial"/>
                <w:bCs/>
                <w:snapToGrid w:val="0"/>
                <w:sz w:val="18"/>
                <w:szCs w:val="18"/>
              </w:rPr>
              <w:t>(bevacizumab 100 mg/4 mL injection, 4 mL vial)</w:t>
            </w:r>
          </w:p>
        </w:tc>
      </w:tr>
      <w:tr w:rsidR="00EC5047" w:rsidRPr="00340CF8" w:rsidTr="001C4169">
        <w:tc>
          <w:tcPr>
            <w:tcW w:w="9209" w:type="dxa"/>
            <w:gridSpan w:val="5"/>
          </w:tcPr>
          <w:p w:rsidR="00EC5047" w:rsidRPr="00340CF8" w:rsidRDefault="00EC5047" w:rsidP="00D10E50">
            <w:pPr>
              <w:widowControl w:val="0"/>
              <w:rPr>
                <w:rFonts w:ascii="Arial Narrow" w:hAnsi="Arial Narrow" w:cs="Arial"/>
                <w:bCs/>
                <w:snapToGrid w:val="0"/>
                <w:sz w:val="18"/>
                <w:szCs w:val="18"/>
              </w:rPr>
            </w:pPr>
            <w:r w:rsidRPr="00340CF8">
              <w:rPr>
                <w:rFonts w:ascii="Arial Narrow" w:hAnsi="Arial Narrow" w:cs="Arial"/>
                <w:bCs/>
                <w:snapToGrid w:val="0"/>
                <w:sz w:val="18"/>
                <w:szCs w:val="18"/>
              </w:rPr>
              <w:t>Zirabev</w:t>
            </w:r>
          </w:p>
          <w:p w:rsidR="00EC5047" w:rsidRPr="00340CF8" w:rsidRDefault="00EC5047" w:rsidP="00D10E50">
            <w:pPr>
              <w:widowControl w:val="0"/>
              <w:rPr>
                <w:rFonts w:ascii="Arial Narrow" w:hAnsi="Arial Narrow" w:cs="Arial"/>
                <w:bCs/>
                <w:snapToGrid w:val="0"/>
                <w:sz w:val="18"/>
                <w:szCs w:val="18"/>
              </w:rPr>
            </w:pPr>
            <w:r w:rsidRPr="00340CF8">
              <w:rPr>
                <w:rFonts w:ascii="Arial Narrow" w:hAnsi="Arial Narrow" w:cs="Arial"/>
                <w:bCs/>
                <w:snapToGrid w:val="0"/>
                <w:sz w:val="18"/>
                <w:szCs w:val="18"/>
              </w:rPr>
              <w:t>(bevacizumab 400 mg/16 mL injection, 4 mL vial)</w:t>
            </w:r>
          </w:p>
        </w:tc>
      </w:tr>
      <w:tr w:rsidR="00EC5047" w:rsidRPr="00340CF8" w:rsidTr="001C4169">
        <w:tc>
          <w:tcPr>
            <w:tcW w:w="9209" w:type="dxa"/>
            <w:gridSpan w:val="5"/>
          </w:tcPr>
          <w:p w:rsidR="00EC5047" w:rsidRPr="00340CF8" w:rsidRDefault="00EC5047" w:rsidP="00D10E50">
            <w:pPr>
              <w:widowControl w:val="0"/>
              <w:rPr>
                <w:rFonts w:ascii="Arial Narrow" w:hAnsi="Arial Narrow" w:cs="Arial"/>
                <w:bCs/>
                <w:snapToGrid w:val="0"/>
                <w:sz w:val="18"/>
                <w:szCs w:val="18"/>
              </w:rPr>
            </w:pPr>
            <w:r w:rsidRPr="00340CF8">
              <w:rPr>
                <w:rFonts w:ascii="Arial Narrow" w:hAnsi="Arial Narrow" w:cs="Arial"/>
                <w:bCs/>
                <w:snapToGrid w:val="0"/>
                <w:sz w:val="18"/>
                <w:szCs w:val="18"/>
              </w:rPr>
              <w:t>Zirabev</w:t>
            </w:r>
          </w:p>
          <w:p w:rsidR="00EC5047" w:rsidRPr="00340CF8" w:rsidRDefault="00EC5047" w:rsidP="00D10E50">
            <w:pPr>
              <w:widowControl w:val="0"/>
              <w:rPr>
                <w:rFonts w:ascii="Arial Narrow" w:hAnsi="Arial Narrow" w:cs="Arial"/>
                <w:bCs/>
                <w:snapToGrid w:val="0"/>
                <w:sz w:val="18"/>
                <w:szCs w:val="18"/>
              </w:rPr>
            </w:pPr>
            <w:r w:rsidRPr="00340CF8">
              <w:rPr>
                <w:rFonts w:ascii="Arial Narrow" w:hAnsi="Arial Narrow" w:cs="Arial"/>
                <w:bCs/>
                <w:snapToGrid w:val="0"/>
                <w:sz w:val="18"/>
                <w:szCs w:val="18"/>
              </w:rPr>
              <w:t>(bevacizumab 100 mg/4 mL injection, 4 mL vial)</w:t>
            </w:r>
          </w:p>
        </w:tc>
      </w:tr>
      <w:tr w:rsidR="001C4169" w:rsidRPr="00340CF8" w:rsidTr="00D82C7C">
        <w:trPr>
          <w:trHeight w:val="88"/>
        </w:trPr>
        <w:tc>
          <w:tcPr>
            <w:tcW w:w="9209" w:type="dxa"/>
            <w:gridSpan w:val="5"/>
          </w:tcPr>
          <w:p w:rsidR="001C4169" w:rsidRPr="00340CF8" w:rsidRDefault="001C4169" w:rsidP="00D10E50">
            <w:pPr>
              <w:widowControl w:val="0"/>
              <w:rPr>
                <w:rFonts w:ascii="Arial Narrow" w:hAnsi="Arial Narrow" w:cs="Arial"/>
                <w:bCs/>
                <w:snapToGrid w:val="0"/>
              </w:rPr>
            </w:pPr>
          </w:p>
        </w:tc>
      </w:tr>
      <w:tr w:rsidR="00FB1F9F" w:rsidRPr="00340CF8" w:rsidTr="00517D2D">
        <w:tc>
          <w:tcPr>
            <w:tcW w:w="9209" w:type="dxa"/>
            <w:gridSpan w:val="5"/>
          </w:tcPr>
          <w:p w:rsidR="00FB1F9F" w:rsidRPr="00340CF8" w:rsidRDefault="00FB1F9F" w:rsidP="00517D2D">
            <w:pPr>
              <w:rPr>
                <w:rFonts w:ascii="Arial Narrow" w:hAnsi="Arial Narrow" w:cs="Arial"/>
                <w:sz w:val="18"/>
                <w:szCs w:val="18"/>
              </w:rPr>
            </w:pPr>
            <w:r w:rsidRPr="00340CF8">
              <w:rPr>
                <w:rFonts w:ascii="Arial Narrow" w:hAnsi="Arial Narrow" w:cs="Arial"/>
                <w:b/>
                <w:sz w:val="18"/>
                <w:szCs w:val="18"/>
              </w:rPr>
              <w:t xml:space="preserve">Category / Program:  </w:t>
            </w:r>
            <w:r w:rsidRPr="00340CF8">
              <w:rPr>
                <w:rFonts w:ascii="Arial Narrow" w:hAnsi="Arial Narrow" w:cs="Arial"/>
                <w:sz w:val="18"/>
                <w:szCs w:val="18"/>
              </w:rPr>
              <w:t xml:space="preserve">Section 100 – Efficient Funding of Chemotherapy Public/Private hospitals </w:t>
            </w:r>
          </w:p>
        </w:tc>
      </w:tr>
      <w:tr w:rsidR="00FB1F9F" w:rsidRPr="00340CF8" w:rsidTr="00517D2D">
        <w:trPr>
          <w:trHeight w:val="240"/>
        </w:trPr>
        <w:tc>
          <w:tcPr>
            <w:tcW w:w="9209" w:type="dxa"/>
            <w:gridSpan w:val="5"/>
          </w:tcPr>
          <w:p w:rsidR="00FB1F9F" w:rsidRPr="00340CF8" w:rsidRDefault="00FB1F9F" w:rsidP="00517D2D">
            <w:pPr>
              <w:rPr>
                <w:rFonts w:ascii="Arial Narrow" w:hAnsi="Arial Narrow" w:cs="Arial"/>
                <w:b/>
                <w:sz w:val="18"/>
                <w:szCs w:val="18"/>
              </w:rPr>
            </w:pPr>
            <w:r w:rsidRPr="00340CF8">
              <w:rPr>
                <w:rFonts w:ascii="Arial Narrow" w:hAnsi="Arial Narrow" w:cs="Arial"/>
                <w:b/>
                <w:sz w:val="18"/>
                <w:szCs w:val="18"/>
              </w:rPr>
              <w:t xml:space="preserve">Prescriber type:  </w:t>
            </w:r>
            <w:r w:rsidRPr="00D82C7C">
              <w:rPr>
                <w:rFonts w:ascii="Arial Narrow" w:hAnsi="Arial Narrow" w:cs="Arial"/>
                <w:sz w:val="18"/>
                <w:szCs w:val="18"/>
              </w:rPr>
              <w:fldChar w:fldCharType="begin">
                <w:ffData>
                  <w:name w:val=""/>
                  <w:enabled/>
                  <w:calcOnExit w:val="0"/>
                  <w:checkBox>
                    <w:sizeAuto/>
                    <w:default w:val="1"/>
                  </w:checkBox>
                </w:ffData>
              </w:fldChar>
            </w:r>
            <w:r w:rsidRPr="00340CF8">
              <w:rPr>
                <w:rFonts w:ascii="Arial Narrow" w:hAnsi="Arial Narrow" w:cs="Arial"/>
                <w:sz w:val="18"/>
                <w:szCs w:val="18"/>
              </w:rPr>
              <w:instrText xml:space="preserve"> FORMCHECKBOX </w:instrText>
            </w:r>
            <w:r w:rsidR="004B499A">
              <w:rPr>
                <w:rFonts w:ascii="Arial Narrow" w:hAnsi="Arial Narrow" w:cs="Arial"/>
                <w:sz w:val="18"/>
                <w:szCs w:val="18"/>
              </w:rPr>
            </w:r>
            <w:r w:rsidR="004B499A">
              <w:rPr>
                <w:rFonts w:ascii="Arial Narrow" w:hAnsi="Arial Narrow" w:cs="Arial"/>
                <w:sz w:val="18"/>
                <w:szCs w:val="18"/>
              </w:rPr>
              <w:fldChar w:fldCharType="separate"/>
            </w:r>
            <w:r w:rsidRPr="00D82C7C">
              <w:rPr>
                <w:rFonts w:ascii="Arial Narrow" w:hAnsi="Arial Narrow" w:cs="Arial"/>
                <w:sz w:val="18"/>
                <w:szCs w:val="18"/>
              </w:rPr>
              <w:fldChar w:fldCharType="end"/>
            </w:r>
            <w:r w:rsidRPr="00340CF8">
              <w:rPr>
                <w:rFonts w:ascii="Arial Narrow" w:hAnsi="Arial Narrow" w:cs="Arial"/>
                <w:sz w:val="18"/>
                <w:szCs w:val="18"/>
              </w:rPr>
              <w:t xml:space="preserve"> Medical Practitioners</w:t>
            </w:r>
          </w:p>
        </w:tc>
      </w:tr>
      <w:tr w:rsidR="00FB1F9F" w:rsidRPr="00340CF8" w:rsidTr="00517D2D">
        <w:tc>
          <w:tcPr>
            <w:tcW w:w="9209" w:type="dxa"/>
            <w:gridSpan w:val="5"/>
          </w:tcPr>
          <w:p w:rsidR="00FB1F9F" w:rsidRPr="00340CF8" w:rsidRDefault="00FB1F9F" w:rsidP="00517D2D">
            <w:pPr>
              <w:rPr>
                <w:rFonts w:ascii="Arial Narrow" w:hAnsi="Arial Narrow" w:cs="Arial"/>
                <w:b/>
                <w:sz w:val="18"/>
                <w:szCs w:val="18"/>
              </w:rPr>
            </w:pPr>
            <w:r w:rsidRPr="00340CF8">
              <w:rPr>
                <w:rFonts w:ascii="Arial Narrow" w:hAnsi="Arial Narrow" w:cs="Arial"/>
                <w:b/>
                <w:sz w:val="18"/>
                <w:szCs w:val="18"/>
              </w:rPr>
              <w:t xml:space="preserve">Restriction type:  </w:t>
            </w:r>
            <w:r w:rsidRPr="00D82C7C">
              <w:rPr>
                <w:rFonts w:ascii="Arial Narrow" w:eastAsia="Calibri" w:hAnsi="Arial Narrow" w:cs="Arial"/>
                <w:sz w:val="18"/>
                <w:szCs w:val="18"/>
              </w:rPr>
              <w:fldChar w:fldCharType="begin">
                <w:ffData>
                  <w:name w:val=""/>
                  <w:enabled/>
                  <w:calcOnExit w:val="0"/>
                  <w:checkBox>
                    <w:sizeAuto/>
                    <w:default w:val="1"/>
                  </w:checkBox>
                </w:ffData>
              </w:fldChar>
            </w:r>
            <w:r w:rsidRPr="00340CF8">
              <w:rPr>
                <w:rFonts w:ascii="Arial Narrow" w:eastAsia="Calibri" w:hAnsi="Arial Narrow" w:cs="Arial"/>
                <w:sz w:val="18"/>
                <w:szCs w:val="18"/>
              </w:rPr>
              <w:instrText xml:space="preserve"> FORMCHECKBOX </w:instrText>
            </w:r>
            <w:r w:rsidR="004B499A">
              <w:rPr>
                <w:rFonts w:ascii="Arial Narrow" w:eastAsia="Calibri" w:hAnsi="Arial Narrow" w:cs="Arial"/>
                <w:sz w:val="18"/>
                <w:szCs w:val="18"/>
              </w:rPr>
            </w:r>
            <w:r w:rsidR="004B499A">
              <w:rPr>
                <w:rFonts w:ascii="Arial Narrow" w:eastAsia="Calibri" w:hAnsi="Arial Narrow" w:cs="Arial"/>
                <w:sz w:val="18"/>
                <w:szCs w:val="18"/>
              </w:rPr>
              <w:fldChar w:fldCharType="separate"/>
            </w:r>
            <w:r w:rsidRPr="00D82C7C">
              <w:rPr>
                <w:rFonts w:ascii="Arial Narrow" w:eastAsia="Calibri" w:hAnsi="Arial Narrow" w:cs="Arial"/>
                <w:sz w:val="18"/>
                <w:szCs w:val="18"/>
              </w:rPr>
              <w:fldChar w:fldCharType="end"/>
            </w:r>
            <w:r w:rsidRPr="00340CF8">
              <w:rPr>
                <w:rFonts w:ascii="Arial Narrow" w:eastAsia="Calibri" w:hAnsi="Arial Narrow" w:cs="Arial"/>
                <w:sz w:val="18"/>
                <w:szCs w:val="18"/>
              </w:rPr>
              <w:t xml:space="preserve"> Unrestricted benefit</w:t>
            </w:r>
          </w:p>
        </w:tc>
      </w:tr>
      <w:tr w:rsidR="00FB1F9F" w:rsidRPr="00340CF8" w:rsidTr="00FB1F9F">
        <w:tc>
          <w:tcPr>
            <w:tcW w:w="1266" w:type="dxa"/>
          </w:tcPr>
          <w:p w:rsidR="00FB1F9F" w:rsidRPr="00340CF8" w:rsidRDefault="00FB1F9F" w:rsidP="00517D2D">
            <w:pPr>
              <w:jc w:val="center"/>
              <w:rPr>
                <w:rFonts w:ascii="Arial Narrow" w:hAnsi="Arial Narrow" w:cs="Arial"/>
                <w:sz w:val="18"/>
                <w:szCs w:val="18"/>
              </w:rPr>
            </w:pPr>
            <w:r w:rsidRPr="00340CF8">
              <w:rPr>
                <w:rFonts w:ascii="Arial Narrow" w:hAnsi="Arial Narrow" w:cs="Arial"/>
                <w:sz w:val="18"/>
                <w:szCs w:val="18"/>
              </w:rPr>
              <w:t>7608</w:t>
            </w:r>
          </w:p>
        </w:tc>
        <w:tc>
          <w:tcPr>
            <w:tcW w:w="7943" w:type="dxa"/>
            <w:gridSpan w:val="4"/>
          </w:tcPr>
          <w:p w:rsidR="00FB1F9F" w:rsidRPr="00340CF8" w:rsidRDefault="00FB1F9F" w:rsidP="00517D2D">
            <w:pPr>
              <w:rPr>
                <w:rFonts w:ascii="Arial Narrow" w:hAnsi="Arial Narrow" w:cs="Arial"/>
                <w:b/>
                <w:sz w:val="18"/>
                <w:szCs w:val="18"/>
              </w:rPr>
            </w:pPr>
            <w:r w:rsidRPr="00340CF8">
              <w:rPr>
                <w:rFonts w:ascii="Arial Narrow" w:hAnsi="Arial Narrow" w:cs="Arial"/>
                <w:b/>
                <w:sz w:val="18"/>
                <w:szCs w:val="18"/>
              </w:rPr>
              <w:t xml:space="preserve">Administrative advice: </w:t>
            </w:r>
            <w:r w:rsidRPr="00340CF8">
              <w:rPr>
                <w:rFonts w:ascii="Arial Narrow" w:hAnsi="Arial Narrow" w:cs="Arial"/>
                <w:sz w:val="18"/>
                <w:szCs w:val="18"/>
              </w:rPr>
              <w:t>Special Pricing Arrangements apply</w:t>
            </w:r>
          </w:p>
        </w:tc>
      </w:tr>
    </w:tbl>
    <w:p w:rsidR="00D10E50" w:rsidRPr="00340CF8" w:rsidRDefault="00D10E50" w:rsidP="00D10E50">
      <w:pPr>
        <w:widowControl w:val="0"/>
        <w:rPr>
          <w:rFonts w:asciiTheme="minorHAnsi" w:hAnsiTheme="minorHAnsi" w:cs="Arial"/>
          <w:bCs/>
          <w:snapToGrid w:val="0"/>
        </w:rPr>
      </w:pPr>
    </w:p>
    <w:p w:rsidR="008B4BAF" w:rsidRDefault="00EC43B6" w:rsidP="00D82C7C">
      <w:pPr>
        <w:spacing w:after="120"/>
        <w:rPr>
          <w:rFonts w:cs="Calibri"/>
          <w:b/>
          <w:i/>
          <w:snapToGrid w:val="0"/>
        </w:rPr>
      </w:pPr>
      <w:r w:rsidRPr="00D82C7C">
        <w:rPr>
          <w:rFonts w:cs="Calibri"/>
          <w:b/>
          <w:i/>
          <w:snapToGrid w:val="0"/>
        </w:rPr>
        <w:t>This restriction may be subject to further review. Should there be any changes made to the restriction the Sponsor will be informed.</w:t>
      </w:r>
    </w:p>
    <w:p w:rsidR="00A235C9" w:rsidRDefault="00A235C9" w:rsidP="00D82C7C">
      <w:pPr>
        <w:spacing w:after="120"/>
        <w:rPr>
          <w:rFonts w:cs="Calibri"/>
          <w:b/>
          <w:i/>
          <w:snapToGrid w:val="0"/>
        </w:rPr>
      </w:pPr>
    </w:p>
    <w:p w:rsidR="00A235C9" w:rsidRPr="00F57E64" w:rsidRDefault="00A235C9" w:rsidP="00A235C9">
      <w:pPr>
        <w:spacing w:before="120" w:after="160"/>
        <w:outlineLvl w:val="0"/>
        <w:rPr>
          <w:rFonts w:eastAsia="Calibri"/>
          <w:b/>
          <w:color w:val="FF0000"/>
          <w:sz w:val="32"/>
          <w:szCs w:val="28"/>
        </w:rPr>
      </w:pPr>
      <w:r w:rsidRPr="00A70DBB">
        <w:rPr>
          <w:rFonts w:eastAsia="Calibri"/>
          <w:b/>
          <w:sz w:val="32"/>
          <w:szCs w:val="28"/>
        </w:rPr>
        <w:br w:type="column"/>
      </w:r>
      <w:r w:rsidRPr="00F57E64">
        <w:rPr>
          <w:rFonts w:eastAsia="Calibri"/>
          <w:b/>
          <w:color w:val="FF0000"/>
          <w:sz w:val="32"/>
          <w:szCs w:val="28"/>
        </w:rPr>
        <w:lastRenderedPageBreak/>
        <w:t xml:space="preserve">Addendum to the </w:t>
      </w:r>
      <w:r>
        <w:rPr>
          <w:rFonts w:eastAsia="Calibri"/>
          <w:b/>
          <w:color w:val="FF0000"/>
          <w:sz w:val="32"/>
          <w:szCs w:val="28"/>
        </w:rPr>
        <w:t>March</w:t>
      </w:r>
      <w:r w:rsidRPr="00F57E64">
        <w:rPr>
          <w:rFonts w:eastAsia="Calibri"/>
          <w:b/>
          <w:color w:val="FF0000"/>
          <w:sz w:val="32"/>
          <w:szCs w:val="28"/>
        </w:rPr>
        <w:t xml:space="preserve"> 202</w:t>
      </w:r>
      <w:r>
        <w:rPr>
          <w:rFonts w:eastAsia="Calibri"/>
          <w:b/>
          <w:color w:val="FF0000"/>
          <w:sz w:val="32"/>
          <w:szCs w:val="28"/>
        </w:rPr>
        <w:t>1</w:t>
      </w:r>
      <w:r w:rsidRPr="00F57E64">
        <w:rPr>
          <w:rFonts w:eastAsia="Calibri"/>
          <w:b/>
          <w:color w:val="FF0000"/>
          <w:sz w:val="32"/>
          <w:szCs w:val="28"/>
        </w:rPr>
        <w:t xml:space="preserve"> PBAC Minutes:</w:t>
      </w:r>
    </w:p>
    <w:p w:rsidR="009A417C" w:rsidRDefault="009A417C" w:rsidP="009A417C">
      <w:pPr>
        <w:pStyle w:val="2-SectionHeading"/>
        <w:numPr>
          <w:ilvl w:val="0"/>
          <w:numId w:val="3"/>
        </w:numPr>
        <w:ind w:left="720" w:hanging="720"/>
      </w:pPr>
      <w:r w:rsidRPr="00A70DBB">
        <w:t xml:space="preserve">Background </w:t>
      </w:r>
    </w:p>
    <w:p w:rsidR="009554FF" w:rsidRDefault="009554FF" w:rsidP="009554FF">
      <w:pPr>
        <w:numPr>
          <w:ilvl w:val="1"/>
          <w:numId w:val="3"/>
        </w:numPr>
        <w:spacing w:after="120"/>
        <w:rPr>
          <w:snapToGrid w:val="0"/>
        </w:rPr>
      </w:pPr>
      <w:r>
        <w:rPr>
          <w:snapToGrid w:val="0"/>
        </w:rPr>
        <w:t>Subsequent to the meeting, the sponsor presented a pricing proposal for bevacizumab (Mvasi), offering prices of: $</w:t>
      </w:r>
      <w:r w:rsidR="00F06757">
        <w:rPr>
          <w:noProof/>
          <w:snapToGrid w:val="0"/>
          <w:color w:val="000000"/>
          <w:highlight w:val="black"/>
        </w:rPr>
        <w:t>''''''''''''</w:t>
      </w:r>
      <w:r>
        <w:rPr>
          <w:snapToGrid w:val="0"/>
        </w:rPr>
        <w:t xml:space="preserve"> per 100 mg in 4 mL vial; and $</w:t>
      </w:r>
      <w:r w:rsidR="00F06757">
        <w:rPr>
          <w:noProof/>
          <w:snapToGrid w:val="0"/>
          <w:color w:val="000000"/>
          <w:highlight w:val="black"/>
        </w:rPr>
        <w:t>''''''''''''''</w:t>
      </w:r>
      <w:r>
        <w:rPr>
          <w:snapToGrid w:val="0"/>
        </w:rPr>
        <w:t xml:space="preserve"> per 400 mg in 16 mL vial. The percentage reduction proposed is lower than the 10-20% advised by PBAC, however still incorporates a further reduction above the 25% Statutory Price Reduction that would apply when any of the recommended biosimilar brands of bevacizumab is listed on the PBS.</w:t>
      </w:r>
    </w:p>
    <w:p w:rsidR="009554FF" w:rsidRDefault="009554FF" w:rsidP="009554FF">
      <w:pPr>
        <w:numPr>
          <w:ilvl w:val="1"/>
          <w:numId w:val="3"/>
        </w:numPr>
        <w:spacing w:after="120"/>
        <w:rPr>
          <w:snapToGrid w:val="0"/>
        </w:rPr>
      </w:pPr>
      <w:r>
        <w:rPr>
          <w:snapToGrid w:val="0"/>
        </w:rPr>
        <w:t>Current PBS utilisation of bevacizumab in ovarian cancer was reviewed and the Department’s modelling indicated that the sponsor’s proposed price reduction appears to account for the potential increase in PBS utilisation of bevacizumab in Stage III and IV ovarian cancer.</w:t>
      </w:r>
    </w:p>
    <w:p w:rsidR="00F7706B" w:rsidRDefault="00F7706B" w:rsidP="00F7706B">
      <w:pPr>
        <w:pStyle w:val="2-SectionHeading"/>
        <w:numPr>
          <w:ilvl w:val="0"/>
          <w:numId w:val="3"/>
        </w:numPr>
        <w:ind w:left="720" w:hanging="720"/>
      </w:pPr>
      <w:r>
        <w:t>PBAC Outcome</w:t>
      </w:r>
    </w:p>
    <w:p w:rsidR="009554FF" w:rsidRDefault="009554FF" w:rsidP="009554FF">
      <w:pPr>
        <w:numPr>
          <w:ilvl w:val="1"/>
          <w:numId w:val="3"/>
        </w:numPr>
        <w:spacing w:after="120"/>
        <w:rPr>
          <w:snapToGrid w:val="0"/>
        </w:rPr>
      </w:pPr>
      <w:r>
        <w:rPr>
          <w:snapToGrid w:val="0"/>
        </w:rPr>
        <w:t xml:space="preserve">Following review of current PBS utilisation of bevacizumab in ovarian cancer, the PBAC considered that the sponsor’s proposed price reduction was reasonable and met the Committee’s original intent of offsetting the likely increase in utilisation in Stage III and IV ovarian cancer due to an unrestricted listing. </w:t>
      </w:r>
    </w:p>
    <w:p w:rsidR="009554FF" w:rsidRDefault="009554FF" w:rsidP="009554FF">
      <w:pPr>
        <w:numPr>
          <w:ilvl w:val="1"/>
          <w:numId w:val="3"/>
        </w:numPr>
        <w:spacing w:after="120"/>
        <w:rPr>
          <w:snapToGrid w:val="0"/>
        </w:rPr>
      </w:pPr>
      <w:r>
        <w:rPr>
          <w:snapToGrid w:val="0"/>
        </w:rPr>
        <w:t xml:space="preserve">The PBAC considered it would be informative to review the impact of an unrestricted listing after 12 and 24 months of implementation. </w:t>
      </w:r>
    </w:p>
    <w:p w:rsidR="00275F2B" w:rsidRPr="00275F2B" w:rsidRDefault="009554FF">
      <w:pPr>
        <w:numPr>
          <w:ilvl w:val="1"/>
          <w:numId w:val="3"/>
        </w:numPr>
        <w:spacing w:after="120"/>
        <w:rPr>
          <w:snapToGrid w:val="0"/>
        </w:rPr>
      </w:pPr>
      <w:r>
        <w:rPr>
          <w:snapToGrid w:val="0"/>
        </w:rPr>
        <w:t xml:space="preserve">The PBAC reiterated that it would be appropriate to seek a listing for the first biosimilar for bevacizumab that would assure supply across all listed populations and advised the Department to work with the sponsor to ensure suitable arrangements to ensure this were in place. </w:t>
      </w:r>
    </w:p>
    <w:p w:rsidR="00275F2B" w:rsidRPr="00B22578" w:rsidRDefault="00275F2B" w:rsidP="00275F2B">
      <w:pPr>
        <w:pStyle w:val="2-SectionHeading"/>
        <w:numPr>
          <w:ilvl w:val="0"/>
          <w:numId w:val="3"/>
        </w:numPr>
        <w:ind w:left="720" w:hanging="720"/>
      </w:pPr>
      <w:r w:rsidRPr="00C07617">
        <w:t>Context for Decision</w:t>
      </w:r>
    </w:p>
    <w:p w:rsidR="00275F2B" w:rsidRPr="007129F2" w:rsidRDefault="00275F2B" w:rsidP="005C7A48">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275F2B" w:rsidRPr="00B22578" w:rsidRDefault="00275F2B" w:rsidP="00275F2B">
      <w:pPr>
        <w:pStyle w:val="2-SectionHeading"/>
        <w:numPr>
          <w:ilvl w:val="0"/>
          <w:numId w:val="3"/>
        </w:numPr>
        <w:ind w:left="720" w:hanging="720"/>
        <w:rPr>
          <w:b w:val="0"/>
        </w:rPr>
      </w:pPr>
      <w:r>
        <w:t>Sponsor’s Comment</w:t>
      </w:r>
    </w:p>
    <w:p w:rsidR="0075298A" w:rsidRDefault="0075298A" w:rsidP="00280395">
      <w:pPr>
        <w:ind w:left="720"/>
      </w:pPr>
      <w:r>
        <w:t xml:space="preserve">Amgen welcomes the PBAC’s positive recommendation of Mvasi that will enable unrestricted access to bevacizumab for Australian patients.  Mvasi provides the same </w:t>
      </w:r>
      <w:r>
        <w:lastRenderedPageBreak/>
        <w:t>health outcomes and is as safe and effective as the reference brand.</w:t>
      </w:r>
      <w:r>
        <w:rPr>
          <w:vertAlign w:val="superscript"/>
        </w:rPr>
        <w:t>1</w:t>
      </w:r>
      <w:r>
        <w:t xml:space="preserve"> Biosimilars provide the opportunity for savings to the PBS that will further enable patient access to innovative medicines.</w:t>
      </w:r>
    </w:p>
    <w:p w:rsidR="0075298A" w:rsidRDefault="0075298A" w:rsidP="0075298A">
      <w:pPr>
        <w:rPr>
          <w:lang w:eastAsia="en-US"/>
        </w:rPr>
      </w:pPr>
    </w:p>
    <w:p w:rsidR="00275F2B" w:rsidRPr="005C7A48" w:rsidRDefault="0075298A" w:rsidP="005C7A48">
      <w:pPr>
        <w:pStyle w:val="ListParagraph"/>
        <w:numPr>
          <w:ilvl w:val="0"/>
          <w:numId w:val="44"/>
        </w:numPr>
        <w:contextualSpacing w:val="0"/>
        <w:jc w:val="left"/>
        <w:rPr>
          <w:snapToGrid w:val="0"/>
        </w:rPr>
      </w:pPr>
      <w:r w:rsidRPr="004D4B68">
        <w:rPr>
          <w:sz w:val="20"/>
          <w:szCs w:val="20"/>
          <w:lang w:eastAsia="en-US"/>
        </w:rPr>
        <w:t xml:space="preserve">Australian Government Department of Health. Biosimilars Awareness Initiative. Biosimilar bevacizumab – fact sheet for consumers and healthcare professionals. </w:t>
      </w:r>
      <w:r w:rsidRPr="00F06757">
        <w:rPr>
          <w:sz w:val="20"/>
          <w:szCs w:val="20"/>
          <w:lang w:eastAsia="en-US"/>
        </w:rPr>
        <w:t>https://www1.health.gov.au/internet/main/publishing.nsf/Content/biosimilar-awareness-initiative</w:t>
      </w:r>
      <w:r w:rsidRPr="004D4B68">
        <w:rPr>
          <w:sz w:val="20"/>
          <w:szCs w:val="20"/>
          <w:lang w:eastAsia="en-US"/>
        </w:rPr>
        <w:t>. Sourced: 28 May 2021.</w:t>
      </w:r>
    </w:p>
    <w:sectPr w:rsidR="00275F2B" w:rsidRPr="005C7A48" w:rsidSect="00985F2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E07E02" w16cid:durableId="240C395F"/>
  <w16cid:commentId w16cid:paraId="70A26CD5" w16cid:durableId="240C3AC2"/>
  <w16cid:commentId w16cid:paraId="0D01A73D" w16cid:durableId="240C3960"/>
  <w16cid:commentId w16cid:paraId="650B9B48" w16cid:durableId="240C3AD1"/>
  <w16cid:commentId w16cid:paraId="403E2B47" w16cid:durableId="240C39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757" w:rsidRDefault="00F06757" w:rsidP="00DD5BC0">
      <w:r>
        <w:separator/>
      </w:r>
    </w:p>
  </w:endnote>
  <w:endnote w:type="continuationSeparator" w:id="0">
    <w:p w:rsidR="00F06757" w:rsidRDefault="00F06757" w:rsidP="00DD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757" w:rsidRDefault="00F06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37126"/>
      <w:docPartObj>
        <w:docPartGallery w:val="Page Numbers (Bottom of Page)"/>
        <w:docPartUnique/>
      </w:docPartObj>
    </w:sdtPr>
    <w:sdtEndPr>
      <w:rPr>
        <w:b/>
        <w:noProof/>
      </w:rPr>
    </w:sdtEndPr>
    <w:sdtContent>
      <w:p w:rsidR="005714EF" w:rsidRPr="008A63AC" w:rsidRDefault="005714EF" w:rsidP="008A63AC">
        <w:pPr>
          <w:pStyle w:val="Footer"/>
          <w:jc w:val="center"/>
        </w:pPr>
      </w:p>
      <w:p w:rsidR="005714EF" w:rsidRPr="00BD065B" w:rsidRDefault="005714EF" w:rsidP="008A63AC">
        <w:pPr>
          <w:pStyle w:val="Footer"/>
          <w:jc w:val="center"/>
        </w:pPr>
        <w:r w:rsidRPr="008A63AC">
          <w:rPr>
            <w:b/>
          </w:rPr>
          <w:fldChar w:fldCharType="begin"/>
        </w:r>
        <w:r w:rsidRPr="008A63AC">
          <w:rPr>
            <w:b/>
          </w:rPr>
          <w:instrText xml:space="preserve"> PAGE   \* MERGEFORMAT </w:instrText>
        </w:r>
        <w:r w:rsidRPr="008A63AC">
          <w:rPr>
            <w:b/>
          </w:rPr>
          <w:fldChar w:fldCharType="separate"/>
        </w:r>
        <w:r w:rsidR="004B499A">
          <w:rPr>
            <w:b/>
            <w:noProof/>
          </w:rPr>
          <w:t>8</w:t>
        </w:r>
        <w:r w:rsidRPr="008A63AC">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757" w:rsidRDefault="00F06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757" w:rsidRDefault="00F06757" w:rsidP="00DD5BC0">
      <w:r>
        <w:separator/>
      </w:r>
    </w:p>
  </w:footnote>
  <w:footnote w:type="continuationSeparator" w:id="0">
    <w:p w:rsidR="00F06757" w:rsidRDefault="00F06757" w:rsidP="00DD5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757" w:rsidRDefault="00F06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765324"/>
      <w:docPartObj>
        <w:docPartGallery w:val="Page Numbers (Top of Page)"/>
        <w:docPartUnique/>
      </w:docPartObj>
    </w:sdtPr>
    <w:sdtEndPr>
      <w:rPr>
        <w:noProof/>
      </w:rPr>
    </w:sdtEndPr>
    <w:sdtContent>
      <w:p w:rsidR="005714EF" w:rsidRPr="008A63AC" w:rsidRDefault="00634244" w:rsidP="008A63AC">
        <w:pPr>
          <w:pStyle w:val="Header"/>
          <w:jc w:val="center"/>
          <w:rPr>
            <w:rFonts w:eastAsia="Calibri"/>
            <w:i/>
            <w:lang w:eastAsia="en-US"/>
          </w:rPr>
        </w:pPr>
        <w:r>
          <w:rPr>
            <w:i/>
          </w:rPr>
          <w:t>Public Summary Document</w:t>
        </w:r>
        <w:r w:rsidR="005714EF">
          <w:rPr>
            <w:rFonts w:eastAsia="Calibri"/>
            <w:i/>
            <w:lang w:eastAsia="en-US"/>
          </w:rPr>
          <w:t xml:space="preserve"> </w:t>
        </w:r>
        <w:r w:rsidR="005714EF" w:rsidRPr="008A63AC">
          <w:rPr>
            <w:rFonts w:eastAsia="Calibri"/>
            <w:i/>
            <w:lang w:eastAsia="en-US"/>
          </w:rPr>
          <w:t>– March 2021 PBAC Meeting</w:t>
        </w:r>
      </w:p>
      <w:p w:rsidR="005714EF" w:rsidRDefault="004B499A" w:rsidP="008A63AC">
        <w:pPr>
          <w:pStyle w:val="Header"/>
          <w:jc w:val="cente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757" w:rsidRDefault="00F06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EE0D7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0D27EE"/>
    <w:multiLevelType w:val="multilevel"/>
    <w:tmpl w:val="882228EE"/>
    <w:lvl w:ilvl="0">
      <w:start w:val="1"/>
      <w:numFmt w:val="decimal"/>
      <w:lvlText w:val="%1"/>
      <w:lvlJc w:val="left"/>
      <w:pPr>
        <w:ind w:left="420" w:hanging="420"/>
      </w:pPr>
      <w:rPr>
        <w:rFonts w:hint="default"/>
      </w:rPr>
    </w:lvl>
    <w:lvl w:ilvl="1">
      <w:start w:val="1"/>
      <w:numFmt w:val="bullet"/>
      <w:lvlText w:val=""/>
      <w:lvlJc w:val="left"/>
      <w:pPr>
        <w:ind w:left="420" w:hanging="420"/>
      </w:pPr>
      <w:rPr>
        <w:rFonts w:ascii="Symbol" w:hAnsi="Symbol"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8B74FF"/>
    <w:multiLevelType w:val="hybridMultilevel"/>
    <w:tmpl w:val="869205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A015EC"/>
    <w:multiLevelType w:val="hybridMultilevel"/>
    <w:tmpl w:val="917E3B62"/>
    <w:lvl w:ilvl="0" w:tplc="648250EA">
      <w:start w:val="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0B6BFA"/>
    <w:multiLevelType w:val="hybridMultilevel"/>
    <w:tmpl w:val="455AE8BC"/>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8" w15:restartNumberingAfterBreak="0">
    <w:nsid w:val="18E95FFE"/>
    <w:multiLevelType w:val="hybridMultilevel"/>
    <w:tmpl w:val="AAFC0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F41D93"/>
    <w:multiLevelType w:val="multilevel"/>
    <w:tmpl w:val="882228EE"/>
    <w:lvl w:ilvl="0">
      <w:start w:val="1"/>
      <w:numFmt w:val="decimal"/>
      <w:lvlText w:val="%1"/>
      <w:lvlJc w:val="left"/>
      <w:pPr>
        <w:ind w:left="420" w:hanging="420"/>
      </w:pPr>
      <w:rPr>
        <w:rFonts w:hint="default"/>
      </w:rPr>
    </w:lvl>
    <w:lvl w:ilvl="1">
      <w:start w:val="1"/>
      <w:numFmt w:val="bullet"/>
      <w:lvlText w:val=""/>
      <w:lvlJc w:val="left"/>
      <w:pPr>
        <w:ind w:left="420" w:hanging="420"/>
      </w:pPr>
      <w:rPr>
        <w:rFonts w:ascii="Symbol" w:hAnsi="Symbol"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227B5D"/>
    <w:multiLevelType w:val="hybridMultilevel"/>
    <w:tmpl w:val="EFDC4F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CC01B45"/>
    <w:multiLevelType w:val="multilevel"/>
    <w:tmpl w:val="9642E102"/>
    <w:lvl w:ilvl="0">
      <w:start w:val="3"/>
      <w:numFmt w:val="decimal"/>
      <w:lvlText w:val="%1"/>
      <w:lvlJc w:val="left"/>
      <w:pPr>
        <w:ind w:left="420" w:hanging="420"/>
      </w:pPr>
      <w:rPr>
        <w:rFonts w:cstheme="minorHAnsi" w:hint="default"/>
      </w:rPr>
    </w:lvl>
    <w:lvl w:ilvl="1">
      <w:start w:val="11"/>
      <w:numFmt w:val="decimal"/>
      <w:lvlText w:val="%1.%2"/>
      <w:lvlJc w:val="left"/>
      <w:pPr>
        <w:ind w:left="420" w:hanging="42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12" w15:restartNumberingAfterBreak="0">
    <w:nsid w:val="1FB219F8"/>
    <w:multiLevelType w:val="hybridMultilevel"/>
    <w:tmpl w:val="83523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4A063A"/>
    <w:multiLevelType w:val="hybridMultilevel"/>
    <w:tmpl w:val="4A948E22"/>
    <w:lvl w:ilvl="0" w:tplc="48203FE6">
      <w:start w:val="1"/>
      <w:numFmt w:val="bullet"/>
      <w:lvlText w:val=""/>
      <w:lvlJc w:val="left"/>
      <w:pPr>
        <w:ind w:left="829" w:hanging="360"/>
      </w:pPr>
      <w:rPr>
        <w:rFonts w:ascii="Symbol" w:hAnsi="Symbol" w:hint="default"/>
        <w:i w:val="0"/>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14" w15:restartNumberingAfterBreak="0">
    <w:nsid w:val="23787A4A"/>
    <w:multiLevelType w:val="multilevel"/>
    <w:tmpl w:val="9A38D306"/>
    <w:lvl w:ilvl="0">
      <w:start w:val="1"/>
      <w:numFmt w:val="decimal"/>
      <w:lvlText w:val="%1"/>
      <w:lvlJc w:val="left"/>
      <w:pPr>
        <w:ind w:left="420" w:hanging="420"/>
      </w:pPr>
      <w:rPr>
        <w:rFonts w:hint="default"/>
      </w:rPr>
    </w:lvl>
    <w:lvl w:ilvl="1">
      <w:start w:val="1"/>
      <w:numFmt w:val="bullet"/>
      <w:lvlText w:val=""/>
      <w:lvlJc w:val="left"/>
      <w:pPr>
        <w:ind w:left="420" w:hanging="420"/>
      </w:pPr>
      <w:rPr>
        <w:rFonts w:ascii="Symbol" w:hAnsi="Symbol" w:hint="default"/>
        <w:b w:val="0"/>
        <w:i w:val="0"/>
        <w:color w:val="auto"/>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3A6275"/>
    <w:multiLevelType w:val="hybridMultilevel"/>
    <w:tmpl w:val="EC983F76"/>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7B01F6"/>
    <w:multiLevelType w:val="multilevel"/>
    <w:tmpl w:val="C72ED04E"/>
    <w:lvl w:ilvl="0">
      <w:start w:val="2"/>
      <w:numFmt w:val="decimal"/>
      <w:lvlText w:val="%1"/>
      <w:lvlJc w:val="left"/>
      <w:pPr>
        <w:ind w:left="360" w:hanging="360"/>
      </w:pPr>
      <w:rPr>
        <w:rFonts w:cstheme="minorHAnsi"/>
        <w:b w:val="0"/>
        <w:sz w:val="22"/>
      </w:rPr>
    </w:lvl>
    <w:lvl w:ilvl="1">
      <w:start w:val="7"/>
      <w:numFmt w:val="decimal"/>
      <w:lvlText w:val="4.%2"/>
      <w:lvlJc w:val="left"/>
      <w:pPr>
        <w:ind w:left="720" w:hanging="720"/>
      </w:pPr>
      <w:rPr>
        <w:b w:val="0"/>
        <w:sz w:val="24"/>
        <w:szCs w:val="24"/>
      </w:rPr>
    </w:lvl>
    <w:lvl w:ilvl="2">
      <w:start w:val="1"/>
      <w:numFmt w:val="decimal"/>
      <w:lvlText w:val="%1.%2.%3"/>
      <w:lvlJc w:val="left"/>
      <w:pPr>
        <w:ind w:left="720" w:hanging="720"/>
      </w:pPr>
      <w:rPr>
        <w:rFonts w:cstheme="minorHAnsi"/>
        <w:b w:val="0"/>
        <w:sz w:val="22"/>
      </w:rPr>
    </w:lvl>
    <w:lvl w:ilvl="3">
      <w:start w:val="1"/>
      <w:numFmt w:val="decimal"/>
      <w:lvlText w:val="%1.%2.%3.%4"/>
      <w:lvlJc w:val="left"/>
      <w:pPr>
        <w:ind w:left="1080" w:hanging="1080"/>
      </w:pPr>
      <w:rPr>
        <w:rFonts w:cstheme="minorHAnsi"/>
        <w:b w:val="0"/>
        <w:sz w:val="22"/>
      </w:rPr>
    </w:lvl>
    <w:lvl w:ilvl="4">
      <w:start w:val="1"/>
      <w:numFmt w:val="decimal"/>
      <w:lvlText w:val="%1.%2.%3.%4.%5"/>
      <w:lvlJc w:val="left"/>
      <w:pPr>
        <w:ind w:left="1440" w:hanging="1440"/>
      </w:pPr>
      <w:rPr>
        <w:rFonts w:cstheme="minorHAnsi"/>
        <w:b w:val="0"/>
        <w:sz w:val="22"/>
      </w:rPr>
    </w:lvl>
    <w:lvl w:ilvl="5">
      <w:start w:val="1"/>
      <w:numFmt w:val="decimal"/>
      <w:lvlText w:val="%1.%2.%3.%4.%5.%6"/>
      <w:lvlJc w:val="left"/>
      <w:pPr>
        <w:ind w:left="1440" w:hanging="1440"/>
      </w:pPr>
      <w:rPr>
        <w:rFonts w:cstheme="minorHAnsi"/>
        <w:b w:val="0"/>
        <w:sz w:val="22"/>
      </w:rPr>
    </w:lvl>
    <w:lvl w:ilvl="6">
      <w:start w:val="1"/>
      <w:numFmt w:val="decimal"/>
      <w:lvlText w:val="%1.%2.%3.%4.%5.%6.%7"/>
      <w:lvlJc w:val="left"/>
      <w:pPr>
        <w:ind w:left="1800" w:hanging="1800"/>
      </w:pPr>
      <w:rPr>
        <w:rFonts w:cstheme="minorHAnsi"/>
        <w:b w:val="0"/>
        <w:sz w:val="22"/>
      </w:rPr>
    </w:lvl>
    <w:lvl w:ilvl="7">
      <w:start w:val="1"/>
      <w:numFmt w:val="decimal"/>
      <w:lvlText w:val="%1.%2.%3.%4.%5.%6.%7.%8"/>
      <w:lvlJc w:val="left"/>
      <w:pPr>
        <w:ind w:left="2160" w:hanging="2160"/>
      </w:pPr>
      <w:rPr>
        <w:rFonts w:cstheme="minorHAnsi"/>
        <w:b w:val="0"/>
        <w:sz w:val="22"/>
      </w:rPr>
    </w:lvl>
    <w:lvl w:ilvl="8">
      <w:start w:val="1"/>
      <w:numFmt w:val="decimal"/>
      <w:lvlText w:val="%1.%2.%3.%4.%5.%6.%7.%8.%9"/>
      <w:lvlJc w:val="left"/>
      <w:pPr>
        <w:ind w:left="2160" w:hanging="2160"/>
      </w:pPr>
      <w:rPr>
        <w:rFonts w:cstheme="minorHAnsi"/>
        <w:b w:val="0"/>
        <w:sz w:val="22"/>
      </w:rPr>
    </w:lvl>
  </w:abstractNum>
  <w:abstractNum w:abstractNumId="20" w15:restartNumberingAfterBreak="0">
    <w:nsid w:val="34DE6496"/>
    <w:multiLevelType w:val="multilevel"/>
    <w:tmpl w:val="D6B8DD4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61C1BAA"/>
    <w:multiLevelType w:val="multilevel"/>
    <w:tmpl w:val="E7228CC2"/>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C158A8"/>
    <w:multiLevelType w:val="hybridMultilevel"/>
    <w:tmpl w:val="9EB644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3C2AB7"/>
    <w:multiLevelType w:val="hybridMultilevel"/>
    <w:tmpl w:val="1720AB6E"/>
    <w:lvl w:ilvl="0" w:tplc="37309B7A">
      <w:start w:val="3"/>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EE5947"/>
    <w:multiLevelType w:val="hybridMultilevel"/>
    <w:tmpl w:val="4A9CD380"/>
    <w:lvl w:ilvl="0" w:tplc="64883FAE">
      <w:start w:val="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A66FE2"/>
    <w:multiLevelType w:val="multilevel"/>
    <w:tmpl w:val="EF6CC826"/>
    <w:lvl w:ilvl="0">
      <w:start w:val="3"/>
      <w:numFmt w:val="decimal"/>
      <w:lvlText w:val="%1"/>
      <w:lvlJc w:val="left"/>
      <w:pPr>
        <w:ind w:left="420" w:hanging="420"/>
      </w:pPr>
      <w:rPr>
        <w:rFonts w:cstheme="minorHAnsi" w:hint="default"/>
      </w:rPr>
    </w:lvl>
    <w:lvl w:ilvl="1">
      <w:start w:val="11"/>
      <w:numFmt w:val="decimal"/>
      <w:lvlText w:val="%1.%2"/>
      <w:lvlJc w:val="left"/>
      <w:pPr>
        <w:ind w:left="420" w:hanging="42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27" w15:restartNumberingAfterBreak="0">
    <w:nsid w:val="53B76422"/>
    <w:multiLevelType w:val="hybridMultilevel"/>
    <w:tmpl w:val="16228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FC7C59"/>
    <w:multiLevelType w:val="hybridMultilevel"/>
    <w:tmpl w:val="6180CA7C"/>
    <w:lvl w:ilvl="0" w:tplc="E1B6BF4A">
      <w:start w:val="1"/>
      <w:numFmt w:val="decimal"/>
      <w:lvlText w:val="%1."/>
      <w:lvlJc w:val="left"/>
      <w:pPr>
        <w:ind w:left="1778"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837CF9"/>
    <w:multiLevelType w:val="hybridMultilevel"/>
    <w:tmpl w:val="AD6CB94C"/>
    <w:lvl w:ilvl="0" w:tplc="8564C5E6">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EE784A"/>
    <w:multiLevelType w:val="hybridMultilevel"/>
    <w:tmpl w:val="8D987A4C"/>
    <w:lvl w:ilvl="0" w:tplc="333CD72C">
      <w:start w:val="1"/>
      <w:numFmt w:val="decimal"/>
      <w:lvlText w:val="%1."/>
      <w:lvlJc w:val="left"/>
      <w:pPr>
        <w:ind w:left="720" w:hanging="360"/>
      </w:pPr>
      <w:rPr>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68C512B7"/>
    <w:multiLevelType w:val="hybridMultilevel"/>
    <w:tmpl w:val="223A784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BFC7743"/>
    <w:multiLevelType w:val="multilevel"/>
    <w:tmpl w:val="159079DC"/>
    <w:lvl w:ilvl="0">
      <w:start w:val="1"/>
      <w:numFmt w:val="decimal"/>
      <w:lvlText w:val="%1"/>
      <w:lvlJc w:val="left"/>
      <w:pPr>
        <w:ind w:left="420" w:hanging="420"/>
      </w:pPr>
      <w:rPr>
        <w:rFonts w:hint="default"/>
      </w:rPr>
    </w:lvl>
    <w:lvl w:ilvl="1">
      <w:start w:val="1"/>
      <w:numFmt w:val="bullet"/>
      <w:lvlText w:val=""/>
      <w:lvlJc w:val="left"/>
      <w:pPr>
        <w:ind w:left="420" w:hanging="420"/>
      </w:pPr>
      <w:rPr>
        <w:rFonts w:ascii="Symbol" w:hAnsi="Symbol" w:hint="default"/>
        <w:b w:val="0"/>
        <w:i w:val="0"/>
        <w:color w:val="auto"/>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76664F"/>
    <w:multiLevelType w:val="hybridMultilevel"/>
    <w:tmpl w:val="3E7A2062"/>
    <w:lvl w:ilvl="0" w:tplc="0C090019">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E8B0F2B"/>
    <w:multiLevelType w:val="hybridMultilevel"/>
    <w:tmpl w:val="A6A6C994"/>
    <w:lvl w:ilvl="0" w:tplc="DAA0A89A">
      <w:start w:val="1"/>
      <w:numFmt w:val="decimal"/>
      <w:lvlText w:val="%1."/>
      <w:lvlJc w:val="left"/>
      <w:pPr>
        <w:ind w:left="720" w:hanging="360"/>
      </w:pPr>
      <w:rPr>
        <w:rFonts w:ascii="Arial Narrow" w:hAnsi="Arial Narrow"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2E74DCA"/>
    <w:multiLevelType w:val="multilevel"/>
    <w:tmpl w:val="1B70F616"/>
    <w:lvl w:ilvl="0">
      <w:start w:val="1"/>
      <w:numFmt w:val="decimal"/>
      <w:lvlText w:val="%1"/>
      <w:lvlJc w:val="left"/>
      <w:pPr>
        <w:ind w:left="420" w:hanging="420"/>
      </w:pPr>
      <w:rPr>
        <w:rFonts w:hint="default"/>
      </w:rPr>
    </w:lvl>
    <w:lvl w:ilvl="1">
      <w:start w:val="1"/>
      <w:numFmt w:val="bullet"/>
      <w:lvlText w:val=""/>
      <w:lvlJc w:val="left"/>
      <w:pPr>
        <w:ind w:left="420" w:hanging="420"/>
      </w:pPr>
      <w:rPr>
        <w:rFonts w:ascii="Symbol" w:hAnsi="Symbol" w:hint="default"/>
        <w:b w:val="0"/>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C247EB"/>
    <w:multiLevelType w:val="hybridMultilevel"/>
    <w:tmpl w:val="7D824F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4D033C"/>
    <w:multiLevelType w:val="multilevel"/>
    <w:tmpl w:val="E850E6E4"/>
    <w:lvl w:ilvl="0">
      <w:start w:val="1"/>
      <w:numFmt w:val="decimal"/>
      <w:lvlText w:val="%1"/>
      <w:lvlJc w:val="left"/>
      <w:pPr>
        <w:ind w:left="720" w:hanging="720"/>
      </w:pPr>
      <w:rPr>
        <w:rFonts w:hint="default"/>
        <w:b/>
        <w:color w:val="auto"/>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A4501E1"/>
    <w:multiLevelType w:val="multilevel"/>
    <w:tmpl w:val="85D8148C"/>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0"/>
  </w:num>
  <w:num w:numId="2">
    <w:abstractNumId w:val="0"/>
  </w:num>
  <w:num w:numId="3">
    <w:abstractNumId w:val="41"/>
  </w:num>
  <w:num w:numId="4">
    <w:abstractNumId w:val="20"/>
  </w:num>
  <w:num w:numId="5">
    <w:abstractNumId w:val="22"/>
  </w:num>
  <w:num w:numId="6">
    <w:abstractNumId w:val="8"/>
  </w:num>
  <w:num w:numId="7">
    <w:abstractNumId w:val="6"/>
  </w:num>
  <w:num w:numId="8">
    <w:abstractNumId w:val="39"/>
  </w:num>
  <w:num w:numId="9">
    <w:abstractNumId w:val="5"/>
  </w:num>
  <w:num w:numId="10">
    <w:abstractNumId w:val="24"/>
  </w:num>
  <w:num w:numId="11">
    <w:abstractNumId w:val="11"/>
  </w:num>
  <w:num w:numId="12">
    <w:abstractNumId w:val="26"/>
  </w:num>
  <w:num w:numId="13">
    <w:abstractNumId w:val="27"/>
  </w:num>
  <w:num w:numId="14">
    <w:abstractNumId w:val="25"/>
  </w:num>
  <w:num w:numId="15">
    <w:abstractNumId w:val="21"/>
  </w:num>
  <w:num w:numId="16">
    <w:abstractNumId w:val="31"/>
  </w:num>
  <w:num w:numId="17">
    <w:abstractNumId w:val="42"/>
  </w:num>
  <w:num w:numId="18">
    <w:abstractNumId w:val="34"/>
  </w:num>
  <w:num w:numId="19">
    <w:abstractNumId w:val="23"/>
  </w:num>
  <w:num w:numId="20">
    <w:abstractNumId w:val="33"/>
  </w:num>
  <w:num w:numId="21">
    <w:abstractNumId w:val="17"/>
  </w:num>
  <w:num w:numId="22">
    <w:abstractNumId w:val="36"/>
  </w:num>
  <w:num w:numId="23">
    <w:abstractNumId w:val="12"/>
  </w:num>
  <w:num w:numId="24">
    <w:abstractNumId w:val="30"/>
  </w:num>
  <w:num w:numId="25">
    <w:abstractNumId w:val="13"/>
  </w:num>
  <w:num w:numId="26">
    <w:abstractNumId w:val="7"/>
  </w:num>
  <w:num w:numId="27">
    <w:abstractNumId w:val="9"/>
  </w:num>
  <w:num w:numId="28">
    <w:abstractNumId w:val="4"/>
  </w:num>
  <w:num w:numId="29">
    <w:abstractNumId w:val="38"/>
  </w:num>
  <w:num w:numId="30">
    <w:abstractNumId w:val="35"/>
  </w:num>
  <w:num w:numId="31">
    <w:abstractNumId w:val="14"/>
  </w:num>
  <w:num w:numId="32">
    <w:abstractNumId w:val="37"/>
  </w:num>
  <w:num w:numId="33">
    <w:abstractNumId w:val="10"/>
  </w:num>
  <w:num w:numId="34">
    <w:abstractNumId w:val="2"/>
  </w:num>
  <w:num w:numId="35">
    <w:abstractNumId w:val="28"/>
  </w:num>
  <w:num w:numId="36">
    <w:abstractNumId w:val="29"/>
  </w:num>
  <w:num w:numId="37">
    <w:abstractNumId w:val="3"/>
  </w:num>
  <w:num w:numId="38">
    <w:abstractNumId w:val="1"/>
  </w:num>
  <w:num w:numId="39">
    <w:abstractNumId w:val="16"/>
  </w:num>
  <w:num w:numId="40">
    <w:abstractNumId w:val="18"/>
  </w:num>
  <w:num w:numId="41">
    <w:abstractNumId w:val="15"/>
  </w:num>
  <w:num w:numId="42">
    <w:abstractNumId w:val="19"/>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8DE"/>
    <w:rsid w:val="00003AF5"/>
    <w:rsid w:val="00005D98"/>
    <w:rsid w:val="000066AA"/>
    <w:rsid w:val="00010F6D"/>
    <w:rsid w:val="000129D0"/>
    <w:rsid w:val="0001342B"/>
    <w:rsid w:val="00023ABB"/>
    <w:rsid w:val="0002525B"/>
    <w:rsid w:val="0002530B"/>
    <w:rsid w:val="00030955"/>
    <w:rsid w:val="0003736F"/>
    <w:rsid w:val="00046120"/>
    <w:rsid w:val="00046968"/>
    <w:rsid w:val="0004760E"/>
    <w:rsid w:val="000503C3"/>
    <w:rsid w:val="00050E98"/>
    <w:rsid w:val="000529BE"/>
    <w:rsid w:val="0005403C"/>
    <w:rsid w:val="00054CBA"/>
    <w:rsid w:val="0006080E"/>
    <w:rsid w:val="000633E3"/>
    <w:rsid w:val="0006515B"/>
    <w:rsid w:val="00067738"/>
    <w:rsid w:val="00074D62"/>
    <w:rsid w:val="00083897"/>
    <w:rsid w:val="00083898"/>
    <w:rsid w:val="000863C0"/>
    <w:rsid w:val="00086C8B"/>
    <w:rsid w:val="00090DDA"/>
    <w:rsid w:val="00092D24"/>
    <w:rsid w:val="00094CB1"/>
    <w:rsid w:val="00096742"/>
    <w:rsid w:val="000A5B6B"/>
    <w:rsid w:val="000A6D06"/>
    <w:rsid w:val="000B3247"/>
    <w:rsid w:val="000C1C27"/>
    <w:rsid w:val="000C7733"/>
    <w:rsid w:val="000D0BD5"/>
    <w:rsid w:val="000D250C"/>
    <w:rsid w:val="000F1245"/>
    <w:rsid w:val="000F7953"/>
    <w:rsid w:val="00103A58"/>
    <w:rsid w:val="00104643"/>
    <w:rsid w:val="00106B54"/>
    <w:rsid w:val="00110D27"/>
    <w:rsid w:val="001131B6"/>
    <w:rsid w:val="00117087"/>
    <w:rsid w:val="00125C12"/>
    <w:rsid w:val="0013197C"/>
    <w:rsid w:val="00133594"/>
    <w:rsid w:val="00137087"/>
    <w:rsid w:val="00142D46"/>
    <w:rsid w:val="001516AB"/>
    <w:rsid w:val="00153849"/>
    <w:rsid w:val="00154DB7"/>
    <w:rsid w:val="001571B2"/>
    <w:rsid w:val="00157760"/>
    <w:rsid w:val="00165029"/>
    <w:rsid w:val="00165038"/>
    <w:rsid w:val="00167010"/>
    <w:rsid w:val="0017260A"/>
    <w:rsid w:val="001773EF"/>
    <w:rsid w:val="001821EA"/>
    <w:rsid w:val="00191A3B"/>
    <w:rsid w:val="00191F04"/>
    <w:rsid w:val="001965D6"/>
    <w:rsid w:val="00196A31"/>
    <w:rsid w:val="00196CD2"/>
    <w:rsid w:val="00197446"/>
    <w:rsid w:val="001B2E1A"/>
    <w:rsid w:val="001B3C2C"/>
    <w:rsid w:val="001B41A0"/>
    <w:rsid w:val="001B533C"/>
    <w:rsid w:val="001C2903"/>
    <w:rsid w:val="001C4169"/>
    <w:rsid w:val="001C697F"/>
    <w:rsid w:val="001D04A3"/>
    <w:rsid w:val="001D0512"/>
    <w:rsid w:val="001D08F0"/>
    <w:rsid w:val="001D7179"/>
    <w:rsid w:val="001F39E1"/>
    <w:rsid w:val="001F4118"/>
    <w:rsid w:val="0020087C"/>
    <w:rsid w:val="00204A72"/>
    <w:rsid w:val="00205DC7"/>
    <w:rsid w:val="0020662C"/>
    <w:rsid w:val="00215578"/>
    <w:rsid w:val="00215FAF"/>
    <w:rsid w:val="002253D6"/>
    <w:rsid w:val="00237B2A"/>
    <w:rsid w:val="00244F45"/>
    <w:rsid w:val="0024566B"/>
    <w:rsid w:val="002523B1"/>
    <w:rsid w:val="00252CC6"/>
    <w:rsid w:val="00253DD2"/>
    <w:rsid w:val="00265D18"/>
    <w:rsid w:val="002711B4"/>
    <w:rsid w:val="00275F2B"/>
    <w:rsid w:val="00280050"/>
    <w:rsid w:val="00280395"/>
    <w:rsid w:val="002860E9"/>
    <w:rsid w:val="002915E9"/>
    <w:rsid w:val="00292E8B"/>
    <w:rsid w:val="002950F3"/>
    <w:rsid w:val="002A24AA"/>
    <w:rsid w:val="002A5DE3"/>
    <w:rsid w:val="002C0595"/>
    <w:rsid w:val="002C306A"/>
    <w:rsid w:val="002C68CC"/>
    <w:rsid w:val="002D25D7"/>
    <w:rsid w:val="002D4C97"/>
    <w:rsid w:val="002E1E2A"/>
    <w:rsid w:val="002E6DBD"/>
    <w:rsid w:val="002F2CB1"/>
    <w:rsid w:val="002F7173"/>
    <w:rsid w:val="003039B5"/>
    <w:rsid w:val="00305B94"/>
    <w:rsid w:val="00307404"/>
    <w:rsid w:val="00310B7F"/>
    <w:rsid w:val="00317D62"/>
    <w:rsid w:val="003375D5"/>
    <w:rsid w:val="003404B7"/>
    <w:rsid w:val="00340CF8"/>
    <w:rsid w:val="00340FFD"/>
    <w:rsid w:val="00347BBC"/>
    <w:rsid w:val="00347CBB"/>
    <w:rsid w:val="00352BF7"/>
    <w:rsid w:val="00353233"/>
    <w:rsid w:val="003602C2"/>
    <w:rsid w:val="0036046F"/>
    <w:rsid w:val="003634AD"/>
    <w:rsid w:val="00372D29"/>
    <w:rsid w:val="00382A2B"/>
    <w:rsid w:val="00383D40"/>
    <w:rsid w:val="0038773F"/>
    <w:rsid w:val="00387DA4"/>
    <w:rsid w:val="0039088E"/>
    <w:rsid w:val="003910B3"/>
    <w:rsid w:val="0039433F"/>
    <w:rsid w:val="00394FF8"/>
    <w:rsid w:val="00395DB9"/>
    <w:rsid w:val="0039618E"/>
    <w:rsid w:val="003966A4"/>
    <w:rsid w:val="00396E45"/>
    <w:rsid w:val="003A2ECA"/>
    <w:rsid w:val="003A6112"/>
    <w:rsid w:val="003B3094"/>
    <w:rsid w:val="003B593C"/>
    <w:rsid w:val="003B7A54"/>
    <w:rsid w:val="003C05BF"/>
    <w:rsid w:val="003C375A"/>
    <w:rsid w:val="003C5F8D"/>
    <w:rsid w:val="003C6F33"/>
    <w:rsid w:val="003C741A"/>
    <w:rsid w:val="003C7D07"/>
    <w:rsid w:val="003D2F18"/>
    <w:rsid w:val="003D4993"/>
    <w:rsid w:val="003D6BA0"/>
    <w:rsid w:val="003E05D6"/>
    <w:rsid w:val="003E072C"/>
    <w:rsid w:val="003E4AF1"/>
    <w:rsid w:val="003E4FDD"/>
    <w:rsid w:val="003F267C"/>
    <w:rsid w:val="0040446B"/>
    <w:rsid w:val="004069C5"/>
    <w:rsid w:val="004072B1"/>
    <w:rsid w:val="00417464"/>
    <w:rsid w:val="0041747B"/>
    <w:rsid w:val="00417E16"/>
    <w:rsid w:val="00420AC4"/>
    <w:rsid w:val="00436EE0"/>
    <w:rsid w:val="004375FD"/>
    <w:rsid w:val="00440BFF"/>
    <w:rsid w:val="00442943"/>
    <w:rsid w:val="004477F2"/>
    <w:rsid w:val="0045335A"/>
    <w:rsid w:val="0045351E"/>
    <w:rsid w:val="00461DAA"/>
    <w:rsid w:val="00464FAE"/>
    <w:rsid w:val="00467681"/>
    <w:rsid w:val="004737E8"/>
    <w:rsid w:val="0048295E"/>
    <w:rsid w:val="00484C4A"/>
    <w:rsid w:val="004876BB"/>
    <w:rsid w:val="004914AC"/>
    <w:rsid w:val="00491E65"/>
    <w:rsid w:val="0049280B"/>
    <w:rsid w:val="00492B47"/>
    <w:rsid w:val="004A296A"/>
    <w:rsid w:val="004A6977"/>
    <w:rsid w:val="004A6C43"/>
    <w:rsid w:val="004A7E78"/>
    <w:rsid w:val="004B499A"/>
    <w:rsid w:val="004B5E19"/>
    <w:rsid w:val="004C21CC"/>
    <w:rsid w:val="004C335D"/>
    <w:rsid w:val="004C6207"/>
    <w:rsid w:val="004C7866"/>
    <w:rsid w:val="004D12FC"/>
    <w:rsid w:val="004E71AA"/>
    <w:rsid w:val="004F37C7"/>
    <w:rsid w:val="00500269"/>
    <w:rsid w:val="00502B6F"/>
    <w:rsid w:val="00503C4C"/>
    <w:rsid w:val="0050440E"/>
    <w:rsid w:val="00510BB5"/>
    <w:rsid w:val="0051151B"/>
    <w:rsid w:val="00514075"/>
    <w:rsid w:val="00522475"/>
    <w:rsid w:val="00523D15"/>
    <w:rsid w:val="005247D9"/>
    <w:rsid w:val="005270ED"/>
    <w:rsid w:val="00537832"/>
    <w:rsid w:val="00540957"/>
    <w:rsid w:val="00540E09"/>
    <w:rsid w:val="00541EED"/>
    <w:rsid w:val="0054368B"/>
    <w:rsid w:val="0054508A"/>
    <w:rsid w:val="00547085"/>
    <w:rsid w:val="00557F44"/>
    <w:rsid w:val="0056068F"/>
    <w:rsid w:val="0056343C"/>
    <w:rsid w:val="00564D9B"/>
    <w:rsid w:val="00567F42"/>
    <w:rsid w:val="00570C93"/>
    <w:rsid w:val="005714EF"/>
    <w:rsid w:val="005724C1"/>
    <w:rsid w:val="005731E0"/>
    <w:rsid w:val="005736A6"/>
    <w:rsid w:val="00577A9D"/>
    <w:rsid w:val="00586347"/>
    <w:rsid w:val="00595037"/>
    <w:rsid w:val="0059545F"/>
    <w:rsid w:val="005B1086"/>
    <w:rsid w:val="005B5B97"/>
    <w:rsid w:val="005C160C"/>
    <w:rsid w:val="005C3F03"/>
    <w:rsid w:val="005C5911"/>
    <w:rsid w:val="005C7A48"/>
    <w:rsid w:val="005D407E"/>
    <w:rsid w:val="005E14F9"/>
    <w:rsid w:val="005E566C"/>
    <w:rsid w:val="005F263B"/>
    <w:rsid w:val="005F4258"/>
    <w:rsid w:val="00616691"/>
    <w:rsid w:val="00616C53"/>
    <w:rsid w:val="00623198"/>
    <w:rsid w:val="00623E84"/>
    <w:rsid w:val="00624A01"/>
    <w:rsid w:val="00634244"/>
    <w:rsid w:val="00637676"/>
    <w:rsid w:val="006402FB"/>
    <w:rsid w:val="006413EF"/>
    <w:rsid w:val="006521CC"/>
    <w:rsid w:val="00655421"/>
    <w:rsid w:val="00663B18"/>
    <w:rsid w:val="006713FE"/>
    <w:rsid w:val="0067224F"/>
    <w:rsid w:val="00675D4F"/>
    <w:rsid w:val="00681C57"/>
    <w:rsid w:val="00683193"/>
    <w:rsid w:val="006A169B"/>
    <w:rsid w:val="006A5358"/>
    <w:rsid w:val="006B131C"/>
    <w:rsid w:val="006B194C"/>
    <w:rsid w:val="006C440F"/>
    <w:rsid w:val="006D4405"/>
    <w:rsid w:val="006D5541"/>
    <w:rsid w:val="006D609E"/>
    <w:rsid w:val="006E0B85"/>
    <w:rsid w:val="006E46EE"/>
    <w:rsid w:val="006E510F"/>
    <w:rsid w:val="006E726C"/>
    <w:rsid w:val="006E7882"/>
    <w:rsid w:val="0071337D"/>
    <w:rsid w:val="0071455A"/>
    <w:rsid w:val="007164F7"/>
    <w:rsid w:val="0071661F"/>
    <w:rsid w:val="00717DA4"/>
    <w:rsid w:val="00724497"/>
    <w:rsid w:val="00730F7E"/>
    <w:rsid w:val="00731308"/>
    <w:rsid w:val="0073255E"/>
    <w:rsid w:val="0073358A"/>
    <w:rsid w:val="0073508B"/>
    <w:rsid w:val="00736E6F"/>
    <w:rsid w:val="00737233"/>
    <w:rsid w:val="007425C4"/>
    <w:rsid w:val="007474CF"/>
    <w:rsid w:val="00751C57"/>
    <w:rsid w:val="0075298A"/>
    <w:rsid w:val="007560C3"/>
    <w:rsid w:val="00763B26"/>
    <w:rsid w:val="00763B9C"/>
    <w:rsid w:val="00772E86"/>
    <w:rsid w:val="0078692F"/>
    <w:rsid w:val="00793A4B"/>
    <w:rsid w:val="00793EAE"/>
    <w:rsid w:val="007974EE"/>
    <w:rsid w:val="007A110A"/>
    <w:rsid w:val="007A355E"/>
    <w:rsid w:val="007A4B82"/>
    <w:rsid w:val="007A6C8D"/>
    <w:rsid w:val="007A6E7E"/>
    <w:rsid w:val="007C2668"/>
    <w:rsid w:val="007C5A6D"/>
    <w:rsid w:val="007C6C9D"/>
    <w:rsid w:val="007C777F"/>
    <w:rsid w:val="007C7D63"/>
    <w:rsid w:val="007D5BC1"/>
    <w:rsid w:val="007D6519"/>
    <w:rsid w:val="007E0AA0"/>
    <w:rsid w:val="007E55F0"/>
    <w:rsid w:val="007E64A9"/>
    <w:rsid w:val="007E73AF"/>
    <w:rsid w:val="007F68BC"/>
    <w:rsid w:val="008008D9"/>
    <w:rsid w:val="008039D9"/>
    <w:rsid w:val="00804218"/>
    <w:rsid w:val="00805E4B"/>
    <w:rsid w:val="008071E9"/>
    <w:rsid w:val="00810627"/>
    <w:rsid w:val="00812D20"/>
    <w:rsid w:val="00813E3A"/>
    <w:rsid w:val="00816C00"/>
    <w:rsid w:val="00817832"/>
    <w:rsid w:val="00821A9D"/>
    <w:rsid w:val="00826A79"/>
    <w:rsid w:val="00827773"/>
    <w:rsid w:val="00832FFC"/>
    <w:rsid w:val="00834597"/>
    <w:rsid w:val="008368DE"/>
    <w:rsid w:val="0084298E"/>
    <w:rsid w:val="00843420"/>
    <w:rsid w:val="00845010"/>
    <w:rsid w:val="00850604"/>
    <w:rsid w:val="0085482B"/>
    <w:rsid w:val="008631A0"/>
    <w:rsid w:val="0086340F"/>
    <w:rsid w:val="0087283B"/>
    <w:rsid w:val="00876DCB"/>
    <w:rsid w:val="00880DA8"/>
    <w:rsid w:val="008856C6"/>
    <w:rsid w:val="00895149"/>
    <w:rsid w:val="008951E8"/>
    <w:rsid w:val="0089572A"/>
    <w:rsid w:val="00896F60"/>
    <w:rsid w:val="008A0807"/>
    <w:rsid w:val="008A63AC"/>
    <w:rsid w:val="008A7557"/>
    <w:rsid w:val="008B4BAF"/>
    <w:rsid w:val="008C1878"/>
    <w:rsid w:val="008D6487"/>
    <w:rsid w:val="008D7E95"/>
    <w:rsid w:val="008E0943"/>
    <w:rsid w:val="008E186A"/>
    <w:rsid w:val="008E31BC"/>
    <w:rsid w:val="008E5902"/>
    <w:rsid w:val="008F0946"/>
    <w:rsid w:val="008F3EF0"/>
    <w:rsid w:val="008F4A39"/>
    <w:rsid w:val="008F74D0"/>
    <w:rsid w:val="009035BA"/>
    <w:rsid w:val="009045DC"/>
    <w:rsid w:val="009073AA"/>
    <w:rsid w:val="009145A1"/>
    <w:rsid w:val="00917AA3"/>
    <w:rsid w:val="00923BBA"/>
    <w:rsid w:val="00925241"/>
    <w:rsid w:val="00932571"/>
    <w:rsid w:val="00934290"/>
    <w:rsid w:val="009503A3"/>
    <w:rsid w:val="0095144C"/>
    <w:rsid w:val="009554FF"/>
    <w:rsid w:val="0096240C"/>
    <w:rsid w:val="0097142B"/>
    <w:rsid w:val="0097566B"/>
    <w:rsid w:val="00980148"/>
    <w:rsid w:val="009841B0"/>
    <w:rsid w:val="00985F27"/>
    <w:rsid w:val="00986591"/>
    <w:rsid w:val="00990E32"/>
    <w:rsid w:val="009924A2"/>
    <w:rsid w:val="00995B44"/>
    <w:rsid w:val="00996F95"/>
    <w:rsid w:val="009A417C"/>
    <w:rsid w:val="009B4035"/>
    <w:rsid w:val="009B4AE1"/>
    <w:rsid w:val="009B760B"/>
    <w:rsid w:val="009C09E6"/>
    <w:rsid w:val="009C3702"/>
    <w:rsid w:val="009C4309"/>
    <w:rsid w:val="009C6327"/>
    <w:rsid w:val="009C7084"/>
    <w:rsid w:val="009D1ADB"/>
    <w:rsid w:val="009D45E6"/>
    <w:rsid w:val="009E0B23"/>
    <w:rsid w:val="009F66D6"/>
    <w:rsid w:val="009F688B"/>
    <w:rsid w:val="00A00A24"/>
    <w:rsid w:val="00A00C41"/>
    <w:rsid w:val="00A010D1"/>
    <w:rsid w:val="00A057A7"/>
    <w:rsid w:val="00A11CBA"/>
    <w:rsid w:val="00A235C9"/>
    <w:rsid w:val="00A24704"/>
    <w:rsid w:val="00A24B7E"/>
    <w:rsid w:val="00A270FB"/>
    <w:rsid w:val="00A272BB"/>
    <w:rsid w:val="00A27A82"/>
    <w:rsid w:val="00A33276"/>
    <w:rsid w:val="00A45A72"/>
    <w:rsid w:val="00A54834"/>
    <w:rsid w:val="00A57BE8"/>
    <w:rsid w:val="00A603AB"/>
    <w:rsid w:val="00A640A1"/>
    <w:rsid w:val="00A643DD"/>
    <w:rsid w:val="00A65978"/>
    <w:rsid w:val="00A84176"/>
    <w:rsid w:val="00A9296D"/>
    <w:rsid w:val="00A941A2"/>
    <w:rsid w:val="00AA2690"/>
    <w:rsid w:val="00AB2A72"/>
    <w:rsid w:val="00AB55AD"/>
    <w:rsid w:val="00AB5BC9"/>
    <w:rsid w:val="00AD267E"/>
    <w:rsid w:val="00AE0BAF"/>
    <w:rsid w:val="00AE4F19"/>
    <w:rsid w:val="00AE5FFB"/>
    <w:rsid w:val="00AF3D62"/>
    <w:rsid w:val="00AF3DD3"/>
    <w:rsid w:val="00AF4C6B"/>
    <w:rsid w:val="00AF64D1"/>
    <w:rsid w:val="00B217DB"/>
    <w:rsid w:val="00B22ECB"/>
    <w:rsid w:val="00B261CB"/>
    <w:rsid w:val="00B3254B"/>
    <w:rsid w:val="00B32D6B"/>
    <w:rsid w:val="00B3517C"/>
    <w:rsid w:val="00B457A0"/>
    <w:rsid w:val="00B474B2"/>
    <w:rsid w:val="00B5750C"/>
    <w:rsid w:val="00B5752C"/>
    <w:rsid w:val="00B60BAC"/>
    <w:rsid w:val="00B60FF0"/>
    <w:rsid w:val="00B6255B"/>
    <w:rsid w:val="00B63873"/>
    <w:rsid w:val="00B71A61"/>
    <w:rsid w:val="00B81D9F"/>
    <w:rsid w:val="00B82949"/>
    <w:rsid w:val="00BA5F12"/>
    <w:rsid w:val="00BA7D17"/>
    <w:rsid w:val="00BB1A20"/>
    <w:rsid w:val="00BB3228"/>
    <w:rsid w:val="00BB6575"/>
    <w:rsid w:val="00BC2185"/>
    <w:rsid w:val="00BD0097"/>
    <w:rsid w:val="00BD065B"/>
    <w:rsid w:val="00BD2CF0"/>
    <w:rsid w:val="00BD308B"/>
    <w:rsid w:val="00BD3390"/>
    <w:rsid w:val="00BF0C65"/>
    <w:rsid w:val="00BF44B3"/>
    <w:rsid w:val="00BF4E25"/>
    <w:rsid w:val="00C00009"/>
    <w:rsid w:val="00C00EA8"/>
    <w:rsid w:val="00C06E8A"/>
    <w:rsid w:val="00C07B0B"/>
    <w:rsid w:val="00C12A0B"/>
    <w:rsid w:val="00C17DDF"/>
    <w:rsid w:val="00C2109D"/>
    <w:rsid w:val="00C217F7"/>
    <w:rsid w:val="00C23265"/>
    <w:rsid w:val="00C23A14"/>
    <w:rsid w:val="00C257AA"/>
    <w:rsid w:val="00C37D09"/>
    <w:rsid w:val="00C4305C"/>
    <w:rsid w:val="00C5185F"/>
    <w:rsid w:val="00C53C29"/>
    <w:rsid w:val="00C56F46"/>
    <w:rsid w:val="00C672F3"/>
    <w:rsid w:val="00C67CFE"/>
    <w:rsid w:val="00C74D42"/>
    <w:rsid w:val="00C84E8D"/>
    <w:rsid w:val="00C85CEF"/>
    <w:rsid w:val="00C90576"/>
    <w:rsid w:val="00C941A7"/>
    <w:rsid w:val="00C97920"/>
    <w:rsid w:val="00CA1889"/>
    <w:rsid w:val="00CB7642"/>
    <w:rsid w:val="00CB7AB2"/>
    <w:rsid w:val="00CC7349"/>
    <w:rsid w:val="00CD310F"/>
    <w:rsid w:val="00CD36D2"/>
    <w:rsid w:val="00CD3804"/>
    <w:rsid w:val="00CE08FF"/>
    <w:rsid w:val="00CE3F30"/>
    <w:rsid w:val="00CE7876"/>
    <w:rsid w:val="00CF4D6D"/>
    <w:rsid w:val="00CF7D5F"/>
    <w:rsid w:val="00D10E50"/>
    <w:rsid w:val="00D12792"/>
    <w:rsid w:val="00D13715"/>
    <w:rsid w:val="00D1661F"/>
    <w:rsid w:val="00D30867"/>
    <w:rsid w:val="00D3172E"/>
    <w:rsid w:val="00D35929"/>
    <w:rsid w:val="00D37C20"/>
    <w:rsid w:val="00D408D7"/>
    <w:rsid w:val="00D43488"/>
    <w:rsid w:val="00D45EEE"/>
    <w:rsid w:val="00D46A12"/>
    <w:rsid w:val="00D5234F"/>
    <w:rsid w:val="00D53D61"/>
    <w:rsid w:val="00D67306"/>
    <w:rsid w:val="00D67F1A"/>
    <w:rsid w:val="00D74C56"/>
    <w:rsid w:val="00D76163"/>
    <w:rsid w:val="00D81CCD"/>
    <w:rsid w:val="00D82C7C"/>
    <w:rsid w:val="00D837C3"/>
    <w:rsid w:val="00D83B60"/>
    <w:rsid w:val="00D8510C"/>
    <w:rsid w:val="00D87C2E"/>
    <w:rsid w:val="00D91BCF"/>
    <w:rsid w:val="00D91C83"/>
    <w:rsid w:val="00D926E5"/>
    <w:rsid w:val="00D978ED"/>
    <w:rsid w:val="00D97CCD"/>
    <w:rsid w:val="00DA262A"/>
    <w:rsid w:val="00DB35D9"/>
    <w:rsid w:val="00DB3B77"/>
    <w:rsid w:val="00DB3BBA"/>
    <w:rsid w:val="00DB41AF"/>
    <w:rsid w:val="00DB57C8"/>
    <w:rsid w:val="00DC1087"/>
    <w:rsid w:val="00DC75FC"/>
    <w:rsid w:val="00DD1BAF"/>
    <w:rsid w:val="00DD5BC0"/>
    <w:rsid w:val="00DD7611"/>
    <w:rsid w:val="00DE6222"/>
    <w:rsid w:val="00DF097B"/>
    <w:rsid w:val="00DF6E1C"/>
    <w:rsid w:val="00E03256"/>
    <w:rsid w:val="00E06845"/>
    <w:rsid w:val="00E15166"/>
    <w:rsid w:val="00E236B0"/>
    <w:rsid w:val="00E24C86"/>
    <w:rsid w:val="00E24EA8"/>
    <w:rsid w:val="00E33B8F"/>
    <w:rsid w:val="00E35F28"/>
    <w:rsid w:val="00E46AE4"/>
    <w:rsid w:val="00E551DD"/>
    <w:rsid w:val="00E62630"/>
    <w:rsid w:val="00E632AF"/>
    <w:rsid w:val="00E6331F"/>
    <w:rsid w:val="00E65156"/>
    <w:rsid w:val="00E67BEF"/>
    <w:rsid w:val="00E70E15"/>
    <w:rsid w:val="00E72E2C"/>
    <w:rsid w:val="00E72FBC"/>
    <w:rsid w:val="00E764F5"/>
    <w:rsid w:val="00E76AF2"/>
    <w:rsid w:val="00E80286"/>
    <w:rsid w:val="00E80974"/>
    <w:rsid w:val="00E83E2B"/>
    <w:rsid w:val="00E85884"/>
    <w:rsid w:val="00E86759"/>
    <w:rsid w:val="00EC43B6"/>
    <w:rsid w:val="00EC4C70"/>
    <w:rsid w:val="00EC5047"/>
    <w:rsid w:val="00EC644A"/>
    <w:rsid w:val="00ED4476"/>
    <w:rsid w:val="00EE57C9"/>
    <w:rsid w:val="00EE5EC5"/>
    <w:rsid w:val="00EE6CA9"/>
    <w:rsid w:val="00EE7F72"/>
    <w:rsid w:val="00EF06DF"/>
    <w:rsid w:val="00EF5E00"/>
    <w:rsid w:val="00EF6C48"/>
    <w:rsid w:val="00F00A6C"/>
    <w:rsid w:val="00F0168C"/>
    <w:rsid w:val="00F03F15"/>
    <w:rsid w:val="00F04225"/>
    <w:rsid w:val="00F06757"/>
    <w:rsid w:val="00F14D6C"/>
    <w:rsid w:val="00F15363"/>
    <w:rsid w:val="00F21A60"/>
    <w:rsid w:val="00F303BA"/>
    <w:rsid w:val="00F33E19"/>
    <w:rsid w:val="00F41E01"/>
    <w:rsid w:val="00F42D85"/>
    <w:rsid w:val="00F432A0"/>
    <w:rsid w:val="00F517AD"/>
    <w:rsid w:val="00F53291"/>
    <w:rsid w:val="00F54B8E"/>
    <w:rsid w:val="00F6362F"/>
    <w:rsid w:val="00F67CDE"/>
    <w:rsid w:val="00F73FE3"/>
    <w:rsid w:val="00F76C69"/>
    <w:rsid w:val="00F7706B"/>
    <w:rsid w:val="00F7759A"/>
    <w:rsid w:val="00F804B8"/>
    <w:rsid w:val="00F82383"/>
    <w:rsid w:val="00F83B04"/>
    <w:rsid w:val="00F84DDB"/>
    <w:rsid w:val="00F85309"/>
    <w:rsid w:val="00F85EAD"/>
    <w:rsid w:val="00F85F44"/>
    <w:rsid w:val="00F87AB0"/>
    <w:rsid w:val="00F96BD3"/>
    <w:rsid w:val="00F96C3C"/>
    <w:rsid w:val="00FA4814"/>
    <w:rsid w:val="00FA52EA"/>
    <w:rsid w:val="00FB1F9F"/>
    <w:rsid w:val="00FB39C1"/>
    <w:rsid w:val="00FB432E"/>
    <w:rsid w:val="00FB61E1"/>
    <w:rsid w:val="00FB6C29"/>
    <w:rsid w:val="00FC3DA8"/>
    <w:rsid w:val="00FC43C9"/>
    <w:rsid w:val="00FC7434"/>
    <w:rsid w:val="00FD4492"/>
    <w:rsid w:val="00FD7A9F"/>
    <w:rsid w:val="00FE1C9A"/>
    <w:rsid w:val="00FE1F38"/>
    <w:rsid w:val="00FE2798"/>
    <w:rsid w:val="00FE5C0F"/>
    <w:rsid w:val="00FE7E20"/>
    <w:rsid w:val="00FF02A0"/>
    <w:rsid w:val="00FF356E"/>
    <w:rsid w:val="00FF577E"/>
    <w:rsid w:val="00FF73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112"/>
    <w:pPr>
      <w:spacing w:after="0" w:line="240" w:lineRule="auto"/>
      <w:jc w:val="both"/>
    </w:pPr>
    <w:rPr>
      <w:rFonts w:ascii="Calibri" w:eastAsia="Times New Roman" w:hAnsi="Calibri"/>
      <w:lang w:eastAsia="en-AU"/>
    </w:rPr>
  </w:style>
  <w:style w:type="paragraph" w:styleId="Heading2">
    <w:name w:val="heading 2"/>
    <w:aliases w:val="Subsection Headings"/>
    <w:basedOn w:val="Normal"/>
    <w:next w:val="Normal"/>
    <w:link w:val="Heading2Char"/>
    <w:uiPriority w:val="1"/>
    <w:unhideWhenUsed/>
    <w:qFormat/>
    <w:rsid w:val="008368D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odytext">
    <w:name w:val="3. Body text"/>
    <w:basedOn w:val="ListParagraph"/>
    <w:link w:val="3BodytextChar"/>
    <w:qFormat/>
    <w:rsid w:val="008368DE"/>
    <w:pPr>
      <w:spacing w:after="120"/>
      <w:ind w:left="0"/>
      <w:contextualSpacing w:val="0"/>
    </w:pPr>
    <w:rPr>
      <w:rFonts w:asciiTheme="minorHAnsi" w:hAnsiTheme="minorHAnsi" w:cstheme="minorBidi"/>
      <w:szCs w:val="22"/>
    </w:rPr>
  </w:style>
  <w:style w:type="paragraph" w:customStyle="1" w:styleId="2-SectionHeading">
    <w:name w:val="2-Section Heading"/>
    <w:qFormat/>
    <w:rsid w:val="008368DE"/>
    <w:pPr>
      <w:keepNext/>
      <w:spacing w:before="240" w:after="120" w:line="240" w:lineRule="auto"/>
      <w:outlineLvl w:val="0"/>
    </w:pPr>
    <w:rPr>
      <w:rFonts w:asciiTheme="minorHAnsi" w:eastAsia="Times New Roman" w:hAnsiTheme="minorHAnsi" w:cs="Arial"/>
      <w:b/>
      <w:snapToGrid w:val="0"/>
      <w:sz w:val="32"/>
      <w:szCs w:val="32"/>
      <w:lang w:eastAsia="en-AU"/>
    </w:rPr>
  </w:style>
  <w:style w:type="paragraph" w:styleId="ListParagraph">
    <w:name w:val="List Paragraph"/>
    <w:aliases w:val="BulletPoints,Numbered para,Body Text Bullet Points,List Paragraph1,Bullet point,List Paragraph11,Recommendation,Section heading,Footnote,Bullet1,Bullet 1,Bulleted - 2,1. Bullet Blank,Table Legend,Styl moj,Akapit z listą11,L,Bullet Point"/>
    <w:basedOn w:val="Normal"/>
    <w:link w:val="ListParagraphChar"/>
    <w:uiPriority w:val="34"/>
    <w:qFormat/>
    <w:rsid w:val="008368DE"/>
    <w:pPr>
      <w:ind w:left="720"/>
      <w:contextualSpacing/>
    </w:pPr>
  </w:style>
  <w:style w:type="table" w:styleId="TableGrid">
    <w:name w:val="Table Grid"/>
    <w:aliases w:val="Dossier table"/>
    <w:basedOn w:val="TableNormal"/>
    <w:uiPriority w:val="39"/>
    <w:rsid w:val="008368DE"/>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Bullet1 Char,Bullet 1 Char,Bulleted - 2 Char,L Char"/>
    <w:basedOn w:val="DefaultParagraphFont"/>
    <w:link w:val="ListParagraph"/>
    <w:uiPriority w:val="34"/>
    <w:qFormat/>
    <w:rsid w:val="008368DE"/>
  </w:style>
  <w:style w:type="paragraph" w:styleId="ListBullet">
    <w:name w:val="List Bullet"/>
    <w:basedOn w:val="Normal"/>
    <w:unhideWhenUsed/>
    <w:rsid w:val="008368DE"/>
    <w:pPr>
      <w:numPr>
        <w:numId w:val="2"/>
      </w:numPr>
      <w:contextualSpacing/>
    </w:pPr>
  </w:style>
  <w:style w:type="paragraph" w:customStyle="1" w:styleId="4-SubsectionHeading">
    <w:name w:val="4-Subsection Heading"/>
    <w:basedOn w:val="Heading2"/>
    <w:next w:val="Normal"/>
    <w:link w:val="4-SubsectionHeadingChar"/>
    <w:qFormat/>
    <w:rsid w:val="00C4305C"/>
    <w:pPr>
      <w:keepLines w:val="0"/>
      <w:spacing w:before="120" w:after="120"/>
    </w:pPr>
    <w:rPr>
      <w:rFonts w:asciiTheme="minorHAnsi" w:hAnsiTheme="minorHAnsi"/>
      <w:b/>
      <w:i/>
      <w:color w:val="auto"/>
      <w:spacing w:val="5"/>
      <w:kern w:val="28"/>
      <w:sz w:val="28"/>
      <w:szCs w:val="36"/>
    </w:rPr>
  </w:style>
  <w:style w:type="character" w:customStyle="1" w:styleId="4-SubsectionHeadingChar">
    <w:name w:val="4-Subsection Heading Char"/>
    <w:basedOn w:val="DefaultParagraphFont"/>
    <w:link w:val="4-SubsectionHeading"/>
    <w:rsid w:val="00C4305C"/>
    <w:rPr>
      <w:rFonts w:asciiTheme="minorHAnsi" w:eastAsiaTheme="majorEastAsia" w:hAnsiTheme="minorHAnsi" w:cstheme="majorBidi"/>
      <w:b/>
      <w:i/>
      <w:spacing w:val="5"/>
      <w:kern w:val="28"/>
      <w:sz w:val="28"/>
      <w:szCs w:val="36"/>
      <w:lang w:eastAsia="en-AU"/>
    </w:rPr>
  </w:style>
  <w:style w:type="character" w:customStyle="1" w:styleId="Heading2Char">
    <w:name w:val="Heading 2 Char"/>
    <w:aliases w:val="Subsection Headings Char"/>
    <w:basedOn w:val="DefaultParagraphFont"/>
    <w:link w:val="Heading2"/>
    <w:uiPriority w:val="1"/>
    <w:rsid w:val="008368DE"/>
    <w:rPr>
      <w:rFonts w:asciiTheme="majorHAnsi" w:eastAsiaTheme="majorEastAsia" w:hAnsiTheme="majorHAnsi" w:cstheme="majorBidi"/>
      <w:color w:val="2E74B5" w:themeColor="accent1" w:themeShade="BF"/>
      <w:sz w:val="26"/>
      <w:szCs w:val="26"/>
      <w:lang w:eastAsia="en-AU"/>
    </w:rPr>
  </w:style>
  <w:style w:type="character" w:customStyle="1" w:styleId="3BodytextChar">
    <w:name w:val="3. Body text Char"/>
    <w:basedOn w:val="ListParagraphChar"/>
    <w:link w:val="3Bodytext"/>
    <w:rsid w:val="008368DE"/>
    <w:rPr>
      <w:rFonts w:asciiTheme="minorHAnsi" w:eastAsia="Times New Roman" w:hAnsiTheme="minorHAnsi" w:cstheme="minorBidi"/>
      <w:szCs w:val="22"/>
      <w:lang w:eastAsia="en-AU"/>
    </w:rPr>
  </w:style>
  <w:style w:type="paragraph" w:customStyle="1" w:styleId="TableFooter">
    <w:name w:val="Table Footer"/>
    <w:basedOn w:val="Normal"/>
    <w:link w:val="TableFooterChar"/>
    <w:qFormat/>
    <w:rsid w:val="00DB3B77"/>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DB3B77"/>
    <w:rPr>
      <w:rFonts w:ascii="Arial Narrow" w:eastAsia="Times New Roman" w:hAnsi="Arial Narrow" w:cs="Arial"/>
      <w:snapToGrid w:val="0"/>
      <w:sz w:val="18"/>
      <w:szCs w:val="22"/>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DB3B77"/>
    <w:pPr>
      <w:widowControl w:val="0"/>
    </w:pPr>
    <w:rPr>
      <w:rFonts w:ascii="Arial Narrow" w:hAnsi="Arial Narrow" w:cs="Arial"/>
      <w:b/>
      <w:bCs/>
      <w:snapToGrid w:val="0"/>
      <w:sz w:val="20"/>
      <w:szCs w:val="18"/>
      <w:lang w:eastAsia="en-US"/>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DB3B77"/>
    <w:rPr>
      <w:rFonts w:ascii="Arial Narrow" w:eastAsia="Times New Roman" w:hAnsi="Arial Narrow" w:cs="Arial"/>
      <w:b/>
      <w:bCs/>
      <w:snapToGrid w:val="0"/>
      <w:sz w:val="20"/>
      <w:szCs w:val="18"/>
    </w:rPr>
  </w:style>
  <w:style w:type="paragraph" w:customStyle="1" w:styleId="Tabletext">
    <w:name w:val="Table text"/>
    <w:basedOn w:val="Normal"/>
    <w:link w:val="TabletextChar"/>
    <w:uiPriority w:val="2"/>
    <w:qFormat/>
    <w:rsid w:val="00DB3B77"/>
    <w:pPr>
      <w:jc w:val="left"/>
    </w:pPr>
    <w:rPr>
      <w:rFonts w:ascii="Arial Narrow" w:hAnsi="Arial Narrow"/>
      <w:sz w:val="20"/>
      <w:szCs w:val="22"/>
      <w:lang w:eastAsia="en-US"/>
    </w:rPr>
  </w:style>
  <w:style w:type="character" w:customStyle="1" w:styleId="TabletextChar">
    <w:name w:val="Table text Char"/>
    <w:link w:val="Tabletext"/>
    <w:uiPriority w:val="2"/>
    <w:rsid w:val="00DB3B77"/>
    <w:rPr>
      <w:rFonts w:ascii="Arial Narrow" w:eastAsia="Times New Roman" w:hAnsi="Arial Narrow"/>
      <w:sz w:val="20"/>
      <w:szCs w:val="22"/>
    </w:rPr>
  </w:style>
  <w:style w:type="paragraph" w:customStyle="1" w:styleId="TableNotesLast">
    <w:name w:val="TableNotesLast"/>
    <w:basedOn w:val="Normal"/>
    <w:qFormat/>
    <w:rsid w:val="00307404"/>
    <w:pPr>
      <w:widowControl w:val="0"/>
      <w:jc w:val="left"/>
    </w:pPr>
    <w:rPr>
      <w:rFonts w:asciiTheme="minorHAnsi" w:eastAsiaTheme="minorHAnsi" w:hAnsiTheme="minorHAnsi" w:cstheme="minorBidi"/>
      <w:sz w:val="16"/>
      <w:szCs w:val="22"/>
      <w:lang w:eastAsia="en-US"/>
    </w:rPr>
  </w:style>
  <w:style w:type="paragraph" w:customStyle="1" w:styleId="TableText0">
    <w:name w:val="TableText"/>
    <w:basedOn w:val="Normal"/>
    <w:link w:val="TableTextChar0"/>
    <w:qFormat/>
    <w:rsid w:val="00307404"/>
    <w:pPr>
      <w:keepNext/>
      <w:keepLines/>
      <w:widowControl w:val="0"/>
      <w:spacing w:after="60"/>
      <w:jc w:val="center"/>
    </w:pPr>
    <w:rPr>
      <w:color w:val="000000"/>
      <w:sz w:val="18"/>
      <w:szCs w:val="21"/>
    </w:rPr>
  </w:style>
  <w:style w:type="character" w:customStyle="1" w:styleId="TableTextChar0">
    <w:name w:val="TableText Char"/>
    <w:basedOn w:val="DefaultParagraphFont"/>
    <w:link w:val="TableText0"/>
    <w:rsid w:val="00307404"/>
    <w:rPr>
      <w:rFonts w:ascii="Calibri" w:eastAsia="Times New Roman" w:hAnsi="Calibri"/>
      <w:color w:val="000000"/>
      <w:sz w:val="18"/>
      <w:szCs w:val="21"/>
      <w:lang w:eastAsia="en-AU"/>
    </w:rPr>
  </w:style>
  <w:style w:type="table" w:styleId="GridTable1Light-Accent1">
    <w:name w:val="Grid Table 1 Light Accent 1"/>
    <w:basedOn w:val="TableNormal"/>
    <w:uiPriority w:val="46"/>
    <w:rsid w:val="00307404"/>
    <w:pPr>
      <w:keepNext/>
      <w:keepLines/>
      <w:spacing w:after="0" w:line="240" w:lineRule="auto"/>
    </w:pPr>
    <w:rPr>
      <w:rFonts w:asciiTheme="minorHAnsi" w:hAnsiTheme="minorHAnsi" w:cstheme="minorBidi"/>
      <w:sz w:val="22"/>
      <w:szCs w:val="22"/>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CommentReference">
    <w:name w:val="annotation reference"/>
    <w:aliases w:val="Table Title"/>
    <w:basedOn w:val="DefaultParagraphFont"/>
    <w:uiPriority w:val="99"/>
    <w:unhideWhenUsed/>
    <w:qFormat/>
    <w:rsid w:val="0086340F"/>
    <w:rPr>
      <w:sz w:val="16"/>
      <w:szCs w:val="16"/>
    </w:rPr>
  </w:style>
  <w:style w:type="paragraph" w:styleId="CommentText">
    <w:name w:val="annotation text"/>
    <w:basedOn w:val="Normal"/>
    <w:link w:val="CommentTextChar"/>
    <w:unhideWhenUsed/>
    <w:rsid w:val="0086340F"/>
    <w:rPr>
      <w:sz w:val="20"/>
      <w:szCs w:val="20"/>
    </w:rPr>
  </w:style>
  <w:style w:type="character" w:customStyle="1" w:styleId="CommentTextChar">
    <w:name w:val="Comment Text Char"/>
    <w:basedOn w:val="DefaultParagraphFont"/>
    <w:link w:val="CommentText"/>
    <w:rsid w:val="0086340F"/>
    <w:rPr>
      <w:rFonts w:ascii="Calibri" w:eastAsia="Times New Roman" w:hAnsi="Calibri"/>
      <w:sz w:val="20"/>
      <w:szCs w:val="20"/>
      <w:lang w:eastAsia="en-AU"/>
    </w:rPr>
  </w:style>
  <w:style w:type="paragraph" w:styleId="CommentSubject">
    <w:name w:val="annotation subject"/>
    <w:basedOn w:val="CommentText"/>
    <w:next w:val="CommentText"/>
    <w:link w:val="CommentSubjectChar"/>
    <w:uiPriority w:val="99"/>
    <w:semiHidden/>
    <w:unhideWhenUsed/>
    <w:rsid w:val="0086340F"/>
    <w:rPr>
      <w:b/>
      <w:bCs/>
    </w:rPr>
  </w:style>
  <w:style w:type="character" w:customStyle="1" w:styleId="CommentSubjectChar">
    <w:name w:val="Comment Subject Char"/>
    <w:basedOn w:val="CommentTextChar"/>
    <w:link w:val="CommentSubject"/>
    <w:uiPriority w:val="99"/>
    <w:semiHidden/>
    <w:rsid w:val="0086340F"/>
    <w:rPr>
      <w:rFonts w:ascii="Calibri" w:eastAsia="Times New Roman" w:hAnsi="Calibri"/>
      <w:b/>
      <w:bCs/>
      <w:sz w:val="20"/>
      <w:szCs w:val="20"/>
      <w:lang w:eastAsia="en-AU"/>
    </w:rPr>
  </w:style>
  <w:style w:type="paragraph" w:styleId="BalloonText">
    <w:name w:val="Balloon Text"/>
    <w:basedOn w:val="Normal"/>
    <w:link w:val="BalloonTextChar"/>
    <w:uiPriority w:val="99"/>
    <w:semiHidden/>
    <w:unhideWhenUsed/>
    <w:rsid w:val="008634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40F"/>
    <w:rPr>
      <w:rFonts w:ascii="Segoe UI" w:eastAsia="Times New Roman" w:hAnsi="Segoe UI" w:cs="Segoe UI"/>
      <w:sz w:val="18"/>
      <w:szCs w:val="18"/>
      <w:lang w:eastAsia="en-AU"/>
    </w:rPr>
  </w:style>
  <w:style w:type="paragraph" w:styleId="Header">
    <w:name w:val="header"/>
    <w:basedOn w:val="Normal"/>
    <w:link w:val="HeaderChar"/>
    <w:uiPriority w:val="99"/>
    <w:unhideWhenUsed/>
    <w:rsid w:val="00DD5BC0"/>
    <w:pPr>
      <w:tabs>
        <w:tab w:val="center" w:pos="4513"/>
        <w:tab w:val="right" w:pos="9026"/>
      </w:tabs>
    </w:pPr>
  </w:style>
  <w:style w:type="character" w:customStyle="1" w:styleId="HeaderChar">
    <w:name w:val="Header Char"/>
    <w:basedOn w:val="DefaultParagraphFont"/>
    <w:link w:val="Header"/>
    <w:uiPriority w:val="99"/>
    <w:rsid w:val="00DD5BC0"/>
    <w:rPr>
      <w:rFonts w:ascii="Calibri" w:eastAsia="Times New Roman" w:hAnsi="Calibri"/>
      <w:lang w:eastAsia="en-AU"/>
    </w:rPr>
  </w:style>
  <w:style w:type="paragraph" w:styleId="Footer">
    <w:name w:val="footer"/>
    <w:basedOn w:val="Normal"/>
    <w:link w:val="FooterChar"/>
    <w:uiPriority w:val="99"/>
    <w:unhideWhenUsed/>
    <w:rsid w:val="00DD5BC0"/>
    <w:pPr>
      <w:tabs>
        <w:tab w:val="center" w:pos="4513"/>
        <w:tab w:val="right" w:pos="9026"/>
      </w:tabs>
    </w:pPr>
  </w:style>
  <w:style w:type="character" w:customStyle="1" w:styleId="FooterChar">
    <w:name w:val="Footer Char"/>
    <w:basedOn w:val="DefaultParagraphFont"/>
    <w:link w:val="Footer"/>
    <w:uiPriority w:val="99"/>
    <w:rsid w:val="00DD5BC0"/>
    <w:rPr>
      <w:rFonts w:ascii="Calibri" w:eastAsia="Times New Roman" w:hAnsi="Calibri"/>
      <w:lang w:eastAsia="en-AU"/>
    </w:rPr>
  </w:style>
  <w:style w:type="paragraph" w:customStyle="1" w:styleId="1MainTitle">
    <w:name w:val="1. Main Title"/>
    <w:basedOn w:val="Title"/>
    <w:link w:val="1MainTitleChar"/>
    <w:qFormat/>
    <w:rsid w:val="00A010D1"/>
    <w:pPr>
      <w:spacing w:before="120" w:after="160"/>
      <w:ind w:left="720" w:hanging="720"/>
      <w:outlineLvl w:val="0"/>
    </w:pPr>
    <w:rPr>
      <w:rFonts w:asciiTheme="minorHAnsi" w:hAnsiTheme="minorHAnsi"/>
      <w:b/>
      <w:spacing w:val="5"/>
      <w:sz w:val="36"/>
      <w:szCs w:val="36"/>
    </w:rPr>
  </w:style>
  <w:style w:type="character" w:customStyle="1" w:styleId="1MainTitleChar">
    <w:name w:val="1. Main Title Char"/>
    <w:basedOn w:val="TitleChar"/>
    <w:link w:val="1MainTitle"/>
    <w:rsid w:val="00A010D1"/>
    <w:rPr>
      <w:rFonts w:asciiTheme="minorHAnsi" w:eastAsiaTheme="majorEastAsia" w:hAnsiTheme="minorHAnsi" w:cstheme="majorBidi"/>
      <w:b/>
      <w:spacing w:val="5"/>
      <w:kern w:val="28"/>
      <w:sz w:val="36"/>
      <w:szCs w:val="36"/>
      <w:lang w:eastAsia="en-AU"/>
    </w:rPr>
  </w:style>
  <w:style w:type="paragraph" w:styleId="Title">
    <w:name w:val="Title"/>
    <w:basedOn w:val="Normal"/>
    <w:next w:val="Normal"/>
    <w:link w:val="TitleChar"/>
    <w:uiPriority w:val="10"/>
    <w:qFormat/>
    <w:rsid w:val="00A010D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0D1"/>
    <w:rPr>
      <w:rFonts w:asciiTheme="majorHAnsi" w:eastAsiaTheme="majorEastAsia" w:hAnsiTheme="majorHAnsi" w:cstheme="majorBidi"/>
      <w:spacing w:val="-10"/>
      <w:kern w:val="28"/>
      <w:sz w:val="56"/>
      <w:szCs w:val="56"/>
      <w:lang w:eastAsia="en-AU"/>
    </w:rPr>
  </w:style>
  <w:style w:type="paragraph" w:customStyle="1" w:styleId="Tabletitles">
    <w:name w:val="Table titles"/>
    <w:basedOn w:val="NoSpacing"/>
    <w:link w:val="TabletitlesChar"/>
    <w:qFormat/>
    <w:rsid w:val="00BF44B3"/>
    <w:pPr>
      <w:spacing w:after="60"/>
    </w:pPr>
    <w:rPr>
      <w:rFonts w:ascii="Arial Narrow" w:hAnsi="Arial Narrow"/>
      <w:b/>
      <w:sz w:val="20"/>
      <w:szCs w:val="22"/>
    </w:rPr>
  </w:style>
  <w:style w:type="character" w:customStyle="1" w:styleId="TabletitlesChar">
    <w:name w:val="Table titles Char"/>
    <w:basedOn w:val="DefaultParagraphFont"/>
    <w:link w:val="Tabletitles"/>
    <w:rsid w:val="00BF44B3"/>
    <w:rPr>
      <w:rFonts w:ascii="Arial Narrow" w:eastAsia="Times New Roman" w:hAnsi="Arial Narrow"/>
      <w:b/>
      <w:sz w:val="20"/>
      <w:szCs w:val="22"/>
      <w:lang w:eastAsia="en-AU"/>
    </w:rPr>
  </w:style>
  <w:style w:type="paragraph" w:customStyle="1" w:styleId="TableText1">
    <w:name w:val="Table Text"/>
    <w:link w:val="TableTextChar1"/>
    <w:qFormat/>
    <w:rsid w:val="00BF44B3"/>
    <w:pPr>
      <w:keepNext/>
      <w:spacing w:after="0" w:line="240" w:lineRule="auto"/>
    </w:pPr>
    <w:rPr>
      <w:rFonts w:ascii="Arial Narrow" w:eastAsiaTheme="majorEastAsia" w:hAnsi="Arial Narrow" w:cstheme="majorBidi"/>
      <w:bCs/>
      <w:sz w:val="20"/>
      <w:lang w:eastAsia="en-AU"/>
    </w:rPr>
  </w:style>
  <w:style w:type="character" w:customStyle="1" w:styleId="TableTextChar1">
    <w:name w:val="Table Text Char"/>
    <w:basedOn w:val="DefaultParagraphFont"/>
    <w:link w:val="TableText1"/>
    <w:rsid w:val="00BF44B3"/>
    <w:rPr>
      <w:rFonts w:ascii="Arial Narrow" w:eastAsiaTheme="majorEastAsia" w:hAnsi="Arial Narrow" w:cstheme="majorBidi"/>
      <w:bCs/>
      <w:sz w:val="20"/>
      <w:lang w:eastAsia="en-AU"/>
    </w:rPr>
  </w:style>
  <w:style w:type="paragraph" w:customStyle="1" w:styleId="TableFigureFooter">
    <w:name w:val="Table/Figure Footer"/>
    <w:basedOn w:val="Normal"/>
    <w:link w:val="TableFigureFooterChar"/>
    <w:qFormat/>
    <w:rsid w:val="00BF44B3"/>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BF44B3"/>
    <w:rPr>
      <w:rFonts w:ascii="Arial Narrow" w:eastAsia="Times New Roman" w:hAnsi="Arial Narrow" w:cs="Arial"/>
      <w:snapToGrid w:val="0"/>
      <w:sz w:val="18"/>
      <w:szCs w:val="22"/>
      <w:lang w:eastAsia="en-AU"/>
    </w:rPr>
  </w:style>
  <w:style w:type="character" w:customStyle="1" w:styleId="SmallBold">
    <w:name w:val="Small Bold"/>
    <w:basedOn w:val="DefaultParagraphFont"/>
    <w:uiPriority w:val="4"/>
    <w:qFormat/>
    <w:rsid w:val="00BF44B3"/>
    <w:rPr>
      <w:rFonts w:ascii="Candara" w:hAnsi="Candara"/>
      <w:b/>
      <w:sz w:val="20"/>
      <w:lang w:val="en-AU"/>
    </w:rPr>
  </w:style>
  <w:style w:type="paragraph" w:styleId="NoSpacing">
    <w:name w:val="No Spacing"/>
    <w:uiPriority w:val="1"/>
    <w:qFormat/>
    <w:rsid w:val="00BF44B3"/>
    <w:pPr>
      <w:spacing w:after="0" w:line="240" w:lineRule="auto"/>
      <w:jc w:val="both"/>
    </w:pPr>
    <w:rPr>
      <w:rFonts w:ascii="Calibri" w:eastAsia="Times New Roman" w:hAnsi="Calibri"/>
      <w:lang w:eastAsia="en-AU"/>
    </w:rPr>
  </w:style>
  <w:style w:type="paragraph" w:customStyle="1" w:styleId="PBACFooter">
    <w:name w:val="PBAC Footer"/>
    <w:basedOn w:val="Footer"/>
    <w:link w:val="PBACFooterChar"/>
    <w:qFormat/>
    <w:rsid w:val="00CB7642"/>
    <w:pPr>
      <w:tabs>
        <w:tab w:val="clear" w:pos="4513"/>
        <w:tab w:val="clear" w:pos="9026"/>
        <w:tab w:val="center" w:pos="4153"/>
        <w:tab w:val="right" w:pos="8306"/>
      </w:tabs>
      <w:jc w:val="center"/>
    </w:pPr>
    <w:rPr>
      <w:rFonts w:ascii="Arial" w:hAnsi="Arial" w:cs="Arial"/>
      <w:b/>
      <w:sz w:val="20"/>
      <w:szCs w:val="20"/>
    </w:rPr>
  </w:style>
  <w:style w:type="character" w:customStyle="1" w:styleId="PBACFooterChar">
    <w:name w:val="PBAC Footer Char"/>
    <w:basedOn w:val="FooterChar"/>
    <w:link w:val="PBACFooter"/>
    <w:rsid w:val="00CB7642"/>
    <w:rPr>
      <w:rFonts w:ascii="Arial" w:eastAsia="Times New Roman" w:hAnsi="Arial" w:cs="Arial"/>
      <w:b/>
      <w:sz w:val="20"/>
      <w:szCs w:val="20"/>
      <w:lang w:eastAsia="en-AU"/>
    </w:rPr>
  </w:style>
  <w:style w:type="character" w:styleId="Hyperlink">
    <w:name w:val="Hyperlink"/>
    <w:basedOn w:val="DefaultParagraphFont"/>
    <w:uiPriority w:val="99"/>
    <w:unhideWhenUsed/>
    <w:rsid w:val="0059545F"/>
    <w:rPr>
      <w:color w:val="0563C1" w:themeColor="hyperlink"/>
      <w:u w:val="single"/>
    </w:rPr>
  </w:style>
  <w:style w:type="paragraph" w:customStyle="1" w:styleId="Bodytextitalics">
    <w:name w:val="Body text italics"/>
    <w:basedOn w:val="BodyText"/>
    <w:qFormat/>
    <w:rsid w:val="00876DCB"/>
    <w:rPr>
      <w:rFonts w:asciiTheme="minorHAnsi" w:eastAsiaTheme="minorHAnsi" w:hAnsiTheme="minorHAnsi" w:cstheme="minorBidi"/>
      <w:i/>
      <w:szCs w:val="22"/>
    </w:rPr>
  </w:style>
  <w:style w:type="paragraph" w:styleId="BodyText">
    <w:name w:val="Body Text"/>
    <w:basedOn w:val="Normal"/>
    <w:link w:val="BodyTextChar"/>
    <w:uiPriority w:val="99"/>
    <w:semiHidden/>
    <w:unhideWhenUsed/>
    <w:rsid w:val="00876DCB"/>
    <w:pPr>
      <w:spacing w:after="120"/>
    </w:pPr>
  </w:style>
  <w:style w:type="character" w:customStyle="1" w:styleId="BodyTextChar">
    <w:name w:val="Body Text Char"/>
    <w:basedOn w:val="DefaultParagraphFont"/>
    <w:link w:val="BodyText"/>
    <w:uiPriority w:val="99"/>
    <w:semiHidden/>
    <w:rsid w:val="00876DCB"/>
    <w:rPr>
      <w:rFonts w:ascii="Calibri" w:eastAsia="Times New Roman" w:hAnsi="Calibri"/>
      <w:lang w:eastAsia="en-AU"/>
    </w:rPr>
  </w:style>
  <w:style w:type="paragraph" w:styleId="FootnoteText">
    <w:name w:val="footnote text"/>
    <w:basedOn w:val="Normal"/>
    <w:link w:val="FootnoteTextChar"/>
    <w:uiPriority w:val="99"/>
    <w:semiHidden/>
    <w:unhideWhenUsed/>
    <w:rsid w:val="0045335A"/>
    <w:rPr>
      <w:sz w:val="20"/>
      <w:szCs w:val="20"/>
    </w:rPr>
  </w:style>
  <w:style w:type="character" w:customStyle="1" w:styleId="FootnoteTextChar">
    <w:name w:val="Footnote Text Char"/>
    <w:basedOn w:val="DefaultParagraphFont"/>
    <w:link w:val="FootnoteText"/>
    <w:uiPriority w:val="99"/>
    <w:semiHidden/>
    <w:rsid w:val="0045335A"/>
    <w:rPr>
      <w:rFonts w:ascii="Calibri" w:eastAsia="Times New Roman" w:hAnsi="Calibri"/>
      <w:sz w:val="20"/>
      <w:szCs w:val="20"/>
      <w:lang w:eastAsia="en-AU"/>
    </w:rPr>
  </w:style>
  <w:style w:type="character" w:styleId="FootnoteReference">
    <w:name w:val="footnote reference"/>
    <w:basedOn w:val="DefaultParagraphFont"/>
    <w:uiPriority w:val="99"/>
    <w:semiHidden/>
    <w:unhideWhenUsed/>
    <w:rsid w:val="0045335A"/>
    <w:rPr>
      <w:vertAlign w:val="superscript"/>
    </w:rPr>
  </w:style>
  <w:style w:type="character" w:styleId="FollowedHyperlink">
    <w:name w:val="FollowedHyperlink"/>
    <w:basedOn w:val="DefaultParagraphFont"/>
    <w:uiPriority w:val="99"/>
    <w:semiHidden/>
    <w:unhideWhenUsed/>
    <w:rsid w:val="00FE5C0F"/>
    <w:rPr>
      <w:color w:val="954F72" w:themeColor="followedHyperlink"/>
      <w:u w:val="single"/>
    </w:rPr>
  </w:style>
  <w:style w:type="paragraph" w:customStyle="1" w:styleId="Default">
    <w:name w:val="Default"/>
    <w:rsid w:val="00BD2CF0"/>
    <w:pPr>
      <w:autoSpaceDE w:val="0"/>
      <w:autoSpaceDN w:val="0"/>
      <w:adjustRightInd w:val="0"/>
      <w:spacing w:after="0" w:line="240" w:lineRule="auto"/>
    </w:pPr>
    <w:rPr>
      <w:rFonts w:ascii="Arial" w:hAnsi="Arial" w:cs="Arial"/>
      <w:color w:val="000000"/>
    </w:rPr>
  </w:style>
  <w:style w:type="paragraph" w:customStyle="1" w:styleId="PBACHeading1">
    <w:name w:val="PBAC Heading 1"/>
    <w:qFormat/>
    <w:rsid w:val="00310B7F"/>
    <w:pPr>
      <w:spacing w:before="240" w:after="120" w:line="240" w:lineRule="auto"/>
      <w:ind w:left="720" w:hanging="720"/>
      <w:outlineLvl w:val="0"/>
    </w:pPr>
    <w:rPr>
      <w:rFonts w:ascii="Calibri" w:eastAsia="Times New Roman" w:hAnsi="Calibri" w:cs="Arial"/>
      <w:b/>
      <w:snapToGrid w:val="0"/>
      <w:sz w:val="32"/>
      <w:szCs w:val="22"/>
    </w:rPr>
  </w:style>
  <w:style w:type="character" w:customStyle="1" w:styleId="text-widget3">
    <w:name w:val="text-widget3"/>
    <w:basedOn w:val="DefaultParagraphFont"/>
    <w:rsid w:val="0067224F"/>
  </w:style>
  <w:style w:type="paragraph" w:styleId="Revision">
    <w:name w:val="Revision"/>
    <w:hidden/>
    <w:uiPriority w:val="99"/>
    <w:semiHidden/>
    <w:rsid w:val="00FE7E20"/>
    <w:pPr>
      <w:spacing w:after="0" w:line="240" w:lineRule="auto"/>
    </w:pPr>
    <w:rPr>
      <w:rFonts w:ascii="Calibri" w:eastAsia="Times New Roman" w:hAnsi="Calibri"/>
      <w:lang w:eastAsia="en-AU"/>
    </w:rPr>
  </w:style>
  <w:style w:type="paragraph" w:customStyle="1" w:styleId="3-BodyText">
    <w:name w:val="3-Body Text"/>
    <w:link w:val="3-BodyTextChar"/>
    <w:qFormat/>
    <w:rsid w:val="00616691"/>
    <w:pPr>
      <w:keepNext/>
      <w:spacing w:before="120" w:after="120" w:line="240" w:lineRule="auto"/>
    </w:pPr>
    <w:rPr>
      <w:rFonts w:asciiTheme="minorHAnsi" w:hAnsiTheme="minorHAnsi" w:cstheme="minorBidi"/>
      <w:szCs w:val="22"/>
    </w:rPr>
  </w:style>
  <w:style w:type="character" w:customStyle="1" w:styleId="3-BodyTextChar">
    <w:name w:val="3-Body Text Char"/>
    <w:basedOn w:val="DefaultParagraphFont"/>
    <w:link w:val="3-BodyText"/>
    <w:rsid w:val="00616691"/>
    <w:rPr>
      <w:rFonts w:asciiTheme="minorHAnsi" w:hAnsiTheme="minorHAnsi" w:cstheme="minorBidi"/>
      <w:szCs w:val="22"/>
    </w:rPr>
  </w:style>
  <w:style w:type="paragraph" w:customStyle="1" w:styleId="2Sections">
    <w:name w:val="2. Sections"/>
    <w:qFormat/>
    <w:rsid w:val="009A417C"/>
    <w:pPr>
      <w:spacing w:before="240" w:after="120" w:line="240" w:lineRule="auto"/>
      <w:ind w:left="720" w:hanging="720"/>
      <w:outlineLvl w:val="0"/>
    </w:pPr>
    <w:rPr>
      <w:rFonts w:asciiTheme="minorHAnsi" w:eastAsia="Times New Roman" w:hAnsiTheme="minorHAnsi" w:cs="Arial"/>
      <w:b/>
      <w:snapToGrid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73020">
      <w:bodyDiv w:val="1"/>
      <w:marLeft w:val="0"/>
      <w:marRight w:val="0"/>
      <w:marTop w:val="0"/>
      <w:marBottom w:val="0"/>
      <w:divBdr>
        <w:top w:val="none" w:sz="0" w:space="0" w:color="auto"/>
        <w:left w:val="none" w:sz="0" w:space="0" w:color="auto"/>
        <w:bottom w:val="none" w:sz="0" w:space="0" w:color="auto"/>
        <w:right w:val="none" w:sz="0" w:space="0" w:color="auto"/>
      </w:divBdr>
    </w:div>
    <w:div w:id="952249491">
      <w:bodyDiv w:val="1"/>
      <w:marLeft w:val="0"/>
      <w:marRight w:val="0"/>
      <w:marTop w:val="0"/>
      <w:marBottom w:val="0"/>
      <w:divBdr>
        <w:top w:val="none" w:sz="0" w:space="0" w:color="auto"/>
        <w:left w:val="none" w:sz="0" w:space="0" w:color="auto"/>
        <w:bottom w:val="none" w:sz="0" w:space="0" w:color="auto"/>
        <w:right w:val="none" w:sz="0" w:space="0" w:color="auto"/>
      </w:divBdr>
    </w:div>
    <w:div w:id="1041519258">
      <w:bodyDiv w:val="1"/>
      <w:marLeft w:val="0"/>
      <w:marRight w:val="0"/>
      <w:marTop w:val="0"/>
      <w:marBottom w:val="0"/>
      <w:divBdr>
        <w:top w:val="none" w:sz="0" w:space="0" w:color="auto"/>
        <w:left w:val="none" w:sz="0" w:space="0" w:color="auto"/>
        <w:bottom w:val="none" w:sz="0" w:space="0" w:color="auto"/>
        <w:right w:val="none" w:sz="0" w:space="0" w:color="auto"/>
      </w:divBdr>
      <w:divsChild>
        <w:div w:id="513954580">
          <w:marLeft w:val="0"/>
          <w:marRight w:val="0"/>
          <w:marTop w:val="0"/>
          <w:marBottom w:val="0"/>
          <w:divBdr>
            <w:top w:val="none" w:sz="0" w:space="0" w:color="auto"/>
            <w:left w:val="none" w:sz="0" w:space="0" w:color="auto"/>
            <w:bottom w:val="none" w:sz="0" w:space="0" w:color="auto"/>
            <w:right w:val="none" w:sz="0" w:space="0" w:color="auto"/>
          </w:divBdr>
          <w:divsChild>
            <w:div w:id="351684894">
              <w:marLeft w:val="0"/>
              <w:marRight w:val="0"/>
              <w:marTop w:val="0"/>
              <w:marBottom w:val="0"/>
              <w:divBdr>
                <w:top w:val="none" w:sz="0" w:space="0" w:color="auto"/>
                <w:left w:val="none" w:sz="0" w:space="0" w:color="auto"/>
                <w:bottom w:val="none" w:sz="0" w:space="0" w:color="auto"/>
                <w:right w:val="none" w:sz="0" w:space="0" w:color="auto"/>
              </w:divBdr>
              <w:divsChild>
                <w:div w:id="1084567242">
                  <w:marLeft w:val="0"/>
                  <w:marRight w:val="0"/>
                  <w:marTop w:val="0"/>
                  <w:marBottom w:val="0"/>
                  <w:divBdr>
                    <w:top w:val="none" w:sz="0" w:space="0" w:color="auto"/>
                    <w:left w:val="none" w:sz="0" w:space="0" w:color="auto"/>
                    <w:bottom w:val="none" w:sz="0" w:space="0" w:color="auto"/>
                    <w:right w:val="none" w:sz="0" w:space="0" w:color="auto"/>
                  </w:divBdr>
                  <w:divsChild>
                    <w:div w:id="1852986606">
                      <w:marLeft w:val="0"/>
                      <w:marRight w:val="0"/>
                      <w:marTop w:val="0"/>
                      <w:marBottom w:val="240"/>
                      <w:divBdr>
                        <w:top w:val="single" w:sz="6" w:space="0" w:color="DDDDDD"/>
                        <w:left w:val="none" w:sz="0" w:space="0" w:color="auto"/>
                        <w:bottom w:val="none" w:sz="0" w:space="0" w:color="auto"/>
                        <w:right w:val="none" w:sz="0" w:space="0" w:color="auto"/>
                      </w:divBdr>
                      <w:divsChild>
                        <w:div w:id="2117744974">
                          <w:marLeft w:val="0"/>
                          <w:marRight w:val="0"/>
                          <w:marTop w:val="0"/>
                          <w:marBottom w:val="0"/>
                          <w:divBdr>
                            <w:top w:val="none" w:sz="0" w:space="0" w:color="auto"/>
                            <w:left w:val="none" w:sz="0" w:space="0" w:color="auto"/>
                            <w:bottom w:val="none" w:sz="0" w:space="0" w:color="auto"/>
                            <w:right w:val="none" w:sz="0" w:space="0" w:color="auto"/>
                          </w:divBdr>
                          <w:divsChild>
                            <w:div w:id="1452896304">
                              <w:marLeft w:val="0"/>
                              <w:marRight w:val="0"/>
                              <w:marTop w:val="0"/>
                              <w:marBottom w:val="0"/>
                              <w:divBdr>
                                <w:top w:val="none" w:sz="0" w:space="0" w:color="auto"/>
                                <w:left w:val="none" w:sz="0" w:space="0" w:color="auto"/>
                                <w:bottom w:val="none" w:sz="0" w:space="0" w:color="auto"/>
                                <w:right w:val="none" w:sz="0" w:space="0" w:color="auto"/>
                              </w:divBdr>
                              <w:divsChild>
                                <w:div w:id="1799907321">
                                  <w:marLeft w:val="0"/>
                                  <w:marRight w:val="0"/>
                                  <w:marTop w:val="0"/>
                                  <w:marBottom w:val="240"/>
                                  <w:divBdr>
                                    <w:top w:val="single" w:sz="6" w:space="0" w:color="DDDDDD"/>
                                    <w:left w:val="none" w:sz="0" w:space="0" w:color="auto"/>
                                    <w:bottom w:val="none" w:sz="0" w:space="0" w:color="auto"/>
                                    <w:right w:val="none" w:sz="0" w:space="0" w:color="auto"/>
                                  </w:divBdr>
                                  <w:divsChild>
                                    <w:div w:id="14886137">
                                      <w:marLeft w:val="0"/>
                                      <w:marRight w:val="0"/>
                                      <w:marTop w:val="0"/>
                                      <w:marBottom w:val="0"/>
                                      <w:divBdr>
                                        <w:top w:val="none" w:sz="0" w:space="0" w:color="auto"/>
                                        <w:left w:val="none" w:sz="0" w:space="0" w:color="auto"/>
                                        <w:bottom w:val="none" w:sz="0" w:space="0" w:color="auto"/>
                                        <w:right w:val="none" w:sz="0" w:space="0" w:color="auto"/>
                                      </w:divBdr>
                                      <w:divsChild>
                                        <w:div w:id="739326117">
                                          <w:marLeft w:val="0"/>
                                          <w:marRight w:val="0"/>
                                          <w:marTop w:val="0"/>
                                          <w:marBottom w:val="0"/>
                                          <w:divBdr>
                                            <w:top w:val="none" w:sz="0" w:space="0" w:color="auto"/>
                                            <w:left w:val="none" w:sz="0" w:space="0" w:color="auto"/>
                                            <w:bottom w:val="none" w:sz="0" w:space="0" w:color="auto"/>
                                            <w:right w:val="none" w:sz="0" w:space="0" w:color="auto"/>
                                          </w:divBdr>
                                          <w:divsChild>
                                            <w:div w:id="1518226418">
                                              <w:marLeft w:val="0"/>
                                              <w:marRight w:val="0"/>
                                              <w:marTop w:val="0"/>
                                              <w:marBottom w:val="0"/>
                                              <w:divBdr>
                                                <w:top w:val="none" w:sz="0" w:space="0" w:color="auto"/>
                                                <w:left w:val="none" w:sz="0" w:space="0" w:color="auto"/>
                                                <w:bottom w:val="none" w:sz="0" w:space="0" w:color="auto"/>
                                                <w:right w:val="none" w:sz="0" w:space="0" w:color="auto"/>
                                              </w:divBdr>
                                              <w:divsChild>
                                                <w:div w:id="74823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5692">
                                          <w:marLeft w:val="0"/>
                                          <w:marRight w:val="0"/>
                                          <w:marTop w:val="0"/>
                                          <w:marBottom w:val="0"/>
                                          <w:divBdr>
                                            <w:top w:val="none" w:sz="0" w:space="0" w:color="auto"/>
                                            <w:left w:val="none" w:sz="0" w:space="0" w:color="auto"/>
                                            <w:bottom w:val="none" w:sz="0" w:space="0" w:color="auto"/>
                                            <w:right w:val="none" w:sz="0" w:space="0" w:color="auto"/>
                                          </w:divBdr>
                                          <w:divsChild>
                                            <w:div w:id="711998048">
                                              <w:marLeft w:val="0"/>
                                              <w:marRight w:val="0"/>
                                              <w:marTop w:val="0"/>
                                              <w:marBottom w:val="0"/>
                                              <w:divBdr>
                                                <w:top w:val="none" w:sz="0" w:space="0" w:color="auto"/>
                                                <w:left w:val="none" w:sz="0" w:space="0" w:color="auto"/>
                                                <w:bottom w:val="none" w:sz="0" w:space="0" w:color="auto"/>
                                                <w:right w:val="none" w:sz="0" w:space="0" w:color="auto"/>
                                              </w:divBdr>
                                              <w:divsChild>
                                                <w:div w:id="6300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80818">
                                          <w:marLeft w:val="0"/>
                                          <w:marRight w:val="0"/>
                                          <w:marTop w:val="0"/>
                                          <w:marBottom w:val="0"/>
                                          <w:divBdr>
                                            <w:top w:val="none" w:sz="0" w:space="0" w:color="auto"/>
                                            <w:left w:val="none" w:sz="0" w:space="0" w:color="auto"/>
                                            <w:bottom w:val="none" w:sz="0" w:space="0" w:color="auto"/>
                                            <w:right w:val="none" w:sz="0" w:space="0" w:color="auto"/>
                                          </w:divBdr>
                                          <w:divsChild>
                                            <w:div w:id="1864584990">
                                              <w:marLeft w:val="0"/>
                                              <w:marRight w:val="0"/>
                                              <w:marTop w:val="0"/>
                                              <w:marBottom w:val="0"/>
                                              <w:divBdr>
                                                <w:top w:val="none" w:sz="0" w:space="0" w:color="auto"/>
                                                <w:left w:val="none" w:sz="0" w:space="0" w:color="auto"/>
                                                <w:bottom w:val="none" w:sz="0" w:space="0" w:color="auto"/>
                                                <w:right w:val="none" w:sz="0" w:space="0" w:color="auto"/>
                                              </w:divBdr>
                                              <w:divsChild>
                                                <w:div w:id="810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4574">
                                          <w:marLeft w:val="0"/>
                                          <w:marRight w:val="0"/>
                                          <w:marTop w:val="0"/>
                                          <w:marBottom w:val="0"/>
                                          <w:divBdr>
                                            <w:top w:val="none" w:sz="0" w:space="0" w:color="auto"/>
                                            <w:left w:val="none" w:sz="0" w:space="0" w:color="auto"/>
                                            <w:bottom w:val="none" w:sz="0" w:space="0" w:color="auto"/>
                                            <w:right w:val="none" w:sz="0" w:space="0" w:color="auto"/>
                                          </w:divBdr>
                                          <w:divsChild>
                                            <w:div w:id="2057658499">
                                              <w:marLeft w:val="0"/>
                                              <w:marRight w:val="0"/>
                                              <w:marTop w:val="0"/>
                                              <w:marBottom w:val="0"/>
                                              <w:divBdr>
                                                <w:top w:val="none" w:sz="0" w:space="0" w:color="auto"/>
                                                <w:left w:val="none" w:sz="0" w:space="0" w:color="auto"/>
                                                <w:bottom w:val="none" w:sz="0" w:space="0" w:color="auto"/>
                                                <w:right w:val="none" w:sz="0" w:space="0" w:color="auto"/>
                                              </w:divBdr>
                                              <w:divsChild>
                                                <w:div w:id="3013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00947">
                                          <w:marLeft w:val="0"/>
                                          <w:marRight w:val="0"/>
                                          <w:marTop w:val="0"/>
                                          <w:marBottom w:val="0"/>
                                          <w:divBdr>
                                            <w:top w:val="none" w:sz="0" w:space="0" w:color="auto"/>
                                            <w:left w:val="none" w:sz="0" w:space="0" w:color="auto"/>
                                            <w:bottom w:val="none" w:sz="0" w:space="0" w:color="auto"/>
                                            <w:right w:val="none" w:sz="0" w:space="0" w:color="auto"/>
                                          </w:divBdr>
                                          <w:divsChild>
                                            <w:div w:id="1591697912">
                                              <w:marLeft w:val="0"/>
                                              <w:marRight w:val="0"/>
                                              <w:marTop w:val="0"/>
                                              <w:marBottom w:val="0"/>
                                              <w:divBdr>
                                                <w:top w:val="none" w:sz="0" w:space="0" w:color="auto"/>
                                                <w:left w:val="none" w:sz="0" w:space="0" w:color="auto"/>
                                                <w:bottom w:val="none" w:sz="0" w:space="0" w:color="auto"/>
                                                <w:right w:val="none" w:sz="0" w:space="0" w:color="auto"/>
                                              </w:divBdr>
                                              <w:divsChild>
                                                <w:div w:id="209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9305">
                                          <w:marLeft w:val="0"/>
                                          <w:marRight w:val="0"/>
                                          <w:marTop w:val="0"/>
                                          <w:marBottom w:val="0"/>
                                          <w:divBdr>
                                            <w:top w:val="none" w:sz="0" w:space="0" w:color="auto"/>
                                            <w:left w:val="none" w:sz="0" w:space="0" w:color="auto"/>
                                            <w:bottom w:val="none" w:sz="0" w:space="0" w:color="auto"/>
                                            <w:right w:val="none" w:sz="0" w:space="0" w:color="auto"/>
                                          </w:divBdr>
                                          <w:divsChild>
                                            <w:div w:id="1445227466">
                                              <w:marLeft w:val="0"/>
                                              <w:marRight w:val="0"/>
                                              <w:marTop w:val="0"/>
                                              <w:marBottom w:val="0"/>
                                              <w:divBdr>
                                                <w:top w:val="none" w:sz="0" w:space="0" w:color="auto"/>
                                                <w:left w:val="none" w:sz="0" w:space="0" w:color="auto"/>
                                                <w:bottom w:val="none" w:sz="0" w:space="0" w:color="auto"/>
                                                <w:right w:val="none" w:sz="0" w:space="0" w:color="auto"/>
                                              </w:divBdr>
                                              <w:divsChild>
                                                <w:div w:id="20795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1184">
                                          <w:marLeft w:val="0"/>
                                          <w:marRight w:val="0"/>
                                          <w:marTop w:val="0"/>
                                          <w:marBottom w:val="0"/>
                                          <w:divBdr>
                                            <w:top w:val="none" w:sz="0" w:space="0" w:color="auto"/>
                                            <w:left w:val="none" w:sz="0" w:space="0" w:color="auto"/>
                                            <w:bottom w:val="none" w:sz="0" w:space="0" w:color="auto"/>
                                            <w:right w:val="none" w:sz="0" w:space="0" w:color="auto"/>
                                          </w:divBdr>
                                          <w:divsChild>
                                            <w:div w:id="2517274">
                                              <w:marLeft w:val="0"/>
                                              <w:marRight w:val="0"/>
                                              <w:marTop w:val="0"/>
                                              <w:marBottom w:val="0"/>
                                              <w:divBdr>
                                                <w:top w:val="none" w:sz="0" w:space="0" w:color="auto"/>
                                                <w:left w:val="none" w:sz="0" w:space="0" w:color="auto"/>
                                                <w:bottom w:val="none" w:sz="0" w:space="0" w:color="auto"/>
                                                <w:right w:val="none" w:sz="0" w:space="0" w:color="auto"/>
                                              </w:divBdr>
                                              <w:divsChild>
                                                <w:div w:id="15985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31984">
                                          <w:marLeft w:val="0"/>
                                          <w:marRight w:val="0"/>
                                          <w:marTop w:val="0"/>
                                          <w:marBottom w:val="0"/>
                                          <w:divBdr>
                                            <w:top w:val="none" w:sz="0" w:space="0" w:color="auto"/>
                                            <w:left w:val="none" w:sz="0" w:space="0" w:color="auto"/>
                                            <w:bottom w:val="none" w:sz="0" w:space="0" w:color="auto"/>
                                            <w:right w:val="none" w:sz="0" w:space="0" w:color="auto"/>
                                          </w:divBdr>
                                          <w:divsChild>
                                            <w:div w:id="2113012497">
                                              <w:marLeft w:val="0"/>
                                              <w:marRight w:val="0"/>
                                              <w:marTop w:val="0"/>
                                              <w:marBottom w:val="0"/>
                                              <w:divBdr>
                                                <w:top w:val="none" w:sz="0" w:space="0" w:color="auto"/>
                                                <w:left w:val="none" w:sz="0" w:space="0" w:color="auto"/>
                                                <w:bottom w:val="none" w:sz="0" w:space="0" w:color="auto"/>
                                                <w:right w:val="none" w:sz="0" w:space="0" w:color="auto"/>
                                              </w:divBdr>
                                              <w:divsChild>
                                                <w:div w:id="5996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3862">
                                          <w:marLeft w:val="0"/>
                                          <w:marRight w:val="0"/>
                                          <w:marTop w:val="0"/>
                                          <w:marBottom w:val="0"/>
                                          <w:divBdr>
                                            <w:top w:val="none" w:sz="0" w:space="0" w:color="auto"/>
                                            <w:left w:val="none" w:sz="0" w:space="0" w:color="auto"/>
                                            <w:bottom w:val="none" w:sz="0" w:space="0" w:color="auto"/>
                                            <w:right w:val="none" w:sz="0" w:space="0" w:color="auto"/>
                                          </w:divBdr>
                                          <w:divsChild>
                                            <w:div w:id="86537311">
                                              <w:marLeft w:val="0"/>
                                              <w:marRight w:val="0"/>
                                              <w:marTop w:val="0"/>
                                              <w:marBottom w:val="0"/>
                                              <w:divBdr>
                                                <w:top w:val="none" w:sz="0" w:space="0" w:color="auto"/>
                                                <w:left w:val="none" w:sz="0" w:space="0" w:color="auto"/>
                                                <w:bottom w:val="none" w:sz="0" w:space="0" w:color="auto"/>
                                                <w:right w:val="none" w:sz="0" w:space="0" w:color="auto"/>
                                              </w:divBdr>
                                              <w:divsChild>
                                                <w:div w:id="18374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82425">
                                          <w:marLeft w:val="0"/>
                                          <w:marRight w:val="0"/>
                                          <w:marTop w:val="0"/>
                                          <w:marBottom w:val="0"/>
                                          <w:divBdr>
                                            <w:top w:val="none" w:sz="0" w:space="0" w:color="auto"/>
                                            <w:left w:val="none" w:sz="0" w:space="0" w:color="auto"/>
                                            <w:bottom w:val="none" w:sz="0" w:space="0" w:color="auto"/>
                                            <w:right w:val="none" w:sz="0" w:space="0" w:color="auto"/>
                                          </w:divBdr>
                                          <w:divsChild>
                                            <w:div w:id="1443650305">
                                              <w:marLeft w:val="0"/>
                                              <w:marRight w:val="0"/>
                                              <w:marTop w:val="0"/>
                                              <w:marBottom w:val="0"/>
                                              <w:divBdr>
                                                <w:top w:val="none" w:sz="0" w:space="0" w:color="auto"/>
                                                <w:left w:val="none" w:sz="0" w:space="0" w:color="auto"/>
                                                <w:bottom w:val="none" w:sz="0" w:space="0" w:color="auto"/>
                                                <w:right w:val="none" w:sz="0" w:space="0" w:color="auto"/>
                                              </w:divBdr>
                                              <w:divsChild>
                                                <w:div w:id="56637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7775">
                                          <w:marLeft w:val="0"/>
                                          <w:marRight w:val="0"/>
                                          <w:marTop w:val="0"/>
                                          <w:marBottom w:val="0"/>
                                          <w:divBdr>
                                            <w:top w:val="none" w:sz="0" w:space="0" w:color="auto"/>
                                            <w:left w:val="none" w:sz="0" w:space="0" w:color="auto"/>
                                            <w:bottom w:val="none" w:sz="0" w:space="0" w:color="auto"/>
                                            <w:right w:val="none" w:sz="0" w:space="0" w:color="auto"/>
                                          </w:divBdr>
                                          <w:divsChild>
                                            <w:div w:id="197551498">
                                              <w:marLeft w:val="0"/>
                                              <w:marRight w:val="0"/>
                                              <w:marTop w:val="0"/>
                                              <w:marBottom w:val="0"/>
                                              <w:divBdr>
                                                <w:top w:val="none" w:sz="0" w:space="0" w:color="auto"/>
                                                <w:left w:val="none" w:sz="0" w:space="0" w:color="auto"/>
                                                <w:bottom w:val="none" w:sz="0" w:space="0" w:color="auto"/>
                                                <w:right w:val="none" w:sz="0" w:space="0" w:color="auto"/>
                                              </w:divBdr>
                                              <w:divsChild>
                                                <w:div w:id="2861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06372">
                                          <w:marLeft w:val="0"/>
                                          <w:marRight w:val="0"/>
                                          <w:marTop w:val="0"/>
                                          <w:marBottom w:val="0"/>
                                          <w:divBdr>
                                            <w:top w:val="none" w:sz="0" w:space="0" w:color="auto"/>
                                            <w:left w:val="none" w:sz="0" w:space="0" w:color="auto"/>
                                            <w:bottom w:val="none" w:sz="0" w:space="0" w:color="auto"/>
                                            <w:right w:val="none" w:sz="0" w:space="0" w:color="auto"/>
                                          </w:divBdr>
                                          <w:divsChild>
                                            <w:div w:id="658339920">
                                              <w:marLeft w:val="0"/>
                                              <w:marRight w:val="0"/>
                                              <w:marTop w:val="0"/>
                                              <w:marBottom w:val="0"/>
                                              <w:divBdr>
                                                <w:top w:val="none" w:sz="0" w:space="0" w:color="auto"/>
                                                <w:left w:val="none" w:sz="0" w:space="0" w:color="auto"/>
                                                <w:bottom w:val="none" w:sz="0" w:space="0" w:color="auto"/>
                                                <w:right w:val="none" w:sz="0" w:space="0" w:color="auto"/>
                                              </w:divBdr>
                                              <w:divsChild>
                                                <w:div w:id="154490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1460">
                                          <w:marLeft w:val="0"/>
                                          <w:marRight w:val="0"/>
                                          <w:marTop w:val="0"/>
                                          <w:marBottom w:val="0"/>
                                          <w:divBdr>
                                            <w:top w:val="none" w:sz="0" w:space="0" w:color="auto"/>
                                            <w:left w:val="none" w:sz="0" w:space="0" w:color="auto"/>
                                            <w:bottom w:val="none" w:sz="0" w:space="0" w:color="auto"/>
                                            <w:right w:val="none" w:sz="0" w:space="0" w:color="auto"/>
                                          </w:divBdr>
                                          <w:divsChild>
                                            <w:div w:id="145783852">
                                              <w:marLeft w:val="0"/>
                                              <w:marRight w:val="0"/>
                                              <w:marTop w:val="0"/>
                                              <w:marBottom w:val="0"/>
                                              <w:divBdr>
                                                <w:top w:val="none" w:sz="0" w:space="0" w:color="auto"/>
                                                <w:left w:val="none" w:sz="0" w:space="0" w:color="auto"/>
                                                <w:bottom w:val="none" w:sz="0" w:space="0" w:color="auto"/>
                                                <w:right w:val="none" w:sz="0" w:space="0" w:color="auto"/>
                                              </w:divBdr>
                                              <w:divsChild>
                                                <w:div w:id="5952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369311">
      <w:bodyDiv w:val="1"/>
      <w:marLeft w:val="0"/>
      <w:marRight w:val="0"/>
      <w:marTop w:val="0"/>
      <w:marBottom w:val="0"/>
      <w:divBdr>
        <w:top w:val="none" w:sz="0" w:space="0" w:color="auto"/>
        <w:left w:val="none" w:sz="0" w:space="0" w:color="auto"/>
        <w:bottom w:val="none" w:sz="0" w:space="0" w:color="auto"/>
        <w:right w:val="none" w:sz="0" w:space="0" w:color="auto"/>
      </w:divBdr>
      <w:divsChild>
        <w:div w:id="1543903663">
          <w:marLeft w:val="0"/>
          <w:marRight w:val="0"/>
          <w:marTop w:val="0"/>
          <w:marBottom w:val="0"/>
          <w:divBdr>
            <w:top w:val="none" w:sz="0" w:space="0" w:color="auto"/>
            <w:left w:val="none" w:sz="0" w:space="0" w:color="auto"/>
            <w:bottom w:val="none" w:sz="0" w:space="0" w:color="auto"/>
            <w:right w:val="none" w:sz="0" w:space="0" w:color="auto"/>
          </w:divBdr>
          <w:divsChild>
            <w:div w:id="196622519">
              <w:marLeft w:val="0"/>
              <w:marRight w:val="0"/>
              <w:marTop w:val="0"/>
              <w:marBottom w:val="0"/>
              <w:divBdr>
                <w:top w:val="none" w:sz="0" w:space="0" w:color="auto"/>
                <w:left w:val="none" w:sz="0" w:space="0" w:color="auto"/>
                <w:bottom w:val="none" w:sz="0" w:space="0" w:color="auto"/>
                <w:right w:val="none" w:sz="0" w:space="0" w:color="auto"/>
              </w:divBdr>
              <w:divsChild>
                <w:div w:id="72440081">
                  <w:marLeft w:val="0"/>
                  <w:marRight w:val="0"/>
                  <w:marTop w:val="0"/>
                  <w:marBottom w:val="0"/>
                  <w:divBdr>
                    <w:top w:val="none" w:sz="0" w:space="0" w:color="auto"/>
                    <w:left w:val="none" w:sz="0" w:space="0" w:color="auto"/>
                    <w:bottom w:val="none" w:sz="0" w:space="0" w:color="auto"/>
                    <w:right w:val="none" w:sz="0" w:space="0" w:color="auto"/>
                  </w:divBdr>
                  <w:divsChild>
                    <w:div w:id="950018574">
                      <w:marLeft w:val="0"/>
                      <w:marRight w:val="0"/>
                      <w:marTop w:val="0"/>
                      <w:marBottom w:val="0"/>
                      <w:divBdr>
                        <w:top w:val="none" w:sz="0" w:space="0" w:color="auto"/>
                        <w:left w:val="none" w:sz="0" w:space="0" w:color="auto"/>
                        <w:bottom w:val="none" w:sz="0" w:space="0" w:color="auto"/>
                        <w:right w:val="none" w:sz="0" w:space="0" w:color="auto"/>
                      </w:divBdr>
                      <w:divsChild>
                        <w:div w:id="1453401295">
                          <w:marLeft w:val="0"/>
                          <w:marRight w:val="0"/>
                          <w:marTop w:val="0"/>
                          <w:marBottom w:val="0"/>
                          <w:divBdr>
                            <w:top w:val="none" w:sz="0" w:space="0" w:color="auto"/>
                            <w:left w:val="none" w:sz="0" w:space="0" w:color="auto"/>
                            <w:bottom w:val="none" w:sz="0" w:space="0" w:color="auto"/>
                            <w:right w:val="none" w:sz="0" w:space="0" w:color="auto"/>
                          </w:divBdr>
                          <w:divsChild>
                            <w:div w:id="87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598818">
      <w:bodyDiv w:val="1"/>
      <w:marLeft w:val="0"/>
      <w:marRight w:val="0"/>
      <w:marTop w:val="0"/>
      <w:marBottom w:val="0"/>
      <w:divBdr>
        <w:top w:val="none" w:sz="0" w:space="0" w:color="auto"/>
        <w:left w:val="none" w:sz="0" w:space="0" w:color="auto"/>
        <w:bottom w:val="none" w:sz="0" w:space="0" w:color="auto"/>
        <w:right w:val="none" w:sz="0" w:space="0" w:color="auto"/>
      </w:divBdr>
    </w:div>
    <w:div w:id="1767264371">
      <w:bodyDiv w:val="1"/>
      <w:marLeft w:val="0"/>
      <w:marRight w:val="0"/>
      <w:marTop w:val="0"/>
      <w:marBottom w:val="0"/>
      <w:divBdr>
        <w:top w:val="none" w:sz="0" w:space="0" w:color="auto"/>
        <w:left w:val="none" w:sz="0" w:space="0" w:color="auto"/>
        <w:bottom w:val="none" w:sz="0" w:space="0" w:color="auto"/>
        <w:right w:val="none" w:sz="0" w:space="0" w:color="auto"/>
      </w:divBdr>
      <w:divsChild>
        <w:div w:id="314726772">
          <w:marLeft w:val="0"/>
          <w:marRight w:val="0"/>
          <w:marTop w:val="0"/>
          <w:marBottom w:val="0"/>
          <w:divBdr>
            <w:top w:val="none" w:sz="0" w:space="0" w:color="auto"/>
            <w:left w:val="none" w:sz="0" w:space="0" w:color="auto"/>
            <w:bottom w:val="none" w:sz="0" w:space="0" w:color="auto"/>
            <w:right w:val="none" w:sz="0" w:space="0" w:color="auto"/>
          </w:divBdr>
          <w:divsChild>
            <w:div w:id="521478597">
              <w:marLeft w:val="0"/>
              <w:marRight w:val="0"/>
              <w:marTop w:val="0"/>
              <w:marBottom w:val="0"/>
              <w:divBdr>
                <w:top w:val="none" w:sz="0" w:space="0" w:color="auto"/>
                <w:left w:val="none" w:sz="0" w:space="0" w:color="auto"/>
                <w:bottom w:val="none" w:sz="0" w:space="0" w:color="auto"/>
                <w:right w:val="none" w:sz="0" w:space="0" w:color="auto"/>
              </w:divBdr>
              <w:divsChild>
                <w:div w:id="433332998">
                  <w:marLeft w:val="0"/>
                  <w:marRight w:val="0"/>
                  <w:marTop w:val="0"/>
                  <w:marBottom w:val="0"/>
                  <w:divBdr>
                    <w:top w:val="none" w:sz="0" w:space="0" w:color="auto"/>
                    <w:left w:val="none" w:sz="0" w:space="0" w:color="auto"/>
                    <w:bottom w:val="none" w:sz="0" w:space="0" w:color="auto"/>
                    <w:right w:val="none" w:sz="0" w:space="0" w:color="auto"/>
                  </w:divBdr>
                  <w:divsChild>
                    <w:div w:id="1407267577">
                      <w:marLeft w:val="0"/>
                      <w:marRight w:val="0"/>
                      <w:marTop w:val="0"/>
                      <w:marBottom w:val="240"/>
                      <w:divBdr>
                        <w:top w:val="single" w:sz="6" w:space="0" w:color="DDDDDD"/>
                        <w:left w:val="none" w:sz="0" w:space="0" w:color="auto"/>
                        <w:bottom w:val="none" w:sz="0" w:space="0" w:color="auto"/>
                        <w:right w:val="none" w:sz="0" w:space="0" w:color="auto"/>
                      </w:divBdr>
                      <w:divsChild>
                        <w:div w:id="1944536431">
                          <w:marLeft w:val="0"/>
                          <w:marRight w:val="0"/>
                          <w:marTop w:val="0"/>
                          <w:marBottom w:val="0"/>
                          <w:divBdr>
                            <w:top w:val="none" w:sz="0" w:space="0" w:color="auto"/>
                            <w:left w:val="none" w:sz="0" w:space="0" w:color="auto"/>
                            <w:bottom w:val="none" w:sz="0" w:space="0" w:color="auto"/>
                            <w:right w:val="none" w:sz="0" w:space="0" w:color="auto"/>
                          </w:divBdr>
                          <w:divsChild>
                            <w:div w:id="430593313">
                              <w:marLeft w:val="0"/>
                              <w:marRight w:val="0"/>
                              <w:marTop w:val="0"/>
                              <w:marBottom w:val="0"/>
                              <w:divBdr>
                                <w:top w:val="none" w:sz="0" w:space="0" w:color="auto"/>
                                <w:left w:val="none" w:sz="0" w:space="0" w:color="auto"/>
                                <w:bottom w:val="none" w:sz="0" w:space="0" w:color="auto"/>
                                <w:right w:val="none" w:sz="0" w:space="0" w:color="auto"/>
                              </w:divBdr>
                              <w:divsChild>
                                <w:div w:id="861818039">
                                  <w:marLeft w:val="0"/>
                                  <w:marRight w:val="0"/>
                                  <w:marTop w:val="0"/>
                                  <w:marBottom w:val="240"/>
                                  <w:divBdr>
                                    <w:top w:val="single" w:sz="6" w:space="0" w:color="DDDDDD"/>
                                    <w:left w:val="none" w:sz="0" w:space="0" w:color="auto"/>
                                    <w:bottom w:val="none" w:sz="0" w:space="0" w:color="auto"/>
                                    <w:right w:val="none" w:sz="0" w:space="0" w:color="auto"/>
                                  </w:divBdr>
                                  <w:divsChild>
                                    <w:div w:id="173229779">
                                      <w:marLeft w:val="0"/>
                                      <w:marRight w:val="0"/>
                                      <w:marTop w:val="0"/>
                                      <w:marBottom w:val="0"/>
                                      <w:divBdr>
                                        <w:top w:val="none" w:sz="0" w:space="0" w:color="auto"/>
                                        <w:left w:val="none" w:sz="0" w:space="0" w:color="auto"/>
                                        <w:bottom w:val="none" w:sz="0" w:space="0" w:color="auto"/>
                                        <w:right w:val="none" w:sz="0" w:space="0" w:color="auto"/>
                                      </w:divBdr>
                                      <w:divsChild>
                                        <w:div w:id="814763909">
                                          <w:marLeft w:val="0"/>
                                          <w:marRight w:val="0"/>
                                          <w:marTop w:val="0"/>
                                          <w:marBottom w:val="0"/>
                                          <w:divBdr>
                                            <w:top w:val="none" w:sz="0" w:space="0" w:color="auto"/>
                                            <w:left w:val="none" w:sz="0" w:space="0" w:color="auto"/>
                                            <w:bottom w:val="none" w:sz="0" w:space="0" w:color="auto"/>
                                            <w:right w:val="none" w:sz="0" w:space="0" w:color="auto"/>
                                          </w:divBdr>
                                          <w:divsChild>
                                            <w:div w:id="1995571658">
                                              <w:marLeft w:val="0"/>
                                              <w:marRight w:val="0"/>
                                              <w:marTop w:val="0"/>
                                              <w:marBottom w:val="0"/>
                                              <w:divBdr>
                                                <w:top w:val="none" w:sz="0" w:space="0" w:color="auto"/>
                                                <w:left w:val="none" w:sz="0" w:space="0" w:color="auto"/>
                                                <w:bottom w:val="none" w:sz="0" w:space="0" w:color="auto"/>
                                                <w:right w:val="none" w:sz="0" w:space="0" w:color="auto"/>
                                              </w:divBdr>
                                              <w:divsChild>
                                                <w:div w:id="162360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09174">
                                          <w:marLeft w:val="0"/>
                                          <w:marRight w:val="0"/>
                                          <w:marTop w:val="0"/>
                                          <w:marBottom w:val="0"/>
                                          <w:divBdr>
                                            <w:top w:val="none" w:sz="0" w:space="0" w:color="auto"/>
                                            <w:left w:val="none" w:sz="0" w:space="0" w:color="auto"/>
                                            <w:bottom w:val="none" w:sz="0" w:space="0" w:color="auto"/>
                                            <w:right w:val="none" w:sz="0" w:space="0" w:color="auto"/>
                                          </w:divBdr>
                                          <w:divsChild>
                                            <w:div w:id="1001932557">
                                              <w:marLeft w:val="0"/>
                                              <w:marRight w:val="0"/>
                                              <w:marTop w:val="0"/>
                                              <w:marBottom w:val="0"/>
                                              <w:divBdr>
                                                <w:top w:val="none" w:sz="0" w:space="0" w:color="auto"/>
                                                <w:left w:val="none" w:sz="0" w:space="0" w:color="auto"/>
                                                <w:bottom w:val="none" w:sz="0" w:space="0" w:color="auto"/>
                                                <w:right w:val="none" w:sz="0" w:space="0" w:color="auto"/>
                                              </w:divBdr>
                                              <w:divsChild>
                                                <w:div w:id="10777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2571">
                                          <w:marLeft w:val="0"/>
                                          <w:marRight w:val="0"/>
                                          <w:marTop w:val="0"/>
                                          <w:marBottom w:val="0"/>
                                          <w:divBdr>
                                            <w:top w:val="none" w:sz="0" w:space="0" w:color="auto"/>
                                            <w:left w:val="none" w:sz="0" w:space="0" w:color="auto"/>
                                            <w:bottom w:val="none" w:sz="0" w:space="0" w:color="auto"/>
                                            <w:right w:val="none" w:sz="0" w:space="0" w:color="auto"/>
                                          </w:divBdr>
                                          <w:divsChild>
                                            <w:div w:id="1858427677">
                                              <w:marLeft w:val="0"/>
                                              <w:marRight w:val="0"/>
                                              <w:marTop w:val="0"/>
                                              <w:marBottom w:val="0"/>
                                              <w:divBdr>
                                                <w:top w:val="none" w:sz="0" w:space="0" w:color="auto"/>
                                                <w:left w:val="none" w:sz="0" w:space="0" w:color="auto"/>
                                                <w:bottom w:val="none" w:sz="0" w:space="0" w:color="auto"/>
                                                <w:right w:val="none" w:sz="0" w:space="0" w:color="auto"/>
                                              </w:divBdr>
                                              <w:divsChild>
                                                <w:div w:id="183221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5383">
                                          <w:marLeft w:val="0"/>
                                          <w:marRight w:val="0"/>
                                          <w:marTop w:val="0"/>
                                          <w:marBottom w:val="0"/>
                                          <w:divBdr>
                                            <w:top w:val="none" w:sz="0" w:space="0" w:color="auto"/>
                                            <w:left w:val="none" w:sz="0" w:space="0" w:color="auto"/>
                                            <w:bottom w:val="none" w:sz="0" w:space="0" w:color="auto"/>
                                            <w:right w:val="none" w:sz="0" w:space="0" w:color="auto"/>
                                          </w:divBdr>
                                          <w:divsChild>
                                            <w:div w:id="1762943011">
                                              <w:marLeft w:val="0"/>
                                              <w:marRight w:val="0"/>
                                              <w:marTop w:val="0"/>
                                              <w:marBottom w:val="0"/>
                                              <w:divBdr>
                                                <w:top w:val="none" w:sz="0" w:space="0" w:color="auto"/>
                                                <w:left w:val="none" w:sz="0" w:space="0" w:color="auto"/>
                                                <w:bottom w:val="none" w:sz="0" w:space="0" w:color="auto"/>
                                                <w:right w:val="none" w:sz="0" w:space="0" w:color="auto"/>
                                              </w:divBdr>
                                              <w:divsChild>
                                                <w:div w:id="154621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1633">
                                          <w:marLeft w:val="0"/>
                                          <w:marRight w:val="0"/>
                                          <w:marTop w:val="0"/>
                                          <w:marBottom w:val="0"/>
                                          <w:divBdr>
                                            <w:top w:val="none" w:sz="0" w:space="0" w:color="auto"/>
                                            <w:left w:val="none" w:sz="0" w:space="0" w:color="auto"/>
                                            <w:bottom w:val="none" w:sz="0" w:space="0" w:color="auto"/>
                                            <w:right w:val="none" w:sz="0" w:space="0" w:color="auto"/>
                                          </w:divBdr>
                                          <w:divsChild>
                                            <w:div w:id="48044312">
                                              <w:marLeft w:val="0"/>
                                              <w:marRight w:val="0"/>
                                              <w:marTop w:val="0"/>
                                              <w:marBottom w:val="0"/>
                                              <w:divBdr>
                                                <w:top w:val="none" w:sz="0" w:space="0" w:color="auto"/>
                                                <w:left w:val="none" w:sz="0" w:space="0" w:color="auto"/>
                                                <w:bottom w:val="none" w:sz="0" w:space="0" w:color="auto"/>
                                                <w:right w:val="none" w:sz="0" w:space="0" w:color="auto"/>
                                              </w:divBdr>
                                              <w:divsChild>
                                                <w:div w:id="17075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59024">
                                          <w:marLeft w:val="0"/>
                                          <w:marRight w:val="0"/>
                                          <w:marTop w:val="0"/>
                                          <w:marBottom w:val="0"/>
                                          <w:divBdr>
                                            <w:top w:val="none" w:sz="0" w:space="0" w:color="auto"/>
                                            <w:left w:val="none" w:sz="0" w:space="0" w:color="auto"/>
                                            <w:bottom w:val="none" w:sz="0" w:space="0" w:color="auto"/>
                                            <w:right w:val="none" w:sz="0" w:space="0" w:color="auto"/>
                                          </w:divBdr>
                                          <w:divsChild>
                                            <w:div w:id="1253048987">
                                              <w:marLeft w:val="0"/>
                                              <w:marRight w:val="0"/>
                                              <w:marTop w:val="0"/>
                                              <w:marBottom w:val="0"/>
                                              <w:divBdr>
                                                <w:top w:val="none" w:sz="0" w:space="0" w:color="auto"/>
                                                <w:left w:val="none" w:sz="0" w:space="0" w:color="auto"/>
                                                <w:bottom w:val="none" w:sz="0" w:space="0" w:color="auto"/>
                                                <w:right w:val="none" w:sz="0" w:space="0" w:color="auto"/>
                                              </w:divBdr>
                                              <w:divsChild>
                                                <w:div w:id="93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84200">
                                          <w:marLeft w:val="0"/>
                                          <w:marRight w:val="0"/>
                                          <w:marTop w:val="0"/>
                                          <w:marBottom w:val="0"/>
                                          <w:divBdr>
                                            <w:top w:val="none" w:sz="0" w:space="0" w:color="auto"/>
                                            <w:left w:val="none" w:sz="0" w:space="0" w:color="auto"/>
                                            <w:bottom w:val="none" w:sz="0" w:space="0" w:color="auto"/>
                                            <w:right w:val="none" w:sz="0" w:space="0" w:color="auto"/>
                                          </w:divBdr>
                                          <w:divsChild>
                                            <w:div w:id="704019813">
                                              <w:marLeft w:val="0"/>
                                              <w:marRight w:val="0"/>
                                              <w:marTop w:val="0"/>
                                              <w:marBottom w:val="0"/>
                                              <w:divBdr>
                                                <w:top w:val="none" w:sz="0" w:space="0" w:color="auto"/>
                                                <w:left w:val="none" w:sz="0" w:space="0" w:color="auto"/>
                                                <w:bottom w:val="none" w:sz="0" w:space="0" w:color="auto"/>
                                                <w:right w:val="none" w:sz="0" w:space="0" w:color="auto"/>
                                              </w:divBdr>
                                              <w:divsChild>
                                                <w:div w:id="12887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35953">
                                          <w:marLeft w:val="0"/>
                                          <w:marRight w:val="0"/>
                                          <w:marTop w:val="0"/>
                                          <w:marBottom w:val="0"/>
                                          <w:divBdr>
                                            <w:top w:val="none" w:sz="0" w:space="0" w:color="auto"/>
                                            <w:left w:val="none" w:sz="0" w:space="0" w:color="auto"/>
                                            <w:bottom w:val="none" w:sz="0" w:space="0" w:color="auto"/>
                                            <w:right w:val="none" w:sz="0" w:space="0" w:color="auto"/>
                                          </w:divBdr>
                                          <w:divsChild>
                                            <w:div w:id="442917630">
                                              <w:marLeft w:val="0"/>
                                              <w:marRight w:val="0"/>
                                              <w:marTop w:val="0"/>
                                              <w:marBottom w:val="0"/>
                                              <w:divBdr>
                                                <w:top w:val="none" w:sz="0" w:space="0" w:color="auto"/>
                                                <w:left w:val="none" w:sz="0" w:space="0" w:color="auto"/>
                                                <w:bottom w:val="none" w:sz="0" w:space="0" w:color="auto"/>
                                                <w:right w:val="none" w:sz="0" w:space="0" w:color="auto"/>
                                              </w:divBdr>
                                              <w:divsChild>
                                                <w:div w:id="20311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55697">
                                          <w:marLeft w:val="0"/>
                                          <w:marRight w:val="0"/>
                                          <w:marTop w:val="0"/>
                                          <w:marBottom w:val="0"/>
                                          <w:divBdr>
                                            <w:top w:val="none" w:sz="0" w:space="0" w:color="auto"/>
                                            <w:left w:val="none" w:sz="0" w:space="0" w:color="auto"/>
                                            <w:bottom w:val="none" w:sz="0" w:space="0" w:color="auto"/>
                                            <w:right w:val="none" w:sz="0" w:space="0" w:color="auto"/>
                                          </w:divBdr>
                                          <w:divsChild>
                                            <w:div w:id="1390304756">
                                              <w:marLeft w:val="0"/>
                                              <w:marRight w:val="0"/>
                                              <w:marTop w:val="0"/>
                                              <w:marBottom w:val="0"/>
                                              <w:divBdr>
                                                <w:top w:val="none" w:sz="0" w:space="0" w:color="auto"/>
                                                <w:left w:val="none" w:sz="0" w:space="0" w:color="auto"/>
                                                <w:bottom w:val="none" w:sz="0" w:space="0" w:color="auto"/>
                                                <w:right w:val="none" w:sz="0" w:space="0" w:color="auto"/>
                                              </w:divBdr>
                                              <w:divsChild>
                                                <w:div w:id="3994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7746">
                                          <w:marLeft w:val="0"/>
                                          <w:marRight w:val="0"/>
                                          <w:marTop w:val="0"/>
                                          <w:marBottom w:val="0"/>
                                          <w:divBdr>
                                            <w:top w:val="none" w:sz="0" w:space="0" w:color="auto"/>
                                            <w:left w:val="none" w:sz="0" w:space="0" w:color="auto"/>
                                            <w:bottom w:val="none" w:sz="0" w:space="0" w:color="auto"/>
                                            <w:right w:val="none" w:sz="0" w:space="0" w:color="auto"/>
                                          </w:divBdr>
                                          <w:divsChild>
                                            <w:div w:id="1149597298">
                                              <w:marLeft w:val="0"/>
                                              <w:marRight w:val="0"/>
                                              <w:marTop w:val="0"/>
                                              <w:marBottom w:val="0"/>
                                              <w:divBdr>
                                                <w:top w:val="none" w:sz="0" w:space="0" w:color="auto"/>
                                                <w:left w:val="none" w:sz="0" w:space="0" w:color="auto"/>
                                                <w:bottom w:val="none" w:sz="0" w:space="0" w:color="auto"/>
                                                <w:right w:val="none" w:sz="0" w:space="0" w:color="auto"/>
                                              </w:divBdr>
                                              <w:divsChild>
                                                <w:div w:id="92052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8882">
                                          <w:marLeft w:val="0"/>
                                          <w:marRight w:val="0"/>
                                          <w:marTop w:val="0"/>
                                          <w:marBottom w:val="0"/>
                                          <w:divBdr>
                                            <w:top w:val="none" w:sz="0" w:space="0" w:color="auto"/>
                                            <w:left w:val="none" w:sz="0" w:space="0" w:color="auto"/>
                                            <w:bottom w:val="none" w:sz="0" w:space="0" w:color="auto"/>
                                            <w:right w:val="none" w:sz="0" w:space="0" w:color="auto"/>
                                          </w:divBdr>
                                          <w:divsChild>
                                            <w:div w:id="569388102">
                                              <w:marLeft w:val="0"/>
                                              <w:marRight w:val="0"/>
                                              <w:marTop w:val="0"/>
                                              <w:marBottom w:val="0"/>
                                              <w:divBdr>
                                                <w:top w:val="none" w:sz="0" w:space="0" w:color="auto"/>
                                                <w:left w:val="none" w:sz="0" w:space="0" w:color="auto"/>
                                                <w:bottom w:val="none" w:sz="0" w:space="0" w:color="auto"/>
                                                <w:right w:val="none" w:sz="0" w:space="0" w:color="auto"/>
                                              </w:divBdr>
                                              <w:divsChild>
                                                <w:div w:id="16848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310">
                                          <w:marLeft w:val="0"/>
                                          <w:marRight w:val="0"/>
                                          <w:marTop w:val="0"/>
                                          <w:marBottom w:val="0"/>
                                          <w:divBdr>
                                            <w:top w:val="none" w:sz="0" w:space="0" w:color="auto"/>
                                            <w:left w:val="none" w:sz="0" w:space="0" w:color="auto"/>
                                            <w:bottom w:val="none" w:sz="0" w:space="0" w:color="auto"/>
                                            <w:right w:val="none" w:sz="0" w:space="0" w:color="auto"/>
                                          </w:divBdr>
                                          <w:divsChild>
                                            <w:div w:id="17778309">
                                              <w:marLeft w:val="0"/>
                                              <w:marRight w:val="0"/>
                                              <w:marTop w:val="0"/>
                                              <w:marBottom w:val="0"/>
                                              <w:divBdr>
                                                <w:top w:val="none" w:sz="0" w:space="0" w:color="auto"/>
                                                <w:left w:val="none" w:sz="0" w:space="0" w:color="auto"/>
                                                <w:bottom w:val="none" w:sz="0" w:space="0" w:color="auto"/>
                                                <w:right w:val="none" w:sz="0" w:space="0" w:color="auto"/>
                                              </w:divBdr>
                                              <w:divsChild>
                                                <w:div w:id="7896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32259">
                                          <w:marLeft w:val="0"/>
                                          <w:marRight w:val="0"/>
                                          <w:marTop w:val="0"/>
                                          <w:marBottom w:val="0"/>
                                          <w:divBdr>
                                            <w:top w:val="none" w:sz="0" w:space="0" w:color="auto"/>
                                            <w:left w:val="none" w:sz="0" w:space="0" w:color="auto"/>
                                            <w:bottom w:val="none" w:sz="0" w:space="0" w:color="auto"/>
                                            <w:right w:val="none" w:sz="0" w:space="0" w:color="auto"/>
                                          </w:divBdr>
                                          <w:divsChild>
                                            <w:div w:id="932132580">
                                              <w:marLeft w:val="0"/>
                                              <w:marRight w:val="0"/>
                                              <w:marTop w:val="0"/>
                                              <w:marBottom w:val="0"/>
                                              <w:divBdr>
                                                <w:top w:val="none" w:sz="0" w:space="0" w:color="auto"/>
                                                <w:left w:val="none" w:sz="0" w:space="0" w:color="auto"/>
                                                <w:bottom w:val="none" w:sz="0" w:space="0" w:color="auto"/>
                                                <w:right w:val="none" w:sz="0" w:space="0" w:color="auto"/>
                                              </w:divBdr>
                                              <w:divsChild>
                                                <w:div w:id="52660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593775">
      <w:bodyDiv w:val="1"/>
      <w:marLeft w:val="0"/>
      <w:marRight w:val="0"/>
      <w:marTop w:val="0"/>
      <w:marBottom w:val="0"/>
      <w:divBdr>
        <w:top w:val="none" w:sz="0" w:space="0" w:color="auto"/>
        <w:left w:val="none" w:sz="0" w:space="0" w:color="auto"/>
        <w:bottom w:val="none" w:sz="0" w:space="0" w:color="auto"/>
        <w:right w:val="none" w:sz="0" w:space="0" w:color="auto"/>
      </w:divBdr>
    </w:div>
    <w:div w:id="212056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4DA7C-16E5-4C89-A304-FCC5A8AA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2575</Words>
  <Characters>14679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2021-06-29T04:40:00Z</dcterms:created>
  <dcterms:modified xsi:type="dcterms:W3CDTF">2021-06-29T04:40:00Z</dcterms:modified>
</cp:coreProperties>
</file>