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E2" w:rsidRPr="00E44873" w:rsidRDefault="003B40BF" w:rsidP="00B37F2B">
      <w:pPr>
        <w:outlineLvl w:val="0"/>
        <w:rPr>
          <w:b/>
          <w:sz w:val="36"/>
          <w:szCs w:val="36"/>
        </w:rPr>
      </w:pPr>
      <w:r w:rsidRPr="00E44873">
        <w:rPr>
          <w:b/>
          <w:sz w:val="36"/>
          <w:szCs w:val="36"/>
        </w:rPr>
        <w:t>5</w:t>
      </w:r>
      <w:r w:rsidR="00433044" w:rsidRPr="00E44873">
        <w:rPr>
          <w:b/>
          <w:sz w:val="36"/>
          <w:szCs w:val="36"/>
        </w:rPr>
        <w:t>.</w:t>
      </w:r>
      <w:r w:rsidRPr="00E44873">
        <w:rPr>
          <w:b/>
          <w:sz w:val="36"/>
          <w:szCs w:val="36"/>
        </w:rPr>
        <w:t>03</w:t>
      </w:r>
      <w:r w:rsidR="00AD4B02" w:rsidRPr="00E44873">
        <w:rPr>
          <w:b/>
          <w:sz w:val="36"/>
          <w:szCs w:val="36"/>
        </w:rPr>
        <w:tab/>
      </w:r>
      <w:r w:rsidRPr="00E44873">
        <w:rPr>
          <w:b/>
          <w:sz w:val="36"/>
          <w:szCs w:val="36"/>
        </w:rPr>
        <w:t>CABOTEGRAVIR/CABOTEGRAVIR and RILPIVIRINE</w:t>
      </w:r>
      <w:r w:rsidR="00B60939" w:rsidRPr="00E44873">
        <w:rPr>
          <w:b/>
          <w:sz w:val="36"/>
          <w:szCs w:val="36"/>
        </w:rPr>
        <w:t xml:space="preserve"> </w:t>
      </w:r>
    </w:p>
    <w:p w:rsidR="00B60939" w:rsidRPr="00E44873" w:rsidRDefault="00D130E2" w:rsidP="000D517E">
      <w:pPr>
        <w:ind w:left="720"/>
        <w:jc w:val="left"/>
        <w:outlineLvl w:val="0"/>
        <w:rPr>
          <w:b/>
          <w:sz w:val="36"/>
          <w:szCs w:val="36"/>
        </w:rPr>
      </w:pPr>
      <w:r w:rsidRPr="00E44873">
        <w:rPr>
          <w:b/>
          <w:sz w:val="36"/>
          <w:szCs w:val="36"/>
        </w:rPr>
        <w:t xml:space="preserve">Tablet containing </w:t>
      </w:r>
      <w:r w:rsidR="00AD4B02" w:rsidRPr="00E44873">
        <w:rPr>
          <w:b/>
          <w:sz w:val="36"/>
          <w:szCs w:val="36"/>
        </w:rPr>
        <w:t>cabotegravir</w:t>
      </w:r>
      <w:r w:rsidRPr="00E44873">
        <w:rPr>
          <w:b/>
          <w:sz w:val="36"/>
          <w:szCs w:val="36"/>
        </w:rPr>
        <w:t xml:space="preserve"> 30</w:t>
      </w:r>
      <w:r w:rsidR="00BE3B97">
        <w:rPr>
          <w:b/>
          <w:sz w:val="36"/>
          <w:szCs w:val="36"/>
        </w:rPr>
        <w:t xml:space="preserve"> </w:t>
      </w:r>
      <w:r w:rsidRPr="00E44873">
        <w:rPr>
          <w:b/>
          <w:sz w:val="36"/>
          <w:szCs w:val="36"/>
        </w:rPr>
        <w:t>mg</w:t>
      </w:r>
      <w:r w:rsidR="00B60939" w:rsidRPr="00E44873">
        <w:rPr>
          <w:b/>
          <w:sz w:val="36"/>
          <w:szCs w:val="36"/>
        </w:rPr>
        <w:t xml:space="preserve">, </w:t>
      </w:r>
      <w:r w:rsidR="003B40BF" w:rsidRPr="00E44873">
        <w:rPr>
          <w:b/>
          <w:sz w:val="36"/>
          <w:szCs w:val="36"/>
        </w:rPr>
        <w:br/>
      </w:r>
      <w:r w:rsidR="00AD4B02" w:rsidRPr="00E44873">
        <w:rPr>
          <w:b/>
          <w:sz w:val="36"/>
          <w:szCs w:val="36"/>
        </w:rPr>
        <w:t>Vocabria®</w:t>
      </w:r>
      <w:r w:rsidR="00516B68" w:rsidRPr="00E44873">
        <w:rPr>
          <w:b/>
          <w:sz w:val="36"/>
          <w:szCs w:val="36"/>
        </w:rPr>
        <w:t>,</w:t>
      </w:r>
      <w:r w:rsidR="00AD4B02" w:rsidRPr="00E44873">
        <w:rPr>
          <w:b/>
          <w:sz w:val="36"/>
          <w:szCs w:val="36"/>
        </w:rPr>
        <w:t xml:space="preserve"> </w:t>
      </w:r>
      <w:r w:rsidR="00B37F2B" w:rsidRPr="00E44873">
        <w:rPr>
          <w:b/>
          <w:sz w:val="36"/>
          <w:szCs w:val="36"/>
        </w:rPr>
        <w:br/>
      </w:r>
      <w:r w:rsidR="001A4C0F" w:rsidRPr="00E44873">
        <w:rPr>
          <w:b/>
          <w:sz w:val="36"/>
          <w:szCs w:val="36"/>
        </w:rPr>
        <w:t>Pack containing 1 i</w:t>
      </w:r>
      <w:r w:rsidRPr="00E44873">
        <w:rPr>
          <w:b/>
          <w:sz w:val="36"/>
          <w:szCs w:val="36"/>
        </w:rPr>
        <w:t xml:space="preserve">njection </w:t>
      </w:r>
      <w:r w:rsidR="001A4C0F" w:rsidRPr="00E44873">
        <w:rPr>
          <w:b/>
          <w:sz w:val="36"/>
          <w:szCs w:val="36"/>
        </w:rPr>
        <w:t xml:space="preserve">of </w:t>
      </w:r>
      <w:r w:rsidRPr="00E44873">
        <w:rPr>
          <w:b/>
          <w:sz w:val="36"/>
          <w:szCs w:val="36"/>
        </w:rPr>
        <w:t>cabotegravir 600</w:t>
      </w:r>
      <w:r w:rsidR="00BE3B97">
        <w:rPr>
          <w:b/>
          <w:sz w:val="36"/>
          <w:szCs w:val="36"/>
        </w:rPr>
        <w:t xml:space="preserve"> </w:t>
      </w:r>
      <w:r w:rsidRPr="00E44873">
        <w:rPr>
          <w:b/>
          <w:sz w:val="36"/>
          <w:szCs w:val="36"/>
        </w:rPr>
        <w:t xml:space="preserve">mg </w:t>
      </w:r>
      <w:r w:rsidR="002F3ACF" w:rsidRPr="00E44873">
        <w:rPr>
          <w:b/>
          <w:sz w:val="36"/>
          <w:szCs w:val="36"/>
        </w:rPr>
        <w:t xml:space="preserve">in 3 mL </w:t>
      </w:r>
      <w:r w:rsidRPr="00E44873">
        <w:rPr>
          <w:b/>
          <w:sz w:val="36"/>
          <w:szCs w:val="36"/>
        </w:rPr>
        <w:t xml:space="preserve">and </w:t>
      </w:r>
      <w:r w:rsidR="001A4C0F" w:rsidRPr="00E44873">
        <w:rPr>
          <w:b/>
          <w:sz w:val="36"/>
          <w:szCs w:val="36"/>
        </w:rPr>
        <w:t xml:space="preserve">1 </w:t>
      </w:r>
      <w:r w:rsidRPr="00E44873">
        <w:rPr>
          <w:b/>
          <w:sz w:val="36"/>
          <w:szCs w:val="36"/>
        </w:rPr>
        <w:t xml:space="preserve">injection </w:t>
      </w:r>
      <w:r w:rsidR="001A4C0F" w:rsidRPr="00E44873">
        <w:rPr>
          <w:b/>
          <w:sz w:val="36"/>
          <w:szCs w:val="36"/>
        </w:rPr>
        <w:t xml:space="preserve">of </w:t>
      </w:r>
      <w:r w:rsidRPr="00E44873">
        <w:rPr>
          <w:b/>
          <w:sz w:val="36"/>
          <w:szCs w:val="36"/>
        </w:rPr>
        <w:t>rilpivirine 900</w:t>
      </w:r>
      <w:r w:rsidR="00BE3B97">
        <w:rPr>
          <w:b/>
          <w:sz w:val="36"/>
          <w:szCs w:val="36"/>
        </w:rPr>
        <w:t xml:space="preserve"> </w:t>
      </w:r>
      <w:r w:rsidRPr="00E44873">
        <w:rPr>
          <w:b/>
          <w:sz w:val="36"/>
          <w:szCs w:val="36"/>
        </w:rPr>
        <w:t>mg</w:t>
      </w:r>
      <w:r w:rsidR="002F3ACF" w:rsidRPr="00E44873">
        <w:rPr>
          <w:b/>
          <w:sz w:val="36"/>
          <w:szCs w:val="36"/>
        </w:rPr>
        <w:t xml:space="preserve"> in 3 mL</w:t>
      </w:r>
      <w:r w:rsidR="003B40BF" w:rsidRPr="00E44873">
        <w:rPr>
          <w:b/>
          <w:sz w:val="36"/>
          <w:szCs w:val="36"/>
        </w:rPr>
        <w:t xml:space="preserve">, </w:t>
      </w:r>
      <w:r w:rsidRPr="00E44873">
        <w:rPr>
          <w:b/>
          <w:sz w:val="36"/>
          <w:szCs w:val="36"/>
        </w:rPr>
        <w:t xml:space="preserve"> </w:t>
      </w:r>
      <w:r w:rsidR="003B40BF" w:rsidRPr="00E44873">
        <w:rPr>
          <w:b/>
          <w:sz w:val="36"/>
          <w:szCs w:val="36"/>
        </w:rPr>
        <w:br/>
      </w:r>
      <w:r w:rsidRPr="00E44873">
        <w:rPr>
          <w:b/>
          <w:sz w:val="36"/>
          <w:szCs w:val="36"/>
        </w:rPr>
        <w:t>Cabenuva®</w:t>
      </w:r>
      <w:r w:rsidR="00B60939" w:rsidRPr="00E44873">
        <w:rPr>
          <w:b/>
          <w:sz w:val="36"/>
          <w:szCs w:val="36"/>
        </w:rPr>
        <w:t xml:space="preserve">, </w:t>
      </w:r>
      <w:r w:rsidR="003B40BF" w:rsidRPr="00E44873">
        <w:rPr>
          <w:b/>
          <w:sz w:val="36"/>
          <w:szCs w:val="36"/>
        </w:rPr>
        <w:br/>
      </w:r>
      <w:r w:rsidR="00AD4B02" w:rsidRPr="00E44873">
        <w:rPr>
          <w:b/>
          <w:sz w:val="36"/>
          <w:szCs w:val="36"/>
        </w:rPr>
        <w:t xml:space="preserve">ViiV Healthcare Pty Ltd. </w:t>
      </w:r>
    </w:p>
    <w:p w:rsidR="00433044" w:rsidRPr="00E44873" w:rsidRDefault="00433044" w:rsidP="00281014">
      <w:pPr>
        <w:pStyle w:val="BodyText"/>
      </w:pPr>
    </w:p>
    <w:p w:rsidR="00B60939" w:rsidRPr="00E44873" w:rsidRDefault="00B60939" w:rsidP="00207D00"/>
    <w:p w:rsidR="00B50DB8" w:rsidRPr="00E44873" w:rsidRDefault="00B50DB8" w:rsidP="009C682B">
      <w:pPr>
        <w:pStyle w:val="PBACHeading1"/>
      </w:pPr>
      <w:bookmarkStart w:id="0" w:name="_Toc62034922"/>
      <w:r w:rsidRPr="00E44873">
        <w:t>Purpose of Application</w:t>
      </w:r>
      <w:bookmarkEnd w:id="0"/>
    </w:p>
    <w:p w:rsidR="00D31976" w:rsidRPr="00E44873" w:rsidRDefault="00D31976" w:rsidP="00D31976"/>
    <w:p w:rsidR="00D31976" w:rsidRPr="00E44873" w:rsidRDefault="009A5115" w:rsidP="00D1387B">
      <w:pPr>
        <w:pStyle w:val="ListParagraph"/>
        <w:numPr>
          <w:ilvl w:val="1"/>
          <w:numId w:val="1"/>
        </w:numPr>
      </w:pPr>
      <w:r w:rsidRPr="00E44873">
        <w:t xml:space="preserve">The submission requested a </w:t>
      </w:r>
      <w:r w:rsidR="00D31976" w:rsidRPr="00E44873">
        <w:t>Section 100 (Highly Specialised Drug</w:t>
      </w:r>
      <w:r w:rsidR="00AB5116" w:rsidRPr="00E44873">
        <w:t>s</w:t>
      </w:r>
      <w:r w:rsidR="00D31976" w:rsidRPr="00E44873">
        <w:t xml:space="preserve"> Program - Community Access)</w:t>
      </w:r>
      <w:r w:rsidR="00AB5116" w:rsidRPr="00E44873">
        <w:t>, Authority Required (STREAMLINED)</w:t>
      </w:r>
      <w:r w:rsidR="00474F06" w:rsidRPr="00E44873">
        <w:t xml:space="preserve"> </w:t>
      </w:r>
      <w:r w:rsidR="00D31976" w:rsidRPr="00E44873">
        <w:t>listing for cabotegravir (CAB)</w:t>
      </w:r>
      <w:r w:rsidR="00AB5116" w:rsidRPr="00E44873">
        <w:t xml:space="preserve"> </w:t>
      </w:r>
      <w:r w:rsidR="00474F06" w:rsidRPr="00E44873">
        <w:t xml:space="preserve">long acting (LA) injection and rilpivirine (RPV) LA injection (combination pack with the tradename Cabenuva), and CAB </w:t>
      </w:r>
      <w:r w:rsidR="00AB5116" w:rsidRPr="00E44873">
        <w:t xml:space="preserve">tablets (trade name Vocabria) </w:t>
      </w:r>
      <w:r w:rsidR="00D31976" w:rsidRPr="00E44873">
        <w:t>for treatment of HIV in virologically suppressed patients</w:t>
      </w:r>
      <w:r w:rsidR="00AB5116" w:rsidRPr="00E44873">
        <w:t xml:space="preserve"> (at initiation)</w:t>
      </w:r>
      <w:r w:rsidR="00D31976" w:rsidRPr="00E44873">
        <w:t>. This was the first submission for</w:t>
      </w:r>
      <w:r w:rsidR="00AB5116" w:rsidRPr="00E44873">
        <w:t xml:space="preserve"> </w:t>
      </w:r>
      <w:r w:rsidR="00D31976" w:rsidRPr="00E44873">
        <w:t xml:space="preserve">CAB LA + RPV LA </w:t>
      </w:r>
      <w:r w:rsidR="00474F06" w:rsidRPr="00E44873">
        <w:t xml:space="preserve">and oral CAB </w:t>
      </w:r>
      <w:r w:rsidR="00D31976" w:rsidRPr="00E44873">
        <w:t xml:space="preserve">considered by the PBAC. </w:t>
      </w:r>
    </w:p>
    <w:p w:rsidR="00B55ADC" w:rsidRPr="007C0A49" w:rsidRDefault="00D31976" w:rsidP="000C2164">
      <w:pPr>
        <w:pStyle w:val="ListParagraph"/>
        <w:widowControl/>
        <w:numPr>
          <w:ilvl w:val="1"/>
          <w:numId w:val="1"/>
        </w:numPr>
        <w:spacing w:after="120"/>
        <w:rPr>
          <w:iCs/>
        </w:rPr>
      </w:pPr>
      <w:r w:rsidRPr="00E44873">
        <w:t>Listing was requested on the basis of a cost benefit analysis (CBA) against</w:t>
      </w:r>
      <w:r w:rsidR="00AB5116" w:rsidRPr="00E44873">
        <w:t xml:space="preserve"> a</w:t>
      </w:r>
      <w:r w:rsidRPr="00E44873">
        <w:t xml:space="preserve"> comparator</w:t>
      </w:r>
      <w:r w:rsidR="00AB5116" w:rsidRPr="00E44873">
        <w:t xml:space="preserve"> of a fixed dose combination </w:t>
      </w:r>
      <w:r w:rsidR="00414D05" w:rsidRPr="00E44873">
        <w:t xml:space="preserve">(FDC) </w:t>
      </w:r>
      <w:r w:rsidR="00AB5116" w:rsidRPr="00E44873">
        <w:t xml:space="preserve">of </w:t>
      </w:r>
      <w:r w:rsidRPr="00E44873">
        <w:t xml:space="preserve">dolutegravir (DTG) and RPV (DTG/RPV, with the tradename Juluca) based on the submission’s claim of “non-inferior antiviral effectiveness and improved patient acceptability for CAB LA + RPV LA”. </w:t>
      </w:r>
    </w:p>
    <w:p w:rsidR="00D31976" w:rsidRPr="00E44873" w:rsidRDefault="00B90AC3" w:rsidP="00D1387B">
      <w:pPr>
        <w:pStyle w:val="ListParagraph"/>
        <w:widowControl/>
        <w:numPr>
          <w:ilvl w:val="1"/>
          <w:numId w:val="1"/>
        </w:numPr>
        <w:spacing w:after="120"/>
      </w:pPr>
      <w:r w:rsidRPr="00B90AC3">
        <w:t>Table 1</w:t>
      </w:r>
      <w:r w:rsidR="00B55ADC" w:rsidRPr="00E44873">
        <w:t xml:space="preserve"> </w:t>
      </w:r>
      <w:r w:rsidR="00D31976" w:rsidRPr="00E44873">
        <w:t xml:space="preserve">summaries the key components of the clinical issue addressed by the submission. </w:t>
      </w:r>
    </w:p>
    <w:p w:rsidR="00D31976" w:rsidRPr="00E44873" w:rsidRDefault="00B55ADC" w:rsidP="00B55ADC">
      <w:pPr>
        <w:pStyle w:val="Caption"/>
        <w:keepNext/>
        <w:spacing w:after="0"/>
        <w:rPr>
          <w:rStyle w:val="CommentReference"/>
          <w:color w:val="auto"/>
          <w:szCs w:val="20"/>
        </w:rPr>
      </w:pPr>
      <w:bookmarkStart w:id="1" w:name="_Ref59487453"/>
      <w:r w:rsidRPr="00E44873">
        <w:rPr>
          <w:rFonts w:ascii="Arial Narrow" w:hAnsi="Arial Narrow"/>
          <w:color w:val="auto"/>
          <w:sz w:val="20"/>
          <w:szCs w:val="20"/>
        </w:rPr>
        <w:lastRenderedPageBreak/>
        <w:t xml:space="preserve">Table </w:t>
      </w:r>
      <w:r w:rsidR="00B90AC3">
        <w:rPr>
          <w:rFonts w:ascii="Arial Narrow" w:hAnsi="Arial Narrow"/>
          <w:noProof/>
          <w:color w:val="auto"/>
          <w:sz w:val="20"/>
          <w:szCs w:val="20"/>
        </w:rPr>
        <w:t>1</w:t>
      </w:r>
      <w:bookmarkEnd w:id="1"/>
      <w:r w:rsidRPr="00E44873">
        <w:rPr>
          <w:rStyle w:val="CommentReference"/>
          <w:color w:val="auto"/>
          <w:szCs w:val="20"/>
        </w:rPr>
        <w:t xml:space="preserve">: </w:t>
      </w:r>
      <w:r w:rsidR="00D31976" w:rsidRPr="00E44873">
        <w:rPr>
          <w:rStyle w:val="CommentReference"/>
          <w:b/>
          <w:color w:val="auto"/>
          <w:szCs w:val="20"/>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3"/>
        <w:gridCol w:w="7904"/>
      </w:tblGrid>
      <w:tr w:rsidR="00D31976" w:rsidRPr="00E44873" w:rsidTr="009B3D3F">
        <w:tc>
          <w:tcPr>
            <w:tcW w:w="617" w:type="pct"/>
            <w:vAlign w:val="center"/>
          </w:tcPr>
          <w:p w:rsidR="00D31976" w:rsidRPr="00E44873" w:rsidRDefault="00D31976" w:rsidP="00B55ADC">
            <w:pPr>
              <w:pStyle w:val="Tabletext"/>
              <w:keepNext/>
              <w:keepLines/>
              <w:rPr>
                <w:b/>
              </w:rPr>
            </w:pPr>
            <w:r w:rsidRPr="00E44873">
              <w:rPr>
                <w:b/>
              </w:rPr>
              <w:t>Component</w:t>
            </w:r>
          </w:p>
        </w:tc>
        <w:tc>
          <w:tcPr>
            <w:tcW w:w="4383" w:type="pct"/>
            <w:vAlign w:val="center"/>
          </w:tcPr>
          <w:p w:rsidR="00D31976" w:rsidRPr="00E44873" w:rsidRDefault="00D31976" w:rsidP="00B55ADC">
            <w:pPr>
              <w:pStyle w:val="Tabletext"/>
              <w:keepNext/>
              <w:keepLines/>
              <w:jc w:val="center"/>
              <w:rPr>
                <w:b/>
              </w:rPr>
            </w:pPr>
            <w:r w:rsidRPr="00E44873">
              <w:rPr>
                <w:b/>
              </w:rPr>
              <w:t>Description</w:t>
            </w:r>
          </w:p>
        </w:tc>
      </w:tr>
      <w:tr w:rsidR="00D31976" w:rsidRPr="00E44873" w:rsidTr="009B3D3F">
        <w:tc>
          <w:tcPr>
            <w:tcW w:w="617" w:type="pct"/>
            <w:vAlign w:val="center"/>
          </w:tcPr>
          <w:p w:rsidR="00D31976" w:rsidRPr="00E44873" w:rsidRDefault="00D31976" w:rsidP="00B55ADC">
            <w:pPr>
              <w:pStyle w:val="Tabletext"/>
              <w:keepNext/>
              <w:keepLines/>
            </w:pPr>
            <w:r w:rsidRPr="00E44873">
              <w:t>Population</w:t>
            </w:r>
          </w:p>
        </w:tc>
        <w:tc>
          <w:tcPr>
            <w:tcW w:w="4383" w:type="pct"/>
            <w:vAlign w:val="center"/>
          </w:tcPr>
          <w:p w:rsidR="00D31976" w:rsidRPr="00E44873" w:rsidRDefault="00D31976" w:rsidP="00B55ADC">
            <w:pPr>
              <w:pStyle w:val="Tabletext"/>
              <w:keepNext/>
              <w:keepLines/>
            </w:pPr>
            <w:r w:rsidRPr="00E44873">
              <w:t>Treatment of HIV infection in adults who are virologically suppressed (HIV-1 RNA &lt;50 copies per mL) and switching therapy.</w:t>
            </w:r>
          </w:p>
        </w:tc>
      </w:tr>
      <w:tr w:rsidR="00D31976" w:rsidRPr="00E44873" w:rsidTr="009B3D3F">
        <w:tc>
          <w:tcPr>
            <w:tcW w:w="617" w:type="pct"/>
            <w:vAlign w:val="center"/>
          </w:tcPr>
          <w:p w:rsidR="00D31976" w:rsidRPr="00E44873" w:rsidRDefault="00D31976" w:rsidP="00B55ADC">
            <w:pPr>
              <w:pStyle w:val="Tabletext"/>
              <w:keepNext/>
              <w:keepLines/>
            </w:pPr>
            <w:r w:rsidRPr="00E44873">
              <w:t>Intervention</w:t>
            </w:r>
          </w:p>
        </w:tc>
        <w:tc>
          <w:tcPr>
            <w:tcW w:w="4383" w:type="pct"/>
            <w:vAlign w:val="center"/>
          </w:tcPr>
          <w:p w:rsidR="00D31976" w:rsidRPr="00E44873" w:rsidRDefault="00D31976" w:rsidP="00D1387B">
            <w:pPr>
              <w:pStyle w:val="Tabletext"/>
              <w:keepNext/>
              <w:keepLines/>
              <w:numPr>
                <w:ilvl w:val="2"/>
                <w:numId w:val="9"/>
              </w:numPr>
              <w:ind w:left="316" w:hanging="284"/>
            </w:pPr>
            <w:r w:rsidRPr="00E44873">
              <w:t>Oral lead in: CAB 30mg PO once daily and RPV 25mg PO once daily for ONE month</w:t>
            </w:r>
          </w:p>
          <w:p w:rsidR="00D31976" w:rsidRPr="00E44873" w:rsidRDefault="00D31976" w:rsidP="00D1387B">
            <w:pPr>
              <w:pStyle w:val="Tabletext"/>
              <w:keepNext/>
              <w:keepLines/>
              <w:numPr>
                <w:ilvl w:val="2"/>
                <w:numId w:val="9"/>
              </w:numPr>
              <w:ind w:left="316" w:hanging="284"/>
            </w:pPr>
            <w:r w:rsidRPr="00E44873">
              <w:t>Initiation injection: CAB 600mg (3mL) IM and RPV 900mg (3mL) IM at separate gluteal sites</w:t>
            </w:r>
          </w:p>
          <w:p w:rsidR="00D31976" w:rsidRPr="00E44873" w:rsidRDefault="00D31976" w:rsidP="00D1387B">
            <w:pPr>
              <w:pStyle w:val="Tabletext"/>
              <w:keepNext/>
              <w:keepLines/>
              <w:numPr>
                <w:ilvl w:val="0"/>
                <w:numId w:val="8"/>
              </w:numPr>
              <w:ind w:left="316" w:hanging="284"/>
            </w:pPr>
            <w:r w:rsidRPr="00E44873">
              <w:t>Continuation injection: one month following initiation injection: CAB 600mg (3mL) IM and RPV 900mg (3mL) IM at separate gluteal sites then every TWO months</w:t>
            </w:r>
          </w:p>
        </w:tc>
      </w:tr>
      <w:tr w:rsidR="00D31976" w:rsidRPr="00E44873" w:rsidTr="009B3D3F">
        <w:tc>
          <w:tcPr>
            <w:tcW w:w="617" w:type="pct"/>
            <w:vAlign w:val="center"/>
          </w:tcPr>
          <w:p w:rsidR="00D31976" w:rsidRPr="00E44873" w:rsidRDefault="00D31976" w:rsidP="00B55ADC">
            <w:pPr>
              <w:pStyle w:val="Tabletext"/>
              <w:keepNext/>
              <w:keepLines/>
            </w:pPr>
            <w:r w:rsidRPr="00E44873">
              <w:t>Comparator</w:t>
            </w:r>
          </w:p>
        </w:tc>
        <w:tc>
          <w:tcPr>
            <w:tcW w:w="4383" w:type="pct"/>
            <w:vAlign w:val="center"/>
          </w:tcPr>
          <w:p w:rsidR="00D31976" w:rsidRPr="00E44873" w:rsidRDefault="00D31976" w:rsidP="00B55ADC">
            <w:pPr>
              <w:pStyle w:val="Tabletext"/>
              <w:keepNext/>
              <w:keepLines/>
            </w:pPr>
            <w:r w:rsidRPr="00E44873">
              <w:t>DTG/RPV Juluca (same HIV treatment class to CAB LA + RPV LA; e.g. dual therapy containing the same NNRTI with an INSTI, indicated for treatment experienced PLHIV and restricted for use as the ‘sole PBS-subsidised therapy for HIV’)</w:t>
            </w:r>
          </w:p>
        </w:tc>
      </w:tr>
      <w:tr w:rsidR="00D31976" w:rsidRPr="00E44873" w:rsidTr="009B3D3F">
        <w:tc>
          <w:tcPr>
            <w:tcW w:w="617" w:type="pct"/>
            <w:vAlign w:val="center"/>
          </w:tcPr>
          <w:p w:rsidR="00D31976" w:rsidRPr="00E44873" w:rsidRDefault="00D31976" w:rsidP="00B55ADC">
            <w:pPr>
              <w:pStyle w:val="Tabletext"/>
              <w:keepNext/>
              <w:keepLines/>
            </w:pPr>
            <w:r w:rsidRPr="00E44873">
              <w:t>Outcomes</w:t>
            </w:r>
          </w:p>
        </w:tc>
        <w:tc>
          <w:tcPr>
            <w:tcW w:w="4383" w:type="pct"/>
            <w:vAlign w:val="center"/>
          </w:tcPr>
          <w:p w:rsidR="00D31976" w:rsidRPr="00E44873" w:rsidRDefault="00D31976" w:rsidP="00B55ADC">
            <w:pPr>
              <w:pStyle w:val="Tabletext"/>
              <w:keepNext/>
              <w:keepLines/>
            </w:pPr>
            <w:r w:rsidRPr="00E44873">
              <w:t>Primary:</w:t>
            </w:r>
          </w:p>
          <w:p w:rsidR="00D31976" w:rsidRPr="00E44873" w:rsidRDefault="00D31976" w:rsidP="00D1387B">
            <w:pPr>
              <w:pStyle w:val="Tabletext"/>
              <w:keepNext/>
              <w:keepLines/>
              <w:numPr>
                <w:ilvl w:val="2"/>
                <w:numId w:val="9"/>
              </w:numPr>
              <w:ind w:left="316" w:hanging="284"/>
            </w:pPr>
            <w:r w:rsidRPr="00E44873">
              <w:t>Proportion of subjects with HIV-1 RNA ≥50 copies/ml at week 48</w:t>
            </w:r>
          </w:p>
          <w:p w:rsidR="00D31976" w:rsidRPr="00E44873" w:rsidRDefault="00D31976" w:rsidP="00B55ADC">
            <w:pPr>
              <w:pStyle w:val="Tabletext"/>
              <w:keepNext/>
              <w:keepLines/>
            </w:pPr>
            <w:r w:rsidRPr="00E44873">
              <w:t>Secondary:</w:t>
            </w:r>
          </w:p>
          <w:p w:rsidR="00D31976" w:rsidRPr="00E44873" w:rsidRDefault="00D31976" w:rsidP="00D1387B">
            <w:pPr>
              <w:pStyle w:val="Tabletext"/>
              <w:keepNext/>
              <w:keepLines/>
              <w:numPr>
                <w:ilvl w:val="2"/>
                <w:numId w:val="9"/>
              </w:numPr>
              <w:ind w:left="316" w:hanging="284"/>
            </w:pPr>
            <w:r w:rsidRPr="00E44873">
              <w:t>Proportion of participants with Plasma HIV-1 RNA &lt;50 copies/mL</w:t>
            </w:r>
          </w:p>
          <w:p w:rsidR="00D31976" w:rsidRPr="00E44873" w:rsidRDefault="00D31976" w:rsidP="00D1387B">
            <w:pPr>
              <w:pStyle w:val="Tabletext"/>
              <w:keepNext/>
              <w:keepLines/>
              <w:numPr>
                <w:ilvl w:val="2"/>
                <w:numId w:val="9"/>
              </w:numPr>
              <w:ind w:left="316" w:hanging="284"/>
            </w:pPr>
            <w:r w:rsidRPr="00E44873">
              <w:t>Incidence of treatment emergent genotypic and phenotypic resistance in subjects with confirmed virologic failure (CVF)</w:t>
            </w:r>
          </w:p>
          <w:p w:rsidR="00D31976" w:rsidRPr="00E44873" w:rsidRDefault="00D31976" w:rsidP="00D1387B">
            <w:pPr>
              <w:pStyle w:val="Tabletext"/>
              <w:keepNext/>
              <w:keepLines/>
              <w:numPr>
                <w:ilvl w:val="2"/>
                <w:numId w:val="9"/>
              </w:numPr>
              <w:ind w:left="316" w:hanging="284"/>
            </w:pPr>
            <w:r w:rsidRPr="00E44873">
              <w:t>Incidence of disease progression (HIV associated conditions, AIDS, death)</w:t>
            </w:r>
          </w:p>
          <w:p w:rsidR="00D31976" w:rsidRPr="00E44873" w:rsidRDefault="00D31976" w:rsidP="00D1387B">
            <w:pPr>
              <w:pStyle w:val="Tabletext"/>
              <w:keepNext/>
              <w:keepLines/>
              <w:numPr>
                <w:ilvl w:val="2"/>
                <w:numId w:val="9"/>
              </w:numPr>
              <w:ind w:left="316" w:hanging="284"/>
            </w:pPr>
            <w:r w:rsidRPr="00E44873">
              <w:t>Incidence and severity of AE and laboratory abnormalities</w:t>
            </w:r>
          </w:p>
          <w:p w:rsidR="00D31976" w:rsidRPr="00E44873" w:rsidRDefault="00D31976" w:rsidP="00D1387B">
            <w:pPr>
              <w:pStyle w:val="Tabletext"/>
              <w:keepNext/>
              <w:keepLines/>
              <w:numPr>
                <w:ilvl w:val="2"/>
                <w:numId w:val="9"/>
              </w:numPr>
              <w:ind w:left="316" w:hanging="284"/>
            </w:pPr>
            <w:r w:rsidRPr="00E44873">
              <w:t>Treatment satisfaction using HIVTSQ</w:t>
            </w:r>
          </w:p>
        </w:tc>
      </w:tr>
      <w:tr w:rsidR="00D31976" w:rsidRPr="00E44873" w:rsidTr="009B3D3F">
        <w:tc>
          <w:tcPr>
            <w:tcW w:w="617" w:type="pct"/>
            <w:vAlign w:val="center"/>
          </w:tcPr>
          <w:p w:rsidR="00D31976" w:rsidRPr="00E44873" w:rsidRDefault="00D31976" w:rsidP="00B55ADC">
            <w:pPr>
              <w:pStyle w:val="Tabletext"/>
              <w:keepNext/>
              <w:keepLines/>
            </w:pPr>
            <w:r w:rsidRPr="00E44873">
              <w:t>Clinical claim</w:t>
            </w:r>
          </w:p>
        </w:tc>
        <w:tc>
          <w:tcPr>
            <w:tcW w:w="4383" w:type="pct"/>
            <w:vAlign w:val="center"/>
          </w:tcPr>
          <w:p w:rsidR="00D31976" w:rsidRPr="00E44873" w:rsidRDefault="00D31976" w:rsidP="00D1387B">
            <w:pPr>
              <w:pStyle w:val="Tabletext"/>
              <w:keepNext/>
              <w:keepLines/>
              <w:numPr>
                <w:ilvl w:val="2"/>
                <w:numId w:val="9"/>
              </w:numPr>
              <w:ind w:left="316" w:hanging="284"/>
            </w:pPr>
            <w:r w:rsidRPr="00E44873">
              <w:t xml:space="preserve">CAB LA + RPV LA is non-inferior in terms of effectiveness in comparison to DTG/RPV for the treatment of HIV infection in treatment experienced patients.  </w:t>
            </w:r>
          </w:p>
          <w:p w:rsidR="00D31976" w:rsidRPr="00E44873" w:rsidRDefault="00D31976" w:rsidP="00D1387B">
            <w:pPr>
              <w:pStyle w:val="Tabletext"/>
              <w:keepNext/>
              <w:keepLines/>
              <w:numPr>
                <w:ilvl w:val="2"/>
                <w:numId w:val="9"/>
              </w:numPr>
              <w:ind w:left="316" w:hanging="284"/>
            </w:pPr>
            <w:r w:rsidRPr="00E44873">
              <w:t xml:space="preserve">CAB LA + RPV LA provides additional benefits to patients who have an unmet need for an alternative to daily oral ART (QoL impacts such as anxiety and worry due to the requirement to adhere to daily treatment, stigma and associated reminder of disease, fear of unintentional disclosure, patient preference, convenience, less frequent dosing and medical conditions affecting oral dosing).  </w:t>
            </w:r>
          </w:p>
          <w:p w:rsidR="00D31976" w:rsidRPr="00E44873" w:rsidRDefault="00D31976" w:rsidP="00D1387B">
            <w:pPr>
              <w:pStyle w:val="Tabletext"/>
              <w:keepNext/>
              <w:keepLines/>
              <w:numPr>
                <w:ilvl w:val="2"/>
                <w:numId w:val="9"/>
              </w:numPr>
              <w:ind w:left="316" w:hanging="284"/>
            </w:pPr>
            <w:r w:rsidRPr="00E44873">
              <w:t>CAB LA + RPV LA has an acceptable safety profile for the treatment of HIV infection.</w:t>
            </w:r>
          </w:p>
        </w:tc>
      </w:tr>
    </w:tbl>
    <w:p w:rsidR="00D31976" w:rsidRPr="00E44873" w:rsidRDefault="00D31976" w:rsidP="00B55ADC">
      <w:pPr>
        <w:pStyle w:val="TableFooter"/>
        <w:keepNext/>
        <w:keepLines/>
      </w:pPr>
      <w:r w:rsidRPr="00E44873">
        <w:t>Source: Table 3 of the submission.</w:t>
      </w:r>
    </w:p>
    <w:p w:rsidR="003623A1" w:rsidRPr="00E44873" w:rsidRDefault="003623A1" w:rsidP="003623A1">
      <w:pPr>
        <w:pStyle w:val="TableFooter"/>
        <w:keepNext/>
        <w:keepLines/>
      </w:pPr>
      <w:r w:rsidRPr="00E44873">
        <w:t>AIDS = acquired immunodeficiency syndrome; CAB = cabotegravir; DTG = dolutegravir; HIV = Human Immunodeficiency Virus; HIVSTQ= HIV treatment satisfaction questionnaire; IM = intramuscular; INSTI = integrase strand transfer inhibitor (INSTI); LA = long acting; NNRTI = non-nucleotide reverse transcriptase inhibitors; PLHIV = people living with HIV; PO = orally; RNA = ribonucleic acid; QoL = quality of life; RPV = rilpivirine</w:t>
      </w:r>
    </w:p>
    <w:p w:rsidR="00D31976" w:rsidRPr="00E44873" w:rsidRDefault="00D31976" w:rsidP="00D31976"/>
    <w:p w:rsidR="004F29F3" w:rsidRPr="00E44873" w:rsidRDefault="004F29F3">
      <w:pPr>
        <w:widowControl/>
        <w:jc w:val="left"/>
        <w:rPr>
          <w:b/>
          <w:sz w:val="32"/>
        </w:rPr>
      </w:pPr>
      <w:r w:rsidRPr="00E44873">
        <w:br w:type="page"/>
      </w:r>
    </w:p>
    <w:p w:rsidR="00D31976" w:rsidRPr="00E44873" w:rsidRDefault="00D31976" w:rsidP="00D31976">
      <w:pPr>
        <w:pStyle w:val="PBACHeading1"/>
      </w:pPr>
      <w:bookmarkStart w:id="2" w:name="_Toc62034923"/>
      <w:r w:rsidRPr="00E44873">
        <w:t>Requested listing</w:t>
      </w:r>
      <w:bookmarkEnd w:id="2"/>
    </w:p>
    <w:p w:rsidR="00D31976" w:rsidRPr="00E44873" w:rsidRDefault="00D31976" w:rsidP="00D31976"/>
    <w:tbl>
      <w:tblPr>
        <w:tblW w:w="4977" w:type="pct"/>
        <w:tblInd w:w="28" w:type="dxa"/>
        <w:tblCellMar>
          <w:left w:w="28" w:type="dxa"/>
          <w:right w:w="28" w:type="dxa"/>
        </w:tblCellMar>
        <w:tblLook w:val="0000" w:firstRow="0" w:lastRow="0" w:firstColumn="0" w:lastColumn="0" w:noHBand="0" w:noVBand="0"/>
      </w:tblPr>
      <w:tblGrid>
        <w:gridCol w:w="2802"/>
        <w:gridCol w:w="1923"/>
        <w:gridCol w:w="1420"/>
        <w:gridCol w:w="1420"/>
        <w:gridCol w:w="1420"/>
      </w:tblGrid>
      <w:tr w:rsidR="00D31976" w:rsidRPr="00E44873" w:rsidTr="00AD4B02">
        <w:trPr>
          <w:cantSplit/>
          <w:trHeight w:val="463"/>
        </w:trPr>
        <w:tc>
          <w:tcPr>
            <w:tcW w:w="1559" w:type="pct"/>
            <w:tcBorders>
              <w:top w:val="single" w:sz="4" w:space="0" w:color="auto"/>
              <w:bottom w:val="single" w:sz="4" w:space="0" w:color="auto"/>
            </w:tcBorders>
            <w:vAlign w:val="center"/>
          </w:tcPr>
          <w:p w:rsidR="00D31976" w:rsidRPr="00E44873" w:rsidRDefault="00D31976" w:rsidP="00AD4B02">
            <w:pPr>
              <w:keepNext/>
              <w:jc w:val="left"/>
              <w:rPr>
                <w:rFonts w:ascii="Arial Narrow" w:hAnsi="Arial Narrow"/>
                <w:b/>
                <w:sz w:val="20"/>
              </w:rPr>
            </w:pPr>
            <w:r w:rsidRPr="00E44873">
              <w:rPr>
                <w:rFonts w:ascii="Arial Narrow" w:hAnsi="Arial Narrow"/>
                <w:b/>
                <w:sz w:val="20"/>
              </w:rPr>
              <w:t>Name, Restriction,</w:t>
            </w:r>
          </w:p>
          <w:p w:rsidR="00D31976" w:rsidRPr="00E44873" w:rsidRDefault="00D31976" w:rsidP="00AD4B02">
            <w:pPr>
              <w:keepNext/>
              <w:jc w:val="left"/>
              <w:rPr>
                <w:rFonts w:ascii="Arial Narrow" w:hAnsi="Arial Narrow"/>
                <w:b/>
                <w:sz w:val="20"/>
              </w:rPr>
            </w:pPr>
            <w:r w:rsidRPr="00E44873">
              <w:rPr>
                <w:rFonts w:ascii="Arial Narrow" w:hAnsi="Arial Narrow"/>
                <w:b/>
                <w:sz w:val="20"/>
              </w:rPr>
              <w:t>Manner of administration and form</w:t>
            </w:r>
          </w:p>
        </w:tc>
        <w:tc>
          <w:tcPr>
            <w:tcW w:w="107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b/>
                <w:sz w:val="20"/>
              </w:rPr>
            </w:pPr>
            <w:r w:rsidRPr="00E44873">
              <w:rPr>
                <w:rFonts w:ascii="Arial Narrow" w:hAnsi="Arial Narrow"/>
                <w:b/>
                <w:sz w:val="20"/>
              </w:rPr>
              <w:t>Max.</w:t>
            </w:r>
          </w:p>
          <w:p w:rsidR="00D31976" w:rsidRPr="00E44873" w:rsidRDefault="00D31976" w:rsidP="00AD4B02">
            <w:pPr>
              <w:keepNext/>
              <w:jc w:val="center"/>
              <w:rPr>
                <w:rFonts w:ascii="Arial Narrow" w:hAnsi="Arial Narrow"/>
                <w:b/>
                <w:sz w:val="20"/>
              </w:rPr>
            </w:pPr>
            <w:r w:rsidRPr="00E44873">
              <w:rPr>
                <w:rFonts w:ascii="Arial Narrow" w:hAnsi="Arial Narrow"/>
                <w:b/>
                <w:sz w:val="20"/>
              </w:rPr>
              <w:t>Qty</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b/>
                <w:sz w:val="20"/>
              </w:rPr>
            </w:pPr>
            <w:r w:rsidRPr="00E44873">
              <w:rPr>
                <w:rFonts w:ascii="Arial Narrow" w:hAnsi="Arial Narrow" w:cs="Times New Roman"/>
                <w:b/>
                <w:sz w:val="20"/>
              </w:rPr>
              <w:t>№</w:t>
            </w:r>
            <w:r w:rsidRPr="00E44873">
              <w:rPr>
                <w:rFonts w:ascii="Arial Narrow" w:hAnsi="Arial Narrow"/>
                <w:b/>
                <w:sz w:val="20"/>
              </w:rPr>
              <w:t>.of</w:t>
            </w:r>
          </w:p>
          <w:p w:rsidR="00D31976" w:rsidRPr="00E44873" w:rsidRDefault="00D31976" w:rsidP="00AD4B02">
            <w:pPr>
              <w:keepNext/>
              <w:jc w:val="center"/>
              <w:rPr>
                <w:rFonts w:ascii="Arial Narrow" w:hAnsi="Arial Narrow"/>
                <w:b/>
                <w:sz w:val="20"/>
              </w:rPr>
            </w:pPr>
            <w:r w:rsidRPr="00E44873">
              <w:rPr>
                <w:rFonts w:ascii="Arial Narrow" w:hAnsi="Arial Narrow"/>
                <w:b/>
                <w:sz w:val="20"/>
              </w:rPr>
              <w:t>Rpts</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b/>
                <w:sz w:val="20"/>
              </w:rPr>
            </w:pPr>
            <w:r w:rsidRPr="00E44873">
              <w:rPr>
                <w:rFonts w:ascii="Arial Narrow" w:hAnsi="Arial Narrow"/>
                <w:b/>
                <w:sz w:val="20"/>
              </w:rPr>
              <w:t>Dispensed Price for Max. Qty</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b/>
                <w:sz w:val="20"/>
                <w:lang w:val="fr-FR"/>
              </w:rPr>
            </w:pPr>
            <w:r w:rsidRPr="00E44873">
              <w:rPr>
                <w:rFonts w:ascii="Arial Narrow" w:hAnsi="Arial Narrow"/>
                <w:b/>
                <w:sz w:val="20"/>
              </w:rPr>
              <w:t>Proprietary Name and Manufacturer</w:t>
            </w:r>
          </w:p>
        </w:tc>
      </w:tr>
      <w:tr w:rsidR="00D31976" w:rsidRPr="00E44873" w:rsidTr="00AD4B02">
        <w:trPr>
          <w:cantSplit/>
          <w:trHeight w:val="567"/>
        </w:trPr>
        <w:tc>
          <w:tcPr>
            <w:tcW w:w="1559" w:type="pct"/>
            <w:tcBorders>
              <w:top w:val="single" w:sz="4" w:space="0" w:color="auto"/>
              <w:bottom w:val="single" w:sz="4" w:space="0" w:color="auto"/>
            </w:tcBorders>
            <w:vAlign w:val="center"/>
          </w:tcPr>
          <w:p w:rsidR="00D31976" w:rsidRPr="00E44873" w:rsidRDefault="00D31976" w:rsidP="00AD4B02">
            <w:pPr>
              <w:keepNext/>
              <w:jc w:val="left"/>
              <w:rPr>
                <w:rFonts w:ascii="Arial Narrow" w:hAnsi="Arial Narrow"/>
                <w:sz w:val="20"/>
              </w:rPr>
            </w:pPr>
            <w:r w:rsidRPr="00E44873">
              <w:rPr>
                <w:rFonts w:ascii="Arial Narrow" w:hAnsi="Arial Narrow"/>
                <w:sz w:val="20"/>
              </w:rPr>
              <w:t>Cabotegravir 30 mg, oral tablets</w:t>
            </w:r>
            <w:r w:rsidR="008B387E" w:rsidRPr="00E44873">
              <w:rPr>
                <w:rFonts w:ascii="Arial Narrow" w:hAnsi="Arial Narrow"/>
                <w:sz w:val="20"/>
              </w:rPr>
              <w:t>, 30</w:t>
            </w:r>
          </w:p>
        </w:tc>
        <w:tc>
          <w:tcPr>
            <w:tcW w:w="107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1</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0</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w:t>
            </w:r>
            <w:r w:rsidR="000D517E">
              <w:rPr>
                <w:rFonts w:ascii="Arial Narrow" w:hAnsi="Arial Narrow"/>
                <w:noProof/>
                <w:color w:val="000000"/>
                <w:sz w:val="20"/>
                <w:highlight w:val="black"/>
              </w:rPr>
              <w:t>'''''''''''''''''</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 xml:space="preserve">Vocabria®, </w:t>
            </w:r>
          </w:p>
          <w:p w:rsidR="00D31976" w:rsidRPr="00E44873" w:rsidRDefault="00D31976" w:rsidP="00AD4B02">
            <w:pPr>
              <w:keepNext/>
              <w:jc w:val="center"/>
              <w:rPr>
                <w:rFonts w:ascii="Arial Narrow" w:hAnsi="Arial Narrow"/>
                <w:sz w:val="20"/>
              </w:rPr>
            </w:pPr>
            <w:r w:rsidRPr="00E44873">
              <w:rPr>
                <w:rFonts w:ascii="Arial Narrow" w:hAnsi="Arial Narrow"/>
                <w:sz w:val="20"/>
              </w:rPr>
              <w:t>ViiV Healthcare Pty Ltd</w:t>
            </w:r>
          </w:p>
        </w:tc>
      </w:tr>
      <w:tr w:rsidR="00D31976" w:rsidRPr="00E44873" w:rsidTr="00AD4B02">
        <w:trPr>
          <w:cantSplit/>
          <w:trHeight w:val="567"/>
        </w:trPr>
        <w:tc>
          <w:tcPr>
            <w:tcW w:w="1559" w:type="pct"/>
            <w:tcBorders>
              <w:top w:val="single" w:sz="4" w:space="0" w:color="auto"/>
              <w:bottom w:val="single" w:sz="4" w:space="0" w:color="auto"/>
            </w:tcBorders>
            <w:vAlign w:val="center"/>
          </w:tcPr>
          <w:p w:rsidR="00D31976" w:rsidRPr="00E44873" w:rsidRDefault="00D31976" w:rsidP="00AD4B02">
            <w:pPr>
              <w:keepNext/>
              <w:jc w:val="left"/>
              <w:rPr>
                <w:rFonts w:ascii="Arial Narrow" w:hAnsi="Arial Narrow"/>
                <w:smallCaps/>
                <w:sz w:val="20"/>
              </w:rPr>
            </w:pPr>
            <w:r w:rsidRPr="00E44873">
              <w:rPr>
                <w:rFonts w:ascii="Arial Narrow" w:hAnsi="Arial Narrow"/>
                <w:sz w:val="20"/>
              </w:rPr>
              <w:t>Cabotegravir</w:t>
            </w:r>
            <w:r w:rsidR="00760D47" w:rsidRPr="00E44873">
              <w:rPr>
                <w:rFonts w:ascii="Arial Narrow" w:hAnsi="Arial Narrow"/>
                <w:sz w:val="20"/>
              </w:rPr>
              <w:t xml:space="preserve"> 600 mg in 3mL single-dose vial</w:t>
            </w:r>
            <w:r w:rsidRPr="00E44873">
              <w:rPr>
                <w:rFonts w:ascii="Arial Narrow" w:hAnsi="Arial Narrow"/>
                <w:sz w:val="20"/>
              </w:rPr>
              <w:t xml:space="preserve"> and Rilpivirine</w:t>
            </w:r>
            <w:r w:rsidR="00760D47" w:rsidRPr="00E44873">
              <w:rPr>
                <w:rFonts w:ascii="Arial Narrow" w:hAnsi="Arial Narrow"/>
                <w:sz w:val="20"/>
              </w:rPr>
              <w:t xml:space="preserve"> 900 mg in 3mL single dose vial,</w:t>
            </w:r>
            <w:r w:rsidRPr="00E44873">
              <w:rPr>
                <w:rFonts w:ascii="Arial Narrow" w:hAnsi="Arial Narrow"/>
                <w:sz w:val="20"/>
              </w:rPr>
              <w:t xml:space="preserve"> long-acting suspension for injection</w:t>
            </w:r>
            <w:r w:rsidR="00760D47" w:rsidRPr="00E44873">
              <w:rPr>
                <w:rFonts w:ascii="Arial Narrow" w:hAnsi="Arial Narrow"/>
                <w:sz w:val="20"/>
              </w:rPr>
              <w:t>, 1 pack</w:t>
            </w:r>
          </w:p>
        </w:tc>
        <w:tc>
          <w:tcPr>
            <w:tcW w:w="1070" w:type="pct"/>
            <w:tcBorders>
              <w:top w:val="single" w:sz="4" w:space="0" w:color="auto"/>
              <w:bottom w:val="single" w:sz="4" w:space="0" w:color="auto"/>
            </w:tcBorders>
            <w:vAlign w:val="center"/>
          </w:tcPr>
          <w:p w:rsidR="00D31976" w:rsidRPr="00E44873" w:rsidRDefault="00D31976" w:rsidP="00760D47">
            <w:pPr>
              <w:keepNext/>
              <w:jc w:val="center"/>
              <w:rPr>
                <w:rFonts w:ascii="Arial Narrow" w:hAnsi="Arial Narrow"/>
                <w:sz w:val="20"/>
              </w:rPr>
            </w:pPr>
            <w:r w:rsidRPr="00E44873">
              <w:rPr>
                <w:rFonts w:ascii="Arial Narrow" w:hAnsi="Arial Narrow"/>
                <w:sz w:val="20"/>
              </w:rPr>
              <w:t xml:space="preserve">1 pack </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p>
          <w:p w:rsidR="00D31976" w:rsidRPr="00E44873" w:rsidRDefault="00D31976" w:rsidP="00AD4B02">
            <w:pPr>
              <w:keepNext/>
              <w:jc w:val="center"/>
              <w:rPr>
                <w:rFonts w:ascii="Arial Narrow" w:hAnsi="Arial Narrow"/>
                <w:sz w:val="20"/>
              </w:rPr>
            </w:pPr>
            <w:r w:rsidRPr="00E44873">
              <w:rPr>
                <w:rFonts w:ascii="Arial Narrow" w:hAnsi="Arial Narrow"/>
                <w:sz w:val="20"/>
              </w:rPr>
              <w:t>5</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$2,827.74 (pub)</w:t>
            </w:r>
          </w:p>
          <w:p w:rsidR="00D31976" w:rsidRPr="00E44873" w:rsidRDefault="00D31976" w:rsidP="00AD4B02">
            <w:pPr>
              <w:keepNext/>
              <w:jc w:val="center"/>
              <w:rPr>
                <w:rFonts w:ascii="Arial Narrow" w:hAnsi="Arial Narrow"/>
                <w:sz w:val="20"/>
              </w:rPr>
            </w:pPr>
            <w:r w:rsidRPr="00E44873">
              <w:rPr>
                <w:rFonts w:ascii="Arial Narrow" w:hAnsi="Arial Narrow"/>
                <w:sz w:val="20"/>
              </w:rPr>
              <w:t>$</w:t>
            </w:r>
            <w:r w:rsidR="000D517E">
              <w:rPr>
                <w:rFonts w:ascii="Arial Narrow" w:hAnsi="Arial Narrow"/>
                <w:noProof/>
                <w:color w:val="000000"/>
                <w:sz w:val="20"/>
                <w:highlight w:val="black"/>
              </w:rPr>
              <w:t xml:space="preserve">''''''''''''''''''''''' </w:t>
            </w:r>
            <w:r w:rsidRPr="00E44873">
              <w:rPr>
                <w:rFonts w:ascii="Arial Narrow" w:hAnsi="Arial Narrow"/>
                <w:sz w:val="20"/>
              </w:rPr>
              <w:t>(eff)</w:t>
            </w:r>
          </w:p>
        </w:tc>
        <w:tc>
          <w:tcPr>
            <w:tcW w:w="790" w:type="pct"/>
            <w:tcBorders>
              <w:top w:val="single" w:sz="4" w:space="0" w:color="auto"/>
              <w:bottom w:val="single" w:sz="4" w:space="0" w:color="auto"/>
            </w:tcBorders>
            <w:vAlign w:val="center"/>
          </w:tcPr>
          <w:p w:rsidR="00D31976" w:rsidRPr="00E44873" w:rsidRDefault="00D31976" w:rsidP="00AD4B02">
            <w:pPr>
              <w:keepNext/>
              <w:jc w:val="center"/>
              <w:rPr>
                <w:rFonts w:ascii="Arial Narrow" w:hAnsi="Arial Narrow"/>
                <w:sz w:val="20"/>
              </w:rPr>
            </w:pPr>
            <w:r w:rsidRPr="00E44873">
              <w:rPr>
                <w:rFonts w:ascii="Arial Narrow" w:hAnsi="Arial Narrow"/>
                <w:sz w:val="20"/>
              </w:rPr>
              <w:t>Cabenuva®, ViiV Healthcare Pty Ltd</w:t>
            </w:r>
          </w:p>
        </w:tc>
      </w:tr>
    </w:tbl>
    <w:p w:rsidR="00D31976" w:rsidRPr="00E44873" w:rsidRDefault="00D31976" w:rsidP="00D31976"/>
    <w:p w:rsidR="00D31976" w:rsidRPr="00E44873" w:rsidRDefault="00D31976" w:rsidP="00B55ADC">
      <w:pPr>
        <w:pStyle w:val="Tabletext"/>
        <w:keepNext/>
        <w:keepLines/>
        <w:rPr>
          <w:b/>
          <w:szCs w:val="16"/>
        </w:rPr>
      </w:pPr>
      <w:r w:rsidRPr="00E44873">
        <w:rPr>
          <w:rStyle w:val="CommentReference"/>
        </w:rPr>
        <w:t>Requested restriction cabotegravir tablets</w:t>
      </w:r>
    </w:p>
    <w:tbl>
      <w:tblPr>
        <w:tblW w:w="5000" w:type="pct"/>
        <w:tblLook w:val="0000" w:firstRow="0" w:lastRow="0" w:firstColumn="0" w:lastColumn="0" w:noHBand="0" w:noVBand="0"/>
      </w:tblPr>
      <w:tblGrid>
        <w:gridCol w:w="3450"/>
        <w:gridCol w:w="5567"/>
      </w:tblGrid>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Episodicity:</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Chronic</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Condition:</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HIV infection</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Treatment phase:</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Initial</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Restriction:</w:t>
            </w:r>
          </w:p>
          <w:p w:rsidR="00D31976" w:rsidRPr="00E44873" w:rsidRDefault="00D31976" w:rsidP="00B55ADC">
            <w:pPr>
              <w:pStyle w:val="Tabletext"/>
              <w:keepNext/>
              <w:keepLines/>
            </w:pPr>
            <w:r w:rsidRPr="00E44873">
              <w:t>Section 100 Highly Specialised Drugs Program (Community Access)</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fldChar w:fldCharType="begin">
                <w:ffData>
                  <w:name w:val="Check5"/>
                  <w:enabled/>
                  <w:calcOnExit w:val="0"/>
                  <w:checkBox>
                    <w:sizeAuto/>
                    <w:default w:val="1"/>
                  </w:checkBox>
                </w:ffData>
              </w:fldChar>
            </w:r>
            <w:r w:rsidRPr="00E44873">
              <w:instrText xml:space="preserve"> FORMCHECKBOX </w:instrText>
            </w:r>
            <w:r w:rsidR="00700013">
              <w:fldChar w:fldCharType="separate"/>
            </w:r>
            <w:r w:rsidRPr="00E44873">
              <w:fldChar w:fldCharType="end"/>
            </w:r>
            <w:r w:rsidRPr="00E44873">
              <w:t>Streamlined</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Treatment criteria:</w:t>
            </w:r>
          </w:p>
          <w:p w:rsidR="00D31976" w:rsidRPr="00E44873" w:rsidRDefault="00D31976" w:rsidP="00B55ADC">
            <w:pPr>
              <w:pStyle w:val="Tabletext"/>
              <w:keepNext/>
              <w:keepLines/>
            </w:pP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Patient must be virologically suppressed on a stable antiretroviral regimen for at least 6 months AND</w:t>
            </w:r>
          </w:p>
          <w:p w:rsidR="00D31976" w:rsidRPr="00E44873" w:rsidRDefault="00D31976" w:rsidP="00B55ADC">
            <w:pPr>
              <w:pStyle w:val="Tabletext"/>
              <w:keepNext/>
              <w:keepLines/>
            </w:pPr>
            <w:r w:rsidRPr="00E44873">
              <w:t>Treatment must be prescribed in combination with rilpivirine tablets</w:t>
            </w:r>
          </w:p>
          <w:p w:rsidR="00D31976" w:rsidRPr="00E44873" w:rsidRDefault="00D31976" w:rsidP="00B55ADC">
            <w:pPr>
              <w:pStyle w:val="Tabletext"/>
              <w:keepNext/>
              <w:keepLines/>
            </w:pPr>
          </w:p>
          <w:p w:rsidR="00D31976" w:rsidRPr="00E44873" w:rsidRDefault="00D31976" w:rsidP="00B55ADC">
            <w:pPr>
              <w:pStyle w:val="Tabletext"/>
              <w:keepNext/>
              <w:keepLines/>
            </w:pPr>
            <w:r w:rsidRPr="00E44873">
              <w:t>Patient must intend to commence intramuscular administration of antiviral treatment.</w:t>
            </w:r>
          </w:p>
        </w:tc>
      </w:tr>
    </w:tbl>
    <w:p w:rsidR="00D31976" w:rsidRPr="00E44873" w:rsidRDefault="00D31976" w:rsidP="00B55ADC">
      <w:pPr>
        <w:pStyle w:val="TableFooter"/>
        <w:keepNext/>
        <w:keepLines/>
      </w:pPr>
      <w:r w:rsidRPr="00E44873">
        <w:t xml:space="preserve">Source: Table 7, p37 of the submission. </w:t>
      </w:r>
    </w:p>
    <w:p w:rsidR="00D31976" w:rsidRPr="00E44873" w:rsidRDefault="00D31976" w:rsidP="00D31976">
      <w:pPr>
        <w:pStyle w:val="TableFooter"/>
      </w:pPr>
    </w:p>
    <w:p w:rsidR="00D31976" w:rsidRPr="00E44873" w:rsidRDefault="00D31976" w:rsidP="00B55ADC">
      <w:pPr>
        <w:keepNext/>
        <w:keepLines/>
      </w:pPr>
      <w:r w:rsidRPr="00E44873">
        <w:rPr>
          <w:rStyle w:val="CommentReference"/>
        </w:rPr>
        <w:t>Requested restriction cabotegravir long acting and rilpivirine long acting injection</w:t>
      </w:r>
    </w:p>
    <w:tbl>
      <w:tblPr>
        <w:tblW w:w="5000" w:type="pct"/>
        <w:tblLook w:val="0000" w:firstRow="0" w:lastRow="0" w:firstColumn="0" w:lastColumn="0" w:noHBand="0" w:noVBand="0"/>
      </w:tblPr>
      <w:tblGrid>
        <w:gridCol w:w="3450"/>
        <w:gridCol w:w="5567"/>
      </w:tblGrid>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Episodicity:</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Chronic</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Condition:</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HIV infection</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Treatment phase:</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t>Continuing</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Restriction:</w:t>
            </w:r>
          </w:p>
          <w:p w:rsidR="00D31976" w:rsidRPr="00E44873" w:rsidRDefault="00D31976" w:rsidP="00B55ADC">
            <w:pPr>
              <w:pStyle w:val="Tabletext"/>
              <w:keepNext/>
              <w:keepLines/>
            </w:pPr>
            <w:r w:rsidRPr="00E44873">
              <w:t>Section 100 Highly Specialised Drugs Program (Community Access)</w:t>
            </w: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pPr>
            <w:r w:rsidRPr="00E44873">
              <w:fldChar w:fldCharType="begin">
                <w:ffData>
                  <w:name w:val="Check5"/>
                  <w:enabled/>
                  <w:calcOnExit w:val="0"/>
                  <w:checkBox>
                    <w:sizeAuto/>
                    <w:default w:val="1"/>
                  </w:checkBox>
                </w:ffData>
              </w:fldChar>
            </w:r>
            <w:r w:rsidRPr="00E44873">
              <w:instrText xml:space="preserve"> FORMCHECKBOX </w:instrText>
            </w:r>
            <w:r w:rsidR="00700013">
              <w:fldChar w:fldCharType="separate"/>
            </w:r>
            <w:r w:rsidRPr="00E44873">
              <w:fldChar w:fldCharType="end"/>
            </w:r>
            <w:r w:rsidRPr="00E44873">
              <w:t>Streamlined</w:t>
            </w:r>
          </w:p>
        </w:tc>
      </w:tr>
      <w:tr w:rsidR="00D31976" w:rsidRPr="00E44873" w:rsidTr="009B3D3F">
        <w:trPr>
          <w:cantSplit/>
        </w:trPr>
        <w:tc>
          <w:tcPr>
            <w:tcW w:w="1913"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b/>
              </w:rPr>
            </w:pPr>
            <w:r w:rsidRPr="00E44873">
              <w:rPr>
                <w:b/>
              </w:rPr>
              <w:t>Treatment criteria:</w:t>
            </w:r>
          </w:p>
          <w:p w:rsidR="00D31976" w:rsidRPr="00E44873" w:rsidRDefault="00D31976" w:rsidP="00B55ADC">
            <w:pPr>
              <w:pStyle w:val="Tabletext"/>
              <w:keepNext/>
              <w:keepLines/>
            </w:pPr>
          </w:p>
        </w:tc>
        <w:tc>
          <w:tcPr>
            <w:tcW w:w="3087" w:type="pct"/>
            <w:tcBorders>
              <w:top w:val="single" w:sz="4" w:space="0" w:color="auto"/>
              <w:left w:val="single" w:sz="4" w:space="0" w:color="auto"/>
              <w:bottom w:val="single" w:sz="4" w:space="0" w:color="auto"/>
              <w:right w:val="single" w:sz="4" w:space="0" w:color="auto"/>
            </w:tcBorders>
          </w:tcPr>
          <w:p w:rsidR="00D31976" w:rsidRPr="00E44873" w:rsidRDefault="00D31976" w:rsidP="00B55ADC">
            <w:pPr>
              <w:pStyle w:val="Tabletext"/>
              <w:keepNext/>
              <w:keepLines/>
              <w:rPr>
                <w:rFonts w:cs="Arial"/>
              </w:rPr>
            </w:pPr>
            <w:r w:rsidRPr="00E44873">
              <w:rPr>
                <w:rFonts w:cs="Arial"/>
              </w:rPr>
              <w:t>Patient must have previously received PBS-subsidised therapy for this condition.</w:t>
            </w:r>
          </w:p>
          <w:p w:rsidR="00D31976" w:rsidRPr="00E44873" w:rsidRDefault="00D31976" w:rsidP="00B55ADC">
            <w:pPr>
              <w:pStyle w:val="Tabletext"/>
              <w:keepNext/>
              <w:keepLines/>
              <w:rPr>
                <w:rFonts w:cs="Arial"/>
              </w:rPr>
            </w:pPr>
            <w:r w:rsidRPr="00E44873">
              <w:rPr>
                <w:rFonts w:cs="Arial"/>
              </w:rPr>
              <w:t>AND</w:t>
            </w:r>
          </w:p>
          <w:p w:rsidR="00D31976" w:rsidRPr="00E44873" w:rsidRDefault="00D31976" w:rsidP="00B55ADC">
            <w:pPr>
              <w:pStyle w:val="Tabletext"/>
              <w:keepNext/>
              <w:keepLines/>
              <w:rPr>
                <w:rFonts w:cs="Arial"/>
              </w:rPr>
            </w:pPr>
            <w:r w:rsidRPr="00E44873">
              <w:rPr>
                <w:rFonts w:cs="Arial"/>
              </w:rPr>
              <w:t>Patient must have previously received one-month treatment with oral cabotegravir and rilpivirine</w:t>
            </w:r>
          </w:p>
          <w:p w:rsidR="00D31976" w:rsidRPr="00E44873" w:rsidRDefault="00D31976" w:rsidP="00B55ADC">
            <w:pPr>
              <w:pStyle w:val="Tabletext"/>
              <w:keepNext/>
              <w:keepLines/>
              <w:rPr>
                <w:rFonts w:cs="Arial"/>
              </w:rPr>
            </w:pPr>
            <w:r w:rsidRPr="00E44873">
              <w:rPr>
                <w:rFonts w:cs="Arial"/>
              </w:rPr>
              <w:t>AND</w:t>
            </w:r>
          </w:p>
          <w:p w:rsidR="00D31976" w:rsidRPr="00E44873" w:rsidRDefault="00D31976" w:rsidP="00B55ADC">
            <w:pPr>
              <w:pStyle w:val="Tabletext"/>
              <w:keepNext/>
              <w:keepLines/>
              <w:rPr>
                <w:rFonts w:cs="Arial"/>
              </w:rPr>
            </w:pPr>
            <w:r w:rsidRPr="00E44873">
              <w:rPr>
                <w:rFonts w:cs="Arial"/>
              </w:rPr>
              <w:t>The treatment must be the sole PBS-subsidised therapy for this indication.</w:t>
            </w:r>
          </w:p>
        </w:tc>
      </w:tr>
    </w:tbl>
    <w:p w:rsidR="00D31976" w:rsidRPr="00E44873" w:rsidRDefault="00D31976" w:rsidP="00B55ADC">
      <w:pPr>
        <w:pStyle w:val="TableFooter"/>
        <w:keepNext/>
        <w:keepLines/>
      </w:pPr>
      <w:r w:rsidRPr="00E44873">
        <w:t xml:space="preserve">Source: Table 8, p37 of the submission. </w:t>
      </w:r>
    </w:p>
    <w:p w:rsidR="00D31976" w:rsidRPr="00E44873" w:rsidRDefault="00D31976" w:rsidP="00D31976"/>
    <w:p w:rsidR="00D31976" w:rsidRPr="00E44873" w:rsidRDefault="00D31976" w:rsidP="00D1387B">
      <w:pPr>
        <w:pStyle w:val="ListParagraph"/>
        <w:widowControl/>
        <w:numPr>
          <w:ilvl w:val="1"/>
          <w:numId w:val="1"/>
        </w:numPr>
      </w:pPr>
      <w:r w:rsidRPr="00E44873">
        <w:t xml:space="preserve">A special pricing arrangement was proposed. The requested price was based on a CBA versus </w:t>
      </w:r>
      <w:r w:rsidR="00B55ADC" w:rsidRPr="00E44873">
        <w:t xml:space="preserve">the </w:t>
      </w:r>
      <w:r w:rsidRPr="00E44873">
        <w:t>DTG/RPV</w:t>
      </w:r>
      <w:r w:rsidR="00B55ADC" w:rsidRPr="00E44873">
        <w:t xml:space="preserve"> FDC</w:t>
      </w:r>
      <w:r w:rsidRPr="00E44873">
        <w:t xml:space="preserve">. </w:t>
      </w:r>
    </w:p>
    <w:p w:rsidR="001848A7" w:rsidRPr="00E44873" w:rsidRDefault="001848A7" w:rsidP="00D1387B">
      <w:pPr>
        <w:pStyle w:val="ListParagraph"/>
        <w:widowControl/>
        <w:numPr>
          <w:ilvl w:val="1"/>
          <w:numId w:val="1"/>
        </w:numPr>
        <w:rPr>
          <w:iCs/>
        </w:rPr>
      </w:pPr>
      <w:r w:rsidRPr="00E44873">
        <w:t xml:space="preserve">The draft </w:t>
      </w:r>
      <w:r w:rsidR="00B0040F" w:rsidRPr="00E44873">
        <w:t>product information</w:t>
      </w:r>
      <w:r w:rsidRPr="00E44873">
        <w:t xml:space="preserve"> describes the oral tolerability testing as ‘recommended’ rather than mandatory, however the requested listing describes this as mandatory prior to commencing LA therapy. </w:t>
      </w:r>
      <w:r w:rsidR="0046465A" w:rsidRPr="00E44873">
        <w:t>The Pre-Sub-Committee Response</w:t>
      </w:r>
      <w:r w:rsidR="00FC550D">
        <w:t xml:space="preserve"> (PSCR)</w:t>
      </w:r>
      <w:r w:rsidR="0046465A" w:rsidRPr="00E44873">
        <w:t xml:space="preserve"> </w:t>
      </w:r>
      <w:r w:rsidR="00C13933" w:rsidRPr="00E44873">
        <w:t>stated that oral tolerability testing will not be mandatory and noted the requested restriction should be adjusted accordingly.</w:t>
      </w:r>
    </w:p>
    <w:p w:rsidR="00D31976" w:rsidRPr="00E44873" w:rsidRDefault="00D31976" w:rsidP="00D1387B">
      <w:pPr>
        <w:pStyle w:val="ListParagraph"/>
        <w:widowControl/>
        <w:numPr>
          <w:ilvl w:val="1"/>
          <w:numId w:val="1"/>
        </w:numPr>
        <w:rPr>
          <w:iCs/>
        </w:rPr>
      </w:pPr>
      <w:r w:rsidRPr="00E44873">
        <w:t>The submission noted that oral therapy</w:t>
      </w:r>
      <w:r w:rsidR="00B55ADC" w:rsidRPr="00E44873">
        <w:t xml:space="preserve"> (oral bridging) with CAB and RPV tablets</w:t>
      </w:r>
      <w:r w:rsidRPr="00E44873">
        <w:t xml:space="preserve"> may be used to replace up to two month</w:t>
      </w:r>
      <w:r w:rsidR="00605578" w:rsidRPr="00E44873">
        <w:t>s of</w:t>
      </w:r>
      <w:r w:rsidRPr="00E44873">
        <w:t xml:space="preserve"> injections. However, the requested restriction for CAB tablets only covers the initial phase, and does not cover </w:t>
      </w:r>
      <w:r w:rsidR="00B55ADC" w:rsidRPr="00E44873">
        <w:t xml:space="preserve">use </w:t>
      </w:r>
      <w:r w:rsidRPr="00E44873">
        <w:t xml:space="preserve">for </w:t>
      </w:r>
      <w:r w:rsidR="00B55ADC" w:rsidRPr="00E44873">
        <w:t xml:space="preserve">this oral bridging </w:t>
      </w:r>
      <w:r w:rsidRPr="00E44873">
        <w:t>in the event where a deviation of more than 7 days from a scheduled injection visit cannot be avoided</w:t>
      </w:r>
      <w:r w:rsidR="0076179F" w:rsidRPr="00E44873">
        <w:t xml:space="preserve">. </w:t>
      </w:r>
      <w:r w:rsidR="00FC7756" w:rsidRPr="00E44873">
        <w:t>It may be clinically relevant to list oral CAB to allow for patients to remain on treatm</w:t>
      </w:r>
      <w:r w:rsidR="009C682B" w:rsidRPr="00E44873">
        <w:t xml:space="preserve">ent where there may be expected short-term gaps in LA injectable therapy. However, conversely, there is a risk of leakage of oral CAB tablets for ongoing use, beyond the recommended maximum of 2 months in the draft </w:t>
      </w:r>
      <w:r w:rsidR="00B0040F" w:rsidRPr="00E44873">
        <w:t>product information</w:t>
      </w:r>
      <w:r w:rsidR="002A5CD3" w:rsidRPr="00E44873">
        <w:t>.</w:t>
      </w:r>
      <w:r w:rsidR="00DD74DC" w:rsidRPr="00E44873">
        <w:t xml:space="preserve"> The PSCR noted that the requested listing in the submission did not include provision for short term oral dosing for planned missed LA injectable doses and requested this be included in the listing. </w:t>
      </w:r>
    </w:p>
    <w:p w:rsidR="00D31976" w:rsidRPr="00E44873" w:rsidRDefault="00D31976" w:rsidP="00D1387B">
      <w:pPr>
        <w:pStyle w:val="ListParagraph"/>
        <w:widowControl/>
        <w:numPr>
          <w:ilvl w:val="1"/>
          <w:numId w:val="1"/>
        </w:numPr>
        <w:rPr>
          <w:iCs/>
        </w:rPr>
      </w:pPr>
      <w:r w:rsidRPr="00E44873">
        <w:t xml:space="preserve">The draft product information contains information on two different dosing regimens – a one monthly dosing regimen and a two monthly dosing regimen. </w:t>
      </w:r>
      <w:r w:rsidR="00E467A6" w:rsidRPr="00E44873">
        <w:t xml:space="preserve">The TGA Advisory Committee on Medicines (ACM) advised that both one monthly and two monthly dosing schedules are approvable, with the recommendation that the decision about which schedule to choose should be left up to the discretion of the treating clinician and that the regimen should be changed if the two monthly dosage schedule does not result in maintenance of viral suppression. </w:t>
      </w:r>
      <w:r w:rsidRPr="00E44873">
        <w:t>PBS listing was only being sought for the CAB LA 600mg + RPV LA 900mg strength</w:t>
      </w:r>
      <w:r w:rsidR="00605578" w:rsidRPr="00E44873">
        <w:t>, dosed two monthly</w:t>
      </w:r>
      <w:r w:rsidRPr="00E44873">
        <w:rPr>
          <w:iCs/>
        </w:rPr>
        <w:t>.</w:t>
      </w:r>
      <w:r w:rsidR="00C13933" w:rsidRPr="00E44873">
        <w:t xml:space="preserve"> The PSCR indicated the sponsor does not intend to bring the 1-monthly </w:t>
      </w:r>
      <w:r w:rsidR="00DD74DC" w:rsidRPr="00E44873">
        <w:t>regimen vials to the Australian market if the 2-monthly regimen is registered by the TGA and therefore listing was not sought for that regimen.</w:t>
      </w:r>
    </w:p>
    <w:p w:rsidR="00E44873" w:rsidRPr="00E44873" w:rsidRDefault="00D31976" w:rsidP="00E44873">
      <w:pPr>
        <w:pStyle w:val="ListParagraph"/>
        <w:widowControl/>
        <w:numPr>
          <w:ilvl w:val="1"/>
          <w:numId w:val="1"/>
        </w:numPr>
        <w:rPr>
          <w:iCs/>
        </w:rPr>
      </w:pPr>
      <w:r w:rsidRPr="00E44873">
        <w:t>The proposed ‘two monthly’ dosage frequency was not entirely consistent with the clinical trial, in which patients were treated every eight weeks</w:t>
      </w:r>
      <w:r w:rsidR="00541CB1" w:rsidRPr="00E44873">
        <w:t xml:space="preserve"> (Q8W)</w:t>
      </w:r>
      <w:r w:rsidRPr="00E44873">
        <w:t>. These were not comparable, with a Q8W dosing frequency suggesting 56 days between injections (as used in ATLAS-2M trial) and the requested ‘two monthly’ dosing frequency suggesting ~61 days between injections. The difference of five days between ‘two monthly’ and Q8W frequency may be clinically relevant, as this was almost equal to the allowed deviation (seven days) of the scheduled injection according to the draft product information and in ATLAS-2M.</w:t>
      </w:r>
      <w:r w:rsidR="003E3D64" w:rsidRPr="00E44873">
        <w:t xml:space="preserve"> This means that a patient who has a dose </w:t>
      </w:r>
      <w:r w:rsidR="003E3D64" w:rsidRPr="00E44873">
        <w:rPr>
          <w:rFonts w:cs="Calibri"/>
        </w:rPr>
        <w:t>≥</w:t>
      </w:r>
      <w:r w:rsidR="003E3D64" w:rsidRPr="00E44873">
        <w:t>3 days later than expected at a ‘two monthly’ frequency (</w:t>
      </w:r>
      <w:r w:rsidR="003E3D64" w:rsidRPr="00E44873">
        <w:rPr>
          <w:rFonts w:cs="Calibri"/>
        </w:rPr>
        <w:t>≥</w:t>
      </w:r>
      <w:r w:rsidR="003E3D64" w:rsidRPr="00E44873">
        <w:t>64 days between doses), while still within the allowable deviation according to the draft product information (maximum = 61 + 7 = 68 days between doses) would have had a ‘missed dose’ by the definition of ATLAS-2M (56 + 7 = 63 days maximum between doses). Given that the drug levels are likely to be lowest at the end of a dosing interval, this discrepancy in the maintenance frequency could plausibly have an impact on the efficacy of CAB LA + RPV LA as lower drug levels were more likely to lead to virological failure.</w:t>
      </w:r>
      <w:r w:rsidR="009328A4" w:rsidRPr="00E44873">
        <w:t xml:space="preserve"> The PSCR noted the </w:t>
      </w:r>
      <w:r w:rsidR="009328A4" w:rsidRPr="00E44873">
        <w:rPr>
          <w:iCs/>
        </w:rPr>
        <w:t xml:space="preserve">difference in CAB and RPV exposure between every 2 months and Q8W dosing is minimal and the TGA did not query the dosing interval. The ESC noted that even if the impact was considered not to be clinically relevant, this has a tangible impact on the economics and financial estimates. </w:t>
      </w:r>
      <w:r w:rsidR="00DF4F56" w:rsidRPr="00E44873">
        <w:rPr>
          <w:iCs/>
        </w:rPr>
        <w:t>The ESC further requested that more detail on the implementation in Australian clinical practice be provided in the pre-PBAC response, including administration costs for nurse support and clinical scheduling compared to the current 6</w:t>
      </w:r>
      <w:r w:rsidR="00DF4F56" w:rsidRPr="00E44873">
        <w:rPr>
          <w:iCs/>
        </w:rPr>
        <w:noBreakHyphen/>
        <w:t>12 monthly clinic visits, how clinics would manage cold supply chain, and other adjustments required for tighter maintenance schedules.</w:t>
      </w:r>
      <w:r w:rsidR="003C6315">
        <w:rPr>
          <w:iCs/>
        </w:rPr>
        <w:t xml:space="preserve"> The Pre-PBAC Response clarified the sponsor consulted with 27 healthcare professionals across multiple clinics to devise the implementation plan and noted this consultation indicated that most patients will see a doctor every four-to-six months and a nurse in between clinician visits. The Pre-PBAC Response also noted this consultation was used to inform the selection of the MBS item used in the economic model</w:t>
      </w:r>
      <w:r w:rsidR="00B37A7B">
        <w:rPr>
          <w:iCs/>
        </w:rPr>
        <w:t>.</w:t>
      </w:r>
    </w:p>
    <w:p w:rsidR="00E44873" w:rsidRPr="009B3D3F" w:rsidRDefault="00E44873" w:rsidP="009B3D3F">
      <w:pPr>
        <w:pStyle w:val="ListParagraph"/>
        <w:ind w:left="709"/>
        <w:rPr>
          <w:rFonts w:asciiTheme="minorHAnsi" w:hAnsiTheme="minorHAnsi"/>
          <w:i/>
        </w:rPr>
      </w:pPr>
      <w:r w:rsidRPr="00525B39">
        <w:rPr>
          <w:rFonts w:asciiTheme="minorHAnsi" w:hAnsiTheme="minorHAnsi"/>
          <w:i/>
        </w:rPr>
        <w:t>For more detail on PBAC’s view, see section 7 PBAC outcome.</w:t>
      </w:r>
    </w:p>
    <w:p w:rsidR="00D31976" w:rsidRPr="00E44873" w:rsidRDefault="00D31976" w:rsidP="00D31976">
      <w:pPr>
        <w:pStyle w:val="PBACHeading1"/>
      </w:pPr>
      <w:bookmarkStart w:id="3" w:name="_Toc62034924"/>
      <w:r w:rsidRPr="00E44873">
        <w:t>Background</w:t>
      </w:r>
      <w:bookmarkEnd w:id="3"/>
    </w:p>
    <w:p w:rsidR="00D31976" w:rsidRPr="00E44873" w:rsidRDefault="00D31976" w:rsidP="00D31976">
      <w:pPr>
        <w:rPr>
          <w:b/>
          <w:sz w:val="28"/>
          <w:szCs w:val="28"/>
        </w:rPr>
      </w:pPr>
      <w:r w:rsidRPr="00E44873">
        <w:rPr>
          <w:b/>
          <w:sz w:val="28"/>
          <w:szCs w:val="28"/>
        </w:rPr>
        <w:t>Registration status</w:t>
      </w:r>
    </w:p>
    <w:p w:rsidR="00D31976" w:rsidRPr="00E44873" w:rsidRDefault="00D31976" w:rsidP="00D31976"/>
    <w:p w:rsidR="00D31976" w:rsidRPr="00E44873" w:rsidRDefault="00D31976" w:rsidP="00D1387B">
      <w:pPr>
        <w:pStyle w:val="ListParagraph"/>
        <w:numPr>
          <w:ilvl w:val="1"/>
          <w:numId w:val="1"/>
        </w:numPr>
      </w:pPr>
      <w:r w:rsidRPr="00E44873">
        <w:t xml:space="preserve">The submission was made under TGA/PBAC Parallel Process. </w:t>
      </w:r>
      <w:r w:rsidR="00E44873">
        <w:t>Cabotegravir/rilpivirine was TGA registered on 23 February 2021.</w:t>
      </w:r>
    </w:p>
    <w:p w:rsidR="00605578" w:rsidRPr="00E44873" w:rsidRDefault="00D31976" w:rsidP="00D1387B">
      <w:pPr>
        <w:pStyle w:val="ListParagraph"/>
        <w:widowControl/>
        <w:numPr>
          <w:ilvl w:val="1"/>
          <w:numId w:val="1"/>
        </w:numPr>
        <w:spacing w:after="0"/>
      </w:pPr>
      <w:r w:rsidRPr="00E44873">
        <w:t xml:space="preserve">The </w:t>
      </w:r>
      <w:r w:rsidR="00541CB1" w:rsidRPr="00E44873">
        <w:t>indication</w:t>
      </w:r>
      <w:r w:rsidR="00605578" w:rsidRPr="00E44873">
        <w:t>s</w:t>
      </w:r>
      <w:r w:rsidR="00541CB1" w:rsidRPr="00E44873">
        <w:t xml:space="preserve"> are as follows: </w:t>
      </w:r>
    </w:p>
    <w:p w:rsidR="00D31976" w:rsidRPr="00E44873" w:rsidRDefault="006C0DC8" w:rsidP="00605578">
      <w:pPr>
        <w:pStyle w:val="ListParagraph"/>
        <w:widowControl/>
        <w:spacing w:after="0"/>
      </w:pPr>
      <w:r w:rsidRPr="00E44873">
        <w:t>C</w:t>
      </w:r>
      <w:r w:rsidR="00541CB1" w:rsidRPr="00E44873">
        <w:t>abotegravir</w:t>
      </w:r>
      <w:r w:rsidR="00D31976" w:rsidRPr="00E44873">
        <w:t xml:space="preserve"> tablets are indicated in combination with rilpivirine tablets for the short-term treatment of Human Immunodeficiency Virus type 1 (HIV-1) infection in adults who are virologically suppressed (HIV-1 RNA &lt;50 copies/mL) and have no known or suspected resistance to either cabotegravir or rilpivirine for: </w:t>
      </w:r>
    </w:p>
    <w:p w:rsidR="00D31976" w:rsidRPr="00E44873" w:rsidRDefault="00D31976" w:rsidP="00D1387B">
      <w:pPr>
        <w:pStyle w:val="ListParagraph"/>
        <w:numPr>
          <w:ilvl w:val="0"/>
          <w:numId w:val="4"/>
        </w:numPr>
        <w:spacing w:after="0"/>
        <w:ind w:left="993" w:hanging="284"/>
      </w:pPr>
      <w:r w:rsidRPr="00E44873">
        <w:t>oral lead in to assess tolerability of cabotegravir prior to administration of cabotegravir prolonged-release suspension for injection plus rilpivirine prolonged-release suspension for injection</w:t>
      </w:r>
      <w:r w:rsidR="00605578" w:rsidRPr="00E44873">
        <w:t>;</w:t>
      </w:r>
    </w:p>
    <w:p w:rsidR="00D31976" w:rsidRPr="00E44873" w:rsidRDefault="00D31976" w:rsidP="00D1387B">
      <w:pPr>
        <w:pStyle w:val="ListParagraph"/>
        <w:numPr>
          <w:ilvl w:val="0"/>
          <w:numId w:val="4"/>
        </w:numPr>
        <w:spacing w:after="0"/>
        <w:ind w:left="993" w:hanging="284"/>
      </w:pPr>
      <w:r w:rsidRPr="00E44873">
        <w:t>oral therapy for adults who will miss planned dosing with cabotegravir prolonged-release suspension for injection.</w:t>
      </w:r>
      <w:r w:rsidR="00541CB1" w:rsidRPr="00E44873">
        <w:t>; and</w:t>
      </w:r>
    </w:p>
    <w:p w:rsidR="00E44873" w:rsidRDefault="0019586E" w:rsidP="00E44873">
      <w:pPr>
        <w:ind w:left="709"/>
      </w:pPr>
      <w:r w:rsidRPr="00E44873">
        <w:t>C</w:t>
      </w:r>
      <w:r w:rsidR="00D31976" w:rsidRPr="00E44873">
        <w:t>abotegravir long-acting intramuscular injection and rilpivirine long</w:t>
      </w:r>
      <w:r w:rsidR="00541CB1" w:rsidRPr="00E44873">
        <w:t>-acting intramuscular injection</w:t>
      </w:r>
      <w:r w:rsidR="00D31976" w:rsidRPr="00E44873">
        <w:t xml:space="preserve"> is indicated for the treatment of Human Immunodeficiency Virus type 1 (HIV-1) infection in adults who are virologically suppressed (HIV-1 RNA &lt;50 copies per mL) and have no known or suspected resistance to eithe</w:t>
      </w:r>
      <w:r w:rsidR="00541CB1" w:rsidRPr="00E44873">
        <w:t>r cabotegravir or rilpivirine.</w:t>
      </w:r>
    </w:p>
    <w:p w:rsidR="00E44873" w:rsidRDefault="00E44873" w:rsidP="00E44873">
      <w:pPr>
        <w:ind w:left="709"/>
      </w:pPr>
    </w:p>
    <w:p w:rsidR="00E44873" w:rsidRPr="00F90A91" w:rsidRDefault="00E44873" w:rsidP="00E44873">
      <w:pPr>
        <w:pStyle w:val="ListParagraph"/>
        <w:ind w:left="709"/>
        <w:rPr>
          <w:rFonts w:asciiTheme="minorHAnsi" w:hAnsiTheme="minorHAnsi"/>
          <w:i/>
        </w:rPr>
      </w:pPr>
      <w:r w:rsidRPr="00525B39">
        <w:rPr>
          <w:rFonts w:asciiTheme="minorHAnsi" w:hAnsiTheme="minorHAnsi"/>
          <w:i/>
        </w:rPr>
        <w:t>For more detail on PBAC’s view, see section 7 PBAC outcome.</w:t>
      </w:r>
    </w:p>
    <w:p w:rsidR="00E44873" w:rsidRPr="00E44873" w:rsidRDefault="00E44873" w:rsidP="0019586E">
      <w:pPr>
        <w:ind w:left="709"/>
      </w:pPr>
    </w:p>
    <w:p w:rsidR="00D31976" w:rsidRPr="00E44873" w:rsidRDefault="00D31976" w:rsidP="00D31976"/>
    <w:p w:rsidR="00D31976" w:rsidRPr="00E44873" w:rsidRDefault="00D31976" w:rsidP="00D31976">
      <w:pPr>
        <w:pStyle w:val="PBACHeading1"/>
      </w:pPr>
      <w:bookmarkStart w:id="4" w:name="_Toc62034925"/>
      <w:r w:rsidRPr="00E44873">
        <w:t>Population and disease</w:t>
      </w:r>
      <w:bookmarkEnd w:id="4"/>
    </w:p>
    <w:p w:rsidR="00D31976" w:rsidRPr="00E44873" w:rsidRDefault="00D31976" w:rsidP="00D31976"/>
    <w:p w:rsidR="00D31976" w:rsidRPr="00E44873" w:rsidRDefault="00D31976" w:rsidP="00D1387B">
      <w:pPr>
        <w:pStyle w:val="ListParagraph"/>
        <w:widowControl/>
        <w:numPr>
          <w:ilvl w:val="1"/>
          <w:numId w:val="1"/>
        </w:numPr>
      </w:pPr>
      <w:r w:rsidRPr="00E44873">
        <w:t xml:space="preserve">HIV infects cells of the immune system, destroying or impairing their function. As the infection progresses, the immune system becomes weaker and the infected person becomes more susceptible to infections. HIV infection can progress to acquired immunodeficiency syndrome (AIDS), which leads to complications, opportunistic infections and death. </w:t>
      </w:r>
    </w:p>
    <w:p w:rsidR="00D31976" w:rsidRPr="00E44873" w:rsidRDefault="00D31976" w:rsidP="00D1387B">
      <w:pPr>
        <w:pStyle w:val="ListParagraph"/>
        <w:widowControl/>
        <w:numPr>
          <w:ilvl w:val="1"/>
          <w:numId w:val="1"/>
        </w:numPr>
      </w:pPr>
      <w:r w:rsidRPr="00E44873">
        <w:t xml:space="preserve">Currently, all </w:t>
      </w:r>
      <w:r w:rsidR="009B0CA9" w:rsidRPr="00E44873">
        <w:t>antiretroviral therapy (</w:t>
      </w:r>
      <w:r w:rsidRPr="00E44873">
        <w:t>ART</w:t>
      </w:r>
      <w:r w:rsidR="009B0CA9" w:rsidRPr="00E44873">
        <w:t>)</w:t>
      </w:r>
      <w:r w:rsidRPr="00E44873">
        <w:t xml:space="preserve"> for the suppression of HIV are administered orally on a daily basis. The submission claimed a LA injectable treatment may provide a viable treatment alternative to the current daily oral regimen for people living with HIV (PLHIV) experiencing physical, emotional or psychosocial challenges in relation to daily oral ART. The submission noted HIV-specific and medical challenges imposed by daily oral ART can make it difficult for some PLHIV to achieve and maintain optimal adherence to treatment. </w:t>
      </w:r>
      <w:r w:rsidR="00490EDB" w:rsidRPr="00E44873">
        <w:t xml:space="preserve">The ESC noted there was no evidence presented to support the claim that a LA injectable treatment will improve adherence, or that adherence with oral treatment regimens was an issue in Australian </w:t>
      </w:r>
      <w:r w:rsidR="00CB44D5" w:rsidRPr="00E44873">
        <w:t xml:space="preserve">clinical </w:t>
      </w:r>
      <w:r w:rsidR="00490EDB" w:rsidRPr="00E44873">
        <w:t>practice.</w:t>
      </w:r>
      <w:r w:rsidR="00CF6CDF" w:rsidRPr="00E44873">
        <w:t xml:space="preserve"> The ESC noted the HIV FUTURES 9, ARCS</w:t>
      </w:r>
      <w:r w:rsidR="00F444A2" w:rsidRPr="00E44873">
        <w:t xml:space="preserve">HS, </w:t>
      </w:r>
      <w:r w:rsidR="00CF6CDF" w:rsidRPr="00E44873">
        <w:t xml:space="preserve">2019 </w:t>
      </w:r>
      <w:r w:rsidR="00F444A2" w:rsidRPr="00E44873">
        <w:t>publication</w:t>
      </w:r>
      <w:r w:rsidR="00F444A2" w:rsidRPr="00E44873">
        <w:rPr>
          <w:rStyle w:val="FootnoteReference"/>
        </w:rPr>
        <w:footnoteReference w:id="1"/>
      </w:r>
      <w:r w:rsidR="00CF6CDF" w:rsidRPr="00E44873">
        <w:t xml:space="preserve"> </w:t>
      </w:r>
      <w:r w:rsidR="00F444A2" w:rsidRPr="00E44873">
        <w:t>found that 77% of PLHIV in Australia reported satisfaction with current therapy and 70% reported that current ART was convenient.</w:t>
      </w:r>
    </w:p>
    <w:p w:rsidR="00E44873" w:rsidRDefault="00541CB1" w:rsidP="00E44873">
      <w:pPr>
        <w:pStyle w:val="ListParagraph"/>
        <w:widowControl/>
        <w:numPr>
          <w:ilvl w:val="1"/>
          <w:numId w:val="1"/>
        </w:numPr>
      </w:pPr>
      <w:r w:rsidRPr="00E44873">
        <w:t xml:space="preserve">As </w:t>
      </w:r>
      <w:r w:rsidR="00D31976" w:rsidRPr="00E44873">
        <w:t xml:space="preserve">the submission was seeking listing only in HIV patients who are already virologically suppressed (HIV RNA &lt;50 copies per mL), patients </w:t>
      </w:r>
      <w:r w:rsidRPr="00E44873">
        <w:t xml:space="preserve">who are eligible for CAB LA + RPV LA </w:t>
      </w:r>
      <w:r w:rsidR="007F0E2D">
        <w:t>sh</w:t>
      </w:r>
      <w:r w:rsidR="007F0E2D" w:rsidRPr="00E44873">
        <w:t xml:space="preserve">ould </w:t>
      </w:r>
      <w:r w:rsidR="00C636E5" w:rsidRPr="00E44873">
        <w:t>not be experiencing</w:t>
      </w:r>
      <w:r w:rsidR="00D31976" w:rsidRPr="00E44873">
        <w:t xml:space="preserve"> any adherence or malabsorption issues</w:t>
      </w:r>
      <w:r w:rsidR="00944251" w:rsidRPr="00E44873">
        <w:t>,</w:t>
      </w:r>
      <w:r w:rsidR="00D31976" w:rsidRPr="00E44873">
        <w:t xml:space="preserve"> </w:t>
      </w:r>
      <w:r w:rsidR="00626CF7" w:rsidRPr="00E44873">
        <w:t xml:space="preserve">and </w:t>
      </w:r>
      <w:r w:rsidR="00D31976" w:rsidRPr="00E44873">
        <w:t>therefore were unlikely to obtain any benefits from improved adherence.</w:t>
      </w:r>
    </w:p>
    <w:p w:rsidR="00E44873" w:rsidRPr="009B3D3F" w:rsidRDefault="00E44873" w:rsidP="009B3D3F">
      <w:pPr>
        <w:pStyle w:val="ListParagraph"/>
        <w:ind w:left="709"/>
        <w:rPr>
          <w:rFonts w:asciiTheme="minorHAnsi" w:hAnsiTheme="minorHAnsi"/>
          <w:i/>
        </w:rPr>
      </w:pPr>
      <w:r w:rsidRPr="00525B39">
        <w:rPr>
          <w:rFonts w:asciiTheme="minorHAnsi" w:hAnsiTheme="minorHAnsi"/>
          <w:i/>
        </w:rPr>
        <w:t>For more detail on PBAC’s view, see section 7 PBAC outcome.</w:t>
      </w:r>
    </w:p>
    <w:p w:rsidR="00D31976" w:rsidRPr="00E44873" w:rsidRDefault="00D31976" w:rsidP="00D31976">
      <w:pPr>
        <w:pStyle w:val="PBACHeading1"/>
      </w:pPr>
      <w:bookmarkStart w:id="5" w:name="_Toc62034926"/>
      <w:r w:rsidRPr="00E44873">
        <w:t>Comparator</w:t>
      </w:r>
      <w:bookmarkEnd w:id="5"/>
    </w:p>
    <w:p w:rsidR="00D31976" w:rsidRPr="00E44873" w:rsidRDefault="00D31976" w:rsidP="00D31976"/>
    <w:p w:rsidR="00D31976" w:rsidRPr="00E44873" w:rsidRDefault="00D31976" w:rsidP="00D1387B">
      <w:pPr>
        <w:pStyle w:val="ListParagraph"/>
        <w:widowControl/>
        <w:numPr>
          <w:ilvl w:val="1"/>
          <w:numId w:val="1"/>
        </w:numPr>
        <w:rPr>
          <w:rFonts w:cs="Calibri"/>
          <w:snapToGrid/>
          <w:szCs w:val="24"/>
          <w:lang w:val="en-US" w:eastAsia="en-AU"/>
        </w:rPr>
      </w:pPr>
      <w:r w:rsidRPr="00E44873">
        <w:rPr>
          <w:rFonts w:cs="Calibri"/>
          <w:snapToGrid/>
          <w:szCs w:val="24"/>
          <w:lang w:val="en-US" w:eastAsia="en-AU"/>
        </w:rPr>
        <w:t xml:space="preserve">The submission nominated the DTG/RPV oral FDC (with the tradename Juluca) as the main comparator. The main arguments provided in support of this nomination were that this oral therapy is the same drug class as CAB LA + RPV LA, and both CAB LA + RPV LA and Juluca: </w:t>
      </w:r>
      <w:r w:rsidR="00944251" w:rsidRPr="00E44873">
        <w:rPr>
          <w:rFonts w:cs="Calibri"/>
          <w:snapToGrid/>
          <w:szCs w:val="24"/>
          <w:lang w:val="en-US" w:eastAsia="en-AU"/>
        </w:rPr>
        <w:t xml:space="preserve">(i) </w:t>
      </w:r>
      <w:r w:rsidR="00726DFB" w:rsidRPr="00E44873">
        <w:rPr>
          <w:rFonts w:cs="Calibri"/>
          <w:snapToGrid/>
          <w:szCs w:val="24"/>
          <w:lang w:val="en-US" w:eastAsia="en-AU"/>
        </w:rPr>
        <w:t xml:space="preserve">are </w:t>
      </w:r>
      <w:r w:rsidRPr="00E44873">
        <w:rPr>
          <w:rFonts w:cs="Calibri"/>
          <w:snapToGrid/>
          <w:szCs w:val="24"/>
          <w:lang w:val="en-US" w:eastAsia="en-AU"/>
        </w:rPr>
        <w:t xml:space="preserve">two-drug HIV regimens; </w:t>
      </w:r>
      <w:r w:rsidR="00944251" w:rsidRPr="00E44873">
        <w:rPr>
          <w:rFonts w:cs="Calibri"/>
          <w:snapToGrid/>
          <w:szCs w:val="24"/>
          <w:lang w:val="en-US" w:eastAsia="en-AU"/>
        </w:rPr>
        <w:t xml:space="preserve">(ii) </w:t>
      </w:r>
      <w:r w:rsidRPr="00E44873">
        <w:rPr>
          <w:rFonts w:cs="Calibri"/>
          <w:snapToGrid/>
          <w:szCs w:val="24"/>
          <w:lang w:val="en-US" w:eastAsia="en-AU"/>
        </w:rPr>
        <w:t xml:space="preserve">contain a potent </w:t>
      </w:r>
      <w:r w:rsidR="00541CB1" w:rsidRPr="00E44873">
        <w:rPr>
          <w:rFonts w:cs="Calibri"/>
          <w:snapToGrid/>
          <w:szCs w:val="24"/>
          <w:lang w:val="en-US" w:eastAsia="en-AU"/>
        </w:rPr>
        <w:t>integrase strand transfer inhibitor (</w:t>
      </w:r>
      <w:r w:rsidRPr="00E44873">
        <w:rPr>
          <w:rFonts w:cs="Calibri"/>
          <w:snapToGrid/>
          <w:szCs w:val="24"/>
          <w:lang w:val="en-US" w:eastAsia="en-AU"/>
        </w:rPr>
        <w:t>INSTI</w:t>
      </w:r>
      <w:r w:rsidR="00541CB1" w:rsidRPr="00E44873">
        <w:rPr>
          <w:rFonts w:cs="Calibri"/>
          <w:snapToGrid/>
          <w:szCs w:val="24"/>
          <w:lang w:val="en-US" w:eastAsia="en-AU"/>
        </w:rPr>
        <w:t>)</w:t>
      </w:r>
      <w:r w:rsidRPr="00E44873">
        <w:rPr>
          <w:rFonts w:cs="Calibri"/>
          <w:snapToGrid/>
          <w:szCs w:val="24"/>
          <w:lang w:val="en-US" w:eastAsia="en-AU"/>
        </w:rPr>
        <w:t xml:space="preserve"> with CAB being an analogue of DTG; </w:t>
      </w:r>
      <w:r w:rsidR="00944251" w:rsidRPr="00E44873">
        <w:rPr>
          <w:rFonts w:cs="Calibri"/>
          <w:snapToGrid/>
          <w:szCs w:val="24"/>
          <w:lang w:val="en-US" w:eastAsia="en-AU"/>
        </w:rPr>
        <w:t xml:space="preserve">(iii) </w:t>
      </w:r>
      <w:r w:rsidRPr="00E44873">
        <w:rPr>
          <w:rFonts w:cs="Calibri"/>
          <w:snapToGrid/>
          <w:szCs w:val="24"/>
          <w:lang w:val="en-US" w:eastAsia="en-AU"/>
        </w:rPr>
        <w:t xml:space="preserve">contain the </w:t>
      </w:r>
      <w:r w:rsidR="00541CB1" w:rsidRPr="00E44873">
        <w:rPr>
          <w:rFonts w:cs="Calibri"/>
          <w:snapToGrid/>
          <w:szCs w:val="24"/>
          <w:lang w:val="en-US" w:eastAsia="en-AU"/>
        </w:rPr>
        <w:t>non-nucleoside reverse transcriptase inhibitor (</w:t>
      </w:r>
      <w:r w:rsidRPr="00E44873">
        <w:rPr>
          <w:rFonts w:cs="Calibri"/>
          <w:snapToGrid/>
          <w:szCs w:val="24"/>
          <w:lang w:val="en-US" w:eastAsia="en-AU"/>
        </w:rPr>
        <w:t>NNRTI</w:t>
      </w:r>
      <w:r w:rsidR="00541CB1" w:rsidRPr="00E44873">
        <w:rPr>
          <w:rFonts w:cs="Calibri"/>
          <w:snapToGrid/>
          <w:szCs w:val="24"/>
          <w:lang w:val="en-US" w:eastAsia="en-AU"/>
        </w:rPr>
        <w:t>)</w:t>
      </w:r>
      <w:r w:rsidRPr="00E44873">
        <w:rPr>
          <w:rFonts w:cs="Calibri"/>
          <w:snapToGrid/>
          <w:szCs w:val="24"/>
          <w:lang w:val="en-US" w:eastAsia="en-AU"/>
        </w:rPr>
        <w:t xml:space="preserve"> drug rilpivirine; </w:t>
      </w:r>
      <w:r w:rsidR="00944251" w:rsidRPr="00E44873">
        <w:rPr>
          <w:rFonts w:cs="Calibri"/>
          <w:snapToGrid/>
          <w:szCs w:val="24"/>
          <w:lang w:val="en-US" w:eastAsia="en-AU"/>
        </w:rPr>
        <w:t xml:space="preserve">(iv) </w:t>
      </w:r>
      <w:r w:rsidRPr="00E44873">
        <w:rPr>
          <w:rFonts w:cs="Calibri"/>
          <w:snapToGrid/>
          <w:szCs w:val="24"/>
          <w:lang w:val="en-US" w:eastAsia="en-AU"/>
        </w:rPr>
        <w:t xml:space="preserve">are only indicated as a complete switch treatment option for HIV infection in the treatment experienced setting in patients that are </w:t>
      </w:r>
      <w:r w:rsidR="00726DFB" w:rsidRPr="00E44873">
        <w:rPr>
          <w:rFonts w:cs="Calibri"/>
          <w:snapToGrid/>
          <w:szCs w:val="24"/>
          <w:lang w:val="en-US" w:eastAsia="en-AU"/>
        </w:rPr>
        <w:t>‘</w:t>
      </w:r>
      <w:r w:rsidRPr="00E44873">
        <w:rPr>
          <w:rFonts w:cs="Calibri"/>
          <w:snapToGrid/>
          <w:szCs w:val="24"/>
          <w:lang w:val="en-US" w:eastAsia="en-AU"/>
        </w:rPr>
        <w:t>virologically suppressed on a stable AR</w:t>
      </w:r>
      <w:r w:rsidR="00944251" w:rsidRPr="00E44873">
        <w:rPr>
          <w:rFonts w:cs="Calibri"/>
          <w:snapToGrid/>
          <w:szCs w:val="24"/>
          <w:lang w:val="en-US" w:eastAsia="en-AU"/>
        </w:rPr>
        <w:t>T</w:t>
      </w:r>
      <w:r w:rsidRPr="00E44873">
        <w:rPr>
          <w:rFonts w:cs="Calibri"/>
          <w:snapToGrid/>
          <w:szCs w:val="24"/>
          <w:lang w:val="en-US" w:eastAsia="en-AU"/>
        </w:rPr>
        <w:t xml:space="preserve"> regimen for at least 6 months'; </w:t>
      </w:r>
      <w:r w:rsidR="00944251" w:rsidRPr="00E44873">
        <w:rPr>
          <w:rFonts w:cs="Calibri"/>
          <w:snapToGrid/>
          <w:szCs w:val="24"/>
          <w:lang w:val="en-US" w:eastAsia="en-AU"/>
        </w:rPr>
        <w:t xml:space="preserve">(v) </w:t>
      </w:r>
      <w:r w:rsidRPr="00E44873">
        <w:rPr>
          <w:rFonts w:cs="Calibri"/>
          <w:snapToGrid/>
          <w:szCs w:val="24"/>
          <w:lang w:val="en-US" w:eastAsia="en-AU"/>
        </w:rPr>
        <w:t xml:space="preserve">have a (proposed) restriction for use as the 'sole PBS-subsidised therapy for HIV'; and </w:t>
      </w:r>
      <w:r w:rsidR="00944251" w:rsidRPr="00E44873">
        <w:rPr>
          <w:rFonts w:cs="Calibri"/>
          <w:snapToGrid/>
          <w:szCs w:val="24"/>
          <w:lang w:val="en-US" w:eastAsia="en-AU"/>
        </w:rPr>
        <w:t xml:space="preserve">(vi) </w:t>
      </w:r>
      <w:r w:rsidRPr="00E44873">
        <w:rPr>
          <w:rFonts w:cs="Calibri"/>
          <w:snapToGrid/>
          <w:szCs w:val="24"/>
          <w:lang w:val="en-US" w:eastAsia="en-AU"/>
        </w:rPr>
        <w:t>have demonstrated non-inferiority to oral ART through their relative clinical trial programs.</w:t>
      </w:r>
    </w:p>
    <w:p w:rsidR="00D31976" w:rsidRPr="00E44873" w:rsidRDefault="00D31976" w:rsidP="00D1387B">
      <w:pPr>
        <w:pStyle w:val="ListParagraph"/>
        <w:widowControl/>
        <w:numPr>
          <w:ilvl w:val="1"/>
          <w:numId w:val="1"/>
        </w:numPr>
        <w:rPr>
          <w:iCs/>
        </w:rPr>
      </w:pPr>
      <w:r w:rsidRPr="00E44873">
        <w:t xml:space="preserve">While the </w:t>
      </w:r>
      <w:r w:rsidR="007F0E2D">
        <w:t xml:space="preserve">nominated </w:t>
      </w:r>
      <w:r w:rsidRPr="00E44873">
        <w:t xml:space="preserve">main comparator was </w:t>
      </w:r>
      <w:r w:rsidR="007F0E2D">
        <w:t>reasonable</w:t>
      </w:r>
      <w:r w:rsidRPr="00E44873">
        <w:t xml:space="preserve">, it was not the only </w:t>
      </w:r>
      <w:r w:rsidR="00944251" w:rsidRPr="00E44873">
        <w:t xml:space="preserve">relevant </w:t>
      </w:r>
      <w:r w:rsidRPr="00E44873">
        <w:t>comparator. The submission inappropriately did not nominate any secondary comparators</w:t>
      </w:r>
      <w:r w:rsidR="006E6DD1" w:rsidRPr="00E44873">
        <w:t xml:space="preserve"> or provide justification for why alternative FDCs were not appropriate comparators</w:t>
      </w:r>
      <w:r w:rsidRPr="00E44873">
        <w:t xml:space="preserve">. This was inconsistent with financial estimates presented, as the submission assumed that CAB LA + RPV LA would replace a range of other oral ART FDCs (Juluca, Triumeq, Biktarvy, Odefsey and Genvoya – see </w:t>
      </w:r>
      <w:r w:rsidR="00B90AC3" w:rsidRPr="00B90AC3">
        <w:t>Table 2</w:t>
      </w:r>
      <w:r w:rsidR="00F02FB7" w:rsidRPr="00E44873">
        <w:t xml:space="preserve"> </w:t>
      </w:r>
      <w:r w:rsidRPr="00E44873">
        <w:t>for components of each FDC and a summary of FDCs).</w:t>
      </w:r>
    </w:p>
    <w:p w:rsidR="00D31976" w:rsidRPr="00E44873" w:rsidRDefault="00F02FB7" w:rsidP="00F02FB7">
      <w:pPr>
        <w:pStyle w:val="Tabletext"/>
        <w:keepNext/>
        <w:keepLines/>
        <w:rPr>
          <w:rStyle w:val="CommentReference"/>
        </w:rPr>
      </w:pPr>
      <w:bookmarkStart w:id="6" w:name="_Ref59488617"/>
      <w:r w:rsidRPr="00E44873">
        <w:rPr>
          <w:rStyle w:val="CommentReference"/>
        </w:rPr>
        <w:t xml:space="preserve">Table </w:t>
      </w:r>
      <w:r w:rsidR="00B90AC3">
        <w:rPr>
          <w:rStyle w:val="CommentReference"/>
          <w:noProof/>
        </w:rPr>
        <w:t>2</w:t>
      </w:r>
      <w:bookmarkEnd w:id="6"/>
      <w:r w:rsidRPr="00E44873">
        <w:rPr>
          <w:rStyle w:val="CommentReference"/>
        </w:rPr>
        <w:t xml:space="preserve">: </w:t>
      </w:r>
      <w:r w:rsidR="00D31976" w:rsidRPr="00E44873">
        <w:rPr>
          <w:rStyle w:val="CommentReference"/>
        </w:rPr>
        <w:t>Summary of fixed-dose combinations</w:t>
      </w:r>
      <w:r w:rsidR="00883B82" w:rsidRPr="00E44873">
        <w:rPr>
          <w:rStyle w:val="CommentReference"/>
        </w:rPr>
        <w:t xml:space="preserve"> which may potentially be substituted</w:t>
      </w:r>
    </w:p>
    <w:tbl>
      <w:tblPr>
        <w:tblStyle w:val="TableGrid"/>
        <w:tblW w:w="5000" w:type="pct"/>
        <w:tblCellMar>
          <w:left w:w="28" w:type="dxa"/>
          <w:right w:w="28" w:type="dxa"/>
        </w:tblCellMar>
        <w:tblLook w:val="04A0" w:firstRow="1" w:lastRow="0" w:firstColumn="1" w:lastColumn="0" w:noHBand="0" w:noVBand="1"/>
        <w:tblCaption w:val="Table 1: Summary of fixed dose combinations (their components, abbreviations for each drug and their associated tradenames)"/>
      </w:tblPr>
      <w:tblGrid>
        <w:gridCol w:w="3359"/>
        <w:gridCol w:w="1377"/>
        <w:gridCol w:w="950"/>
        <w:gridCol w:w="1234"/>
        <w:gridCol w:w="2097"/>
      </w:tblGrid>
      <w:tr w:rsidR="00D31976" w:rsidRPr="00E44873" w:rsidTr="00A15ADB">
        <w:trPr>
          <w:tblHeader/>
        </w:trPr>
        <w:tc>
          <w:tcPr>
            <w:tcW w:w="1862" w:type="pct"/>
            <w:vAlign w:val="center"/>
          </w:tcPr>
          <w:p w:rsidR="00D31976" w:rsidRPr="00E44873" w:rsidRDefault="00D31976" w:rsidP="00944251">
            <w:pPr>
              <w:keepNext/>
              <w:keepLines/>
              <w:jc w:val="left"/>
              <w:rPr>
                <w:rFonts w:ascii="Arial Narrow" w:hAnsi="Arial Narrow"/>
                <w:b/>
                <w:sz w:val="20"/>
              </w:rPr>
            </w:pPr>
            <w:r w:rsidRPr="00E44873">
              <w:rPr>
                <w:rFonts w:ascii="Arial Narrow" w:hAnsi="Arial Narrow"/>
                <w:b/>
                <w:sz w:val="20"/>
              </w:rPr>
              <w:t>FDC or other combination components</w:t>
            </w:r>
          </w:p>
        </w:tc>
        <w:tc>
          <w:tcPr>
            <w:tcW w:w="763" w:type="pct"/>
            <w:vAlign w:val="center"/>
          </w:tcPr>
          <w:p w:rsidR="00D31976" w:rsidRPr="00E44873" w:rsidRDefault="00D31976" w:rsidP="00AD4B02">
            <w:pPr>
              <w:keepNext/>
              <w:keepLines/>
              <w:jc w:val="center"/>
              <w:rPr>
                <w:rFonts w:ascii="Arial Narrow" w:hAnsi="Arial Narrow"/>
                <w:b/>
                <w:sz w:val="20"/>
              </w:rPr>
            </w:pPr>
            <w:r w:rsidRPr="00E44873">
              <w:rPr>
                <w:rFonts w:ascii="Arial Narrow" w:hAnsi="Arial Narrow"/>
                <w:b/>
                <w:sz w:val="20"/>
              </w:rPr>
              <w:t>Abbreviations</w:t>
            </w:r>
          </w:p>
        </w:tc>
        <w:tc>
          <w:tcPr>
            <w:tcW w:w="527" w:type="pct"/>
            <w:vAlign w:val="center"/>
          </w:tcPr>
          <w:p w:rsidR="00D31976" w:rsidRPr="00E44873" w:rsidRDefault="00D31976" w:rsidP="00AD4B02">
            <w:pPr>
              <w:keepNext/>
              <w:keepLines/>
              <w:jc w:val="center"/>
              <w:rPr>
                <w:rFonts w:ascii="Arial Narrow" w:hAnsi="Arial Narrow"/>
                <w:b/>
                <w:sz w:val="20"/>
              </w:rPr>
            </w:pPr>
            <w:r w:rsidRPr="00E44873">
              <w:rPr>
                <w:rFonts w:ascii="Arial Narrow" w:hAnsi="Arial Narrow"/>
                <w:b/>
                <w:sz w:val="20"/>
              </w:rPr>
              <w:t>Tradename</w:t>
            </w:r>
          </w:p>
        </w:tc>
        <w:tc>
          <w:tcPr>
            <w:tcW w:w="684" w:type="pct"/>
          </w:tcPr>
          <w:p w:rsidR="00D31976" w:rsidRPr="00E44873" w:rsidRDefault="00D31976" w:rsidP="00AD4B02">
            <w:pPr>
              <w:keepNext/>
              <w:keepLines/>
              <w:jc w:val="center"/>
              <w:rPr>
                <w:rFonts w:ascii="Arial Narrow" w:hAnsi="Arial Narrow"/>
                <w:b/>
                <w:sz w:val="20"/>
              </w:rPr>
            </w:pPr>
            <w:r w:rsidRPr="00E44873">
              <w:rPr>
                <w:rFonts w:ascii="Arial Narrow" w:hAnsi="Arial Narrow"/>
                <w:b/>
                <w:sz w:val="20"/>
              </w:rPr>
              <w:t xml:space="preserve">DPMQ </w:t>
            </w:r>
          </w:p>
          <w:p w:rsidR="00D31976" w:rsidRPr="00E44873" w:rsidRDefault="00D31976" w:rsidP="00AD4B02">
            <w:pPr>
              <w:keepNext/>
              <w:keepLines/>
              <w:jc w:val="center"/>
              <w:rPr>
                <w:rFonts w:ascii="Arial Narrow" w:hAnsi="Arial Narrow"/>
                <w:b/>
                <w:sz w:val="20"/>
              </w:rPr>
            </w:pPr>
            <w:r w:rsidRPr="00E44873">
              <w:rPr>
                <w:rFonts w:ascii="Arial Narrow" w:hAnsi="Arial Narrow"/>
                <w:b/>
                <w:sz w:val="20"/>
              </w:rPr>
              <w:t>(Nov 2020)</w:t>
            </w:r>
          </w:p>
        </w:tc>
        <w:tc>
          <w:tcPr>
            <w:tcW w:w="1163" w:type="pct"/>
            <w:vAlign w:val="center"/>
          </w:tcPr>
          <w:p w:rsidR="00D31976" w:rsidRPr="00E44873" w:rsidRDefault="00D31976" w:rsidP="00944251">
            <w:pPr>
              <w:keepNext/>
              <w:keepLines/>
              <w:jc w:val="center"/>
              <w:rPr>
                <w:rFonts w:ascii="Arial Narrow" w:hAnsi="Arial Narrow"/>
                <w:b/>
                <w:sz w:val="20"/>
              </w:rPr>
            </w:pPr>
            <w:r w:rsidRPr="00E44873">
              <w:rPr>
                <w:rFonts w:ascii="Arial Narrow" w:hAnsi="Arial Narrow"/>
                <w:b/>
                <w:sz w:val="20"/>
              </w:rPr>
              <w:t>Basis of listing</w:t>
            </w:r>
          </w:p>
        </w:tc>
      </w:tr>
      <w:tr w:rsidR="00D31976" w:rsidRPr="00E44873" w:rsidTr="00A15ADB">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Elvitegravir / cobicistat / emtricitabine / tenofovir alafenamide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ELV/c/FTC/TAF</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Genvoya</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$1963.86</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 TDF/FTC/ELV/c</w:t>
            </w:r>
          </w:p>
        </w:tc>
      </w:tr>
      <w:tr w:rsidR="00D31976" w:rsidRPr="00E44873" w:rsidTr="00A15ADB">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Rilpivirine / emtricitabine / tenofovir alafenamide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RPV/FTC/TAF</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Odefsey</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$1963.86</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w:t>
            </w:r>
            <w:r w:rsidR="00166397" w:rsidRPr="00E44873">
              <w:rPr>
                <w:rFonts w:ascii="Arial Narrow" w:hAnsi="Arial Narrow"/>
                <w:sz w:val="20"/>
              </w:rPr>
              <w:t xml:space="preserve">  RPV/FTC/TDF</w:t>
            </w:r>
          </w:p>
        </w:tc>
      </w:tr>
      <w:tr w:rsidR="00D31976" w:rsidRPr="00E44873" w:rsidTr="00A15ADB">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Bictegravir / emtricitabine / tenofovir alafenamide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BIC/FTC/TAF</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Biktarvy</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$1848.42</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 Triumeq</w:t>
            </w:r>
          </w:p>
        </w:tc>
      </w:tr>
      <w:tr w:rsidR="00D31976" w:rsidRPr="00E44873" w:rsidTr="00A15ADB">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Dolutegravir / abacavir / lamivudine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DTG/ABC/3TC</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Triumeq</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$1707.80</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 EFV/FTC/TDF</w:t>
            </w:r>
          </w:p>
        </w:tc>
      </w:tr>
      <w:tr w:rsidR="00D31976" w:rsidRPr="00E44873" w:rsidTr="00A15ADB">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Dolutegravir / lamivudine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DTG/3TC</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Dovato</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$1443.30</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 individual components</w:t>
            </w:r>
          </w:p>
        </w:tc>
      </w:tr>
      <w:tr w:rsidR="00D31976" w:rsidRPr="00E44873" w:rsidTr="00A15ADB">
        <w:trPr>
          <w:tblHeader/>
        </w:trPr>
        <w:tc>
          <w:tcPr>
            <w:tcW w:w="1862" w:type="pct"/>
            <w:vAlign w:val="center"/>
          </w:tcPr>
          <w:p w:rsidR="00D31976" w:rsidRPr="00E44873" w:rsidRDefault="00D31976" w:rsidP="00AD4B02">
            <w:pPr>
              <w:keepNext/>
              <w:keepLines/>
              <w:jc w:val="left"/>
              <w:rPr>
                <w:rFonts w:ascii="Arial Narrow" w:hAnsi="Arial Narrow"/>
                <w:sz w:val="20"/>
              </w:rPr>
            </w:pPr>
            <w:r w:rsidRPr="00E44873">
              <w:rPr>
                <w:rFonts w:ascii="Arial Narrow" w:hAnsi="Arial Narrow"/>
                <w:sz w:val="20"/>
              </w:rPr>
              <w:t>Dolutegravir / rilpivirine</w:t>
            </w:r>
          </w:p>
        </w:tc>
        <w:tc>
          <w:tcPr>
            <w:tcW w:w="7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DTG/RPV</w:t>
            </w:r>
          </w:p>
        </w:tc>
        <w:tc>
          <w:tcPr>
            <w:tcW w:w="527"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Juluca</w:t>
            </w:r>
            <w:r w:rsidRPr="00E44873">
              <w:rPr>
                <w:rFonts w:ascii="Arial Narrow" w:hAnsi="Arial Narrow"/>
                <w:sz w:val="20"/>
                <w:vertAlign w:val="superscript"/>
              </w:rPr>
              <w:t>®</w:t>
            </w:r>
          </w:p>
        </w:tc>
        <w:tc>
          <w:tcPr>
            <w:tcW w:w="684"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$1732.60</w:t>
            </w:r>
          </w:p>
        </w:tc>
        <w:tc>
          <w:tcPr>
            <w:tcW w:w="1163" w:type="pct"/>
            <w:vAlign w:val="center"/>
          </w:tcPr>
          <w:p w:rsidR="00D31976" w:rsidRPr="00E44873" w:rsidRDefault="00D31976" w:rsidP="00AD4B02">
            <w:pPr>
              <w:keepNext/>
              <w:keepLines/>
              <w:jc w:val="center"/>
              <w:rPr>
                <w:rFonts w:ascii="Arial Narrow" w:hAnsi="Arial Narrow"/>
                <w:sz w:val="20"/>
              </w:rPr>
            </w:pPr>
            <w:r w:rsidRPr="00E44873">
              <w:rPr>
                <w:rFonts w:ascii="Arial Narrow" w:hAnsi="Arial Narrow"/>
                <w:sz w:val="20"/>
              </w:rPr>
              <w:t>CM to Eviplera/Stribild and Odefsey/Genvoya</w:t>
            </w:r>
            <w:r w:rsidR="00A26A53" w:rsidRPr="00E44873">
              <w:rPr>
                <w:rFonts w:ascii="Arial Narrow" w:hAnsi="Arial Narrow"/>
                <w:sz w:val="20"/>
                <w:vertAlign w:val="superscript"/>
              </w:rPr>
              <w:t>a</w:t>
            </w:r>
          </w:p>
        </w:tc>
      </w:tr>
    </w:tbl>
    <w:p w:rsidR="00F02FB7" w:rsidRPr="00E44873" w:rsidRDefault="00F02FB7" w:rsidP="00F02FB7">
      <w:pPr>
        <w:pStyle w:val="TableFooter"/>
        <w:keepNext/>
        <w:keepLines/>
      </w:pPr>
      <w:r w:rsidRPr="00E44873">
        <w:t>Source: constructed during evaluation using information from Table 1, dolutegravir with lamivudine PSD July 2020 and the therapeutic relativity sheets. DPMQs extracted 16 November 2020</w:t>
      </w:r>
    </w:p>
    <w:p w:rsidR="00F02FB7" w:rsidRPr="00E44873" w:rsidRDefault="00F02FB7" w:rsidP="00F02FB7">
      <w:pPr>
        <w:pStyle w:val="TableFooter"/>
        <w:keepNext/>
        <w:keepLines/>
      </w:pPr>
      <w:r w:rsidRPr="00E44873">
        <w:t>CM = cost minimised</w:t>
      </w:r>
      <w:r w:rsidR="00A15ADB" w:rsidRPr="00E44873">
        <w:t xml:space="preserve">; </w:t>
      </w:r>
      <w:r w:rsidR="00166397" w:rsidRPr="00E44873">
        <w:t xml:space="preserve">DPMQ = dispensed price for maximum quantity; </w:t>
      </w:r>
      <w:r w:rsidR="00A15ADB" w:rsidRPr="00E44873">
        <w:t>FDC = fixed dose combination; INSTI = integrase strand transfer inhibitors</w:t>
      </w:r>
      <w:r w:rsidR="00166397" w:rsidRPr="00E44873">
        <w:t xml:space="preserve">, </w:t>
      </w:r>
    </w:p>
    <w:p w:rsidR="00F02FB7" w:rsidRPr="00E44873" w:rsidRDefault="00A26A53" w:rsidP="00944251">
      <w:pPr>
        <w:pStyle w:val="TableFooter"/>
        <w:keepNext/>
        <w:keepLines/>
        <w:tabs>
          <w:tab w:val="left" w:pos="284"/>
        </w:tabs>
        <w:ind w:left="284" w:hanging="284"/>
      </w:pPr>
      <w:r w:rsidRPr="00E44873">
        <w:rPr>
          <w:vertAlign w:val="superscript"/>
        </w:rPr>
        <w:t>a</w:t>
      </w:r>
      <w:r w:rsidR="00944251" w:rsidRPr="00E44873">
        <w:tab/>
      </w:r>
      <w:r w:rsidR="00015248">
        <w:t>O</w:t>
      </w:r>
      <w:r w:rsidR="00F02FB7" w:rsidRPr="00E44873">
        <w:t xml:space="preserve">btained from therapeutic relativity sheet, however </w:t>
      </w:r>
      <w:r w:rsidR="00944251" w:rsidRPr="00E44873">
        <w:t xml:space="preserve">the </w:t>
      </w:r>
      <w:r w:rsidR="00F02FB7" w:rsidRPr="00E44873">
        <w:t>public summary document</w:t>
      </w:r>
      <w:r w:rsidR="00944251" w:rsidRPr="00E44873">
        <w:t>s</w:t>
      </w:r>
      <w:r w:rsidR="00F02FB7" w:rsidRPr="00E44873">
        <w:t xml:space="preserve"> indicated </w:t>
      </w:r>
      <w:r w:rsidR="00944251" w:rsidRPr="00E44873">
        <w:t xml:space="preserve">the </w:t>
      </w:r>
      <w:r w:rsidR="00F02FB7" w:rsidRPr="00E44873">
        <w:t xml:space="preserve">main comparator </w:t>
      </w:r>
      <w:r w:rsidR="00944251" w:rsidRPr="00E44873">
        <w:t xml:space="preserve">was </w:t>
      </w:r>
      <w:r w:rsidR="00F02FB7" w:rsidRPr="00E44873">
        <w:t xml:space="preserve">individual components. </w:t>
      </w:r>
    </w:p>
    <w:p w:rsidR="00D31976" w:rsidRPr="00E44873" w:rsidRDefault="00D31976" w:rsidP="00944251">
      <w:pPr>
        <w:widowControl/>
        <w:tabs>
          <w:tab w:val="left" w:pos="284"/>
        </w:tabs>
        <w:ind w:left="284" w:hanging="284"/>
      </w:pPr>
    </w:p>
    <w:p w:rsidR="00D31976" w:rsidRPr="00E44873" w:rsidRDefault="00D31976" w:rsidP="00D1387B">
      <w:pPr>
        <w:pStyle w:val="ListParagraph"/>
        <w:widowControl/>
        <w:numPr>
          <w:ilvl w:val="1"/>
          <w:numId w:val="1"/>
        </w:numPr>
        <w:rPr>
          <w:iCs/>
        </w:rPr>
      </w:pPr>
      <w:r w:rsidRPr="00E44873">
        <w:rPr>
          <w:rFonts w:cs="Calibri"/>
          <w:snapToGrid/>
          <w:szCs w:val="24"/>
          <w:lang w:val="en-US" w:eastAsia="en-AU"/>
        </w:rPr>
        <w:t xml:space="preserve">For the requested population, </w:t>
      </w:r>
      <w:r w:rsidR="00166397" w:rsidRPr="00E44873">
        <w:rPr>
          <w:rFonts w:cs="Calibri"/>
          <w:snapToGrid/>
          <w:szCs w:val="24"/>
          <w:lang w:val="en-US" w:eastAsia="en-AU"/>
        </w:rPr>
        <w:t xml:space="preserve">both DTG/3TC (Dovato, DPMQ: $1,443.30) and DTG/RPV (Juluca [main comparator] DPMQ: $1,732.60) are </w:t>
      </w:r>
      <w:r w:rsidRPr="00E44873">
        <w:rPr>
          <w:rFonts w:cs="Calibri"/>
          <w:snapToGrid/>
          <w:szCs w:val="24"/>
          <w:lang w:val="en-US" w:eastAsia="en-AU"/>
        </w:rPr>
        <w:t xml:space="preserve">PBS-listed medicines </w:t>
      </w:r>
      <w:r w:rsidR="00166397" w:rsidRPr="00E44873">
        <w:rPr>
          <w:rFonts w:cs="Calibri"/>
          <w:snapToGrid/>
          <w:szCs w:val="24"/>
          <w:lang w:val="en-US" w:eastAsia="en-AU"/>
        </w:rPr>
        <w:t xml:space="preserve">which </w:t>
      </w:r>
      <w:r w:rsidRPr="00E44873">
        <w:rPr>
          <w:rFonts w:cs="Calibri"/>
          <w:snapToGrid/>
          <w:szCs w:val="24"/>
          <w:lang w:val="en-US" w:eastAsia="en-AU"/>
        </w:rPr>
        <w:t>are less costly than CAB LA + RPV LA (requested effective DPMQ: $</w:t>
      </w:r>
      <w:r w:rsidR="000D517E">
        <w:rPr>
          <w:rFonts w:cs="Calibri"/>
          <w:noProof/>
          <w:snapToGrid/>
          <w:color w:val="000000"/>
          <w:szCs w:val="24"/>
          <w:highlight w:val="black"/>
          <w:lang w:val="en-US" w:eastAsia="en-AU"/>
        </w:rPr>
        <w:t>''''''''''''''''</w:t>
      </w:r>
      <w:r w:rsidRPr="00E44873">
        <w:rPr>
          <w:rFonts w:cs="Calibri"/>
          <w:snapToGrid/>
          <w:szCs w:val="24"/>
          <w:lang w:val="en-US" w:eastAsia="en-AU"/>
        </w:rPr>
        <w:t>) and could be replaced in practice</w:t>
      </w:r>
      <w:r w:rsidR="00166397" w:rsidRPr="00E44873">
        <w:rPr>
          <w:rFonts w:cs="Calibri"/>
          <w:snapToGrid/>
          <w:szCs w:val="24"/>
          <w:lang w:val="en-US" w:eastAsia="en-AU"/>
        </w:rPr>
        <w:t>.</w:t>
      </w:r>
      <w:r w:rsidRPr="00E44873">
        <w:rPr>
          <w:rFonts w:cs="Calibri"/>
          <w:snapToGrid/>
          <w:szCs w:val="24"/>
          <w:lang w:val="en-US" w:eastAsia="en-AU"/>
        </w:rPr>
        <w:t xml:space="preserve"> If treatment with </w:t>
      </w:r>
      <w:r w:rsidR="00944251" w:rsidRPr="00E44873">
        <w:rPr>
          <w:rFonts w:cs="Calibri"/>
          <w:snapToGrid/>
          <w:szCs w:val="24"/>
          <w:lang w:val="en-US" w:eastAsia="en-AU"/>
        </w:rPr>
        <w:t xml:space="preserve">CAB LA + RPV LA </w:t>
      </w:r>
      <w:r w:rsidRPr="00E44873">
        <w:rPr>
          <w:rFonts w:cs="Calibri"/>
          <w:snapToGrid/>
          <w:szCs w:val="24"/>
          <w:lang w:val="en-US" w:eastAsia="en-AU"/>
        </w:rPr>
        <w:t xml:space="preserve">is substantially more costly than an alternative therapy or alternative therapies, the PBAC could only recommend listing of </w:t>
      </w:r>
      <w:r w:rsidR="00944251" w:rsidRPr="00E44873">
        <w:rPr>
          <w:rFonts w:cs="Calibri"/>
          <w:snapToGrid/>
          <w:szCs w:val="24"/>
          <w:lang w:val="en-US" w:eastAsia="en-AU"/>
        </w:rPr>
        <w:t xml:space="preserve">CAB LA + RPV LA </w:t>
      </w:r>
      <w:r w:rsidRPr="00E44873">
        <w:rPr>
          <w:rFonts w:cs="Calibri"/>
          <w:snapToGrid/>
          <w:szCs w:val="24"/>
          <w:lang w:val="en-US" w:eastAsia="en-AU"/>
        </w:rPr>
        <w:t xml:space="preserve">if it is satisfied that </w:t>
      </w:r>
      <w:r w:rsidR="00944251" w:rsidRPr="00E44873">
        <w:rPr>
          <w:rFonts w:cs="Calibri"/>
          <w:snapToGrid/>
          <w:szCs w:val="24"/>
          <w:lang w:val="en-US" w:eastAsia="en-AU"/>
        </w:rPr>
        <w:t xml:space="preserve">CAB LA + RPV LA </w:t>
      </w:r>
      <w:r w:rsidRPr="00E44873">
        <w:rPr>
          <w:rFonts w:cs="Calibri"/>
          <w:snapToGrid/>
          <w:szCs w:val="24"/>
          <w:lang w:val="en-US" w:eastAsia="en-AU"/>
        </w:rPr>
        <w:t>provides, for some patients, a significant improvement in efficacy or reduction of toxicity over the alternative therapy or therapies (</w:t>
      </w:r>
      <w:r w:rsidRPr="0014484E">
        <w:rPr>
          <w:rFonts w:cs="Calibri"/>
          <w:i/>
          <w:snapToGrid/>
          <w:szCs w:val="24"/>
          <w:lang w:val="en-US" w:eastAsia="en-AU"/>
        </w:rPr>
        <w:t>National Health Act 1953, Section 101(3B)</w:t>
      </w:r>
      <w:r w:rsidRPr="00E44873">
        <w:rPr>
          <w:rFonts w:cs="Calibri"/>
          <w:snapToGrid/>
          <w:szCs w:val="24"/>
          <w:lang w:val="en-US" w:eastAsia="en-AU"/>
        </w:rPr>
        <w:t xml:space="preserve">). </w:t>
      </w:r>
    </w:p>
    <w:p w:rsidR="00E44873" w:rsidRPr="00E44873" w:rsidRDefault="00E94295" w:rsidP="00E44873">
      <w:pPr>
        <w:pStyle w:val="ListParagraph"/>
        <w:widowControl/>
        <w:numPr>
          <w:ilvl w:val="1"/>
          <w:numId w:val="1"/>
        </w:numPr>
        <w:rPr>
          <w:iCs/>
        </w:rPr>
      </w:pPr>
      <w:r w:rsidRPr="00E44873">
        <w:rPr>
          <w:rFonts w:cs="Calibri"/>
          <w:snapToGrid/>
          <w:szCs w:val="24"/>
          <w:lang w:val="en-US" w:eastAsia="en-AU"/>
        </w:rPr>
        <w:t>The ESC noted that in its previous consideration of DTG/3TC (Dovato®) for virologically suppressed, treatment experienced patients at the July 2020 meeting that the PBAC accepted that DTG/RPV and DTG/3TC were of non-inferior comparative efficacy and safety (paragraphs 6.19 – 6.21, Dolutegravir with lamivudine Public Summary Document</w:t>
      </w:r>
      <w:r w:rsidR="001E3DBA">
        <w:rPr>
          <w:rFonts w:cs="Calibri"/>
          <w:snapToGrid/>
          <w:szCs w:val="24"/>
          <w:lang w:val="en-US" w:eastAsia="en-AU"/>
        </w:rPr>
        <w:t xml:space="preserve"> (PSD)</w:t>
      </w:r>
      <w:r w:rsidRPr="00E44873">
        <w:rPr>
          <w:rFonts w:cs="Calibri"/>
          <w:snapToGrid/>
          <w:szCs w:val="24"/>
          <w:lang w:val="en-US" w:eastAsia="en-AU"/>
        </w:rPr>
        <w:t>, July 2020 PBAC meeting) and therefore considered it may be a relevant alternative and less costly comparator.</w:t>
      </w:r>
    </w:p>
    <w:p w:rsidR="00E44873" w:rsidRPr="00265F2B" w:rsidRDefault="00E44873" w:rsidP="00265F2B">
      <w:pPr>
        <w:pStyle w:val="ListParagraph"/>
        <w:ind w:left="709"/>
        <w:rPr>
          <w:rFonts w:asciiTheme="minorHAnsi" w:hAnsiTheme="minorHAnsi"/>
          <w:i/>
        </w:rPr>
      </w:pPr>
      <w:r w:rsidRPr="00525B39">
        <w:rPr>
          <w:rFonts w:asciiTheme="minorHAnsi" w:hAnsiTheme="minorHAnsi"/>
          <w:i/>
        </w:rPr>
        <w:t>For more detail on PBAC’s view, see section 7 PBAC outcome.</w:t>
      </w:r>
    </w:p>
    <w:p w:rsidR="00D31976" w:rsidRPr="00E44873" w:rsidRDefault="00D31976" w:rsidP="00D31976">
      <w:pPr>
        <w:pStyle w:val="PBACHeading1"/>
      </w:pPr>
      <w:bookmarkStart w:id="7" w:name="_Toc62034927"/>
      <w:r w:rsidRPr="00E44873">
        <w:t>Consideration of the evidence</w:t>
      </w:r>
      <w:bookmarkEnd w:id="7"/>
    </w:p>
    <w:p w:rsidR="001C7B02" w:rsidRPr="00836F75" w:rsidRDefault="001C7B02" w:rsidP="003211B8">
      <w:pPr>
        <w:spacing w:before="240" w:line="276" w:lineRule="auto"/>
        <w:outlineLvl w:val="1"/>
        <w:rPr>
          <w:rFonts w:asciiTheme="minorHAnsi" w:hAnsiTheme="minorHAnsi"/>
          <w:b/>
          <w:bCs/>
          <w:i/>
          <w:sz w:val="28"/>
          <w:szCs w:val="28"/>
        </w:rPr>
      </w:pPr>
      <w:bookmarkStart w:id="8" w:name="_Toc62034928"/>
      <w:r w:rsidRPr="00836F75">
        <w:rPr>
          <w:rFonts w:asciiTheme="minorHAnsi" w:hAnsiTheme="minorHAnsi"/>
          <w:b/>
          <w:bCs/>
          <w:i/>
          <w:sz w:val="28"/>
          <w:szCs w:val="28"/>
        </w:rPr>
        <w:t>Sponsor hearing</w:t>
      </w:r>
    </w:p>
    <w:p w:rsidR="001C7B02" w:rsidRPr="00836F75" w:rsidRDefault="001C7B02" w:rsidP="001C7B02">
      <w:pPr>
        <w:numPr>
          <w:ilvl w:val="1"/>
          <w:numId w:val="1"/>
        </w:numPr>
        <w:spacing w:after="120"/>
        <w:rPr>
          <w:rFonts w:asciiTheme="minorHAnsi" w:hAnsiTheme="minorHAnsi"/>
          <w:bCs/>
        </w:rPr>
      </w:pPr>
      <w:r w:rsidRPr="00836F75">
        <w:rPr>
          <w:rFonts w:asciiTheme="minorHAnsi" w:hAnsiTheme="minorHAnsi"/>
          <w:bCs/>
        </w:rPr>
        <w:t>The sponsor requested a hearing for this it</w:t>
      </w:r>
      <w:r w:rsidR="001B0C18">
        <w:rPr>
          <w:rFonts w:asciiTheme="minorHAnsi" w:hAnsiTheme="minorHAnsi"/>
          <w:bCs/>
        </w:rPr>
        <w:t>em.  The presentation outlined the reality of the experience of living with HIV, and the impact the disease has on quality of life, in terms of anxiety, stigma and the fear of unintentional or unwanted disclosure of HIV status and the impact these issues have on every life, even in people who are virologically suppressed. The PBAC considered the presentation was informative and highlighted that viral suppression is not the only objective of effective management of HIV.</w:t>
      </w:r>
    </w:p>
    <w:p w:rsidR="001C7B02" w:rsidRPr="00836F75" w:rsidRDefault="001C7B02" w:rsidP="003211B8">
      <w:pPr>
        <w:spacing w:before="240" w:line="276" w:lineRule="auto"/>
        <w:outlineLvl w:val="1"/>
        <w:rPr>
          <w:rFonts w:asciiTheme="minorHAnsi" w:hAnsiTheme="minorHAnsi"/>
          <w:b/>
          <w:bCs/>
          <w:i/>
          <w:sz w:val="28"/>
          <w:szCs w:val="28"/>
        </w:rPr>
      </w:pPr>
      <w:r w:rsidRPr="00836F75">
        <w:rPr>
          <w:rFonts w:asciiTheme="minorHAnsi" w:hAnsiTheme="minorHAnsi"/>
          <w:b/>
          <w:bCs/>
          <w:i/>
          <w:sz w:val="28"/>
          <w:szCs w:val="28"/>
        </w:rPr>
        <w:t>Consumer comments</w:t>
      </w:r>
    </w:p>
    <w:p w:rsidR="00E270CB" w:rsidRDefault="001C7B02" w:rsidP="003211B8">
      <w:pPr>
        <w:numPr>
          <w:ilvl w:val="1"/>
          <w:numId w:val="1"/>
        </w:numPr>
        <w:spacing w:after="120"/>
        <w:rPr>
          <w:rFonts w:asciiTheme="minorHAnsi" w:hAnsiTheme="minorHAnsi"/>
          <w:bCs/>
        </w:rPr>
      </w:pPr>
      <w:r w:rsidRPr="00836F75">
        <w:rPr>
          <w:rFonts w:asciiTheme="minorHAnsi" w:hAnsiTheme="minorHAnsi"/>
          <w:bCs/>
        </w:rPr>
        <w:t xml:space="preserve">The PBAC noted and welcomed the input from </w:t>
      </w:r>
      <w:r w:rsidR="003211B8">
        <w:rPr>
          <w:rFonts w:asciiTheme="minorHAnsi" w:hAnsiTheme="minorHAnsi"/>
          <w:bCs/>
        </w:rPr>
        <w:t>the National Association for People Living with HIV (NAPWHA), the</w:t>
      </w:r>
      <w:r w:rsidRPr="00836F75">
        <w:rPr>
          <w:rFonts w:asciiTheme="minorHAnsi" w:hAnsiTheme="minorHAnsi"/>
          <w:bCs/>
        </w:rPr>
        <w:t xml:space="preserve"> </w:t>
      </w:r>
      <w:r w:rsidR="003211B8" w:rsidRPr="003211B8">
        <w:rPr>
          <w:rFonts w:asciiTheme="minorHAnsi" w:hAnsiTheme="minorHAnsi"/>
          <w:bCs/>
        </w:rPr>
        <w:t>National Aboriginal Community Controlled Health Organisation</w:t>
      </w:r>
      <w:r w:rsidR="003211B8">
        <w:rPr>
          <w:rFonts w:asciiTheme="minorHAnsi" w:hAnsiTheme="minorHAnsi"/>
          <w:bCs/>
        </w:rPr>
        <w:t xml:space="preserve"> (NACCHO) and Thorne Harbour Health (Vic) </w:t>
      </w:r>
      <w:r w:rsidRPr="00836F75">
        <w:rPr>
          <w:rFonts w:asciiTheme="minorHAnsi" w:hAnsiTheme="minorHAnsi"/>
          <w:bCs/>
        </w:rPr>
        <w:t xml:space="preserve">via the Consumer Comments facility on the PBS website.  </w:t>
      </w:r>
    </w:p>
    <w:p w:rsidR="00E270CB" w:rsidRDefault="003211B8" w:rsidP="00E270CB">
      <w:pPr>
        <w:pStyle w:val="ListParagraph"/>
        <w:numPr>
          <w:ilvl w:val="0"/>
          <w:numId w:val="25"/>
        </w:numPr>
        <w:spacing w:after="120"/>
        <w:rPr>
          <w:rFonts w:asciiTheme="minorHAnsi" w:hAnsiTheme="minorHAnsi"/>
          <w:bCs/>
        </w:rPr>
      </w:pPr>
      <w:r w:rsidRPr="00E270CB">
        <w:rPr>
          <w:rFonts w:asciiTheme="minorHAnsi" w:hAnsiTheme="minorHAnsi"/>
          <w:bCs/>
        </w:rPr>
        <w:t>The PBAC noted the comments from NAPWHA highlighted that anxiety, stigma and fear of unintent</w:t>
      </w:r>
      <w:r w:rsidR="00E270CB">
        <w:rPr>
          <w:rFonts w:asciiTheme="minorHAnsi" w:hAnsiTheme="minorHAnsi"/>
          <w:bCs/>
        </w:rPr>
        <w:t>ional disclosure of HIV status</w:t>
      </w:r>
      <w:r w:rsidRPr="00E270CB">
        <w:rPr>
          <w:rFonts w:asciiTheme="minorHAnsi" w:hAnsiTheme="minorHAnsi"/>
          <w:bCs/>
        </w:rPr>
        <w:t xml:space="preserve"> are</w:t>
      </w:r>
      <w:r w:rsidR="00E270CB">
        <w:rPr>
          <w:rFonts w:asciiTheme="minorHAnsi" w:hAnsiTheme="minorHAnsi"/>
          <w:bCs/>
        </w:rPr>
        <w:t xml:space="preserve"> a </w:t>
      </w:r>
      <w:r w:rsidRPr="00E270CB">
        <w:rPr>
          <w:rFonts w:asciiTheme="minorHAnsi" w:hAnsiTheme="minorHAnsi"/>
          <w:bCs/>
        </w:rPr>
        <w:t>real concern for many people living with HIV that has direct impacts on mental health and quality of life</w:t>
      </w:r>
      <w:r w:rsidR="00E270CB">
        <w:rPr>
          <w:rFonts w:asciiTheme="minorHAnsi" w:hAnsiTheme="minorHAnsi"/>
          <w:bCs/>
        </w:rPr>
        <w:t xml:space="preserve"> and also noted this viewpoint was reflected in the sponsor hearing presentation</w:t>
      </w:r>
      <w:r w:rsidRPr="00E270CB">
        <w:rPr>
          <w:rFonts w:asciiTheme="minorHAnsi" w:hAnsiTheme="minorHAnsi"/>
          <w:bCs/>
        </w:rPr>
        <w:t xml:space="preserve">. </w:t>
      </w:r>
    </w:p>
    <w:p w:rsidR="001C7B02" w:rsidRDefault="00E270CB" w:rsidP="00E270CB">
      <w:pPr>
        <w:pStyle w:val="ListParagraph"/>
        <w:numPr>
          <w:ilvl w:val="0"/>
          <w:numId w:val="25"/>
        </w:numPr>
        <w:spacing w:after="120"/>
        <w:rPr>
          <w:rFonts w:asciiTheme="minorHAnsi" w:hAnsiTheme="minorHAnsi"/>
          <w:bCs/>
        </w:rPr>
      </w:pPr>
      <w:r>
        <w:rPr>
          <w:rFonts w:asciiTheme="minorHAnsi" w:hAnsiTheme="minorHAnsi"/>
          <w:bCs/>
        </w:rPr>
        <w:t>The Committee also noted the input from NACCHO highlighted the benefits of a long acting injectable option for some Aboriginal and Torres Strait Islander peoples, particularly for a small number of people who may have adherence issues and represent an increased transmission risk. The comments also highlighted that HIV infection and the fear of unintentional disclosure is an additional mental health issue for Aboriginal and Torres Strait Islander peoples, who may face additional discrimination and rejection by their community if their HIV status were disclosed in such a way.</w:t>
      </w:r>
      <w:r w:rsidR="006C328F">
        <w:rPr>
          <w:rFonts w:asciiTheme="minorHAnsi" w:hAnsiTheme="minorHAnsi"/>
          <w:bCs/>
        </w:rPr>
        <w:t xml:space="preserve"> The PBAC considered it </w:t>
      </w:r>
      <w:r w:rsidR="006C328F">
        <w:t>would need more detail from NACCHO regarding the suggestion that there is a component of the ATSI population that would choose LAIs and two monthly visits, including information on remote access.</w:t>
      </w:r>
    </w:p>
    <w:p w:rsidR="00E270CB" w:rsidRPr="00E270CB" w:rsidRDefault="00E270CB" w:rsidP="00E270CB">
      <w:pPr>
        <w:pStyle w:val="ListParagraph"/>
        <w:numPr>
          <w:ilvl w:val="0"/>
          <w:numId w:val="25"/>
        </w:numPr>
        <w:spacing w:after="120"/>
        <w:rPr>
          <w:rFonts w:asciiTheme="minorHAnsi" w:hAnsiTheme="minorHAnsi"/>
          <w:bCs/>
        </w:rPr>
      </w:pPr>
      <w:r>
        <w:rPr>
          <w:rFonts w:asciiTheme="minorHAnsi" w:hAnsiTheme="minorHAnsi"/>
          <w:bCs/>
        </w:rPr>
        <w:t>The PBAC noted the input from Thorne Harbour Health (Vic) that highlighted the potential advantages of a supervised long acting injectable option for management of HIV infection for older patients with neurocognitive impairments or drug problems and are likely to be less adherent to daily oral therapy.</w:t>
      </w:r>
    </w:p>
    <w:p w:rsidR="00D31976" w:rsidRPr="001C7B02" w:rsidRDefault="00D31976" w:rsidP="00D31976">
      <w:pPr>
        <w:pStyle w:val="Heading2"/>
      </w:pPr>
      <w:r w:rsidRPr="001C7B02">
        <w:t>Clinical trials</w:t>
      </w:r>
      <w:bookmarkEnd w:id="8"/>
    </w:p>
    <w:p w:rsidR="00D31976" w:rsidRPr="00E44873" w:rsidRDefault="00D31976" w:rsidP="00D31976"/>
    <w:p w:rsidR="00F156AF" w:rsidRPr="00E44873" w:rsidRDefault="00D31976" w:rsidP="00D1387B">
      <w:pPr>
        <w:pStyle w:val="ListParagraph"/>
        <w:widowControl/>
        <w:numPr>
          <w:ilvl w:val="1"/>
          <w:numId w:val="1"/>
        </w:numPr>
        <w:spacing w:after="0"/>
      </w:pPr>
      <w:r w:rsidRPr="00E44873">
        <w:rPr>
          <w:rFonts w:cs="Calibri"/>
          <w:snapToGrid/>
          <w:szCs w:val="24"/>
          <w:lang w:val="en-US" w:eastAsia="en-AU"/>
        </w:rPr>
        <w:t xml:space="preserve">No head-to-head trials comparing CAB LA + RPV LA Q8W and DTG/RPV FDC were </w:t>
      </w:r>
      <w:r w:rsidR="00F02FB7" w:rsidRPr="00E44873">
        <w:rPr>
          <w:rFonts w:cs="Calibri"/>
          <w:snapToGrid/>
          <w:szCs w:val="24"/>
          <w:lang w:val="en-US" w:eastAsia="en-AU"/>
        </w:rPr>
        <w:t xml:space="preserve">identified. </w:t>
      </w:r>
      <w:r w:rsidR="00F156AF" w:rsidRPr="00E44873">
        <w:rPr>
          <w:rFonts w:cs="Calibri"/>
          <w:snapToGrid/>
          <w:szCs w:val="24"/>
          <w:lang w:val="en-US" w:eastAsia="en-AU"/>
        </w:rPr>
        <w:t xml:space="preserve">Instead, </w:t>
      </w:r>
      <w:r w:rsidR="00F156AF" w:rsidRPr="00E44873">
        <w:t>a claim of non-inferiority in terms of effectiveness was made via a two-step indirect comparison of CAB LA + RPV LA Q8W and DTG</w:t>
      </w:r>
      <w:r w:rsidR="00166397" w:rsidRPr="00E44873">
        <w:t xml:space="preserve"> + </w:t>
      </w:r>
      <w:r w:rsidR="00F156AF" w:rsidRPr="00E44873">
        <w:t xml:space="preserve">RPV </w:t>
      </w:r>
      <w:r w:rsidR="00166397" w:rsidRPr="00E44873">
        <w:t xml:space="preserve">(which was assumed to be the same as the DTG/RPV </w:t>
      </w:r>
      <w:r w:rsidR="00F156AF" w:rsidRPr="00E44873">
        <w:t>FDC</w:t>
      </w:r>
      <w:r w:rsidR="00166397" w:rsidRPr="00E44873">
        <w:t>)</w:t>
      </w:r>
      <w:r w:rsidR="00F156AF" w:rsidRPr="00E44873">
        <w:t xml:space="preserve"> using Bucher’s method with the following steps (refer to </w:t>
      </w:r>
      <w:r w:rsidR="00B90AC3" w:rsidRPr="00B90AC3">
        <w:t>Table 3</w:t>
      </w:r>
      <w:r w:rsidR="00F156AF" w:rsidRPr="00E44873">
        <w:t>):</w:t>
      </w:r>
    </w:p>
    <w:p w:rsidR="00F156AF" w:rsidRPr="00E44873" w:rsidRDefault="00F156AF" w:rsidP="00D1387B">
      <w:pPr>
        <w:pStyle w:val="ListParagraph"/>
        <w:numPr>
          <w:ilvl w:val="0"/>
          <w:numId w:val="4"/>
        </w:numPr>
        <w:spacing w:after="0"/>
        <w:ind w:left="993" w:hanging="284"/>
      </w:pPr>
      <w:r w:rsidRPr="00E44873">
        <w:t>CAB LA + RPV LA Q4W vs DTG</w:t>
      </w:r>
      <w:r w:rsidR="00166397" w:rsidRPr="00E44873">
        <w:t xml:space="preserve"> + </w:t>
      </w:r>
      <w:r w:rsidRPr="00E44873">
        <w:t>RPV: These were anchored on oral ART as a common comparator</w:t>
      </w:r>
      <w:r w:rsidR="00166397" w:rsidRPr="00E44873">
        <w:t>; then</w:t>
      </w:r>
    </w:p>
    <w:p w:rsidR="008F4EF3" w:rsidRPr="00E44873" w:rsidRDefault="00F156AF" w:rsidP="008F4EF3">
      <w:pPr>
        <w:pStyle w:val="ListParagraph"/>
        <w:numPr>
          <w:ilvl w:val="0"/>
          <w:numId w:val="4"/>
        </w:numPr>
        <w:spacing w:after="0"/>
        <w:ind w:left="993" w:hanging="284"/>
      </w:pPr>
      <w:r w:rsidRPr="00E44873">
        <w:t>CAB LA + RPV LA Q8W vs DTG</w:t>
      </w:r>
      <w:r w:rsidR="00166397" w:rsidRPr="00E44873">
        <w:t xml:space="preserve"> + </w:t>
      </w:r>
      <w:r w:rsidRPr="00E44873">
        <w:t xml:space="preserve">RPV: Comparison was made using CAB LA + RPV LA Q4W as a common comparator (outcome of step 1). </w:t>
      </w:r>
    </w:p>
    <w:p w:rsidR="00F156AF" w:rsidRPr="00E44873" w:rsidRDefault="00F156AF" w:rsidP="00F156AF">
      <w:pPr>
        <w:widowControl/>
      </w:pPr>
    </w:p>
    <w:p w:rsidR="00D31976" w:rsidRPr="00E44873" w:rsidRDefault="00F156AF" w:rsidP="00D1387B">
      <w:pPr>
        <w:pStyle w:val="ListParagraph"/>
        <w:widowControl/>
        <w:numPr>
          <w:ilvl w:val="1"/>
          <w:numId w:val="1"/>
        </w:numPr>
        <w:spacing w:after="0"/>
      </w:pPr>
      <w:r w:rsidRPr="00E44873">
        <w:rPr>
          <w:rFonts w:cs="Calibri"/>
          <w:snapToGrid/>
          <w:szCs w:val="24"/>
          <w:lang w:val="en-US" w:eastAsia="en-AU"/>
        </w:rPr>
        <w:t>The</w:t>
      </w:r>
      <w:r w:rsidR="00F02FB7" w:rsidRPr="00E44873">
        <w:rPr>
          <w:rFonts w:cs="Calibri"/>
          <w:snapToGrid/>
          <w:szCs w:val="24"/>
          <w:lang w:val="en-US" w:eastAsia="en-AU"/>
        </w:rPr>
        <w:t xml:space="preserve"> two</w:t>
      </w:r>
      <w:r w:rsidR="00995A5E" w:rsidRPr="00E44873">
        <w:rPr>
          <w:rFonts w:cs="Calibri"/>
          <w:snapToGrid/>
          <w:szCs w:val="24"/>
          <w:lang w:val="en-US" w:eastAsia="en-AU"/>
        </w:rPr>
        <w:t>-</w:t>
      </w:r>
      <w:r w:rsidR="00F02FB7" w:rsidRPr="00E44873">
        <w:rPr>
          <w:rFonts w:cs="Calibri"/>
          <w:snapToGrid/>
          <w:szCs w:val="24"/>
          <w:lang w:val="en-US" w:eastAsia="en-AU"/>
        </w:rPr>
        <w:t>step</w:t>
      </w:r>
      <w:r w:rsidR="00D31976" w:rsidRPr="00E44873">
        <w:rPr>
          <w:rFonts w:cs="Calibri"/>
          <w:snapToGrid/>
          <w:szCs w:val="24"/>
          <w:lang w:val="en-US" w:eastAsia="en-AU"/>
        </w:rPr>
        <w:t xml:space="preserve"> indirect treatment comparison</w:t>
      </w:r>
      <w:r w:rsidRPr="00E44873">
        <w:rPr>
          <w:rFonts w:cs="Calibri"/>
          <w:snapToGrid/>
          <w:szCs w:val="24"/>
          <w:lang w:val="en-US" w:eastAsia="en-AU"/>
        </w:rPr>
        <w:t xml:space="preserve"> was</w:t>
      </w:r>
      <w:r w:rsidR="00D31976" w:rsidRPr="00E44873">
        <w:rPr>
          <w:rFonts w:cs="Calibri"/>
          <w:snapToGrid/>
          <w:szCs w:val="24"/>
          <w:lang w:val="en-US" w:eastAsia="en-AU"/>
        </w:rPr>
        <w:t xml:space="preserve"> based on five randomised controlled trials:</w:t>
      </w:r>
    </w:p>
    <w:p w:rsidR="00D31976" w:rsidRPr="00E44873" w:rsidRDefault="00D31976" w:rsidP="00D1387B">
      <w:pPr>
        <w:pStyle w:val="ListParagraph"/>
        <w:numPr>
          <w:ilvl w:val="0"/>
          <w:numId w:val="4"/>
        </w:numPr>
        <w:spacing w:after="0"/>
        <w:ind w:left="1134"/>
      </w:pPr>
      <w:r w:rsidRPr="00E44873">
        <w:t xml:space="preserve">Study 201584 (hereafter referred to as “FLAIR”, n=566): following oral induction with </w:t>
      </w:r>
      <w:r w:rsidR="00995A5E" w:rsidRPr="00E44873">
        <w:t>o</w:t>
      </w:r>
      <w:r w:rsidRPr="00E44873">
        <w:t>ral DTG/</w:t>
      </w:r>
      <w:r w:rsidR="00995A5E" w:rsidRPr="00E44873">
        <w:t>a</w:t>
      </w:r>
      <w:r w:rsidRPr="00E44873">
        <w:t>bacavir (ABC)/lamivudine (3TC) in ART naïve individuals, patient</w:t>
      </w:r>
      <w:r w:rsidR="00995A5E" w:rsidRPr="00E44873">
        <w:t>s were randomised to</w:t>
      </w:r>
      <w:r w:rsidRPr="00E44873">
        <w:t xml:space="preserve"> either continue treatment with oral DTG/ABC/3TC (n=283) or CAB LA +RPV LA Q4W injections (n=283); </w:t>
      </w:r>
    </w:p>
    <w:p w:rsidR="00D31976" w:rsidRPr="00E44873" w:rsidRDefault="00D31976" w:rsidP="00D1387B">
      <w:pPr>
        <w:pStyle w:val="ListParagraph"/>
        <w:numPr>
          <w:ilvl w:val="0"/>
          <w:numId w:val="4"/>
        </w:numPr>
        <w:spacing w:after="0"/>
        <w:ind w:left="1134"/>
      </w:pPr>
      <w:r w:rsidRPr="00E44873">
        <w:t>Study 201585 (hereafter referred to as “ATLAS”, n=616): patients were randomised to CAB LA +RPV LA Q4W (n=310) or treatment with an oral INSTI-, NNRTI-, or PI-based antiretroviral regimen (n=308) in virologically suppressed individuals; and</w:t>
      </w:r>
    </w:p>
    <w:p w:rsidR="00D31976" w:rsidRPr="00E44873" w:rsidRDefault="00D31976" w:rsidP="00D1387B">
      <w:pPr>
        <w:pStyle w:val="ListParagraph"/>
        <w:numPr>
          <w:ilvl w:val="0"/>
          <w:numId w:val="4"/>
        </w:numPr>
        <w:spacing w:after="0"/>
        <w:ind w:left="1134"/>
      </w:pPr>
      <w:r w:rsidRPr="00E44873">
        <w:t>Study 207966 (hereafter referred to as “ATLAS-2M”, n=1,049): patients were randomised to be treated with the Q4W regimen for CAB LA +RPV LA (n=525) or with the every eight week (Q8W) regimen (n=524) in virologically suppressed individuals.</w:t>
      </w:r>
    </w:p>
    <w:p w:rsidR="00083E70" w:rsidRPr="00E44873" w:rsidRDefault="00D31976" w:rsidP="00D1387B">
      <w:pPr>
        <w:pStyle w:val="ListParagraph"/>
        <w:numPr>
          <w:ilvl w:val="0"/>
          <w:numId w:val="4"/>
        </w:numPr>
        <w:ind w:left="1134" w:hanging="357"/>
      </w:pPr>
      <w:r w:rsidRPr="00E44873">
        <w:t xml:space="preserve">Two trials (SWORD 1 and 2) </w:t>
      </w:r>
      <w:r w:rsidR="00166397" w:rsidRPr="00E44873">
        <w:t xml:space="preserve">for DTG + RPV </w:t>
      </w:r>
      <w:r w:rsidR="009C0798" w:rsidRPr="00E44873">
        <w:t xml:space="preserve">taken </w:t>
      </w:r>
      <w:r w:rsidR="00166397" w:rsidRPr="00E44873">
        <w:t xml:space="preserve">concomitantly </w:t>
      </w:r>
      <w:r w:rsidRPr="00E44873">
        <w:t xml:space="preserve">were identified, with their results pooled (n=1,028). </w:t>
      </w:r>
      <w:r w:rsidR="009C0798" w:rsidRPr="00E44873">
        <w:t xml:space="preserve">It was assumed that DTG + RPV would be equivalent to the DTG/RPV FDC. The PBAC has previously noted that the TGA has accepted that DTG + RPV taken concomitantly was bioequivalent to the DTG/RPV FDC (Paragraph 6.18, dolutegravir with rilpivirine PSD, July 2018). </w:t>
      </w:r>
      <w:r w:rsidRPr="00E44873">
        <w:t xml:space="preserve">Both SWORD 1 and 2 compared </w:t>
      </w:r>
      <w:r w:rsidR="009C0798" w:rsidRPr="00E44873">
        <w:t xml:space="preserve">DTG + RPV </w:t>
      </w:r>
      <w:r w:rsidR="001F0469" w:rsidRPr="00E44873">
        <w:t xml:space="preserve">taken concomitantly </w:t>
      </w:r>
      <w:r w:rsidR="009C0798" w:rsidRPr="00E44873">
        <w:t xml:space="preserve">(n= 516) </w:t>
      </w:r>
      <w:r w:rsidRPr="00E44873">
        <w:t xml:space="preserve">with continued treatment with ART (n=512) in virologically suppressed individuals. </w:t>
      </w:r>
      <w:r w:rsidR="00995A5E" w:rsidRPr="00E44873">
        <w:rPr>
          <w:iCs/>
        </w:rPr>
        <w:t>These trials have previously been considered by the PBAC.</w:t>
      </w:r>
    </w:p>
    <w:p w:rsidR="00083E70" w:rsidRPr="00E44873" w:rsidRDefault="00166397" w:rsidP="00F1587E">
      <w:pPr>
        <w:pStyle w:val="Tabletext"/>
        <w:keepNext/>
        <w:keepLines/>
        <w:rPr>
          <w:rStyle w:val="CommentReference"/>
        </w:rPr>
      </w:pPr>
      <w:bookmarkStart w:id="9" w:name="_Ref61370198"/>
      <w:r w:rsidRPr="00E44873">
        <w:rPr>
          <w:rStyle w:val="CommentReference"/>
        </w:rPr>
        <w:t xml:space="preserve">Table </w:t>
      </w:r>
      <w:r w:rsidR="00B90AC3">
        <w:rPr>
          <w:rStyle w:val="CommentReference"/>
          <w:noProof/>
        </w:rPr>
        <w:t>3</w:t>
      </w:r>
      <w:bookmarkEnd w:id="9"/>
      <w:r w:rsidR="00083E70" w:rsidRPr="00E44873">
        <w:rPr>
          <w:rStyle w:val="CommentReference"/>
        </w:rPr>
        <w:t>: Trials used in each step of two step indirect comparison between CAB LA + RPV LA two monthly and DTG/RPV FDC</w:t>
      </w:r>
    </w:p>
    <w:tbl>
      <w:tblPr>
        <w:tblStyle w:val="TableGrid"/>
        <w:tblW w:w="0" w:type="auto"/>
        <w:tblCellMar>
          <w:left w:w="28" w:type="dxa"/>
          <w:right w:w="28" w:type="dxa"/>
        </w:tblCellMar>
        <w:tblLook w:val="04A0" w:firstRow="1" w:lastRow="0" w:firstColumn="1" w:lastColumn="0" w:noHBand="0" w:noVBand="1"/>
        <w:tblCaption w:val="Table 3: Trials used in each step of two step indirect comparison between CAB LA + RPV LA two monthly and DTG/RPV FDC"/>
      </w:tblPr>
      <w:tblGrid>
        <w:gridCol w:w="2972"/>
        <w:gridCol w:w="2015"/>
        <w:gridCol w:w="2015"/>
        <w:gridCol w:w="2015"/>
      </w:tblGrid>
      <w:tr w:rsidR="00083E70" w:rsidRPr="00E44873" w:rsidTr="00F6034A">
        <w:trPr>
          <w:tblHeader/>
        </w:trPr>
        <w:tc>
          <w:tcPr>
            <w:tcW w:w="2972" w:type="dxa"/>
          </w:tcPr>
          <w:p w:rsidR="00083E70" w:rsidRPr="00E44873" w:rsidRDefault="00083E70" w:rsidP="00F1587E">
            <w:pPr>
              <w:keepNext/>
              <w:keepLines/>
              <w:rPr>
                <w:rFonts w:ascii="Arial Narrow" w:hAnsi="Arial Narrow"/>
                <w:sz w:val="20"/>
                <w:szCs w:val="20"/>
              </w:rPr>
            </w:pPr>
          </w:p>
        </w:tc>
        <w:tc>
          <w:tcPr>
            <w:tcW w:w="2015" w:type="dxa"/>
            <w:vAlign w:val="center"/>
          </w:tcPr>
          <w:p w:rsidR="00083E70" w:rsidRPr="00E44873" w:rsidRDefault="00083E70" w:rsidP="00F1587E">
            <w:pPr>
              <w:keepNext/>
              <w:keepLines/>
              <w:jc w:val="center"/>
              <w:rPr>
                <w:rFonts w:ascii="Arial Narrow" w:hAnsi="Arial Narrow"/>
                <w:b/>
                <w:bCs/>
                <w:sz w:val="20"/>
                <w:szCs w:val="20"/>
              </w:rPr>
            </w:pPr>
            <w:r w:rsidRPr="00E44873">
              <w:rPr>
                <w:rFonts w:ascii="Arial Narrow" w:hAnsi="Arial Narrow"/>
                <w:b/>
                <w:bCs/>
                <w:sz w:val="20"/>
                <w:szCs w:val="20"/>
              </w:rPr>
              <w:t>CAB LA + RPV LA Q8W</w:t>
            </w:r>
          </w:p>
        </w:tc>
        <w:tc>
          <w:tcPr>
            <w:tcW w:w="2015" w:type="dxa"/>
            <w:vAlign w:val="center"/>
          </w:tcPr>
          <w:p w:rsidR="00083E70" w:rsidRPr="00E44873" w:rsidRDefault="00083E70" w:rsidP="00F1587E">
            <w:pPr>
              <w:keepNext/>
              <w:keepLines/>
              <w:jc w:val="center"/>
              <w:rPr>
                <w:rFonts w:ascii="Arial Narrow" w:hAnsi="Arial Narrow"/>
                <w:b/>
                <w:bCs/>
                <w:sz w:val="20"/>
                <w:szCs w:val="20"/>
              </w:rPr>
            </w:pPr>
            <w:r w:rsidRPr="00E44873">
              <w:rPr>
                <w:rFonts w:ascii="Arial Narrow" w:hAnsi="Arial Narrow"/>
                <w:b/>
                <w:bCs/>
                <w:sz w:val="20"/>
                <w:szCs w:val="20"/>
              </w:rPr>
              <w:t>CAB LA + RPV LA Q4W</w:t>
            </w:r>
          </w:p>
        </w:tc>
        <w:tc>
          <w:tcPr>
            <w:tcW w:w="2015" w:type="dxa"/>
            <w:vAlign w:val="center"/>
          </w:tcPr>
          <w:p w:rsidR="00083E70" w:rsidRPr="00E44873" w:rsidRDefault="00083E70" w:rsidP="00F1587E">
            <w:pPr>
              <w:keepNext/>
              <w:keepLines/>
              <w:jc w:val="center"/>
              <w:rPr>
                <w:rFonts w:ascii="Arial Narrow" w:hAnsi="Arial Narrow"/>
                <w:b/>
                <w:bCs/>
                <w:sz w:val="20"/>
                <w:szCs w:val="20"/>
              </w:rPr>
            </w:pPr>
            <w:r w:rsidRPr="00E44873">
              <w:rPr>
                <w:rFonts w:ascii="Arial Narrow" w:hAnsi="Arial Narrow"/>
                <w:b/>
                <w:bCs/>
                <w:sz w:val="20"/>
                <w:szCs w:val="20"/>
              </w:rPr>
              <w:t>DTG/RPV FDC</w:t>
            </w:r>
          </w:p>
        </w:tc>
      </w:tr>
      <w:tr w:rsidR="00083E70" w:rsidRPr="00E44873" w:rsidTr="00885867">
        <w:tc>
          <w:tcPr>
            <w:tcW w:w="2972" w:type="dxa"/>
            <w:vAlign w:val="center"/>
          </w:tcPr>
          <w:p w:rsidR="00083E70" w:rsidRPr="00E44873" w:rsidRDefault="00083E70" w:rsidP="00F1587E">
            <w:pPr>
              <w:keepNext/>
              <w:keepLines/>
              <w:jc w:val="left"/>
              <w:rPr>
                <w:rFonts w:ascii="Arial Narrow" w:hAnsi="Arial Narrow"/>
                <w:sz w:val="20"/>
                <w:szCs w:val="20"/>
              </w:rPr>
            </w:pPr>
            <w:r w:rsidRPr="00E44873">
              <w:rPr>
                <w:rFonts w:ascii="Arial Narrow" w:hAnsi="Arial Narrow"/>
                <w:sz w:val="20"/>
                <w:szCs w:val="20"/>
              </w:rPr>
              <w:t>Step 1 (Oral ART as common comparator)</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FLAIR pooled with ATLAS</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SWORD 1 and 2</w:t>
            </w:r>
          </w:p>
        </w:tc>
      </w:tr>
      <w:tr w:rsidR="00083E70" w:rsidRPr="00E44873" w:rsidTr="00885867">
        <w:tc>
          <w:tcPr>
            <w:tcW w:w="2972" w:type="dxa"/>
            <w:vAlign w:val="center"/>
          </w:tcPr>
          <w:p w:rsidR="00083E70" w:rsidRPr="00E44873" w:rsidRDefault="00083E70" w:rsidP="00F1587E">
            <w:pPr>
              <w:keepNext/>
              <w:keepLines/>
              <w:jc w:val="left"/>
              <w:rPr>
                <w:rFonts w:ascii="Arial Narrow" w:hAnsi="Arial Narrow"/>
                <w:sz w:val="20"/>
                <w:szCs w:val="20"/>
              </w:rPr>
            </w:pPr>
            <w:r w:rsidRPr="00E44873">
              <w:rPr>
                <w:rFonts w:ascii="Arial Narrow" w:hAnsi="Arial Narrow"/>
                <w:sz w:val="20"/>
                <w:szCs w:val="20"/>
              </w:rPr>
              <w:t>Step 2 (CAB LA + RPV LA Q4W as common comparator, from step 1)</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ATLAS-2M</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w:t>
            </w:r>
          </w:p>
        </w:tc>
        <w:tc>
          <w:tcPr>
            <w:tcW w:w="2015" w:type="dxa"/>
            <w:vAlign w:val="center"/>
          </w:tcPr>
          <w:p w:rsidR="00083E70" w:rsidRPr="00E44873" w:rsidRDefault="00083E70" w:rsidP="00F1587E">
            <w:pPr>
              <w:keepNext/>
              <w:keepLines/>
              <w:jc w:val="center"/>
              <w:rPr>
                <w:rFonts w:ascii="Arial Narrow" w:hAnsi="Arial Narrow"/>
                <w:sz w:val="20"/>
                <w:szCs w:val="20"/>
              </w:rPr>
            </w:pPr>
            <w:r w:rsidRPr="00E44873">
              <w:rPr>
                <w:rFonts w:ascii="Arial Narrow" w:hAnsi="Arial Narrow"/>
                <w:sz w:val="20"/>
                <w:szCs w:val="20"/>
              </w:rPr>
              <w:t>Results from Step 1</w:t>
            </w:r>
          </w:p>
        </w:tc>
      </w:tr>
    </w:tbl>
    <w:p w:rsidR="00083E70" w:rsidRPr="00E44873" w:rsidRDefault="00083E70" w:rsidP="00F1587E">
      <w:pPr>
        <w:keepNext/>
        <w:keepLines/>
        <w:rPr>
          <w:rFonts w:ascii="Arial Narrow" w:eastAsia="Calibri" w:hAnsi="Arial Narrow"/>
          <w:sz w:val="18"/>
          <w:szCs w:val="18"/>
        </w:rPr>
      </w:pPr>
      <w:r w:rsidRPr="00E44873">
        <w:rPr>
          <w:rFonts w:ascii="Arial Narrow" w:eastAsia="Calibri" w:hAnsi="Arial Narrow"/>
          <w:sz w:val="18"/>
          <w:szCs w:val="18"/>
        </w:rPr>
        <w:t xml:space="preserve">CAB = cabotegravir; LA = long acting; RPV = rilpivirine; ART = antiretroviral therapy; DTG = dolutegravir; FDC = fixed dose combination; Q8W = every eight weeks, Q4W = every four weeks </w:t>
      </w:r>
    </w:p>
    <w:p w:rsidR="00083E70" w:rsidRPr="00E44873" w:rsidRDefault="00083E70" w:rsidP="00F1587E">
      <w:pPr>
        <w:keepNext/>
        <w:keepLines/>
        <w:rPr>
          <w:rFonts w:ascii="Arial Narrow" w:hAnsi="Arial Narrow"/>
          <w:sz w:val="18"/>
          <w:szCs w:val="18"/>
        </w:rPr>
      </w:pPr>
      <w:r w:rsidRPr="00E44873">
        <w:rPr>
          <w:rFonts w:ascii="Arial Narrow" w:eastAsia="Calibri" w:hAnsi="Arial Narrow"/>
          <w:sz w:val="18"/>
          <w:szCs w:val="18"/>
        </w:rPr>
        <w:t xml:space="preserve">Source: Adapted from Figure 21, p112 of the submission. </w:t>
      </w:r>
    </w:p>
    <w:p w:rsidR="00083E70" w:rsidRPr="00E44873" w:rsidRDefault="00083E70" w:rsidP="00083E70"/>
    <w:p w:rsidR="003B2A0C" w:rsidRPr="00E44873" w:rsidRDefault="00D31976" w:rsidP="00D1387B">
      <w:pPr>
        <w:pStyle w:val="ListParagraph"/>
        <w:widowControl/>
        <w:numPr>
          <w:ilvl w:val="1"/>
          <w:numId w:val="1"/>
        </w:numPr>
      </w:pPr>
      <w:r w:rsidRPr="00E44873">
        <w:rPr>
          <w:rFonts w:cs="Calibri"/>
          <w:snapToGrid/>
          <w:szCs w:val="24"/>
          <w:lang w:val="en-US" w:eastAsia="en-AU"/>
        </w:rPr>
        <w:t>Details of the trials presented in the submission are provided in</w:t>
      </w:r>
      <w:r w:rsidR="00CA09D4">
        <w:rPr>
          <w:rFonts w:cs="Calibri"/>
          <w:snapToGrid/>
          <w:szCs w:val="24"/>
          <w:lang w:val="en-US" w:eastAsia="en-AU"/>
        </w:rPr>
        <w:t xml:space="preserve"> Table 4</w:t>
      </w:r>
      <w:r w:rsidRPr="00E44873">
        <w:rPr>
          <w:rFonts w:cs="Calibri"/>
          <w:snapToGrid/>
          <w:szCs w:val="24"/>
          <w:lang w:val="en-US" w:eastAsia="en-AU"/>
        </w:rPr>
        <w:t xml:space="preserve">. </w:t>
      </w:r>
    </w:p>
    <w:p w:rsidR="00D31976" w:rsidRPr="00E44873" w:rsidRDefault="009C0798" w:rsidP="00265F2B">
      <w:pPr>
        <w:keepNext/>
        <w:keepLines/>
        <w:widowControl/>
        <w:rPr>
          <w:rStyle w:val="CommentReference"/>
        </w:rPr>
      </w:pPr>
      <w:bookmarkStart w:id="10" w:name="_Ref61370748"/>
      <w:r w:rsidRPr="00E44873">
        <w:rPr>
          <w:rStyle w:val="CommentReference"/>
        </w:rPr>
        <w:t xml:space="preserve">Table </w:t>
      </w:r>
      <w:r w:rsidR="00B90AC3">
        <w:rPr>
          <w:rStyle w:val="CommentReference"/>
          <w:noProof/>
        </w:rPr>
        <w:t>4</w:t>
      </w:r>
      <w:bookmarkEnd w:id="10"/>
      <w:r w:rsidR="00F02FB7" w:rsidRPr="00E44873">
        <w:rPr>
          <w:rStyle w:val="CommentReference"/>
        </w:rPr>
        <w:t xml:space="preserve">: </w:t>
      </w:r>
      <w:r w:rsidR="00D31976" w:rsidRPr="00E44873">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6238"/>
        <w:gridCol w:w="1650"/>
      </w:tblGrid>
      <w:tr w:rsidR="00D31976" w:rsidRPr="00E44873" w:rsidTr="003B2A0C">
        <w:trPr>
          <w:tblHeader/>
        </w:trPr>
        <w:tc>
          <w:tcPr>
            <w:tcW w:w="626" w:type="pct"/>
            <w:tcBorders>
              <w:bottom w:val="single" w:sz="4" w:space="0" w:color="auto"/>
            </w:tcBorders>
            <w:vAlign w:val="center"/>
          </w:tcPr>
          <w:p w:rsidR="00D31976" w:rsidRPr="00E44873" w:rsidRDefault="00D31976" w:rsidP="00265F2B">
            <w:pPr>
              <w:pStyle w:val="Tabletext"/>
              <w:keepNext/>
              <w:keepLines/>
              <w:rPr>
                <w:b/>
              </w:rPr>
            </w:pPr>
            <w:r w:rsidRPr="00E44873">
              <w:rPr>
                <w:b/>
              </w:rPr>
              <w:t>Trial ID</w:t>
            </w:r>
          </w:p>
        </w:tc>
        <w:tc>
          <w:tcPr>
            <w:tcW w:w="3459" w:type="pct"/>
            <w:tcBorders>
              <w:bottom w:val="single" w:sz="4" w:space="0" w:color="auto"/>
            </w:tcBorders>
            <w:vAlign w:val="center"/>
          </w:tcPr>
          <w:p w:rsidR="00D31976" w:rsidRPr="00E44873" w:rsidRDefault="00D31976" w:rsidP="00265F2B">
            <w:pPr>
              <w:pStyle w:val="Tabletext"/>
              <w:keepNext/>
              <w:keepLines/>
              <w:jc w:val="center"/>
              <w:rPr>
                <w:b/>
              </w:rPr>
            </w:pPr>
            <w:r w:rsidRPr="00E44873">
              <w:rPr>
                <w:b/>
              </w:rPr>
              <w:t>Protocol title/ Publication title</w:t>
            </w:r>
          </w:p>
        </w:tc>
        <w:tc>
          <w:tcPr>
            <w:tcW w:w="915" w:type="pct"/>
            <w:tcBorders>
              <w:bottom w:val="single" w:sz="4" w:space="0" w:color="auto"/>
            </w:tcBorders>
            <w:vAlign w:val="center"/>
          </w:tcPr>
          <w:p w:rsidR="00D31976" w:rsidRPr="00E44873" w:rsidRDefault="00D31976" w:rsidP="00265F2B">
            <w:pPr>
              <w:pStyle w:val="Tabletext"/>
              <w:keepNext/>
              <w:keepLines/>
              <w:jc w:val="center"/>
              <w:rPr>
                <w:b/>
              </w:rPr>
            </w:pPr>
            <w:r w:rsidRPr="00E44873">
              <w:rPr>
                <w:b/>
              </w:rPr>
              <w:t>Publication citation</w:t>
            </w:r>
          </w:p>
        </w:tc>
      </w:tr>
      <w:tr w:rsidR="00D31976" w:rsidRPr="00E44873" w:rsidTr="00AD4B02">
        <w:tc>
          <w:tcPr>
            <w:tcW w:w="5000" w:type="pct"/>
            <w:gridSpan w:val="3"/>
            <w:tcBorders>
              <w:top w:val="single" w:sz="4" w:space="0" w:color="auto"/>
              <w:left w:val="single" w:sz="4" w:space="0" w:color="auto"/>
              <w:bottom w:val="nil"/>
            </w:tcBorders>
            <w:vAlign w:val="center"/>
          </w:tcPr>
          <w:p w:rsidR="00D31976" w:rsidRPr="00E44873" w:rsidRDefault="00D31976" w:rsidP="00265F2B">
            <w:pPr>
              <w:pStyle w:val="Tabletext"/>
              <w:keepNext/>
              <w:keepLines/>
              <w:rPr>
                <w:b/>
                <w:szCs w:val="18"/>
              </w:rPr>
            </w:pPr>
            <w:r w:rsidRPr="00E44873">
              <w:rPr>
                <w:b/>
                <w:szCs w:val="18"/>
              </w:rPr>
              <w:t>CAB LA + RPV LA trials</w:t>
            </w:r>
          </w:p>
        </w:tc>
      </w:tr>
      <w:tr w:rsidR="00995A5E" w:rsidRPr="00E44873" w:rsidTr="003B2A0C">
        <w:tc>
          <w:tcPr>
            <w:tcW w:w="626" w:type="pct"/>
            <w:vMerge w:val="restart"/>
            <w:tcBorders>
              <w:top w:val="single" w:sz="4" w:space="0" w:color="auto"/>
              <w:left w:val="single" w:sz="4" w:space="0" w:color="auto"/>
              <w:right w:val="single" w:sz="4" w:space="0" w:color="auto"/>
            </w:tcBorders>
            <w:vAlign w:val="center"/>
          </w:tcPr>
          <w:p w:rsidR="00995A5E" w:rsidRPr="00E44873" w:rsidRDefault="00995A5E" w:rsidP="00265F2B">
            <w:pPr>
              <w:pStyle w:val="Tabletext"/>
              <w:keepNext/>
              <w:keepLines/>
              <w:rPr>
                <w:rFonts w:ascii="Times" w:hAnsi="Times"/>
              </w:rPr>
            </w:pPr>
            <w:r w:rsidRPr="00E44873">
              <w:t>FLAIR</w:t>
            </w:r>
          </w:p>
        </w:tc>
        <w:tc>
          <w:tcPr>
            <w:tcW w:w="3459" w:type="pct"/>
            <w:tcBorders>
              <w:left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 xml:space="preserve">Orkin, C. et al. Long-acting Cabotegravir and Rilpivirine after oral induction for HIV-1 infection. </w:t>
            </w:r>
          </w:p>
        </w:tc>
        <w:tc>
          <w:tcPr>
            <w:tcW w:w="915" w:type="pct"/>
            <w:tcBorders>
              <w:bottom w:val="single" w:sz="4" w:space="0" w:color="auto"/>
            </w:tcBorders>
            <w:vAlign w:val="center"/>
          </w:tcPr>
          <w:p w:rsidR="00995A5E" w:rsidRPr="00E44873" w:rsidRDefault="00995A5E" w:rsidP="00265F2B">
            <w:pPr>
              <w:pStyle w:val="Tabletext"/>
              <w:keepNext/>
              <w:keepLines/>
              <w:rPr>
                <w:rFonts w:ascii="Times" w:hAnsi="Times"/>
              </w:rPr>
            </w:pPr>
            <w:r w:rsidRPr="00E44873">
              <w:rPr>
                <w:szCs w:val="18"/>
              </w:rPr>
              <w:t>New England Journal of Medicine 2020; 382(12): 1124-1135.</w:t>
            </w:r>
          </w:p>
        </w:tc>
      </w:tr>
      <w:tr w:rsidR="00995A5E" w:rsidRPr="00E44873" w:rsidTr="003B2A0C">
        <w:tc>
          <w:tcPr>
            <w:tcW w:w="626" w:type="pct"/>
            <w:vMerge/>
            <w:tcBorders>
              <w:left w:val="single" w:sz="4" w:space="0" w:color="auto"/>
              <w:right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left w:val="single" w:sz="4" w:space="0" w:color="auto"/>
              <w:bottom w:val="single" w:sz="4" w:space="0" w:color="auto"/>
            </w:tcBorders>
            <w:vAlign w:val="center"/>
          </w:tcPr>
          <w:p w:rsidR="00995A5E" w:rsidRPr="00E44873" w:rsidRDefault="00995A5E" w:rsidP="00265F2B">
            <w:pPr>
              <w:pStyle w:val="Tabletext"/>
              <w:keepNext/>
              <w:keepLines/>
              <w:rPr>
                <w:szCs w:val="18"/>
                <w:lang w:eastAsia="en-AU"/>
              </w:rPr>
            </w:pPr>
            <w:r w:rsidRPr="00E44873">
              <w:rPr>
                <w:szCs w:val="18"/>
                <w:lang w:eastAsia="en-AU"/>
              </w:rPr>
              <w:t>Orkin, C. et al. 2020. Long-acting Cabotegravir and Rilpivirine for HIV-1 treatment: FLAIR Week 96 results. Conference on Retroviruses and Opportunistic infections; March 8-11, Boston, MA</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rPr>
                <w:szCs w:val="18"/>
                <w:lang w:eastAsia="en-AU"/>
              </w:rPr>
            </w:pPr>
            <w:r w:rsidRPr="00E44873">
              <w:rPr>
                <w:szCs w:val="18"/>
                <w:lang w:eastAsia="en-AU"/>
              </w:rPr>
              <w:t>March 2020</w:t>
            </w:r>
          </w:p>
        </w:tc>
      </w:tr>
      <w:tr w:rsidR="00995A5E" w:rsidRPr="00E44873" w:rsidTr="003B2A0C">
        <w:tc>
          <w:tcPr>
            <w:tcW w:w="626" w:type="pct"/>
            <w:vMerge/>
            <w:tcBorders>
              <w:left w:val="single" w:sz="4" w:space="0" w:color="auto"/>
              <w:right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left w:val="single" w:sz="4" w:space="0" w:color="auto"/>
              <w:bottom w:val="single" w:sz="4" w:space="0" w:color="auto"/>
            </w:tcBorders>
            <w:vAlign w:val="center"/>
          </w:tcPr>
          <w:p w:rsidR="00995A5E" w:rsidRPr="00E44873" w:rsidRDefault="00995A5E" w:rsidP="00265F2B">
            <w:pPr>
              <w:pStyle w:val="Tabletext"/>
              <w:keepNext/>
              <w:keepLines/>
              <w:rPr>
                <w:szCs w:val="18"/>
                <w:lang w:val="en-US" w:eastAsia="en-AU"/>
              </w:rPr>
            </w:pPr>
            <w:r w:rsidRPr="00E44873">
              <w:rPr>
                <w:szCs w:val="18"/>
                <w:lang w:val="en-US" w:eastAsia="en-AU"/>
              </w:rPr>
              <w:t>ViiV Healthcare. A randomised, multicenter, open label study evaluating the efficacy, safety and tolerability of LA IM Cabotegravir and Rilpivirine for maintenance of virologic suppression in HIV naive adults: Week 96/100 results.</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rPr>
                <w:szCs w:val="18"/>
                <w:lang w:val="en-US" w:eastAsia="en-AU"/>
              </w:rPr>
            </w:pPr>
            <w:r w:rsidRPr="00E44873">
              <w:rPr>
                <w:szCs w:val="18"/>
                <w:lang w:val="en-US" w:eastAsia="en-AU"/>
              </w:rPr>
              <w:t>96 Week CSR 2020</w:t>
            </w:r>
          </w:p>
        </w:tc>
      </w:tr>
      <w:tr w:rsidR="00995A5E" w:rsidRPr="00E44873" w:rsidTr="003B2A0C">
        <w:tc>
          <w:tcPr>
            <w:tcW w:w="626" w:type="pct"/>
            <w:vMerge/>
            <w:tcBorders>
              <w:left w:val="single" w:sz="4" w:space="0" w:color="auto"/>
              <w:bottom w:val="single" w:sz="4" w:space="0" w:color="auto"/>
              <w:right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left w:val="single" w:sz="4" w:space="0" w:color="auto"/>
              <w:bottom w:val="single" w:sz="4" w:space="0" w:color="auto"/>
            </w:tcBorders>
            <w:vAlign w:val="center"/>
          </w:tcPr>
          <w:p w:rsidR="00995A5E" w:rsidRPr="00E44873" w:rsidRDefault="00995A5E" w:rsidP="00265F2B">
            <w:pPr>
              <w:pStyle w:val="Tabletext"/>
              <w:keepNext/>
              <w:keepLines/>
              <w:rPr>
                <w:szCs w:val="18"/>
                <w:lang w:val="en-US" w:eastAsia="en-AU"/>
              </w:rPr>
            </w:pPr>
            <w:r w:rsidRPr="00E44873">
              <w:rPr>
                <w:szCs w:val="18"/>
                <w:lang w:val="en-US" w:eastAsia="en-AU"/>
              </w:rPr>
              <w:t xml:space="preserve">ViiV Healthcare. A phase II, randomised, multicenter, parallel-group, open-label study evaluating the efficacy, </w:t>
            </w:r>
            <w:r w:rsidR="00157ED8">
              <w:rPr>
                <w:szCs w:val="18"/>
                <w:lang w:val="en-US" w:eastAsia="en-AU"/>
              </w:rPr>
              <w:t>safety,</w:t>
            </w:r>
            <w:r w:rsidRPr="00E44873">
              <w:rPr>
                <w:szCs w:val="18"/>
                <w:lang w:val="en-US" w:eastAsia="en-AU"/>
              </w:rPr>
              <w:t xml:space="preserve"> and tolerability of long-acting intramuscular cabotegravir and rilpivirine for maintenance of virologic suppression following switch in HIV naive adults.</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rPr>
                <w:szCs w:val="18"/>
                <w:lang w:val="en-US" w:eastAsia="en-AU"/>
              </w:rPr>
            </w:pPr>
            <w:r w:rsidRPr="00E44873">
              <w:rPr>
                <w:szCs w:val="18"/>
                <w:lang w:val="en-US" w:eastAsia="en-AU"/>
              </w:rPr>
              <w:t>48 Week CSR 2019</w:t>
            </w:r>
          </w:p>
        </w:tc>
      </w:tr>
      <w:tr w:rsidR="00995A5E" w:rsidRPr="00E44873" w:rsidTr="003B2A0C">
        <w:tc>
          <w:tcPr>
            <w:tcW w:w="626" w:type="pct"/>
            <w:vMerge w:val="restart"/>
            <w:tcBorders>
              <w:top w:val="single" w:sz="4" w:space="0" w:color="auto"/>
            </w:tcBorders>
            <w:vAlign w:val="center"/>
          </w:tcPr>
          <w:p w:rsidR="00995A5E" w:rsidRPr="00E44873" w:rsidRDefault="00995A5E" w:rsidP="00265F2B">
            <w:pPr>
              <w:pStyle w:val="Tabletext"/>
              <w:keepNext/>
              <w:keepLines/>
              <w:rPr>
                <w:rFonts w:ascii="Times" w:hAnsi="Times"/>
              </w:rPr>
            </w:pPr>
            <w:r w:rsidRPr="00E44873">
              <w:t>ATLAS</w:t>
            </w: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rFonts w:ascii="Times" w:hAnsi="Times"/>
              </w:rPr>
            </w:pPr>
            <w:r w:rsidRPr="00E44873">
              <w:t>Swindells, S. et al. Long-acting Cabotegravir and Rilpivirine for main</w:t>
            </w:r>
            <w:r w:rsidR="00157ED8">
              <w:t>t</w:t>
            </w:r>
            <w:r w:rsidRPr="00E44873">
              <w:t xml:space="preserve">enance of HIV-1 suppression. </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pPr>
            <w:r w:rsidRPr="00E44873">
              <w:rPr>
                <w:szCs w:val="18"/>
              </w:rPr>
              <w:t>New England Journal of Medicine</w:t>
            </w:r>
            <w:r w:rsidRPr="00E44873">
              <w:t xml:space="preserve"> 2020; 382(12): 1112-1123.</w:t>
            </w:r>
          </w:p>
        </w:tc>
      </w:tr>
      <w:tr w:rsidR="00995A5E" w:rsidRPr="00E44873" w:rsidTr="003B2A0C">
        <w:tc>
          <w:tcPr>
            <w:tcW w:w="626" w:type="pct"/>
            <w:vMerge/>
            <w:tcBorders>
              <w:bottom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ViiV Healthcare. A Phase III, randomised, multicenter, parallel-group, non-inferiority, open-label study evaluating the efficacy, safety, and tolerability of switching to long-acting rilpivirine from current ART in HIV-1 infected adults who are virologically suppressed.</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pPr>
            <w:r w:rsidRPr="00E44873">
              <w:t>CSR 2019</w:t>
            </w:r>
          </w:p>
        </w:tc>
      </w:tr>
      <w:tr w:rsidR="00D31976" w:rsidRPr="00E44873" w:rsidTr="003B2A0C">
        <w:tc>
          <w:tcPr>
            <w:tcW w:w="626" w:type="pct"/>
            <w:tcBorders>
              <w:top w:val="single" w:sz="4" w:space="0" w:color="auto"/>
              <w:bottom w:val="single" w:sz="4" w:space="0" w:color="auto"/>
            </w:tcBorders>
            <w:vAlign w:val="center"/>
          </w:tcPr>
          <w:p w:rsidR="00D31976" w:rsidRPr="00E44873" w:rsidRDefault="00D31976" w:rsidP="00265F2B">
            <w:pPr>
              <w:pStyle w:val="Tabletext"/>
              <w:keepNext/>
              <w:keepLines/>
            </w:pPr>
            <w:r w:rsidRPr="00E44873">
              <w:t>POOLED ATLAS + FLAIR</w:t>
            </w:r>
          </w:p>
        </w:tc>
        <w:tc>
          <w:tcPr>
            <w:tcW w:w="3459" w:type="pct"/>
            <w:tcBorders>
              <w:top w:val="single" w:sz="4" w:space="0" w:color="auto"/>
              <w:bottom w:val="single" w:sz="4" w:space="0" w:color="auto"/>
            </w:tcBorders>
            <w:vAlign w:val="center"/>
          </w:tcPr>
          <w:p w:rsidR="00D31976" w:rsidRPr="00E44873" w:rsidRDefault="00D31976" w:rsidP="00265F2B">
            <w:pPr>
              <w:pStyle w:val="Tabletext"/>
              <w:keepNext/>
              <w:keepLines/>
              <w:rPr>
                <w:szCs w:val="18"/>
              </w:rPr>
            </w:pPr>
            <w:r w:rsidRPr="00E44873">
              <w:rPr>
                <w:szCs w:val="18"/>
              </w:rPr>
              <w:t xml:space="preserve">Rizzardini, G., Overton, E., Orkin, C., Swindells, S et al.  Long-acting injectable Cabotegravir + Rilpivirine for HIV maintenance therapy: Week 48 Pooled analysis of phase 3 ATLAS and FLAIR trials. </w:t>
            </w:r>
          </w:p>
        </w:tc>
        <w:tc>
          <w:tcPr>
            <w:tcW w:w="915" w:type="pct"/>
            <w:tcBorders>
              <w:top w:val="single" w:sz="4" w:space="0" w:color="auto"/>
              <w:bottom w:val="single" w:sz="4" w:space="0" w:color="auto"/>
            </w:tcBorders>
            <w:vAlign w:val="center"/>
          </w:tcPr>
          <w:p w:rsidR="00D31976" w:rsidRPr="00E44873" w:rsidRDefault="00D31976" w:rsidP="00265F2B">
            <w:pPr>
              <w:pStyle w:val="Tabletext"/>
              <w:keepNext/>
              <w:keepLines/>
              <w:rPr>
                <w:szCs w:val="20"/>
              </w:rPr>
            </w:pPr>
            <w:r w:rsidRPr="00E44873">
              <w:rPr>
                <w:szCs w:val="20"/>
              </w:rPr>
              <w:t>Journal of Acquired Immune Deficiency Syndromes 2020; 85(4): 498-506 Publish ahead of print.</w:t>
            </w:r>
          </w:p>
        </w:tc>
      </w:tr>
      <w:tr w:rsidR="00995A5E" w:rsidRPr="00E44873" w:rsidTr="003B2A0C">
        <w:tc>
          <w:tcPr>
            <w:tcW w:w="626" w:type="pct"/>
            <w:vMerge w:val="restart"/>
            <w:tcBorders>
              <w:top w:val="single" w:sz="4" w:space="0" w:color="auto"/>
            </w:tcBorders>
            <w:vAlign w:val="center"/>
          </w:tcPr>
          <w:p w:rsidR="00995A5E" w:rsidRPr="00E44873" w:rsidRDefault="00995A5E" w:rsidP="00265F2B">
            <w:pPr>
              <w:pStyle w:val="Tabletext"/>
              <w:keepNext/>
              <w:keepLines/>
            </w:pPr>
            <w:r w:rsidRPr="00E44873">
              <w:t>ATLAS-2M</w:t>
            </w: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Overton, E. et al. Cabotegravir + Rilpivirine every 2 months is noninferior to monthly dosing: Week 48 results from the ATLAS-2M study Conference on Retroviruses and Opportunistic infections; March 8-11, Boston, MA</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pPr>
            <w:r w:rsidRPr="00E44873">
              <w:t>March 2020</w:t>
            </w:r>
          </w:p>
        </w:tc>
      </w:tr>
      <w:tr w:rsidR="00995A5E" w:rsidRPr="00E44873" w:rsidTr="003B2A0C">
        <w:tc>
          <w:tcPr>
            <w:tcW w:w="626" w:type="pct"/>
            <w:vMerge/>
            <w:tcBorders>
              <w:bottom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ViiV Healthcare. Phase IIIb, randomized, multicenter, non-inferiority, open-label study evaluating the efficacy, safety and tolerability of LA Cabotegravir plus LA rilpivirine administered every 8 weeks or every 4 weeks in HIV-1 infected adults virologically suppressed.</w:t>
            </w:r>
          </w:p>
        </w:tc>
        <w:tc>
          <w:tcPr>
            <w:tcW w:w="915" w:type="pct"/>
            <w:tcBorders>
              <w:top w:val="single" w:sz="4" w:space="0" w:color="auto"/>
              <w:bottom w:val="single" w:sz="4" w:space="0" w:color="auto"/>
            </w:tcBorders>
            <w:vAlign w:val="center"/>
          </w:tcPr>
          <w:p w:rsidR="00995A5E" w:rsidRPr="00E44873" w:rsidRDefault="00995A5E" w:rsidP="00265F2B">
            <w:pPr>
              <w:pStyle w:val="Tabletext"/>
              <w:keepNext/>
              <w:keepLines/>
            </w:pPr>
            <w:r w:rsidRPr="00E44873">
              <w:t>CSR 2019</w:t>
            </w:r>
          </w:p>
        </w:tc>
      </w:tr>
      <w:tr w:rsidR="00D31976" w:rsidRPr="00E44873" w:rsidTr="00AD4B02">
        <w:tc>
          <w:tcPr>
            <w:tcW w:w="5000" w:type="pct"/>
            <w:gridSpan w:val="3"/>
            <w:tcBorders>
              <w:top w:val="single" w:sz="4" w:space="0" w:color="auto"/>
              <w:bottom w:val="nil"/>
            </w:tcBorders>
            <w:vAlign w:val="center"/>
          </w:tcPr>
          <w:p w:rsidR="00D31976" w:rsidRPr="00E44873" w:rsidRDefault="00D31976" w:rsidP="00265F2B">
            <w:pPr>
              <w:pStyle w:val="Tabletext"/>
              <w:keepNext/>
              <w:keepLines/>
              <w:rPr>
                <w:b/>
              </w:rPr>
            </w:pPr>
            <w:r w:rsidRPr="00E44873">
              <w:rPr>
                <w:b/>
              </w:rPr>
              <w:t>DTG/RPV trials</w:t>
            </w:r>
          </w:p>
        </w:tc>
      </w:tr>
      <w:tr w:rsidR="00995A5E" w:rsidRPr="00E44873" w:rsidTr="003B2A0C">
        <w:tc>
          <w:tcPr>
            <w:tcW w:w="626" w:type="pct"/>
            <w:vMerge w:val="restart"/>
            <w:tcBorders>
              <w:top w:val="single" w:sz="4" w:space="0" w:color="auto"/>
            </w:tcBorders>
            <w:vAlign w:val="center"/>
          </w:tcPr>
          <w:p w:rsidR="00995A5E" w:rsidRPr="00E44873" w:rsidRDefault="00995A5E" w:rsidP="00265F2B">
            <w:pPr>
              <w:pStyle w:val="Tabletext"/>
              <w:keepNext/>
              <w:keepLines/>
            </w:pPr>
            <w:r w:rsidRPr="00E44873">
              <w:t>SWORD 1</w:t>
            </w:r>
          </w:p>
          <w:p w:rsidR="00995A5E" w:rsidRPr="00E44873" w:rsidRDefault="00995A5E" w:rsidP="00265F2B">
            <w:pPr>
              <w:pStyle w:val="Tabletext"/>
              <w:keepNext/>
              <w:keepLines/>
            </w:pPr>
            <w:r w:rsidRPr="00E44873">
              <w:t>SWORD 2</w:t>
            </w:r>
          </w:p>
        </w:tc>
        <w:tc>
          <w:tcPr>
            <w:tcW w:w="3459" w:type="pct"/>
            <w:tcBorders>
              <w:top w:val="single" w:sz="4" w:space="0" w:color="auto"/>
              <w:bottom w:val="nil"/>
            </w:tcBorders>
            <w:vAlign w:val="center"/>
          </w:tcPr>
          <w:p w:rsidR="00995A5E" w:rsidRPr="00E44873" w:rsidRDefault="00995A5E" w:rsidP="00265F2B">
            <w:pPr>
              <w:pStyle w:val="Tabletext"/>
              <w:keepNext/>
              <w:keepLines/>
              <w:rPr>
                <w:szCs w:val="18"/>
              </w:rPr>
            </w:pPr>
            <w:r w:rsidRPr="00E44873">
              <w:rPr>
                <w:szCs w:val="18"/>
              </w:rPr>
              <w:t xml:space="preserve">Llibre, J. M., Hung, C. C., Brinson, C. &amp; et al. Efficacy, safety, and tolerability of dolutegravir-rilpivirine for the maintenance of virological suppression in adults with HIV-1: phase 3 randomised, non-inferiority SWORD-1 and SWORD-2 studies. </w:t>
            </w:r>
          </w:p>
        </w:tc>
        <w:tc>
          <w:tcPr>
            <w:tcW w:w="915" w:type="pct"/>
            <w:tcBorders>
              <w:bottom w:val="nil"/>
            </w:tcBorders>
            <w:vAlign w:val="center"/>
          </w:tcPr>
          <w:p w:rsidR="00995A5E" w:rsidRPr="00E44873" w:rsidRDefault="00995A5E" w:rsidP="00265F2B">
            <w:pPr>
              <w:pStyle w:val="Tabletext"/>
              <w:keepNext/>
              <w:keepLines/>
            </w:pPr>
            <w:r w:rsidRPr="00E44873">
              <w:rPr>
                <w:szCs w:val="18"/>
              </w:rPr>
              <w:t xml:space="preserve">Lancet 2018; 391: 839-849 </w:t>
            </w:r>
          </w:p>
        </w:tc>
      </w:tr>
      <w:tr w:rsidR="00995A5E" w:rsidRPr="00E44873" w:rsidTr="003B2A0C">
        <w:tc>
          <w:tcPr>
            <w:tcW w:w="626" w:type="pct"/>
            <w:vMerge/>
            <w:vAlign w:val="center"/>
          </w:tcPr>
          <w:p w:rsidR="00995A5E" w:rsidRPr="00E44873" w:rsidRDefault="00995A5E" w:rsidP="00265F2B">
            <w:pPr>
              <w:pStyle w:val="Tabletext"/>
              <w:keepNext/>
              <w:keepLines/>
            </w:pPr>
          </w:p>
        </w:tc>
        <w:tc>
          <w:tcPr>
            <w:tcW w:w="3459" w:type="pct"/>
            <w:tcBorders>
              <w:top w:val="single" w:sz="4" w:space="0" w:color="auto"/>
              <w:bottom w:val="nil"/>
            </w:tcBorders>
            <w:vAlign w:val="center"/>
          </w:tcPr>
          <w:p w:rsidR="00995A5E" w:rsidRPr="00E44873" w:rsidRDefault="00995A5E" w:rsidP="00265F2B">
            <w:pPr>
              <w:pStyle w:val="Tabletext"/>
              <w:keepNext/>
              <w:keepLines/>
              <w:rPr>
                <w:szCs w:val="18"/>
              </w:rPr>
            </w:pPr>
            <w:r w:rsidRPr="00E44873">
              <w:rPr>
                <w:szCs w:val="18"/>
              </w:rPr>
              <w:t xml:space="preserve">Aboud, M., Orkin, C., Podzamczer, D et al. Efficacy and safety of dolutegravir-rilpivirine for maintenance of virological suppression in adults with HIV-1: 100-week data from the randomised, open-label, phase 3 SWORD-1 and SWORD-2 studies. </w:t>
            </w:r>
          </w:p>
        </w:tc>
        <w:tc>
          <w:tcPr>
            <w:tcW w:w="915" w:type="pct"/>
            <w:tcBorders>
              <w:bottom w:val="nil"/>
            </w:tcBorders>
            <w:vAlign w:val="center"/>
          </w:tcPr>
          <w:p w:rsidR="00995A5E" w:rsidRPr="00E44873" w:rsidRDefault="00995A5E" w:rsidP="00265F2B">
            <w:pPr>
              <w:pStyle w:val="Tabletext"/>
              <w:keepNext/>
              <w:keepLines/>
            </w:pPr>
            <w:r w:rsidRPr="00E44873">
              <w:rPr>
                <w:szCs w:val="18"/>
              </w:rPr>
              <w:t xml:space="preserve">Lancet 2019; 6: e576-87. </w:t>
            </w:r>
          </w:p>
        </w:tc>
      </w:tr>
      <w:tr w:rsidR="00995A5E" w:rsidRPr="00E44873" w:rsidTr="003B2A0C">
        <w:tc>
          <w:tcPr>
            <w:tcW w:w="626" w:type="pct"/>
            <w:vMerge/>
            <w:vAlign w:val="center"/>
          </w:tcPr>
          <w:p w:rsidR="00995A5E" w:rsidRPr="00E44873" w:rsidRDefault="00995A5E" w:rsidP="00265F2B">
            <w:pPr>
              <w:pStyle w:val="Tabletext"/>
              <w:keepNext/>
              <w:keepLines/>
            </w:pP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A Phase III, randomized, multicentre, parallel group, non-inferiority study evaluating the efficacy, safety and tolerability of switching to dolutegravir plus rilpivirine from current INI-, NNRT- or PI-based antiretroviral regimen in HIV-1-infected adults who are virologically suppressed. 48-week results. 3 May 2017. 2016N287382_00.</w:t>
            </w:r>
          </w:p>
        </w:tc>
        <w:tc>
          <w:tcPr>
            <w:tcW w:w="915" w:type="pct"/>
            <w:tcBorders>
              <w:bottom w:val="single" w:sz="4" w:space="0" w:color="auto"/>
            </w:tcBorders>
            <w:vAlign w:val="center"/>
          </w:tcPr>
          <w:p w:rsidR="00995A5E" w:rsidRPr="00E44873" w:rsidRDefault="00995A5E" w:rsidP="00265F2B">
            <w:pPr>
              <w:pStyle w:val="Tabletext"/>
              <w:keepNext/>
              <w:keepLines/>
            </w:pPr>
            <w:r w:rsidRPr="00E44873">
              <w:t>SWORD 1 CSR 2017</w:t>
            </w:r>
          </w:p>
        </w:tc>
      </w:tr>
      <w:tr w:rsidR="00995A5E" w:rsidRPr="00E44873" w:rsidTr="003B2A0C">
        <w:tc>
          <w:tcPr>
            <w:tcW w:w="626" w:type="pct"/>
            <w:vMerge/>
            <w:tcBorders>
              <w:bottom w:val="single" w:sz="4" w:space="0" w:color="auto"/>
            </w:tcBorders>
            <w:vAlign w:val="center"/>
          </w:tcPr>
          <w:p w:rsidR="00995A5E" w:rsidRPr="00E44873" w:rsidRDefault="00995A5E" w:rsidP="00265F2B">
            <w:pPr>
              <w:pStyle w:val="Tabletext"/>
              <w:keepNext/>
              <w:keepLines/>
            </w:pPr>
          </w:p>
        </w:tc>
        <w:tc>
          <w:tcPr>
            <w:tcW w:w="3459" w:type="pct"/>
            <w:tcBorders>
              <w:top w:val="single" w:sz="4" w:space="0" w:color="auto"/>
              <w:bottom w:val="single" w:sz="4" w:space="0" w:color="auto"/>
            </w:tcBorders>
            <w:vAlign w:val="center"/>
          </w:tcPr>
          <w:p w:rsidR="00995A5E" w:rsidRPr="00E44873" w:rsidRDefault="00995A5E" w:rsidP="00265F2B">
            <w:pPr>
              <w:pStyle w:val="Tabletext"/>
              <w:keepNext/>
              <w:keepLines/>
              <w:rPr>
                <w:szCs w:val="18"/>
              </w:rPr>
            </w:pPr>
            <w:r w:rsidRPr="00E44873">
              <w:rPr>
                <w:szCs w:val="18"/>
              </w:rPr>
              <w:t xml:space="preserve">A Phase III, randomized, multicentre, parallel group, non-inferiority study evaluating the efficacy, safety and tolerability of switching to dolutegravir plus rilpivirine from current INI-, NNRT- or PI-based antiretroviral regimen in HIV-1-infected adults who are virologically suppressed. 48-week results. 3 May 2017. 2016N287539_00. </w:t>
            </w:r>
          </w:p>
        </w:tc>
        <w:tc>
          <w:tcPr>
            <w:tcW w:w="915" w:type="pct"/>
            <w:tcBorders>
              <w:bottom w:val="single" w:sz="4" w:space="0" w:color="auto"/>
            </w:tcBorders>
            <w:vAlign w:val="center"/>
          </w:tcPr>
          <w:p w:rsidR="00995A5E" w:rsidRPr="00E44873" w:rsidRDefault="00995A5E" w:rsidP="00265F2B">
            <w:pPr>
              <w:pStyle w:val="Tabletext"/>
              <w:keepNext/>
              <w:keepLines/>
            </w:pPr>
            <w:r w:rsidRPr="00E44873">
              <w:t>SWORD 2 CSR 2017</w:t>
            </w:r>
          </w:p>
        </w:tc>
      </w:tr>
    </w:tbl>
    <w:p w:rsidR="00D31976" w:rsidRPr="00E44873" w:rsidRDefault="00D31976" w:rsidP="00265F2B">
      <w:pPr>
        <w:pStyle w:val="TableFooter"/>
        <w:keepNext/>
        <w:keepLines/>
        <w:rPr>
          <w:sz w:val="20"/>
        </w:rPr>
      </w:pPr>
      <w:r w:rsidRPr="00E44873">
        <w:t>Source: Table 11, p41 of the submission.</w:t>
      </w:r>
    </w:p>
    <w:p w:rsidR="00B90AC3" w:rsidRPr="00B90AC3" w:rsidRDefault="00D31976" w:rsidP="000C2164">
      <w:pPr>
        <w:pStyle w:val="ListParagraph"/>
        <w:keepNext/>
        <w:keepLines/>
        <w:widowControl/>
        <w:numPr>
          <w:ilvl w:val="1"/>
          <w:numId w:val="1"/>
        </w:numPr>
      </w:pPr>
      <w:r w:rsidRPr="00E44873">
        <w:t xml:space="preserve">The key features of the randomised trials are summarised in the </w:t>
      </w:r>
    </w:p>
    <w:p w:rsidR="003B2A0C" w:rsidRPr="003B2A0C" w:rsidRDefault="00B90AC3" w:rsidP="000C2164">
      <w:pPr>
        <w:pStyle w:val="ListParagraph"/>
        <w:keepNext/>
        <w:keepLines/>
        <w:widowControl/>
        <w:numPr>
          <w:ilvl w:val="1"/>
          <w:numId w:val="1"/>
        </w:numPr>
        <w:rPr>
          <w:rFonts w:ascii="Arial Narrow" w:hAnsi="Arial Narrow"/>
          <w:b/>
          <w:sz w:val="20"/>
          <w:szCs w:val="16"/>
        </w:rPr>
      </w:pPr>
      <w:r w:rsidRPr="00B90AC3">
        <w:t>Table</w:t>
      </w:r>
      <w:r w:rsidRPr="00B90AC3">
        <w:rPr>
          <w:noProof/>
        </w:rPr>
        <w:t xml:space="preserve"> </w:t>
      </w:r>
      <w:r>
        <w:rPr>
          <w:rStyle w:val="CommentReference"/>
          <w:noProof/>
        </w:rPr>
        <w:t>5</w:t>
      </w:r>
      <w:r w:rsidR="00D31976" w:rsidRPr="00E44873">
        <w:t>. Overall, all trials ha</w:t>
      </w:r>
      <w:r w:rsidR="00995A5E" w:rsidRPr="00E44873">
        <w:t>d</w:t>
      </w:r>
      <w:r w:rsidR="00D31976" w:rsidRPr="00E44873">
        <w:t xml:space="preserve"> a low risk of bias (although open-label, the primary outcome of HIV RNA copies per mL were objective).</w:t>
      </w:r>
      <w:bookmarkStart w:id="11" w:name="_Ref59488933"/>
    </w:p>
    <w:p w:rsidR="00D31976" w:rsidRPr="00E44873" w:rsidRDefault="00F02FB7" w:rsidP="0018505B">
      <w:pPr>
        <w:keepNext/>
        <w:keepLines/>
        <w:widowControl/>
        <w:rPr>
          <w:rStyle w:val="CommentReference"/>
        </w:rPr>
      </w:pPr>
      <w:r w:rsidRPr="00E44873">
        <w:rPr>
          <w:rStyle w:val="CommentReference"/>
        </w:rPr>
        <w:t xml:space="preserve">Table </w:t>
      </w:r>
      <w:r w:rsidR="00B90AC3">
        <w:rPr>
          <w:rStyle w:val="CommentReference"/>
          <w:noProof/>
        </w:rPr>
        <w:t>5</w:t>
      </w:r>
      <w:bookmarkEnd w:id="11"/>
      <w:r w:rsidR="00D31976" w:rsidRPr="00E44873">
        <w:rPr>
          <w:rStyle w:val="CommentReference"/>
        </w:rPr>
        <w:t>: Key features of the included evidence</w:t>
      </w:r>
    </w:p>
    <w:tbl>
      <w:tblPr>
        <w:tblStyle w:val="TableGrid"/>
        <w:tblW w:w="0" w:type="auto"/>
        <w:tblLayout w:type="fixed"/>
        <w:tblCellMar>
          <w:left w:w="28" w:type="dxa"/>
          <w:right w:w="28" w:type="dxa"/>
        </w:tblCellMar>
        <w:tblLook w:val="04A0" w:firstRow="1" w:lastRow="0" w:firstColumn="1" w:lastColumn="0" w:noHBand="0" w:noVBand="1"/>
        <w:tblCaption w:val="Table 5: Key features of the included evidence"/>
      </w:tblPr>
      <w:tblGrid>
        <w:gridCol w:w="946"/>
        <w:gridCol w:w="1034"/>
        <w:gridCol w:w="3969"/>
        <w:gridCol w:w="1805"/>
        <w:gridCol w:w="1263"/>
      </w:tblGrid>
      <w:tr w:rsidR="00D31976" w:rsidRPr="00E44873" w:rsidTr="00995A5E">
        <w:trPr>
          <w:tblHeader/>
        </w:trPr>
        <w:tc>
          <w:tcPr>
            <w:tcW w:w="946"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b/>
                <w:sz w:val="18"/>
                <w:szCs w:val="18"/>
              </w:rPr>
              <w:t>Trial , N</w:t>
            </w:r>
          </w:p>
        </w:tc>
        <w:tc>
          <w:tcPr>
            <w:tcW w:w="1034" w:type="dxa"/>
            <w:vAlign w:val="center"/>
          </w:tcPr>
          <w:p w:rsidR="00D31976" w:rsidRPr="00E44873" w:rsidRDefault="00D31976" w:rsidP="0018505B">
            <w:pPr>
              <w:keepNext/>
              <w:keepLines/>
              <w:rPr>
                <w:rFonts w:ascii="Arial Narrow" w:hAnsi="Arial Narrow"/>
                <w:sz w:val="18"/>
                <w:szCs w:val="18"/>
              </w:rPr>
            </w:pPr>
            <w:r w:rsidRPr="00E44873">
              <w:rPr>
                <w:rFonts w:ascii="Arial Narrow" w:hAnsi="Arial Narrow"/>
                <w:b/>
                <w:sz w:val="18"/>
                <w:szCs w:val="18"/>
              </w:rPr>
              <w:t xml:space="preserve">Trial Design </w:t>
            </w:r>
          </w:p>
        </w:tc>
        <w:tc>
          <w:tcPr>
            <w:tcW w:w="3969" w:type="dxa"/>
            <w:vAlign w:val="center"/>
          </w:tcPr>
          <w:p w:rsidR="00D31976" w:rsidRPr="00E44873" w:rsidRDefault="00D31976" w:rsidP="0018505B">
            <w:pPr>
              <w:keepNext/>
              <w:keepLines/>
              <w:rPr>
                <w:rFonts w:ascii="Arial Narrow" w:hAnsi="Arial Narrow"/>
                <w:sz w:val="18"/>
                <w:szCs w:val="18"/>
              </w:rPr>
            </w:pPr>
            <w:r w:rsidRPr="00E44873">
              <w:rPr>
                <w:rFonts w:ascii="Arial Narrow" w:hAnsi="Arial Narrow"/>
                <w:b/>
                <w:sz w:val="18"/>
                <w:szCs w:val="18"/>
              </w:rPr>
              <w:t>Interventions</w:t>
            </w:r>
          </w:p>
        </w:tc>
        <w:tc>
          <w:tcPr>
            <w:tcW w:w="1805" w:type="dxa"/>
            <w:vAlign w:val="center"/>
          </w:tcPr>
          <w:p w:rsidR="00D31976" w:rsidRPr="00E44873" w:rsidRDefault="00D31976" w:rsidP="0018505B">
            <w:pPr>
              <w:keepNext/>
              <w:keepLines/>
              <w:rPr>
                <w:rFonts w:ascii="Arial Narrow" w:hAnsi="Arial Narrow"/>
                <w:sz w:val="18"/>
                <w:szCs w:val="18"/>
              </w:rPr>
            </w:pPr>
            <w:r w:rsidRPr="00E44873">
              <w:rPr>
                <w:rFonts w:ascii="Arial Narrow" w:hAnsi="Arial Narrow"/>
                <w:b/>
                <w:sz w:val="18"/>
                <w:szCs w:val="18"/>
              </w:rPr>
              <w:t>Population</w:t>
            </w:r>
          </w:p>
        </w:tc>
        <w:tc>
          <w:tcPr>
            <w:tcW w:w="1263" w:type="dxa"/>
            <w:vAlign w:val="center"/>
          </w:tcPr>
          <w:p w:rsidR="00D31976" w:rsidRPr="00E44873" w:rsidRDefault="00D31976" w:rsidP="0018505B">
            <w:pPr>
              <w:keepNext/>
              <w:keepLines/>
              <w:rPr>
                <w:rFonts w:ascii="Arial Narrow" w:hAnsi="Arial Narrow"/>
                <w:sz w:val="18"/>
                <w:szCs w:val="18"/>
              </w:rPr>
            </w:pPr>
            <w:r w:rsidRPr="00E44873">
              <w:rPr>
                <w:rFonts w:ascii="Arial Narrow" w:hAnsi="Arial Narrow"/>
                <w:b/>
                <w:sz w:val="18"/>
                <w:szCs w:val="18"/>
              </w:rPr>
              <w:t>Main Outcomes</w:t>
            </w:r>
          </w:p>
        </w:tc>
      </w:tr>
      <w:tr w:rsidR="00D31976" w:rsidRPr="00E44873" w:rsidTr="00995A5E">
        <w:trPr>
          <w:tblHeader/>
        </w:trPr>
        <w:tc>
          <w:tcPr>
            <w:tcW w:w="946"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FLAIR</w:t>
            </w:r>
          </w:p>
          <w:p w:rsidR="00D31976" w:rsidRPr="00E44873" w:rsidRDefault="00D31976" w:rsidP="0018505B">
            <w:pPr>
              <w:keepNext/>
              <w:keepLines/>
              <w:jc w:val="left"/>
              <w:rPr>
                <w:rFonts w:ascii="Arial Narrow" w:hAnsi="Arial Narrow"/>
                <w:sz w:val="18"/>
                <w:szCs w:val="18"/>
                <w:vertAlign w:val="superscript"/>
              </w:rPr>
            </w:pPr>
            <w:r w:rsidRPr="00E44873">
              <w:rPr>
                <w:rFonts w:ascii="Arial Narrow" w:hAnsi="Arial Narrow"/>
                <w:sz w:val="18"/>
                <w:szCs w:val="18"/>
              </w:rPr>
              <w:t>N=566</w:t>
            </w:r>
            <w:r w:rsidR="00995A5E" w:rsidRPr="00E44873">
              <w:rPr>
                <w:rFonts w:ascii="Arial Narrow" w:hAnsi="Arial Narrow"/>
                <w:sz w:val="18"/>
                <w:szCs w:val="18"/>
                <w:vertAlign w:val="superscript"/>
              </w:rPr>
              <w:t>a</w:t>
            </w:r>
          </w:p>
        </w:tc>
        <w:tc>
          <w:tcPr>
            <w:tcW w:w="1034"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Phase III, OL, RCT,</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 xml:space="preserve">non-inferiority </w:t>
            </w:r>
          </w:p>
        </w:tc>
        <w:tc>
          <w:tcPr>
            <w:tcW w:w="3969" w:type="dxa"/>
          </w:tcPr>
          <w:p w:rsidR="00D31976" w:rsidRPr="00E44873" w:rsidRDefault="00D31976" w:rsidP="0018505B">
            <w:pPr>
              <w:keepNext/>
              <w:keepLines/>
              <w:rPr>
                <w:rFonts w:ascii="Arial Narrow" w:hAnsi="Arial Narrow"/>
                <w:sz w:val="18"/>
                <w:szCs w:val="18"/>
                <w:u w:val="single"/>
              </w:rPr>
            </w:pPr>
            <w:r w:rsidRPr="00E44873">
              <w:rPr>
                <w:rFonts w:ascii="Arial Narrow" w:hAnsi="Arial Narrow"/>
                <w:sz w:val="18"/>
                <w:szCs w:val="18"/>
                <w:u w:val="single"/>
              </w:rPr>
              <w:t>Induction Phase (20 weeks)</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Oral DTG/ABC/3TC FDC (NRTI substitution allowed)</w:t>
            </w:r>
          </w:p>
          <w:p w:rsidR="00D31976" w:rsidRPr="00E44873" w:rsidRDefault="00D31976" w:rsidP="0018505B">
            <w:pPr>
              <w:keepNext/>
              <w:keepLines/>
              <w:rPr>
                <w:rFonts w:ascii="Arial Narrow" w:hAnsi="Arial Narrow"/>
                <w:sz w:val="18"/>
                <w:szCs w:val="18"/>
              </w:rPr>
            </w:pPr>
          </w:p>
          <w:p w:rsidR="00D31976" w:rsidRPr="00E44873" w:rsidRDefault="00D31976" w:rsidP="0018505B">
            <w:pPr>
              <w:keepNext/>
              <w:keepLines/>
              <w:rPr>
                <w:rFonts w:ascii="Arial Narrow" w:hAnsi="Arial Narrow"/>
                <w:sz w:val="18"/>
                <w:szCs w:val="18"/>
                <w:u w:val="single"/>
              </w:rPr>
            </w:pPr>
            <w:r w:rsidRPr="00E44873">
              <w:rPr>
                <w:rFonts w:ascii="Arial Narrow" w:hAnsi="Arial Narrow"/>
                <w:sz w:val="18"/>
                <w:szCs w:val="18"/>
                <w:u w:val="single"/>
              </w:rPr>
              <w:t>Maintenance phase (100 weeks)</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CAB LA + RPV LA group: </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Oral CAB 30mg + RPV 25mg OD for 4 weeks,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IM CAB LA 600mg + RPV LA 900mg (loading dose),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IM CAB LA 400mg + RPV LA 600mg every 4 weeks</w:t>
            </w:r>
          </w:p>
          <w:p w:rsidR="00D31976" w:rsidRPr="00E44873" w:rsidRDefault="00D31976" w:rsidP="0018505B">
            <w:pPr>
              <w:keepNext/>
              <w:keepLines/>
              <w:rPr>
                <w:rFonts w:ascii="Arial Narrow" w:hAnsi="Arial Narrow"/>
                <w:sz w:val="18"/>
                <w:szCs w:val="18"/>
              </w:rPr>
            </w:pP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Control group: </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Oral DTG/ABC/3TC FDC daily (or alternative DTG + 2NRTIs)</w:t>
            </w:r>
          </w:p>
        </w:tc>
        <w:tc>
          <w:tcPr>
            <w:tcW w:w="1805"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HIV-1 infected, ≥18 years of age, ART-naïve</w:t>
            </w:r>
          </w:p>
          <w:p w:rsidR="00D31976" w:rsidRPr="00E44873" w:rsidRDefault="00D31976" w:rsidP="0018505B">
            <w:pPr>
              <w:keepNext/>
              <w:keepLines/>
              <w:jc w:val="left"/>
              <w:rPr>
                <w:rFonts w:ascii="Arial Narrow" w:hAnsi="Arial Narrow"/>
                <w:sz w:val="18"/>
                <w:szCs w:val="18"/>
              </w:rPr>
            </w:pP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Subjects who had an HIV 1 RNA &lt;50 c/mL at the Week –4 Visit (i.e. 16 weeks after induction phase starts) were eligible to enter the maintenance Phase.</w:t>
            </w:r>
          </w:p>
        </w:tc>
        <w:tc>
          <w:tcPr>
            <w:tcW w:w="1263"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Proportion of participants with HIV-RNA ≥50 copies/mL as per FDA Snapshot algorithm at Week 48</w:t>
            </w:r>
          </w:p>
        </w:tc>
      </w:tr>
      <w:tr w:rsidR="00D31976" w:rsidRPr="00E44873" w:rsidTr="00995A5E">
        <w:trPr>
          <w:tblHeader/>
        </w:trPr>
        <w:tc>
          <w:tcPr>
            <w:tcW w:w="946"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ALTAS</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N=616</w:t>
            </w:r>
          </w:p>
        </w:tc>
        <w:tc>
          <w:tcPr>
            <w:tcW w:w="1034"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Phase III, OL, RCT</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 xml:space="preserve">non-inferiority </w:t>
            </w:r>
          </w:p>
        </w:tc>
        <w:tc>
          <w:tcPr>
            <w:tcW w:w="3969"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Maintenance phase (52 weeks)</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CAB LA + RPV LA group: </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Oral CAB 30mg + RPV 25mg OD for 4 weeks,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IM CAB LA 600mg + RPV LA 900mg (loading dose),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IM CAB LA 400mg + RPV LA 600mg every 4 weeks</w:t>
            </w:r>
          </w:p>
          <w:p w:rsidR="00D31976" w:rsidRPr="00E44873" w:rsidRDefault="00D31976" w:rsidP="0018505B">
            <w:pPr>
              <w:keepNext/>
              <w:keepLines/>
              <w:rPr>
                <w:rFonts w:ascii="Arial Narrow" w:hAnsi="Arial Narrow"/>
                <w:sz w:val="18"/>
                <w:szCs w:val="18"/>
              </w:rPr>
            </w:pP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Control group: </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Current anti-retroviral. 2 NRTIs + an INSTI or an NNRTI or PI</w:t>
            </w:r>
          </w:p>
        </w:tc>
        <w:tc>
          <w:tcPr>
            <w:tcW w:w="1805"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HIV-1 infected,  ≥18 years of age, ART- experienced, Virologically suppressed (HIV-1 RNA &lt;50  copies/mL) on a stable ART regimen containing 2 NRTIs + an INSTI, NNRTI or PI</w:t>
            </w:r>
          </w:p>
        </w:tc>
        <w:tc>
          <w:tcPr>
            <w:tcW w:w="1263"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Proportion of participants with  HIV-RNA ≥50 copies/mL as per FDA Snapshot algorithm at Week 48</w:t>
            </w:r>
          </w:p>
        </w:tc>
      </w:tr>
      <w:tr w:rsidR="00D31976" w:rsidRPr="00E44873" w:rsidTr="00995A5E">
        <w:trPr>
          <w:tblHeader/>
        </w:trPr>
        <w:tc>
          <w:tcPr>
            <w:tcW w:w="946"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ATLAS-2M</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N=1,045</w:t>
            </w:r>
          </w:p>
        </w:tc>
        <w:tc>
          <w:tcPr>
            <w:tcW w:w="1034"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 xml:space="preserve">Phase IIIb, OL, RCT, </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non-inferiority trial</w:t>
            </w:r>
          </w:p>
        </w:tc>
        <w:tc>
          <w:tcPr>
            <w:tcW w:w="3969"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Maintenance phase (52 weeks)</w:t>
            </w:r>
          </w:p>
          <w:p w:rsidR="00D31976" w:rsidRPr="00E44873" w:rsidRDefault="00D31976" w:rsidP="0018505B">
            <w:pPr>
              <w:keepNext/>
              <w:keepLines/>
              <w:rPr>
                <w:rFonts w:ascii="Arial Narrow" w:hAnsi="Arial Narrow"/>
                <w:sz w:val="18"/>
                <w:szCs w:val="18"/>
              </w:rPr>
            </w:pP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Patients receiving ART prior to trial: </w:t>
            </w:r>
          </w:p>
          <w:tbl>
            <w:tblPr>
              <w:tblStyle w:val="TableGrid"/>
              <w:tblW w:w="0" w:type="auto"/>
              <w:tblLayout w:type="fixed"/>
              <w:tblCellMar>
                <w:left w:w="28" w:type="dxa"/>
                <w:right w:w="28" w:type="dxa"/>
              </w:tblCellMar>
              <w:tblLook w:val="04A0" w:firstRow="1" w:lastRow="0" w:firstColumn="1" w:lastColumn="0" w:noHBand="0" w:noVBand="1"/>
              <w:tblCaption w:val="Patients receiving ART prior to trial: "/>
            </w:tblPr>
            <w:tblGrid>
              <w:gridCol w:w="595"/>
              <w:gridCol w:w="3202"/>
            </w:tblGrid>
            <w:tr w:rsidR="00D31976" w:rsidRPr="00E44873" w:rsidTr="00F6034A">
              <w:trPr>
                <w:tblHeader/>
              </w:trPr>
              <w:tc>
                <w:tcPr>
                  <w:tcW w:w="595"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Q4W</w:t>
                  </w:r>
                </w:p>
              </w:tc>
              <w:tc>
                <w:tcPr>
                  <w:tcW w:w="3202"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Oral CAB 30mg + RPV 25mg OD for 4 weeks,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600mg + RPV LA 900mg (loading dose),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400mg + RPV LA 600mg every 4 weeks</w:t>
                  </w:r>
                </w:p>
              </w:tc>
            </w:tr>
            <w:tr w:rsidR="00D31976" w:rsidRPr="00E44873" w:rsidTr="00995A5E">
              <w:tc>
                <w:tcPr>
                  <w:tcW w:w="595"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Q8W</w:t>
                  </w:r>
                </w:p>
              </w:tc>
              <w:tc>
                <w:tcPr>
                  <w:tcW w:w="3202"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Oral CAB 30mg + RPV 25mg OD for 4 weeks,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600mg + RPV LA 900mg (loading dose) at week 4 and 8, then</w:t>
                  </w: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400mg + RPV LA 600mg every 8 weeks</w:t>
                  </w:r>
                </w:p>
              </w:tc>
            </w:tr>
          </w:tbl>
          <w:p w:rsidR="00D31976" w:rsidRPr="00E44873" w:rsidRDefault="00D31976" w:rsidP="0018505B">
            <w:pPr>
              <w:keepNext/>
              <w:keepLines/>
              <w:rPr>
                <w:rFonts w:ascii="Arial Narrow" w:hAnsi="Arial Narrow"/>
                <w:sz w:val="18"/>
                <w:szCs w:val="18"/>
              </w:rPr>
            </w:pPr>
          </w:p>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 xml:space="preserve">Patients receiving CAB LA + RPV LA Q4W prior to trial: </w:t>
            </w:r>
          </w:p>
          <w:tbl>
            <w:tblPr>
              <w:tblStyle w:val="TableGrid"/>
              <w:tblW w:w="0" w:type="auto"/>
              <w:tblLayout w:type="fixed"/>
              <w:tblCellMar>
                <w:left w:w="28" w:type="dxa"/>
                <w:right w:w="28" w:type="dxa"/>
              </w:tblCellMar>
              <w:tblLook w:val="04A0" w:firstRow="1" w:lastRow="0" w:firstColumn="1" w:lastColumn="0" w:noHBand="0" w:noVBand="1"/>
              <w:tblCaption w:val="Patients receiving CAB LA + RPV LA Q4W prior to trial: "/>
            </w:tblPr>
            <w:tblGrid>
              <w:gridCol w:w="595"/>
              <w:gridCol w:w="3202"/>
            </w:tblGrid>
            <w:tr w:rsidR="00D31976" w:rsidRPr="00E44873" w:rsidTr="00F6034A">
              <w:trPr>
                <w:tblHeader/>
              </w:trPr>
              <w:tc>
                <w:tcPr>
                  <w:tcW w:w="595"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Q4W</w:t>
                  </w:r>
                </w:p>
              </w:tc>
              <w:tc>
                <w:tcPr>
                  <w:tcW w:w="3202"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400mg + RPV LA 600mg every 4 weeks</w:t>
                  </w:r>
                </w:p>
              </w:tc>
            </w:tr>
            <w:tr w:rsidR="00D31976" w:rsidRPr="00E44873" w:rsidTr="00995A5E">
              <w:tc>
                <w:tcPr>
                  <w:tcW w:w="595"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Q8W</w:t>
                  </w:r>
                </w:p>
              </w:tc>
              <w:tc>
                <w:tcPr>
                  <w:tcW w:w="3202" w:type="dxa"/>
                </w:tcPr>
                <w:p w:rsidR="00D31976" w:rsidRPr="00E44873" w:rsidRDefault="00D31976" w:rsidP="0018505B">
                  <w:pPr>
                    <w:keepNext/>
                    <w:keepLines/>
                    <w:rPr>
                      <w:rFonts w:ascii="Arial Narrow" w:hAnsi="Arial Narrow"/>
                      <w:sz w:val="18"/>
                      <w:szCs w:val="18"/>
                    </w:rPr>
                  </w:pPr>
                  <w:r w:rsidRPr="00E44873">
                    <w:rPr>
                      <w:rFonts w:ascii="Arial Narrow" w:hAnsi="Arial Narrow"/>
                      <w:sz w:val="18"/>
                      <w:szCs w:val="18"/>
                    </w:rPr>
                    <w:t>IM CAB LA 400mg + RP LA 600mg every 8 weeks</w:t>
                  </w:r>
                </w:p>
              </w:tc>
            </w:tr>
          </w:tbl>
          <w:p w:rsidR="00D31976" w:rsidRPr="00E44873" w:rsidRDefault="00D31976" w:rsidP="0018505B">
            <w:pPr>
              <w:keepNext/>
              <w:keepLines/>
              <w:rPr>
                <w:rFonts w:ascii="Arial Narrow" w:hAnsi="Arial Narrow"/>
                <w:sz w:val="18"/>
                <w:szCs w:val="18"/>
              </w:rPr>
            </w:pPr>
          </w:p>
        </w:tc>
        <w:tc>
          <w:tcPr>
            <w:tcW w:w="1805"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HIV-1 infected, ≥18 years of age, ART-experienced, virologically suppressed (HIV-1 RNA&lt;50 copies/mL) on a stable ART regimen</w:t>
            </w:r>
          </w:p>
        </w:tc>
        <w:tc>
          <w:tcPr>
            <w:tcW w:w="1263"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Proportion of participants with  HIV-RNA ≥50 copies/mL as per FDA Snapshot algorithm at Week 48</w:t>
            </w:r>
          </w:p>
        </w:tc>
      </w:tr>
      <w:tr w:rsidR="00D31976" w:rsidRPr="00E44873" w:rsidTr="00995A5E">
        <w:trPr>
          <w:tblHeader/>
        </w:trPr>
        <w:tc>
          <w:tcPr>
            <w:tcW w:w="946"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SWORD 1 &amp; 2</w:t>
            </w:r>
          </w:p>
          <w:p w:rsidR="00D31976" w:rsidRPr="00E44873" w:rsidRDefault="00D31976" w:rsidP="0018505B">
            <w:pPr>
              <w:keepNext/>
              <w:keepLines/>
              <w:jc w:val="left"/>
              <w:rPr>
                <w:rFonts w:ascii="Arial Narrow" w:hAnsi="Arial Narrow"/>
                <w:sz w:val="18"/>
                <w:szCs w:val="18"/>
                <w:highlight w:val="yellow"/>
              </w:rPr>
            </w:pPr>
            <w:r w:rsidRPr="00E44873">
              <w:rPr>
                <w:rFonts w:ascii="Arial Narrow" w:hAnsi="Arial Narrow"/>
                <w:sz w:val="18"/>
                <w:szCs w:val="18"/>
              </w:rPr>
              <w:t>N=1,024</w:t>
            </w:r>
          </w:p>
        </w:tc>
        <w:tc>
          <w:tcPr>
            <w:tcW w:w="1034" w:type="dxa"/>
          </w:tcPr>
          <w:p w:rsidR="00D31976" w:rsidRPr="00E44873" w:rsidRDefault="00D31976" w:rsidP="0018505B">
            <w:pPr>
              <w:keepNext/>
              <w:keepLines/>
              <w:jc w:val="left"/>
              <w:rPr>
                <w:rFonts w:ascii="Arial Narrow" w:hAnsi="Arial Narrow"/>
                <w:sz w:val="18"/>
                <w:szCs w:val="18"/>
                <w:highlight w:val="yellow"/>
              </w:rPr>
            </w:pPr>
            <w:r w:rsidRPr="00E44873">
              <w:rPr>
                <w:rFonts w:ascii="Arial Narrow" w:hAnsi="Arial Narrow"/>
                <w:sz w:val="18"/>
                <w:szCs w:val="18"/>
              </w:rPr>
              <w:t xml:space="preserve">Phase III, OL, RCT, non-inferiority </w:t>
            </w:r>
          </w:p>
        </w:tc>
        <w:tc>
          <w:tcPr>
            <w:tcW w:w="3969"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Maintenance phase (148 weeks)</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50mg tablet DTG + 25mg tablet RPV taken with a meal; daily</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OR</w:t>
            </w:r>
          </w:p>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Current anti-retroviral. 2 NRTIs + INI, 2 NRTIs + NNRTI, or 2 NRTIs and a PI, administered according to respective product labelling</w:t>
            </w:r>
          </w:p>
        </w:tc>
        <w:tc>
          <w:tcPr>
            <w:tcW w:w="1805"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Virologically suppressed on a stable ART regimen for at least 6 months with no history of treatment failure</w:t>
            </w:r>
          </w:p>
        </w:tc>
        <w:tc>
          <w:tcPr>
            <w:tcW w:w="1263" w:type="dxa"/>
          </w:tcPr>
          <w:p w:rsidR="00D31976" w:rsidRPr="00E44873" w:rsidRDefault="00D31976" w:rsidP="0018505B">
            <w:pPr>
              <w:keepNext/>
              <w:keepLines/>
              <w:jc w:val="left"/>
              <w:rPr>
                <w:rFonts w:ascii="Arial Narrow" w:hAnsi="Arial Narrow"/>
                <w:sz w:val="18"/>
                <w:szCs w:val="18"/>
              </w:rPr>
            </w:pPr>
            <w:r w:rsidRPr="00E44873">
              <w:rPr>
                <w:rFonts w:ascii="Arial Narrow" w:hAnsi="Arial Narrow"/>
                <w:sz w:val="18"/>
                <w:szCs w:val="18"/>
              </w:rPr>
              <w:t>Proportion of patients with HIV-1 RNA &lt;50 c/mL at 48 weeks</w:t>
            </w:r>
          </w:p>
        </w:tc>
      </w:tr>
    </w:tbl>
    <w:p w:rsidR="00D31976" w:rsidRPr="00E44873" w:rsidRDefault="00D31976" w:rsidP="0018505B">
      <w:pPr>
        <w:pStyle w:val="TableFooter"/>
        <w:keepNext/>
        <w:keepLines/>
        <w:rPr>
          <w:szCs w:val="18"/>
        </w:rPr>
      </w:pPr>
      <w:r w:rsidRPr="00E44873">
        <w:rPr>
          <w:szCs w:val="18"/>
        </w:rPr>
        <w:t>Source: Table 12-14, p43-45 of the submission, Llibre 2018</w:t>
      </w:r>
    </w:p>
    <w:p w:rsidR="00D31976" w:rsidRPr="00E44873" w:rsidRDefault="00995A5E" w:rsidP="0018505B">
      <w:pPr>
        <w:pStyle w:val="TableFooter"/>
        <w:keepNext/>
        <w:keepLines/>
        <w:tabs>
          <w:tab w:val="left" w:pos="284"/>
        </w:tabs>
        <w:ind w:left="284" w:hanging="284"/>
        <w:rPr>
          <w:szCs w:val="18"/>
        </w:rPr>
      </w:pPr>
      <w:r w:rsidRPr="00E44873">
        <w:rPr>
          <w:szCs w:val="18"/>
          <w:vertAlign w:val="superscript"/>
        </w:rPr>
        <w:t>a</w:t>
      </w:r>
      <w:r w:rsidRPr="00E44873">
        <w:rPr>
          <w:szCs w:val="18"/>
        </w:rPr>
        <w:tab/>
      </w:r>
      <w:r w:rsidR="00D31976" w:rsidRPr="00E44873">
        <w:rPr>
          <w:szCs w:val="18"/>
        </w:rPr>
        <w:t xml:space="preserve">631 patients were enrolled in the induction phase, but only 566 patient met the criteria (HIV RNA &lt;50 copies/mL) at 16 weeks after induction and randomised to a treatment in the maintenance phase. </w:t>
      </w:r>
    </w:p>
    <w:p w:rsidR="00D31976" w:rsidRPr="00E44873" w:rsidRDefault="00D31976" w:rsidP="0018505B">
      <w:pPr>
        <w:pStyle w:val="TableFooter"/>
        <w:keepNext/>
        <w:keepLines/>
        <w:rPr>
          <w:szCs w:val="18"/>
        </w:rPr>
      </w:pPr>
      <w:r w:rsidRPr="00E44873">
        <w:rPr>
          <w:szCs w:val="18"/>
        </w:rPr>
        <w:t xml:space="preserve">OL = open label; RCT = randomised controlled trial; DTG = dolutegravir; ABC = abacavir; 3TC = lamivudine; FDC = fixed dose combination; NRTI = nucleoside reverse transcriptase inhibitor; CAB = cabotegravir; LA = long acting, RPV = rilpivirine; OD = once daily; IM = intramuscular; HIV-1 = human immunodeficiency virus-1; ART = antiretroviral therapy; RNA = ribonucleic acid; FDA = US Food and Drug Administration; INSTI = integrase strand transfer inhibitor; NNRTI = non-nucleoside reverse transcriptase inhibitor, PI = protease inhibitor; Q4W = every four weeks; Q8W = every eight weeks </w:t>
      </w:r>
    </w:p>
    <w:p w:rsidR="005264AA" w:rsidRPr="00E44873" w:rsidRDefault="005264AA" w:rsidP="00D1387B">
      <w:pPr>
        <w:pStyle w:val="ListParagraph"/>
        <w:widowControl/>
        <w:numPr>
          <w:ilvl w:val="1"/>
          <w:numId w:val="1"/>
        </w:numPr>
        <w:spacing w:before="240"/>
      </w:pPr>
      <w:r w:rsidRPr="00E44873">
        <w:t xml:space="preserve">Additionally, </w:t>
      </w:r>
      <w:r w:rsidR="003250E4" w:rsidRPr="00E44873">
        <w:t xml:space="preserve">patient satisfaction with treatment was reported using the HIV Treatment Satisfaction Questionnaire (HIVTSQ) in all trials. Patient related quality of life data was also reported using the 12 item Short Form (SF-12) health survey, a shorter alternative to the SF-36 in FLAIR and ATLAS. </w:t>
      </w:r>
    </w:p>
    <w:p w:rsidR="0081256C" w:rsidRPr="00E44873" w:rsidRDefault="0081256C" w:rsidP="00D1387B">
      <w:pPr>
        <w:pStyle w:val="ListParagraph"/>
        <w:widowControl/>
        <w:numPr>
          <w:ilvl w:val="1"/>
          <w:numId w:val="1"/>
        </w:numPr>
        <w:spacing w:before="240"/>
      </w:pPr>
      <w:r w:rsidRPr="00E44873">
        <w:t>The ESC noted there were differences in the trial population</w:t>
      </w:r>
      <w:r w:rsidR="00C858F5" w:rsidRPr="00E44873">
        <w:t xml:space="preserve"> and the Australian HIV population, such as median time on treatment (longer in the Australian HIV population), patient age (the Australian population tends to be older) and further noted that in general, Australian rates of diagnosis and treatment are high, with an estimated 90% of estimated HIV cases diagnosed and 89% of those receiving anti</w:t>
      </w:r>
      <w:r w:rsidR="00C858F5" w:rsidRPr="00E44873">
        <w:noBreakHyphen/>
        <w:t>retroviral therapy</w:t>
      </w:r>
      <w:r w:rsidR="00C858F5" w:rsidRPr="00E44873">
        <w:rPr>
          <w:rStyle w:val="FootnoteReference"/>
        </w:rPr>
        <w:footnoteReference w:id="2"/>
      </w:r>
      <w:r w:rsidR="00C858F5" w:rsidRPr="00E44873">
        <w:t xml:space="preserve">. </w:t>
      </w:r>
    </w:p>
    <w:p w:rsidR="00D31976" w:rsidRPr="001C7B02" w:rsidRDefault="00D31976" w:rsidP="00D31976">
      <w:pPr>
        <w:pStyle w:val="Heading2"/>
      </w:pPr>
      <w:bookmarkStart w:id="12" w:name="_Toc62034929"/>
      <w:r w:rsidRPr="001C7B02">
        <w:t>Comparative effectiveness</w:t>
      </w:r>
      <w:bookmarkEnd w:id="12"/>
    </w:p>
    <w:p w:rsidR="00D31976" w:rsidRPr="00E44873" w:rsidRDefault="00D31976" w:rsidP="00D31976"/>
    <w:p w:rsidR="000D3CDE" w:rsidRPr="00E44873" w:rsidRDefault="000D3CDE" w:rsidP="003250E4">
      <w:pPr>
        <w:pStyle w:val="Heading3"/>
        <w:rPr>
          <w:b/>
        </w:rPr>
      </w:pPr>
      <w:r w:rsidRPr="00E44873">
        <w:rPr>
          <w:b/>
        </w:rPr>
        <w:t xml:space="preserve">Primary outcomes – virological failure and virological success </w:t>
      </w:r>
    </w:p>
    <w:p w:rsidR="00D31976" w:rsidRPr="00E44873" w:rsidRDefault="00F02FB7" w:rsidP="00D1387B">
      <w:pPr>
        <w:pStyle w:val="ListParagraph"/>
        <w:widowControl/>
        <w:numPr>
          <w:ilvl w:val="1"/>
          <w:numId w:val="1"/>
        </w:numPr>
        <w:spacing w:before="240"/>
      </w:pPr>
      <w:r w:rsidRPr="00E44873">
        <w:t xml:space="preserve">The results for the primary outcome of the CAB LA + RPV LA trials of virological failure </w:t>
      </w:r>
      <w:r w:rsidR="00EC2333" w:rsidRPr="00E44873">
        <w:t xml:space="preserve">(confirmed viral load ≥50 copies/mL or discontinued due to lack of efficacy or other reason while not below threshold) </w:t>
      </w:r>
      <w:r w:rsidRPr="00E44873">
        <w:t xml:space="preserve">are presented in </w:t>
      </w:r>
      <w:r w:rsidR="00B90AC3" w:rsidRPr="00B90AC3">
        <w:t>Table 6</w:t>
      </w:r>
      <w:r w:rsidR="00D31976" w:rsidRPr="00E44873">
        <w:t>.</w:t>
      </w:r>
    </w:p>
    <w:p w:rsidR="00D31976" w:rsidRPr="00E44873" w:rsidRDefault="00F02FB7" w:rsidP="00F02FB7">
      <w:pPr>
        <w:pStyle w:val="Tabletext"/>
        <w:keepNext/>
        <w:keepLines/>
        <w:rPr>
          <w:rStyle w:val="CommentReference"/>
        </w:rPr>
      </w:pPr>
      <w:bookmarkStart w:id="13" w:name="_Ref59488989"/>
      <w:r w:rsidRPr="00E44873">
        <w:rPr>
          <w:rStyle w:val="CommentReference"/>
        </w:rPr>
        <w:t xml:space="preserve">Table </w:t>
      </w:r>
      <w:r w:rsidR="00B90AC3">
        <w:rPr>
          <w:rStyle w:val="CommentReference"/>
          <w:noProof/>
        </w:rPr>
        <w:t>6</w:t>
      </w:r>
      <w:bookmarkEnd w:id="13"/>
      <w:r w:rsidR="00D31976" w:rsidRPr="00E44873">
        <w:rPr>
          <w:rStyle w:val="CommentReference"/>
        </w:rPr>
        <w:t>: Results for the proportion of subjects with plasma HIV-1 RNA ≥50 copies/mL at Week 48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851"/>
        <w:gridCol w:w="1134"/>
        <w:gridCol w:w="1134"/>
        <w:gridCol w:w="1275"/>
        <w:gridCol w:w="1563"/>
        <w:gridCol w:w="1221"/>
      </w:tblGrid>
      <w:tr w:rsidR="004B1C97" w:rsidRPr="00E44873" w:rsidTr="004B1C97">
        <w:trPr>
          <w:tblHeader/>
        </w:trPr>
        <w:tc>
          <w:tcPr>
            <w:tcW w:w="1019" w:type="pct"/>
            <w:vAlign w:val="center"/>
          </w:tcPr>
          <w:p w:rsidR="004B1C97" w:rsidRPr="00E44873" w:rsidRDefault="004B1C97" w:rsidP="00220CAE">
            <w:pPr>
              <w:pStyle w:val="Tabletext"/>
              <w:keepNext/>
              <w:keepLines/>
              <w:rPr>
                <w:b/>
                <w:sz w:val="18"/>
                <w:szCs w:val="18"/>
              </w:rPr>
            </w:pPr>
            <w:r w:rsidRPr="00E44873">
              <w:rPr>
                <w:b/>
                <w:sz w:val="18"/>
                <w:szCs w:val="18"/>
              </w:rPr>
              <w:t>Trial ID</w:t>
            </w:r>
          </w:p>
        </w:tc>
        <w:tc>
          <w:tcPr>
            <w:tcW w:w="472" w:type="pct"/>
            <w:vAlign w:val="center"/>
          </w:tcPr>
          <w:p w:rsidR="004B1C97" w:rsidRPr="00E44873" w:rsidRDefault="004B1C97" w:rsidP="004B1C97">
            <w:pPr>
              <w:pStyle w:val="Tabletext"/>
              <w:keepNext/>
              <w:keepLines/>
              <w:jc w:val="center"/>
              <w:rPr>
                <w:b/>
                <w:sz w:val="18"/>
                <w:szCs w:val="18"/>
              </w:rPr>
            </w:pPr>
            <w:r w:rsidRPr="00E44873">
              <w:rPr>
                <w:b/>
                <w:sz w:val="18"/>
                <w:szCs w:val="18"/>
              </w:rPr>
              <w:t>DTG + RPV</w:t>
            </w:r>
          </w:p>
        </w:tc>
        <w:tc>
          <w:tcPr>
            <w:tcW w:w="629" w:type="pct"/>
            <w:vAlign w:val="center"/>
          </w:tcPr>
          <w:p w:rsidR="004B1C97" w:rsidRPr="00E44873" w:rsidRDefault="004B1C97" w:rsidP="004B1C97">
            <w:pPr>
              <w:pStyle w:val="Tabletext"/>
              <w:keepNext/>
              <w:keepLines/>
              <w:jc w:val="center"/>
              <w:rPr>
                <w:b/>
                <w:sz w:val="18"/>
                <w:szCs w:val="18"/>
              </w:rPr>
            </w:pPr>
            <w:r w:rsidRPr="00E44873">
              <w:rPr>
                <w:b/>
                <w:sz w:val="18"/>
                <w:szCs w:val="18"/>
              </w:rPr>
              <w:t>ART</w:t>
            </w:r>
          </w:p>
        </w:tc>
        <w:tc>
          <w:tcPr>
            <w:tcW w:w="629" w:type="pct"/>
            <w:vAlign w:val="center"/>
          </w:tcPr>
          <w:p w:rsidR="004B1C97" w:rsidRPr="00E44873" w:rsidRDefault="004B1C97" w:rsidP="004B1C97">
            <w:pPr>
              <w:pStyle w:val="Tabletext"/>
              <w:keepNext/>
              <w:keepLines/>
              <w:jc w:val="center"/>
              <w:rPr>
                <w:b/>
                <w:sz w:val="18"/>
                <w:szCs w:val="18"/>
              </w:rPr>
            </w:pPr>
            <w:r w:rsidRPr="00E44873">
              <w:rPr>
                <w:b/>
                <w:sz w:val="18"/>
                <w:szCs w:val="18"/>
              </w:rPr>
              <w:t>CAB LA + RPV LA Q4W</w:t>
            </w:r>
          </w:p>
        </w:tc>
        <w:tc>
          <w:tcPr>
            <w:tcW w:w="707" w:type="pct"/>
            <w:vAlign w:val="center"/>
          </w:tcPr>
          <w:p w:rsidR="004B1C97" w:rsidRPr="00E44873" w:rsidRDefault="004B1C97" w:rsidP="004B1C97">
            <w:pPr>
              <w:pStyle w:val="Tabletext"/>
              <w:keepNext/>
              <w:keepLines/>
              <w:jc w:val="center"/>
              <w:rPr>
                <w:b/>
                <w:sz w:val="18"/>
                <w:szCs w:val="18"/>
              </w:rPr>
            </w:pPr>
            <w:r w:rsidRPr="00E44873">
              <w:rPr>
                <w:b/>
                <w:sz w:val="18"/>
                <w:szCs w:val="18"/>
              </w:rPr>
              <w:t>CAB LA + RPV LA Q8W</w:t>
            </w:r>
          </w:p>
        </w:tc>
        <w:tc>
          <w:tcPr>
            <w:tcW w:w="867" w:type="pct"/>
            <w:vAlign w:val="center"/>
          </w:tcPr>
          <w:p w:rsidR="004B1C97" w:rsidRPr="00E44873" w:rsidRDefault="004B1C97" w:rsidP="004B1C97">
            <w:pPr>
              <w:pStyle w:val="Tabletext"/>
              <w:keepNext/>
              <w:keepLines/>
              <w:jc w:val="center"/>
              <w:rPr>
                <w:b/>
                <w:sz w:val="18"/>
                <w:szCs w:val="18"/>
              </w:rPr>
            </w:pPr>
            <w:r w:rsidRPr="00E44873">
              <w:rPr>
                <w:b/>
                <w:sz w:val="18"/>
                <w:szCs w:val="18"/>
              </w:rPr>
              <w:t>RD (95% CI)</w:t>
            </w:r>
          </w:p>
        </w:tc>
        <w:tc>
          <w:tcPr>
            <w:tcW w:w="677" w:type="pct"/>
            <w:vAlign w:val="center"/>
          </w:tcPr>
          <w:p w:rsidR="004B1C97" w:rsidRPr="00E44873" w:rsidRDefault="004B1C97" w:rsidP="004B1C97">
            <w:pPr>
              <w:pStyle w:val="Tabletext"/>
              <w:keepNext/>
              <w:keepLines/>
              <w:jc w:val="center"/>
              <w:rPr>
                <w:b/>
                <w:sz w:val="18"/>
                <w:szCs w:val="18"/>
              </w:rPr>
            </w:pPr>
            <w:r w:rsidRPr="00E44873">
              <w:rPr>
                <w:b/>
                <w:sz w:val="18"/>
                <w:szCs w:val="18"/>
              </w:rPr>
              <w:t>Adjusted RD</w:t>
            </w:r>
            <w:r w:rsidRPr="00E44873">
              <w:rPr>
                <w:b/>
                <w:sz w:val="18"/>
                <w:szCs w:val="18"/>
                <w:vertAlign w:val="superscript"/>
              </w:rPr>
              <w:t xml:space="preserve">a </w:t>
            </w:r>
            <w:r w:rsidRPr="00E44873">
              <w:rPr>
                <w:b/>
                <w:sz w:val="18"/>
                <w:szCs w:val="18"/>
              </w:rPr>
              <w:t>(95% CI)</w:t>
            </w:r>
          </w:p>
        </w:tc>
      </w:tr>
      <w:tr w:rsidR="004B1C97" w:rsidRPr="00E44873" w:rsidTr="004B1C97">
        <w:trPr>
          <w:tblHeader/>
        </w:trPr>
        <w:tc>
          <w:tcPr>
            <w:tcW w:w="5000" w:type="pct"/>
            <w:gridSpan w:val="7"/>
          </w:tcPr>
          <w:p w:rsidR="004B1C97" w:rsidRPr="00E44873" w:rsidRDefault="004B1C97" w:rsidP="00220CAE">
            <w:pPr>
              <w:pStyle w:val="Tabletext"/>
              <w:keepNext/>
              <w:keepLines/>
              <w:rPr>
                <w:b/>
                <w:sz w:val="18"/>
                <w:szCs w:val="18"/>
              </w:rPr>
            </w:pPr>
            <w:r w:rsidRPr="00E44873">
              <w:rPr>
                <w:b/>
                <w:sz w:val="18"/>
                <w:szCs w:val="18"/>
              </w:rPr>
              <w:t>DTG+RPV vs ART</w:t>
            </w:r>
          </w:p>
        </w:tc>
      </w:tr>
      <w:tr w:rsidR="004B1C97" w:rsidRPr="00E44873" w:rsidTr="004B1C97">
        <w:trPr>
          <w:tblHeader/>
        </w:trPr>
        <w:tc>
          <w:tcPr>
            <w:tcW w:w="1019" w:type="pct"/>
            <w:vAlign w:val="center"/>
          </w:tcPr>
          <w:p w:rsidR="004B1C97" w:rsidRPr="00E44873" w:rsidRDefault="004B1C97" w:rsidP="00220CAE">
            <w:pPr>
              <w:pStyle w:val="Tabletext"/>
              <w:keepNext/>
              <w:keepLines/>
              <w:rPr>
                <w:sz w:val="18"/>
                <w:szCs w:val="18"/>
              </w:rPr>
            </w:pPr>
            <w:r w:rsidRPr="00E44873">
              <w:rPr>
                <w:sz w:val="18"/>
                <w:szCs w:val="18"/>
              </w:rPr>
              <w:t>SWORD 1&amp;2</w:t>
            </w:r>
          </w:p>
        </w:tc>
        <w:tc>
          <w:tcPr>
            <w:tcW w:w="472" w:type="pct"/>
            <w:vAlign w:val="center"/>
          </w:tcPr>
          <w:p w:rsidR="004B1C97" w:rsidRPr="00E44873" w:rsidRDefault="004B1C97" w:rsidP="00220CAE">
            <w:pPr>
              <w:pStyle w:val="Tabletext"/>
              <w:keepNext/>
              <w:keepLines/>
              <w:jc w:val="center"/>
              <w:rPr>
                <w:sz w:val="18"/>
                <w:szCs w:val="18"/>
              </w:rPr>
            </w:pPr>
            <w:r w:rsidRPr="00E44873">
              <w:rPr>
                <w:sz w:val="18"/>
                <w:szCs w:val="18"/>
              </w:rPr>
              <w:t>3/513 (&lt;1)</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6/511 (1)</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-0.6 (-1.7 to 0.6)</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-0.5 (-1.4 to 0.5)</w:t>
            </w:r>
          </w:p>
        </w:tc>
      </w:tr>
      <w:tr w:rsidR="004B1C97" w:rsidRPr="00E44873" w:rsidTr="004B1C97">
        <w:tc>
          <w:tcPr>
            <w:tcW w:w="5000" w:type="pct"/>
            <w:gridSpan w:val="7"/>
          </w:tcPr>
          <w:p w:rsidR="004B1C97" w:rsidRPr="00E44873" w:rsidRDefault="004B1C97" w:rsidP="00220CAE">
            <w:pPr>
              <w:pStyle w:val="Tabletext"/>
              <w:keepNext/>
              <w:keepLines/>
              <w:rPr>
                <w:b/>
                <w:sz w:val="18"/>
                <w:szCs w:val="18"/>
              </w:rPr>
            </w:pPr>
            <w:r w:rsidRPr="00E44873">
              <w:rPr>
                <w:b/>
                <w:sz w:val="18"/>
                <w:szCs w:val="18"/>
              </w:rPr>
              <w:t>CAB+RPV Q4W vs ART</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FLAIR</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7/283 (2.5)</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6/283 (2.1)</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-0.4 (-2.8 to 2.1)</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-0.4 (-2.8 to 2.1)</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3/308 (1.0)</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5/308 (1.6)</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0.6 (-1.1 to 2.4)</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0.6 (-1.2 to 2.5)</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Pooled FLAIR &amp; ATLAS</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10/591 (1.7)</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11/591 (1.9)</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0.2 (-1.3 to 1.7)</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0.2 (-1.4 to 1.7)</w:t>
            </w:r>
          </w:p>
        </w:tc>
      </w:tr>
      <w:tr w:rsidR="004B1C97" w:rsidRPr="00E44873" w:rsidTr="004B1C97">
        <w:tc>
          <w:tcPr>
            <w:tcW w:w="3456" w:type="pct"/>
            <w:gridSpan w:val="5"/>
          </w:tcPr>
          <w:p w:rsidR="004B1C97" w:rsidRPr="00E44873" w:rsidRDefault="004B1C97" w:rsidP="00220CAE">
            <w:pPr>
              <w:pStyle w:val="Tabletext"/>
              <w:keepNext/>
              <w:keepLines/>
              <w:ind w:left="1525"/>
              <w:rPr>
                <w:sz w:val="18"/>
                <w:szCs w:val="18"/>
              </w:rPr>
            </w:pPr>
            <w:r w:rsidRPr="00E44873">
              <w:rPr>
                <w:sz w:val="18"/>
                <w:szCs w:val="18"/>
              </w:rPr>
              <w:t>Step 1: Indirect analysis (DTG+RPV vs CAB+RPV Q4W)</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-0.8% (-2.6%, 1.1%)</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r w:rsidR="004B1C97" w:rsidRPr="00E44873" w:rsidTr="004B1C97">
        <w:tc>
          <w:tcPr>
            <w:tcW w:w="5000" w:type="pct"/>
            <w:gridSpan w:val="7"/>
          </w:tcPr>
          <w:p w:rsidR="004B1C97" w:rsidRPr="00E44873" w:rsidRDefault="004B1C97" w:rsidP="00220CAE">
            <w:pPr>
              <w:pStyle w:val="Tabletext"/>
              <w:keepNext/>
              <w:keepLines/>
              <w:rPr>
                <w:b/>
                <w:sz w:val="18"/>
                <w:szCs w:val="18"/>
              </w:rPr>
            </w:pPr>
            <w:r w:rsidRPr="00E44873">
              <w:rPr>
                <w:b/>
                <w:sz w:val="18"/>
                <w:szCs w:val="18"/>
              </w:rPr>
              <w:t>CAB+RPV Q8W vs Q4W</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ITT-E</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5/523 (1.0)</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9/522 (1.7)</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0.8 (-0.6 to 2.2)</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0.8 (-0.6 to 2.2)</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w/exposure</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0/196 (0)</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4/195 (2.1)</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2.1 (0.1 to 5.2)</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w/o exposure</w:t>
            </w:r>
          </w:p>
        </w:tc>
        <w:tc>
          <w:tcPr>
            <w:tcW w:w="472" w:type="pct"/>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5/327 (1.5)</w:t>
            </w:r>
          </w:p>
        </w:tc>
        <w:tc>
          <w:tcPr>
            <w:tcW w:w="707" w:type="pct"/>
            <w:vAlign w:val="center"/>
          </w:tcPr>
          <w:p w:rsidR="004B1C97" w:rsidRPr="00E44873" w:rsidRDefault="004B1C97" w:rsidP="00220CAE">
            <w:pPr>
              <w:pStyle w:val="Tabletext"/>
              <w:keepNext/>
              <w:keepLines/>
              <w:jc w:val="center"/>
              <w:rPr>
                <w:sz w:val="18"/>
                <w:szCs w:val="18"/>
              </w:rPr>
            </w:pPr>
            <w:r w:rsidRPr="00E44873">
              <w:rPr>
                <w:sz w:val="18"/>
                <w:szCs w:val="18"/>
              </w:rPr>
              <w:t>5/327 (1.5)</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 xml:space="preserve">0.0 (-2.2 to 2.2) </w:t>
            </w:r>
            <w:r w:rsidRPr="00E44873">
              <w:rPr>
                <w:sz w:val="18"/>
                <w:szCs w:val="18"/>
                <w:vertAlign w:val="superscript"/>
              </w:rPr>
              <w:t>b</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r w:rsidR="004B1C97" w:rsidRPr="00E44873" w:rsidTr="004B1C97">
        <w:tc>
          <w:tcPr>
            <w:tcW w:w="3456" w:type="pct"/>
            <w:gridSpan w:val="5"/>
          </w:tcPr>
          <w:p w:rsidR="004B1C97" w:rsidRPr="00E44873" w:rsidRDefault="004B1C97" w:rsidP="00220CAE">
            <w:pPr>
              <w:pStyle w:val="Tabletext"/>
              <w:keepNext/>
              <w:keepLines/>
              <w:ind w:left="1525"/>
              <w:rPr>
                <w:sz w:val="18"/>
                <w:szCs w:val="18"/>
              </w:rPr>
            </w:pPr>
            <w:r w:rsidRPr="00E44873">
              <w:rPr>
                <w:sz w:val="18"/>
                <w:szCs w:val="18"/>
              </w:rPr>
              <w:t>Step 2: Indirect analysis (CAB+RPV Q8W ITT-E vs DTG+RPV)</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1.6% (-0.7%, 3.9%)</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r w:rsidR="004B1C97" w:rsidRPr="00E44873" w:rsidTr="004B1C97">
        <w:tc>
          <w:tcPr>
            <w:tcW w:w="3456" w:type="pct"/>
            <w:gridSpan w:val="5"/>
          </w:tcPr>
          <w:p w:rsidR="004B1C97" w:rsidRPr="00E44873" w:rsidRDefault="004B1C97" w:rsidP="00220CAE">
            <w:pPr>
              <w:pStyle w:val="Tabletext"/>
              <w:keepNext/>
              <w:keepLines/>
              <w:ind w:left="1525"/>
              <w:rPr>
                <w:sz w:val="18"/>
                <w:szCs w:val="18"/>
              </w:rPr>
            </w:pPr>
            <w:r w:rsidRPr="00E44873">
              <w:rPr>
                <w:sz w:val="18"/>
                <w:szCs w:val="18"/>
              </w:rPr>
              <w:t>Step 2: Indirect analysis (CAB+RPV Q8W w/exposure vs DTG+RPV)</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2.9% (-0.3%, 6.1%)</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r w:rsidR="004B1C97" w:rsidRPr="00E44873" w:rsidTr="004B1C97">
        <w:tc>
          <w:tcPr>
            <w:tcW w:w="3456" w:type="pct"/>
            <w:gridSpan w:val="5"/>
          </w:tcPr>
          <w:p w:rsidR="004B1C97" w:rsidRPr="00E44873" w:rsidRDefault="004B1C97" w:rsidP="00220CAE">
            <w:pPr>
              <w:pStyle w:val="Tabletext"/>
              <w:keepNext/>
              <w:keepLines/>
              <w:ind w:left="1525"/>
              <w:rPr>
                <w:sz w:val="18"/>
                <w:szCs w:val="18"/>
              </w:rPr>
            </w:pPr>
            <w:r w:rsidRPr="00E44873">
              <w:rPr>
                <w:sz w:val="18"/>
                <w:szCs w:val="18"/>
              </w:rPr>
              <w:t>Step 2: Indirect analysis (CAB+RPV Q8W w/o exposure vs DTG+RPV)</w:t>
            </w:r>
          </w:p>
        </w:tc>
        <w:tc>
          <w:tcPr>
            <w:tcW w:w="867" w:type="pct"/>
            <w:vAlign w:val="center"/>
          </w:tcPr>
          <w:p w:rsidR="004B1C97" w:rsidRPr="00E44873" w:rsidRDefault="004B1C97" w:rsidP="00220CAE">
            <w:pPr>
              <w:pStyle w:val="Tabletext"/>
              <w:keepNext/>
              <w:keepLines/>
              <w:jc w:val="center"/>
              <w:rPr>
                <w:sz w:val="18"/>
                <w:szCs w:val="18"/>
              </w:rPr>
            </w:pPr>
            <w:r w:rsidRPr="00E44873">
              <w:rPr>
                <w:sz w:val="18"/>
                <w:szCs w:val="18"/>
              </w:rPr>
              <w:t>0.8% (-2.1%, 3.7%)</w:t>
            </w:r>
            <w:r w:rsidRPr="00E44873">
              <w:rPr>
                <w:sz w:val="18"/>
                <w:szCs w:val="18"/>
                <w:vertAlign w:val="superscript"/>
              </w:rPr>
              <w:t>b</w:t>
            </w:r>
          </w:p>
        </w:tc>
        <w:tc>
          <w:tcPr>
            <w:tcW w:w="677" w:type="pct"/>
            <w:vAlign w:val="center"/>
          </w:tcPr>
          <w:p w:rsidR="004B1C97" w:rsidRPr="00E44873" w:rsidRDefault="004B1C97" w:rsidP="00220CAE">
            <w:pPr>
              <w:pStyle w:val="Tabletext"/>
              <w:keepNext/>
              <w:keepLines/>
              <w:jc w:val="center"/>
              <w:rPr>
                <w:sz w:val="18"/>
                <w:szCs w:val="18"/>
              </w:rPr>
            </w:pPr>
            <w:r w:rsidRPr="00E44873">
              <w:rPr>
                <w:sz w:val="18"/>
                <w:szCs w:val="18"/>
              </w:rPr>
              <w:t>na</w:t>
            </w:r>
          </w:p>
        </w:tc>
      </w:tr>
    </w:tbl>
    <w:p w:rsidR="00F02FB7" w:rsidRPr="00E44873" w:rsidRDefault="00F02FB7" w:rsidP="00F02FB7">
      <w:pPr>
        <w:pStyle w:val="TableFooter"/>
        <w:keepNext/>
        <w:keepLines/>
      </w:pPr>
      <w:r w:rsidRPr="00E44873">
        <w:t>Source: Table 35, 41&amp;57, p85, 90&amp;114 of the submission.</w:t>
      </w:r>
    </w:p>
    <w:p w:rsidR="00C92ED1" w:rsidRPr="00E44873" w:rsidRDefault="00C92ED1" w:rsidP="00F02FB7">
      <w:pPr>
        <w:pStyle w:val="TableFooter"/>
        <w:keepNext/>
        <w:keepLines/>
        <w:rPr>
          <w:sz w:val="20"/>
        </w:rPr>
      </w:pPr>
      <w:r w:rsidRPr="00E44873">
        <w:t xml:space="preserve">Text in italics indicate values calculated or extracted during evaluation </w:t>
      </w:r>
    </w:p>
    <w:p w:rsidR="00F02FB7" w:rsidRPr="00E44873" w:rsidRDefault="00F02FB7" w:rsidP="00F02FB7">
      <w:pPr>
        <w:pStyle w:val="TableFooter"/>
        <w:keepNext/>
        <w:keepLines/>
        <w:rPr>
          <w:rFonts w:eastAsia="Calibri"/>
        </w:rPr>
      </w:pPr>
      <w:r w:rsidRPr="00E44873">
        <w:rPr>
          <w:rFonts w:eastAsia="Calibri"/>
        </w:rPr>
        <w:t>RD = risk difference; CI = confidence interval; CAB = cabotegravir, RPV = rilpivirine; DTG = dolutegravir; Q8W = eight weekly dosing of CAB + RPV, Q4W = four weekly dosing of CAB + RPV; w/exposure = previous exposure to CAB + RPV; w/o exposure = without previous exposure to CAB + RPV, na = not applicable</w:t>
      </w:r>
      <w:r w:rsidR="00977C61" w:rsidRPr="00E44873">
        <w:rPr>
          <w:rFonts w:eastAsia="Calibri"/>
        </w:rPr>
        <w:t xml:space="preserve">; </w:t>
      </w:r>
      <w:r w:rsidR="00977C61" w:rsidRPr="00E44873">
        <w:rPr>
          <w:rFonts w:eastAsia="Calibri"/>
          <w:szCs w:val="16"/>
        </w:rPr>
        <w:t>ITT-E = intention-to-treat exposed</w:t>
      </w:r>
    </w:p>
    <w:p w:rsidR="00F02FB7" w:rsidRPr="00E44873" w:rsidRDefault="00F02FB7" w:rsidP="00110064">
      <w:pPr>
        <w:pStyle w:val="TableFooter"/>
        <w:keepNext/>
        <w:keepLines/>
        <w:tabs>
          <w:tab w:val="left" w:pos="284"/>
        </w:tabs>
        <w:ind w:left="284" w:hanging="284"/>
        <w:rPr>
          <w:rFonts w:eastAsia="Calibri"/>
        </w:rPr>
      </w:pPr>
      <w:r w:rsidRPr="00E44873">
        <w:rPr>
          <w:rFonts w:eastAsia="Calibri"/>
          <w:vertAlign w:val="superscript"/>
        </w:rPr>
        <w:t>a</w:t>
      </w:r>
      <w:r w:rsidR="00110064" w:rsidRPr="00E44873">
        <w:rPr>
          <w:rFonts w:eastAsia="Calibri"/>
        </w:rPr>
        <w:tab/>
      </w:r>
      <w:r w:rsidRPr="00E44873">
        <w:rPr>
          <w:rFonts w:eastAsia="Calibri"/>
        </w:rPr>
        <w:t xml:space="preserve">Adjusted: Based on Cochran-Mantel Haenszel stratified analysis adjusting to baseline viral load and Gender for FLAIR; adjusting to 3rd ART class and Gender for ATLAS; and adjusting to 10 strata for pooled analysis. Based on Cochran-Mantel Haenszel stratified analysis adjusting for the following baseline stratification factor: prior exposure to CAB + RPV (0 weeks, 1-24 weeks, &gt;24 weeks) for ATLAS-2M. Based on Cochran-Mantel Haenszel stratified analysis adjusting for age (&lt;50, &gt;= 50 years old) and baseline third agent class (PI, NNRTI, INI) for SWORD trials. </w:t>
      </w:r>
    </w:p>
    <w:p w:rsidR="00F02FB7" w:rsidRPr="00E44873" w:rsidRDefault="00F02FB7" w:rsidP="00110064">
      <w:pPr>
        <w:pStyle w:val="TableFooter"/>
        <w:keepNext/>
        <w:keepLines/>
        <w:tabs>
          <w:tab w:val="left" w:pos="284"/>
        </w:tabs>
        <w:ind w:left="284" w:hanging="284"/>
        <w:rPr>
          <w:rFonts w:eastAsia="Calibri"/>
        </w:rPr>
      </w:pPr>
      <w:r w:rsidRPr="00E44873">
        <w:rPr>
          <w:rFonts w:eastAsia="Calibri"/>
          <w:vertAlign w:val="superscript"/>
        </w:rPr>
        <w:t>b</w:t>
      </w:r>
      <w:r w:rsidR="00110064" w:rsidRPr="00E44873">
        <w:rPr>
          <w:rFonts w:eastAsia="Calibri"/>
        </w:rPr>
        <w:tab/>
      </w:r>
      <w:r w:rsidR="00501A51" w:rsidRPr="00E44873">
        <w:rPr>
          <w:rFonts w:eastAsia="Calibri"/>
        </w:rPr>
        <w:t>Updated during the evaluation</w:t>
      </w:r>
      <w:r w:rsidR="00D43D93" w:rsidRPr="00E44873">
        <w:rPr>
          <w:rFonts w:eastAsia="Calibri"/>
        </w:rPr>
        <w:t xml:space="preserve"> to RD of 0 (-2.2, 2.2) (from ATLAS-2M CSR, p 97)</w:t>
      </w:r>
      <w:r w:rsidR="00501A51" w:rsidRPr="00E44873">
        <w:rPr>
          <w:rFonts w:eastAsia="Calibri"/>
        </w:rPr>
        <w:t xml:space="preserve">. </w:t>
      </w:r>
      <w:r w:rsidR="006A36A7" w:rsidRPr="00E44873">
        <w:rPr>
          <w:rFonts w:eastAsia="Calibri"/>
        </w:rPr>
        <w:t xml:space="preserve">The submission presented a </w:t>
      </w:r>
      <w:r w:rsidRPr="00E44873">
        <w:rPr>
          <w:rFonts w:eastAsia="Calibri"/>
        </w:rPr>
        <w:t xml:space="preserve">RD of 0 (-1.9, 1.9) </w:t>
      </w:r>
      <w:r w:rsidR="006A36A7" w:rsidRPr="00E44873">
        <w:rPr>
          <w:rFonts w:eastAsia="Calibri"/>
        </w:rPr>
        <w:t xml:space="preserve">and </w:t>
      </w:r>
      <w:r w:rsidRPr="00E44873">
        <w:rPr>
          <w:rFonts w:eastAsia="Calibri"/>
        </w:rPr>
        <w:t xml:space="preserve">the resultant RD for the indirect comparison </w:t>
      </w:r>
      <w:r w:rsidR="006A36A7" w:rsidRPr="00E44873">
        <w:rPr>
          <w:rFonts w:eastAsia="Calibri"/>
        </w:rPr>
        <w:t xml:space="preserve">of </w:t>
      </w:r>
      <w:r w:rsidRPr="00E44873">
        <w:rPr>
          <w:rFonts w:eastAsia="Calibri"/>
        </w:rPr>
        <w:t>0.8% (-</w:t>
      </w:r>
      <w:r w:rsidR="00501A51" w:rsidRPr="00E44873">
        <w:rPr>
          <w:rFonts w:eastAsia="Calibri"/>
        </w:rPr>
        <w:t>1.9</w:t>
      </w:r>
      <w:r w:rsidRPr="00E44873">
        <w:rPr>
          <w:rFonts w:eastAsia="Calibri"/>
        </w:rPr>
        <w:t>%, 3.</w:t>
      </w:r>
      <w:r w:rsidR="00501A51" w:rsidRPr="00E44873">
        <w:rPr>
          <w:rFonts w:eastAsia="Calibri"/>
        </w:rPr>
        <w:t>4</w:t>
      </w:r>
      <w:r w:rsidRPr="00E44873">
        <w:rPr>
          <w:rFonts w:eastAsia="Calibri"/>
        </w:rPr>
        <w:t>%)</w:t>
      </w:r>
      <w:r w:rsidR="00501A51" w:rsidRPr="00E44873">
        <w:rPr>
          <w:rFonts w:eastAsia="Calibri"/>
        </w:rPr>
        <w:t>.</w:t>
      </w:r>
    </w:p>
    <w:p w:rsidR="00D31976" w:rsidRPr="00E44873" w:rsidRDefault="00D31976" w:rsidP="00D31976"/>
    <w:p w:rsidR="00D31976" w:rsidRPr="00E44873" w:rsidRDefault="00D31976" w:rsidP="00D1387B">
      <w:pPr>
        <w:pStyle w:val="ListParagraph"/>
        <w:widowControl/>
        <w:numPr>
          <w:ilvl w:val="1"/>
          <w:numId w:val="1"/>
        </w:numPr>
      </w:pPr>
      <w:r w:rsidRPr="00E44873">
        <w:rPr>
          <w:rFonts w:cs="Calibri"/>
          <w:snapToGrid/>
          <w:szCs w:val="24"/>
          <w:lang w:val="en-US" w:eastAsia="en-AU"/>
        </w:rPr>
        <w:t xml:space="preserve">The results of the indirect comparison between CAB LA + RPV LA Q8W and DTG + RPV supported the clinical claim of non-inferiority for the proportion of patients </w:t>
      </w:r>
      <w:r w:rsidR="00C92ED1" w:rsidRPr="00E44873">
        <w:rPr>
          <w:rFonts w:cs="Calibri"/>
          <w:snapToGrid/>
          <w:szCs w:val="24"/>
          <w:lang w:val="en-US" w:eastAsia="en-AU"/>
        </w:rPr>
        <w:t xml:space="preserve">meeting the nominated </w:t>
      </w:r>
      <w:r w:rsidRPr="00E44873">
        <w:rPr>
          <w:rFonts w:cs="Calibri"/>
          <w:snapToGrid/>
          <w:szCs w:val="24"/>
          <w:lang w:val="en-US" w:eastAsia="en-AU"/>
        </w:rPr>
        <w:t>non-inferiority ma</w:t>
      </w:r>
      <w:r w:rsidR="00C92ED1" w:rsidRPr="00E44873">
        <w:rPr>
          <w:rFonts w:cs="Calibri"/>
          <w:snapToGrid/>
          <w:szCs w:val="24"/>
          <w:lang w:val="en-US" w:eastAsia="en-AU"/>
        </w:rPr>
        <w:t>rgin of 4% (RD = 0.8%, 95%</w:t>
      </w:r>
      <w:r w:rsidR="00110064" w:rsidRPr="00E44873">
        <w:rPr>
          <w:rFonts w:cs="Calibri"/>
          <w:snapToGrid/>
          <w:szCs w:val="24"/>
          <w:lang w:val="en-US" w:eastAsia="en-AU"/>
        </w:rPr>
        <w:t xml:space="preserve"> </w:t>
      </w:r>
      <w:r w:rsidR="00C92ED1" w:rsidRPr="00E44873">
        <w:rPr>
          <w:rFonts w:cs="Calibri"/>
          <w:snapToGrid/>
          <w:szCs w:val="24"/>
          <w:lang w:val="en-US" w:eastAsia="en-AU"/>
        </w:rPr>
        <w:t>CI</w:t>
      </w:r>
      <w:r w:rsidR="00110064" w:rsidRPr="00E44873">
        <w:rPr>
          <w:rFonts w:cs="Calibri"/>
          <w:snapToGrid/>
          <w:szCs w:val="24"/>
          <w:lang w:val="en-US" w:eastAsia="en-AU"/>
        </w:rPr>
        <w:t>:</w:t>
      </w:r>
      <w:r w:rsidR="00C92ED1" w:rsidRPr="00E44873">
        <w:rPr>
          <w:rFonts w:cs="Calibri"/>
          <w:snapToGrid/>
          <w:szCs w:val="24"/>
          <w:lang w:val="en-US" w:eastAsia="en-AU"/>
        </w:rPr>
        <w:t xml:space="preserve"> -</w:t>
      </w:r>
      <w:r w:rsidR="00DF4404" w:rsidRPr="00E44873">
        <w:rPr>
          <w:rFonts w:cs="Calibri"/>
          <w:snapToGrid/>
          <w:szCs w:val="24"/>
          <w:lang w:val="en-US" w:eastAsia="en-AU"/>
        </w:rPr>
        <w:t>2</w:t>
      </w:r>
      <w:r w:rsidR="00C92ED1" w:rsidRPr="00E44873">
        <w:rPr>
          <w:rFonts w:cs="Calibri"/>
          <w:snapToGrid/>
          <w:szCs w:val="24"/>
          <w:lang w:val="en-US" w:eastAsia="en-AU"/>
        </w:rPr>
        <w:t>.</w:t>
      </w:r>
      <w:r w:rsidR="00DF4404" w:rsidRPr="00E44873">
        <w:rPr>
          <w:rFonts w:cs="Calibri"/>
          <w:snapToGrid/>
          <w:szCs w:val="24"/>
          <w:lang w:val="en-US" w:eastAsia="en-AU"/>
        </w:rPr>
        <w:t>1</w:t>
      </w:r>
      <w:r w:rsidR="00C92ED1" w:rsidRPr="00E44873">
        <w:rPr>
          <w:rFonts w:cs="Calibri"/>
          <w:snapToGrid/>
          <w:szCs w:val="24"/>
          <w:lang w:val="en-US" w:eastAsia="en-AU"/>
        </w:rPr>
        <w:t>%, 3.7%</w:t>
      </w:r>
      <w:r w:rsidRPr="00E44873">
        <w:rPr>
          <w:rFonts w:cs="Calibri"/>
          <w:snapToGrid/>
          <w:szCs w:val="24"/>
          <w:lang w:val="en-US" w:eastAsia="en-AU"/>
        </w:rPr>
        <w:t>)</w:t>
      </w:r>
      <w:r w:rsidRPr="00E44873">
        <w:t xml:space="preserve">. </w:t>
      </w:r>
    </w:p>
    <w:p w:rsidR="00D31976" w:rsidRPr="00E44873" w:rsidRDefault="00D31976" w:rsidP="00D1387B">
      <w:pPr>
        <w:pStyle w:val="ListParagraph"/>
        <w:widowControl/>
        <w:numPr>
          <w:ilvl w:val="1"/>
          <w:numId w:val="1"/>
        </w:numPr>
      </w:pPr>
      <w:r w:rsidRPr="00E44873">
        <w:t>It was noted that the submission excluded patients with prior CAB LA + RPV LA exposure in step 2 of their indirect comparison for the primary and secondary outcome. No justification for this was provided by the submission. Patients with prior exposure to the intervention and overall patients in ATLAS-2M were added to the analyses (compared to DTG + RPV in step 2) during evaluation for completeness and consideration. Results indicated that patients with prior exposure to CAB LA + RPV LA in ATLAS-2M did not meet the non-inferiority margin (RD = 2.9%, 95% CI</w:t>
      </w:r>
      <w:r w:rsidR="00110064" w:rsidRPr="00E44873">
        <w:t>:</w:t>
      </w:r>
      <w:r w:rsidRPr="00E44873">
        <w:t xml:space="preserve"> -0.3%, 6.1%). </w:t>
      </w:r>
      <w:r w:rsidR="00C92ED1" w:rsidRPr="00E44873">
        <w:t>W</w:t>
      </w:r>
      <w:r w:rsidRPr="00E44873">
        <w:t xml:space="preserve">hen considering the ITT-E population from ATLAS-2M, the non-inferiority margin was </w:t>
      </w:r>
      <w:r w:rsidR="00C92ED1" w:rsidRPr="00E44873">
        <w:t xml:space="preserve">only just </w:t>
      </w:r>
      <w:r w:rsidRPr="00E44873">
        <w:t>met (RD = 1.6%, 95%</w:t>
      </w:r>
      <w:r w:rsidR="00110064" w:rsidRPr="00E44873">
        <w:t xml:space="preserve"> </w:t>
      </w:r>
      <w:r w:rsidRPr="00E44873">
        <w:t>CI</w:t>
      </w:r>
      <w:r w:rsidR="00110064" w:rsidRPr="00E44873">
        <w:t>:</w:t>
      </w:r>
      <w:r w:rsidRPr="00E44873">
        <w:t xml:space="preserve"> -0.7%, 3.9%).  </w:t>
      </w:r>
      <w:r w:rsidRPr="00E44873">
        <w:rPr>
          <w:rFonts w:cs="Calibri"/>
          <w:snapToGrid/>
          <w:szCs w:val="24"/>
          <w:lang w:val="en-US" w:eastAsia="en-AU"/>
        </w:rPr>
        <w:t xml:space="preserve"> </w:t>
      </w:r>
    </w:p>
    <w:p w:rsidR="00D462E6" w:rsidRPr="00E44873" w:rsidRDefault="00D462E6" w:rsidP="00D1387B">
      <w:pPr>
        <w:pStyle w:val="ListParagraph"/>
        <w:widowControl/>
        <w:numPr>
          <w:ilvl w:val="1"/>
          <w:numId w:val="1"/>
        </w:numPr>
        <w:rPr>
          <w:iCs/>
        </w:rPr>
      </w:pPr>
      <w:r w:rsidRPr="00E44873">
        <w:t xml:space="preserve">A more conservative approach of treating patients with missing data, or who switched or discontinued treatment as virological failures (Missing, Switch, Discontinue = Failure) in the analyses was performed during the evaluation and are presented in </w:t>
      </w:r>
      <w:r w:rsidR="00B90AC3" w:rsidRPr="00B90AC3">
        <w:t>Table 7</w:t>
      </w:r>
      <w:r w:rsidRPr="00E44873">
        <w:t xml:space="preserve">. These results are the complement to the proportion of patients who experienced virological success (see </w:t>
      </w:r>
      <w:r w:rsidR="00B90AC3" w:rsidRPr="00B90AC3">
        <w:t>Table 8</w:t>
      </w:r>
      <w:r w:rsidRPr="00E44873">
        <w:t xml:space="preserve">). </w:t>
      </w:r>
    </w:p>
    <w:p w:rsidR="00D462E6" w:rsidRPr="00E44873" w:rsidRDefault="00D462E6" w:rsidP="00D462E6">
      <w:pPr>
        <w:pStyle w:val="Tabletext"/>
        <w:keepNext/>
        <w:keepLines/>
        <w:rPr>
          <w:rStyle w:val="CommentReference"/>
          <w:b w:val="0"/>
        </w:rPr>
      </w:pPr>
      <w:bookmarkStart w:id="14" w:name="_Ref59489625"/>
      <w:r w:rsidRPr="00E44873">
        <w:rPr>
          <w:rStyle w:val="CommentReference"/>
        </w:rPr>
        <w:t xml:space="preserve">Table </w:t>
      </w:r>
      <w:r w:rsidR="00B90AC3">
        <w:rPr>
          <w:rStyle w:val="CommentReference"/>
          <w:noProof/>
        </w:rPr>
        <w:t>7</w:t>
      </w:r>
      <w:bookmarkEnd w:id="14"/>
      <w:r w:rsidRPr="00E44873">
        <w:rPr>
          <w:rStyle w:val="CommentReference"/>
        </w:rPr>
        <w:t>: Results for the proportion of subjects with plasma HIV-1 RNA ≥50 copies/mL</w:t>
      </w:r>
      <w:r w:rsidR="00265F2B">
        <w:rPr>
          <w:rStyle w:val="CommentReference"/>
        </w:rPr>
        <w:t xml:space="preserve"> or no virological data at Week </w:t>
      </w:r>
      <w:r w:rsidRPr="00E44873">
        <w:rPr>
          <w:rStyle w:val="CommentReference"/>
        </w:rPr>
        <w:t>48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992"/>
        <w:gridCol w:w="993"/>
        <w:gridCol w:w="1134"/>
        <w:gridCol w:w="1134"/>
        <w:gridCol w:w="1417"/>
        <w:gridCol w:w="1507"/>
      </w:tblGrid>
      <w:tr w:rsidR="004B1C97" w:rsidRPr="00E44873" w:rsidTr="004B1C97">
        <w:trPr>
          <w:tblHeader/>
        </w:trPr>
        <w:tc>
          <w:tcPr>
            <w:tcW w:w="1019" w:type="pct"/>
            <w:vAlign w:val="center"/>
          </w:tcPr>
          <w:p w:rsidR="004B1C97" w:rsidRPr="00E44873" w:rsidRDefault="004B1C97" w:rsidP="00220CAE">
            <w:pPr>
              <w:pStyle w:val="Tabletext"/>
              <w:keepNext/>
              <w:keepLines/>
              <w:rPr>
                <w:b/>
                <w:sz w:val="18"/>
                <w:szCs w:val="18"/>
              </w:rPr>
            </w:pPr>
            <w:r w:rsidRPr="00E44873">
              <w:rPr>
                <w:b/>
                <w:sz w:val="18"/>
                <w:szCs w:val="18"/>
              </w:rPr>
              <w:t>Trial ID</w:t>
            </w:r>
          </w:p>
        </w:tc>
        <w:tc>
          <w:tcPr>
            <w:tcW w:w="550" w:type="pct"/>
            <w:vAlign w:val="center"/>
          </w:tcPr>
          <w:p w:rsidR="004B1C97" w:rsidRPr="00E44873" w:rsidRDefault="004B1C97" w:rsidP="00220CAE">
            <w:pPr>
              <w:pStyle w:val="Tabletext"/>
              <w:keepNext/>
              <w:keepLines/>
              <w:jc w:val="center"/>
              <w:rPr>
                <w:b/>
                <w:sz w:val="18"/>
                <w:szCs w:val="18"/>
              </w:rPr>
            </w:pPr>
            <w:r w:rsidRPr="00E44873">
              <w:rPr>
                <w:b/>
                <w:sz w:val="18"/>
                <w:szCs w:val="18"/>
              </w:rPr>
              <w:t>DTG + RPV</w:t>
            </w:r>
          </w:p>
        </w:tc>
        <w:tc>
          <w:tcPr>
            <w:tcW w:w="551" w:type="pct"/>
            <w:vAlign w:val="center"/>
          </w:tcPr>
          <w:p w:rsidR="004B1C97" w:rsidRPr="00E44873" w:rsidRDefault="004B1C97" w:rsidP="00220CAE">
            <w:pPr>
              <w:pStyle w:val="Tabletext"/>
              <w:keepNext/>
              <w:keepLines/>
              <w:jc w:val="center"/>
              <w:rPr>
                <w:b/>
                <w:sz w:val="18"/>
                <w:szCs w:val="18"/>
              </w:rPr>
            </w:pPr>
            <w:r w:rsidRPr="00E44873">
              <w:rPr>
                <w:b/>
                <w:sz w:val="18"/>
                <w:szCs w:val="18"/>
              </w:rPr>
              <w:t>ART</w:t>
            </w:r>
          </w:p>
        </w:tc>
        <w:tc>
          <w:tcPr>
            <w:tcW w:w="629" w:type="pct"/>
            <w:vAlign w:val="center"/>
          </w:tcPr>
          <w:p w:rsidR="004B1C97" w:rsidRPr="00E44873" w:rsidRDefault="004B1C97" w:rsidP="00220CAE">
            <w:pPr>
              <w:pStyle w:val="Tabletext"/>
              <w:keepNext/>
              <w:keepLines/>
              <w:jc w:val="center"/>
              <w:rPr>
                <w:b/>
                <w:sz w:val="18"/>
                <w:szCs w:val="18"/>
              </w:rPr>
            </w:pPr>
            <w:r w:rsidRPr="00E44873">
              <w:rPr>
                <w:b/>
                <w:sz w:val="18"/>
                <w:szCs w:val="18"/>
              </w:rPr>
              <w:t>CAB LA + RPV LA Q4W</w:t>
            </w:r>
          </w:p>
        </w:tc>
        <w:tc>
          <w:tcPr>
            <w:tcW w:w="629" w:type="pct"/>
            <w:vAlign w:val="center"/>
          </w:tcPr>
          <w:p w:rsidR="004B1C97" w:rsidRPr="00E44873" w:rsidRDefault="004B1C97" w:rsidP="00220CAE">
            <w:pPr>
              <w:pStyle w:val="Tabletext"/>
              <w:keepNext/>
              <w:keepLines/>
              <w:jc w:val="center"/>
              <w:rPr>
                <w:b/>
                <w:sz w:val="18"/>
                <w:szCs w:val="18"/>
              </w:rPr>
            </w:pPr>
            <w:r w:rsidRPr="00E44873">
              <w:rPr>
                <w:b/>
                <w:sz w:val="18"/>
                <w:szCs w:val="18"/>
              </w:rPr>
              <w:t>CAB LA + RPV LA Q8W</w:t>
            </w:r>
          </w:p>
        </w:tc>
        <w:tc>
          <w:tcPr>
            <w:tcW w:w="786" w:type="pct"/>
            <w:vAlign w:val="center"/>
          </w:tcPr>
          <w:p w:rsidR="004B1C97" w:rsidRPr="00E44873" w:rsidRDefault="004B1C97" w:rsidP="00220CAE">
            <w:pPr>
              <w:pStyle w:val="Tabletext"/>
              <w:keepNext/>
              <w:keepLines/>
              <w:jc w:val="center"/>
              <w:rPr>
                <w:b/>
                <w:sz w:val="18"/>
                <w:szCs w:val="18"/>
              </w:rPr>
            </w:pPr>
            <w:r w:rsidRPr="00E44873">
              <w:rPr>
                <w:b/>
                <w:sz w:val="18"/>
                <w:szCs w:val="18"/>
              </w:rPr>
              <w:t>RD fixed effects (95% CI)</w:t>
            </w:r>
          </w:p>
        </w:tc>
        <w:tc>
          <w:tcPr>
            <w:tcW w:w="836" w:type="pct"/>
            <w:vAlign w:val="center"/>
          </w:tcPr>
          <w:p w:rsidR="004B1C97" w:rsidRPr="00E44873" w:rsidRDefault="004B1C97" w:rsidP="00220CAE">
            <w:pPr>
              <w:pStyle w:val="Tabletext"/>
              <w:keepNext/>
              <w:keepLines/>
              <w:jc w:val="center"/>
              <w:rPr>
                <w:b/>
                <w:sz w:val="18"/>
                <w:szCs w:val="18"/>
              </w:rPr>
            </w:pPr>
            <w:r w:rsidRPr="00E44873">
              <w:rPr>
                <w:b/>
                <w:sz w:val="18"/>
                <w:szCs w:val="18"/>
              </w:rPr>
              <w:t>RD random effects</w:t>
            </w:r>
            <w:r w:rsidRPr="00E44873">
              <w:rPr>
                <w:b/>
                <w:sz w:val="18"/>
                <w:szCs w:val="18"/>
                <w:vertAlign w:val="superscript"/>
              </w:rPr>
              <w:t xml:space="preserve"> </w:t>
            </w:r>
            <w:r w:rsidRPr="00E44873">
              <w:rPr>
                <w:b/>
                <w:sz w:val="18"/>
                <w:szCs w:val="18"/>
              </w:rPr>
              <w:t>(95% CI)</w:t>
            </w:r>
          </w:p>
        </w:tc>
      </w:tr>
      <w:tr w:rsidR="004B1C97" w:rsidRPr="00E44873" w:rsidTr="004B1C97">
        <w:trPr>
          <w:tblHeader/>
        </w:trPr>
        <w:tc>
          <w:tcPr>
            <w:tcW w:w="5000" w:type="pct"/>
            <w:gridSpan w:val="7"/>
          </w:tcPr>
          <w:p w:rsidR="004B1C97" w:rsidRPr="00E44873" w:rsidRDefault="004B1C97" w:rsidP="00220CAE">
            <w:pPr>
              <w:pStyle w:val="Tabletext"/>
              <w:keepNext/>
              <w:keepLines/>
              <w:rPr>
                <w:b/>
                <w:sz w:val="18"/>
                <w:szCs w:val="18"/>
              </w:rPr>
            </w:pPr>
            <w:r w:rsidRPr="00E44873">
              <w:rPr>
                <w:b/>
                <w:sz w:val="18"/>
                <w:szCs w:val="18"/>
              </w:rPr>
              <w:t>DTG+RPV vs ART</w:t>
            </w:r>
          </w:p>
        </w:tc>
      </w:tr>
      <w:tr w:rsidR="004B1C97" w:rsidRPr="00E44873" w:rsidTr="004B1C97">
        <w:trPr>
          <w:tblHeader/>
        </w:trPr>
        <w:tc>
          <w:tcPr>
            <w:tcW w:w="1019" w:type="pct"/>
            <w:vAlign w:val="center"/>
          </w:tcPr>
          <w:p w:rsidR="004B1C97" w:rsidRPr="00E44873" w:rsidRDefault="004B1C97" w:rsidP="00220CAE">
            <w:pPr>
              <w:pStyle w:val="Tabletext"/>
              <w:keepNext/>
              <w:keepLines/>
              <w:rPr>
                <w:sz w:val="18"/>
                <w:szCs w:val="18"/>
              </w:rPr>
            </w:pPr>
            <w:r w:rsidRPr="00E44873">
              <w:rPr>
                <w:sz w:val="18"/>
                <w:szCs w:val="18"/>
              </w:rPr>
              <w:t>SWORD 1&amp;2</w:t>
            </w:r>
          </w:p>
        </w:tc>
        <w:tc>
          <w:tcPr>
            <w:tcW w:w="550" w:type="pct"/>
            <w:vAlign w:val="center"/>
          </w:tcPr>
          <w:p w:rsidR="004B1C97" w:rsidRPr="00E44873" w:rsidRDefault="004B1C97" w:rsidP="00220CAE">
            <w:pPr>
              <w:jc w:val="center"/>
              <w:rPr>
                <w:rFonts w:ascii="Arial Narrow" w:hAnsi="Arial Narrow"/>
                <w:sz w:val="18"/>
                <w:szCs w:val="18"/>
              </w:rPr>
            </w:pPr>
            <w:r w:rsidRPr="00E44873">
              <w:rPr>
                <w:rFonts w:ascii="Arial Narrow" w:hAnsi="Arial Narrow"/>
                <w:sz w:val="18"/>
                <w:szCs w:val="18"/>
              </w:rPr>
              <w:t>27/513 (5.3)</w:t>
            </w:r>
          </w:p>
        </w:tc>
        <w:tc>
          <w:tcPr>
            <w:tcW w:w="551" w:type="pct"/>
            <w:vAlign w:val="center"/>
          </w:tcPr>
          <w:p w:rsidR="004B1C97" w:rsidRPr="00E44873" w:rsidRDefault="004B1C97" w:rsidP="00220CAE">
            <w:pPr>
              <w:jc w:val="center"/>
              <w:rPr>
                <w:rFonts w:ascii="Arial Narrow" w:hAnsi="Arial Narrow"/>
                <w:sz w:val="18"/>
                <w:szCs w:val="18"/>
              </w:rPr>
            </w:pPr>
            <w:r w:rsidRPr="00E44873">
              <w:rPr>
                <w:rFonts w:ascii="Arial Narrow" w:hAnsi="Arial Narrow"/>
                <w:sz w:val="18"/>
                <w:szCs w:val="18"/>
              </w:rPr>
              <w:t>26/511 (5.1)</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0.2 (-2.5, 2.9)</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0.2 (-2.5, 2.9)</w:t>
            </w:r>
          </w:p>
        </w:tc>
      </w:tr>
      <w:tr w:rsidR="004B1C97" w:rsidRPr="00E44873" w:rsidTr="004B1C97">
        <w:tc>
          <w:tcPr>
            <w:tcW w:w="5000" w:type="pct"/>
            <w:gridSpan w:val="7"/>
          </w:tcPr>
          <w:p w:rsidR="004B1C97" w:rsidRPr="00E44873" w:rsidRDefault="004B1C97" w:rsidP="00220CAE">
            <w:pPr>
              <w:pStyle w:val="Tabletext"/>
              <w:keepNext/>
              <w:keepLines/>
              <w:rPr>
                <w:b/>
                <w:sz w:val="18"/>
                <w:szCs w:val="18"/>
              </w:rPr>
            </w:pPr>
            <w:r w:rsidRPr="00E44873">
              <w:rPr>
                <w:b/>
                <w:sz w:val="18"/>
                <w:szCs w:val="18"/>
              </w:rPr>
              <w:t>CAB+RPV Q4W vs ART</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FLAIR</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19/283 (6.7)</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18/283 (6.4)</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-0.4 (-4.6, 3.9)</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-0.4 (-4.6, 3.9)</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14/308 (4.5)</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23/308 (7.5)</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2.9 (-0.9, 6.9)</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2.9 (-0.9, 6.9)</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Pooled FLAIR &amp; ATLAS</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33/591 (5.6)</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41/591 (6.9)</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1.4 (-1.4, 4.1)</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1.4 (-1.8, 4.6)</w:t>
            </w:r>
          </w:p>
        </w:tc>
      </w:tr>
      <w:tr w:rsidR="004B1C97" w:rsidRPr="00E44873" w:rsidTr="004B1C97">
        <w:tc>
          <w:tcPr>
            <w:tcW w:w="3378" w:type="pct"/>
            <w:gridSpan w:val="5"/>
          </w:tcPr>
          <w:p w:rsidR="004B1C97" w:rsidRPr="00E44873" w:rsidRDefault="004B1C97" w:rsidP="00220CAE">
            <w:pPr>
              <w:pStyle w:val="Tabletext"/>
              <w:keepNext/>
              <w:keepLines/>
              <w:ind w:left="1241"/>
              <w:rPr>
                <w:sz w:val="18"/>
                <w:szCs w:val="18"/>
              </w:rPr>
            </w:pPr>
            <w:r w:rsidRPr="00E44873">
              <w:rPr>
                <w:sz w:val="18"/>
                <w:szCs w:val="18"/>
              </w:rPr>
              <w:t>Step 1: Indirect analysis (DTG+RPV vs CAB+RPV Q4W)</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-1.2% (-5.1%, 2.7%)</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-1.2% (-5.4%, 3.0%)</w:t>
            </w:r>
          </w:p>
        </w:tc>
      </w:tr>
      <w:tr w:rsidR="004B1C97" w:rsidRPr="00E44873" w:rsidTr="004B1C97">
        <w:tc>
          <w:tcPr>
            <w:tcW w:w="5000" w:type="pct"/>
            <w:gridSpan w:val="7"/>
          </w:tcPr>
          <w:p w:rsidR="004B1C97" w:rsidRPr="00E44873" w:rsidRDefault="004B1C97" w:rsidP="00220CAE">
            <w:pPr>
              <w:pStyle w:val="Tabletext"/>
              <w:keepNext/>
              <w:keepLines/>
              <w:rPr>
                <w:b/>
                <w:sz w:val="18"/>
                <w:szCs w:val="18"/>
              </w:rPr>
            </w:pPr>
            <w:r w:rsidRPr="00E44873">
              <w:rPr>
                <w:b/>
                <w:sz w:val="18"/>
                <w:szCs w:val="18"/>
              </w:rPr>
              <w:t>CAB+RPV Q8W vs Q4W</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ITT-E</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34/523 (6.5)</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30/522 (5.8)</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-0.8 (-3.7, 2.2)</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-0.8 (-3.7, 2.2)</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w/exposure</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7/196 (3.6)</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9/195 (4.6)</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 (-0.03, 0.1)</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 (-0.03, 0.1))</w:t>
            </w:r>
          </w:p>
        </w:tc>
      </w:tr>
      <w:tr w:rsidR="004B1C97" w:rsidRPr="00E44873" w:rsidTr="004B1C97">
        <w:tc>
          <w:tcPr>
            <w:tcW w:w="1019" w:type="pct"/>
            <w:vAlign w:val="center"/>
          </w:tcPr>
          <w:p w:rsidR="004B1C97" w:rsidRPr="00E44873" w:rsidRDefault="004B1C97" w:rsidP="00220CAE">
            <w:pPr>
              <w:pStyle w:val="Tabletext"/>
              <w:keepNext/>
              <w:keepLines/>
              <w:rPr>
                <w:sz w:val="18"/>
                <w:szCs w:val="18"/>
              </w:rPr>
            </w:pPr>
            <w:r w:rsidRPr="00E44873">
              <w:rPr>
                <w:sz w:val="18"/>
                <w:szCs w:val="18"/>
              </w:rPr>
              <w:t>ATLAS-2M w/o exposure</w:t>
            </w:r>
          </w:p>
        </w:tc>
        <w:tc>
          <w:tcPr>
            <w:tcW w:w="550" w:type="pct"/>
          </w:tcPr>
          <w:p w:rsidR="004B1C97" w:rsidRPr="00E44873" w:rsidRDefault="004B1C97" w:rsidP="00220CAE">
            <w:pPr>
              <w:pStyle w:val="Tabletext"/>
              <w:keepNext/>
              <w:keepLines/>
              <w:jc w:val="center"/>
              <w:rPr>
                <w:sz w:val="18"/>
                <w:szCs w:val="18"/>
              </w:rPr>
            </w:pPr>
            <w:r w:rsidRPr="00E44873">
              <w:rPr>
                <w:sz w:val="18"/>
                <w:szCs w:val="18"/>
              </w:rPr>
              <w:t>-</w:t>
            </w:r>
          </w:p>
        </w:tc>
        <w:tc>
          <w:tcPr>
            <w:tcW w:w="551" w:type="pct"/>
            <w:vAlign w:val="center"/>
          </w:tcPr>
          <w:p w:rsidR="004B1C97" w:rsidRPr="00E44873" w:rsidRDefault="004B1C97" w:rsidP="00220CAE">
            <w:pPr>
              <w:pStyle w:val="Tabletext"/>
              <w:keepNext/>
              <w:keepLines/>
              <w:jc w:val="center"/>
              <w:rPr>
                <w:sz w:val="18"/>
                <w:szCs w:val="18"/>
              </w:rPr>
            </w:pPr>
            <w:r w:rsidRPr="00E44873">
              <w:rPr>
                <w:sz w:val="18"/>
                <w:szCs w:val="18"/>
              </w:rPr>
              <w:t>-</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27/327 (8.3)</w:t>
            </w:r>
          </w:p>
        </w:tc>
        <w:tc>
          <w:tcPr>
            <w:tcW w:w="629" w:type="pct"/>
            <w:vAlign w:val="center"/>
          </w:tcPr>
          <w:p w:rsidR="004B1C97" w:rsidRPr="00E44873" w:rsidRDefault="004B1C97" w:rsidP="00220CAE">
            <w:pPr>
              <w:pStyle w:val="Tabletext"/>
              <w:keepNext/>
              <w:keepLines/>
              <w:jc w:val="center"/>
              <w:rPr>
                <w:sz w:val="18"/>
                <w:szCs w:val="18"/>
              </w:rPr>
            </w:pPr>
            <w:r w:rsidRPr="00E44873">
              <w:rPr>
                <w:sz w:val="18"/>
                <w:szCs w:val="18"/>
              </w:rPr>
              <w:t>21/327 (6.4)</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 (-0.1,0.02)</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 (-0.1,0.02)</w:t>
            </w:r>
          </w:p>
        </w:tc>
      </w:tr>
      <w:tr w:rsidR="004B1C97" w:rsidRPr="00E44873" w:rsidTr="004B1C97">
        <w:tc>
          <w:tcPr>
            <w:tcW w:w="3378" w:type="pct"/>
            <w:gridSpan w:val="5"/>
          </w:tcPr>
          <w:p w:rsidR="004B1C97" w:rsidRPr="00E44873" w:rsidRDefault="004B1C97" w:rsidP="00220CAE">
            <w:pPr>
              <w:pStyle w:val="Tabletext"/>
              <w:keepNext/>
              <w:keepLines/>
              <w:ind w:left="1241"/>
              <w:rPr>
                <w:sz w:val="18"/>
                <w:szCs w:val="18"/>
              </w:rPr>
            </w:pPr>
            <w:r w:rsidRPr="00E44873">
              <w:rPr>
                <w:sz w:val="18"/>
                <w:szCs w:val="18"/>
              </w:rPr>
              <w:t>Step 2: Indirect analysis (CAB+RPV Q8W ITT-E vs DTG+RPV)</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0.4% (-4.5%, 5.3%)</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0.4% (-4.5%, 5.3%)</w:t>
            </w:r>
          </w:p>
        </w:tc>
      </w:tr>
      <w:tr w:rsidR="004B1C97" w:rsidRPr="00E44873" w:rsidTr="004B1C97">
        <w:tc>
          <w:tcPr>
            <w:tcW w:w="3378" w:type="pct"/>
            <w:gridSpan w:val="5"/>
          </w:tcPr>
          <w:p w:rsidR="004B1C97" w:rsidRPr="00E44873" w:rsidRDefault="004B1C97" w:rsidP="00220CAE">
            <w:pPr>
              <w:pStyle w:val="Tabletext"/>
              <w:keepNext/>
              <w:keepLines/>
              <w:ind w:left="1241"/>
              <w:rPr>
                <w:sz w:val="18"/>
                <w:szCs w:val="18"/>
              </w:rPr>
            </w:pPr>
            <w:r w:rsidRPr="00E44873">
              <w:rPr>
                <w:sz w:val="18"/>
                <w:szCs w:val="18"/>
              </w:rPr>
              <w:t>Step 2: Indirect analysis (CAB+RPV Q8W w/exposure vs DTG+RPV)</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1.2% (-2.7%, 5.1%)</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1.2% (-2.7%, 5.1%)</w:t>
            </w:r>
          </w:p>
        </w:tc>
      </w:tr>
      <w:tr w:rsidR="004B1C97" w:rsidRPr="00E44873" w:rsidTr="004B1C97">
        <w:tc>
          <w:tcPr>
            <w:tcW w:w="3378" w:type="pct"/>
            <w:gridSpan w:val="5"/>
          </w:tcPr>
          <w:p w:rsidR="004B1C97" w:rsidRPr="00E44873" w:rsidRDefault="004B1C97" w:rsidP="00220CAE">
            <w:pPr>
              <w:pStyle w:val="Tabletext"/>
              <w:keepNext/>
              <w:keepLines/>
              <w:ind w:left="1241"/>
              <w:rPr>
                <w:sz w:val="18"/>
                <w:szCs w:val="18"/>
              </w:rPr>
            </w:pPr>
            <w:r w:rsidRPr="00E44873">
              <w:rPr>
                <w:sz w:val="18"/>
                <w:szCs w:val="18"/>
              </w:rPr>
              <w:t>Step 2: Indirect analysis (CAB+RPV Q8W w/o exposure vs DTG+RPV)</w:t>
            </w:r>
          </w:p>
        </w:tc>
        <w:tc>
          <w:tcPr>
            <w:tcW w:w="786" w:type="pct"/>
            <w:vAlign w:val="center"/>
          </w:tcPr>
          <w:p w:rsidR="004B1C97" w:rsidRPr="00E44873" w:rsidRDefault="004B1C97" w:rsidP="00220CAE">
            <w:pPr>
              <w:pStyle w:val="Tabletext"/>
              <w:keepNext/>
              <w:keepLines/>
              <w:jc w:val="center"/>
              <w:rPr>
                <w:sz w:val="18"/>
                <w:szCs w:val="18"/>
              </w:rPr>
            </w:pPr>
            <w:r w:rsidRPr="00E44873">
              <w:rPr>
                <w:sz w:val="18"/>
                <w:szCs w:val="18"/>
              </w:rPr>
              <w:t>1.2% (-2.7%, 5.1%)</w:t>
            </w:r>
          </w:p>
        </w:tc>
        <w:tc>
          <w:tcPr>
            <w:tcW w:w="836" w:type="pct"/>
            <w:vAlign w:val="center"/>
          </w:tcPr>
          <w:p w:rsidR="004B1C97" w:rsidRPr="00E44873" w:rsidRDefault="004B1C97" w:rsidP="00220CAE">
            <w:pPr>
              <w:pStyle w:val="Tabletext"/>
              <w:keepNext/>
              <w:keepLines/>
              <w:jc w:val="center"/>
              <w:rPr>
                <w:sz w:val="18"/>
                <w:szCs w:val="18"/>
              </w:rPr>
            </w:pPr>
            <w:r w:rsidRPr="00E44873">
              <w:rPr>
                <w:sz w:val="18"/>
                <w:szCs w:val="18"/>
              </w:rPr>
              <w:t>1.2% (-2.7%, 5.1%)</w:t>
            </w:r>
          </w:p>
        </w:tc>
      </w:tr>
    </w:tbl>
    <w:p w:rsidR="00D462E6" w:rsidRPr="00E44873" w:rsidRDefault="00D462E6" w:rsidP="00D462E6">
      <w:pPr>
        <w:pStyle w:val="TableFooter"/>
        <w:keepNext/>
        <w:keepLines/>
        <w:rPr>
          <w:rFonts w:eastAsia="Calibri"/>
        </w:rPr>
      </w:pPr>
      <w:r w:rsidRPr="00E44873">
        <w:rPr>
          <w:rFonts w:eastAsia="Calibri"/>
        </w:rPr>
        <w:t>RD = risk difference; CI = confidence interval; CAB = cabotegravir, RPV = rilpivirine; DTG = dolutegravir; Q8W = eight weekly dosing of CAB + RPV, Q4W = four weekly dosing of CAB + RPV; w/exposure = previous exposure to CAB + RPV; w/o exposure = without previous exposure to CAB + RPV</w:t>
      </w:r>
      <w:r w:rsidR="00977C61" w:rsidRPr="00E44873">
        <w:rPr>
          <w:rFonts w:eastAsia="Calibri"/>
        </w:rPr>
        <w:t xml:space="preserve">; </w:t>
      </w:r>
      <w:r w:rsidR="00977C61" w:rsidRPr="00E44873">
        <w:rPr>
          <w:rFonts w:eastAsia="Calibri"/>
          <w:szCs w:val="16"/>
        </w:rPr>
        <w:t>ITT-E = intention-to-treat exposed</w:t>
      </w:r>
    </w:p>
    <w:p w:rsidR="00D462E6" w:rsidRPr="00E44873" w:rsidRDefault="00D462E6" w:rsidP="00D462E6">
      <w:pPr>
        <w:pStyle w:val="TableFooter"/>
        <w:keepNext/>
        <w:keepLines/>
        <w:rPr>
          <w:rFonts w:eastAsia="Calibri"/>
        </w:rPr>
      </w:pPr>
      <w:r w:rsidRPr="00E44873">
        <w:rPr>
          <w:rFonts w:eastAsia="Calibri"/>
        </w:rPr>
        <w:t>Source: constructed during evaluation using StatsDirect</w:t>
      </w:r>
    </w:p>
    <w:p w:rsidR="00D462E6" w:rsidRPr="00E44873" w:rsidRDefault="00D462E6" w:rsidP="00D462E6">
      <w:pPr>
        <w:widowControl/>
      </w:pPr>
    </w:p>
    <w:p w:rsidR="00D462E6" w:rsidRPr="00E44873" w:rsidRDefault="00D462E6" w:rsidP="00D1387B">
      <w:pPr>
        <w:pStyle w:val="ListParagraph"/>
        <w:widowControl/>
        <w:numPr>
          <w:ilvl w:val="1"/>
          <w:numId w:val="1"/>
        </w:numPr>
      </w:pPr>
      <w:r w:rsidRPr="00E44873">
        <w:t>Non-inferiority between CAB LA + RPV LA Q4W and DTG + RPV was met in step 1 (RD = -1.2%, 95% CI:-5.1%, 2.7%) assuming a 4% non-inferiority margin. However, non-inferiority could not be concluded between CAB LA + RPV LA Q8W (using ATLAS-2M ITT-E data) and DTG + RPV (RD = 0.4%, 95% CI: -4.5%, 5.3%) in step 2, nor when analysed via CAB LA + RPV LA subgroups of previous exposure/non-exposure to CAB LA + RPV LA (RD = 1.2%, 95% CI: -2.7%, 5.1%).</w:t>
      </w:r>
    </w:p>
    <w:p w:rsidR="00D31976" w:rsidRPr="00E44873" w:rsidRDefault="00D31976" w:rsidP="00D1387B">
      <w:pPr>
        <w:pStyle w:val="ListParagraph"/>
        <w:widowControl/>
        <w:numPr>
          <w:ilvl w:val="1"/>
          <w:numId w:val="1"/>
        </w:numPr>
      </w:pPr>
      <w:r w:rsidRPr="00E44873">
        <w:t>For the outcome of virological success</w:t>
      </w:r>
      <w:r w:rsidR="00D462E6" w:rsidRPr="00E44873">
        <w:t xml:space="preserve"> (</w:t>
      </w:r>
      <w:r w:rsidR="00B90AC3" w:rsidRPr="00B90AC3">
        <w:t>Table 8</w:t>
      </w:r>
      <w:r w:rsidR="00D462E6" w:rsidRPr="00E44873">
        <w:t>)</w:t>
      </w:r>
      <w:r w:rsidRPr="00E44873">
        <w:t>, the results of the indirect comparison between CAB LA + RPV LA and DTG + RPV met the specified margin (RD = 0.7%, 95%</w:t>
      </w:r>
      <w:r w:rsidR="00110064" w:rsidRPr="00E44873">
        <w:t xml:space="preserve"> </w:t>
      </w:r>
      <w:r w:rsidRPr="00E44873">
        <w:t>CI</w:t>
      </w:r>
      <w:r w:rsidR="00110064" w:rsidRPr="00E44873">
        <w:t>:</w:t>
      </w:r>
      <w:r w:rsidRPr="00E44873">
        <w:t xml:space="preserve"> -4.9%, 6.2%). The submission did not explicitly state the non-inferiority margin for virologic</w:t>
      </w:r>
      <w:r w:rsidR="00C92ED1" w:rsidRPr="00E44873">
        <w:t>al</w:t>
      </w:r>
      <w:r w:rsidRPr="00E44873">
        <w:t xml:space="preserve"> success, though its analysis of indirect comparison indicated that a non-inferiority margin at 10% was used. When analysed via patients with prior exposure to the intervention and overall patients in ATLAS-2M, the results of the indirect comparisons also met the specified margin for both groups.</w:t>
      </w:r>
    </w:p>
    <w:p w:rsidR="00D462E6" w:rsidRPr="00E44873" w:rsidRDefault="00D462E6" w:rsidP="00143565">
      <w:pPr>
        <w:pStyle w:val="Tabletext"/>
        <w:keepNext/>
        <w:keepLines/>
        <w:rPr>
          <w:rStyle w:val="CommentReference"/>
          <w:b w:val="0"/>
          <w:bCs/>
        </w:rPr>
      </w:pPr>
      <w:bookmarkStart w:id="15" w:name="_Ref59489062"/>
      <w:r w:rsidRPr="00E44873">
        <w:rPr>
          <w:rStyle w:val="CommentReference"/>
        </w:rPr>
        <w:t>Table</w:t>
      </w:r>
      <w:r w:rsidRPr="00E44873">
        <w:rPr>
          <w:rStyle w:val="CommentReference"/>
          <w:b w:val="0"/>
          <w:bCs/>
        </w:rPr>
        <w:t xml:space="preserve"> </w:t>
      </w:r>
      <w:r w:rsidR="00B90AC3">
        <w:rPr>
          <w:rStyle w:val="CommentReference"/>
          <w:bCs/>
          <w:noProof/>
        </w:rPr>
        <w:t>8</w:t>
      </w:r>
      <w:bookmarkEnd w:id="15"/>
      <w:r w:rsidRPr="00E44873">
        <w:rPr>
          <w:rStyle w:val="CommentReference"/>
          <w:bCs/>
        </w:rPr>
        <w:t>: Results for the proportion of subjects with plasma HIV-1 RNA &lt;50 copies/mL at Week 48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851"/>
        <w:gridCol w:w="1134"/>
        <w:gridCol w:w="1134"/>
        <w:gridCol w:w="1275"/>
        <w:gridCol w:w="1563"/>
        <w:gridCol w:w="1221"/>
      </w:tblGrid>
      <w:tr w:rsidR="00220CAE" w:rsidRPr="00E44873" w:rsidTr="00220CAE">
        <w:trPr>
          <w:tblHeader/>
        </w:trPr>
        <w:tc>
          <w:tcPr>
            <w:tcW w:w="1019" w:type="pct"/>
            <w:vAlign w:val="center"/>
          </w:tcPr>
          <w:p w:rsidR="00220CAE" w:rsidRPr="00E44873" w:rsidRDefault="00220CAE" w:rsidP="00220CAE">
            <w:pPr>
              <w:pStyle w:val="Tabletext"/>
              <w:keepNext/>
              <w:keepLines/>
              <w:jc w:val="center"/>
              <w:rPr>
                <w:b/>
                <w:sz w:val="18"/>
                <w:szCs w:val="18"/>
              </w:rPr>
            </w:pPr>
            <w:r w:rsidRPr="00E44873">
              <w:rPr>
                <w:b/>
                <w:sz w:val="18"/>
                <w:szCs w:val="18"/>
              </w:rPr>
              <w:t>Trial ID</w:t>
            </w:r>
          </w:p>
        </w:tc>
        <w:tc>
          <w:tcPr>
            <w:tcW w:w="472" w:type="pct"/>
            <w:vAlign w:val="center"/>
          </w:tcPr>
          <w:p w:rsidR="00220CAE" w:rsidRPr="00E44873" w:rsidRDefault="00220CAE" w:rsidP="00220CAE">
            <w:pPr>
              <w:pStyle w:val="Tabletext"/>
              <w:keepNext/>
              <w:keepLines/>
              <w:jc w:val="center"/>
              <w:rPr>
                <w:b/>
                <w:sz w:val="18"/>
                <w:szCs w:val="18"/>
              </w:rPr>
            </w:pPr>
            <w:r w:rsidRPr="00E44873">
              <w:rPr>
                <w:b/>
                <w:sz w:val="18"/>
                <w:szCs w:val="18"/>
              </w:rPr>
              <w:t>DTG + RPV</w:t>
            </w:r>
          </w:p>
        </w:tc>
        <w:tc>
          <w:tcPr>
            <w:tcW w:w="629" w:type="pct"/>
            <w:vAlign w:val="center"/>
          </w:tcPr>
          <w:p w:rsidR="00220CAE" w:rsidRPr="00E44873" w:rsidRDefault="00220CAE" w:rsidP="00220CAE">
            <w:pPr>
              <w:pStyle w:val="Tabletext"/>
              <w:keepNext/>
              <w:keepLines/>
              <w:jc w:val="center"/>
              <w:rPr>
                <w:b/>
                <w:sz w:val="18"/>
                <w:szCs w:val="18"/>
              </w:rPr>
            </w:pPr>
            <w:r w:rsidRPr="00E44873">
              <w:rPr>
                <w:b/>
                <w:sz w:val="18"/>
                <w:szCs w:val="18"/>
              </w:rPr>
              <w:t>ART</w:t>
            </w:r>
          </w:p>
        </w:tc>
        <w:tc>
          <w:tcPr>
            <w:tcW w:w="629" w:type="pct"/>
            <w:vAlign w:val="center"/>
          </w:tcPr>
          <w:p w:rsidR="00220CAE" w:rsidRPr="00E44873" w:rsidRDefault="00220CAE" w:rsidP="00220CAE">
            <w:pPr>
              <w:pStyle w:val="Tabletext"/>
              <w:keepNext/>
              <w:keepLines/>
              <w:jc w:val="center"/>
              <w:rPr>
                <w:b/>
                <w:sz w:val="18"/>
                <w:szCs w:val="18"/>
              </w:rPr>
            </w:pPr>
            <w:r w:rsidRPr="00E44873">
              <w:rPr>
                <w:b/>
                <w:sz w:val="18"/>
                <w:szCs w:val="18"/>
              </w:rPr>
              <w:t>CAB LA + RPV LA Q4W</w:t>
            </w:r>
          </w:p>
        </w:tc>
        <w:tc>
          <w:tcPr>
            <w:tcW w:w="707" w:type="pct"/>
            <w:vAlign w:val="center"/>
          </w:tcPr>
          <w:p w:rsidR="00220CAE" w:rsidRPr="00E44873" w:rsidRDefault="00220CAE" w:rsidP="00220CAE">
            <w:pPr>
              <w:pStyle w:val="Tabletext"/>
              <w:keepNext/>
              <w:keepLines/>
              <w:jc w:val="center"/>
              <w:rPr>
                <w:b/>
                <w:sz w:val="18"/>
                <w:szCs w:val="18"/>
              </w:rPr>
            </w:pPr>
            <w:r w:rsidRPr="00E44873">
              <w:rPr>
                <w:b/>
                <w:sz w:val="18"/>
                <w:szCs w:val="18"/>
              </w:rPr>
              <w:t>CAB LA + RPV LA Q8W</w:t>
            </w:r>
          </w:p>
        </w:tc>
        <w:tc>
          <w:tcPr>
            <w:tcW w:w="867" w:type="pct"/>
            <w:vAlign w:val="center"/>
          </w:tcPr>
          <w:p w:rsidR="00220CAE" w:rsidRPr="00E44873" w:rsidRDefault="00220CAE" w:rsidP="00220CAE">
            <w:pPr>
              <w:pStyle w:val="Tabletext"/>
              <w:keepNext/>
              <w:keepLines/>
              <w:jc w:val="center"/>
              <w:rPr>
                <w:b/>
                <w:sz w:val="18"/>
                <w:szCs w:val="18"/>
              </w:rPr>
            </w:pPr>
            <w:r w:rsidRPr="00E44873">
              <w:rPr>
                <w:b/>
                <w:sz w:val="18"/>
                <w:szCs w:val="18"/>
              </w:rPr>
              <w:t>RD (95% CI)</w:t>
            </w:r>
          </w:p>
        </w:tc>
        <w:tc>
          <w:tcPr>
            <w:tcW w:w="677" w:type="pct"/>
            <w:vAlign w:val="center"/>
          </w:tcPr>
          <w:p w:rsidR="00220CAE" w:rsidRPr="00E44873" w:rsidRDefault="00220CAE" w:rsidP="00220CAE">
            <w:pPr>
              <w:pStyle w:val="Tabletext"/>
              <w:keepNext/>
              <w:keepLines/>
              <w:jc w:val="center"/>
              <w:rPr>
                <w:b/>
                <w:sz w:val="18"/>
                <w:szCs w:val="18"/>
              </w:rPr>
            </w:pPr>
            <w:r w:rsidRPr="00E44873">
              <w:rPr>
                <w:b/>
                <w:sz w:val="18"/>
                <w:szCs w:val="18"/>
              </w:rPr>
              <w:t>Adjusted RD</w:t>
            </w:r>
            <w:r w:rsidRPr="00E44873">
              <w:rPr>
                <w:b/>
                <w:sz w:val="18"/>
                <w:szCs w:val="18"/>
                <w:vertAlign w:val="superscript"/>
              </w:rPr>
              <w:t xml:space="preserve">a </w:t>
            </w:r>
            <w:r w:rsidRPr="00E44873">
              <w:rPr>
                <w:b/>
                <w:sz w:val="18"/>
                <w:szCs w:val="18"/>
              </w:rPr>
              <w:t>(95% CI)</w:t>
            </w:r>
          </w:p>
        </w:tc>
      </w:tr>
      <w:tr w:rsidR="00220CAE" w:rsidRPr="00E44873" w:rsidTr="00220CAE">
        <w:trPr>
          <w:tblHeader/>
        </w:trPr>
        <w:tc>
          <w:tcPr>
            <w:tcW w:w="5000" w:type="pct"/>
            <w:gridSpan w:val="7"/>
          </w:tcPr>
          <w:p w:rsidR="00220CAE" w:rsidRPr="00E44873" w:rsidRDefault="00220CAE" w:rsidP="00220CAE">
            <w:pPr>
              <w:pStyle w:val="Tabletext"/>
              <w:keepNext/>
              <w:keepLines/>
              <w:rPr>
                <w:b/>
                <w:sz w:val="18"/>
                <w:szCs w:val="18"/>
              </w:rPr>
            </w:pPr>
            <w:r w:rsidRPr="00E44873">
              <w:rPr>
                <w:b/>
                <w:sz w:val="18"/>
                <w:szCs w:val="18"/>
              </w:rPr>
              <w:t>DTG+RPV vs ART</w:t>
            </w:r>
          </w:p>
        </w:tc>
      </w:tr>
      <w:tr w:rsidR="00220CAE" w:rsidRPr="00E44873" w:rsidTr="00220CAE">
        <w:trPr>
          <w:tblHeader/>
        </w:trPr>
        <w:tc>
          <w:tcPr>
            <w:tcW w:w="1019" w:type="pct"/>
            <w:vAlign w:val="center"/>
          </w:tcPr>
          <w:p w:rsidR="00220CAE" w:rsidRPr="00E44873" w:rsidRDefault="00220CAE" w:rsidP="00220CAE">
            <w:pPr>
              <w:pStyle w:val="Tabletext"/>
              <w:keepNext/>
              <w:keepLines/>
              <w:rPr>
                <w:sz w:val="18"/>
                <w:szCs w:val="18"/>
              </w:rPr>
            </w:pPr>
            <w:r w:rsidRPr="00E44873">
              <w:rPr>
                <w:sz w:val="18"/>
                <w:szCs w:val="18"/>
              </w:rPr>
              <w:t>SWORD 1&amp;2</w:t>
            </w:r>
          </w:p>
        </w:tc>
        <w:tc>
          <w:tcPr>
            <w:tcW w:w="472" w:type="pct"/>
            <w:vAlign w:val="center"/>
          </w:tcPr>
          <w:p w:rsidR="00220CAE" w:rsidRPr="00E44873" w:rsidRDefault="00220CAE" w:rsidP="00220CAE">
            <w:pPr>
              <w:pStyle w:val="Tabletext"/>
              <w:keepNext/>
              <w:keepLines/>
              <w:jc w:val="center"/>
              <w:rPr>
                <w:sz w:val="18"/>
                <w:szCs w:val="18"/>
              </w:rPr>
            </w:pPr>
            <w:r w:rsidRPr="00E44873">
              <w:rPr>
                <w:sz w:val="18"/>
                <w:szCs w:val="18"/>
              </w:rPr>
              <w:t>486/513 (95)</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485/511 (95)</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-0.2 (-2.9 to 2.5)</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-0.2 (-3.0 to 2.5)</w:t>
            </w:r>
          </w:p>
        </w:tc>
      </w:tr>
      <w:tr w:rsidR="00220CAE" w:rsidRPr="00E44873" w:rsidTr="00220CAE">
        <w:tc>
          <w:tcPr>
            <w:tcW w:w="5000" w:type="pct"/>
            <w:gridSpan w:val="7"/>
          </w:tcPr>
          <w:p w:rsidR="00220CAE" w:rsidRPr="00E44873" w:rsidRDefault="00220CAE" w:rsidP="00220CAE">
            <w:pPr>
              <w:pStyle w:val="Tabletext"/>
              <w:keepNext/>
              <w:keepLines/>
              <w:rPr>
                <w:b/>
                <w:sz w:val="18"/>
                <w:szCs w:val="18"/>
              </w:rPr>
            </w:pPr>
            <w:r w:rsidRPr="00E44873">
              <w:rPr>
                <w:b/>
                <w:sz w:val="18"/>
                <w:szCs w:val="18"/>
              </w:rPr>
              <w:t>CAB+RPV Q4W vs ART</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FLAIR</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264/283 (93.3)</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265/283 (93.6)</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0.4 (-3.7 to 4.4)</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0.4 (-3.7 to 4.5)</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ATLAS</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294/308 (95.5)</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285/308 (92.5)</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-2.9 (-6.7 to 0.8)</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-3.0 (-6.7 to 0.7)</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Pooled FLAIR &amp; ATLAS</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558/591 (94.4)</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550/591 (93.1)</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-1.4 (-4.1 to 1.4)</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-1.4 (-4.1 to 1.4)</w:t>
            </w:r>
          </w:p>
        </w:tc>
      </w:tr>
      <w:tr w:rsidR="00220CAE" w:rsidRPr="00E44873" w:rsidTr="00220CAE">
        <w:tc>
          <w:tcPr>
            <w:tcW w:w="3456" w:type="pct"/>
            <w:gridSpan w:val="5"/>
          </w:tcPr>
          <w:p w:rsidR="00220CAE" w:rsidRPr="00E44873" w:rsidRDefault="00220CAE" w:rsidP="00220CAE">
            <w:pPr>
              <w:pStyle w:val="Tabletext"/>
              <w:keepNext/>
              <w:keepLines/>
              <w:ind w:left="1383"/>
              <w:rPr>
                <w:sz w:val="18"/>
                <w:szCs w:val="18"/>
              </w:rPr>
            </w:pPr>
            <w:r w:rsidRPr="00E44873">
              <w:rPr>
                <w:sz w:val="18"/>
                <w:szCs w:val="18"/>
              </w:rPr>
              <w:t>Step 1: Indirect analysis (DTG+RPV vs CAB+RPV Q4W)</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1.2% (-2.7%, 5.0%)</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r w:rsidR="00220CAE" w:rsidRPr="00E44873" w:rsidTr="00220CAE">
        <w:tc>
          <w:tcPr>
            <w:tcW w:w="5000" w:type="pct"/>
            <w:gridSpan w:val="7"/>
          </w:tcPr>
          <w:p w:rsidR="00220CAE" w:rsidRPr="00E44873" w:rsidRDefault="00220CAE" w:rsidP="00220CAE">
            <w:pPr>
              <w:pStyle w:val="Tabletext"/>
              <w:keepNext/>
              <w:keepLines/>
              <w:rPr>
                <w:b/>
                <w:sz w:val="18"/>
                <w:szCs w:val="18"/>
              </w:rPr>
            </w:pPr>
            <w:r w:rsidRPr="00E44873">
              <w:rPr>
                <w:b/>
                <w:sz w:val="18"/>
                <w:szCs w:val="18"/>
              </w:rPr>
              <w:t>CAB+RPV Q8W vs Q4W</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ATLAS-2M ITT-E</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489/523 (93.5)</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492/522 (94.3)</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0.8 (-2.2 to 3.7)</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0.8 (-2.1 to 3.7)</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ATLAS-2M w/exposure</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189/196 (96.4)</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186/195 (95.4)</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-1.0 (-5.5 to 3.3)</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r w:rsidR="00220CAE" w:rsidRPr="00E44873" w:rsidTr="00220CAE">
        <w:tc>
          <w:tcPr>
            <w:tcW w:w="1019" w:type="pct"/>
            <w:vAlign w:val="center"/>
          </w:tcPr>
          <w:p w:rsidR="00220CAE" w:rsidRPr="00E44873" w:rsidRDefault="00220CAE" w:rsidP="00220CAE">
            <w:pPr>
              <w:pStyle w:val="Tabletext"/>
              <w:keepNext/>
              <w:keepLines/>
              <w:rPr>
                <w:sz w:val="18"/>
                <w:szCs w:val="18"/>
              </w:rPr>
            </w:pPr>
            <w:r w:rsidRPr="00E44873">
              <w:rPr>
                <w:sz w:val="18"/>
                <w:szCs w:val="18"/>
              </w:rPr>
              <w:t>ATLAS-2M w/o exposure</w:t>
            </w:r>
          </w:p>
        </w:tc>
        <w:tc>
          <w:tcPr>
            <w:tcW w:w="472" w:type="pct"/>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w:t>
            </w:r>
          </w:p>
        </w:tc>
        <w:tc>
          <w:tcPr>
            <w:tcW w:w="629" w:type="pct"/>
            <w:vAlign w:val="center"/>
          </w:tcPr>
          <w:p w:rsidR="00220CAE" w:rsidRPr="00E44873" w:rsidRDefault="00220CAE" w:rsidP="00220CAE">
            <w:pPr>
              <w:pStyle w:val="Tabletext"/>
              <w:keepNext/>
              <w:keepLines/>
              <w:jc w:val="center"/>
              <w:rPr>
                <w:sz w:val="18"/>
                <w:szCs w:val="18"/>
              </w:rPr>
            </w:pPr>
            <w:r w:rsidRPr="00E44873">
              <w:rPr>
                <w:sz w:val="18"/>
                <w:szCs w:val="18"/>
              </w:rPr>
              <w:t>300/327 (91.7)</w:t>
            </w:r>
          </w:p>
        </w:tc>
        <w:tc>
          <w:tcPr>
            <w:tcW w:w="707" w:type="pct"/>
            <w:vAlign w:val="center"/>
          </w:tcPr>
          <w:p w:rsidR="00220CAE" w:rsidRPr="00E44873" w:rsidRDefault="00220CAE" w:rsidP="00220CAE">
            <w:pPr>
              <w:pStyle w:val="Tabletext"/>
              <w:keepNext/>
              <w:keepLines/>
              <w:jc w:val="center"/>
              <w:rPr>
                <w:sz w:val="18"/>
                <w:szCs w:val="18"/>
              </w:rPr>
            </w:pPr>
            <w:r w:rsidRPr="00E44873">
              <w:rPr>
                <w:sz w:val="18"/>
                <w:szCs w:val="18"/>
              </w:rPr>
              <w:t>306/327 (93.6)</w:t>
            </w:r>
          </w:p>
        </w:tc>
        <w:tc>
          <w:tcPr>
            <w:tcW w:w="867" w:type="pct"/>
            <w:vAlign w:val="center"/>
          </w:tcPr>
          <w:p w:rsidR="00220CAE" w:rsidRPr="00E44873" w:rsidRDefault="00220CAE" w:rsidP="00220CAE">
            <w:pPr>
              <w:pStyle w:val="Tabletext"/>
              <w:keepNext/>
              <w:keepLines/>
              <w:jc w:val="center"/>
              <w:rPr>
                <w:sz w:val="18"/>
                <w:szCs w:val="18"/>
                <w:vertAlign w:val="superscript"/>
              </w:rPr>
            </w:pPr>
            <w:r w:rsidRPr="00E44873">
              <w:rPr>
                <w:sz w:val="18"/>
                <w:szCs w:val="18"/>
              </w:rPr>
              <w:t>1.8 (-2.3 to 6.0)</w:t>
            </w:r>
            <w:r w:rsidRPr="00E44873">
              <w:rPr>
                <w:sz w:val="18"/>
                <w:szCs w:val="18"/>
                <w:vertAlign w:val="superscript"/>
              </w:rPr>
              <w:t>b</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r w:rsidR="00220CAE" w:rsidRPr="00E44873" w:rsidTr="00220CAE">
        <w:tc>
          <w:tcPr>
            <w:tcW w:w="3456" w:type="pct"/>
            <w:gridSpan w:val="5"/>
          </w:tcPr>
          <w:p w:rsidR="00220CAE" w:rsidRPr="00E44873" w:rsidRDefault="00220CAE" w:rsidP="00220CAE">
            <w:pPr>
              <w:pStyle w:val="Tabletext"/>
              <w:keepNext/>
              <w:keepLines/>
              <w:ind w:left="1383"/>
              <w:rPr>
                <w:sz w:val="18"/>
                <w:szCs w:val="18"/>
              </w:rPr>
            </w:pPr>
            <w:r w:rsidRPr="00E44873">
              <w:rPr>
                <w:sz w:val="18"/>
                <w:szCs w:val="18"/>
              </w:rPr>
              <w:t>Step 2: Indirect analysis (CAB+RPV Q8W ITT-E vs DTG+RPV)</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-0.4% (-5.3%, 4.5%)</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r w:rsidR="00220CAE" w:rsidRPr="00E44873" w:rsidTr="00220CAE">
        <w:tc>
          <w:tcPr>
            <w:tcW w:w="3456" w:type="pct"/>
            <w:gridSpan w:val="5"/>
          </w:tcPr>
          <w:p w:rsidR="00220CAE" w:rsidRPr="00E44873" w:rsidRDefault="00220CAE" w:rsidP="00220CAE">
            <w:pPr>
              <w:pStyle w:val="Tabletext"/>
              <w:keepNext/>
              <w:keepLines/>
              <w:ind w:left="1383"/>
              <w:rPr>
                <w:sz w:val="18"/>
                <w:szCs w:val="18"/>
              </w:rPr>
            </w:pPr>
            <w:r w:rsidRPr="00E44873">
              <w:rPr>
                <w:sz w:val="18"/>
                <w:szCs w:val="18"/>
              </w:rPr>
              <w:t>Step 2: Indirect analysis (CAB+RPV Q8W w/exposure vs DTG+RPV)</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-2.3% (-8.1%, 3.7%)</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r w:rsidR="00220CAE" w:rsidRPr="00E44873" w:rsidTr="00220CAE">
        <w:tc>
          <w:tcPr>
            <w:tcW w:w="3456" w:type="pct"/>
            <w:gridSpan w:val="5"/>
          </w:tcPr>
          <w:p w:rsidR="00220CAE" w:rsidRPr="00E44873" w:rsidRDefault="00220CAE" w:rsidP="00220CAE">
            <w:pPr>
              <w:pStyle w:val="Tabletext"/>
              <w:keepNext/>
              <w:keepLines/>
              <w:ind w:left="1383"/>
              <w:rPr>
                <w:sz w:val="18"/>
                <w:szCs w:val="18"/>
              </w:rPr>
            </w:pPr>
            <w:r w:rsidRPr="00E44873">
              <w:rPr>
                <w:sz w:val="18"/>
                <w:szCs w:val="18"/>
              </w:rPr>
              <w:t>Step 2: Indirect analysis (CAB+RPV Q8W w/o exposure vs DTG+RPV)</w:t>
            </w:r>
          </w:p>
        </w:tc>
        <w:tc>
          <w:tcPr>
            <w:tcW w:w="867" w:type="pct"/>
            <w:vAlign w:val="center"/>
          </w:tcPr>
          <w:p w:rsidR="00220CAE" w:rsidRPr="00E44873" w:rsidRDefault="00220CAE" w:rsidP="00220CAE">
            <w:pPr>
              <w:pStyle w:val="Tabletext"/>
              <w:keepNext/>
              <w:keepLines/>
              <w:jc w:val="center"/>
              <w:rPr>
                <w:sz w:val="18"/>
                <w:szCs w:val="18"/>
              </w:rPr>
            </w:pPr>
            <w:r w:rsidRPr="00E44873">
              <w:rPr>
                <w:sz w:val="18"/>
                <w:szCs w:val="18"/>
              </w:rPr>
              <w:t>0.6% (-5.1%, 6.3%)</w:t>
            </w:r>
            <w:r w:rsidRPr="00E44873">
              <w:rPr>
                <w:sz w:val="18"/>
                <w:szCs w:val="18"/>
                <w:vertAlign w:val="superscript"/>
              </w:rPr>
              <w:t>b</w:t>
            </w:r>
          </w:p>
        </w:tc>
        <w:tc>
          <w:tcPr>
            <w:tcW w:w="677" w:type="pct"/>
            <w:vAlign w:val="center"/>
          </w:tcPr>
          <w:p w:rsidR="00220CAE" w:rsidRPr="00E44873" w:rsidRDefault="00220CAE" w:rsidP="00220CAE">
            <w:pPr>
              <w:pStyle w:val="Tabletext"/>
              <w:keepNext/>
              <w:keepLines/>
              <w:jc w:val="center"/>
              <w:rPr>
                <w:sz w:val="18"/>
                <w:szCs w:val="18"/>
              </w:rPr>
            </w:pPr>
            <w:r w:rsidRPr="00E44873">
              <w:rPr>
                <w:sz w:val="18"/>
                <w:szCs w:val="18"/>
              </w:rPr>
              <w:t>na</w:t>
            </w:r>
          </w:p>
        </w:tc>
      </w:tr>
    </w:tbl>
    <w:p w:rsidR="00D462E6" w:rsidRPr="00E44873" w:rsidRDefault="00D462E6" w:rsidP="00D462E6">
      <w:pPr>
        <w:keepNext/>
        <w:rPr>
          <w:rFonts w:ascii="Arial Narrow" w:hAnsi="Arial Narrow"/>
          <w:sz w:val="18"/>
          <w:szCs w:val="16"/>
        </w:rPr>
      </w:pPr>
      <w:r w:rsidRPr="00E44873">
        <w:rPr>
          <w:rFonts w:ascii="Arial Narrow" w:hAnsi="Arial Narrow"/>
          <w:sz w:val="18"/>
          <w:szCs w:val="16"/>
        </w:rPr>
        <w:t>Source: Table 36, 38&amp;58, p86, 88&amp;114 of the submission.</w:t>
      </w:r>
    </w:p>
    <w:p w:rsidR="00D462E6" w:rsidRPr="00E44873" w:rsidRDefault="00D462E6" w:rsidP="00D462E6">
      <w:pPr>
        <w:keepNext/>
        <w:rPr>
          <w:rFonts w:ascii="Arial Narrow" w:eastAsia="Calibri" w:hAnsi="Arial Narrow"/>
          <w:sz w:val="18"/>
          <w:szCs w:val="16"/>
        </w:rPr>
      </w:pPr>
      <w:r w:rsidRPr="00E44873">
        <w:rPr>
          <w:rFonts w:ascii="Arial Narrow" w:eastAsia="Calibri" w:hAnsi="Arial Narrow"/>
          <w:sz w:val="18"/>
          <w:szCs w:val="16"/>
        </w:rPr>
        <w:t>RD = risk difference; CI = confidence interval; CAB = cabotegravir, RPV = rilpivirine; DTG = dolutegravir; Q8W = eight weekly dosing of CAB + RPV, Q4W = four weekly dosing of CAB + RPV; w/exposure = previous exposure to CAB + RPV; w/o exposure = without previous exposure to CAB + RPV</w:t>
      </w:r>
      <w:r w:rsidR="00977C61" w:rsidRPr="00E44873">
        <w:rPr>
          <w:rFonts w:ascii="Arial Narrow" w:eastAsia="Calibri" w:hAnsi="Arial Narrow"/>
          <w:sz w:val="18"/>
          <w:szCs w:val="16"/>
        </w:rPr>
        <w:t>, ITT-E = intention-to-treat exposed</w:t>
      </w:r>
    </w:p>
    <w:p w:rsidR="00D462E6" w:rsidRPr="00E44873" w:rsidRDefault="00D462E6" w:rsidP="00D462E6">
      <w:pPr>
        <w:keepNext/>
        <w:rPr>
          <w:rFonts w:ascii="Arial Narrow" w:eastAsia="Calibri" w:hAnsi="Arial Narrow"/>
          <w:sz w:val="18"/>
          <w:szCs w:val="16"/>
        </w:rPr>
      </w:pPr>
      <w:r w:rsidRPr="00E44873">
        <w:rPr>
          <w:rFonts w:ascii="Arial Narrow" w:eastAsia="Calibri" w:hAnsi="Arial Narrow"/>
          <w:sz w:val="18"/>
          <w:szCs w:val="16"/>
        </w:rPr>
        <w:t>RD = risk difference; CI = confidence interval</w:t>
      </w:r>
    </w:p>
    <w:p w:rsidR="00D462E6" w:rsidRPr="00E44873" w:rsidRDefault="00D462E6" w:rsidP="00D462E6">
      <w:pPr>
        <w:keepNext/>
        <w:tabs>
          <w:tab w:val="left" w:pos="284"/>
        </w:tabs>
        <w:ind w:left="284" w:hanging="284"/>
        <w:rPr>
          <w:rFonts w:ascii="Arial Narrow" w:eastAsia="Calibri" w:hAnsi="Arial Narrow"/>
          <w:sz w:val="18"/>
          <w:szCs w:val="16"/>
        </w:rPr>
      </w:pPr>
      <w:r w:rsidRPr="00E44873">
        <w:rPr>
          <w:rFonts w:ascii="Arial Narrow" w:eastAsia="Calibri" w:hAnsi="Arial Narrow"/>
          <w:sz w:val="18"/>
          <w:szCs w:val="16"/>
          <w:vertAlign w:val="superscript"/>
        </w:rPr>
        <w:t>a</w:t>
      </w:r>
      <w:r w:rsidRPr="00E44873">
        <w:rPr>
          <w:rFonts w:ascii="Arial Narrow" w:eastAsia="Calibri" w:hAnsi="Arial Narrow"/>
          <w:sz w:val="18"/>
          <w:szCs w:val="16"/>
          <w:vertAlign w:val="superscript"/>
        </w:rPr>
        <w:tab/>
      </w:r>
      <w:r w:rsidRPr="0071093F">
        <w:rPr>
          <w:rFonts w:ascii="Arial Narrow" w:eastAsia="Calibri" w:hAnsi="Arial Narrow"/>
          <w:sz w:val="18"/>
          <w:szCs w:val="16"/>
        </w:rPr>
        <w:t>Based on Cochran-Mantel Haenszel stratified analyses adjusting to baseline viral load and sex at birth f</w:t>
      </w:r>
      <w:r w:rsidR="0071093F" w:rsidRPr="0071093F">
        <w:rPr>
          <w:rFonts w:ascii="Arial Narrow" w:eastAsia="Calibri" w:hAnsi="Arial Narrow"/>
          <w:sz w:val="18"/>
          <w:szCs w:val="16"/>
        </w:rPr>
        <w:t xml:space="preserve">or FLAIR; adjusting to 3rd ART </w:t>
      </w:r>
      <w:r w:rsidRPr="0071093F">
        <w:rPr>
          <w:rFonts w:ascii="Arial Narrow" w:eastAsia="Calibri" w:hAnsi="Arial Narrow"/>
          <w:sz w:val="18"/>
          <w:szCs w:val="16"/>
        </w:rPr>
        <w:t>class and sex at birth for ATLAS; and adjusting to 10 strata for pooled analysis. Based on Cochran-Mantel Haenszel stratified analysis adjusting for the following baseline stratification factor: prior exposure to CAB + RPV (0 weeks, 1-24 weeks, &gt;24 weeks) for ATLAS-2M. Based on Cochran-Mantel Haenszel stratified analysis adjusting for the following baseline stratification factors: age group (&lt; or &gt;=50 years old) and baseline third agent (PI, NNRTI, INI) for SWORD trials.</w:t>
      </w:r>
    </w:p>
    <w:p w:rsidR="00D462E6" w:rsidRPr="00E44873" w:rsidRDefault="00D462E6" w:rsidP="00D462E6">
      <w:pPr>
        <w:keepNext/>
        <w:tabs>
          <w:tab w:val="left" w:pos="284"/>
        </w:tabs>
        <w:ind w:left="284" w:hanging="284"/>
        <w:rPr>
          <w:rFonts w:ascii="Arial Narrow" w:eastAsia="Calibri" w:hAnsi="Arial Narrow"/>
          <w:sz w:val="18"/>
          <w:szCs w:val="16"/>
        </w:rPr>
      </w:pPr>
      <w:r w:rsidRPr="00E44873">
        <w:rPr>
          <w:rFonts w:ascii="Arial Narrow" w:eastAsia="Calibri" w:hAnsi="Arial Narrow"/>
          <w:sz w:val="18"/>
          <w:szCs w:val="16"/>
          <w:vertAlign w:val="superscript"/>
        </w:rPr>
        <w:t>b</w:t>
      </w:r>
      <w:r w:rsidRPr="00E44873">
        <w:rPr>
          <w:rFonts w:ascii="Arial Narrow" w:eastAsia="Calibri" w:hAnsi="Arial Narrow"/>
          <w:sz w:val="18"/>
          <w:szCs w:val="16"/>
        </w:rPr>
        <w:tab/>
        <w:t>Value presented in the submission, based on RD of 1.9 (-2.1, 5.8) could not be verified. When updated to RD of 1.8 (-2.3, 6.0) (from ATLAS-2M CSR, p 101), the resultant RD for the indirect comparison was 0.6% (-5.1%, 6.3%), which remains within the non-inferiority threshold.</w:t>
      </w:r>
    </w:p>
    <w:p w:rsidR="009C6A04" w:rsidRPr="00E44873" w:rsidRDefault="009C6A04" w:rsidP="00D462E6">
      <w:pPr>
        <w:pStyle w:val="ListParagraph"/>
        <w:widowControl/>
        <w:spacing w:after="0"/>
      </w:pPr>
    </w:p>
    <w:p w:rsidR="009C6A04" w:rsidRPr="00E44873" w:rsidRDefault="009C6A04" w:rsidP="00D1387B">
      <w:pPr>
        <w:pStyle w:val="ListParagraph"/>
        <w:widowControl/>
        <w:numPr>
          <w:ilvl w:val="1"/>
          <w:numId w:val="1"/>
        </w:numPr>
        <w:spacing w:after="0"/>
      </w:pPr>
      <w:r w:rsidRPr="00E44873">
        <w:t xml:space="preserve">Overall, </w:t>
      </w:r>
      <w:r w:rsidR="005B2FC7" w:rsidRPr="00E44873">
        <w:t xml:space="preserve">while the indirect comparison appeared to support the claim that </w:t>
      </w:r>
      <w:r w:rsidRPr="00E44873">
        <w:t xml:space="preserve">CAB LA + RPV LA </w:t>
      </w:r>
      <w:r w:rsidR="00220CAE" w:rsidRPr="00E44873">
        <w:t xml:space="preserve">Q8W </w:t>
      </w:r>
      <w:r w:rsidR="005B2FC7" w:rsidRPr="00E44873">
        <w:t xml:space="preserve">was non-inferior to </w:t>
      </w:r>
      <w:r w:rsidRPr="00E44873">
        <w:t xml:space="preserve">the DTG/RPV FDC </w:t>
      </w:r>
      <w:r w:rsidR="005B2FC7" w:rsidRPr="00E44873">
        <w:t>with regards to virological failure, there were some potential concerns</w:t>
      </w:r>
      <w:r w:rsidRPr="00E44873">
        <w:t xml:space="preserve"> as:</w:t>
      </w:r>
    </w:p>
    <w:p w:rsidR="00220CAE" w:rsidRPr="00E44873" w:rsidRDefault="00220CAE" w:rsidP="00D462E6">
      <w:pPr>
        <w:pStyle w:val="Bulletpoints"/>
        <w:ind w:left="993" w:hanging="284"/>
      </w:pPr>
      <w:r w:rsidRPr="00E44873">
        <w:t>Using the Missing, Switch, Discontinue = Failure algorithm, non-inferiority for the outcome of patients who experienced virological failure could not be concluded for CAB LA + RPV LA Q8W versus DTG + RPV; and</w:t>
      </w:r>
    </w:p>
    <w:p w:rsidR="005B2FC7" w:rsidRPr="00E44873" w:rsidRDefault="009C6A04" w:rsidP="00737C75">
      <w:pPr>
        <w:pStyle w:val="Bulletpoints"/>
        <w:spacing w:after="120"/>
        <w:ind w:left="993" w:hanging="284"/>
      </w:pPr>
      <w:r w:rsidRPr="00E44873">
        <w:t xml:space="preserve">While the nominated non-inferiority margins have been previously accepted by </w:t>
      </w:r>
      <w:r w:rsidR="005B2FC7" w:rsidRPr="00E44873">
        <w:t xml:space="preserve">the </w:t>
      </w:r>
      <w:r w:rsidRPr="00E44873">
        <w:t>PBAC, the two</w:t>
      </w:r>
      <w:r w:rsidR="00110064" w:rsidRPr="00E44873">
        <w:t>-</w:t>
      </w:r>
      <w:r w:rsidRPr="00E44873">
        <w:t xml:space="preserve">step indirect comparison </w:t>
      </w:r>
      <w:r w:rsidR="00220CAE" w:rsidRPr="00E44873">
        <w:t xml:space="preserve">used </w:t>
      </w:r>
      <w:r w:rsidRPr="00E44873">
        <w:t>to generate the results</w:t>
      </w:r>
      <w:r w:rsidR="00220CAE" w:rsidRPr="00E44873">
        <w:t xml:space="preserve"> may have introduced </w:t>
      </w:r>
      <w:r w:rsidR="00737C75" w:rsidRPr="00E44873">
        <w:t xml:space="preserve">additional material uncertainty not captured by the confidence interval, which only captures random variation and not uncertainty due to transitivity. For a two-step indirect comparison there is more uncertainty due to transitivity than in a standard indirect comparison, such that the confidence interval is too narrow (as a measure of uncertainty) and extremely difficult to interpret in the context of a pre-specified non-inferiority margin. </w:t>
      </w:r>
      <w:r w:rsidR="00220CAE" w:rsidRPr="00E44873">
        <w:t>It was noted that the for the proportion of patients who experienced virological failure, the risk difference for CAB LA + RPV LA Q8W compared to DTG + RPV was +1.6%, 95%CI (-0.7%, 3.9%)</w:t>
      </w:r>
      <w:r w:rsidRPr="00E44873">
        <w:t>,</w:t>
      </w:r>
      <w:r w:rsidR="00220CAE" w:rsidRPr="00E44873">
        <w:t xml:space="preserve"> and the upper 95% confidence interval was just below the 4%</w:t>
      </w:r>
      <w:r w:rsidR="00737C75" w:rsidRPr="00E44873">
        <w:t xml:space="preserve"> non-inferiority margin</w:t>
      </w:r>
      <w:r w:rsidR="00220CAE" w:rsidRPr="00E44873">
        <w:t>.</w:t>
      </w:r>
      <w:r w:rsidRPr="00E44873">
        <w:t xml:space="preserve"> </w:t>
      </w:r>
    </w:p>
    <w:p w:rsidR="009C6A04" w:rsidRPr="00E44873" w:rsidRDefault="005B2FC7" w:rsidP="00D1387B">
      <w:pPr>
        <w:pStyle w:val="ListParagraph"/>
        <w:widowControl/>
        <w:numPr>
          <w:ilvl w:val="1"/>
          <w:numId w:val="1"/>
        </w:numPr>
        <w:spacing w:after="120"/>
      </w:pPr>
      <w:r w:rsidRPr="00E44873">
        <w:t xml:space="preserve">There may also be differences in the virological failure rate between the Q8W maintenance frequency used in ATLAS-2M and the proposed ‘two monthly’ maintenance frequency, as the time between doses in a ‘two monthly’ frequency would be longer. </w:t>
      </w:r>
      <w:r w:rsidR="003422C4" w:rsidRPr="00E44873">
        <w:t xml:space="preserve">The PSCR argued the results of the POLAR study, a 12-month open label rollover study from the LATTE study used 2-monthly dosing (with a maximum dose interval of 67 days) maintained high levels of virologic suppression and found no events of confirmed virologic failure. The </w:t>
      </w:r>
      <w:r w:rsidR="00767681" w:rsidRPr="00E44873">
        <w:t>ESC noted the TGA had not raised any issues regarding any issues relating to 8-weekly or 2-monthly doses.</w:t>
      </w:r>
    </w:p>
    <w:p w:rsidR="000D3CDE" w:rsidRPr="00E44873" w:rsidRDefault="000D3CDE" w:rsidP="005B2FC7">
      <w:pPr>
        <w:pStyle w:val="Heading3"/>
        <w:rPr>
          <w:b/>
        </w:rPr>
      </w:pPr>
      <w:r w:rsidRPr="00E44873">
        <w:rPr>
          <w:b/>
        </w:rPr>
        <w:t xml:space="preserve">Secondary outcomes – patient reported outcomes </w:t>
      </w:r>
    </w:p>
    <w:p w:rsidR="009C6A04" w:rsidRPr="00E44873" w:rsidRDefault="00D31976" w:rsidP="00D1387B">
      <w:pPr>
        <w:pStyle w:val="ListParagraph"/>
        <w:widowControl/>
        <w:numPr>
          <w:ilvl w:val="1"/>
          <w:numId w:val="1"/>
        </w:numPr>
        <w:spacing w:before="240"/>
      </w:pPr>
      <w:r w:rsidRPr="00E44873">
        <w:rPr>
          <w:rFonts w:cs="Calibri"/>
          <w:snapToGrid/>
          <w:szCs w:val="24"/>
          <w:lang w:val="en-US" w:eastAsia="en-AU"/>
        </w:rPr>
        <w:t xml:space="preserve">Patient reported outcomes (PROs) were a key focus of the CAB LA + RPV LA trials given they were designed to evaluate the first LA injectable treatment for HIV. </w:t>
      </w:r>
    </w:p>
    <w:p w:rsidR="009C6A04" w:rsidRPr="00E44873" w:rsidRDefault="009C6A04" w:rsidP="00D1387B">
      <w:pPr>
        <w:pStyle w:val="ListParagraph"/>
        <w:widowControl/>
        <w:numPr>
          <w:ilvl w:val="1"/>
          <w:numId w:val="1"/>
        </w:numPr>
      </w:pPr>
      <w:r w:rsidRPr="00E44873">
        <w:t>The SF-12 health survey, a shorter alternative to the SF-36 and includ</w:t>
      </w:r>
      <w:r w:rsidR="00110064" w:rsidRPr="00E44873">
        <w:t>ing</w:t>
      </w:r>
      <w:r w:rsidRPr="00E44873">
        <w:t xml:space="preserve"> only one or two items from each of the eight health concepts of the SF-36, was used to measure quality of life in FLAIR and ATLAS. No statistically significant differences between treatment arms were reported at any time point for either physical or mental components. </w:t>
      </w:r>
    </w:p>
    <w:p w:rsidR="00CD441E" w:rsidRPr="00E44873" w:rsidRDefault="009C6A04" w:rsidP="00D1387B">
      <w:pPr>
        <w:pStyle w:val="ListParagraph"/>
        <w:widowControl/>
        <w:numPr>
          <w:ilvl w:val="1"/>
          <w:numId w:val="1"/>
        </w:numPr>
      </w:pPr>
      <w:r w:rsidRPr="00E44873">
        <w:rPr>
          <w:rFonts w:cs="Calibri"/>
          <w:snapToGrid/>
          <w:szCs w:val="24"/>
          <w:lang w:val="en-US" w:eastAsia="en-AU"/>
        </w:rPr>
        <w:t>T</w:t>
      </w:r>
      <w:r w:rsidR="00D31976" w:rsidRPr="00E44873">
        <w:rPr>
          <w:rFonts w:cs="Calibri"/>
          <w:snapToGrid/>
          <w:szCs w:val="24"/>
          <w:lang w:val="en-US" w:eastAsia="en-AU"/>
        </w:rPr>
        <w:t>he HIVTSQ was identified by the submission as an important measure, designed to assess satisfaction with patients’ current antiretroviral therapy.</w:t>
      </w:r>
      <w:r w:rsidR="003D01BC" w:rsidRPr="00E44873">
        <w:rPr>
          <w:rFonts w:cs="Calibri"/>
          <w:snapToGrid/>
          <w:szCs w:val="24"/>
          <w:lang w:val="en-US" w:eastAsia="en-AU"/>
        </w:rPr>
        <w:t xml:space="preserve"> </w:t>
      </w:r>
    </w:p>
    <w:p w:rsidR="00CD441E" w:rsidRPr="00E44873" w:rsidRDefault="00CD441E" w:rsidP="00D1387B">
      <w:pPr>
        <w:pStyle w:val="ListParagraph"/>
        <w:widowControl/>
        <w:numPr>
          <w:ilvl w:val="1"/>
          <w:numId w:val="1"/>
        </w:numPr>
      </w:pPr>
      <w:r w:rsidRPr="00E44873">
        <w:t>The submission used a distribution-based approach to determine the minimal clinically important difference (MCID) for HIVTSQ. This used the standard deviation and the within treatment group mean change in score such that the MCID threshold correspond</w:t>
      </w:r>
      <w:r w:rsidR="00D462E6" w:rsidRPr="00E44873">
        <w:t>ed</w:t>
      </w:r>
      <w:r w:rsidRPr="00E44873">
        <w:t xml:space="preserve"> to half the SD of the within-group mean. Therefore, if the change in mean from baseline </w:t>
      </w:r>
      <w:r w:rsidR="00D462E6" w:rsidRPr="00E44873">
        <w:t>wa</w:t>
      </w:r>
      <w:r w:rsidRPr="00E44873">
        <w:t xml:space="preserve">s greater than half the SD of the mean, the criteria for demonstrating a MCID </w:t>
      </w:r>
      <w:r w:rsidR="00D462E6" w:rsidRPr="00E44873">
        <w:t>wa</w:t>
      </w:r>
      <w:r w:rsidRPr="00E44873">
        <w:t>s met. The submission stated that the MCID threshold was derived through the methodology proposed by Rai et al., 2015, in their methods to estimate an MCID for PROs in systemic lupus erythematous clinical trials. It was unclear whether the arbitrary designation of ‘half the standard deviation of the within group mean’, based on a study from an unrelated clinical area (systemic lupus erythematosus) was an acceptable MCID as it d</w:t>
      </w:r>
      <w:r w:rsidR="00D462E6" w:rsidRPr="00E44873">
        <w:t>id</w:t>
      </w:r>
      <w:r w:rsidRPr="00E44873">
        <w:t xml:space="preserve"> not account for the relative magnitude of change from baseline. The estimated MCID for HIVTSQ, expressed as a percentage change from baseline, represented an improvement of only 5-7%.</w:t>
      </w:r>
    </w:p>
    <w:p w:rsidR="00D31976" w:rsidRPr="00E44873" w:rsidRDefault="00D31976" w:rsidP="00D1387B">
      <w:pPr>
        <w:pStyle w:val="ListParagraph"/>
        <w:widowControl/>
        <w:numPr>
          <w:ilvl w:val="1"/>
          <w:numId w:val="1"/>
        </w:numPr>
      </w:pPr>
      <w:r w:rsidRPr="00E44873">
        <w:t xml:space="preserve">Analyses of HIVSTQ results were performed across all trials during the evaluation using the submission’s method of calculation and nominated MCID and are presented in </w:t>
      </w:r>
      <w:r w:rsidR="00B90AC3" w:rsidRPr="00B90AC3">
        <w:t>Table 9</w:t>
      </w:r>
      <w:r w:rsidRPr="00E44873">
        <w:t>.</w:t>
      </w:r>
      <w:r w:rsidR="00CD441E" w:rsidRPr="00E44873">
        <w:t xml:space="preserve"> It should be noted that while SWORD 1&amp;2 measured HIVTSQ, the version used was different to those used in FLAIR, ATLAS and ATLAS-2M, which included additional items and were scored differently therefore</w:t>
      </w:r>
      <w:r w:rsidR="00D462E6" w:rsidRPr="00E44873">
        <w:t>,</w:t>
      </w:r>
      <w:r w:rsidR="00CD441E" w:rsidRPr="00E44873">
        <w:t xml:space="preserve"> a comparison across SWORD 1 and 2 with FLAIR, ATLAS and ATLAS-2M was likely not meaningful.</w:t>
      </w:r>
    </w:p>
    <w:p w:rsidR="00D31976" w:rsidRPr="00E44873" w:rsidRDefault="00CD441E" w:rsidP="00CD441E">
      <w:pPr>
        <w:pStyle w:val="Tabletext"/>
        <w:keepNext/>
        <w:keepLines/>
        <w:rPr>
          <w:rStyle w:val="CommentReference"/>
        </w:rPr>
      </w:pPr>
      <w:bookmarkStart w:id="16" w:name="_Ref59490589"/>
      <w:r w:rsidRPr="00E44873">
        <w:rPr>
          <w:rStyle w:val="CommentReference"/>
        </w:rPr>
        <w:t xml:space="preserve">Table </w:t>
      </w:r>
      <w:r w:rsidR="00B90AC3">
        <w:rPr>
          <w:rStyle w:val="CommentReference"/>
          <w:noProof/>
        </w:rPr>
        <w:t>9</w:t>
      </w:r>
      <w:bookmarkEnd w:id="16"/>
      <w:r w:rsidR="00D31976" w:rsidRPr="00E44873">
        <w:rPr>
          <w:rStyle w:val="CommentReference"/>
        </w:rPr>
        <w:t xml:space="preserve">: Results for the HIVSTQ, change from baseline in total treatment satisfaction by visit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0"/>
        <w:gridCol w:w="949"/>
        <w:gridCol w:w="954"/>
        <w:gridCol w:w="950"/>
        <w:gridCol w:w="949"/>
        <w:gridCol w:w="949"/>
        <w:gridCol w:w="950"/>
        <w:gridCol w:w="949"/>
        <w:gridCol w:w="947"/>
      </w:tblGrid>
      <w:tr w:rsidR="00D31976" w:rsidRPr="00E44873" w:rsidTr="009B3D3F">
        <w:trPr>
          <w:tblHeader/>
        </w:trPr>
        <w:tc>
          <w:tcPr>
            <w:tcW w:w="788" w:type="pct"/>
            <w:vMerge w:val="restart"/>
            <w:vAlign w:val="center"/>
          </w:tcPr>
          <w:p w:rsidR="00D31976" w:rsidRPr="00E44873" w:rsidRDefault="00D31976" w:rsidP="00AD4B02">
            <w:pPr>
              <w:pStyle w:val="Tabletext"/>
              <w:keepNext/>
              <w:keepLines/>
              <w:rPr>
                <w:b/>
              </w:rPr>
            </w:pPr>
            <w:r w:rsidRPr="00E44873">
              <w:rPr>
                <w:b/>
              </w:rPr>
              <w:t>Outcome</w:t>
            </w:r>
          </w:p>
        </w:tc>
        <w:tc>
          <w:tcPr>
            <w:tcW w:w="1055" w:type="pct"/>
            <w:gridSpan w:val="2"/>
            <w:vAlign w:val="center"/>
          </w:tcPr>
          <w:p w:rsidR="00D31976" w:rsidRPr="00E44873" w:rsidRDefault="00D31976" w:rsidP="00AD4B02">
            <w:pPr>
              <w:pStyle w:val="Tabletext"/>
              <w:keepNext/>
              <w:keepLines/>
              <w:jc w:val="center"/>
              <w:rPr>
                <w:b/>
              </w:rPr>
            </w:pPr>
            <w:r w:rsidRPr="00E44873">
              <w:rPr>
                <w:b/>
              </w:rPr>
              <w:t>FLAIR</w:t>
            </w:r>
          </w:p>
        </w:tc>
        <w:tc>
          <w:tcPr>
            <w:tcW w:w="1053" w:type="pct"/>
            <w:gridSpan w:val="2"/>
            <w:vAlign w:val="center"/>
          </w:tcPr>
          <w:p w:rsidR="00D31976" w:rsidRPr="00E44873" w:rsidRDefault="00D31976" w:rsidP="00AD4B02">
            <w:pPr>
              <w:pStyle w:val="Tabletext"/>
              <w:keepNext/>
              <w:keepLines/>
              <w:jc w:val="center"/>
              <w:rPr>
                <w:b/>
              </w:rPr>
            </w:pPr>
            <w:r w:rsidRPr="00E44873">
              <w:rPr>
                <w:b/>
              </w:rPr>
              <w:t>ATLAS</w:t>
            </w:r>
          </w:p>
        </w:tc>
        <w:tc>
          <w:tcPr>
            <w:tcW w:w="1053" w:type="pct"/>
            <w:gridSpan w:val="2"/>
            <w:vAlign w:val="center"/>
          </w:tcPr>
          <w:p w:rsidR="00D31976" w:rsidRPr="00E44873" w:rsidRDefault="00D31976" w:rsidP="00AD4B02">
            <w:pPr>
              <w:pStyle w:val="Tabletext"/>
              <w:keepNext/>
              <w:keepLines/>
              <w:jc w:val="center"/>
              <w:rPr>
                <w:b/>
              </w:rPr>
            </w:pPr>
            <w:r w:rsidRPr="00E44873">
              <w:rPr>
                <w:b/>
              </w:rPr>
              <w:t>ATLAS-2M</w:t>
            </w:r>
            <w:r w:rsidRPr="00E44873">
              <w:rPr>
                <w:b/>
                <w:vertAlign w:val="superscript"/>
              </w:rPr>
              <w:t>a</w:t>
            </w:r>
          </w:p>
        </w:tc>
        <w:tc>
          <w:tcPr>
            <w:tcW w:w="1051" w:type="pct"/>
            <w:gridSpan w:val="2"/>
            <w:vAlign w:val="center"/>
          </w:tcPr>
          <w:p w:rsidR="00D31976" w:rsidRPr="00E44873" w:rsidRDefault="00D31976" w:rsidP="00AD4B02">
            <w:pPr>
              <w:pStyle w:val="Tabletext"/>
              <w:keepNext/>
              <w:keepLines/>
              <w:jc w:val="center"/>
              <w:rPr>
                <w:b/>
              </w:rPr>
            </w:pPr>
            <w:r w:rsidRPr="00E44873">
              <w:rPr>
                <w:b/>
              </w:rPr>
              <w:t>SWORD 1&amp;2</w:t>
            </w:r>
            <w:r w:rsidRPr="00E44873">
              <w:rPr>
                <w:b/>
                <w:vertAlign w:val="superscript"/>
              </w:rPr>
              <w:t>b</w:t>
            </w:r>
          </w:p>
        </w:tc>
      </w:tr>
      <w:tr w:rsidR="00D31976" w:rsidRPr="00E44873" w:rsidTr="009B3D3F">
        <w:tc>
          <w:tcPr>
            <w:tcW w:w="788" w:type="pct"/>
            <w:vMerge/>
            <w:vAlign w:val="center"/>
          </w:tcPr>
          <w:p w:rsidR="00D31976" w:rsidRPr="00E44873" w:rsidRDefault="00D31976" w:rsidP="00AD4B02">
            <w:pPr>
              <w:pStyle w:val="Tabletext"/>
              <w:keepNext/>
              <w:keepLines/>
            </w:pPr>
          </w:p>
        </w:tc>
        <w:tc>
          <w:tcPr>
            <w:tcW w:w="526" w:type="pct"/>
            <w:vAlign w:val="center"/>
          </w:tcPr>
          <w:p w:rsidR="00D31976" w:rsidRPr="00E44873" w:rsidRDefault="00D31976" w:rsidP="00D462E6">
            <w:pPr>
              <w:pStyle w:val="Tabletext"/>
              <w:keepNext/>
              <w:keepLines/>
              <w:jc w:val="center"/>
              <w:rPr>
                <w:b/>
                <w:bCs/>
              </w:rPr>
            </w:pPr>
            <w:r w:rsidRPr="00E44873">
              <w:rPr>
                <w:b/>
                <w:bCs/>
              </w:rPr>
              <w:t>CAB+RPV (283)</w:t>
            </w:r>
          </w:p>
        </w:tc>
        <w:tc>
          <w:tcPr>
            <w:tcW w:w="529" w:type="pct"/>
            <w:vAlign w:val="center"/>
          </w:tcPr>
          <w:p w:rsidR="00D31976" w:rsidRPr="00E44873" w:rsidRDefault="00D31976" w:rsidP="00D462E6">
            <w:pPr>
              <w:pStyle w:val="Tabletext"/>
              <w:keepNext/>
              <w:keepLines/>
              <w:jc w:val="center"/>
              <w:rPr>
                <w:b/>
                <w:bCs/>
              </w:rPr>
            </w:pPr>
            <w:r w:rsidRPr="00E44873">
              <w:rPr>
                <w:b/>
                <w:bCs/>
              </w:rPr>
              <w:t>ART (283)</w:t>
            </w:r>
          </w:p>
        </w:tc>
        <w:tc>
          <w:tcPr>
            <w:tcW w:w="527" w:type="pct"/>
            <w:vAlign w:val="center"/>
          </w:tcPr>
          <w:p w:rsidR="00D31976" w:rsidRPr="00E44873" w:rsidRDefault="00D31976" w:rsidP="00D462E6">
            <w:pPr>
              <w:pStyle w:val="Tabletext"/>
              <w:keepNext/>
              <w:keepLines/>
              <w:jc w:val="center"/>
              <w:rPr>
                <w:b/>
                <w:bCs/>
              </w:rPr>
            </w:pPr>
            <w:r w:rsidRPr="00E44873">
              <w:rPr>
                <w:b/>
                <w:bCs/>
              </w:rPr>
              <w:t>CAB+RPV (308)</w:t>
            </w:r>
          </w:p>
        </w:tc>
        <w:tc>
          <w:tcPr>
            <w:tcW w:w="526" w:type="pct"/>
            <w:vAlign w:val="center"/>
          </w:tcPr>
          <w:p w:rsidR="00D31976" w:rsidRPr="00E44873" w:rsidRDefault="00D31976" w:rsidP="00D462E6">
            <w:pPr>
              <w:pStyle w:val="Tabletext"/>
              <w:keepNext/>
              <w:keepLines/>
              <w:jc w:val="center"/>
              <w:rPr>
                <w:b/>
                <w:bCs/>
              </w:rPr>
            </w:pPr>
            <w:r w:rsidRPr="00E44873">
              <w:rPr>
                <w:b/>
                <w:bCs/>
              </w:rPr>
              <w:t>ART (308)</w:t>
            </w:r>
          </w:p>
        </w:tc>
        <w:tc>
          <w:tcPr>
            <w:tcW w:w="526" w:type="pct"/>
            <w:vAlign w:val="center"/>
          </w:tcPr>
          <w:p w:rsidR="00D31976" w:rsidRPr="00E44873" w:rsidRDefault="00D31976" w:rsidP="00D462E6">
            <w:pPr>
              <w:pStyle w:val="Tabletext"/>
              <w:keepNext/>
              <w:keepLines/>
              <w:jc w:val="center"/>
              <w:rPr>
                <w:b/>
                <w:bCs/>
              </w:rPr>
            </w:pPr>
            <w:r w:rsidRPr="00E44873">
              <w:rPr>
                <w:b/>
                <w:bCs/>
              </w:rPr>
              <w:t>Q8W (522)</w:t>
            </w:r>
          </w:p>
        </w:tc>
        <w:tc>
          <w:tcPr>
            <w:tcW w:w="527" w:type="pct"/>
            <w:vAlign w:val="center"/>
          </w:tcPr>
          <w:p w:rsidR="00D31976" w:rsidRPr="00E44873" w:rsidRDefault="00D31976" w:rsidP="00D462E6">
            <w:pPr>
              <w:pStyle w:val="Tabletext"/>
              <w:keepNext/>
              <w:keepLines/>
              <w:jc w:val="center"/>
              <w:rPr>
                <w:b/>
                <w:bCs/>
              </w:rPr>
            </w:pPr>
            <w:r w:rsidRPr="00E44873">
              <w:rPr>
                <w:b/>
                <w:bCs/>
              </w:rPr>
              <w:t>Q4W (523)</w:t>
            </w:r>
          </w:p>
        </w:tc>
        <w:tc>
          <w:tcPr>
            <w:tcW w:w="526" w:type="pct"/>
            <w:vAlign w:val="center"/>
          </w:tcPr>
          <w:p w:rsidR="00D31976" w:rsidRPr="00E44873" w:rsidRDefault="00D31976" w:rsidP="00D462E6">
            <w:pPr>
              <w:pStyle w:val="Tabletext"/>
              <w:keepNext/>
              <w:keepLines/>
              <w:jc w:val="center"/>
              <w:rPr>
                <w:b/>
                <w:bCs/>
              </w:rPr>
            </w:pPr>
            <w:r w:rsidRPr="00E44873">
              <w:rPr>
                <w:b/>
                <w:bCs/>
              </w:rPr>
              <w:t>DTG+RPV (513)</w:t>
            </w:r>
          </w:p>
        </w:tc>
        <w:tc>
          <w:tcPr>
            <w:tcW w:w="525" w:type="pct"/>
            <w:vAlign w:val="center"/>
          </w:tcPr>
          <w:p w:rsidR="00D31976" w:rsidRPr="00E44873" w:rsidRDefault="00D31976" w:rsidP="00D462E6">
            <w:pPr>
              <w:pStyle w:val="Tabletext"/>
              <w:keepNext/>
              <w:keepLines/>
              <w:jc w:val="center"/>
              <w:rPr>
                <w:b/>
                <w:bCs/>
              </w:rPr>
            </w:pPr>
            <w:r w:rsidRPr="00E44873">
              <w:rPr>
                <w:b/>
                <w:bCs/>
              </w:rPr>
              <w:t>ART (511)</w:t>
            </w:r>
          </w:p>
        </w:tc>
      </w:tr>
      <w:tr w:rsidR="00D31976" w:rsidRPr="00E44873" w:rsidTr="009B3D3F">
        <w:tc>
          <w:tcPr>
            <w:tcW w:w="5000" w:type="pct"/>
            <w:gridSpan w:val="9"/>
            <w:vAlign w:val="center"/>
          </w:tcPr>
          <w:p w:rsidR="00D31976" w:rsidRPr="00E44873" w:rsidRDefault="00D31976" w:rsidP="00AD4B02">
            <w:pPr>
              <w:pStyle w:val="Tabletext"/>
              <w:keepNext/>
              <w:keepLines/>
              <w:rPr>
                <w:b/>
              </w:rPr>
            </w:pPr>
            <w:r w:rsidRPr="00E44873">
              <w:rPr>
                <w:b/>
              </w:rPr>
              <w:t xml:space="preserve">Baseline </w:t>
            </w:r>
          </w:p>
        </w:tc>
      </w:tr>
      <w:tr w:rsidR="00D31976" w:rsidRPr="00E44873" w:rsidTr="009B3D3F">
        <w:tc>
          <w:tcPr>
            <w:tcW w:w="788" w:type="pct"/>
            <w:vAlign w:val="center"/>
          </w:tcPr>
          <w:p w:rsidR="00D31976" w:rsidRPr="00E44873" w:rsidRDefault="00D31976" w:rsidP="00AD4B02">
            <w:pPr>
              <w:pStyle w:val="Tabletext"/>
              <w:keepNext/>
              <w:keepLines/>
            </w:pPr>
            <w:r w:rsidRPr="00E44873">
              <w:t>• n</w:t>
            </w:r>
          </w:p>
        </w:tc>
        <w:tc>
          <w:tcPr>
            <w:tcW w:w="526" w:type="pct"/>
            <w:vAlign w:val="center"/>
          </w:tcPr>
          <w:p w:rsidR="00D31976" w:rsidRPr="00E44873" w:rsidRDefault="00D31976" w:rsidP="00AD4B02">
            <w:pPr>
              <w:pStyle w:val="Tabletext"/>
              <w:keepNext/>
              <w:keepLines/>
              <w:jc w:val="center"/>
            </w:pPr>
            <w:r w:rsidRPr="00E44873">
              <w:t>259</w:t>
            </w:r>
          </w:p>
        </w:tc>
        <w:tc>
          <w:tcPr>
            <w:tcW w:w="529" w:type="pct"/>
            <w:vAlign w:val="center"/>
          </w:tcPr>
          <w:p w:rsidR="00D31976" w:rsidRPr="00E44873" w:rsidRDefault="00D31976" w:rsidP="00AD4B02">
            <w:pPr>
              <w:pStyle w:val="Tabletext"/>
              <w:keepNext/>
              <w:keepLines/>
              <w:jc w:val="center"/>
            </w:pPr>
            <w:r w:rsidRPr="00E44873">
              <w:t>266</w:t>
            </w:r>
          </w:p>
        </w:tc>
        <w:tc>
          <w:tcPr>
            <w:tcW w:w="527" w:type="pct"/>
            <w:vAlign w:val="center"/>
          </w:tcPr>
          <w:p w:rsidR="00D31976" w:rsidRPr="00E44873" w:rsidRDefault="00D31976" w:rsidP="00AD4B02">
            <w:pPr>
              <w:pStyle w:val="Tabletext"/>
              <w:keepNext/>
              <w:keepLines/>
              <w:jc w:val="center"/>
            </w:pPr>
            <w:r w:rsidRPr="00E44873">
              <w:t>302</w:t>
            </w:r>
          </w:p>
        </w:tc>
        <w:tc>
          <w:tcPr>
            <w:tcW w:w="526" w:type="pct"/>
            <w:vAlign w:val="center"/>
          </w:tcPr>
          <w:p w:rsidR="00D31976" w:rsidRPr="00E44873" w:rsidRDefault="00D31976" w:rsidP="00AD4B02">
            <w:pPr>
              <w:pStyle w:val="Tabletext"/>
              <w:keepNext/>
              <w:keepLines/>
              <w:jc w:val="center"/>
            </w:pPr>
            <w:r w:rsidRPr="00E44873">
              <w:t>298</w:t>
            </w:r>
          </w:p>
        </w:tc>
        <w:tc>
          <w:tcPr>
            <w:tcW w:w="526" w:type="pct"/>
            <w:vAlign w:val="center"/>
          </w:tcPr>
          <w:p w:rsidR="00D31976" w:rsidRPr="00E44873" w:rsidRDefault="00D31976" w:rsidP="00AD4B02">
            <w:pPr>
              <w:pStyle w:val="Tabletext"/>
              <w:keepNext/>
              <w:keepLines/>
              <w:jc w:val="center"/>
            </w:pPr>
            <w:r w:rsidRPr="00E44873">
              <w:t>319</w:t>
            </w:r>
          </w:p>
        </w:tc>
        <w:tc>
          <w:tcPr>
            <w:tcW w:w="527" w:type="pct"/>
            <w:vAlign w:val="center"/>
          </w:tcPr>
          <w:p w:rsidR="00D31976" w:rsidRPr="00E44873" w:rsidRDefault="00D31976" w:rsidP="00AD4B02">
            <w:pPr>
              <w:pStyle w:val="Tabletext"/>
              <w:keepNext/>
              <w:keepLines/>
              <w:jc w:val="center"/>
            </w:pPr>
            <w:r w:rsidRPr="00E44873">
              <w:t>323</w:t>
            </w:r>
          </w:p>
        </w:tc>
        <w:tc>
          <w:tcPr>
            <w:tcW w:w="526" w:type="pct"/>
            <w:vAlign w:val="center"/>
          </w:tcPr>
          <w:p w:rsidR="00D31976" w:rsidRPr="00E44873" w:rsidRDefault="00D31976" w:rsidP="00AD4B02">
            <w:pPr>
              <w:pStyle w:val="Tabletext"/>
              <w:keepNext/>
              <w:keepLines/>
              <w:jc w:val="center"/>
            </w:pPr>
            <w:r w:rsidRPr="00E44873">
              <w:t>513</w:t>
            </w:r>
          </w:p>
        </w:tc>
        <w:tc>
          <w:tcPr>
            <w:tcW w:w="525" w:type="pct"/>
            <w:vAlign w:val="center"/>
          </w:tcPr>
          <w:p w:rsidR="00D31976" w:rsidRPr="00E44873" w:rsidRDefault="00D31976" w:rsidP="00AD4B02">
            <w:pPr>
              <w:pStyle w:val="Tabletext"/>
              <w:keepNext/>
              <w:keepLines/>
              <w:jc w:val="center"/>
            </w:pPr>
            <w:r w:rsidRPr="00E44873">
              <w:t>507</w:t>
            </w:r>
          </w:p>
        </w:tc>
      </w:tr>
      <w:tr w:rsidR="00D31976" w:rsidRPr="00E44873" w:rsidTr="009B3D3F">
        <w:tc>
          <w:tcPr>
            <w:tcW w:w="788" w:type="pct"/>
            <w:vAlign w:val="center"/>
          </w:tcPr>
          <w:p w:rsidR="00D31976" w:rsidRPr="00E44873" w:rsidRDefault="00D31976" w:rsidP="00AD4B02">
            <w:pPr>
              <w:pStyle w:val="Tabletext"/>
              <w:keepNext/>
              <w:keepLines/>
            </w:pPr>
            <w:r w:rsidRPr="00E44873">
              <w:t>• Mean total (%)</w:t>
            </w:r>
          </w:p>
        </w:tc>
        <w:tc>
          <w:tcPr>
            <w:tcW w:w="526" w:type="pct"/>
            <w:vAlign w:val="center"/>
          </w:tcPr>
          <w:p w:rsidR="00D31976" w:rsidRPr="00E44873" w:rsidRDefault="00D31976" w:rsidP="00AD4B02">
            <w:pPr>
              <w:pStyle w:val="Tabletext"/>
              <w:keepNext/>
              <w:keepLines/>
              <w:jc w:val="center"/>
            </w:pPr>
            <w:r w:rsidRPr="00E44873">
              <w:t>59.3 (90)</w:t>
            </w:r>
          </w:p>
        </w:tc>
        <w:tc>
          <w:tcPr>
            <w:tcW w:w="529" w:type="pct"/>
            <w:vAlign w:val="center"/>
          </w:tcPr>
          <w:p w:rsidR="00D31976" w:rsidRPr="00E44873" w:rsidRDefault="00D31976" w:rsidP="00AD4B02">
            <w:pPr>
              <w:pStyle w:val="Tabletext"/>
              <w:keepNext/>
              <w:keepLines/>
              <w:jc w:val="center"/>
            </w:pPr>
            <w:r w:rsidRPr="00E44873">
              <w:t>59.1 (90)</w:t>
            </w:r>
          </w:p>
        </w:tc>
        <w:tc>
          <w:tcPr>
            <w:tcW w:w="527" w:type="pct"/>
            <w:vAlign w:val="center"/>
          </w:tcPr>
          <w:p w:rsidR="00D31976" w:rsidRPr="00E44873" w:rsidRDefault="00D31976" w:rsidP="00AD4B02">
            <w:pPr>
              <w:pStyle w:val="Tabletext"/>
              <w:keepNext/>
              <w:keepLines/>
              <w:jc w:val="center"/>
            </w:pPr>
            <w:r w:rsidRPr="00E44873">
              <w:t>55.3 (84)</w:t>
            </w:r>
          </w:p>
        </w:tc>
        <w:tc>
          <w:tcPr>
            <w:tcW w:w="526" w:type="pct"/>
            <w:vAlign w:val="center"/>
          </w:tcPr>
          <w:p w:rsidR="00D31976" w:rsidRPr="00E44873" w:rsidRDefault="00D31976" w:rsidP="00AD4B02">
            <w:pPr>
              <w:pStyle w:val="Tabletext"/>
              <w:keepNext/>
              <w:keepLines/>
              <w:jc w:val="center"/>
            </w:pPr>
            <w:r w:rsidRPr="00E44873">
              <w:t>55.4 (84)</w:t>
            </w:r>
          </w:p>
        </w:tc>
        <w:tc>
          <w:tcPr>
            <w:tcW w:w="526" w:type="pct"/>
            <w:vAlign w:val="center"/>
          </w:tcPr>
          <w:p w:rsidR="00D31976" w:rsidRPr="00E44873" w:rsidRDefault="00D31976" w:rsidP="00AD4B02">
            <w:pPr>
              <w:pStyle w:val="Tabletext"/>
              <w:keepNext/>
              <w:keepLines/>
              <w:jc w:val="center"/>
            </w:pPr>
            <w:r w:rsidRPr="00E44873">
              <w:t>57.7 (87)</w:t>
            </w:r>
          </w:p>
        </w:tc>
        <w:tc>
          <w:tcPr>
            <w:tcW w:w="527" w:type="pct"/>
            <w:vAlign w:val="center"/>
          </w:tcPr>
          <w:p w:rsidR="00D31976" w:rsidRPr="00E44873" w:rsidRDefault="00D31976" w:rsidP="00AD4B02">
            <w:pPr>
              <w:pStyle w:val="Tabletext"/>
              <w:keepNext/>
              <w:keepLines/>
              <w:jc w:val="center"/>
            </w:pPr>
            <w:r w:rsidRPr="00E44873">
              <w:t>56.7 (86)</w:t>
            </w:r>
          </w:p>
        </w:tc>
        <w:tc>
          <w:tcPr>
            <w:tcW w:w="526" w:type="pct"/>
            <w:vAlign w:val="center"/>
          </w:tcPr>
          <w:p w:rsidR="00D31976" w:rsidRPr="00E44873" w:rsidRDefault="00D31976" w:rsidP="00AD4B02">
            <w:pPr>
              <w:pStyle w:val="Tabletext"/>
              <w:keepNext/>
              <w:keepLines/>
              <w:jc w:val="center"/>
            </w:pPr>
            <w:r w:rsidRPr="00E44873">
              <w:t>54.4 (91)</w:t>
            </w:r>
          </w:p>
        </w:tc>
        <w:tc>
          <w:tcPr>
            <w:tcW w:w="525" w:type="pct"/>
            <w:vAlign w:val="center"/>
          </w:tcPr>
          <w:p w:rsidR="00D31976" w:rsidRPr="00E44873" w:rsidRDefault="00D31976" w:rsidP="00AD4B02">
            <w:pPr>
              <w:pStyle w:val="Tabletext"/>
              <w:keepNext/>
              <w:keepLines/>
              <w:jc w:val="center"/>
            </w:pPr>
            <w:r w:rsidRPr="00E44873">
              <w:t>53.9 (90)</w:t>
            </w:r>
          </w:p>
        </w:tc>
      </w:tr>
      <w:tr w:rsidR="00D31976" w:rsidRPr="00E44873" w:rsidTr="009B3D3F">
        <w:tc>
          <w:tcPr>
            <w:tcW w:w="5000" w:type="pct"/>
            <w:gridSpan w:val="9"/>
            <w:vAlign w:val="center"/>
          </w:tcPr>
          <w:p w:rsidR="00D31976" w:rsidRPr="00E44873" w:rsidRDefault="00D31976" w:rsidP="00AD4B02">
            <w:pPr>
              <w:pStyle w:val="Tabletext"/>
              <w:keepNext/>
              <w:keepLines/>
              <w:rPr>
                <w:b/>
              </w:rPr>
            </w:pPr>
            <w:r w:rsidRPr="00E44873">
              <w:rPr>
                <w:b/>
              </w:rPr>
              <w:t>Week 24</w:t>
            </w:r>
          </w:p>
        </w:tc>
      </w:tr>
      <w:tr w:rsidR="00D31976" w:rsidRPr="00E44873" w:rsidTr="009B3D3F">
        <w:tc>
          <w:tcPr>
            <w:tcW w:w="788" w:type="pct"/>
            <w:vAlign w:val="center"/>
          </w:tcPr>
          <w:p w:rsidR="00D31976" w:rsidRPr="00E44873" w:rsidRDefault="00D31976" w:rsidP="00AD4B02">
            <w:pPr>
              <w:pStyle w:val="Tabletext"/>
              <w:keepNext/>
              <w:keepLines/>
            </w:pPr>
            <w:r w:rsidRPr="00E44873">
              <w:t>• n</w:t>
            </w:r>
          </w:p>
        </w:tc>
        <w:tc>
          <w:tcPr>
            <w:tcW w:w="526" w:type="pct"/>
            <w:vAlign w:val="center"/>
          </w:tcPr>
          <w:p w:rsidR="00D31976" w:rsidRPr="00E44873" w:rsidRDefault="00D31976" w:rsidP="00AD4B02">
            <w:pPr>
              <w:pStyle w:val="Tabletext"/>
              <w:keepNext/>
              <w:keepLines/>
              <w:jc w:val="center"/>
            </w:pPr>
            <w:r w:rsidRPr="00E44873">
              <w:t>257</w:t>
            </w:r>
          </w:p>
        </w:tc>
        <w:tc>
          <w:tcPr>
            <w:tcW w:w="529" w:type="pct"/>
            <w:vAlign w:val="center"/>
          </w:tcPr>
          <w:p w:rsidR="00D31976" w:rsidRPr="00E44873" w:rsidRDefault="00D31976" w:rsidP="00AD4B02">
            <w:pPr>
              <w:pStyle w:val="Tabletext"/>
              <w:keepNext/>
              <w:keepLines/>
              <w:jc w:val="center"/>
            </w:pPr>
            <w:r w:rsidRPr="00E44873">
              <w:t>257</w:t>
            </w:r>
          </w:p>
        </w:tc>
        <w:tc>
          <w:tcPr>
            <w:tcW w:w="527" w:type="pct"/>
            <w:vAlign w:val="center"/>
          </w:tcPr>
          <w:p w:rsidR="00D31976" w:rsidRPr="00E44873" w:rsidRDefault="00D31976" w:rsidP="00AD4B02">
            <w:pPr>
              <w:pStyle w:val="Tabletext"/>
              <w:keepNext/>
              <w:keepLines/>
              <w:jc w:val="center"/>
            </w:pPr>
            <w:r w:rsidRPr="00E44873">
              <w:t>300</w:t>
            </w:r>
          </w:p>
        </w:tc>
        <w:tc>
          <w:tcPr>
            <w:tcW w:w="526" w:type="pct"/>
            <w:vAlign w:val="center"/>
          </w:tcPr>
          <w:p w:rsidR="00D31976" w:rsidRPr="00E44873" w:rsidRDefault="00D31976" w:rsidP="00AD4B02">
            <w:pPr>
              <w:pStyle w:val="Tabletext"/>
              <w:keepNext/>
              <w:keepLines/>
              <w:jc w:val="center"/>
            </w:pPr>
            <w:r w:rsidRPr="00E44873">
              <w:t>288</w:t>
            </w:r>
          </w:p>
        </w:tc>
        <w:tc>
          <w:tcPr>
            <w:tcW w:w="526" w:type="pct"/>
            <w:vAlign w:val="center"/>
          </w:tcPr>
          <w:p w:rsidR="00D31976" w:rsidRPr="00E44873" w:rsidRDefault="00D31976" w:rsidP="00AD4B02">
            <w:pPr>
              <w:pStyle w:val="Tabletext"/>
              <w:keepNext/>
              <w:keepLines/>
              <w:jc w:val="center"/>
            </w:pPr>
            <w:r w:rsidRPr="00E44873">
              <w:t>319</w:t>
            </w:r>
          </w:p>
        </w:tc>
        <w:tc>
          <w:tcPr>
            <w:tcW w:w="527" w:type="pct"/>
            <w:vAlign w:val="center"/>
          </w:tcPr>
          <w:p w:rsidR="00D31976" w:rsidRPr="00E44873" w:rsidRDefault="00D31976" w:rsidP="00AD4B02">
            <w:pPr>
              <w:pStyle w:val="Tabletext"/>
              <w:keepNext/>
              <w:keepLines/>
              <w:jc w:val="center"/>
            </w:pPr>
            <w:r w:rsidRPr="00E44873">
              <w:t>323</w:t>
            </w:r>
          </w:p>
        </w:tc>
        <w:tc>
          <w:tcPr>
            <w:tcW w:w="526" w:type="pct"/>
            <w:vAlign w:val="center"/>
          </w:tcPr>
          <w:p w:rsidR="00D31976" w:rsidRPr="00E44873" w:rsidRDefault="00D31976" w:rsidP="00AD4B02">
            <w:pPr>
              <w:pStyle w:val="Tabletext"/>
              <w:keepNext/>
              <w:keepLines/>
              <w:jc w:val="center"/>
            </w:pPr>
            <w:r w:rsidRPr="00E44873">
              <w:t>509</w:t>
            </w:r>
          </w:p>
        </w:tc>
        <w:tc>
          <w:tcPr>
            <w:tcW w:w="525" w:type="pct"/>
            <w:vAlign w:val="center"/>
          </w:tcPr>
          <w:p w:rsidR="00D31976" w:rsidRPr="00E44873" w:rsidRDefault="00D31976" w:rsidP="00AD4B02">
            <w:pPr>
              <w:pStyle w:val="Tabletext"/>
              <w:keepNext/>
              <w:keepLines/>
              <w:jc w:val="center"/>
            </w:pPr>
            <w:r w:rsidRPr="00E44873">
              <w:t>506</w:t>
            </w:r>
          </w:p>
        </w:tc>
      </w:tr>
      <w:tr w:rsidR="00D31976" w:rsidRPr="00E44873" w:rsidTr="009B3D3F">
        <w:tc>
          <w:tcPr>
            <w:tcW w:w="788" w:type="pct"/>
            <w:vAlign w:val="center"/>
          </w:tcPr>
          <w:p w:rsidR="00D31976" w:rsidRPr="00E44873" w:rsidRDefault="00D31976" w:rsidP="00AD4B02">
            <w:pPr>
              <w:pStyle w:val="Tabletext"/>
              <w:keepNext/>
              <w:keepLines/>
            </w:pPr>
            <w:r w:rsidRPr="00E44873">
              <w:t>• Mean change</w:t>
            </w:r>
            <w:r w:rsidRPr="00E44873">
              <w:rPr>
                <w:vertAlign w:val="superscript"/>
              </w:rPr>
              <w:t>c</w:t>
            </w:r>
          </w:p>
        </w:tc>
        <w:tc>
          <w:tcPr>
            <w:tcW w:w="526" w:type="pct"/>
            <w:vAlign w:val="center"/>
          </w:tcPr>
          <w:p w:rsidR="00D31976" w:rsidRPr="00E44873" w:rsidRDefault="00D31976" w:rsidP="00AD4B02">
            <w:pPr>
              <w:pStyle w:val="Tabletext"/>
              <w:keepNext/>
              <w:keepLines/>
              <w:jc w:val="center"/>
            </w:pPr>
            <w:r w:rsidRPr="00E44873">
              <w:t>1.6</w:t>
            </w:r>
          </w:p>
        </w:tc>
        <w:tc>
          <w:tcPr>
            <w:tcW w:w="529" w:type="pct"/>
            <w:vAlign w:val="center"/>
          </w:tcPr>
          <w:p w:rsidR="00D31976" w:rsidRPr="00E44873" w:rsidRDefault="00D31976" w:rsidP="00AD4B02">
            <w:pPr>
              <w:pStyle w:val="Tabletext"/>
              <w:keepNext/>
              <w:keepLines/>
              <w:jc w:val="center"/>
            </w:pPr>
            <w:r w:rsidRPr="00E44873">
              <w:t>-0.5</w:t>
            </w:r>
          </w:p>
        </w:tc>
        <w:tc>
          <w:tcPr>
            <w:tcW w:w="527" w:type="pct"/>
            <w:vAlign w:val="center"/>
          </w:tcPr>
          <w:p w:rsidR="00D31976" w:rsidRPr="00E44873" w:rsidRDefault="00D31976" w:rsidP="00AD4B02">
            <w:pPr>
              <w:pStyle w:val="Tabletext"/>
              <w:keepNext/>
              <w:keepLines/>
              <w:jc w:val="center"/>
            </w:pPr>
            <w:r w:rsidRPr="00E44873">
              <w:t>6.4</w:t>
            </w:r>
          </w:p>
        </w:tc>
        <w:tc>
          <w:tcPr>
            <w:tcW w:w="526" w:type="pct"/>
            <w:vAlign w:val="center"/>
          </w:tcPr>
          <w:p w:rsidR="00D31976" w:rsidRPr="00E44873" w:rsidRDefault="00D31976" w:rsidP="00AD4B02">
            <w:pPr>
              <w:pStyle w:val="Tabletext"/>
              <w:keepNext/>
              <w:keepLines/>
              <w:jc w:val="center"/>
            </w:pPr>
            <w:r w:rsidRPr="00E44873">
              <w:t>1.1</w:t>
            </w:r>
          </w:p>
        </w:tc>
        <w:tc>
          <w:tcPr>
            <w:tcW w:w="526" w:type="pct"/>
            <w:vAlign w:val="center"/>
          </w:tcPr>
          <w:p w:rsidR="00D31976" w:rsidRPr="00E44873" w:rsidRDefault="00D31976" w:rsidP="00AD4B02">
            <w:pPr>
              <w:pStyle w:val="Tabletext"/>
              <w:keepNext/>
              <w:keepLines/>
              <w:jc w:val="center"/>
            </w:pPr>
            <w:r w:rsidRPr="00E44873">
              <w:t>5.1</w:t>
            </w:r>
          </w:p>
        </w:tc>
        <w:tc>
          <w:tcPr>
            <w:tcW w:w="527" w:type="pct"/>
            <w:vAlign w:val="center"/>
          </w:tcPr>
          <w:p w:rsidR="00D31976" w:rsidRPr="00E44873" w:rsidRDefault="00D31976" w:rsidP="00AD4B02">
            <w:pPr>
              <w:pStyle w:val="Tabletext"/>
              <w:keepNext/>
              <w:keepLines/>
              <w:jc w:val="center"/>
            </w:pPr>
            <w:r w:rsidRPr="00E44873">
              <w:t>4.0</w:t>
            </w:r>
          </w:p>
        </w:tc>
        <w:tc>
          <w:tcPr>
            <w:tcW w:w="526" w:type="pct"/>
            <w:vAlign w:val="center"/>
          </w:tcPr>
          <w:p w:rsidR="00D31976" w:rsidRPr="00E44873" w:rsidRDefault="00D31976" w:rsidP="00AD4B02">
            <w:pPr>
              <w:pStyle w:val="Tabletext"/>
              <w:keepNext/>
              <w:keepLines/>
              <w:jc w:val="center"/>
            </w:pPr>
            <w:r w:rsidRPr="00E44873">
              <w:t>1.8</w:t>
            </w:r>
          </w:p>
        </w:tc>
        <w:tc>
          <w:tcPr>
            <w:tcW w:w="525" w:type="pct"/>
            <w:vAlign w:val="center"/>
          </w:tcPr>
          <w:p w:rsidR="00D31976" w:rsidRPr="00E44873" w:rsidRDefault="00D31976" w:rsidP="00AD4B02">
            <w:pPr>
              <w:pStyle w:val="Tabletext"/>
              <w:keepNext/>
              <w:keepLines/>
              <w:jc w:val="center"/>
            </w:pPr>
            <w:r w:rsidRPr="00E44873">
              <w:t>0.2</w:t>
            </w:r>
          </w:p>
        </w:tc>
      </w:tr>
      <w:tr w:rsidR="00D31976" w:rsidRPr="00E44873" w:rsidTr="009B3D3F">
        <w:tc>
          <w:tcPr>
            <w:tcW w:w="788" w:type="pct"/>
            <w:vAlign w:val="center"/>
          </w:tcPr>
          <w:p w:rsidR="00D31976" w:rsidRPr="00E44873" w:rsidRDefault="00D31976" w:rsidP="00AD4B02">
            <w:pPr>
              <w:pStyle w:val="Tabletext"/>
              <w:keepNext/>
              <w:keepLines/>
            </w:pPr>
            <w:r w:rsidRPr="00E44873">
              <w:t>• 95% CI</w:t>
            </w:r>
          </w:p>
        </w:tc>
        <w:tc>
          <w:tcPr>
            <w:tcW w:w="526" w:type="pct"/>
            <w:vAlign w:val="center"/>
          </w:tcPr>
          <w:p w:rsidR="00D31976" w:rsidRPr="00E44873" w:rsidRDefault="00D31976" w:rsidP="00AD4B02">
            <w:pPr>
              <w:pStyle w:val="Tabletext"/>
              <w:keepNext/>
              <w:keepLines/>
              <w:jc w:val="center"/>
            </w:pPr>
            <w:r w:rsidRPr="00E44873">
              <w:t>(0.8, 2.5)</w:t>
            </w:r>
          </w:p>
        </w:tc>
        <w:tc>
          <w:tcPr>
            <w:tcW w:w="529" w:type="pct"/>
            <w:vAlign w:val="center"/>
          </w:tcPr>
          <w:p w:rsidR="00D31976" w:rsidRPr="00E44873" w:rsidRDefault="00D31976" w:rsidP="00AD4B02">
            <w:pPr>
              <w:pStyle w:val="Tabletext"/>
              <w:keepNext/>
              <w:keepLines/>
              <w:jc w:val="center"/>
            </w:pPr>
            <w:r w:rsidRPr="00E44873">
              <w:t>(-1.4, 0.3)</w:t>
            </w:r>
          </w:p>
        </w:tc>
        <w:tc>
          <w:tcPr>
            <w:tcW w:w="527" w:type="pct"/>
            <w:vAlign w:val="center"/>
          </w:tcPr>
          <w:p w:rsidR="00D31976" w:rsidRPr="00E44873" w:rsidRDefault="00D31976" w:rsidP="00AD4B02">
            <w:pPr>
              <w:pStyle w:val="Tabletext"/>
              <w:keepNext/>
              <w:keepLines/>
              <w:jc w:val="center"/>
            </w:pPr>
            <w:r w:rsidRPr="00E44873">
              <w:t>(5.6, 7.3)</w:t>
            </w:r>
          </w:p>
        </w:tc>
        <w:tc>
          <w:tcPr>
            <w:tcW w:w="526" w:type="pct"/>
            <w:vAlign w:val="center"/>
          </w:tcPr>
          <w:p w:rsidR="00D31976" w:rsidRPr="00E44873" w:rsidRDefault="00D31976" w:rsidP="00AD4B02">
            <w:pPr>
              <w:pStyle w:val="Tabletext"/>
              <w:keepNext/>
              <w:keepLines/>
              <w:jc w:val="center"/>
            </w:pPr>
            <w:r w:rsidRPr="00E44873">
              <w:t>(0.2, 1.9)</w:t>
            </w:r>
          </w:p>
        </w:tc>
        <w:tc>
          <w:tcPr>
            <w:tcW w:w="526" w:type="pct"/>
            <w:vAlign w:val="center"/>
          </w:tcPr>
          <w:p w:rsidR="00D31976" w:rsidRPr="00E44873" w:rsidRDefault="00D31976" w:rsidP="00AD4B02">
            <w:pPr>
              <w:pStyle w:val="Tabletext"/>
              <w:keepNext/>
              <w:keepLines/>
              <w:jc w:val="center"/>
            </w:pPr>
            <w:r w:rsidRPr="00E44873">
              <w:t>(4.4, 5.8)</w:t>
            </w:r>
          </w:p>
        </w:tc>
        <w:tc>
          <w:tcPr>
            <w:tcW w:w="527" w:type="pct"/>
            <w:vAlign w:val="center"/>
          </w:tcPr>
          <w:p w:rsidR="00D31976" w:rsidRPr="00E44873" w:rsidRDefault="00D31976" w:rsidP="00AD4B02">
            <w:pPr>
              <w:pStyle w:val="Tabletext"/>
              <w:keepNext/>
              <w:keepLines/>
              <w:jc w:val="center"/>
            </w:pPr>
            <w:r w:rsidRPr="00E44873">
              <w:t>(3.3, 4.7)</w:t>
            </w:r>
          </w:p>
        </w:tc>
        <w:tc>
          <w:tcPr>
            <w:tcW w:w="526" w:type="pct"/>
            <w:vAlign w:val="center"/>
          </w:tcPr>
          <w:p w:rsidR="00D31976" w:rsidRPr="00E44873" w:rsidRDefault="00D31976" w:rsidP="00AD4B02">
            <w:pPr>
              <w:pStyle w:val="Tabletext"/>
              <w:keepNext/>
              <w:keepLines/>
              <w:jc w:val="center"/>
            </w:pPr>
            <w:r w:rsidRPr="00E44873">
              <w:t>nr</w:t>
            </w:r>
          </w:p>
        </w:tc>
        <w:tc>
          <w:tcPr>
            <w:tcW w:w="525" w:type="pct"/>
            <w:vAlign w:val="center"/>
          </w:tcPr>
          <w:p w:rsidR="00D31976" w:rsidRPr="00E44873" w:rsidRDefault="00D31976" w:rsidP="00AD4B02">
            <w:pPr>
              <w:pStyle w:val="Tabletext"/>
              <w:keepNext/>
              <w:keepLines/>
              <w:jc w:val="center"/>
            </w:pPr>
            <w:r w:rsidRPr="00E44873">
              <w:t>nr</w:t>
            </w:r>
          </w:p>
        </w:tc>
      </w:tr>
      <w:tr w:rsidR="00D31976" w:rsidRPr="00E44873" w:rsidTr="009B3D3F">
        <w:tc>
          <w:tcPr>
            <w:tcW w:w="788" w:type="pct"/>
            <w:vAlign w:val="center"/>
          </w:tcPr>
          <w:p w:rsidR="00D31976" w:rsidRPr="00E44873" w:rsidRDefault="00D31976" w:rsidP="00AD4B02">
            <w:pPr>
              <w:pStyle w:val="Tabletext"/>
              <w:keepNext/>
              <w:keepLines/>
            </w:pPr>
            <w:r w:rsidRPr="00E44873">
              <w:t>• SD</w:t>
            </w:r>
            <w:r w:rsidRPr="00E44873">
              <w:rPr>
                <w:vertAlign w:val="superscript"/>
              </w:rPr>
              <w:t>d</w:t>
            </w:r>
          </w:p>
        </w:tc>
        <w:tc>
          <w:tcPr>
            <w:tcW w:w="526" w:type="pct"/>
            <w:vAlign w:val="center"/>
          </w:tcPr>
          <w:p w:rsidR="00D31976" w:rsidRPr="00E44873" w:rsidRDefault="00D31976" w:rsidP="00AD4B02">
            <w:pPr>
              <w:pStyle w:val="Tabletext"/>
              <w:keepNext/>
              <w:keepLines/>
              <w:jc w:val="center"/>
            </w:pPr>
            <w:r w:rsidRPr="00E44873">
              <w:t>6.9</w:t>
            </w:r>
          </w:p>
        </w:tc>
        <w:tc>
          <w:tcPr>
            <w:tcW w:w="529" w:type="pct"/>
            <w:vAlign w:val="center"/>
          </w:tcPr>
          <w:p w:rsidR="00D31976" w:rsidRPr="00E44873" w:rsidRDefault="00D31976" w:rsidP="00AD4B02">
            <w:pPr>
              <w:pStyle w:val="Tabletext"/>
              <w:keepNext/>
              <w:keepLines/>
              <w:jc w:val="center"/>
            </w:pPr>
            <w:r w:rsidRPr="00E44873">
              <w:t>6.9</w:t>
            </w:r>
          </w:p>
        </w:tc>
        <w:tc>
          <w:tcPr>
            <w:tcW w:w="527" w:type="pct"/>
            <w:vAlign w:val="center"/>
          </w:tcPr>
          <w:p w:rsidR="00D31976" w:rsidRPr="00E44873" w:rsidRDefault="00D31976" w:rsidP="00AD4B02">
            <w:pPr>
              <w:pStyle w:val="Tabletext"/>
              <w:keepNext/>
              <w:keepLines/>
              <w:jc w:val="center"/>
            </w:pPr>
            <w:r w:rsidRPr="00E44873">
              <w:t>7.4</w:t>
            </w:r>
          </w:p>
        </w:tc>
        <w:tc>
          <w:tcPr>
            <w:tcW w:w="526" w:type="pct"/>
            <w:vAlign w:val="center"/>
          </w:tcPr>
          <w:p w:rsidR="00D31976" w:rsidRPr="00E44873" w:rsidRDefault="00D31976" w:rsidP="00AD4B02">
            <w:pPr>
              <w:pStyle w:val="Tabletext"/>
              <w:keepNext/>
              <w:keepLines/>
              <w:jc w:val="center"/>
            </w:pPr>
            <w:r w:rsidRPr="00E44873">
              <w:t>7.5</w:t>
            </w:r>
          </w:p>
        </w:tc>
        <w:tc>
          <w:tcPr>
            <w:tcW w:w="526" w:type="pct"/>
            <w:vAlign w:val="center"/>
          </w:tcPr>
          <w:p w:rsidR="00D31976" w:rsidRPr="00E44873" w:rsidRDefault="00D31976" w:rsidP="00AD4B02">
            <w:pPr>
              <w:pStyle w:val="Tabletext"/>
              <w:keepNext/>
              <w:keepLines/>
              <w:jc w:val="center"/>
            </w:pPr>
            <w:r w:rsidRPr="00E44873">
              <w:t>6.5</w:t>
            </w:r>
          </w:p>
        </w:tc>
        <w:tc>
          <w:tcPr>
            <w:tcW w:w="527" w:type="pct"/>
            <w:vAlign w:val="center"/>
          </w:tcPr>
          <w:p w:rsidR="00D31976" w:rsidRPr="00E44873" w:rsidRDefault="00D31976" w:rsidP="00AD4B02">
            <w:pPr>
              <w:pStyle w:val="Tabletext"/>
              <w:keepNext/>
              <w:keepLines/>
              <w:jc w:val="center"/>
            </w:pPr>
            <w:r w:rsidRPr="00E44873">
              <w:t>6.4</w:t>
            </w:r>
          </w:p>
        </w:tc>
        <w:tc>
          <w:tcPr>
            <w:tcW w:w="526" w:type="pct"/>
            <w:vAlign w:val="center"/>
          </w:tcPr>
          <w:p w:rsidR="00D31976" w:rsidRPr="00E44873" w:rsidRDefault="00D31976" w:rsidP="00AD4B02">
            <w:pPr>
              <w:pStyle w:val="Tabletext"/>
              <w:keepNext/>
              <w:keepLines/>
              <w:jc w:val="center"/>
            </w:pPr>
            <w:r w:rsidRPr="00E44873">
              <w:t>6.4</w:t>
            </w:r>
          </w:p>
        </w:tc>
        <w:tc>
          <w:tcPr>
            <w:tcW w:w="525" w:type="pct"/>
            <w:vAlign w:val="center"/>
          </w:tcPr>
          <w:p w:rsidR="00D31976" w:rsidRPr="00E44873" w:rsidRDefault="00D31976" w:rsidP="00AD4B02">
            <w:pPr>
              <w:pStyle w:val="Tabletext"/>
              <w:keepNext/>
              <w:keepLines/>
              <w:jc w:val="center"/>
            </w:pPr>
            <w:r w:rsidRPr="00E44873">
              <w:t>6.0</w:t>
            </w:r>
          </w:p>
        </w:tc>
      </w:tr>
      <w:tr w:rsidR="00D31976" w:rsidRPr="00E44873" w:rsidTr="009B3D3F">
        <w:tc>
          <w:tcPr>
            <w:tcW w:w="788" w:type="pct"/>
          </w:tcPr>
          <w:p w:rsidR="00D31976" w:rsidRPr="00E44873" w:rsidRDefault="00D31976" w:rsidP="00AD4B02">
            <w:pPr>
              <w:pStyle w:val="Tabletext"/>
              <w:keepNext/>
              <w:keepLines/>
            </w:pPr>
            <w:r w:rsidRPr="00E44873">
              <w:t>• MCID</w:t>
            </w:r>
            <w:r w:rsidRPr="00E44873">
              <w:rPr>
                <w:vertAlign w:val="superscript"/>
              </w:rPr>
              <w:t>e</w:t>
            </w:r>
          </w:p>
        </w:tc>
        <w:tc>
          <w:tcPr>
            <w:tcW w:w="526" w:type="pct"/>
            <w:vAlign w:val="center"/>
          </w:tcPr>
          <w:p w:rsidR="00D31976" w:rsidRPr="00E44873" w:rsidRDefault="00D31976" w:rsidP="00AD4B02">
            <w:pPr>
              <w:pStyle w:val="Tabletext"/>
              <w:keepNext/>
              <w:keepLines/>
              <w:jc w:val="center"/>
            </w:pPr>
            <w:r w:rsidRPr="00E44873">
              <w:t>3.5</w:t>
            </w:r>
          </w:p>
        </w:tc>
        <w:tc>
          <w:tcPr>
            <w:tcW w:w="529" w:type="pct"/>
            <w:vAlign w:val="center"/>
          </w:tcPr>
          <w:p w:rsidR="00D31976" w:rsidRPr="00E44873" w:rsidRDefault="00D31976" w:rsidP="00AD4B02">
            <w:pPr>
              <w:pStyle w:val="Tabletext"/>
              <w:keepNext/>
              <w:keepLines/>
              <w:jc w:val="center"/>
            </w:pPr>
            <w:r w:rsidRPr="00E44873">
              <w:t>3.5</w:t>
            </w:r>
          </w:p>
        </w:tc>
        <w:tc>
          <w:tcPr>
            <w:tcW w:w="527" w:type="pct"/>
            <w:vAlign w:val="center"/>
          </w:tcPr>
          <w:p w:rsidR="00D31976" w:rsidRPr="00E44873" w:rsidRDefault="00D31976" w:rsidP="00AD4B02">
            <w:pPr>
              <w:pStyle w:val="Tabletext"/>
              <w:keepNext/>
              <w:keepLines/>
              <w:jc w:val="center"/>
            </w:pPr>
            <w:r w:rsidRPr="00E44873">
              <w:t>3.7</w:t>
            </w:r>
          </w:p>
        </w:tc>
        <w:tc>
          <w:tcPr>
            <w:tcW w:w="526" w:type="pct"/>
            <w:vAlign w:val="center"/>
          </w:tcPr>
          <w:p w:rsidR="00D31976" w:rsidRPr="00E44873" w:rsidRDefault="00D31976" w:rsidP="00AD4B02">
            <w:pPr>
              <w:pStyle w:val="Tabletext"/>
              <w:keepNext/>
              <w:keepLines/>
              <w:jc w:val="center"/>
            </w:pPr>
            <w:r w:rsidRPr="00E44873">
              <w:t>3.7</w:t>
            </w:r>
          </w:p>
        </w:tc>
        <w:tc>
          <w:tcPr>
            <w:tcW w:w="526" w:type="pct"/>
            <w:vAlign w:val="center"/>
          </w:tcPr>
          <w:p w:rsidR="00D31976" w:rsidRPr="00E44873" w:rsidRDefault="00D31976" w:rsidP="00AD4B02">
            <w:pPr>
              <w:pStyle w:val="Tabletext"/>
              <w:keepNext/>
              <w:keepLines/>
              <w:jc w:val="center"/>
            </w:pPr>
            <w:r w:rsidRPr="00E44873">
              <w:t>3.3</w:t>
            </w:r>
          </w:p>
        </w:tc>
        <w:tc>
          <w:tcPr>
            <w:tcW w:w="527" w:type="pct"/>
            <w:vAlign w:val="center"/>
          </w:tcPr>
          <w:p w:rsidR="00D31976" w:rsidRPr="00E44873" w:rsidRDefault="00D31976" w:rsidP="00AD4B02">
            <w:pPr>
              <w:pStyle w:val="Tabletext"/>
              <w:keepNext/>
              <w:keepLines/>
              <w:jc w:val="center"/>
            </w:pPr>
            <w:r w:rsidRPr="00E44873">
              <w:t>3.2</w:t>
            </w:r>
          </w:p>
        </w:tc>
        <w:tc>
          <w:tcPr>
            <w:tcW w:w="526" w:type="pct"/>
            <w:vAlign w:val="center"/>
          </w:tcPr>
          <w:p w:rsidR="00D31976" w:rsidRPr="00E44873" w:rsidRDefault="00D31976" w:rsidP="00AD4B02">
            <w:pPr>
              <w:pStyle w:val="Tabletext"/>
              <w:keepNext/>
              <w:keepLines/>
              <w:jc w:val="center"/>
            </w:pPr>
            <w:r w:rsidRPr="00E44873">
              <w:t>3.2</w:t>
            </w:r>
          </w:p>
        </w:tc>
        <w:tc>
          <w:tcPr>
            <w:tcW w:w="525" w:type="pct"/>
            <w:vAlign w:val="center"/>
          </w:tcPr>
          <w:p w:rsidR="00D31976" w:rsidRPr="00E44873" w:rsidRDefault="00D31976" w:rsidP="00AD4B02">
            <w:pPr>
              <w:pStyle w:val="Tabletext"/>
              <w:keepNext/>
              <w:keepLines/>
              <w:jc w:val="center"/>
            </w:pPr>
            <w:r w:rsidRPr="00E44873">
              <w:t>3.0</w:t>
            </w:r>
          </w:p>
        </w:tc>
      </w:tr>
      <w:tr w:rsidR="00D31976" w:rsidRPr="00E44873" w:rsidTr="009B3D3F">
        <w:tc>
          <w:tcPr>
            <w:tcW w:w="788" w:type="pct"/>
          </w:tcPr>
          <w:p w:rsidR="00D31976" w:rsidRPr="00E44873" w:rsidRDefault="00D31976" w:rsidP="00AD4B02">
            <w:pPr>
              <w:pStyle w:val="Tabletext"/>
              <w:keepNext/>
              <w:keepLines/>
            </w:pPr>
            <w:r w:rsidRPr="00E44873">
              <w:t>• MCID met</w:t>
            </w:r>
          </w:p>
        </w:tc>
        <w:tc>
          <w:tcPr>
            <w:tcW w:w="526" w:type="pct"/>
            <w:vAlign w:val="center"/>
          </w:tcPr>
          <w:p w:rsidR="00D31976" w:rsidRPr="00E44873" w:rsidRDefault="00D31976" w:rsidP="00AD4B02">
            <w:pPr>
              <w:pStyle w:val="Tabletext"/>
              <w:keepNext/>
              <w:keepLines/>
              <w:jc w:val="center"/>
            </w:pPr>
            <w:r w:rsidRPr="00E44873">
              <w:t>no</w:t>
            </w:r>
          </w:p>
        </w:tc>
        <w:tc>
          <w:tcPr>
            <w:tcW w:w="529" w:type="pct"/>
            <w:vAlign w:val="center"/>
          </w:tcPr>
          <w:p w:rsidR="00D31976" w:rsidRPr="00E44873" w:rsidRDefault="00D31976" w:rsidP="00AD4B02">
            <w:pPr>
              <w:pStyle w:val="Tabletext"/>
              <w:keepNext/>
              <w:keepLines/>
              <w:jc w:val="center"/>
            </w:pPr>
            <w:r w:rsidRPr="00E44873">
              <w:t>no</w:t>
            </w:r>
          </w:p>
        </w:tc>
        <w:tc>
          <w:tcPr>
            <w:tcW w:w="527" w:type="pct"/>
            <w:vAlign w:val="center"/>
          </w:tcPr>
          <w:p w:rsidR="00D31976" w:rsidRPr="00E44873" w:rsidRDefault="00D31976" w:rsidP="00AD4B02">
            <w:pPr>
              <w:pStyle w:val="Tabletext"/>
              <w:keepNext/>
              <w:keepLines/>
              <w:jc w:val="center"/>
            </w:pPr>
            <w:r w:rsidRPr="00E44873">
              <w:t>yes</w:t>
            </w:r>
          </w:p>
        </w:tc>
        <w:tc>
          <w:tcPr>
            <w:tcW w:w="526" w:type="pct"/>
            <w:vAlign w:val="center"/>
          </w:tcPr>
          <w:p w:rsidR="00D31976" w:rsidRPr="00E44873" w:rsidRDefault="00D31976" w:rsidP="00AD4B02">
            <w:pPr>
              <w:pStyle w:val="Tabletext"/>
              <w:keepNext/>
              <w:keepLines/>
              <w:jc w:val="center"/>
            </w:pPr>
            <w:r w:rsidRPr="00E44873">
              <w:t>no</w:t>
            </w:r>
          </w:p>
        </w:tc>
        <w:tc>
          <w:tcPr>
            <w:tcW w:w="526" w:type="pct"/>
            <w:vAlign w:val="center"/>
          </w:tcPr>
          <w:p w:rsidR="00D31976" w:rsidRPr="00E44873" w:rsidRDefault="00D31976" w:rsidP="00AD4B02">
            <w:pPr>
              <w:pStyle w:val="Tabletext"/>
              <w:keepNext/>
              <w:keepLines/>
              <w:jc w:val="center"/>
            </w:pPr>
            <w:r w:rsidRPr="00E44873">
              <w:t>yes</w:t>
            </w:r>
          </w:p>
        </w:tc>
        <w:tc>
          <w:tcPr>
            <w:tcW w:w="527" w:type="pct"/>
            <w:vAlign w:val="center"/>
          </w:tcPr>
          <w:p w:rsidR="00D31976" w:rsidRPr="00E44873" w:rsidRDefault="00D31976" w:rsidP="00AD4B02">
            <w:pPr>
              <w:pStyle w:val="Tabletext"/>
              <w:keepNext/>
              <w:keepLines/>
              <w:jc w:val="center"/>
            </w:pPr>
            <w:r w:rsidRPr="00E44873">
              <w:t>yes</w:t>
            </w:r>
          </w:p>
        </w:tc>
        <w:tc>
          <w:tcPr>
            <w:tcW w:w="526" w:type="pct"/>
            <w:vAlign w:val="center"/>
          </w:tcPr>
          <w:p w:rsidR="00D31976" w:rsidRPr="00E44873" w:rsidRDefault="00D31976" w:rsidP="00AD4B02">
            <w:pPr>
              <w:pStyle w:val="Tabletext"/>
              <w:keepNext/>
              <w:keepLines/>
              <w:jc w:val="center"/>
            </w:pPr>
            <w:r w:rsidRPr="00E44873">
              <w:t>no</w:t>
            </w:r>
          </w:p>
        </w:tc>
        <w:tc>
          <w:tcPr>
            <w:tcW w:w="525" w:type="pct"/>
            <w:vAlign w:val="center"/>
          </w:tcPr>
          <w:p w:rsidR="00D31976" w:rsidRPr="00E44873" w:rsidRDefault="00D31976" w:rsidP="00AD4B02">
            <w:pPr>
              <w:pStyle w:val="Tabletext"/>
              <w:keepNext/>
              <w:keepLines/>
              <w:jc w:val="center"/>
            </w:pPr>
            <w:r w:rsidRPr="00E44873">
              <w:t>no</w:t>
            </w:r>
          </w:p>
        </w:tc>
      </w:tr>
      <w:tr w:rsidR="00D31976" w:rsidRPr="00E44873" w:rsidTr="009B3D3F">
        <w:tc>
          <w:tcPr>
            <w:tcW w:w="5000" w:type="pct"/>
            <w:gridSpan w:val="9"/>
          </w:tcPr>
          <w:p w:rsidR="00D31976" w:rsidRPr="00E44873" w:rsidRDefault="00D31976" w:rsidP="00AD4B02">
            <w:pPr>
              <w:pStyle w:val="Tabletext"/>
              <w:keepNext/>
              <w:keepLines/>
              <w:rPr>
                <w:b/>
              </w:rPr>
            </w:pPr>
            <w:r w:rsidRPr="00E44873">
              <w:rPr>
                <w:b/>
              </w:rPr>
              <w:t>Week 44/48</w:t>
            </w:r>
          </w:p>
        </w:tc>
      </w:tr>
      <w:tr w:rsidR="00D31976" w:rsidRPr="00E44873" w:rsidTr="009B3D3F">
        <w:tc>
          <w:tcPr>
            <w:tcW w:w="788" w:type="pct"/>
          </w:tcPr>
          <w:p w:rsidR="00D31976" w:rsidRPr="00E44873" w:rsidRDefault="00D31976" w:rsidP="00AD4B02">
            <w:pPr>
              <w:pStyle w:val="Tabletext"/>
              <w:keepNext/>
              <w:keepLines/>
            </w:pPr>
            <w:r w:rsidRPr="00E44873">
              <w:t>• n</w:t>
            </w:r>
          </w:p>
        </w:tc>
        <w:tc>
          <w:tcPr>
            <w:tcW w:w="526" w:type="pct"/>
            <w:vAlign w:val="center"/>
          </w:tcPr>
          <w:p w:rsidR="00D31976" w:rsidRPr="00E44873" w:rsidRDefault="00D31976" w:rsidP="00AD4B02">
            <w:pPr>
              <w:pStyle w:val="Tabletext"/>
              <w:keepNext/>
              <w:keepLines/>
              <w:jc w:val="center"/>
            </w:pPr>
            <w:r w:rsidRPr="00E44873">
              <w:t>253</w:t>
            </w:r>
          </w:p>
        </w:tc>
        <w:tc>
          <w:tcPr>
            <w:tcW w:w="529" w:type="pct"/>
            <w:vAlign w:val="center"/>
          </w:tcPr>
          <w:p w:rsidR="00D31976" w:rsidRPr="00E44873" w:rsidRDefault="00D31976" w:rsidP="00AD4B02">
            <w:pPr>
              <w:pStyle w:val="Tabletext"/>
              <w:keepNext/>
              <w:keepLines/>
              <w:jc w:val="center"/>
            </w:pPr>
            <w:r w:rsidRPr="00E44873">
              <w:t>256</w:t>
            </w:r>
          </w:p>
        </w:tc>
        <w:tc>
          <w:tcPr>
            <w:tcW w:w="527" w:type="pct"/>
            <w:vAlign w:val="center"/>
          </w:tcPr>
          <w:p w:rsidR="00D31976" w:rsidRPr="00E44873" w:rsidRDefault="00D31976" w:rsidP="00AD4B02">
            <w:pPr>
              <w:pStyle w:val="Tabletext"/>
              <w:keepNext/>
              <w:keepLines/>
              <w:jc w:val="center"/>
            </w:pPr>
            <w:r w:rsidRPr="00E44873">
              <w:t>300</w:t>
            </w:r>
          </w:p>
        </w:tc>
        <w:tc>
          <w:tcPr>
            <w:tcW w:w="526" w:type="pct"/>
            <w:vAlign w:val="center"/>
          </w:tcPr>
          <w:p w:rsidR="00D31976" w:rsidRPr="00E44873" w:rsidRDefault="00D31976" w:rsidP="00AD4B02">
            <w:pPr>
              <w:pStyle w:val="Tabletext"/>
              <w:keepNext/>
              <w:keepLines/>
              <w:jc w:val="center"/>
            </w:pPr>
            <w:r w:rsidRPr="00E44873">
              <w:t>294</w:t>
            </w:r>
          </w:p>
        </w:tc>
        <w:tc>
          <w:tcPr>
            <w:tcW w:w="526" w:type="pct"/>
            <w:vAlign w:val="center"/>
          </w:tcPr>
          <w:p w:rsidR="00D31976" w:rsidRPr="00E44873" w:rsidRDefault="00D31976" w:rsidP="00AD4B02">
            <w:pPr>
              <w:pStyle w:val="Tabletext"/>
              <w:keepNext/>
              <w:keepLines/>
              <w:jc w:val="center"/>
            </w:pPr>
            <w:r w:rsidRPr="00E44873">
              <w:t>319</w:t>
            </w:r>
          </w:p>
        </w:tc>
        <w:tc>
          <w:tcPr>
            <w:tcW w:w="527" w:type="pct"/>
            <w:vAlign w:val="center"/>
          </w:tcPr>
          <w:p w:rsidR="00D31976" w:rsidRPr="00E44873" w:rsidRDefault="00D31976" w:rsidP="00AD4B02">
            <w:pPr>
              <w:pStyle w:val="Tabletext"/>
              <w:keepNext/>
              <w:keepLines/>
              <w:jc w:val="center"/>
            </w:pPr>
            <w:r w:rsidRPr="00E44873">
              <w:t>323</w:t>
            </w:r>
          </w:p>
        </w:tc>
        <w:tc>
          <w:tcPr>
            <w:tcW w:w="526" w:type="pct"/>
            <w:vAlign w:val="center"/>
          </w:tcPr>
          <w:p w:rsidR="00D31976" w:rsidRPr="00E44873" w:rsidRDefault="00D31976" w:rsidP="00AD4B02">
            <w:pPr>
              <w:pStyle w:val="Tabletext"/>
              <w:keepNext/>
              <w:keepLines/>
              <w:jc w:val="center"/>
            </w:pPr>
            <w:r w:rsidRPr="00E44873">
              <w:t>509</w:t>
            </w:r>
          </w:p>
        </w:tc>
        <w:tc>
          <w:tcPr>
            <w:tcW w:w="525" w:type="pct"/>
            <w:vAlign w:val="center"/>
          </w:tcPr>
          <w:p w:rsidR="00D31976" w:rsidRPr="00E44873" w:rsidRDefault="00D31976" w:rsidP="00AD4B02">
            <w:pPr>
              <w:pStyle w:val="Tabletext"/>
              <w:keepNext/>
              <w:keepLines/>
              <w:jc w:val="center"/>
            </w:pPr>
            <w:r w:rsidRPr="00E44873">
              <w:t>505</w:t>
            </w:r>
          </w:p>
        </w:tc>
      </w:tr>
      <w:tr w:rsidR="00D31976" w:rsidRPr="00E44873" w:rsidTr="009B3D3F">
        <w:tc>
          <w:tcPr>
            <w:tcW w:w="788" w:type="pct"/>
          </w:tcPr>
          <w:p w:rsidR="00D31976" w:rsidRPr="00E44873" w:rsidRDefault="00D31976" w:rsidP="00AD4B02">
            <w:pPr>
              <w:pStyle w:val="Tabletext"/>
              <w:keepNext/>
              <w:keepLines/>
            </w:pPr>
            <w:r w:rsidRPr="00E44873">
              <w:t>• Mean change</w:t>
            </w:r>
            <w:r w:rsidRPr="00E44873">
              <w:rPr>
                <w:vertAlign w:val="superscript"/>
              </w:rPr>
              <w:t>c</w:t>
            </w:r>
          </w:p>
        </w:tc>
        <w:tc>
          <w:tcPr>
            <w:tcW w:w="526" w:type="pct"/>
            <w:vAlign w:val="center"/>
          </w:tcPr>
          <w:p w:rsidR="00D31976" w:rsidRPr="00E44873" w:rsidRDefault="00D31976" w:rsidP="00AD4B02">
            <w:pPr>
              <w:pStyle w:val="Tabletext"/>
              <w:keepNext/>
              <w:keepLines/>
              <w:jc w:val="center"/>
            </w:pPr>
            <w:r w:rsidRPr="00E44873">
              <w:t>1.3</w:t>
            </w:r>
          </w:p>
        </w:tc>
        <w:tc>
          <w:tcPr>
            <w:tcW w:w="529" w:type="pct"/>
            <w:vAlign w:val="center"/>
          </w:tcPr>
          <w:p w:rsidR="00D31976" w:rsidRPr="00E44873" w:rsidRDefault="00D31976" w:rsidP="00AD4B02">
            <w:pPr>
              <w:pStyle w:val="Tabletext"/>
              <w:keepNext/>
              <w:keepLines/>
              <w:jc w:val="center"/>
            </w:pPr>
            <w:r w:rsidRPr="00E44873">
              <w:t>0.5</w:t>
            </w:r>
          </w:p>
        </w:tc>
        <w:tc>
          <w:tcPr>
            <w:tcW w:w="527" w:type="pct"/>
            <w:vAlign w:val="center"/>
          </w:tcPr>
          <w:p w:rsidR="00D31976" w:rsidRPr="00E44873" w:rsidRDefault="00D31976" w:rsidP="00AD4B02">
            <w:pPr>
              <w:pStyle w:val="Tabletext"/>
              <w:keepNext/>
              <w:keepLines/>
              <w:jc w:val="center"/>
            </w:pPr>
            <w:r w:rsidRPr="00E44873">
              <w:t>6.1</w:t>
            </w:r>
          </w:p>
        </w:tc>
        <w:tc>
          <w:tcPr>
            <w:tcW w:w="526" w:type="pct"/>
            <w:vAlign w:val="center"/>
          </w:tcPr>
          <w:p w:rsidR="00D31976" w:rsidRPr="00E44873" w:rsidRDefault="00D31976" w:rsidP="00AD4B02">
            <w:pPr>
              <w:pStyle w:val="Tabletext"/>
              <w:keepNext/>
              <w:keepLines/>
              <w:jc w:val="center"/>
            </w:pPr>
            <w:r w:rsidRPr="00E44873">
              <w:t>0.4</w:t>
            </w:r>
          </w:p>
        </w:tc>
        <w:tc>
          <w:tcPr>
            <w:tcW w:w="526" w:type="pct"/>
            <w:vAlign w:val="center"/>
          </w:tcPr>
          <w:p w:rsidR="00D31976" w:rsidRPr="00E44873" w:rsidRDefault="00D31976" w:rsidP="00AD4B02">
            <w:pPr>
              <w:pStyle w:val="Tabletext"/>
              <w:keepNext/>
              <w:keepLines/>
              <w:jc w:val="center"/>
            </w:pPr>
            <w:r w:rsidRPr="00E44873">
              <w:t>4.9</w:t>
            </w:r>
          </w:p>
        </w:tc>
        <w:tc>
          <w:tcPr>
            <w:tcW w:w="527" w:type="pct"/>
            <w:vAlign w:val="center"/>
          </w:tcPr>
          <w:p w:rsidR="00D31976" w:rsidRPr="00E44873" w:rsidRDefault="00D31976" w:rsidP="00AD4B02">
            <w:pPr>
              <w:pStyle w:val="Tabletext"/>
              <w:keepNext/>
              <w:keepLines/>
              <w:jc w:val="center"/>
            </w:pPr>
            <w:r w:rsidRPr="00E44873">
              <w:t>3.1</w:t>
            </w:r>
          </w:p>
        </w:tc>
        <w:tc>
          <w:tcPr>
            <w:tcW w:w="526" w:type="pct"/>
            <w:vAlign w:val="center"/>
          </w:tcPr>
          <w:p w:rsidR="00D31976" w:rsidRPr="00E44873" w:rsidRDefault="00D31976" w:rsidP="00AD4B02">
            <w:pPr>
              <w:pStyle w:val="Tabletext"/>
              <w:keepNext/>
              <w:keepLines/>
              <w:jc w:val="center"/>
            </w:pPr>
            <w:r w:rsidRPr="00E44873">
              <w:t>1.5</w:t>
            </w:r>
          </w:p>
        </w:tc>
        <w:tc>
          <w:tcPr>
            <w:tcW w:w="525" w:type="pct"/>
            <w:vAlign w:val="center"/>
          </w:tcPr>
          <w:p w:rsidR="00D31976" w:rsidRPr="00E44873" w:rsidRDefault="00D31976" w:rsidP="00AD4B02">
            <w:pPr>
              <w:pStyle w:val="Tabletext"/>
              <w:keepNext/>
              <w:keepLines/>
              <w:jc w:val="center"/>
            </w:pPr>
            <w:r w:rsidRPr="00E44873">
              <w:t>0.4</w:t>
            </w:r>
          </w:p>
        </w:tc>
      </w:tr>
      <w:tr w:rsidR="00D31976" w:rsidRPr="00E44873" w:rsidTr="009B3D3F">
        <w:tc>
          <w:tcPr>
            <w:tcW w:w="788" w:type="pct"/>
          </w:tcPr>
          <w:p w:rsidR="00D31976" w:rsidRPr="00E44873" w:rsidRDefault="00D31976" w:rsidP="00AD4B02">
            <w:pPr>
              <w:pStyle w:val="Tabletext"/>
              <w:keepNext/>
              <w:keepLines/>
            </w:pPr>
            <w:r w:rsidRPr="00E44873">
              <w:t>• 95%CI</w:t>
            </w:r>
          </w:p>
        </w:tc>
        <w:tc>
          <w:tcPr>
            <w:tcW w:w="526" w:type="pct"/>
            <w:vAlign w:val="center"/>
          </w:tcPr>
          <w:p w:rsidR="00D31976" w:rsidRPr="00E44873" w:rsidRDefault="00D31976" w:rsidP="00AD4B02">
            <w:pPr>
              <w:pStyle w:val="Tabletext"/>
              <w:keepNext/>
              <w:keepLines/>
              <w:jc w:val="center"/>
            </w:pPr>
            <w:r w:rsidRPr="00E44873">
              <w:t>(0.5, 2.1)</w:t>
            </w:r>
          </w:p>
        </w:tc>
        <w:tc>
          <w:tcPr>
            <w:tcW w:w="529" w:type="pct"/>
            <w:vAlign w:val="center"/>
          </w:tcPr>
          <w:p w:rsidR="00D31976" w:rsidRPr="00E44873" w:rsidRDefault="00D31976" w:rsidP="00AD4B02">
            <w:pPr>
              <w:pStyle w:val="Tabletext"/>
              <w:keepNext/>
              <w:keepLines/>
              <w:jc w:val="center"/>
            </w:pPr>
            <w:r w:rsidRPr="00E44873">
              <w:t>(-0.3, 1.4)</w:t>
            </w:r>
          </w:p>
        </w:tc>
        <w:tc>
          <w:tcPr>
            <w:tcW w:w="527" w:type="pct"/>
            <w:vAlign w:val="center"/>
          </w:tcPr>
          <w:p w:rsidR="00D31976" w:rsidRPr="00E44873" w:rsidRDefault="00D31976" w:rsidP="00AD4B02">
            <w:pPr>
              <w:pStyle w:val="Tabletext"/>
              <w:keepNext/>
              <w:keepLines/>
              <w:jc w:val="center"/>
            </w:pPr>
            <w:r w:rsidRPr="00E44873">
              <w:t>(5.2, 7.0)</w:t>
            </w:r>
          </w:p>
        </w:tc>
        <w:tc>
          <w:tcPr>
            <w:tcW w:w="526" w:type="pct"/>
            <w:vAlign w:val="center"/>
          </w:tcPr>
          <w:p w:rsidR="00D31976" w:rsidRPr="00E44873" w:rsidRDefault="00D31976" w:rsidP="00AD4B02">
            <w:pPr>
              <w:pStyle w:val="Tabletext"/>
              <w:keepNext/>
              <w:keepLines/>
              <w:jc w:val="center"/>
            </w:pPr>
            <w:r w:rsidRPr="00E44873">
              <w:t>(-0.5, 1.4)</w:t>
            </w:r>
          </w:p>
        </w:tc>
        <w:tc>
          <w:tcPr>
            <w:tcW w:w="526" w:type="pct"/>
            <w:vAlign w:val="center"/>
          </w:tcPr>
          <w:p w:rsidR="00D31976" w:rsidRPr="00E44873" w:rsidRDefault="00D31976" w:rsidP="00AD4B02">
            <w:pPr>
              <w:pStyle w:val="Tabletext"/>
              <w:keepNext/>
              <w:keepLines/>
              <w:jc w:val="center"/>
            </w:pPr>
            <w:r w:rsidRPr="00E44873">
              <w:t>(4.0, 5.7)</w:t>
            </w:r>
          </w:p>
        </w:tc>
        <w:tc>
          <w:tcPr>
            <w:tcW w:w="527" w:type="pct"/>
            <w:vAlign w:val="center"/>
          </w:tcPr>
          <w:p w:rsidR="00D31976" w:rsidRPr="00E44873" w:rsidRDefault="00D31976" w:rsidP="00AD4B02">
            <w:pPr>
              <w:pStyle w:val="Tabletext"/>
              <w:keepNext/>
              <w:keepLines/>
              <w:jc w:val="center"/>
            </w:pPr>
            <w:r w:rsidRPr="00E44873">
              <w:t>(2.3, 4.0)</w:t>
            </w:r>
          </w:p>
        </w:tc>
        <w:tc>
          <w:tcPr>
            <w:tcW w:w="526" w:type="pct"/>
            <w:vAlign w:val="center"/>
          </w:tcPr>
          <w:p w:rsidR="00D31976" w:rsidRPr="00E44873" w:rsidRDefault="00D31976" w:rsidP="00AD4B02">
            <w:pPr>
              <w:pStyle w:val="Tabletext"/>
              <w:keepNext/>
              <w:keepLines/>
              <w:jc w:val="center"/>
            </w:pPr>
            <w:r w:rsidRPr="00E44873">
              <w:t>nr</w:t>
            </w:r>
          </w:p>
        </w:tc>
        <w:tc>
          <w:tcPr>
            <w:tcW w:w="525" w:type="pct"/>
            <w:vAlign w:val="center"/>
          </w:tcPr>
          <w:p w:rsidR="00D31976" w:rsidRPr="00E44873" w:rsidRDefault="00D31976" w:rsidP="00AD4B02">
            <w:pPr>
              <w:pStyle w:val="Tabletext"/>
              <w:keepNext/>
              <w:keepLines/>
              <w:jc w:val="center"/>
            </w:pPr>
            <w:r w:rsidRPr="00E44873">
              <w:t>nr</w:t>
            </w:r>
          </w:p>
        </w:tc>
      </w:tr>
      <w:tr w:rsidR="00D31976" w:rsidRPr="00E44873" w:rsidTr="009B3D3F">
        <w:tc>
          <w:tcPr>
            <w:tcW w:w="788" w:type="pct"/>
          </w:tcPr>
          <w:p w:rsidR="00D31976" w:rsidRPr="00E44873" w:rsidRDefault="00D31976" w:rsidP="00AD4B02">
            <w:pPr>
              <w:pStyle w:val="Tabletext"/>
              <w:keepNext/>
              <w:keepLines/>
              <w:rPr>
                <w:highlight w:val="yellow"/>
              </w:rPr>
            </w:pPr>
            <w:r w:rsidRPr="00E44873">
              <w:t>• SD</w:t>
            </w:r>
            <w:r w:rsidRPr="00E44873">
              <w:rPr>
                <w:vertAlign w:val="superscript"/>
              </w:rPr>
              <w:t>d</w:t>
            </w:r>
          </w:p>
        </w:tc>
        <w:tc>
          <w:tcPr>
            <w:tcW w:w="526" w:type="pct"/>
            <w:vAlign w:val="center"/>
          </w:tcPr>
          <w:p w:rsidR="00D31976" w:rsidRPr="00E44873" w:rsidRDefault="00D31976" w:rsidP="00AD4B02">
            <w:pPr>
              <w:pStyle w:val="Tabletext"/>
              <w:keepNext/>
              <w:keepLines/>
              <w:jc w:val="center"/>
            </w:pPr>
            <w:r w:rsidRPr="00E44873">
              <w:t>6.5</w:t>
            </w:r>
          </w:p>
        </w:tc>
        <w:tc>
          <w:tcPr>
            <w:tcW w:w="529" w:type="pct"/>
            <w:vAlign w:val="center"/>
          </w:tcPr>
          <w:p w:rsidR="00D31976" w:rsidRPr="00E44873" w:rsidRDefault="00D31976" w:rsidP="00AD4B02">
            <w:pPr>
              <w:pStyle w:val="Tabletext"/>
              <w:keepNext/>
              <w:keepLines/>
              <w:jc w:val="center"/>
            </w:pPr>
            <w:r w:rsidRPr="00E44873">
              <w:t>6.9</w:t>
            </w:r>
          </w:p>
        </w:tc>
        <w:tc>
          <w:tcPr>
            <w:tcW w:w="527" w:type="pct"/>
            <w:vAlign w:val="center"/>
          </w:tcPr>
          <w:p w:rsidR="00D31976" w:rsidRPr="00E44873" w:rsidRDefault="00D31976" w:rsidP="00AD4B02">
            <w:pPr>
              <w:pStyle w:val="Tabletext"/>
              <w:keepNext/>
              <w:keepLines/>
              <w:jc w:val="center"/>
            </w:pPr>
            <w:r w:rsidRPr="00E44873">
              <w:t>8.0</w:t>
            </w:r>
          </w:p>
        </w:tc>
        <w:tc>
          <w:tcPr>
            <w:tcW w:w="526" w:type="pct"/>
            <w:vAlign w:val="center"/>
          </w:tcPr>
          <w:p w:rsidR="00D31976" w:rsidRPr="00E44873" w:rsidRDefault="00D31976" w:rsidP="00AD4B02">
            <w:pPr>
              <w:pStyle w:val="Tabletext"/>
              <w:keepNext/>
              <w:keepLines/>
              <w:jc w:val="center"/>
            </w:pPr>
            <w:r w:rsidRPr="00E44873">
              <w:t>8.1</w:t>
            </w:r>
          </w:p>
        </w:tc>
        <w:tc>
          <w:tcPr>
            <w:tcW w:w="526" w:type="pct"/>
            <w:vAlign w:val="center"/>
          </w:tcPr>
          <w:p w:rsidR="00D31976" w:rsidRPr="00E44873" w:rsidRDefault="00D31976" w:rsidP="00AD4B02">
            <w:pPr>
              <w:pStyle w:val="Tabletext"/>
              <w:keepNext/>
              <w:keepLines/>
              <w:jc w:val="center"/>
            </w:pPr>
            <w:r w:rsidRPr="00E44873">
              <w:t>7.6</w:t>
            </w:r>
          </w:p>
        </w:tc>
        <w:tc>
          <w:tcPr>
            <w:tcW w:w="527" w:type="pct"/>
            <w:vAlign w:val="center"/>
          </w:tcPr>
          <w:p w:rsidR="00D31976" w:rsidRPr="00E44873" w:rsidRDefault="00D31976" w:rsidP="00AD4B02">
            <w:pPr>
              <w:pStyle w:val="Tabletext"/>
              <w:keepNext/>
              <w:keepLines/>
              <w:jc w:val="center"/>
            </w:pPr>
            <w:r w:rsidRPr="00E44873">
              <w:t>7.6</w:t>
            </w:r>
          </w:p>
        </w:tc>
        <w:tc>
          <w:tcPr>
            <w:tcW w:w="526" w:type="pct"/>
            <w:vAlign w:val="center"/>
          </w:tcPr>
          <w:p w:rsidR="00D31976" w:rsidRPr="00E44873" w:rsidRDefault="00D31976" w:rsidP="00AD4B02">
            <w:pPr>
              <w:pStyle w:val="Tabletext"/>
              <w:keepNext/>
              <w:keepLines/>
              <w:jc w:val="center"/>
            </w:pPr>
            <w:r w:rsidRPr="00E44873">
              <w:t>7.0</w:t>
            </w:r>
          </w:p>
        </w:tc>
        <w:tc>
          <w:tcPr>
            <w:tcW w:w="525" w:type="pct"/>
            <w:vAlign w:val="center"/>
          </w:tcPr>
          <w:p w:rsidR="00D31976" w:rsidRPr="00E44873" w:rsidRDefault="00D31976" w:rsidP="00AD4B02">
            <w:pPr>
              <w:pStyle w:val="Tabletext"/>
              <w:keepNext/>
              <w:keepLines/>
              <w:jc w:val="center"/>
            </w:pPr>
            <w:r w:rsidRPr="00E44873">
              <w:t>6.0</w:t>
            </w:r>
          </w:p>
        </w:tc>
      </w:tr>
      <w:tr w:rsidR="00D31976" w:rsidRPr="00E44873" w:rsidTr="009B3D3F">
        <w:tc>
          <w:tcPr>
            <w:tcW w:w="788" w:type="pct"/>
          </w:tcPr>
          <w:p w:rsidR="00D31976" w:rsidRPr="00E44873" w:rsidRDefault="00D31976" w:rsidP="00AD4B02">
            <w:pPr>
              <w:pStyle w:val="Tabletext"/>
              <w:keepNext/>
              <w:keepLines/>
            </w:pPr>
            <w:r w:rsidRPr="00E44873">
              <w:t>• MCID</w:t>
            </w:r>
            <w:r w:rsidRPr="00E44873">
              <w:rPr>
                <w:vertAlign w:val="superscript"/>
              </w:rPr>
              <w:t>e</w:t>
            </w:r>
          </w:p>
        </w:tc>
        <w:tc>
          <w:tcPr>
            <w:tcW w:w="526" w:type="pct"/>
            <w:vAlign w:val="center"/>
          </w:tcPr>
          <w:p w:rsidR="00D31976" w:rsidRPr="00E44873" w:rsidRDefault="00D31976" w:rsidP="00AD4B02">
            <w:pPr>
              <w:pStyle w:val="Tabletext"/>
              <w:keepNext/>
              <w:keepLines/>
              <w:jc w:val="center"/>
            </w:pPr>
            <w:r w:rsidRPr="00E44873">
              <w:t>3.3</w:t>
            </w:r>
          </w:p>
        </w:tc>
        <w:tc>
          <w:tcPr>
            <w:tcW w:w="529" w:type="pct"/>
            <w:vAlign w:val="center"/>
          </w:tcPr>
          <w:p w:rsidR="00D31976" w:rsidRPr="00E44873" w:rsidRDefault="00D31976" w:rsidP="00AD4B02">
            <w:pPr>
              <w:pStyle w:val="Tabletext"/>
              <w:keepNext/>
              <w:keepLines/>
              <w:jc w:val="center"/>
            </w:pPr>
            <w:r w:rsidRPr="00E44873">
              <w:t>3.5</w:t>
            </w:r>
          </w:p>
        </w:tc>
        <w:tc>
          <w:tcPr>
            <w:tcW w:w="527" w:type="pct"/>
            <w:vAlign w:val="center"/>
          </w:tcPr>
          <w:p w:rsidR="00D31976" w:rsidRPr="00E44873" w:rsidRDefault="00D31976" w:rsidP="00AD4B02">
            <w:pPr>
              <w:pStyle w:val="Tabletext"/>
              <w:keepNext/>
              <w:keepLines/>
              <w:jc w:val="center"/>
            </w:pPr>
            <w:r w:rsidRPr="00E44873">
              <w:t>4</w:t>
            </w:r>
          </w:p>
        </w:tc>
        <w:tc>
          <w:tcPr>
            <w:tcW w:w="526" w:type="pct"/>
            <w:vAlign w:val="center"/>
          </w:tcPr>
          <w:p w:rsidR="00D31976" w:rsidRPr="00E44873" w:rsidRDefault="00D31976" w:rsidP="00AD4B02">
            <w:pPr>
              <w:pStyle w:val="Tabletext"/>
              <w:keepNext/>
              <w:keepLines/>
              <w:jc w:val="center"/>
            </w:pPr>
            <w:r w:rsidRPr="00E44873">
              <w:t>4</w:t>
            </w:r>
          </w:p>
        </w:tc>
        <w:tc>
          <w:tcPr>
            <w:tcW w:w="526" w:type="pct"/>
            <w:vAlign w:val="center"/>
          </w:tcPr>
          <w:p w:rsidR="00D31976" w:rsidRPr="00E44873" w:rsidRDefault="00D31976" w:rsidP="00AD4B02">
            <w:pPr>
              <w:pStyle w:val="Tabletext"/>
              <w:keepNext/>
              <w:keepLines/>
              <w:jc w:val="center"/>
            </w:pPr>
            <w:r w:rsidRPr="00E44873">
              <w:t>3.8</w:t>
            </w:r>
          </w:p>
        </w:tc>
        <w:tc>
          <w:tcPr>
            <w:tcW w:w="527" w:type="pct"/>
            <w:vAlign w:val="center"/>
          </w:tcPr>
          <w:p w:rsidR="00D31976" w:rsidRPr="00E44873" w:rsidRDefault="00D31976" w:rsidP="00AD4B02">
            <w:pPr>
              <w:pStyle w:val="Tabletext"/>
              <w:keepNext/>
              <w:keepLines/>
              <w:jc w:val="center"/>
            </w:pPr>
            <w:r w:rsidRPr="00E44873">
              <w:t>3.8</w:t>
            </w:r>
          </w:p>
        </w:tc>
        <w:tc>
          <w:tcPr>
            <w:tcW w:w="526" w:type="pct"/>
            <w:vAlign w:val="center"/>
          </w:tcPr>
          <w:p w:rsidR="00D31976" w:rsidRPr="00E44873" w:rsidRDefault="00D31976" w:rsidP="00AD4B02">
            <w:pPr>
              <w:pStyle w:val="Tabletext"/>
              <w:keepNext/>
              <w:keepLines/>
              <w:jc w:val="center"/>
            </w:pPr>
            <w:r w:rsidRPr="00E44873">
              <w:t>3.5</w:t>
            </w:r>
          </w:p>
        </w:tc>
        <w:tc>
          <w:tcPr>
            <w:tcW w:w="525" w:type="pct"/>
            <w:vAlign w:val="center"/>
          </w:tcPr>
          <w:p w:rsidR="00D31976" w:rsidRPr="00E44873" w:rsidRDefault="00D31976" w:rsidP="00AD4B02">
            <w:pPr>
              <w:pStyle w:val="Tabletext"/>
              <w:keepNext/>
              <w:keepLines/>
              <w:jc w:val="center"/>
            </w:pPr>
            <w:r w:rsidRPr="00E44873">
              <w:t>3.0</w:t>
            </w:r>
          </w:p>
        </w:tc>
      </w:tr>
      <w:tr w:rsidR="00D31976" w:rsidRPr="00E44873" w:rsidTr="009B3D3F">
        <w:tc>
          <w:tcPr>
            <w:tcW w:w="788" w:type="pct"/>
          </w:tcPr>
          <w:p w:rsidR="00D31976" w:rsidRPr="00E44873" w:rsidRDefault="00D31976" w:rsidP="00AD4B02">
            <w:pPr>
              <w:pStyle w:val="Tabletext"/>
              <w:keepNext/>
              <w:keepLines/>
            </w:pPr>
            <w:r w:rsidRPr="00E44873">
              <w:t>• MCID met</w:t>
            </w:r>
          </w:p>
        </w:tc>
        <w:tc>
          <w:tcPr>
            <w:tcW w:w="526" w:type="pct"/>
            <w:vAlign w:val="center"/>
          </w:tcPr>
          <w:p w:rsidR="00D31976" w:rsidRPr="00E44873" w:rsidRDefault="00D31976" w:rsidP="00AD4B02">
            <w:pPr>
              <w:pStyle w:val="Tabletext"/>
              <w:keepNext/>
              <w:keepLines/>
              <w:jc w:val="center"/>
            </w:pPr>
            <w:r w:rsidRPr="00E44873">
              <w:t>no</w:t>
            </w:r>
          </w:p>
        </w:tc>
        <w:tc>
          <w:tcPr>
            <w:tcW w:w="529" w:type="pct"/>
            <w:vAlign w:val="center"/>
          </w:tcPr>
          <w:p w:rsidR="00D31976" w:rsidRPr="00E44873" w:rsidRDefault="00D31976" w:rsidP="00AD4B02">
            <w:pPr>
              <w:pStyle w:val="Tabletext"/>
              <w:keepNext/>
              <w:keepLines/>
              <w:jc w:val="center"/>
            </w:pPr>
            <w:r w:rsidRPr="00E44873">
              <w:t>no</w:t>
            </w:r>
          </w:p>
        </w:tc>
        <w:tc>
          <w:tcPr>
            <w:tcW w:w="527" w:type="pct"/>
            <w:vAlign w:val="center"/>
          </w:tcPr>
          <w:p w:rsidR="00D31976" w:rsidRPr="00E44873" w:rsidRDefault="00D31976" w:rsidP="00AD4B02">
            <w:pPr>
              <w:pStyle w:val="Tabletext"/>
              <w:keepNext/>
              <w:keepLines/>
              <w:jc w:val="center"/>
            </w:pPr>
            <w:r w:rsidRPr="00E44873">
              <w:t>yes</w:t>
            </w:r>
          </w:p>
        </w:tc>
        <w:tc>
          <w:tcPr>
            <w:tcW w:w="526" w:type="pct"/>
            <w:vAlign w:val="center"/>
          </w:tcPr>
          <w:p w:rsidR="00D31976" w:rsidRPr="00E44873" w:rsidRDefault="00D31976" w:rsidP="00AD4B02">
            <w:pPr>
              <w:pStyle w:val="Tabletext"/>
              <w:keepNext/>
              <w:keepLines/>
              <w:jc w:val="center"/>
            </w:pPr>
            <w:r w:rsidRPr="00E44873">
              <w:t>no</w:t>
            </w:r>
          </w:p>
        </w:tc>
        <w:tc>
          <w:tcPr>
            <w:tcW w:w="526" w:type="pct"/>
            <w:vAlign w:val="center"/>
          </w:tcPr>
          <w:p w:rsidR="00D31976" w:rsidRPr="00E44873" w:rsidRDefault="00D31976" w:rsidP="00AD4B02">
            <w:pPr>
              <w:pStyle w:val="Tabletext"/>
              <w:keepNext/>
              <w:keepLines/>
              <w:jc w:val="center"/>
            </w:pPr>
            <w:r w:rsidRPr="00E44873">
              <w:t>yes</w:t>
            </w:r>
          </w:p>
        </w:tc>
        <w:tc>
          <w:tcPr>
            <w:tcW w:w="527" w:type="pct"/>
            <w:vAlign w:val="center"/>
          </w:tcPr>
          <w:p w:rsidR="00D31976" w:rsidRPr="00E44873" w:rsidRDefault="00D31976" w:rsidP="00AD4B02">
            <w:pPr>
              <w:pStyle w:val="Tabletext"/>
              <w:keepNext/>
              <w:keepLines/>
              <w:jc w:val="center"/>
            </w:pPr>
            <w:r w:rsidRPr="00E44873">
              <w:t>no</w:t>
            </w:r>
          </w:p>
        </w:tc>
        <w:tc>
          <w:tcPr>
            <w:tcW w:w="526" w:type="pct"/>
            <w:vAlign w:val="center"/>
          </w:tcPr>
          <w:p w:rsidR="00D31976" w:rsidRPr="00E44873" w:rsidRDefault="00D31976" w:rsidP="00AD4B02">
            <w:pPr>
              <w:pStyle w:val="Tabletext"/>
              <w:keepNext/>
              <w:keepLines/>
              <w:jc w:val="center"/>
            </w:pPr>
            <w:r w:rsidRPr="00E44873">
              <w:t>no</w:t>
            </w:r>
          </w:p>
        </w:tc>
        <w:tc>
          <w:tcPr>
            <w:tcW w:w="525" w:type="pct"/>
            <w:vAlign w:val="center"/>
          </w:tcPr>
          <w:p w:rsidR="00D31976" w:rsidRPr="00E44873" w:rsidRDefault="00D31976" w:rsidP="00AD4B02">
            <w:pPr>
              <w:pStyle w:val="Tabletext"/>
              <w:keepNext/>
              <w:keepLines/>
              <w:jc w:val="center"/>
            </w:pPr>
            <w:r w:rsidRPr="00E44873">
              <w:t>no</w:t>
            </w:r>
          </w:p>
        </w:tc>
      </w:tr>
      <w:tr w:rsidR="00D31976" w:rsidRPr="00E44873" w:rsidTr="009B3D3F">
        <w:tc>
          <w:tcPr>
            <w:tcW w:w="788" w:type="pct"/>
          </w:tcPr>
          <w:p w:rsidR="00D31976" w:rsidRPr="00E44873" w:rsidRDefault="00D31976" w:rsidP="00AD4B02">
            <w:pPr>
              <w:pStyle w:val="Tabletext"/>
              <w:keepNext/>
              <w:keepLines/>
              <w:ind w:left="27"/>
            </w:pPr>
            <w:r w:rsidRPr="00E44873">
              <w:t>•MCID as % of   baseline</w:t>
            </w:r>
          </w:p>
        </w:tc>
        <w:tc>
          <w:tcPr>
            <w:tcW w:w="526" w:type="pct"/>
            <w:vAlign w:val="center"/>
          </w:tcPr>
          <w:p w:rsidR="00D31976" w:rsidRPr="00E44873" w:rsidRDefault="00D31976" w:rsidP="00AD4B02">
            <w:pPr>
              <w:pStyle w:val="Tabletext"/>
              <w:keepNext/>
              <w:keepLines/>
              <w:jc w:val="center"/>
            </w:pPr>
            <w:r w:rsidRPr="00E44873">
              <w:t>5.6%</w:t>
            </w:r>
          </w:p>
        </w:tc>
        <w:tc>
          <w:tcPr>
            <w:tcW w:w="529" w:type="pct"/>
            <w:vAlign w:val="center"/>
          </w:tcPr>
          <w:p w:rsidR="00D31976" w:rsidRPr="00E44873" w:rsidRDefault="00D31976" w:rsidP="00AD4B02">
            <w:pPr>
              <w:pStyle w:val="Tabletext"/>
              <w:keepNext/>
              <w:keepLines/>
              <w:jc w:val="center"/>
            </w:pPr>
            <w:r w:rsidRPr="00E44873">
              <w:t>5.9%</w:t>
            </w:r>
          </w:p>
        </w:tc>
        <w:tc>
          <w:tcPr>
            <w:tcW w:w="527" w:type="pct"/>
            <w:vAlign w:val="center"/>
          </w:tcPr>
          <w:p w:rsidR="00D31976" w:rsidRPr="00E44873" w:rsidRDefault="00D31976" w:rsidP="00AD4B02">
            <w:pPr>
              <w:pStyle w:val="Tabletext"/>
              <w:keepNext/>
              <w:keepLines/>
              <w:jc w:val="center"/>
            </w:pPr>
            <w:r w:rsidRPr="00E44873">
              <w:t>7.2%</w:t>
            </w:r>
          </w:p>
        </w:tc>
        <w:tc>
          <w:tcPr>
            <w:tcW w:w="526" w:type="pct"/>
            <w:vAlign w:val="center"/>
          </w:tcPr>
          <w:p w:rsidR="00D31976" w:rsidRPr="00E44873" w:rsidRDefault="00D31976" w:rsidP="00AD4B02">
            <w:pPr>
              <w:pStyle w:val="Tabletext"/>
              <w:keepNext/>
              <w:keepLines/>
              <w:jc w:val="center"/>
            </w:pPr>
            <w:r w:rsidRPr="00E44873">
              <w:t>7.2%</w:t>
            </w:r>
          </w:p>
        </w:tc>
        <w:tc>
          <w:tcPr>
            <w:tcW w:w="526" w:type="pct"/>
            <w:vAlign w:val="center"/>
          </w:tcPr>
          <w:p w:rsidR="00D31976" w:rsidRPr="00E44873" w:rsidRDefault="00D31976" w:rsidP="00AD4B02">
            <w:pPr>
              <w:pStyle w:val="Tabletext"/>
              <w:keepNext/>
              <w:keepLines/>
              <w:jc w:val="center"/>
            </w:pPr>
            <w:r w:rsidRPr="00E44873">
              <w:t>6.6%</w:t>
            </w:r>
          </w:p>
        </w:tc>
        <w:tc>
          <w:tcPr>
            <w:tcW w:w="527" w:type="pct"/>
            <w:vAlign w:val="center"/>
          </w:tcPr>
          <w:p w:rsidR="00D31976" w:rsidRPr="00E44873" w:rsidRDefault="00D31976" w:rsidP="00AD4B02">
            <w:pPr>
              <w:pStyle w:val="Tabletext"/>
              <w:keepNext/>
              <w:keepLines/>
              <w:jc w:val="center"/>
            </w:pPr>
            <w:r w:rsidRPr="00E44873">
              <w:t>6.7%</w:t>
            </w:r>
          </w:p>
        </w:tc>
        <w:tc>
          <w:tcPr>
            <w:tcW w:w="526" w:type="pct"/>
            <w:vAlign w:val="center"/>
          </w:tcPr>
          <w:p w:rsidR="00D31976" w:rsidRPr="00E44873" w:rsidRDefault="00D31976" w:rsidP="00AD4B02">
            <w:pPr>
              <w:pStyle w:val="Tabletext"/>
              <w:keepNext/>
              <w:keepLines/>
              <w:jc w:val="center"/>
            </w:pPr>
            <w:r w:rsidRPr="00E44873">
              <w:t>6.4%</w:t>
            </w:r>
          </w:p>
        </w:tc>
        <w:tc>
          <w:tcPr>
            <w:tcW w:w="525" w:type="pct"/>
            <w:vAlign w:val="center"/>
          </w:tcPr>
          <w:p w:rsidR="00D31976" w:rsidRPr="00E44873" w:rsidRDefault="00D31976" w:rsidP="00AD4B02">
            <w:pPr>
              <w:pStyle w:val="Tabletext"/>
              <w:keepNext/>
              <w:keepLines/>
              <w:jc w:val="center"/>
            </w:pPr>
            <w:r w:rsidRPr="00E44873">
              <w:t>5.6%</w:t>
            </w:r>
          </w:p>
        </w:tc>
      </w:tr>
    </w:tbl>
    <w:p w:rsidR="00D31976" w:rsidRPr="00E44873" w:rsidRDefault="00D31976" w:rsidP="00D31976">
      <w:pPr>
        <w:pStyle w:val="TableFooter"/>
        <w:keepNext/>
        <w:keepLines/>
        <w:rPr>
          <w:szCs w:val="18"/>
        </w:rPr>
      </w:pPr>
      <w:r w:rsidRPr="00E44873">
        <w:rPr>
          <w:szCs w:val="18"/>
        </w:rPr>
        <w:t xml:space="preserve">Source: Table 36, 38&amp;58, p86, 88&amp;114 of the submission, Table 66, p159 of SWORD 1 CSR, Table 65, p154 of SWORD 2 CSR. </w:t>
      </w:r>
    </w:p>
    <w:p w:rsidR="00D31976" w:rsidRPr="00E44873" w:rsidRDefault="00D31976" w:rsidP="00D31976">
      <w:pPr>
        <w:pStyle w:val="TableFooter"/>
        <w:keepNext/>
        <w:keepLines/>
        <w:rPr>
          <w:rFonts w:eastAsia="Calibri"/>
          <w:szCs w:val="18"/>
        </w:rPr>
      </w:pPr>
      <w:r w:rsidRPr="00E44873">
        <w:rPr>
          <w:rFonts w:eastAsia="Calibri"/>
          <w:szCs w:val="18"/>
        </w:rPr>
        <w:t xml:space="preserve">HIV = </w:t>
      </w:r>
      <w:r w:rsidRPr="00E44873">
        <w:rPr>
          <w:szCs w:val="18"/>
        </w:rPr>
        <w:t>Human Immunodeficiency Virus;</w:t>
      </w:r>
      <w:r w:rsidRPr="00E44873">
        <w:rPr>
          <w:rFonts w:eastAsia="Calibri"/>
          <w:szCs w:val="18"/>
        </w:rPr>
        <w:t xml:space="preserve"> HIVSTQ = HIV treatment satisfaction questionnaire; MCID = minimal clinically important difference; </w:t>
      </w:r>
      <w:r w:rsidRPr="00E44873">
        <w:rPr>
          <w:szCs w:val="18"/>
        </w:rPr>
        <w:t xml:space="preserve">CAB = cabotegravir; DTG = dolutegravir; RPV = rilpivirine; </w:t>
      </w:r>
      <w:r w:rsidRPr="00E44873">
        <w:rPr>
          <w:rFonts w:eastAsia="Calibri"/>
          <w:szCs w:val="18"/>
        </w:rPr>
        <w:t>Q8W = every eight weeks, Q4W = every four weeks</w:t>
      </w:r>
    </w:p>
    <w:p w:rsidR="00D31976" w:rsidRPr="00E44873" w:rsidRDefault="00D31976" w:rsidP="00D462E6">
      <w:pPr>
        <w:pStyle w:val="TableFooter"/>
        <w:keepNext/>
        <w:keepLines/>
        <w:tabs>
          <w:tab w:val="left" w:pos="284"/>
        </w:tabs>
        <w:ind w:left="284" w:hanging="284"/>
        <w:rPr>
          <w:rFonts w:eastAsia="Calibri"/>
        </w:rPr>
      </w:pPr>
      <w:r w:rsidRPr="00E44873">
        <w:rPr>
          <w:rFonts w:eastAsia="Calibri"/>
          <w:vertAlign w:val="superscript"/>
        </w:rPr>
        <w:t xml:space="preserve">a </w:t>
      </w:r>
      <w:r w:rsidR="00D462E6" w:rsidRPr="00E44873">
        <w:rPr>
          <w:rFonts w:eastAsia="Calibri"/>
        </w:rPr>
        <w:tab/>
      </w:r>
      <w:r w:rsidR="0071093F" w:rsidRPr="0071093F">
        <w:rPr>
          <w:rFonts w:eastAsia="Calibri"/>
        </w:rPr>
        <w:t>O</w:t>
      </w:r>
      <w:r w:rsidRPr="0071093F">
        <w:rPr>
          <w:rFonts w:eastAsia="Calibri"/>
        </w:rPr>
        <w:t>nly participants without prior exposure to CAB + RPV included</w:t>
      </w:r>
    </w:p>
    <w:p w:rsidR="00D31976" w:rsidRPr="00E44873" w:rsidRDefault="00D31976" w:rsidP="00D462E6">
      <w:pPr>
        <w:pStyle w:val="TableFooter"/>
        <w:keepNext/>
        <w:keepLines/>
        <w:tabs>
          <w:tab w:val="left" w:pos="284"/>
        </w:tabs>
        <w:ind w:left="284" w:hanging="284"/>
        <w:rPr>
          <w:rFonts w:eastAsia="Calibri"/>
        </w:rPr>
      </w:pPr>
      <w:r w:rsidRPr="00E44873">
        <w:rPr>
          <w:rFonts w:eastAsia="Calibri"/>
          <w:vertAlign w:val="superscript"/>
        </w:rPr>
        <w:t>b</w:t>
      </w:r>
      <w:r w:rsidR="00D462E6" w:rsidRPr="00E44873">
        <w:rPr>
          <w:rFonts w:eastAsia="Calibri"/>
        </w:rPr>
        <w:tab/>
      </w:r>
      <w:r w:rsidR="00157ED8">
        <w:rPr>
          <w:rFonts w:eastAsia="Calibri"/>
        </w:rPr>
        <w:t>M</w:t>
      </w:r>
      <w:r w:rsidRPr="00E44873">
        <w:rPr>
          <w:rFonts w:eastAsia="Calibri"/>
        </w:rPr>
        <w:t xml:space="preserve">ax score 60 for SWORD 1&amp;2 trials, 66 for all others </w:t>
      </w:r>
    </w:p>
    <w:p w:rsidR="00D31976" w:rsidRPr="00E44873" w:rsidRDefault="00D31976" w:rsidP="00D462E6">
      <w:pPr>
        <w:pStyle w:val="TableFooter"/>
        <w:keepNext/>
        <w:keepLines/>
        <w:tabs>
          <w:tab w:val="left" w:pos="284"/>
        </w:tabs>
        <w:ind w:left="284" w:hanging="284"/>
        <w:rPr>
          <w:rFonts w:eastAsia="Calibri"/>
        </w:rPr>
      </w:pPr>
      <w:r w:rsidRPr="00E44873">
        <w:rPr>
          <w:rFonts w:eastAsia="Calibri"/>
          <w:vertAlign w:val="superscript"/>
        </w:rPr>
        <w:t>c</w:t>
      </w:r>
      <w:r w:rsidR="00D462E6" w:rsidRPr="00E44873">
        <w:rPr>
          <w:rFonts w:eastAsia="Calibri"/>
          <w:vertAlign w:val="superscript"/>
        </w:rPr>
        <w:tab/>
      </w:r>
      <w:r w:rsidRPr="00E44873">
        <w:rPr>
          <w:rFonts w:eastAsia="Calibri"/>
        </w:rPr>
        <w:t xml:space="preserve">Adjusted means. FLAIR: Based on ANCOVA: change from baseline score = baseline score + Induction Baseline (Week -20) HIV-1 RNA (&lt;100,000, </w:t>
      </w:r>
      <w:r w:rsidRPr="00E44873">
        <w:rPr>
          <w:rFonts w:eastAsia="Calibri"/>
        </w:rPr>
        <w:t xml:space="preserve">100,000 c/mL) + sex at birth (female, male) + age (&lt;50, </w:t>
      </w:r>
      <w:r w:rsidRPr="00E44873">
        <w:rPr>
          <w:rFonts w:eastAsia="Calibri"/>
        </w:rPr>
        <w:t>50 Years) + race (white, non-white) + Treatment (CAB +RPV, CAR). ATLAS: adjusting for Baseline score, sex at birth, age, race (white, non-white), and third agent class (INI, PI, NNRTI). ATLAS-2M: adjusting for Baseline score, sex at birth, age, race (white, non-white), and third agent class (INI, PI, NNRTI)</w:t>
      </w:r>
    </w:p>
    <w:p w:rsidR="00D31976" w:rsidRPr="00E44873" w:rsidRDefault="00D31976" w:rsidP="00D462E6">
      <w:pPr>
        <w:pStyle w:val="TableFooter"/>
        <w:keepNext/>
        <w:keepLines/>
        <w:tabs>
          <w:tab w:val="left" w:pos="284"/>
        </w:tabs>
        <w:ind w:left="284" w:hanging="284"/>
        <w:rPr>
          <w:rFonts w:eastAsia="Calibri"/>
        </w:rPr>
      </w:pPr>
      <w:r w:rsidRPr="00E44873">
        <w:rPr>
          <w:rFonts w:eastAsia="Calibri"/>
          <w:vertAlign w:val="superscript"/>
        </w:rPr>
        <w:t>d</w:t>
      </w:r>
      <w:r w:rsidR="00D462E6" w:rsidRPr="00E44873">
        <w:rPr>
          <w:rFonts w:eastAsia="Calibri"/>
          <w:vertAlign w:val="superscript"/>
        </w:rPr>
        <w:tab/>
      </w:r>
      <w:r w:rsidRPr="00E44873">
        <w:rPr>
          <w:rFonts w:eastAsia="Calibri"/>
        </w:rPr>
        <w:t xml:space="preserve">Calculated SD for CAB + RPV trials: SD = SQRT(n)*(Upper CI – Lower CI)/(talpha,df*2), as used in the submission </w:t>
      </w:r>
    </w:p>
    <w:p w:rsidR="00D31976" w:rsidRPr="00E44873" w:rsidRDefault="00D31976" w:rsidP="00D462E6">
      <w:pPr>
        <w:pStyle w:val="TableFooter"/>
        <w:keepNext/>
        <w:keepLines/>
        <w:tabs>
          <w:tab w:val="left" w:pos="284"/>
        </w:tabs>
        <w:ind w:left="284" w:hanging="284"/>
        <w:rPr>
          <w:rFonts w:eastAsia="Calibri"/>
        </w:rPr>
      </w:pPr>
      <w:r w:rsidRPr="00E44873">
        <w:rPr>
          <w:rFonts w:eastAsia="Calibri"/>
          <w:vertAlign w:val="superscript"/>
        </w:rPr>
        <w:t>e</w:t>
      </w:r>
      <w:r w:rsidR="00D462E6" w:rsidRPr="00E44873">
        <w:rPr>
          <w:rFonts w:eastAsia="Calibri"/>
        </w:rPr>
        <w:tab/>
      </w:r>
      <w:r w:rsidRPr="00E44873">
        <w:rPr>
          <w:rFonts w:eastAsia="Calibri"/>
        </w:rPr>
        <w:t>MCID= half SD. If mean change&gt;MCID, MCID is met, as used in the submission</w:t>
      </w:r>
    </w:p>
    <w:p w:rsidR="00D31976" w:rsidRPr="00E44873" w:rsidRDefault="00D31976" w:rsidP="00D31976">
      <w:pPr>
        <w:pStyle w:val="TableFooter"/>
        <w:keepNext/>
        <w:keepLines/>
        <w:rPr>
          <w:rFonts w:eastAsia="Calibri"/>
        </w:rPr>
      </w:pPr>
      <w:r w:rsidRPr="00E44873">
        <w:rPr>
          <w:rFonts w:eastAsia="Calibri"/>
        </w:rPr>
        <w:t xml:space="preserve">CI= confidence interval; SD=standard deviation; MCID= minimal clinically important difference </w:t>
      </w:r>
    </w:p>
    <w:p w:rsidR="00D31976" w:rsidRPr="00E44873" w:rsidRDefault="00D31976" w:rsidP="00CD441E">
      <w:pPr>
        <w:pStyle w:val="TableFooter"/>
        <w:rPr>
          <w:rFonts w:eastAsia="Calibri"/>
        </w:rPr>
      </w:pPr>
    </w:p>
    <w:p w:rsidR="00CD441E" w:rsidRPr="00E44873" w:rsidRDefault="00CD441E" w:rsidP="00D1387B">
      <w:pPr>
        <w:pStyle w:val="ListParagraph"/>
        <w:numPr>
          <w:ilvl w:val="1"/>
          <w:numId w:val="1"/>
        </w:numPr>
        <w:rPr>
          <w:iCs/>
        </w:rPr>
      </w:pPr>
      <w:r w:rsidRPr="00E44873">
        <w:t>Using the submission’s methodology, the MCID threshold would not have been met by the CAB LA + RPV LA Q4W arm of FLAIR at week 44 or ATLAS-2M at Week 48, even though it was met in the same treatment arm in ATLAS at week 44, suggesting that there may be significant uncertainty with the results</w:t>
      </w:r>
      <w:r w:rsidR="00D462E6" w:rsidRPr="00E44873">
        <w:t>.</w:t>
      </w:r>
    </w:p>
    <w:p w:rsidR="00CD441E" w:rsidRPr="00E44873" w:rsidRDefault="00CD441E" w:rsidP="00D1387B">
      <w:pPr>
        <w:pStyle w:val="ListParagraph"/>
        <w:numPr>
          <w:ilvl w:val="1"/>
          <w:numId w:val="1"/>
        </w:numPr>
        <w:rPr>
          <w:iCs/>
        </w:rPr>
      </w:pPr>
      <w:r w:rsidRPr="00E44873">
        <w:t>The submission stated that pooled FLAIR/ATLAS data at week 44 reported a statistically significantly higher (RD = 3.4, 95% CI 2.5, 4.3, P&lt;0.001) HIVTSQ improvement in patients treated with CAB LA + RPV LA Q4W (+3.9) compared to patients treated with ART (+0.5). While it was unclear if the MCID from within group should apply to this comparison, the lower 95% CI of 2.5 would not have met any of the proposed within group MCIDs. The magnitude of difference between treatment arms was numerically small and unlikely to be of clinical significance.</w:t>
      </w:r>
    </w:p>
    <w:p w:rsidR="0081256C" w:rsidRPr="00E44873" w:rsidRDefault="00E67467" w:rsidP="00D1387B">
      <w:pPr>
        <w:pStyle w:val="ListParagraph"/>
        <w:widowControl/>
        <w:numPr>
          <w:ilvl w:val="1"/>
          <w:numId w:val="1"/>
        </w:numPr>
      </w:pPr>
      <w:r w:rsidRPr="00E44873">
        <w:t>The PSCR disagreed with the evaluation and argued there were substantial differences between the injectable and oral study arms and that the results of the HIVTSQ analyses are clinically meaningful. Further, the PSCR disagreed with the evaluation and argued that a subsequent post-hoc analysis to derive preference-based utility values from available trial data found that treatment with CAB LA + RPV LA was associated with a statistically significant improvement in SF-6D scores at weeks 24 and 48 vs. current oral anti-retroviral therapy.</w:t>
      </w:r>
      <w:r w:rsidR="0081256C" w:rsidRPr="00E44873">
        <w:t xml:space="preserve"> This post-hoc analysis was not evaluated.</w:t>
      </w:r>
    </w:p>
    <w:p w:rsidR="00E67467" w:rsidRDefault="0081256C" w:rsidP="00D1387B">
      <w:pPr>
        <w:pStyle w:val="ListParagraph"/>
        <w:widowControl/>
        <w:numPr>
          <w:ilvl w:val="1"/>
          <w:numId w:val="1"/>
        </w:numPr>
      </w:pPr>
      <w:r w:rsidRPr="00E44873">
        <w:t>The ESC considered that the claim of improved treatment satisfaction with CAB LA + RPV LA over current oral ART was likely overstated and not supported by the available evidence. Further, the ESC considered that there did not appear to be a significant unmet clinical need in the HIV treatment space for a long acting injectable as effective virologic suppression appears to be the primary driver behind patient satisfaction and there was limited evidence of adherence issues in the majority of the population. The ESC agreed, however, that a long acting injectable option for effective management of HIV infection would provide additional convenience for some patients and may also provide a level of additional adherence benefit in small sub-populations with known adherence issues.</w:t>
      </w:r>
    </w:p>
    <w:p w:rsidR="00DB0590" w:rsidRDefault="00DB0590" w:rsidP="00D1387B">
      <w:pPr>
        <w:pStyle w:val="ListParagraph"/>
        <w:widowControl/>
        <w:numPr>
          <w:ilvl w:val="1"/>
          <w:numId w:val="1"/>
        </w:numPr>
      </w:pPr>
      <w:r>
        <w:t xml:space="preserve">The Pre-PBAC Response argued the views expressed by the ESC that there did not appear to be a significant unmet clinical need for a long acting injectable did not account for real issues faced by people living with HIV and further argued these issues were complex and combined a range of emotional challenges, medial needs, patient preferences and the need to improve treatment adherence in some sub-populations. The Pre-PBAC Response further noted the input from organisations (discussed in paragraph 6.2) highlighted the reality and complexity of these issues and reinforced there was a genuine clinical need for alternatives to daily oral ART.  </w:t>
      </w:r>
    </w:p>
    <w:p w:rsidR="002C7402" w:rsidRDefault="002C7402" w:rsidP="00D1387B">
      <w:pPr>
        <w:pStyle w:val="ListParagraph"/>
        <w:widowControl/>
        <w:numPr>
          <w:ilvl w:val="1"/>
          <w:numId w:val="1"/>
        </w:numPr>
      </w:pPr>
      <w:r>
        <w:t>The Pre-PBAC Response further argued that the HIVTSQ is a validated questionnaire and disputed the view expressed by the ESC that the difference between treatment arms was numerically small and unlikely to be of clinical significance. The Response noted the result from the ATLAS study, which resulted in a treatment difference of 5.68 on the HIVTSQ</w:t>
      </w:r>
      <w:r w:rsidR="001B7B3E">
        <w:t>,</w:t>
      </w:r>
      <w:r>
        <w:t xml:space="preserve"> met the nominated MCID. </w:t>
      </w:r>
    </w:p>
    <w:p w:rsidR="007C7D0F" w:rsidRPr="00E44873" w:rsidRDefault="007C7D0F" w:rsidP="007C7D0F">
      <w:pPr>
        <w:pStyle w:val="ListParagraph"/>
        <w:widowControl/>
        <w:numPr>
          <w:ilvl w:val="1"/>
          <w:numId w:val="1"/>
        </w:numPr>
      </w:pPr>
      <w:r w:rsidRPr="00E44873">
        <w:t xml:space="preserve">Overall, the </w:t>
      </w:r>
      <w:r>
        <w:t xml:space="preserve">PBAC considered the </w:t>
      </w:r>
      <w:r w:rsidRPr="00E44873">
        <w:t xml:space="preserve">claim of improved patient satisfaction was not adequately supported as there was no evidence of improvement in quality of life measured by SF-12, and the nominated minimal clinically important difference (MCID) for HIVTSQ appeared to be an arbitrary measure and was likely inappropriate. It was also unclear if the trials were powered to detect meaningful differences in HIVTSQ given they were not primary outcomes, and patients enrolled in the CAB LA + RPV LA trials would likely be more biased towards favouring a LA injection as the route of administration. </w:t>
      </w:r>
    </w:p>
    <w:p w:rsidR="00D31976" w:rsidRPr="001C7B02" w:rsidRDefault="00D31976" w:rsidP="00D31976">
      <w:pPr>
        <w:pStyle w:val="Heading2"/>
      </w:pPr>
      <w:bookmarkStart w:id="17" w:name="_Toc62034930"/>
      <w:r w:rsidRPr="001C7B02">
        <w:t>Comparative harms</w:t>
      </w:r>
      <w:bookmarkEnd w:id="17"/>
    </w:p>
    <w:p w:rsidR="00D31976" w:rsidRPr="00E44873" w:rsidRDefault="00D31976" w:rsidP="00D31976">
      <w:pPr>
        <w:ind w:left="720" w:hanging="720"/>
      </w:pPr>
    </w:p>
    <w:p w:rsidR="00D31976" w:rsidRPr="00E44873" w:rsidRDefault="00B90AC3" w:rsidP="00D1387B">
      <w:pPr>
        <w:pStyle w:val="ListParagraph"/>
        <w:widowControl/>
        <w:numPr>
          <w:ilvl w:val="1"/>
          <w:numId w:val="1"/>
        </w:numPr>
      </w:pPr>
      <w:r w:rsidRPr="00B90AC3">
        <w:t>Table 10</w:t>
      </w:r>
      <w:r w:rsidR="00BF3522" w:rsidRPr="00E44873">
        <w:t xml:space="preserve"> </w:t>
      </w:r>
      <w:r w:rsidR="00D31976" w:rsidRPr="00E44873">
        <w:t xml:space="preserve">presents a summary of adverse events (AEs) across the randomised trials. </w:t>
      </w:r>
    </w:p>
    <w:p w:rsidR="00D31976" w:rsidRPr="00E44873" w:rsidRDefault="00BF3522" w:rsidP="00170CFC">
      <w:pPr>
        <w:pStyle w:val="Tabletext"/>
        <w:keepNext/>
        <w:keepLines/>
        <w:rPr>
          <w:rStyle w:val="CommentReference"/>
        </w:rPr>
      </w:pPr>
      <w:bookmarkStart w:id="18" w:name="_Ref59491145"/>
      <w:r w:rsidRPr="00E44873">
        <w:rPr>
          <w:rStyle w:val="CommentReference"/>
        </w:rPr>
        <w:t xml:space="preserve">Table </w:t>
      </w:r>
      <w:r w:rsidR="00B90AC3">
        <w:rPr>
          <w:rStyle w:val="CommentReference"/>
          <w:noProof/>
        </w:rPr>
        <w:t>10</w:t>
      </w:r>
      <w:bookmarkEnd w:id="18"/>
      <w:r w:rsidRPr="00E44873">
        <w:rPr>
          <w:rStyle w:val="CommentReference"/>
        </w:rPr>
        <w:t>:</w:t>
      </w:r>
      <w:r w:rsidR="00D31976" w:rsidRPr="00E44873">
        <w:rPr>
          <w:rStyle w:val="CommentReference"/>
        </w:rPr>
        <w:t xml:space="preserve"> Summary of key adverse events in the randomised trials at Week 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66"/>
        <w:gridCol w:w="869"/>
        <w:gridCol w:w="869"/>
        <w:gridCol w:w="869"/>
        <w:gridCol w:w="871"/>
        <w:gridCol w:w="869"/>
        <w:gridCol w:w="871"/>
        <w:gridCol w:w="869"/>
        <w:gridCol w:w="864"/>
      </w:tblGrid>
      <w:tr w:rsidR="00D31976" w:rsidRPr="00E44873" w:rsidTr="009B3D3F">
        <w:trPr>
          <w:tblHeader/>
        </w:trPr>
        <w:tc>
          <w:tcPr>
            <w:tcW w:w="1145" w:type="pct"/>
            <w:vMerge w:val="restart"/>
            <w:vAlign w:val="center"/>
          </w:tcPr>
          <w:p w:rsidR="00D31976" w:rsidRPr="00E44873" w:rsidRDefault="00D31976" w:rsidP="00170CFC">
            <w:pPr>
              <w:pStyle w:val="Tabletext"/>
              <w:keepNext/>
              <w:keepLines/>
              <w:rPr>
                <w:b/>
              </w:rPr>
            </w:pPr>
            <w:r w:rsidRPr="00E44873">
              <w:rPr>
                <w:b/>
              </w:rPr>
              <w:t>Outcome, n (%)</w:t>
            </w:r>
          </w:p>
        </w:tc>
        <w:tc>
          <w:tcPr>
            <w:tcW w:w="964" w:type="pct"/>
            <w:gridSpan w:val="2"/>
            <w:vAlign w:val="center"/>
          </w:tcPr>
          <w:p w:rsidR="00D31976" w:rsidRPr="00E44873" w:rsidRDefault="00D31976" w:rsidP="00170CFC">
            <w:pPr>
              <w:pStyle w:val="Tabletext"/>
              <w:keepNext/>
              <w:keepLines/>
              <w:jc w:val="center"/>
              <w:rPr>
                <w:b/>
              </w:rPr>
            </w:pPr>
            <w:r w:rsidRPr="00E44873">
              <w:rPr>
                <w:b/>
              </w:rPr>
              <w:t>FLAIR</w:t>
            </w:r>
          </w:p>
        </w:tc>
        <w:tc>
          <w:tcPr>
            <w:tcW w:w="965" w:type="pct"/>
            <w:gridSpan w:val="2"/>
            <w:vAlign w:val="center"/>
          </w:tcPr>
          <w:p w:rsidR="00D31976" w:rsidRPr="00E44873" w:rsidRDefault="00D31976" w:rsidP="00170CFC">
            <w:pPr>
              <w:pStyle w:val="Tabletext"/>
              <w:keepNext/>
              <w:keepLines/>
              <w:jc w:val="center"/>
              <w:rPr>
                <w:b/>
              </w:rPr>
            </w:pPr>
            <w:r w:rsidRPr="00E44873">
              <w:rPr>
                <w:b/>
              </w:rPr>
              <w:t>ATLAS</w:t>
            </w:r>
          </w:p>
        </w:tc>
        <w:tc>
          <w:tcPr>
            <w:tcW w:w="965" w:type="pct"/>
            <w:gridSpan w:val="2"/>
            <w:vAlign w:val="center"/>
          </w:tcPr>
          <w:p w:rsidR="00D31976" w:rsidRPr="00E44873" w:rsidRDefault="00D31976" w:rsidP="00170CFC">
            <w:pPr>
              <w:pStyle w:val="Tabletext"/>
              <w:keepNext/>
              <w:keepLines/>
              <w:jc w:val="center"/>
              <w:rPr>
                <w:b/>
              </w:rPr>
            </w:pPr>
            <w:r w:rsidRPr="00E44873">
              <w:rPr>
                <w:b/>
              </w:rPr>
              <w:t>ATLAS-2M</w:t>
            </w:r>
          </w:p>
        </w:tc>
        <w:tc>
          <w:tcPr>
            <w:tcW w:w="961" w:type="pct"/>
            <w:gridSpan w:val="2"/>
            <w:vAlign w:val="center"/>
          </w:tcPr>
          <w:p w:rsidR="00D31976" w:rsidRPr="00E44873" w:rsidRDefault="00D31976" w:rsidP="00170CFC">
            <w:pPr>
              <w:pStyle w:val="Tabletext"/>
              <w:keepNext/>
              <w:keepLines/>
              <w:jc w:val="center"/>
              <w:rPr>
                <w:b/>
              </w:rPr>
            </w:pPr>
            <w:r w:rsidRPr="00E44873">
              <w:rPr>
                <w:b/>
              </w:rPr>
              <w:t>SWORD 1&amp;2</w:t>
            </w:r>
          </w:p>
        </w:tc>
      </w:tr>
      <w:tr w:rsidR="00D31976" w:rsidRPr="00E44873" w:rsidTr="009B3D3F">
        <w:tc>
          <w:tcPr>
            <w:tcW w:w="1145" w:type="pct"/>
            <w:vMerge/>
            <w:vAlign w:val="center"/>
          </w:tcPr>
          <w:p w:rsidR="00D31976" w:rsidRPr="00E44873" w:rsidRDefault="00D31976" w:rsidP="00170CFC">
            <w:pPr>
              <w:pStyle w:val="Tabletext"/>
              <w:keepNext/>
              <w:keepLines/>
            </w:pPr>
          </w:p>
        </w:tc>
        <w:tc>
          <w:tcPr>
            <w:tcW w:w="482" w:type="pct"/>
            <w:vAlign w:val="center"/>
          </w:tcPr>
          <w:p w:rsidR="00BF3522" w:rsidRPr="00E44873" w:rsidRDefault="00D31976" w:rsidP="00170CFC">
            <w:pPr>
              <w:pStyle w:val="Tabletext"/>
              <w:keepNext/>
              <w:keepLines/>
              <w:jc w:val="center"/>
              <w:rPr>
                <w:b/>
                <w:bCs/>
              </w:rPr>
            </w:pPr>
            <w:r w:rsidRPr="00E44873">
              <w:rPr>
                <w:b/>
                <w:bCs/>
              </w:rPr>
              <w:t>CAB+</w:t>
            </w:r>
          </w:p>
          <w:p w:rsidR="00D31976" w:rsidRPr="00E44873" w:rsidRDefault="00D31976" w:rsidP="00170CFC">
            <w:pPr>
              <w:pStyle w:val="Tabletext"/>
              <w:keepNext/>
              <w:keepLines/>
              <w:jc w:val="center"/>
              <w:rPr>
                <w:b/>
                <w:bCs/>
              </w:rPr>
            </w:pPr>
            <w:r w:rsidRPr="00E44873">
              <w:rPr>
                <w:b/>
                <w:bCs/>
              </w:rPr>
              <w:t>RPV</w:t>
            </w:r>
            <w:r w:rsidR="00BF3522" w:rsidRPr="00E44873">
              <w:rPr>
                <w:b/>
                <w:bCs/>
              </w:rPr>
              <w:t xml:space="preserve"> Q4W</w:t>
            </w:r>
            <w:r w:rsidRPr="00E44873">
              <w:rPr>
                <w:b/>
                <w:bCs/>
              </w:rPr>
              <w:t xml:space="preserve"> (283)</w:t>
            </w:r>
          </w:p>
        </w:tc>
        <w:tc>
          <w:tcPr>
            <w:tcW w:w="482" w:type="pct"/>
            <w:vAlign w:val="center"/>
          </w:tcPr>
          <w:p w:rsidR="00D31976" w:rsidRPr="00E44873" w:rsidRDefault="00D31976" w:rsidP="00170CFC">
            <w:pPr>
              <w:pStyle w:val="Tabletext"/>
              <w:keepNext/>
              <w:keepLines/>
              <w:jc w:val="center"/>
              <w:rPr>
                <w:b/>
                <w:bCs/>
              </w:rPr>
            </w:pPr>
            <w:r w:rsidRPr="00E44873">
              <w:rPr>
                <w:b/>
                <w:bCs/>
              </w:rPr>
              <w:t>ART (283)</w:t>
            </w:r>
          </w:p>
        </w:tc>
        <w:tc>
          <w:tcPr>
            <w:tcW w:w="482" w:type="pct"/>
            <w:vAlign w:val="center"/>
          </w:tcPr>
          <w:p w:rsidR="00BF3522" w:rsidRPr="00E44873" w:rsidRDefault="00BF3522" w:rsidP="00170CFC">
            <w:pPr>
              <w:pStyle w:val="Tabletext"/>
              <w:keepNext/>
              <w:keepLines/>
              <w:jc w:val="center"/>
              <w:rPr>
                <w:b/>
                <w:bCs/>
              </w:rPr>
            </w:pPr>
            <w:r w:rsidRPr="00E44873">
              <w:rPr>
                <w:b/>
                <w:bCs/>
              </w:rPr>
              <w:t>CAB+</w:t>
            </w:r>
          </w:p>
          <w:p w:rsidR="00D31976" w:rsidRPr="00E44873" w:rsidRDefault="00BF3522" w:rsidP="00170CFC">
            <w:pPr>
              <w:pStyle w:val="Tabletext"/>
              <w:keepNext/>
              <w:keepLines/>
              <w:jc w:val="center"/>
              <w:rPr>
                <w:b/>
                <w:bCs/>
              </w:rPr>
            </w:pPr>
            <w:r w:rsidRPr="00E44873">
              <w:rPr>
                <w:b/>
                <w:bCs/>
              </w:rPr>
              <w:t xml:space="preserve">RPV Q4W </w:t>
            </w:r>
            <w:r w:rsidR="00D31976" w:rsidRPr="00E44873">
              <w:rPr>
                <w:b/>
                <w:bCs/>
              </w:rPr>
              <w:t>(308)</w:t>
            </w:r>
          </w:p>
        </w:tc>
        <w:tc>
          <w:tcPr>
            <w:tcW w:w="483" w:type="pct"/>
            <w:vAlign w:val="center"/>
          </w:tcPr>
          <w:p w:rsidR="00D31976" w:rsidRPr="00E44873" w:rsidRDefault="00D31976" w:rsidP="00170CFC">
            <w:pPr>
              <w:pStyle w:val="Tabletext"/>
              <w:keepNext/>
              <w:keepLines/>
              <w:jc w:val="center"/>
              <w:rPr>
                <w:b/>
                <w:bCs/>
              </w:rPr>
            </w:pPr>
            <w:r w:rsidRPr="00E44873">
              <w:rPr>
                <w:b/>
                <w:bCs/>
              </w:rPr>
              <w:t>ART (308)</w:t>
            </w:r>
          </w:p>
        </w:tc>
        <w:tc>
          <w:tcPr>
            <w:tcW w:w="482" w:type="pct"/>
            <w:vAlign w:val="center"/>
          </w:tcPr>
          <w:p w:rsidR="00BF3522" w:rsidRPr="00E44873" w:rsidRDefault="00BF3522" w:rsidP="00170CFC">
            <w:pPr>
              <w:pStyle w:val="Tabletext"/>
              <w:keepNext/>
              <w:keepLines/>
              <w:jc w:val="center"/>
              <w:rPr>
                <w:b/>
                <w:bCs/>
              </w:rPr>
            </w:pPr>
            <w:r w:rsidRPr="00E44873">
              <w:rPr>
                <w:b/>
                <w:bCs/>
              </w:rPr>
              <w:t>CAB+</w:t>
            </w:r>
          </w:p>
          <w:p w:rsidR="00D31976" w:rsidRPr="00E44873" w:rsidRDefault="00BF3522" w:rsidP="00170CFC">
            <w:pPr>
              <w:pStyle w:val="Tabletext"/>
              <w:keepNext/>
              <w:keepLines/>
              <w:jc w:val="center"/>
              <w:rPr>
                <w:b/>
                <w:bCs/>
              </w:rPr>
            </w:pPr>
            <w:r w:rsidRPr="00E44873">
              <w:rPr>
                <w:b/>
                <w:bCs/>
              </w:rPr>
              <w:t xml:space="preserve">RPV Q8W </w:t>
            </w:r>
            <w:r w:rsidR="00D31976" w:rsidRPr="00E44873">
              <w:rPr>
                <w:b/>
                <w:bCs/>
              </w:rPr>
              <w:t>(522)</w:t>
            </w:r>
          </w:p>
        </w:tc>
        <w:tc>
          <w:tcPr>
            <w:tcW w:w="483" w:type="pct"/>
            <w:vAlign w:val="center"/>
          </w:tcPr>
          <w:p w:rsidR="00BF3522" w:rsidRPr="00E44873" w:rsidRDefault="00BF3522" w:rsidP="00170CFC">
            <w:pPr>
              <w:pStyle w:val="Tabletext"/>
              <w:keepNext/>
              <w:keepLines/>
              <w:jc w:val="center"/>
              <w:rPr>
                <w:b/>
                <w:bCs/>
              </w:rPr>
            </w:pPr>
            <w:r w:rsidRPr="00E44873">
              <w:rPr>
                <w:b/>
                <w:bCs/>
              </w:rPr>
              <w:t>CAB+</w:t>
            </w:r>
          </w:p>
          <w:p w:rsidR="00D31976" w:rsidRPr="00E44873" w:rsidRDefault="00BF3522" w:rsidP="00170CFC">
            <w:pPr>
              <w:pStyle w:val="Tabletext"/>
              <w:keepNext/>
              <w:keepLines/>
              <w:jc w:val="center"/>
              <w:rPr>
                <w:b/>
                <w:bCs/>
              </w:rPr>
            </w:pPr>
            <w:r w:rsidRPr="00E44873">
              <w:rPr>
                <w:b/>
                <w:bCs/>
              </w:rPr>
              <w:t>RPV Q4W</w:t>
            </w:r>
            <w:r w:rsidR="00D31976" w:rsidRPr="00E44873">
              <w:rPr>
                <w:b/>
                <w:bCs/>
              </w:rPr>
              <w:t xml:space="preserve"> (523)</w:t>
            </w:r>
          </w:p>
        </w:tc>
        <w:tc>
          <w:tcPr>
            <w:tcW w:w="482" w:type="pct"/>
            <w:vAlign w:val="center"/>
          </w:tcPr>
          <w:p w:rsidR="00BF3522" w:rsidRPr="00E44873" w:rsidRDefault="00D31976" w:rsidP="00170CFC">
            <w:pPr>
              <w:pStyle w:val="Tabletext"/>
              <w:keepNext/>
              <w:keepLines/>
              <w:jc w:val="center"/>
              <w:rPr>
                <w:b/>
                <w:bCs/>
              </w:rPr>
            </w:pPr>
            <w:r w:rsidRPr="00E44873">
              <w:rPr>
                <w:b/>
                <w:bCs/>
              </w:rPr>
              <w:t>DTG+</w:t>
            </w:r>
          </w:p>
          <w:p w:rsidR="00D31976" w:rsidRPr="00E44873" w:rsidRDefault="00D31976" w:rsidP="00170CFC">
            <w:pPr>
              <w:pStyle w:val="Tabletext"/>
              <w:keepNext/>
              <w:keepLines/>
              <w:jc w:val="center"/>
              <w:rPr>
                <w:b/>
                <w:bCs/>
              </w:rPr>
            </w:pPr>
            <w:r w:rsidRPr="00E44873">
              <w:rPr>
                <w:b/>
                <w:bCs/>
              </w:rPr>
              <w:t>RPV (513)</w:t>
            </w:r>
          </w:p>
        </w:tc>
        <w:tc>
          <w:tcPr>
            <w:tcW w:w="479" w:type="pct"/>
            <w:vAlign w:val="center"/>
          </w:tcPr>
          <w:p w:rsidR="00D31976" w:rsidRPr="00E44873" w:rsidRDefault="00D31976" w:rsidP="00170CFC">
            <w:pPr>
              <w:pStyle w:val="Tabletext"/>
              <w:keepNext/>
              <w:keepLines/>
              <w:jc w:val="center"/>
              <w:rPr>
                <w:b/>
                <w:bCs/>
              </w:rPr>
            </w:pPr>
            <w:r w:rsidRPr="00E44873">
              <w:rPr>
                <w:b/>
                <w:bCs/>
              </w:rPr>
              <w:t>ART (511)</w:t>
            </w:r>
          </w:p>
        </w:tc>
      </w:tr>
      <w:tr w:rsidR="00D31976" w:rsidRPr="00E44873" w:rsidTr="009B3D3F">
        <w:tc>
          <w:tcPr>
            <w:tcW w:w="1145" w:type="pct"/>
            <w:vAlign w:val="center"/>
          </w:tcPr>
          <w:p w:rsidR="00D31976" w:rsidRPr="00E44873" w:rsidRDefault="00D31976" w:rsidP="00170CFC">
            <w:pPr>
              <w:pStyle w:val="Tabletext"/>
              <w:keepNext/>
              <w:keepLines/>
            </w:pPr>
            <w:r w:rsidRPr="00E44873">
              <w:t>Any AE</w:t>
            </w:r>
          </w:p>
        </w:tc>
        <w:tc>
          <w:tcPr>
            <w:tcW w:w="482" w:type="pct"/>
            <w:vAlign w:val="center"/>
          </w:tcPr>
          <w:p w:rsidR="00D31976" w:rsidRPr="00E44873" w:rsidRDefault="00D31976" w:rsidP="00170CFC">
            <w:pPr>
              <w:pStyle w:val="Tabletext"/>
              <w:keepNext/>
              <w:keepLines/>
              <w:jc w:val="center"/>
            </w:pPr>
            <w:r w:rsidRPr="00E44873">
              <w:t>267 (94)</w:t>
            </w:r>
          </w:p>
        </w:tc>
        <w:tc>
          <w:tcPr>
            <w:tcW w:w="482" w:type="pct"/>
            <w:vAlign w:val="center"/>
          </w:tcPr>
          <w:p w:rsidR="00D31976" w:rsidRPr="00E44873" w:rsidRDefault="00D31976" w:rsidP="00170CFC">
            <w:pPr>
              <w:pStyle w:val="Tabletext"/>
              <w:keepNext/>
              <w:keepLines/>
              <w:jc w:val="center"/>
            </w:pPr>
            <w:r w:rsidRPr="00E44873">
              <w:t>225 (80)</w:t>
            </w:r>
          </w:p>
        </w:tc>
        <w:tc>
          <w:tcPr>
            <w:tcW w:w="482" w:type="pct"/>
            <w:vAlign w:val="center"/>
          </w:tcPr>
          <w:p w:rsidR="00D31976" w:rsidRPr="00E44873" w:rsidRDefault="00D31976" w:rsidP="00170CFC">
            <w:pPr>
              <w:pStyle w:val="Tabletext"/>
              <w:keepNext/>
              <w:keepLines/>
              <w:jc w:val="center"/>
            </w:pPr>
            <w:r w:rsidRPr="00E44873">
              <w:t>294 (95)</w:t>
            </w:r>
          </w:p>
        </w:tc>
        <w:tc>
          <w:tcPr>
            <w:tcW w:w="483" w:type="pct"/>
            <w:vAlign w:val="center"/>
          </w:tcPr>
          <w:p w:rsidR="00D31976" w:rsidRPr="00E44873" w:rsidRDefault="00D31976" w:rsidP="00170CFC">
            <w:pPr>
              <w:pStyle w:val="Tabletext"/>
              <w:keepNext/>
              <w:keepLines/>
              <w:jc w:val="center"/>
            </w:pPr>
            <w:r w:rsidRPr="00E44873">
              <w:t>220 (71)</w:t>
            </w:r>
          </w:p>
        </w:tc>
        <w:tc>
          <w:tcPr>
            <w:tcW w:w="482" w:type="pct"/>
            <w:vAlign w:val="center"/>
          </w:tcPr>
          <w:p w:rsidR="00D31976" w:rsidRPr="00E44873" w:rsidRDefault="00D31976" w:rsidP="00170CFC">
            <w:pPr>
              <w:pStyle w:val="Tabletext"/>
              <w:keepNext/>
              <w:keepLines/>
              <w:jc w:val="center"/>
            </w:pPr>
            <w:r w:rsidRPr="00E44873">
              <w:t>473 (91)</w:t>
            </w:r>
          </w:p>
        </w:tc>
        <w:tc>
          <w:tcPr>
            <w:tcW w:w="483" w:type="pct"/>
            <w:vAlign w:val="center"/>
          </w:tcPr>
          <w:p w:rsidR="00D31976" w:rsidRPr="00E44873" w:rsidRDefault="00D31976" w:rsidP="00170CFC">
            <w:pPr>
              <w:pStyle w:val="Tabletext"/>
              <w:keepNext/>
              <w:keepLines/>
              <w:jc w:val="center"/>
            </w:pPr>
            <w:r w:rsidRPr="00E44873">
              <w:t>482 (92)</w:t>
            </w:r>
          </w:p>
        </w:tc>
        <w:tc>
          <w:tcPr>
            <w:tcW w:w="482" w:type="pct"/>
            <w:vAlign w:val="center"/>
          </w:tcPr>
          <w:p w:rsidR="00D31976" w:rsidRPr="00E44873" w:rsidRDefault="00D31976" w:rsidP="00170CFC">
            <w:pPr>
              <w:pStyle w:val="Tabletext"/>
              <w:keepNext/>
              <w:keepLines/>
              <w:jc w:val="center"/>
            </w:pPr>
            <w:r w:rsidRPr="00E44873">
              <w:t>395 (77)</w:t>
            </w:r>
          </w:p>
        </w:tc>
        <w:tc>
          <w:tcPr>
            <w:tcW w:w="479" w:type="pct"/>
            <w:vAlign w:val="center"/>
          </w:tcPr>
          <w:p w:rsidR="00D31976" w:rsidRPr="00E44873" w:rsidRDefault="00D31976" w:rsidP="00170CFC">
            <w:pPr>
              <w:pStyle w:val="Tabletext"/>
              <w:keepNext/>
              <w:keepLines/>
              <w:jc w:val="center"/>
            </w:pPr>
            <w:r w:rsidRPr="00E44873">
              <w:t>364 (71)</w:t>
            </w:r>
          </w:p>
        </w:tc>
      </w:tr>
      <w:tr w:rsidR="00D31976" w:rsidRPr="00E44873" w:rsidTr="009B3D3F">
        <w:tc>
          <w:tcPr>
            <w:tcW w:w="1145" w:type="pct"/>
            <w:vAlign w:val="center"/>
          </w:tcPr>
          <w:p w:rsidR="00D31976" w:rsidRPr="00E44873" w:rsidRDefault="00D31976" w:rsidP="00170CFC">
            <w:pPr>
              <w:pStyle w:val="Tabletext"/>
              <w:keepNext/>
              <w:keepLines/>
            </w:pPr>
            <w:r w:rsidRPr="00E44873">
              <w:t>Any AE, excluding ISRs</w:t>
            </w:r>
          </w:p>
        </w:tc>
        <w:tc>
          <w:tcPr>
            <w:tcW w:w="482" w:type="pct"/>
            <w:vAlign w:val="center"/>
          </w:tcPr>
          <w:p w:rsidR="00D31976" w:rsidRPr="00E44873" w:rsidRDefault="00D31976" w:rsidP="00170CFC">
            <w:pPr>
              <w:pStyle w:val="Tabletext"/>
              <w:keepNext/>
              <w:keepLines/>
              <w:jc w:val="center"/>
            </w:pPr>
            <w:r w:rsidRPr="00E44873">
              <w:t>246 (87)</w:t>
            </w:r>
          </w:p>
        </w:tc>
        <w:tc>
          <w:tcPr>
            <w:tcW w:w="482" w:type="pct"/>
            <w:vAlign w:val="center"/>
          </w:tcPr>
          <w:p w:rsidR="00D31976" w:rsidRPr="00E44873" w:rsidRDefault="00D31976" w:rsidP="00170CFC">
            <w:pPr>
              <w:pStyle w:val="Tabletext"/>
              <w:keepNext/>
              <w:keepLines/>
              <w:jc w:val="center"/>
            </w:pPr>
            <w:r w:rsidRPr="00E44873">
              <w:t>225 (80)</w:t>
            </w:r>
          </w:p>
        </w:tc>
        <w:tc>
          <w:tcPr>
            <w:tcW w:w="482" w:type="pct"/>
            <w:vAlign w:val="center"/>
          </w:tcPr>
          <w:p w:rsidR="00D31976" w:rsidRPr="00E44873" w:rsidRDefault="00D31976" w:rsidP="00170CFC">
            <w:pPr>
              <w:pStyle w:val="Tabletext"/>
              <w:keepNext/>
              <w:keepLines/>
              <w:jc w:val="center"/>
            </w:pPr>
            <w:r w:rsidRPr="00E44873">
              <w:t>264 (86)</w:t>
            </w:r>
          </w:p>
        </w:tc>
        <w:tc>
          <w:tcPr>
            <w:tcW w:w="483" w:type="pct"/>
            <w:vAlign w:val="center"/>
          </w:tcPr>
          <w:p w:rsidR="00D31976" w:rsidRPr="00E44873" w:rsidRDefault="00D31976" w:rsidP="00170CFC">
            <w:pPr>
              <w:pStyle w:val="Tabletext"/>
              <w:keepNext/>
              <w:keepLines/>
              <w:jc w:val="center"/>
            </w:pPr>
            <w:r w:rsidRPr="00E44873">
              <w:t>220 (71)</w:t>
            </w:r>
          </w:p>
        </w:tc>
        <w:tc>
          <w:tcPr>
            <w:tcW w:w="482" w:type="pct"/>
            <w:vAlign w:val="center"/>
          </w:tcPr>
          <w:p w:rsidR="00D31976" w:rsidRPr="00E44873" w:rsidRDefault="00D31976" w:rsidP="00170CFC">
            <w:pPr>
              <w:pStyle w:val="Tabletext"/>
              <w:keepNext/>
              <w:keepLines/>
              <w:jc w:val="center"/>
            </w:pPr>
            <w:r w:rsidRPr="00E44873">
              <w:t>403 (77)</w:t>
            </w:r>
          </w:p>
        </w:tc>
        <w:tc>
          <w:tcPr>
            <w:tcW w:w="483" w:type="pct"/>
            <w:vAlign w:val="center"/>
          </w:tcPr>
          <w:p w:rsidR="00D31976" w:rsidRPr="00E44873" w:rsidRDefault="00D31976" w:rsidP="00170CFC">
            <w:pPr>
              <w:pStyle w:val="Tabletext"/>
              <w:keepNext/>
              <w:keepLines/>
              <w:jc w:val="center"/>
            </w:pPr>
            <w:r w:rsidRPr="00E44873">
              <w:t>441 (84)</w:t>
            </w:r>
          </w:p>
        </w:tc>
        <w:tc>
          <w:tcPr>
            <w:tcW w:w="482" w:type="pct"/>
            <w:vAlign w:val="center"/>
          </w:tcPr>
          <w:p w:rsidR="00D31976" w:rsidRPr="00E44873" w:rsidRDefault="00D31976" w:rsidP="00170CFC">
            <w:pPr>
              <w:pStyle w:val="Tabletext"/>
              <w:keepNext/>
              <w:keepLines/>
              <w:jc w:val="center"/>
            </w:pPr>
            <w:r w:rsidRPr="00E44873">
              <w:t>395 (77)</w:t>
            </w:r>
          </w:p>
        </w:tc>
        <w:tc>
          <w:tcPr>
            <w:tcW w:w="479" w:type="pct"/>
            <w:vAlign w:val="center"/>
          </w:tcPr>
          <w:p w:rsidR="00D31976" w:rsidRPr="00E44873" w:rsidRDefault="00D31976" w:rsidP="00170CFC">
            <w:pPr>
              <w:pStyle w:val="Tabletext"/>
              <w:keepNext/>
              <w:keepLines/>
              <w:jc w:val="center"/>
            </w:pPr>
            <w:r w:rsidRPr="00E44873">
              <w:t>364 (71)</w:t>
            </w:r>
          </w:p>
        </w:tc>
      </w:tr>
      <w:tr w:rsidR="00D31976" w:rsidRPr="00E44873" w:rsidTr="009B3D3F">
        <w:tc>
          <w:tcPr>
            <w:tcW w:w="1145" w:type="pct"/>
            <w:vAlign w:val="center"/>
          </w:tcPr>
          <w:p w:rsidR="00D31976" w:rsidRPr="00E44873" w:rsidRDefault="00D31976" w:rsidP="00170CFC">
            <w:pPr>
              <w:pStyle w:val="Tabletext"/>
              <w:keepNext/>
              <w:keepLines/>
            </w:pPr>
            <w:r w:rsidRPr="00E44873">
              <w:t>ISR, n (%)</w:t>
            </w:r>
          </w:p>
        </w:tc>
        <w:tc>
          <w:tcPr>
            <w:tcW w:w="482" w:type="pct"/>
          </w:tcPr>
          <w:p w:rsidR="00D31976" w:rsidRPr="00E44873" w:rsidRDefault="00D31976" w:rsidP="00170CFC">
            <w:pPr>
              <w:pStyle w:val="Tabletext"/>
              <w:keepNext/>
              <w:keepLines/>
              <w:jc w:val="center"/>
            </w:pPr>
            <w:r w:rsidRPr="00E44873">
              <w:t>239 (86)</w:t>
            </w:r>
          </w:p>
        </w:tc>
        <w:tc>
          <w:tcPr>
            <w:tcW w:w="482" w:type="pct"/>
          </w:tcPr>
          <w:p w:rsidR="00D31976" w:rsidRPr="00E44873" w:rsidRDefault="00D31976" w:rsidP="00170CFC">
            <w:pPr>
              <w:pStyle w:val="Tabletext"/>
              <w:keepNext/>
              <w:keepLines/>
              <w:jc w:val="center"/>
            </w:pPr>
            <w:r w:rsidRPr="00E44873">
              <w:t>na</w:t>
            </w:r>
          </w:p>
        </w:tc>
        <w:tc>
          <w:tcPr>
            <w:tcW w:w="482" w:type="pct"/>
          </w:tcPr>
          <w:p w:rsidR="00D31976" w:rsidRPr="00E44873" w:rsidRDefault="00D31976" w:rsidP="00170CFC">
            <w:pPr>
              <w:pStyle w:val="Tabletext"/>
              <w:keepNext/>
              <w:keepLines/>
              <w:jc w:val="center"/>
            </w:pPr>
            <w:r w:rsidRPr="00E44873">
              <w:t>250 (83)</w:t>
            </w:r>
          </w:p>
        </w:tc>
        <w:tc>
          <w:tcPr>
            <w:tcW w:w="483" w:type="pct"/>
          </w:tcPr>
          <w:p w:rsidR="00D31976" w:rsidRPr="00E44873" w:rsidRDefault="00D31976" w:rsidP="00170CFC">
            <w:pPr>
              <w:pStyle w:val="Tabletext"/>
              <w:keepNext/>
              <w:keepLines/>
              <w:jc w:val="center"/>
            </w:pPr>
            <w:r w:rsidRPr="00E44873">
              <w:t>na</w:t>
            </w:r>
          </w:p>
        </w:tc>
        <w:tc>
          <w:tcPr>
            <w:tcW w:w="482" w:type="pct"/>
            <w:vAlign w:val="center"/>
          </w:tcPr>
          <w:p w:rsidR="00D31976" w:rsidRPr="00E44873" w:rsidRDefault="00D31976" w:rsidP="00170CFC">
            <w:pPr>
              <w:pStyle w:val="Tabletext"/>
              <w:keepNext/>
              <w:keepLines/>
              <w:jc w:val="center"/>
            </w:pPr>
            <w:r w:rsidRPr="00E44873">
              <w:t>392 (76)</w:t>
            </w:r>
          </w:p>
        </w:tc>
        <w:tc>
          <w:tcPr>
            <w:tcW w:w="483" w:type="pct"/>
            <w:vAlign w:val="center"/>
          </w:tcPr>
          <w:p w:rsidR="00D31976" w:rsidRPr="00E44873" w:rsidRDefault="00D31976" w:rsidP="00170CFC">
            <w:pPr>
              <w:pStyle w:val="Tabletext"/>
              <w:keepNext/>
              <w:keepLines/>
              <w:jc w:val="center"/>
            </w:pPr>
            <w:r w:rsidRPr="00E44873">
              <w:t>390 (75)</w:t>
            </w:r>
          </w:p>
        </w:tc>
        <w:tc>
          <w:tcPr>
            <w:tcW w:w="482" w:type="pct"/>
            <w:vAlign w:val="center"/>
          </w:tcPr>
          <w:p w:rsidR="00D31976" w:rsidRPr="00E44873" w:rsidRDefault="00D31976" w:rsidP="00170CFC">
            <w:pPr>
              <w:pStyle w:val="Tabletext"/>
              <w:keepNext/>
              <w:keepLines/>
              <w:jc w:val="center"/>
            </w:pPr>
            <w:r w:rsidRPr="00E44873">
              <w:t>na</w:t>
            </w:r>
          </w:p>
        </w:tc>
        <w:tc>
          <w:tcPr>
            <w:tcW w:w="479" w:type="pct"/>
            <w:vAlign w:val="center"/>
          </w:tcPr>
          <w:p w:rsidR="00D31976" w:rsidRPr="00E44873" w:rsidRDefault="00D31976" w:rsidP="00170CFC">
            <w:pPr>
              <w:pStyle w:val="Tabletext"/>
              <w:keepNext/>
              <w:keepLines/>
              <w:jc w:val="center"/>
            </w:pPr>
            <w:r w:rsidRPr="00E44873">
              <w:t>na</w:t>
            </w:r>
          </w:p>
        </w:tc>
      </w:tr>
      <w:tr w:rsidR="00D31976" w:rsidRPr="00E44873" w:rsidTr="009B3D3F">
        <w:tc>
          <w:tcPr>
            <w:tcW w:w="1145" w:type="pct"/>
            <w:vAlign w:val="center"/>
          </w:tcPr>
          <w:p w:rsidR="00D31976" w:rsidRPr="00E44873" w:rsidRDefault="00D31976" w:rsidP="00170CFC">
            <w:pPr>
              <w:pStyle w:val="Tabletext"/>
              <w:keepNext/>
              <w:keepLines/>
            </w:pPr>
            <w:r w:rsidRPr="00E44873">
              <w:t>Any Grade 3 to 5 AEs</w:t>
            </w:r>
          </w:p>
        </w:tc>
        <w:tc>
          <w:tcPr>
            <w:tcW w:w="482" w:type="pct"/>
          </w:tcPr>
          <w:p w:rsidR="00D31976" w:rsidRPr="00E44873" w:rsidRDefault="00D31976" w:rsidP="00170CFC">
            <w:pPr>
              <w:pStyle w:val="Tabletext"/>
              <w:keepNext/>
              <w:keepLines/>
              <w:jc w:val="center"/>
            </w:pPr>
            <w:r w:rsidRPr="00E44873">
              <w:t>31 (11)</w:t>
            </w:r>
          </w:p>
        </w:tc>
        <w:tc>
          <w:tcPr>
            <w:tcW w:w="482" w:type="pct"/>
          </w:tcPr>
          <w:p w:rsidR="00D31976" w:rsidRPr="00E44873" w:rsidRDefault="00D31976" w:rsidP="00170CFC">
            <w:pPr>
              <w:pStyle w:val="Tabletext"/>
              <w:keepNext/>
              <w:keepLines/>
              <w:jc w:val="center"/>
            </w:pPr>
            <w:r w:rsidRPr="00E44873">
              <w:t>11 (4)</w:t>
            </w:r>
          </w:p>
        </w:tc>
        <w:tc>
          <w:tcPr>
            <w:tcW w:w="482" w:type="pct"/>
          </w:tcPr>
          <w:p w:rsidR="00D31976" w:rsidRPr="00E44873" w:rsidRDefault="00D31976" w:rsidP="00170CFC">
            <w:pPr>
              <w:pStyle w:val="Tabletext"/>
              <w:keepNext/>
              <w:keepLines/>
              <w:jc w:val="center"/>
            </w:pPr>
            <w:r w:rsidRPr="00E44873">
              <w:t>35 (11)</w:t>
            </w:r>
          </w:p>
        </w:tc>
        <w:tc>
          <w:tcPr>
            <w:tcW w:w="483" w:type="pct"/>
          </w:tcPr>
          <w:p w:rsidR="00D31976" w:rsidRPr="00E44873" w:rsidRDefault="00D31976" w:rsidP="00170CFC">
            <w:pPr>
              <w:pStyle w:val="Tabletext"/>
              <w:keepNext/>
              <w:keepLines/>
              <w:jc w:val="center"/>
            </w:pPr>
            <w:r w:rsidRPr="00E44873">
              <w:t>24 (8)</w:t>
            </w:r>
          </w:p>
        </w:tc>
        <w:tc>
          <w:tcPr>
            <w:tcW w:w="482" w:type="pct"/>
            <w:vAlign w:val="center"/>
          </w:tcPr>
          <w:p w:rsidR="00D31976" w:rsidRPr="00E44873" w:rsidRDefault="00D31976" w:rsidP="00170CFC">
            <w:pPr>
              <w:pStyle w:val="Tabletext"/>
              <w:keepNext/>
              <w:keepLines/>
              <w:jc w:val="center"/>
            </w:pPr>
            <w:r w:rsidRPr="00E44873">
              <w:t>41 (8)</w:t>
            </w:r>
          </w:p>
        </w:tc>
        <w:tc>
          <w:tcPr>
            <w:tcW w:w="483" w:type="pct"/>
            <w:vAlign w:val="center"/>
          </w:tcPr>
          <w:p w:rsidR="00D31976" w:rsidRPr="00E44873" w:rsidRDefault="00D31976" w:rsidP="00170CFC">
            <w:pPr>
              <w:pStyle w:val="Tabletext"/>
              <w:keepNext/>
              <w:keepLines/>
              <w:jc w:val="center"/>
            </w:pPr>
            <w:r w:rsidRPr="00E44873">
              <w:t>49 (9)</w:t>
            </w:r>
          </w:p>
        </w:tc>
        <w:tc>
          <w:tcPr>
            <w:tcW w:w="482" w:type="pct"/>
            <w:vAlign w:val="center"/>
          </w:tcPr>
          <w:p w:rsidR="00D31976" w:rsidRPr="00E44873" w:rsidRDefault="00D31976" w:rsidP="00170CFC">
            <w:pPr>
              <w:pStyle w:val="Tabletext"/>
              <w:keepNext/>
              <w:keepLines/>
              <w:jc w:val="center"/>
            </w:pPr>
            <w:r w:rsidRPr="00E44873">
              <w:t>148 (28)</w:t>
            </w:r>
          </w:p>
        </w:tc>
        <w:tc>
          <w:tcPr>
            <w:tcW w:w="479" w:type="pct"/>
            <w:vAlign w:val="center"/>
          </w:tcPr>
          <w:p w:rsidR="00D31976" w:rsidRPr="00E44873" w:rsidRDefault="00D31976" w:rsidP="00170CFC">
            <w:pPr>
              <w:pStyle w:val="Tabletext"/>
              <w:keepNext/>
              <w:keepLines/>
              <w:jc w:val="center"/>
            </w:pPr>
            <w:r w:rsidRPr="00E44873">
              <w:t>120 (24)</w:t>
            </w:r>
          </w:p>
        </w:tc>
      </w:tr>
      <w:tr w:rsidR="00D31976" w:rsidRPr="00E44873" w:rsidTr="009B3D3F">
        <w:tc>
          <w:tcPr>
            <w:tcW w:w="1145" w:type="pct"/>
            <w:vAlign w:val="center"/>
          </w:tcPr>
          <w:p w:rsidR="00D31976" w:rsidRPr="00E44873" w:rsidRDefault="00D31976" w:rsidP="00170CFC">
            <w:pPr>
              <w:pStyle w:val="Tabletext"/>
              <w:keepNext/>
              <w:keepLines/>
            </w:pPr>
            <w:r w:rsidRPr="00E44873">
              <w:t>Any Grade 3 to 5 AEs, excluding ISRs</w:t>
            </w:r>
            <w:r w:rsidRPr="00E44873">
              <w:rPr>
                <w:vertAlign w:val="superscript"/>
              </w:rPr>
              <w:t>a</w:t>
            </w:r>
          </w:p>
        </w:tc>
        <w:tc>
          <w:tcPr>
            <w:tcW w:w="482" w:type="pct"/>
            <w:vAlign w:val="center"/>
          </w:tcPr>
          <w:p w:rsidR="00D31976" w:rsidRPr="00E44873" w:rsidRDefault="00D31976" w:rsidP="00170CFC">
            <w:pPr>
              <w:pStyle w:val="Tabletext"/>
              <w:keepNext/>
              <w:keepLines/>
              <w:jc w:val="center"/>
            </w:pPr>
            <w:r w:rsidRPr="00E44873">
              <w:t>22 (8)</w:t>
            </w:r>
          </w:p>
        </w:tc>
        <w:tc>
          <w:tcPr>
            <w:tcW w:w="482" w:type="pct"/>
            <w:vAlign w:val="center"/>
          </w:tcPr>
          <w:p w:rsidR="00D31976" w:rsidRPr="00E44873" w:rsidRDefault="00D31976" w:rsidP="00170CFC">
            <w:pPr>
              <w:pStyle w:val="Tabletext"/>
              <w:keepNext/>
              <w:keepLines/>
              <w:jc w:val="center"/>
            </w:pPr>
            <w:r w:rsidRPr="00E44873">
              <w:t>11 (4)</w:t>
            </w:r>
          </w:p>
        </w:tc>
        <w:tc>
          <w:tcPr>
            <w:tcW w:w="482" w:type="pct"/>
            <w:vAlign w:val="center"/>
          </w:tcPr>
          <w:p w:rsidR="00D31976" w:rsidRPr="00E44873" w:rsidRDefault="00D31976" w:rsidP="00170CFC">
            <w:pPr>
              <w:pStyle w:val="Tabletext"/>
              <w:keepNext/>
              <w:keepLines/>
              <w:jc w:val="center"/>
            </w:pPr>
            <w:r w:rsidRPr="00E44873">
              <w:t>25 (8)</w:t>
            </w:r>
          </w:p>
        </w:tc>
        <w:tc>
          <w:tcPr>
            <w:tcW w:w="483" w:type="pct"/>
            <w:vAlign w:val="center"/>
          </w:tcPr>
          <w:p w:rsidR="00D31976" w:rsidRPr="00E44873" w:rsidRDefault="00D31976" w:rsidP="00170CFC">
            <w:pPr>
              <w:pStyle w:val="Tabletext"/>
              <w:keepNext/>
              <w:keepLines/>
              <w:jc w:val="center"/>
            </w:pPr>
            <w:r w:rsidRPr="00E44873">
              <w:t>24 (8)</w:t>
            </w:r>
          </w:p>
        </w:tc>
        <w:tc>
          <w:tcPr>
            <w:tcW w:w="482" w:type="pct"/>
            <w:vAlign w:val="center"/>
          </w:tcPr>
          <w:p w:rsidR="00D31976" w:rsidRPr="00E44873" w:rsidRDefault="00D31976" w:rsidP="00170CFC">
            <w:pPr>
              <w:pStyle w:val="Tabletext"/>
              <w:keepNext/>
              <w:keepLines/>
              <w:jc w:val="center"/>
            </w:pPr>
            <w:r w:rsidRPr="00E44873">
              <w:t>29 (6)</w:t>
            </w:r>
          </w:p>
        </w:tc>
        <w:tc>
          <w:tcPr>
            <w:tcW w:w="483" w:type="pct"/>
            <w:vAlign w:val="center"/>
          </w:tcPr>
          <w:p w:rsidR="00D31976" w:rsidRPr="00E44873" w:rsidRDefault="00D31976" w:rsidP="00170CFC">
            <w:pPr>
              <w:pStyle w:val="Tabletext"/>
              <w:keepNext/>
              <w:keepLines/>
              <w:jc w:val="center"/>
            </w:pPr>
            <w:r w:rsidRPr="00E44873">
              <w:t>30 (6)</w:t>
            </w:r>
          </w:p>
        </w:tc>
        <w:tc>
          <w:tcPr>
            <w:tcW w:w="482" w:type="pct"/>
            <w:vAlign w:val="center"/>
          </w:tcPr>
          <w:p w:rsidR="00D31976" w:rsidRPr="00E44873" w:rsidRDefault="00D31976" w:rsidP="00170CFC">
            <w:pPr>
              <w:pStyle w:val="Tabletext"/>
              <w:keepNext/>
              <w:keepLines/>
              <w:jc w:val="center"/>
            </w:pPr>
            <w:r w:rsidRPr="00E44873">
              <w:t>33 (6)</w:t>
            </w:r>
          </w:p>
        </w:tc>
        <w:tc>
          <w:tcPr>
            <w:tcW w:w="479" w:type="pct"/>
            <w:vAlign w:val="center"/>
          </w:tcPr>
          <w:p w:rsidR="00D31976" w:rsidRPr="00E44873" w:rsidRDefault="00D31976" w:rsidP="00170CFC">
            <w:pPr>
              <w:pStyle w:val="Tabletext"/>
              <w:keepNext/>
              <w:keepLines/>
              <w:jc w:val="center"/>
            </w:pPr>
            <w:r w:rsidRPr="00E44873">
              <w:t>21 (4)</w:t>
            </w:r>
          </w:p>
        </w:tc>
      </w:tr>
      <w:tr w:rsidR="00D31976" w:rsidRPr="00E44873" w:rsidTr="009B3D3F">
        <w:tc>
          <w:tcPr>
            <w:tcW w:w="1145" w:type="pct"/>
            <w:vAlign w:val="center"/>
          </w:tcPr>
          <w:p w:rsidR="00D31976" w:rsidRPr="00E44873" w:rsidRDefault="00D31976" w:rsidP="00170CFC">
            <w:pPr>
              <w:pStyle w:val="Tabletext"/>
              <w:keepNext/>
              <w:keepLines/>
              <w:rPr>
                <w:highlight w:val="yellow"/>
              </w:rPr>
            </w:pPr>
            <w:r w:rsidRPr="00E44873">
              <w:t>Any drug-related AE</w:t>
            </w:r>
          </w:p>
        </w:tc>
        <w:tc>
          <w:tcPr>
            <w:tcW w:w="482" w:type="pct"/>
            <w:vAlign w:val="center"/>
          </w:tcPr>
          <w:p w:rsidR="00D31976" w:rsidRPr="00E44873" w:rsidRDefault="00D31976" w:rsidP="00170CFC">
            <w:pPr>
              <w:pStyle w:val="Tabletext"/>
              <w:keepNext/>
              <w:keepLines/>
              <w:jc w:val="center"/>
            </w:pPr>
            <w:r w:rsidRPr="00E44873">
              <w:t>236 (83)</w:t>
            </w:r>
          </w:p>
        </w:tc>
        <w:tc>
          <w:tcPr>
            <w:tcW w:w="482" w:type="pct"/>
            <w:vAlign w:val="center"/>
          </w:tcPr>
          <w:p w:rsidR="00D31976" w:rsidRPr="00E44873" w:rsidRDefault="00D31976" w:rsidP="00170CFC">
            <w:pPr>
              <w:pStyle w:val="Tabletext"/>
              <w:keepNext/>
              <w:keepLines/>
              <w:jc w:val="center"/>
            </w:pPr>
            <w:r w:rsidRPr="00E44873">
              <w:t>28 (10)</w:t>
            </w:r>
          </w:p>
        </w:tc>
        <w:tc>
          <w:tcPr>
            <w:tcW w:w="482" w:type="pct"/>
            <w:vAlign w:val="center"/>
          </w:tcPr>
          <w:p w:rsidR="00D31976" w:rsidRPr="00E44873" w:rsidRDefault="00D31976" w:rsidP="00170CFC">
            <w:pPr>
              <w:pStyle w:val="Tabletext"/>
              <w:keepNext/>
              <w:keepLines/>
              <w:jc w:val="center"/>
            </w:pPr>
            <w:r w:rsidRPr="00E44873">
              <w:t>255 (83)</w:t>
            </w:r>
          </w:p>
        </w:tc>
        <w:tc>
          <w:tcPr>
            <w:tcW w:w="483" w:type="pct"/>
            <w:vAlign w:val="center"/>
          </w:tcPr>
          <w:p w:rsidR="00D31976" w:rsidRPr="00E44873" w:rsidRDefault="00D31976" w:rsidP="00170CFC">
            <w:pPr>
              <w:pStyle w:val="Tabletext"/>
              <w:keepNext/>
              <w:keepLines/>
              <w:jc w:val="center"/>
            </w:pPr>
            <w:r w:rsidRPr="00E44873">
              <w:t>8 (3)</w:t>
            </w:r>
          </w:p>
        </w:tc>
        <w:tc>
          <w:tcPr>
            <w:tcW w:w="482" w:type="pct"/>
            <w:vAlign w:val="center"/>
          </w:tcPr>
          <w:p w:rsidR="00D31976" w:rsidRPr="00E44873" w:rsidRDefault="00D31976" w:rsidP="00170CFC">
            <w:pPr>
              <w:pStyle w:val="Tabletext"/>
              <w:keepNext/>
              <w:keepLines/>
              <w:jc w:val="center"/>
            </w:pPr>
            <w:r w:rsidRPr="00E44873">
              <w:t>400 (77)</w:t>
            </w:r>
          </w:p>
        </w:tc>
        <w:tc>
          <w:tcPr>
            <w:tcW w:w="483" w:type="pct"/>
            <w:vAlign w:val="center"/>
          </w:tcPr>
          <w:p w:rsidR="00D31976" w:rsidRPr="00E44873" w:rsidRDefault="00D31976" w:rsidP="00170CFC">
            <w:pPr>
              <w:pStyle w:val="Tabletext"/>
              <w:keepNext/>
              <w:keepLines/>
              <w:jc w:val="center"/>
            </w:pPr>
            <w:r w:rsidRPr="00E44873">
              <w:t>399 (76)</w:t>
            </w:r>
          </w:p>
        </w:tc>
        <w:tc>
          <w:tcPr>
            <w:tcW w:w="482" w:type="pct"/>
            <w:vAlign w:val="center"/>
          </w:tcPr>
          <w:p w:rsidR="00D31976" w:rsidRPr="00E44873" w:rsidRDefault="00D31976" w:rsidP="00170CFC">
            <w:pPr>
              <w:pStyle w:val="Tabletext"/>
              <w:keepNext/>
              <w:keepLines/>
              <w:jc w:val="center"/>
            </w:pPr>
            <w:r w:rsidRPr="00E44873">
              <w:t>97 (19)</w:t>
            </w:r>
          </w:p>
        </w:tc>
        <w:tc>
          <w:tcPr>
            <w:tcW w:w="479" w:type="pct"/>
            <w:vAlign w:val="center"/>
          </w:tcPr>
          <w:p w:rsidR="00D31976" w:rsidRPr="00E44873" w:rsidRDefault="00D31976" w:rsidP="00170CFC">
            <w:pPr>
              <w:pStyle w:val="Tabletext"/>
              <w:keepNext/>
              <w:keepLines/>
              <w:jc w:val="center"/>
            </w:pPr>
            <w:r w:rsidRPr="00E44873">
              <w:t>9 (2)</w:t>
            </w:r>
          </w:p>
        </w:tc>
      </w:tr>
      <w:tr w:rsidR="00D31976" w:rsidRPr="00E44873" w:rsidTr="009B3D3F">
        <w:tc>
          <w:tcPr>
            <w:tcW w:w="1145" w:type="pct"/>
            <w:vAlign w:val="center"/>
          </w:tcPr>
          <w:p w:rsidR="00D31976" w:rsidRPr="00E44873" w:rsidRDefault="00D31976" w:rsidP="00170CFC">
            <w:pPr>
              <w:pStyle w:val="Tabletext"/>
              <w:keepNext/>
              <w:keepLines/>
              <w:rPr>
                <w:highlight w:val="yellow"/>
              </w:rPr>
            </w:pPr>
            <w:r w:rsidRPr="00E44873">
              <w:t>Any drug-related AE, excluding ISRs</w:t>
            </w:r>
          </w:p>
        </w:tc>
        <w:tc>
          <w:tcPr>
            <w:tcW w:w="482" w:type="pct"/>
            <w:vAlign w:val="center"/>
          </w:tcPr>
          <w:p w:rsidR="00D31976" w:rsidRPr="00E44873" w:rsidRDefault="00D31976" w:rsidP="00170CFC">
            <w:pPr>
              <w:pStyle w:val="Tabletext"/>
              <w:keepNext/>
              <w:keepLines/>
              <w:jc w:val="center"/>
            </w:pPr>
            <w:r w:rsidRPr="00E44873">
              <w:t>79 (28)</w:t>
            </w:r>
          </w:p>
        </w:tc>
        <w:tc>
          <w:tcPr>
            <w:tcW w:w="482" w:type="pct"/>
            <w:vAlign w:val="center"/>
          </w:tcPr>
          <w:p w:rsidR="00D31976" w:rsidRPr="00E44873" w:rsidRDefault="00D31976" w:rsidP="00170CFC">
            <w:pPr>
              <w:pStyle w:val="Tabletext"/>
              <w:keepNext/>
              <w:keepLines/>
              <w:jc w:val="center"/>
            </w:pPr>
            <w:r w:rsidRPr="00E44873">
              <w:t>28 (10)</w:t>
            </w:r>
          </w:p>
        </w:tc>
        <w:tc>
          <w:tcPr>
            <w:tcW w:w="482" w:type="pct"/>
            <w:vAlign w:val="center"/>
          </w:tcPr>
          <w:p w:rsidR="00D31976" w:rsidRPr="00E44873" w:rsidRDefault="00D31976" w:rsidP="00170CFC">
            <w:pPr>
              <w:pStyle w:val="Tabletext"/>
              <w:keepNext/>
              <w:keepLines/>
              <w:jc w:val="center"/>
            </w:pPr>
            <w:r w:rsidRPr="00E44873">
              <w:t>88 (29)</w:t>
            </w:r>
          </w:p>
        </w:tc>
        <w:tc>
          <w:tcPr>
            <w:tcW w:w="483" w:type="pct"/>
            <w:vAlign w:val="center"/>
          </w:tcPr>
          <w:p w:rsidR="00D31976" w:rsidRPr="00E44873" w:rsidRDefault="00D31976" w:rsidP="00170CFC">
            <w:pPr>
              <w:pStyle w:val="Tabletext"/>
              <w:keepNext/>
              <w:keepLines/>
              <w:jc w:val="center"/>
            </w:pPr>
            <w:r w:rsidRPr="00E44873">
              <w:t>8 (3)</w:t>
            </w:r>
          </w:p>
        </w:tc>
        <w:tc>
          <w:tcPr>
            <w:tcW w:w="482" w:type="pct"/>
            <w:vAlign w:val="center"/>
          </w:tcPr>
          <w:p w:rsidR="00D31976" w:rsidRPr="00E44873" w:rsidRDefault="00D31976" w:rsidP="00170CFC">
            <w:pPr>
              <w:pStyle w:val="Tabletext"/>
              <w:keepNext/>
              <w:keepLines/>
              <w:jc w:val="center"/>
            </w:pPr>
            <w:r w:rsidRPr="00E44873">
              <w:t>109 (21)</w:t>
            </w:r>
          </w:p>
        </w:tc>
        <w:tc>
          <w:tcPr>
            <w:tcW w:w="483" w:type="pct"/>
            <w:vAlign w:val="center"/>
          </w:tcPr>
          <w:p w:rsidR="00D31976" w:rsidRPr="00E44873" w:rsidRDefault="00D31976" w:rsidP="00170CFC">
            <w:pPr>
              <w:pStyle w:val="Tabletext"/>
              <w:keepNext/>
              <w:keepLines/>
              <w:jc w:val="center"/>
            </w:pPr>
            <w:r w:rsidRPr="00E44873">
              <w:t>125 (24)</w:t>
            </w:r>
          </w:p>
        </w:tc>
        <w:tc>
          <w:tcPr>
            <w:tcW w:w="482" w:type="pct"/>
            <w:vAlign w:val="center"/>
          </w:tcPr>
          <w:p w:rsidR="00D31976" w:rsidRPr="00E44873" w:rsidRDefault="00D31976" w:rsidP="00170CFC">
            <w:pPr>
              <w:pStyle w:val="Tabletext"/>
              <w:keepNext/>
              <w:keepLines/>
              <w:jc w:val="center"/>
            </w:pPr>
            <w:r w:rsidRPr="00E44873">
              <w:t>97 (19)</w:t>
            </w:r>
          </w:p>
        </w:tc>
        <w:tc>
          <w:tcPr>
            <w:tcW w:w="479" w:type="pct"/>
            <w:vAlign w:val="center"/>
          </w:tcPr>
          <w:p w:rsidR="00D31976" w:rsidRPr="00E44873" w:rsidRDefault="00D31976" w:rsidP="00170CFC">
            <w:pPr>
              <w:pStyle w:val="Tabletext"/>
              <w:keepNext/>
              <w:keepLines/>
              <w:jc w:val="center"/>
            </w:pPr>
            <w:r w:rsidRPr="00E44873">
              <w:t>9 (2)</w:t>
            </w:r>
          </w:p>
        </w:tc>
      </w:tr>
      <w:tr w:rsidR="00D31976" w:rsidRPr="00E44873" w:rsidTr="009B3D3F">
        <w:tc>
          <w:tcPr>
            <w:tcW w:w="1145" w:type="pct"/>
            <w:vAlign w:val="center"/>
          </w:tcPr>
          <w:p w:rsidR="00D31976" w:rsidRPr="00E44873" w:rsidRDefault="00D31976" w:rsidP="00170CFC">
            <w:pPr>
              <w:pStyle w:val="Tabletext"/>
              <w:keepNext/>
              <w:keepLines/>
            </w:pPr>
            <w:r w:rsidRPr="00E44873">
              <w:t>AEs leading to withdrawal</w:t>
            </w:r>
          </w:p>
        </w:tc>
        <w:tc>
          <w:tcPr>
            <w:tcW w:w="482" w:type="pct"/>
            <w:vAlign w:val="center"/>
          </w:tcPr>
          <w:p w:rsidR="00D31976" w:rsidRPr="00E44873" w:rsidRDefault="00D31976" w:rsidP="00170CFC">
            <w:pPr>
              <w:pStyle w:val="Tabletext"/>
              <w:keepNext/>
              <w:keepLines/>
              <w:jc w:val="center"/>
            </w:pPr>
            <w:r w:rsidRPr="00E44873">
              <w:t>9 (3)</w:t>
            </w:r>
          </w:p>
        </w:tc>
        <w:tc>
          <w:tcPr>
            <w:tcW w:w="482" w:type="pct"/>
            <w:vAlign w:val="center"/>
          </w:tcPr>
          <w:p w:rsidR="00D31976" w:rsidRPr="00E44873" w:rsidRDefault="00D31976" w:rsidP="00170CFC">
            <w:pPr>
              <w:pStyle w:val="Tabletext"/>
              <w:keepNext/>
              <w:keepLines/>
              <w:jc w:val="center"/>
            </w:pPr>
            <w:r w:rsidRPr="00E44873">
              <w:t>4 (1)</w:t>
            </w:r>
          </w:p>
        </w:tc>
        <w:tc>
          <w:tcPr>
            <w:tcW w:w="482" w:type="pct"/>
            <w:vAlign w:val="center"/>
          </w:tcPr>
          <w:p w:rsidR="00D31976" w:rsidRPr="00E44873" w:rsidRDefault="00D31976" w:rsidP="00170CFC">
            <w:pPr>
              <w:pStyle w:val="Tabletext"/>
              <w:keepNext/>
              <w:keepLines/>
              <w:jc w:val="center"/>
            </w:pPr>
            <w:r w:rsidRPr="00E44873">
              <w:t>10 (3)</w:t>
            </w:r>
          </w:p>
        </w:tc>
        <w:tc>
          <w:tcPr>
            <w:tcW w:w="483" w:type="pct"/>
            <w:vAlign w:val="center"/>
          </w:tcPr>
          <w:p w:rsidR="00D31976" w:rsidRPr="00E44873" w:rsidRDefault="00D31976" w:rsidP="00170CFC">
            <w:pPr>
              <w:pStyle w:val="Tabletext"/>
              <w:keepNext/>
              <w:keepLines/>
              <w:jc w:val="center"/>
            </w:pPr>
            <w:r w:rsidRPr="00E44873">
              <w:t>1 (&lt;1)</w:t>
            </w:r>
          </w:p>
        </w:tc>
        <w:tc>
          <w:tcPr>
            <w:tcW w:w="482" w:type="pct"/>
            <w:vAlign w:val="center"/>
          </w:tcPr>
          <w:p w:rsidR="00D31976" w:rsidRPr="00E44873" w:rsidRDefault="00D31976" w:rsidP="00170CFC">
            <w:pPr>
              <w:pStyle w:val="Tabletext"/>
              <w:keepNext/>
              <w:keepLines/>
              <w:jc w:val="center"/>
            </w:pPr>
            <w:r w:rsidRPr="00E44873">
              <w:t>12 (2)</w:t>
            </w:r>
          </w:p>
        </w:tc>
        <w:tc>
          <w:tcPr>
            <w:tcW w:w="483" w:type="pct"/>
            <w:vAlign w:val="center"/>
          </w:tcPr>
          <w:p w:rsidR="00D31976" w:rsidRPr="00E44873" w:rsidRDefault="00D31976" w:rsidP="00170CFC">
            <w:pPr>
              <w:pStyle w:val="Tabletext"/>
              <w:keepNext/>
              <w:keepLines/>
              <w:jc w:val="center"/>
            </w:pPr>
            <w:r w:rsidRPr="00E44873">
              <w:t>13 (2)</w:t>
            </w:r>
          </w:p>
        </w:tc>
        <w:tc>
          <w:tcPr>
            <w:tcW w:w="482" w:type="pct"/>
            <w:vAlign w:val="center"/>
          </w:tcPr>
          <w:p w:rsidR="00D31976" w:rsidRPr="00E44873" w:rsidRDefault="00D31976" w:rsidP="00170CFC">
            <w:pPr>
              <w:pStyle w:val="Tabletext"/>
              <w:keepNext/>
              <w:keepLines/>
              <w:jc w:val="center"/>
            </w:pPr>
            <w:r w:rsidRPr="00E44873">
              <w:t>21 (4)</w:t>
            </w:r>
          </w:p>
        </w:tc>
        <w:tc>
          <w:tcPr>
            <w:tcW w:w="479" w:type="pct"/>
            <w:vAlign w:val="center"/>
          </w:tcPr>
          <w:p w:rsidR="00D31976" w:rsidRPr="00E44873" w:rsidRDefault="00D31976" w:rsidP="00170CFC">
            <w:pPr>
              <w:pStyle w:val="Tabletext"/>
              <w:keepNext/>
              <w:keepLines/>
              <w:jc w:val="center"/>
            </w:pPr>
            <w:r w:rsidRPr="00E44873">
              <w:t>3 (&lt;1)</w:t>
            </w:r>
          </w:p>
        </w:tc>
      </w:tr>
      <w:tr w:rsidR="00D31976" w:rsidRPr="00E44873" w:rsidTr="009B3D3F">
        <w:tc>
          <w:tcPr>
            <w:tcW w:w="1145" w:type="pct"/>
            <w:vAlign w:val="center"/>
          </w:tcPr>
          <w:p w:rsidR="00D31976" w:rsidRPr="00E44873" w:rsidRDefault="00D31976" w:rsidP="00170CFC">
            <w:pPr>
              <w:pStyle w:val="Tabletext"/>
              <w:keepNext/>
              <w:keepLines/>
              <w:rPr>
                <w:highlight w:val="yellow"/>
              </w:rPr>
            </w:pPr>
            <w:r w:rsidRPr="00E44873">
              <w:rPr>
                <w:bCs/>
              </w:rPr>
              <w:t>Any SAE</w:t>
            </w:r>
          </w:p>
        </w:tc>
        <w:tc>
          <w:tcPr>
            <w:tcW w:w="482" w:type="pct"/>
            <w:vAlign w:val="center"/>
          </w:tcPr>
          <w:p w:rsidR="00D31976" w:rsidRPr="00E44873" w:rsidRDefault="00D31976" w:rsidP="00170CFC">
            <w:pPr>
              <w:pStyle w:val="Tabletext"/>
              <w:keepNext/>
              <w:keepLines/>
              <w:jc w:val="center"/>
            </w:pPr>
            <w:r w:rsidRPr="00E44873">
              <w:t>18 (6)</w:t>
            </w:r>
          </w:p>
        </w:tc>
        <w:tc>
          <w:tcPr>
            <w:tcW w:w="482" w:type="pct"/>
            <w:vAlign w:val="center"/>
          </w:tcPr>
          <w:p w:rsidR="00D31976" w:rsidRPr="00E44873" w:rsidRDefault="00D31976" w:rsidP="00170CFC">
            <w:pPr>
              <w:pStyle w:val="Tabletext"/>
              <w:keepNext/>
              <w:keepLines/>
              <w:jc w:val="center"/>
            </w:pPr>
            <w:r w:rsidRPr="00E44873">
              <w:t>12 (4)</w:t>
            </w:r>
          </w:p>
        </w:tc>
        <w:tc>
          <w:tcPr>
            <w:tcW w:w="482" w:type="pct"/>
            <w:vAlign w:val="center"/>
          </w:tcPr>
          <w:p w:rsidR="00D31976" w:rsidRPr="00E44873" w:rsidRDefault="00D31976" w:rsidP="00170CFC">
            <w:pPr>
              <w:pStyle w:val="Tabletext"/>
              <w:keepNext/>
              <w:keepLines/>
              <w:jc w:val="center"/>
            </w:pPr>
            <w:r w:rsidRPr="00E44873">
              <w:t>13 (4)</w:t>
            </w:r>
          </w:p>
        </w:tc>
        <w:tc>
          <w:tcPr>
            <w:tcW w:w="483" w:type="pct"/>
            <w:vAlign w:val="center"/>
          </w:tcPr>
          <w:p w:rsidR="00D31976" w:rsidRPr="00E44873" w:rsidRDefault="00D31976" w:rsidP="00170CFC">
            <w:pPr>
              <w:pStyle w:val="Tabletext"/>
              <w:keepNext/>
              <w:keepLines/>
              <w:jc w:val="center"/>
            </w:pPr>
            <w:r w:rsidRPr="00E44873">
              <w:t>14 (5)</w:t>
            </w:r>
          </w:p>
        </w:tc>
        <w:tc>
          <w:tcPr>
            <w:tcW w:w="482" w:type="pct"/>
            <w:vAlign w:val="center"/>
          </w:tcPr>
          <w:p w:rsidR="00D31976" w:rsidRPr="00E44873" w:rsidRDefault="00D31976" w:rsidP="00170CFC">
            <w:pPr>
              <w:pStyle w:val="Tabletext"/>
              <w:keepNext/>
              <w:keepLines/>
              <w:jc w:val="center"/>
            </w:pPr>
            <w:r w:rsidRPr="00E44873">
              <w:t>27 (5)</w:t>
            </w:r>
          </w:p>
        </w:tc>
        <w:tc>
          <w:tcPr>
            <w:tcW w:w="483" w:type="pct"/>
            <w:vAlign w:val="center"/>
          </w:tcPr>
          <w:p w:rsidR="00D31976" w:rsidRPr="00E44873" w:rsidRDefault="00D31976" w:rsidP="00170CFC">
            <w:pPr>
              <w:pStyle w:val="Tabletext"/>
              <w:keepNext/>
              <w:keepLines/>
              <w:jc w:val="center"/>
            </w:pPr>
            <w:r w:rsidRPr="00E44873">
              <w:t>19 (4)</w:t>
            </w:r>
          </w:p>
        </w:tc>
        <w:tc>
          <w:tcPr>
            <w:tcW w:w="482" w:type="pct"/>
            <w:vAlign w:val="center"/>
          </w:tcPr>
          <w:p w:rsidR="00D31976" w:rsidRPr="00E44873" w:rsidRDefault="00D31976" w:rsidP="00170CFC">
            <w:pPr>
              <w:pStyle w:val="Tabletext"/>
              <w:keepNext/>
              <w:keepLines/>
              <w:jc w:val="center"/>
            </w:pPr>
            <w:r w:rsidRPr="00E44873">
              <w:t>27 (5)</w:t>
            </w:r>
          </w:p>
        </w:tc>
        <w:tc>
          <w:tcPr>
            <w:tcW w:w="479" w:type="pct"/>
            <w:vAlign w:val="center"/>
          </w:tcPr>
          <w:p w:rsidR="00D31976" w:rsidRPr="00E44873" w:rsidRDefault="00D31976" w:rsidP="00170CFC">
            <w:pPr>
              <w:pStyle w:val="Tabletext"/>
              <w:keepNext/>
              <w:keepLines/>
              <w:jc w:val="center"/>
            </w:pPr>
            <w:r w:rsidRPr="00E44873">
              <w:t>21 (4)</w:t>
            </w:r>
          </w:p>
        </w:tc>
      </w:tr>
      <w:tr w:rsidR="00D31976" w:rsidRPr="00E44873" w:rsidTr="009B3D3F">
        <w:tc>
          <w:tcPr>
            <w:tcW w:w="1145" w:type="pct"/>
            <w:vAlign w:val="center"/>
          </w:tcPr>
          <w:p w:rsidR="00D31976" w:rsidRPr="00E44873" w:rsidRDefault="00D31976" w:rsidP="00170CFC">
            <w:pPr>
              <w:pStyle w:val="Tabletext"/>
              <w:keepNext/>
              <w:keepLines/>
            </w:pPr>
            <w:r w:rsidRPr="00E44873">
              <w:t>SAEs related to study treatment</w:t>
            </w:r>
          </w:p>
        </w:tc>
        <w:tc>
          <w:tcPr>
            <w:tcW w:w="482" w:type="pct"/>
            <w:vAlign w:val="center"/>
          </w:tcPr>
          <w:p w:rsidR="00D31976" w:rsidRPr="00E44873" w:rsidRDefault="00D31976" w:rsidP="00170CFC">
            <w:pPr>
              <w:pStyle w:val="Tabletext"/>
              <w:keepNext/>
              <w:keepLines/>
              <w:jc w:val="center"/>
            </w:pPr>
            <w:r w:rsidRPr="00E44873">
              <w:t>1 (&lt;1)</w:t>
            </w:r>
          </w:p>
        </w:tc>
        <w:tc>
          <w:tcPr>
            <w:tcW w:w="482"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3" w:type="pct"/>
            <w:vAlign w:val="center"/>
          </w:tcPr>
          <w:p w:rsidR="00D31976" w:rsidRPr="00E44873" w:rsidRDefault="00D31976" w:rsidP="00170CFC">
            <w:pPr>
              <w:pStyle w:val="Tabletext"/>
              <w:keepNext/>
              <w:keepLines/>
              <w:jc w:val="center"/>
            </w:pPr>
            <w:r w:rsidRPr="00E44873">
              <w:t>1 (&lt;1)</w:t>
            </w:r>
          </w:p>
        </w:tc>
        <w:tc>
          <w:tcPr>
            <w:tcW w:w="482" w:type="pct"/>
            <w:vAlign w:val="center"/>
          </w:tcPr>
          <w:p w:rsidR="00D31976" w:rsidRPr="00E44873" w:rsidRDefault="00D31976" w:rsidP="00170CFC">
            <w:pPr>
              <w:pStyle w:val="Tabletext"/>
              <w:keepNext/>
              <w:keepLines/>
              <w:jc w:val="center"/>
            </w:pPr>
            <w:r w:rsidRPr="00E44873">
              <w:t>3 (&lt;1)</w:t>
            </w:r>
          </w:p>
        </w:tc>
        <w:tc>
          <w:tcPr>
            <w:tcW w:w="483" w:type="pct"/>
            <w:vAlign w:val="center"/>
          </w:tcPr>
          <w:p w:rsidR="00D31976" w:rsidRPr="00E44873" w:rsidRDefault="00D31976" w:rsidP="00170CFC">
            <w:pPr>
              <w:pStyle w:val="Tabletext"/>
              <w:keepNext/>
              <w:keepLines/>
              <w:jc w:val="center"/>
            </w:pPr>
            <w:r w:rsidRPr="00E44873">
              <w:t>1 (&lt;1)</w:t>
            </w:r>
          </w:p>
        </w:tc>
        <w:tc>
          <w:tcPr>
            <w:tcW w:w="482" w:type="pct"/>
            <w:vAlign w:val="center"/>
          </w:tcPr>
          <w:p w:rsidR="00D31976" w:rsidRPr="00E44873" w:rsidRDefault="00D31976" w:rsidP="00170CFC">
            <w:pPr>
              <w:pStyle w:val="Tabletext"/>
              <w:keepNext/>
              <w:keepLines/>
              <w:jc w:val="center"/>
            </w:pPr>
            <w:r w:rsidRPr="00E44873">
              <w:t>4 (1)</w:t>
            </w:r>
          </w:p>
        </w:tc>
        <w:tc>
          <w:tcPr>
            <w:tcW w:w="479" w:type="pct"/>
            <w:vAlign w:val="center"/>
          </w:tcPr>
          <w:p w:rsidR="00D31976" w:rsidRPr="00E44873" w:rsidRDefault="00D31976" w:rsidP="00170CFC">
            <w:pPr>
              <w:pStyle w:val="Tabletext"/>
              <w:keepNext/>
              <w:keepLines/>
              <w:jc w:val="center"/>
            </w:pPr>
            <w:r w:rsidRPr="00E44873">
              <w:t>1 (&lt;1)</w:t>
            </w:r>
          </w:p>
        </w:tc>
      </w:tr>
      <w:tr w:rsidR="00D31976" w:rsidRPr="00E44873" w:rsidTr="009B3D3F">
        <w:tc>
          <w:tcPr>
            <w:tcW w:w="1145" w:type="pct"/>
            <w:vAlign w:val="center"/>
          </w:tcPr>
          <w:p w:rsidR="00D31976" w:rsidRPr="00E44873" w:rsidRDefault="00D31976" w:rsidP="00170CFC">
            <w:pPr>
              <w:pStyle w:val="Tabletext"/>
              <w:keepNext/>
              <w:keepLines/>
            </w:pPr>
            <w:r w:rsidRPr="00E44873">
              <w:t>Fatal SAEs</w:t>
            </w:r>
          </w:p>
        </w:tc>
        <w:tc>
          <w:tcPr>
            <w:tcW w:w="482"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3" w:type="pct"/>
            <w:vAlign w:val="center"/>
          </w:tcPr>
          <w:p w:rsidR="00D31976" w:rsidRPr="00E44873" w:rsidRDefault="00D31976" w:rsidP="00170CFC">
            <w:pPr>
              <w:pStyle w:val="Tabletext"/>
              <w:keepNext/>
              <w:keepLines/>
              <w:jc w:val="center"/>
            </w:pPr>
            <w:r w:rsidRPr="00E44873">
              <w:t>1 (&lt;1)</w:t>
            </w:r>
          </w:p>
        </w:tc>
        <w:tc>
          <w:tcPr>
            <w:tcW w:w="482" w:type="pct"/>
            <w:vAlign w:val="center"/>
          </w:tcPr>
          <w:p w:rsidR="00D31976" w:rsidRPr="00E44873" w:rsidRDefault="00D31976" w:rsidP="00170CFC">
            <w:pPr>
              <w:pStyle w:val="Tabletext"/>
              <w:keepNext/>
              <w:keepLines/>
              <w:jc w:val="center"/>
            </w:pPr>
            <w:r w:rsidRPr="00E44873">
              <w:t>1 (&lt;1)</w:t>
            </w:r>
          </w:p>
        </w:tc>
        <w:tc>
          <w:tcPr>
            <w:tcW w:w="483"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1 (&lt;1)</w:t>
            </w:r>
          </w:p>
        </w:tc>
        <w:tc>
          <w:tcPr>
            <w:tcW w:w="479" w:type="pct"/>
            <w:vAlign w:val="center"/>
          </w:tcPr>
          <w:p w:rsidR="00D31976" w:rsidRPr="00E44873" w:rsidRDefault="00D31976" w:rsidP="00170CFC">
            <w:pPr>
              <w:pStyle w:val="Tabletext"/>
              <w:keepNext/>
              <w:keepLines/>
              <w:jc w:val="center"/>
            </w:pPr>
            <w:r w:rsidRPr="00E44873">
              <w:t>1 (&lt;1)</w:t>
            </w:r>
          </w:p>
        </w:tc>
      </w:tr>
      <w:tr w:rsidR="00D31976" w:rsidRPr="00E44873" w:rsidTr="009B3D3F">
        <w:tc>
          <w:tcPr>
            <w:tcW w:w="1145" w:type="pct"/>
            <w:vAlign w:val="center"/>
          </w:tcPr>
          <w:p w:rsidR="00D31976" w:rsidRPr="00E44873" w:rsidRDefault="00D31976" w:rsidP="00170CFC">
            <w:pPr>
              <w:pStyle w:val="Tabletext"/>
              <w:keepNext/>
              <w:keepLines/>
            </w:pPr>
            <w:r w:rsidRPr="00E44873">
              <w:t>Drug related fatal SAEs</w:t>
            </w:r>
          </w:p>
        </w:tc>
        <w:tc>
          <w:tcPr>
            <w:tcW w:w="482"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3"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83" w:type="pct"/>
            <w:vAlign w:val="center"/>
          </w:tcPr>
          <w:p w:rsidR="00D31976" w:rsidRPr="00E44873" w:rsidRDefault="00D31976" w:rsidP="00170CFC">
            <w:pPr>
              <w:pStyle w:val="Tabletext"/>
              <w:keepNext/>
              <w:keepLines/>
              <w:jc w:val="center"/>
            </w:pPr>
            <w:r w:rsidRPr="00E44873">
              <w:t>0</w:t>
            </w:r>
          </w:p>
        </w:tc>
        <w:tc>
          <w:tcPr>
            <w:tcW w:w="482" w:type="pct"/>
            <w:vAlign w:val="center"/>
          </w:tcPr>
          <w:p w:rsidR="00D31976" w:rsidRPr="00E44873" w:rsidRDefault="00D31976" w:rsidP="00170CFC">
            <w:pPr>
              <w:pStyle w:val="Tabletext"/>
              <w:keepNext/>
              <w:keepLines/>
              <w:jc w:val="center"/>
            </w:pPr>
            <w:r w:rsidRPr="00E44873">
              <w:t>0</w:t>
            </w:r>
          </w:p>
        </w:tc>
        <w:tc>
          <w:tcPr>
            <w:tcW w:w="479" w:type="pct"/>
            <w:vAlign w:val="center"/>
          </w:tcPr>
          <w:p w:rsidR="00D31976" w:rsidRPr="00E44873" w:rsidRDefault="00D31976" w:rsidP="00170CFC">
            <w:pPr>
              <w:pStyle w:val="Tabletext"/>
              <w:keepNext/>
              <w:keepLines/>
              <w:jc w:val="center"/>
            </w:pPr>
            <w:r w:rsidRPr="00E44873">
              <w:t>0</w:t>
            </w:r>
          </w:p>
        </w:tc>
      </w:tr>
    </w:tbl>
    <w:p w:rsidR="00D31976" w:rsidRPr="00E44873" w:rsidRDefault="00D31976" w:rsidP="00170CFC">
      <w:pPr>
        <w:pStyle w:val="TableFooter"/>
        <w:keepNext/>
        <w:keepLines/>
        <w:rPr>
          <w:sz w:val="20"/>
        </w:rPr>
      </w:pPr>
      <w:r w:rsidRPr="00E44873">
        <w:t xml:space="preserve">Source: Table 46 &amp; 47, p99 &amp; 100 of the submission; Llibre 2018.  </w:t>
      </w:r>
    </w:p>
    <w:p w:rsidR="00D31976" w:rsidRPr="00E44873" w:rsidRDefault="00D31976" w:rsidP="00170CFC">
      <w:pPr>
        <w:pStyle w:val="TableFooter"/>
        <w:keepNext/>
        <w:keepLines/>
        <w:rPr>
          <w:rFonts w:eastAsia="Calibri"/>
        </w:rPr>
      </w:pPr>
      <w:r w:rsidRPr="00E44873">
        <w:rPr>
          <w:rFonts w:eastAsia="Calibri"/>
        </w:rPr>
        <w:t xml:space="preserve">AE = adverse event; ISR = injection site reaction; SAE = serious adverse event </w:t>
      </w:r>
    </w:p>
    <w:p w:rsidR="00D31976" w:rsidRPr="00E44873" w:rsidRDefault="00D31976" w:rsidP="00D31976">
      <w:pPr>
        <w:widowControl/>
      </w:pPr>
    </w:p>
    <w:p w:rsidR="00D31976" w:rsidRPr="00E44873" w:rsidRDefault="00D31976" w:rsidP="00D1387B">
      <w:pPr>
        <w:pStyle w:val="ListParagraph"/>
        <w:widowControl/>
        <w:numPr>
          <w:ilvl w:val="1"/>
          <w:numId w:val="1"/>
        </w:numPr>
      </w:pPr>
      <w:r w:rsidRPr="00E44873">
        <w:t xml:space="preserve">The most commonly reported AE </w:t>
      </w:r>
      <w:r w:rsidR="005168A5" w:rsidRPr="00E44873">
        <w:t xml:space="preserve">for CAB LA + RPV LA </w:t>
      </w:r>
      <w:r w:rsidRPr="00E44873">
        <w:t xml:space="preserve">was injection site reaction (ISR). As noted in the TGA clinical evaluation report, the ISRs varied from pruritus and erythema to pain and abscess formation and were generally mild or moderate with no serious (Grade 4 or 5) ISRs. Most ISRs resolved within 7 days although 16% lasted for 8 to 14 days and 17% lasted for &gt;14 days. </w:t>
      </w:r>
    </w:p>
    <w:p w:rsidR="00D31976" w:rsidRPr="00E44873" w:rsidRDefault="00417743" w:rsidP="00D1387B">
      <w:pPr>
        <w:pStyle w:val="ListParagraph"/>
        <w:widowControl/>
        <w:numPr>
          <w:ilvl w:val="1"/>
          <w:numId w:val="1"/>
        </w:numPr>
      </w:pPr>
      <w:r w:rsidRPr="00E44873">
        <w:t>A</w:t>
      </w:r>
      <w:r w:rsidR="00631EE8" w:rsidRPr="00E44873">
        <w:t xml:space="preserve">n </w:t>
      </w:r>
      <w:r w:rsidRPr="00E44873">
        <w:t xml:space="preserve">indirect comparison was performed during the evaluation that indicated no significant differences between the CAB LA + RPV LA and DTG + RPV at week 48 when ISRs were excluded. </w:t>
      </w:r>
      <w:r w:rsidR="00D31976" w:rsidRPr="00E44873">
        <w:t>The TGA evaluator noted that non-ISR AEs that occurred more frequently with CAB</w:t>
      </w:r>
      <w:r w:rsidR="005168A5" w:rsidRPr="00E44873">
        <w:t xml:space="preserve"> LA</w:t>
      </w:r>
      <w:r w:rsidR="00D31976" w:rsidRPr="00E44873">
        <w:t xml:space="preserve"> + RPV </w:t>
      </w:r>
      <w:r w:rsidR="005168A5" w:rsidRPr="00E44873">
        <w:t xml:space="preserve">LA </w:t>
      </w:r>
      <w:r w:rsidR="00D31976" w:rsidRPr="00E44873">
        <w:t xml:space="preserve">were haemorrhoids, pyrexia, dizziness, fatigue, and headache. The most common reason for withdrawal was the development of acute viral hepatitis, of which there were </w:t>
      </w:r>
      <w:r w:rsidR="005168A5" w:rsidRPr="00E44873">
        <w:t>eight</w:t>
      </w:r>
      <w:r w:rsidR="00D31976" w:rsidRPr="00E44873">
        <w:t xml:space="preserve"> cases in the CAB </w:t>
      </w:r>
      <w:r w:rsidR="005168A5" w:rsidRPr="00E44873">
        <w:t xml:space="preserve">LA </w:t>
      </w:r>
      <w:r w:rsidR="00D31976" w:rsidRPr="00E44873">
        <w:t xml:space="preserve">+ RPV </w:t>
      </w:r>
      <w:r w:rsidR="005168A5" w:rsidRPr="00E44873">
        <w:t xml:space="preserve">LA </w:t>
      </w:r>
      <w:r w:rsidR="00D31976" w:rsidRPr="00E44873">
        <w:t xml:space="preserve">group and </w:t>
      </w:r>
      <w:r w:rsidR="005168A5" w:rsidRPr="00E44873">
        <w:t>zero</w:t>
      </w:r>
      <w:r w:rsidR="00D31976" w:rsidRPr="00E44873">
        <w:t xml:space="preserve"> cases in the ART group. This particular observation requires additional monitoring.</w:t>
      </w:r>
    </w:p>
    <w:p w:rsidR="00D31976" w:rsidRPr="00E44873" w:rsidRDefault="00D31976" w:rsidP="00D1387B">
      <w:pPr>
        <w:pStyle w:val="ListParagraph"/>
        <w:widowControl/>
        <w:numPr>
          <w:ilvl w:val="1"/>
          <w:numId w:val="1"/>
        </w:numPr>
        <w:spacing w:after="120"/>
      </w:pPr>
      <w:r w:rsidRPr="00E44873">
        <w:t xml:space="preserve">The TGA clinical evaluator considered that “overall, CAB </w:t>
      </w:r>
      <w:r w:rsidR="005168A5" w:rsidRPr="00E44873">
        <w:t xml:space="preserve">LA </w:t>
      </w:r>
      <w:r w:rsidRPr="00E44873">
        <w:t>+ RPV LA suspension for IM injection appeared to be well-tolerated with an acceptable safety profile that is similar to other ART regimens. Although ISRs occurred frequently, few were treatment limiting. Other important risks of hepatotoxicity (including acute viral hepatitis) should be weighed against the convenience of once monthly dosing” (TGA clinical evaluation report round 2, p 36).</w:t>
      </w:r>
    </w:p>
    <w:p w:rsidR="00D31976" w:rsidRPr="001C7B02" w:rsidRDefault="00D31976" w:rsidP="00D31976">
      <w:pPr>
        <w:pStyle w:val="Heading2"/>
      </w:pPr>
      <w:bookmarkStart w:id="19" w:name="_Toc62034931"/>
      <w:r w:rsidRPr="001C7B02">
        <w:t>Benefits/harms</w:t>
      </w:r>
      <w:bookmarkEnd w:id="19"/>
    </w:p>
    <w:p w:rsidR="00D31976" w:rsidRPr="00E44873" w:rsidRDefault="00D31976" w:rsidP="00D31976"/>
    <w:p w:rsidR="00D31976" w:rsidRPr="00E44873" w:rsidRDefault="00135340" w:rsidP="00D1387B">
      <w:pPr>
        <w:pStyle w:val="ListParagraph"/>
        <w:widowControl/>
        <w:numPr>
          <w:ilvl w:val="1"/>
          <w:numId w:val="1"/>
        </w:numPr>
      </w:pPr>
      <w:r w:rsidRPr="00E44873">
        <w:rPr>
          <w:snapToGrid/>
          <w:lang w:val="en-US"/>
        </w:rPr>
        <w:t>A comparison of benefits and harms for CAB LA + RPV LA versus DTG + RPV has not been presented, given the submission’s claim of non-inferior effectiveness and acceptable safety.</w:t>
      </w:r>
    </w:p>
    <w:p w:rsidR="00631EE8" w:rsidRPr="00E44873" w:rsidRDefault="00135340" w:rsidP="00D1387B">
      <w:pPr>
        <w:pStyle w:val="ListParagraph"/>
        <w:widowControl/>
        <w:numPr>
          <w:ilvl w:val="1"/>
          <w:numId w:val="1"/>
        </w:numPr>
      </w:pPr>
      <w:r w:rsidRPr="00E44873">
        <w:t xml:space="preserve">The claim of additional benefits to patients who have an unmet need for an alternative to daily oral ART was not adequately supported by the </w:t>
      </w:r>
      <w:r w:rsidR="005B2FC7" w:rsidRPr="00E44873">
        <w:t xml:space="preserve">patient reported outcomes presented in the </w:t>
      </w:r>
      <w:r w:rsidRPr="00E44873">
        <w:t xml:space="preserve">clinical evidence. </w:t>
      </w:r>
    </w:p>
    <w:p w:rsidR="00D31976" w:rsidRPr="001C7B02" w:rsidRDefault="00D31976" w:rsidP="00D31976">
      <w:pPr>
        <w:pStyle w:val="Heading2"/>
      </w:pPr>
      <w:bookmarkStart w:id="20" w:name="_Toc62034932"/>
      <w:r w:rsidRPr="001C7B02">
        <w:t>Clinical claim</w:t>
      </w:r>
      <w:bookmarkEnd w:id="20"/>
    </w:p>
    <w:p w:rsidR="00D31976" w:rsidRPr="00E44873" w:rsidRDefault="00D31976" w:rsidP="00D31976"/>
    <w:p w:rsidR="00BF3522" w:rsidRPr="00E44873" w:rsidRDefault="00D31976" w:rsidP="00D1387B">
      <w:pPr>
        <w:pStyle w:val="ListParagraph"/>
        <w:widowControl/>
        <w:numPr>
          <w:ilvl w:val="1"/>
          <w:numId w:val="1"/>
        </w:numPr>
      </w:pPr>
      <w:r w:rsidRPr="00E44873">
        <w:t xml:space="preserve">The submission described CAB </w:t>
      </w:r>
      <w:r w:rsidR="005168A5" w:rsidRPr="00E44873">
        <w:t xml:space="preserve">LA </w:t>
      </w:r>
      <w:r w:rsidRPr="00E44873">
        <w:t xml:space="preserve">+ RPV </w:t>
      </w:r>
      <w:r w:rsidR="005168A5" w:rsidRPr="00E44873">
        <w:t xml:space="preserve">LA </w:t>
      </w:r>
      <w:r w:rsidRPr="00E44873">
        <w:t>as non-inferior in terms of effectiveness compared with DTG/RPV in the treatment of HIV infection in treatment experienced patients. Although the results of the submission’s indirect comparison indicated non-inferiority was met, this claim requires consideration given that</w:t>
      </w:r>
      <w:r w:rsidR="00BF3522" w:rsidRPr="00E44873">
        <w:t>:</w:t>
      </w:r>
    </w:p>
    <w:p w:rsidR="00BF3522" w:rsidRPr="00E44873" w:rsidRDefault="003A79CE" w:rsidP="00BF3522">
      <w:pPr>
        <w:pStyle w:val="Bulletpoints"/>
        <w:spacing w:after="120"/>
        <w:ind w:left="993" w:hanging="284"/>
      </w:pPr>
      <w:r w:rsidRPr="00E44873">
        <w:t>U</w:t>
      </w:r>
      <w:r w:rsidR="00BF3522" w:rsidRPr="00E44873">
        <w:t>sing the Missing, Switch, Discontinue = Failure algorithm, non-inferiority for the outcome of patients who experienced virological failure could not be concluded for CAB LA + RPV LA Q8W versus DTG + RPV;</w:t>
      </w:r>
      <w:r w:rsidR="000344B8" w:rsidRPr="00E44873">
        <w:t xml:space="preserve"> and</w:t>
      </w:r>
    </w:p>
    <w:p w:rsidR="000344B8" w:rsidRPr="00E44873" w:rsidRDefault="000344B8" w:rsidP="000344B8">
      <w:pPr>
        <w:pStyle w:val="Bulletpoints"/>
        <w:spacing w:after="120"/>
        <w:ind w:left="993" w:hanging="284"/>
      </w:pPr>
      <w:r w:rsidRPr="00E44873">
        <w:t xml:space="preserve">While the nominated non-inferiority margins have been previously accepted by the PBAC, the two-step indirect comparison used to generate the results may have introduced additional </w:t>
      </w:r>
      <w:r w:rsidR="00737C75" w:rsidRPr="00E44873">
        <w:t>material uncertainty not captured by the confidence interval</w:t>
      </w:r>
      <w:r w:rsidRPr="00E44873">
        <w:t xml:space="preserve">. </w:t>
      </w:r>
      <w:r w:rsidR="00737C75" w:rsidRPr="00E44873">
        <w:t xml:space="preserve">The confidence interval of a two-step indirect comparison may be too narrow (as a measure of uncertainty) and extremely difficult to interpret in the context of a pre-specified non-inferiority margin. </w:t>
      </w:r>
    </w:p>
    <w:p w:rsidR="00D512DE" w:rsidRPr="00E44873" w:rsidRDefault="00D512DE" w:rsidP="00D1387B">
      <w:pPr>
        <w:pStyle w:val="ListParagraph"/>
        <w:widowControl/>
        <w:numPr>
          <w:ilvl w:val="1"/>
          <w:numId w:val="1"/>
        </w:numPr>
      </w:pPr>
      <w:r w:rsidRPr="00E44873">
        <w:t>Comparatively, the results of one-step indirect comparison results (for DTG + RPV vs CAB + RPV Q4W) consistently produced more favourable results (when considering the point estimate for the risk difference) for the Q4W option compared to Q8W (in 2-step analyses) with regard to virological failure and virological success. However, it was noted that A</w:t>
      </w:r>
      <w:r w:rsidR="00B66C7E" w:rsidRPr="00E44873">
        <w:t>C</w:t>
      </w:r>
      <w:r w:rsidRPr="00E44873">
        <w:t>M advised that, overall, the efficacy and safety of Q8W dosing appears to be similar to that of Q4W, and that both the one monthly and two monthly dosing scheduled are approvable.</w:t>
      </w:r>
    </w:p>
    <w:p w:rsidR="00C858F5" w:rsidRPr="00E44873" w:rsidRDefault="00C858F5" w:rsidP="00D1387B">
      <w:pPr>
        <w:pStyle w:val="Bulletpoints"/>
        <w:numPr>
          <w:ilvl w:val="1"/>
          <w:numId w:val="1"/>
        </w:numPr>
      </w:pPr>
      <w:r w:rsidRPr="00E44873">
        <w:t>On balance, the ESC considered the claim of non-inferior comparative eff</w:t>
      </w:r>
      <w:r w:rsidR="005579AF" w:rsidRPr="00E44873">
        <w:t>ectiveness</w:t>
      </w:r>
      <w:r w:rsidRPr="00E44873">
        <w:t xml:space="preserve"> </w:t>
      </w:r>
      <w:r w:rsidR="005579AF" w:rsidRPr="00E44873">
        <w:t xml:space="preserve">of </w:t>
      </w:r>
      <w:r w:rsidRPr="00E44873">
        <w:t>CAB LA + RPV LA Q8W</w:t>
      </w:r>
      <w:r w:rsidR="005579AF" w:rsidRPr="00E44873">
        <w:t xml:space="preserve"> and DTG/RPV</w:t>
      </w:r>
      <w:r w:rsidRPr="00E44873">
        <w:t>, with regards to HIV virologic</w:t>
      </w:r>
      <w:r w:rsidR="00DF4F56" w:rsidRPr="00E44873">
        <w:t>al</w:t>
      </w:r>
      <w:r w:rsidRPr="00E44873">
        <w:t xml:space="preserve"> suppression, was probably reasonable but noted the </w:t>
      </w:r>
      <w:r w:rsidR="005579AF" w:rsidRPr="00E44873">
        <w:t xml:space="preserve">non-inferiority margin </w:t>
      </w:r>
      <w:r w:rsidRPr="00E44873">
        <w:t xml:space="preserve">bordered on </w:t>
      </w:r>
      <w:r w:rsidR="005579AF" w:rsidRPr="00E44873">
        <w:t xml:space="preserve">CAB LA + RPV LA Q8W </w:t>
      </w:r>
      <w:r w:rsidR="006352CC" w:rsidRPr="00E44873">
        <w:t>not meeting the non-inferiority margin</w:t>
      </w:r>
      <w:r w:rsidRPr="00E44873">
        <w:t xml:space="preserve">.  </w:t>
      </w:r>
    </w:p>
    <w:p w:rsidR="00C858F5" w:rsidRPr="00E44873" w:rsidRDefault="00C858F5" w:rsidP="00C858F5">
      <w:pPr>
        <w:widowControl/>
      </w:pPr>
    </w:p>
    <w:p w:rsidR="00D31976" w:rsidRPr="00E44873" w:rsidRDefault="00D31976" w:rsidP="00D1387B">
      <w:pPr>
        <w:pStyle w:val="ListParagraph"/>
        <w:widowControl/>
        <w:numPr>
          <w:ilvl w:val="1"/>
          <w:numId w:val="1"/>
        </w:numPr>
      </w:pPr>
      <w:r w:rsidRPr="00E44873">
        <w:t xml:space="preserve">The submission claimed that the CAB LA + RPV LA Q8W “has an acceptable safety profile for the treatment of HIV infection”. </w:t>
      </w:r>
      <w:r w:rsidR="00BF3522" w:rsidRPr="00E44873">
        <w:t xml:space="preserve">This was reasonable. While 75-86% of all patients treated with CAB LA + RPV LA in FLAIR, ATLAS and ATLAS-2M experienced ISRs, </w:t>
      </w:r>
      <w:r w:rsidR="00417743" w:rsidRPr="00E44873">
        <w:t xml:space="preserve">few were treatment limiting. Despite </w:t>
      </w:r>
      <w:r w:rsidR="00BF3522" w:rsidRPr="00E44873">
        <w:t xml:space="preserve">there </w:t>
      </w:r>
      <w:r w:rsidR="00417743" w:rsidRPr="00E44873">
        <w:t xml:space="preserve">being potential </w:t>
      </w:r>
      <w:r w:rsidR="00BF3522" w:rsidRPr="00E44873">
        <w:t>safety signals with hepatotoxicity, the TGA</w:t>
      </w:r>
      <w:r w:rsidR="00417743" w:rsidRPr="00E44873">
        <w:t xml:space="preserve"> also considered that </w:t>
      </w:r>
      <w:r w:rsidR="00BF3522" w:rsidRPr="00E44873">
        <w:t xml:space="preserve">overall, CAB </w:t>
      </w:r>
      <w:r w:rsidR="005168A5" w:rsidRPr="00E44873">
        <w:t xml:space="preserve">LA </w:t>
      </w:r>
      <w:r w:rsidR="00BF3522" w:rsidRPr="00E44873">
        <w:t>+ RPV LA suspension for IM injection appeared to be well-tolerated with an acceptable safety profile that is similar to other ART regimens. An</w:t>
      </w:r>
      <w:r w:rsidR="004B36E5" w:rsidRPr="00E44873">
        <w:t xml:space="preserve"> </w:t>
      </w:r>
      <w:r w:rsidR="00BF3522" w:rsidRPr="00E44873">
        <w:t>indirect comparison was performed during the evaluation that indicated no significant differences between the CAB LA + RPV LA and DTG + RPV at week 48 when ISRs were excluded.</w:t>
      </w:r>
      <w:r w:rsidR="00C858F5" w:rsidRPr="00E44873">
        <w:t xml:space="preserve"> The ESC considered this claim was reasonable</w:t>
      </w:r>
      <w:r w:rsidR="000C2164">
        <w:t>.</w:t>
      </w:r>
    </w:p>
    <w:p w:rsidR="007274FB" w:rsidRPr="00E44873" w:rsidRDefault="00D31976" w:rsidP="00D1387B">
      <w:pPr>
        <w:pStyle w:val="ListParagraph"/>
        <w:widowControl/>
        <w:numPr>
          <w:ilvl w:val="1"/>
          <w:numId w:val="1"/>
        </w:numPr>
      </w:pPr>
      <w:bookmarkStart w:id="21" w:name="_Ref61377035"/>
      <w:r w:rsidRPr="00E44873">
        <w:t xml:space="preserve">The submission also stated that CAB </w:t>
      </w:r>
      <w:r w:rsidR="005168A5" w:rsidRPr="00E44873">
        <w:t xml:space="preserve">LA </w:t>
      </w:r>
      <w:r w:rsidRPr="00E44873">
        <w:t xml:space="preserve">+ RPV </w:t>
      </w:r>
      <w:r w:rsidR="005168A5" w:rsidRPr="00E44873">
        <w:t xml:space="preserve">LA </w:t>
      </w:r>
      <w:r w:rsidRPr="00E44873">
        <w:t xml:space="preserve">provides additional benefits to patients who have an unmet need for an alternative to daily oral ART (QoL impacts such as anxiety and worry due to the requirement to adhere to daily treatment, stigma and associated reminder of disease, fear of unintentional disclosure, patient preference, convenience, less frequent dosing and medical conditions affecting oral dosing). </w:t>
      </w:r>
      <w:r w:rsidR="00417743" w:rsidRPr="00E44873">
        <w:t>Overall, the</w:t>
      </w:r>
      <w:r w:rsidR="00676505" w:rsidRPr="00E44873">
        <w:t xml:space="preserve"> ESC considered the</w:t>
      </w:r>
      <w:r w:rsidR="00417743" w:rsidRPr="00E44873">
        <w:t xml:space="preserve"> claim of improved patient </w:t>
      </w:r>
      <w:r w:rsidR="007274FB" w:rsidRPr="00E44873">
        <w:t xml:space="preserve">quality of life </w:t>
      </w:r>
      <w:r w:rsidR="00417743" w:rsidRPr="00E44873">
        <w:t>was not adequately supported</w:t>
      </w:r>
      <w:r w:rsidR="007274FB" w:rsidRPr="00E44873">
        <w:t xml:space="preserve"> as:</w:t>
      </w:r>
      <w:bookmarkEnd w:id="21"/>
    </w:p>
    <w:p w:rsidR="007274FB" w:rsidRPr="00E44873" w:rsidRDefault="007274FB" w:rsidP="007274FB">
      <w:pPr>
        <w:pStyle w:val="Bulletpoints"/>
        <w:spacing w:after="120"/>
        <w:ind w:left="993" w:hanging="284"/>
      </w:pPr>
      <w:r w:rsidRPr="00E44873">
        <w:t xml:space="preserve">Patients with adherence problems were unlikely to be the target population as only patients who are virologically suppressed </w:t>
      </w:r>
      <w:r w:rsidR="005168A5" w:rsidRPr="00E44873">
        <w:t>a</w:t>
      </w:r>
      <w:r w:rsidRPr="00E44873">
        <w:t>re eligible for CAB LA + RPV LA treatment</w:t>
      </w:r>
      <w:r w:rsidR="005168A5" w:rsidRPr="00E44873">
        <w:t>.</w:t>
      </w:r>
    </w:p>
    <w:p w:rsidR="007274FB" w:rsidRPr="00E44873" w:rsidRDefault="00417743" w:rsidP="007274FB">
      <w:pPr>
        <w:pStyle w:val="Bulletpoints"/>
        <w:spacing w:after="120"/>
        <w:ind w:left="993" w:hanging="284"/>
      </w:pPr>
      <w:r w:rsidRPr="00E44873">
        <w:t>SF-12 results in FLAIR and ATLAS did not report any statistically significant differences between patients treated with CAB LA + RPV LA Q4W</w:t>
      </w:r>
      <w:r w:rsidR="007274FB" w:rsidRPr="00E44873">
        <w:t xml:space="preserve"> and oral ART at any time point</w:t>
      </w:r>
      <w:r w:rsidR="005168A5" w:rsidRPr="00E44873">
        <w:t>.</w:t>
      </w:r>
    </w:p>
    <w:p w:rsidR="00D31976" w:rsidRPr="00E44873" w:rsidRDefault="007274FB" w:rsidP="007274FB">
      <w:pPr>
        <w:pStyle w:val="Bulletpoints"/>
        <w:spacing w:after="120"/>
        <w:ind w:left="993" w:hanging="284"/>
      </w:pPr>
      <w:r w:rsidRPr="00E44873">
        <w:t>T</w:t>
      </w:r>
      <w:r w:rsidR="00417743" w:rsidRPr="00E44873">
        <w:t xml:space="preserve">he HIVTSQ results presented had substantial issues that limited its applicability. The patient population enrolled in the open label FLAIR, ATLAS and ATLAS-2M trials were also likely to be biased in favour </w:t>
      </w:r>
      <w:r w:rsidR="00F607ED" w:rsidRPr="00E44873">
        <w:t>of the</w:t>
      </w:r>
      <w:r w:rsidR="00417743" w:rsidRPr="00E44873">
        <w:t xml:space="preserve"> CAB LA + RPV LA injection therefore</w:t>
      </w:r>
      <w:r w:rsidR="005168A5" w:rsidRPr="00E44873">
        <w:t>,</w:t>
      </w:r>
      <w:r w:rsidR="00417743" w:rsidRPr="00E44873">
        <w:t xml:space="preserve"> any PROs were likely to be unreliable.</w:t>
      </w:r>
    </w:p>
    <w:p w:rsidR="008F4EF3" w:rsidRDefault="008F4EF3" w:rsidP="007274FB">
      <w:pPr>
        <w:pStyle w:val="Bulletpoints"/>
        <w:spacing w:after="120"/>
        <w:ind w:left="993" w:hanging="284"/>
      </w:pPr>
      <w:r w:rsidRPr="00E44873">
        <w:t xml:space="preserve"> the claims were not supported by Australian data. </w:t>
      </w:r>
    </w:p>
    <w:p w:rsidR="00C90555" w:rsidRDefault="00C90555" w:rsidP="00C90555">
      <w:pPr>
        <w:pStyle w:val="ListParagraph"/>
        <w:widowControl/>
        <w:numPr>
          <w:ilvl w:val="1"/>
          <w:numId w:val="1"/>
        </w:numPr>
        <w:rPr>
          <w:rFonts w:cs="Calibri"/>
          <w:snapToGrid/>
          <w:szCs w:val="24"/>
          <w:lang w:val="en-US" w:eastAsia="en-AU"/>
        </w:rPr>
      </w:pPr>
      <w:r w:rsidRPr="00C90555">
        <w:rPr>
          <w:rFonts w:cs="Calibri"/>
          <w:snapToGrid/>
          <w:szCs w:val="24"/>
          <w:lang w:val="en-US" w:eastAsia="en-AU"/>
        </w:rPr>
        <w:t xml:space="preserve">The PBAC considered that the claim of non-inferior comparative effectiveness </w:t>
      </w:r>
      <w:r>
        <w:rPr>
          <w:rFonts w:cs="Calibri"/>
          <w:snapToGrid/>
          <w:szCs w:val="24"/>
          <w:lang w:val="en-US" w:eastAsia="en-AU"/>
        </w:rPr>
        <w:t xml:space="preserve">in terms of virological response </w:t>
      </w:r>
      <w:r w:rsidRPr="00C90555">
        <w:rPr>
          <w:rFonts w:cs="Calibri"/>
          <w:snapToGrid/>
          <w:szCs w:val="24"/>
          <w:lang w:val="en-US" w:eastAsia="en-AU"/>
        </w:rPr>
        <w:t>was reasonable</w:t>
      </w:r>
      <w:r>
        <w:rPr>
          <w:rFonts w:cs="Calibri"/>
          <w:snapToGrid/>
          <w:szCs w:val="24"/>
          <w:lang w:val="en-US" w:eastAsia="en-AU"/>
        </w:rPr>
        <w:t>.</w:t>
      </w:r>
    </w:p>
    <w:p w:rsidR="00C90555" w:rsidRPr="00D8553E" w:rsidRDefault="00C90555" w:rsidP="00C90555">
      <w:pPr>
        <w:pStyle w:val="ListParagraph"/>
        <w:widowControl/>
        <w:numPr>
          <w:ilvl w:val="1"/>
          <w:numId w:val="1"/>
        </w:numPr>
        <w:spacing w:after="120"/>
        <w:ind w:left="810" w:hanging="810"/>
        <w:rPr>
          <w:rFonts w:asciiTheme="minorHAnsi" w:hAnsiTheme="minorHAnsi"/>
          <w:szCs w:val="20"/>
        </w:rPr>
      </w:pPr>
      <w:r w:rsidRPr="00D8553E">
        <w:rPr>
          <w:rFonts w:asciiTheme="minorHAnsi" w:hAnsiTheme="minorHAnsi"/>
          <w:szCs w:val="20"/>
        </w:rPr>
        <w:t xml:space="preserve">The PBAC considered that the claim of superior comparative effectiveness </w:t>
      </w:r>
      <w:r w:rsidR="0012334B">
        <w:rPr>
          <w:rFonts w:asciiTheme="minorHAnsi" w:hAnsiTheme="minorHAnsi"/>
          <w:szCs w:val="20"/>
        </w:rPr>
        <w:t xml:space="preserve">for QoL impacts </w:t>
      </w:r>
      <w:r w:rsidRPr="00D8553E">
        <w:rPr>
          <w:rFonts w:asciiTheme="minorHAnsi" w:hAnsiTheme="minorHAnsi"/>
          <w:szCs w:val="20"/>
        </w:rPr>
        <w:t>was not adequately supported by the data.</w:t>
      </w:r>
    </w:p>
    <w:p w:rsidR="00C90555" w:rsidRPr="00E44873" w:rsidRDefault="00C90555" w:rsidP="00C90555">
      <w:pPr>
        <w:pStyle w:val="ListParagraph"/>
        <w:widowControl/>
        <w:numPr>
          <w:ilvl w:val="1"/>
          <w:numId w:val="1"/>
        </w:numPr>
      </w:pPr>
      <w:r w:rsidRPr="00C90555">
        <w:rPr>
          <w:rFonts w:cs="Calibri"/>
          <w:snapToGrid/>
          <w:szCs w:val="24"/>
          <w:lang w:val="en-US" w:eastAsia="en-AU"/>
        </w:rPr>
        <w:t>The PBAC considered that the claim of non-inferior safety was reasonable</w:t>
      </w:r>
      <w:r>
        <w:t>.</w:t>
      </w:r>
    </w:p>
    <w:p w:rsidR="00D31976" w:rsidRPr="001C7B02" w:rsidRDefault="00D31976" w:rsidP="00D31976">
      <w:pPr>
        <w:pStyle w:val="Heading2"/>
      </w:pPr>
      <w:bookmarkStart w:id="22" w:name="_Toc62034933"/>
      <w:r w:rsidRPr="001C7B02">
        <w:t>Economic analysis</w:t>
      </w:r>
      <w:bookmarkEnd w:id="22"/>
      <w:r w:rsidRPr="001C7B02">
        <w:t xml:space="preserve"> </w:t>
      </w:r>
    </w:p>
    <w:p w:rsidR="00D31976" w:rsidRPr="00E44873" w:rsidRDefault="00D31976" w:rsidP="00D31976">
      <w:pPr>
        <w:ind w:left="720" w:hanging="720"/>
      </w:pPr>
    </w:p>
    <w:p w:rsidR="00D31976" w:rsidRPr="00E44873" w:rsidRDefault="00D31976" w:rsidP="00D1387B">
      <w:pPr>
        <w:pStyle w:val="ListParagraph"/>
        <w:widowControl/>
        <w:numPr>
          <w:ilvl w:val="1"/>
          <w:numId w:val="1"/>
        </w:numPr>
      </w:pPr>
      <w:r w:rsidRPr="00E44873">
        <w:rPr>
          <w:rFonts w:cs="Calibri"/>
          <w:snapToGrid/>
          <w:szCs w:val="24"/>
          <w:lang w:val="en-US" w:eastAsia="en-AU"/>
        </w:rPr>
        <w:t>The submission conduc</w:t>
      </w:r>
      <w:r w:rsidR="007274FB" w:rsidRPr="00E44873">
        <w:rPr>
          <w:rFonts w:cs="Calibri"/>
          <w:snapToGrid/>
          <w:szCs w:val="24"/>
          <w:lang w:val="en-US" w:eastAsia="en-AU"/>
        </w:rPr>
        <w:t>t</w:t>
      </w:r>
      <w:r w:rsidRPr="00E44873">
        <w:rPr>
          <w:rFonts w:cs="Calibri"/>
          <w:snapToGrid/>
          <w:szCs w:val="24"/>
          <w:lang w:val="en-US" w:eastAsia="en-AU"/>
        </w:rPr>
        <w:t xml:space="preserve">ed a CBA against the primary comparator DTG/RPV. </w:t>
      </w:r>
      <w:r w:rsidR="00B517E5" w:rsidRPr="00E44873">
        <w:t xml:space="preserve">The submission inappropriately presented a cost benefit analysis (CBA) based on a willingness to pay (WTP) study </w:t>
      </w:r>
      <w:r w:rsidR="00DE5AC8" w:rsidRPr="00E44873">
        <w:t>(from</w:t>
      </w:r>
      <w:r w:rsidR="00B517E5" w:rsidRPr="00E44873">
        <w:t xml:space="preserve"> a discrete choice experiment (DCE)</w:t>
      </w:r>
      <w:r w:rsidR="00DE5AC8" w:rsidRPr="00E44873">
        <w:t>)</w:t>
      </w:r>
      <w:r w:rsidR="00B517E5" w:rsidRPr="00E44873">
        <w:t xml:space="preserve"> as the primary, and only, analysis. </w:t>
      </w:r>
      <w:r w:rsidRPr="00E44873">
        <w:t xml:space="preserve"> </w:t>
      </w:r>
      <w:r w:rsidR="003C3C0A" w:rsidRPr="00E44873">
        <w:t>However, t</w:t>
      </w:r>
      <w:r w:rsidRPr="00E44873">
        <w:t xml:space="preserve">he PBAC guidelines v5.0 </w:t>
      </w:r>
      <w:r w:rsidR="005168A5" w:rsidRPr="00E44873">
        <w:t xml:space="preserve">state </w:t>
      </w:r>
      <w:r w:rsidRPr="00E44873">
        <w:t>(p64) that a CBA should not be presented as the primary analysis, as the PBAC “is unlikely to be convinced of a cost-effectiveness claim if a CBA is presented without a cost-utility analysis (CUA)”, and (p203) that a CBA should only be presented as a supplementary analysis.</w:t>
      </w:r>
      <w:r w:rsidR="00B37A7B">
        <w:t xml:space="preserve"> The Pre-PBAC Response acknowledged that a CBA is preferably provided as a supplementary analysis, however a DCE </w:t>
      </w:r>
      <w:r w:rsidR="007C0A49">
        <w:t xml:space="preserve">was considered as a method to support benefits such as </w:t>
      </w:r>
      <w:r w:rsidR="00B37A7B">
        <w:t>anxiety, stigma, f</w:t>
      </w:r>
      <w:r w:rsidR="00061C37">
        <w:t xml:space="preserve">ear of unintentional disclosure, medical conditions which may affect oral dosing and patient preferences </w:t>
      </w:r>
      <w:r w:rsidR="007C0A49">
        <w:t>and</w:t>
      </w:r>
      <w:r w:rsidR="00061C37">
        <w:t xml:space="preserve"> these factors will be considered by patients when choosing a long acting injectable option over oral therapy.</w:t>
      </w:r>
      <w:r w:rsidRPr="00E44873">
        <w:t xml:space="preserve"> </w:t>
      </w:r>
      <w:r w:rsidR="007C0A49">
        <w:t xml:space="preserve">The PBAC did not consider </w:t>
      </w:r>
      <w:r w:rsidR="000172FE">
        <w:t>the requested price advantage based on consumer surplus from a DCE based WTP study was appropriate.</w:t>
      </w:r>
    </w:p>
    <w:p w:rsidR="00B5527A" w:rsidRPr="00E44873" w:rsidRDefault="00B5527A" w:rsidP="00D1387B">
      <w:pPr>
        <w:pStyle w:val="ListParagraph"/>
        <w:widowControl/>
        <w:numPr>
          <w:ilvl w:val="1"/>
          <w:numId w:val="1"/>
        </w:numPr>
      </w:pPr>
      <w:r w:rsidRPr="00E44873">
        <w:rPr>
          <w:rFonts w:cs="Calibri"/>
          <w:snapToGrid/>
          <w:szCs w:val="24"/>
          <w:lang w:val="en-US" w:eastAsia="en-AU"/>
        </w:rPr>
        <w:t>A supplementary cost utility analysis (CUA) was presented in the PSCR, based on SF-6D utility scores derived from SF-12 results from the ATLAS and FLAIR trials. This supplementary CUA was not evaluated.</w:t>
      </w:r>
    </w:p>
    <w:p w:rsidR="005D2D1A" w:rsidRPr="00E44873" w:rsidRDefault="00AF6A96" w:rsidP="000344B8">
      <w:pPr>
        <w:pStyle w:val="Heading3"/>
      </w:pPr>
      <w:r w:rsidRPr="00E44873">
        <w:t>Cost-minimisation analysis (CMA)</w:t>
      </w:r>
    </w:p>
    <w:p w:rsidR="00D31976" w:rsidRPr="00E44873" w:rsidRDefault="007C0A49" w:rsidP="00D1387B">
      <w:pPr>
        <w:pStyle w:val="ListParagraph"/>
        <w:widowControl/>
        <w:numPr>
          <w:ilvl w:val="1"/>
          <w:numId w:val="1"/>
        </w:numPr>
        <w:spacing w:before="240"/>
      </w:pPr>
      <w:r>
        <w:t xml:space="preserve">The PBAC agreed with the ESC that </w:t>
      </w:r>
      <w:r w:rsidR="00E83D95" w:rsidRPr="00E44873">
        <w:t>the most reasonable basis for listing CAB LA + RPV LA, based on the available information, would be on a cost minimisation basis with the least costly alternative. The ESC reiterated its view that based on the relativities established in the DTG/3TC submission in July 2020 that it was a</w:t>
      </w:r>
      <w:r w:rsidR="003E2629" w:rsidRPr="00E44873">
        <w:t>lso a relevant, and less costly</w:t>
      </w:r>
      <w:r w:rsidR="00E83D95" w:rsidRPr="00E44873">
        <w:t xml:space="preserve"> alternative</w:t>
      </w:r>
      <w:r w:rsidR="00C8503D" w:rsidRPr="00E44873">
        <w:t xml:space="preserve"> (paragraph 5.4 refers)</w:t>
      </w:r>
      <w:r w:rsidR="00E83D95" w:rsidRPr="00E44873">
        <w:t xml:space="preserve">. </w:t>
      </w:r>
      <w:r w:rsidR="009B0CA9" w:rsidRPr="00E44873">
        <w:t>CMA</w:t>
      </w:r>
      <w:r w:rsidR="00DE5AC8" w:rsidRPr="00E44873">
        <w:t>s</w:t>
      </w:r>
      <w:r w:rsidR="00D31976" w:rsidRPr="00E44873">
        <w:t xml:space="preserve"> against DTG/RPV</w:t>
      </w:r>
      <w:r w:rsidR="00E94295" w:rsidRPr="00E44873">
        <w:t xml:space="preserve"> and DTG/3TC</w:t>
      </w:r>
      <w:r w:rsidR="00E83D95" w:rsidRPr="00E44873">
        <w:t xml:space="preserve"> with equi-effective doses based on Q8W and 2-monthly regimens</w:t>
      </w:r>
      <w:r w:rsidR="00D31976" w:rsidRPr="00E44873">
        <w:t xml:space="preserve"> w</w:t>
      </w:r>
      <w:r w:rsidR="00E83D95" w:rsidRPr="00E44873">
        <w:t>ere</w:t>
      </w:r>
      <w:r w:rsidR="00D31976" w:rsidRPr="00E44873">
        <w:t xml:space="preserve"> conducted </w:t>
      </w:r>
      <w:r w:rsidR="003E2629" w:rsidRPr="00E44873">
        <w:t>based on this advice</w:t>
      </w:r>
      <w:r w:rsidR="001E4B14" w:rsidRPr="00E44873">
        <w:t>.</w:t>
      </w:r>
      <w:r w:rsidR="00E83D95" w:rsidRPr="00E44873">
        <w:t xml:space="preserve"> </w:t>
      </w:r>
    </w:p>
    <w:p w:rsidR="00D31976" w:rsidRDefault="00D31976" w:rsidP="00D1387B">
      <w:pPr>
        <w:pStyle w:val="ListParagraph"/>
        <w:widowControl/>
        <w:numPr>
          <w:ilvl w:val="1"/>
          <w:numId w:val="1"/>
        </w:numPr>
      </w:pPr>
      <w:r w:rsidRPr="00E44873">
        <w:t xml:space="preserve">The cost minimisation was based on the price of </w:t>
      </w:r>
      <w:r w:rsidR="003E2629" w:rsidRPr="00E44873">
        <w:t>DTG/RPV and DTG/3TC</w:t>
      </w:r>
      <w:r w:rsidRPr="00E44873">
        <w:t xml:space="preserve">, conducted over a </w:t>
      </w:r>
      <w:r w:rsidR="000344B8" w:rsidRPr="00E44873">
        <w:t xml:space="preserve">two </w:t>
      </w:r>
      <w:r w:rsidRPr="00E44873">
        <w:t>year period (consistent with</w:t>
      </w:r>
      <w:r w:rsidR="000344B8" w:rsidRPr="00E44873">
        <w:t xml:space="preserve"> the time horizon chosen for other drugs considered by the PBAC which include loading doses in year one, such as </w:t>
      </w:r>
      <w:r w:rsidR="00835596" w:rsidRPr="00E44873">
        <w:t>bDMARDs</w:t>
      </w:r>
      <w:r w:rsidRPr="00E44873">
        <w:t xml:space="preserve">). A cost-minimisation analysis considering the CAB </w:t>
      </w:r>
      <w:r w:rsidR="005168A5" w:rsidRPr="00E44873">
        <w:t xml:space="preserve">LA </w:t>
      </w:r>
      <w:r w:rsidRPr="00E44873">
        <w:t xml:space="preserve">+ RPV LA (400mg/600mg) Q4W dosing regimen was also included for completeness. </w:t>
      </w:r>
      <w:r w:rsidR="009B0CA9" w:rsidRPr="00E44873">
        <w:t xml:space="preserve">The key components of the CMA are summarised in </w:t>
      </w:r>
      <w:r w:rsidR="00B90AC3" w:rsidRPr="00B90AC3">
        <w:t>Table 11</w:t>
      </w:r>
      <w:r w:rsidRPr="00E44873">
        <w:t>.</w:t>
      </w:r>
    </w:p>
    <w:p w:rsidR="00D31976" w:rsidRPr="00E44873" w:rsidRDefault="009B0CA9" w:rsidP="009B0CA9">
      <w:pPr>
        <w:pStyle w:val="Tabletext"/>
        <w:keepNext/>
        <w:keepLines/>
        <w:rPr>
          <w:rStyle w:val="CommentReference"/>
        </w:rPr>
      </w:pPr>
      <w:bookmarkStart w:id="23" w:name="_Ref59492601"/>
      <w:r w:rsidRPr="00E44873">
        <w:rPr>
          <w:rStyle w:val="CommentReference"/>
        </w:rPr>
        <w:t xml:space="preserve">Table </w:t>
      </w:r>
      <w:r w:rsidR="00B90AC3">
        <w:rPr>
          <w:rStyle w:val="CommentReference"/>
          <w:noProof/>
        </w:rPr>
        <w:t>11</w:t>
      </w:r>
      <w:bookmarkEnd w:id="23"/>
      <w:r w:rsidR="00D31976" w:rsidRPr="00E44873">
        <w:rPr>
          <w:rStyle w:val="CommentReference"/>
        </w:rPr>
        <w:t>: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9"/>
        <w:gridCol w:w="7628"/>
      </w:tblGrid>
      <w:tr w:rsidR="00D31976" w:rsidRPr="00E44873" w:rsidTr="009B3D3F">
        <w:tc>
          <w:tcPr>
            <w:tcW w:w="770" w:type="pct"/>
            <w:vAlign w:val="center"/>
          </w:tcPr>
          <w:p w:rsidR="00D31976" w:rsidRPr="00E44873" w:rsidRDefault="00D31976" w:rsidP="00AD4B02">
            <w:pPr>
              <w:pStyle w:val="Tabletext"/>
              <w:keepNext/>
              <w:keepLines/>
              <w:rPr>
                <w:b/>
                <w:iCs/>
              </w:rPr>
            </w:pPr>
            <w:r w:rsidRPr="00E44873">
              <w:rPr>
                <w:b/>
                <w:iCs/>
              </w:rPr>
              <w:t>Component</w:t>
            </w:r>
          </w:p>
        </w:tc>
        <w:tc>
          <w:tcPr>
            <w:tcW w:w="4230" w:type="pct"/>
            <w:vAlign w:val="center"/>
          </w:tcPr>
          <w:p w:rsidR="00D31976" w:rsidRPr="00E44873" w:rsidRDefault="00D31976" w:rsidP="00AD4B02">
            <w:pPr>
              <w:pStyle w:val="Tabletext"/>
              <w:keepNext/>
              <w:keepLines/>
              <w:jc w:val="center"/>
              <w:rPr>
                <w:b/>
                <w:iCs/>
              </w:rPr>
            </w:pPr>
            <w:r w:rsidRPr="00E44873">
              <w:rPr>
                <w:b/>
                <w:iCs/>
              </w:rPr>
              <w:t>Claim or assumption</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Therapeutic claim: effectiveness</w:t>
            </w:r>
          </w:p>
        </w:tc>
        <w:tc>
          <w:tcPr>
            <w:tcW w:w="4230" w:type="pct"/>
            <w:vAlign w:val="center"/>
          </w:tcPr>
          <w:p w:rsidR="00D31976" w:rsidRPr="00E44873" w:rsidRDefault="00D31976" w:rsidP="003B1326">
            <w:pPr>
              <w:pStyle w:val="Tabletext"/>
              <w:keepNext/>
              <w:keepLines/>
              <w:rPr>
                <w:iCs/>
              </w:rPr>
            </w:pPr>
            <w:r w:rsidRPr="00E44873">
              <w:rPr>
                <w:iCs/>
              </w:rPr>
              <w:t xml:space="preserve">CAB LA + RPV LA IM maintenance Q8W (or every two months) after oral and injection initiation is non-inferior in proportion of patients experiencing virological failure at 48 weeks compared to DTG/RPV. The PBAC may wish to consider whether this claim is </w:t>
            </w:r>
            <w:r w:rsidR="003B1326" w:rsidRPr="00E44873">
              <w:rPr>
                <w:iCs/>
              </w:rPr>
              <w:t>reasonable</w:t>
            </w:r>
            <w:r w:rsidRPr="00E44873">
              <w:rPr>
                <w:iCs/>
              </w:rPr>
              <w:t>.</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Therapeutic claim: safety</w:t>
            </w:r>
          </w:p>
        </w:tc>
        <w:tc>
          <w:tcPr>
            <w:tcW w:w="4230" w:type="pct"/>
            <w:vAlign w:val="center"/>
          </w:tcPr>
          <w:p w:rsidR="00D31976" w:rsidRPr="00E44873" w:rsidRDefault="00D31976" w:rsidP="00677C80">
            <w:pPr>
              <w:pStyle w:val="Tabletext"/>
              <w:keepNext/>
              <w:keepLines/>
              <w:rPr>
                <w:iCs/>
              </w:rPr>
            </w:pPr>
            <w:r w:rsidRPr="00E44873">
              <w:rPr>
                <w:iCs/>
              </w:rPr>
              <w:t>CAB LA + RPV LA Q8W has an acceptable safety profile for the treatment of HIV infection compared to DTG/RPV</w:t>
            </w:r>
            <w:r w:rsidR="005F0704" w:rsidRPr="00E44873">
              <w:rPr>
                <w:iCs/>
              </w:rPr>
              <w:t>.</w:t>
            </w:r>
            <w:r w:rsidRPr="00E44873">
              <w:rPr>
                <w:iCs/>
              </w:rPr>
              <w:t xml:space="preserve"> This </w:t>
            </w:r>
            <w:r w:rsidR="00677C80" w:rsidRPr="00E44873">
              <w:rPr>
                <w:iCs/>
              </w:rPr>
              <w:t xml:space="preserve">claim </w:t>
            </w:r>
            <w:r w:rsidRPr="00E44873">
              <w:rPr>
                <w:iCs/>
              </w:rPr>
              <w:t xml:space="preserve">is reasonable. CAB LA + RPV LA </w:t>
            </w:r>
            <w:r w:rsidR="005F0704" w:rsidRPr="00E44873">
              <w:rPr>
                <w:iCs/>
              </w:rPr>
              <w:t xml:space="preserve">is </w:t>
            </w:r>
            <w:r w:rsidRPr="00E44873">
              <w:rPr>
                <w:iCs/>
              </w:rPr>
              <w:t>associated with injection site reactions.</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Evidence base</w:t>
            </w:r>
          </w:p>
        </w:tc>
        <w:tc>
          <w:tcPr>
            <w:tcW w:w="4230" w:type="pct"/>
            <w:vAlign w:val="center"/>
          </w:tcPr>
          <w:p w:rsidR="00D31976" w:rsidRPr="00E44873" w:rsidRDefault="00D31976" w:rsidP="00AD4B02">
            <w:pPr>
              <w:pStyle w:val="Tabletext"/>
              <w:keepNext/>
              <w:keepLines/>
              <w:rPr>
                <w:iCs/>
              </w:rPr>
            </w:pPr>
            <w:r w:rsidRPr="00E44873">
              <w:rPr>
                <w:iCs/>
              </w:rPr>
              <w:t>Two</w:t>
            </w:r>
            <w:r w:rsidR="005F0704" w:rsidRPr="00E44873">
              <w:rPr>
                <w:iCs/>
              </w:rPr>
              <w:t>-</w:t>
            </w:r>
            <w:r w:rsidRPr="00E44873">
              <w:rPr>
                <w:iCs/>
              </w:rPr>
              <w:t xml:space="preserve">step indirect comparison of CAB </w:t>
            </w:r>
            <w:r w:rsidR="005F0704" w:rsidRPr="00E44873">
              <w:rPr>
                <w:iCs/>
              </w:rPr>
              <w:t xml:space="preserve">LA </w:t>
            </w:r>
            <w:r w:rsidRPr="00E44873">
              <w:rPr>
                <w:iCs/>
              </w:rPr>
              <w:t xml:space="preserve">+ RPV </w:t>
            </w:r>
            <w:r w:rsidR="005F0704" w:rsidRPr="00E44873">
              <w:rPr>
                <w:iCs/>
              </w:rPr>
              <w:t xml:space="preserve">LA </w:t>
            </w:r>
            <w:r w:rsidRPr="00E44873">
              <w:rPr>
                <w:iCs/>
              </w:rPr>
              <w:t>Q8W and DTG + RPV</w:t>
            </w:r>
            <w:r w:rsidR="005F0704" w:rsidRPr="00E44873">
              <w:rPr>
                <w:iCs/>
              </w:rPr>
              <w:t>.</w:t>
            </w:r>
            <w:r w:rsidR="003E2629" w:rsidRPr="00E44873">
              <w:rPr>
                <w:iCs/>
              </w:rPr>
              <w:t xml:space="preserve"> Cost minimisation versus DTG/3TC was also considered on the basis of established therapeutic relativities.</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Equi-effective doses</w:t>
            </w:r>
          </w:p>
        </w:tc>
        <w:tc>
          <w:tcPr>
            <w:tcW w:w="4230" w:type="pct"/>
            <w:vAlign w:val="center"/>
          </w:tcPr>
          <w:p w:rsidR="00D31976" w:rsidRPr="00E44873" w:rsidRDefault="00D31976" w:rsidP="00AD4B02">
            <w:pPr>
              <w:pStyle w:val="Tabletext"/>
              <w:keepNext/>
              <w:keepLines/>
              <w:rPr>
                <w:iCs/>
              </w:rPr>
            </w:pPr>
            <w:r w:rsidRPr="00E44873">
              <w:rPr>
                <w:iCs/>
              </w:rPr>
              <w:t>CAB LA 600mg + RPV LA 900mg injection Q8W (or every two months) after 1-month oral lead in (and 2 loading injections 1 month apart) is equivalent to one DTG/RPV FDC 50/25mg</w:t>
            </w:r>
            <w:r w:rsidR="003E2629" w:rsidRPr="00E44873">
              <w:rPr>
                <w:iCs/>
              </w:rPr>
              <w:t xml:space="preserve"> or one DTG/3TC FDC 50/300mg</w:t>
            </w:r>
            <w:r w:rsidRPr="00E44873">
              <w:rPr>
                <w:iCs/>
              </w:rPr>
              <w:t xml:space="preserve"> tablet taken once daily.</w:t>
            </w:r>
            <w:r w:rsidRPr="00E44873" w:rsidDel="00A77C73">
              <w:rPr>
                <w:iCs/>
              </w:rPr>
              <w:t xml:space="preserve"> </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Direct medicine costs</w:t>
            </w:r>
          </w:p>
        </w:tc>
        <w:tc>
          <w:tcPr>
            <w:tcW w:w="4230" w:type="pct"/>
            <w:vAlign w:val="center"/>
          </w:tcPr>
          <w:p w:rsidR="00D31976" w:rsidRPr="00E44873" w:rsidRDefault="00D31976" w:rsidP="00AD4B02">
            <w:pPr>
              <w:pStyle w:val="Tabletext"/>
              <w:keepNext/>
              <w:keepLines/>
              <w:rPr>
                <w:iCs/>
              </w:rPr>
            </w:pPr>
            <w:r w:rsidRPr="00E44873">
              <w:rPr>
                <w:iCs/>
              </w:rPr>
              <w:t>Medicine cost of one dose of CAB LA + RPV LA Q8W was lower than the cost of 60 tablets of the DTG/RPV FDC (two month’s supply)</w:t>
            </w:r>
            <w:r w:rsidR="005F0704" w:rsidRPr="00E44873">
              <w:rPr>
                <w:iCs/>
              </w:rPr>
              <w:t>.</w:t>
            </w:r>
          </w:p>
        </w:tc>
      </w:tr>
      <w:tr w:rsidR="00D31976" w:rsidRPr="00E44873" w:rsidTr="009B3D3F">
        <w:tc>
          <w:tcPr>
            <w:tcW w:w="770" w:type="pct"/>
            <w:vAlign w:val="center"/>
          </w:tcPr>
          <w:p w:rsidR="00D31976" w:rsidRPr="00E44873" w:rsidRDefault="00D31976" w:rsidP="00AD4B02">
            <w:pPr>
              <w:pStyle w:val="Tabletext"/>
              <w:keepNext/>
              <w:keepLines/>
              <w:rPr>
                <w:iCs/>
              </w:rPr>
            </w:pPr>
            <w:r w:rsidRPr="00E44873">
              <w:rPr>
                <w:iCs/>
              </w:rPr>
              <w:t>Other costs or cost offsets</w:t>
            </w:r>
          </w:p>
        </w:tc>
        <w:tc>
          <w:tcPr>
            <w:tcW w:w="4230" w:type="pct"/>
            <w:vAlign w:val="center"/>
          </w:tcPr>
          <w:p w:rsidR="00D31976" w:rsidRPr="00E44873" w:rsidRDefault="00D31976" w:rsidP="00AD4B02">
            <w:pPr>
              <w:pStyle w:val="Tabletext"/>
              <w:keepNext/>
              <w:keepLines/>
              <w:rPr>
                <w:iCs/>
              </w:rPr>
            </w:pPr>
            <w:r w:rsidRPr="00E44873">
              <w:rPr>
                <w:iCs/>
              </w:rPr>
              <w:t xml:space="preserve">Yes; administration costs for injections. Adverse events cost not included, therefore resultant cost of CAB LA + RPV LA likely to be underestimated. </w:t>
            </w:r>
          </w:p>
        </w:tc>
      </w:tr>
    </w:tbl>
    <w:p w:rsidR="00D31976" w:rsidRPr="00E44873" w:rsidRDefault="00D31976" w:rsidP="00D31976">
      <w:pPr>
        <w:pStyle w:val="TableFooter"/>
        <w:keepNext/>
        <w:keepLines/>
      </w:pPr>
      <w:r w:rsidRPr="00E44873">
        <w:t>CAB = cabotegravir, LA = long acting, RPV = rilpivir</w:t>
      </w:r>
      <w:r w:rsidR="005F0704" w:rsidRPr="00E44873">
        <w:t>i</w:t>
      </w:r>
      <w:r w:rsidRPr="00E44873">
        <w:t>ne, Q8W = every 8 weeks, DTG = dolutegravir, FDC = fixed dose combination</w:t>
      </w:r>
    </w:p>
    <w:p w:rsidR="00D31976" w:rsidRPr="00E44873" w:rsidRDefault="00D31976" w:rsidP="00D31976">
      <w:pPr>
        <w:pStyle w:val="TableFooter"/>
        <w:keepNext/>
        <w:keepLines/>
        <w:rPr>
          <w:sz w:val="20"/>
        </w:rPr>
      </w:pPr>
      <w:r w:rsidRPr="00E44873">
        <w:t>Source: Table 60, p122 of the submission.</w:t>
      </w:r>
    </w:p>
    <w:p w:rsidR="00D31976" w:rsidRPr="00E44873" w:rsidRDefault="00D31976" w:rsidP="00D31976">
      <w:pPr>
        <w:widowControl/>
      </w:pPr>
    </w:p>
    <w:p w:rsidR="00D31976" w:rsidRPr="00E44873" w:rsidRDefault="009B0CA9" w:rsidP="00D1387B">
      <w:pPr>
        <w:pStyle w:val="ListParagraph"/>
        <w:widowControl/>
        <w:numPr>
          <w:ilvl w:val="1"/>
          <w:numId w:val="1"/>
        </w:numPr>
      </w:pPr>
      <w:r w:rsidRPr="00E44873">
        <w:t xml:space="preserve">The results of the CMA </w:t>
      </w:r>
      <w:r w:rsidR="005F0704" w:rsidRPr="00E44873">
        <w:t>are</w:t>
      </w:r>
      <w:r w:rsidR="00D31976" w:rsidRPr="00E44873">
        <w:t xml:space="preserve"> presented in</w:t>
      </w:r>
      <w:r w:rsidR="00B90AC3">
        <w:t xml:space="preserve"> the tables below.</w:t>
      </w:r>
      <w:r w:rsidR="00D31976" w:rsidRPr="00E44873">
        <w:t xml:space="preserve"> The price of CAB </w:t>
      </w:r>
      <w:r w:rsidR="005F0704" w:rsidRPr="00E44873">
        <w:t xml:space="preserve">LA </w:t>
      </w:r>
      <w:r w:rsidR="00D31976" w:rsidRPr="00E44873">
        <w:t xml:space="preserve">+ RPV </w:t>
      </w:r>
      <w:r w:rsidR="005F0704" w:rsidRPr="00E44873">
        <w:t xml:space="preserve">LA </w:t>
      </w:r>
      <w:r w:rsidR="00D31976" w:rsidRPr="00E44873">
        <w:t xml:space="preserve">(both oral lead in and LA injection) based on price parity to the DTG/RPV FDC </w:t>
      </w:r>
      <w:r w:rsidRPr="00E44873">
        <w:t xml:space="preserve">may be </w:t>
      </w:r>
      <w:r w:rsidR="00D31976" w:rsidRPr="00E44873">
        <w:t>overestimated due to</w:t>
      </w:r>
      <w:r w:rsidR="00677C80" w:rsidRPr="00E44873">
        <w:t xml:space="preserve"> the following</w:t>
      </w:r>
      <w:r w:rsidR="00D31976" w:rsidRPr="00E44873">
        <w:t xml:space="preserve">:  </w:t>
      </w:r>
    </w:p>
    <w:p w:rsidR="00D31976" w:rsidRPr="00E44873" w:rsidRDefault="00D31976" w:rsidP="00D1387B">
      <w:pPr>
        <w:pStyle w:val="ListParagraph"/>
        <w:widowControl/>
        <w:numPr>
          <w:ilvl w:val="0"/>
          <w:numId w:val="5"/>
        </w:numPr>
        <w:ind w:left="993" w:hanging="284"/>
      </w:pPr>
      <w:r w:rsidRPr="00E44873">
        <w:t>Cost of CAB tablets may not be accurate. Consistent with the submission’s cost benefit analysis, the cost</w:t>
      </w:r>
      <w:r w:rsidR="005F0704" w:rsidRPr="00E44873">
        <w:t>-</w:t>
      </w:r>
      <w:r w:rsidRPr="00E44873">
        <w:t>minimisation analysis assumed the cost of one-month treatment with oral CAB (30mg) matches with that of DTG + RPV taken as individual medicines at the agreed ex-manufacturer price for that period. This is the price proposed by the sponsor. This may not be accurate if DTG + RPV is not the least costly comparator</w:t>
      </w:r>
      <w:r w:rsidR="005F0704" w:rsidRPr="00E44873">
        <w:t>.</w:t>
      </w:r>
      <w:r w:rsidRPr="00E44873">
        <w:t xml:space="preserve"> </w:t>
      </w:r>
    </w:p>
    <w:p w:rsidR="00D31976" w:rsidRPr="00E44873" w:rsidRDefault="003E2629" w:rsidP="00D1387B">
      <w:pPr>
        <w:pStyle w:val="ListParagraph"/>
        <w:widowControl/>
        <w:numPr>
          <w:ilvl w:val="0"/>
          <w:numId w:val="5"/>
        </w:numPr>
        <w:ind w:left="993" w:hanging="284"/>
      </w:pPr>
      <w:r w:rsidRPr="00E44873">
        <w:t xml:space="preserve">The ESC considered the use of MBS item 10997 was unlikely to be a reasonable reflection of the cost of MBS services for the administration of CAB LA + RPV LA. MBS item 10997 is </w:t>
      </w:r>
      <w:r w:rsidR="00D31976" w:rsidRPr="00E44873">
        <w:t xml:space="preserve">used for administration cost of CAB LA + RPV LA. </w:t>
      </w:r>
      <w:r w:rsidR="00BC0EEC" w:rsidRPr="00E44873">
        <w:t xml:space="preserve">MBS item 10997 refers to </w:t>
      </w:r>
      <w:r w:rsidR="005F3ADD" w:rsidRPr="00E44873">
        <w:t>“</w:t>
      </w:r>
      <w:r w:rsidR="00BC0EEC" w:rsidRPr="00E44873">
        <w:t>Service provided to a person with a chronic disease by a practice nurse or an Aboriginal and Torres Strait Islander health practitioner if: a) the service is provided on behalf of and under the supervision of a medical practitioner; and b) the person is not an admitted patient of a hospital; and c) the person has a GP Management Plan, Team Care Arrangements or Multidisciplinary Care Plan in place; and d) the service is consistent with the GP Management Plan, Team Care Arrangements or Multidisciplinary Care Plan</w:t>
      </w:r>
      <w:r w:rsidR="005F3ADD" w:rsidRPr="00E44873">
        <w:t>”</w:t>
      </w:r>
      <w:r w:rsidR="00BC0EEC" w:rsidRPr="00E44873">
        <w:t xml:space="preserve"> (Fee: $12.40, benefit: 100% = $12.40). </w:t>
      </w:r>
      <w:r w:rsidR="00D31976" w:rsidRPr="00E44873">
        <w:t>The description for use around this item states “a maximum of 5 services per patient in a calendar year”, however, particularly in the first year of treatment, the required number of additional visits were above the specified threshold.</w:t>
      </w:r>
      <w:r w:rsidRPr="00E44873">
        <w:t xml:space="preserve"> The ESC considered that use of a standard</w:t>
      </w:r>
      <w:r w:rsidR="006B27D0" w:rsidRPr="00E44873">
        <w:t xml:space="preserve"> Level B</w:t>
      </w:r>
      <w:r w:rsidRPr="00E44873">
        <w:t xml:space="preserve"> consultation of less than 20 minutes (MBS item 23, 100% benefit = $38.75) was a more appropriate base case assumption.</w:t>
      </w:r>
      <w:r w:rsidR="007F3D15" w:rsidRPr="007F3D15">
        <w:t xml:space="preserve"> </w:t>
      </w:r>
      <w:r w:rsidR="007F3D15">
        <w:t>The Pre-PBAC Response argued that MBS item 23 (professional attendance by a GP) was inappropriate for any economic analysis and argued that their clinician survey had identified that most consultations for administration would be with nurses and that item 10997 was the most appropriate MBS item to use.</w:t>
      </w:r>
      <w:r w:rsidR="00D31976" w:rsidRPr="00E44873">
        <w:t xml:space="preserve"> </w:t>
      </w:r>
    </w:p>
    <w:p w:rsidR="00D31976" w:rsidRPr="00E44873" w:rsidRDefault="00D31976" w:rsidP="00D1387B">
      <w:pPr>
        <w:pStyle w:val="ListParagraph"/>
        <w:widowControl/>
        <w:numPr>
          <w:ilvl w:val="0"/>
          <w:numId w:val="5"/>
        </w:numPr>
        <w:ind w:left="993" w:hanging="284"/>
      </w:pPr>
      <w:r w:rsidRPr="00E44873">
        <w:t xml:space="preserve">The cost of adverse events were not included, despite </w:t>
      </w:r>
      <w:r w:rsidR="005F0704" w:rsidRPr="00E44873">
        <w:t>increased</w:t>
      </w:r>
      <w:r w:rsidRPr="00E44873">
        <w:t xml:space="preserve"> adverse events associated with CAB LA + RPV LA (namely ISRs due to the administration route)</w:t>
      </w:r>
      <w:r w:rsidR="005F0704" w:rsidRPr="00E44873">
        <w:t>.</w:t>
      </w:r>
      <w:r w:rsidRPr="00E44873">
        <w:t xml:space="preserve"> </w:t>
      </w:r>
      <w:r w:rsidR="00411141" w:rsidRPr="00E44873">
        <w:t>It wa</w:t>
      </w:r>
      <w:r w:rsidR="00835596" w:rsidRPr="00E44873">
        <w:t>s possible that ISRs may require further treatment and the costs for CA</w:t>
      </w:r>
      <w:r w:rsidR="00411141" w:rsidRPr="00E44873">
        <w:t>B</w:t>
      </w:r>
      <w:r w:rsidR="00835596" w:rsidRPr="00E44873">
        <w:t xml:space="preserve"> LA + RPV LA </w:t>
      </w:r>
      <w:r w:rsidR="00411141" w:rsidRPr="00E44873">
        <w:t xml:space="preserve">treatment </w:t>
      </w:r>
      <w:r w:rsidR="00835596" w:rsidRPr="00E44873">
        <w:t xml:space="preserve">may be underestimated. </w:t>
      </w:r>
    </w:p>
    <w:p w:rsidR="003E2629" w:rsidRPr="00E44873" w:rsidRDefault="000A5B21" w:rsidP="00D1387B">
      <w:pPr>
        <w:pStyle w:val="ListParagraph"/>
        <w:widowControl/>
        <w:numPr>
          <w:ilvl w:val="0"/>
          <w:numId w:val="5"/>
        </w:numPr>
        <w:ind w:left="993" w:hanging="284"/>
      </w:pPr>
      <w:r w:rsidRPr="00E44873">
        <w:t>The t</w:t>
      </w:r>
      <w:r w:rsidR="00DE5AC8" w:rsidRPr="00E44873">
        <w:t>wo</w:t>
      </w:r>
      <w:r w:rsidRPr="00E44873">
        <w:t xml:space="preserve"> tables below present three cost minimisation scenarios (all including oral lead-in dosing), including CAB LA + RPV LA Q8W and Q2M vs. DTG/RPV oral tablet once daily (Table 12), CAB LA + RPV LA Q8W and Q2M vs. DTG/3TC oral tablet once daily (Table 13)</w:t>
      </w:r>
      <w:r w:rsidR="00DF4F56" w:rsidRPr="00E44873">
        <w:t>.</w:t>
      </w:r>
      <w:r w:rsidRPr="00E44873">
        <w:t xml:space="preserve"> </w:t>
      </w:r>
      <w:r w:rsidR="00DF4F56" w:rsidRPr="00E44873">
        <w:t>T</w:t>
      </w:r>
      <w:r w:rsidR="0046465A" w:rsidRPr="00E44873">
        <w:t xml:space="preserve">he updated CMAs undertaken </w:t>
      </w:r>
      <w:r w:rsidR="00DF4F56" w:rsidRPr="00E44873">
        <w:t>for</w:t>
      </w:r>
      <w:r w:rsidR="0046465A" w:rsidRPr="00E44873">
        <w:t xml:space="preserve"> the ESC advice were based on ex-manufacturer prices (AEMP).</w:t>
      </w:r>
    </w:p>
    <w:p w:rsidR="000A5B21" w:rsidRPr="00E44873" w:rsidRDefault="000A5B21" w:rsidP="000A5B21">
      <w:pPr>
        <w:pStyle w:val="ListParagraph"/>
        <w:widowControl/>
        <w:ind w:left="993"/>
      </w:pPr>
    </w:p>
    <w:p w:rsidR="000A5B21" w:rsidRPr="00E44873" w:rsidRDefault="000A5B21" w:rsidP="000A5B21">
      <w:pPr>
        <w:keepNext/>
        <w:keepLines/>
        <w:rPr>
          <w:rStyle w:val="CommentReference"/>
        </w:rPr>
      </w:pPr>
      <w:r w:rsidRPr="00E44873">
        <w:rPr>
          <w:rStyle w:val="CommentReference"/>
        </w:rPr>
        <w:t>Table 12:  Results of the cost-minimisation analysis to DTG/RPV using AEMP (over 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873"/>
        <w:gridCol w:w="2096"/>
        <w:gridCol w:w="1651"/>
      </w:tblGrid>
      <w:tr w:rsidR="000A5B21" w:rsidRPr="00E44873" w:rsidTr="00122621">
        <w:tc>
          <w:tcPr>
            <w:tcW w:w="3396" w:type="dxa"/>
          </w:tcPr>
          <w:p w:rsidR="000A5B21" w:rsidRPr="00E44873" w:rsidRDefault="000A5B21" w:rsidP="00122621">
            <w:pPr>
              <w:pStyle w:val="Tabletext"/>
              <w:keepNext/>
              <w:keepLines/>
              <w:rPr>
                <w:b/>
              </w:rPr>
            </w:pPr>
            <w:r w:rsidRPr="00E44873">
              <w:rPr>
                <w:b/>
              </w:rPr>
              <w:t>Component</w:t>
            </w:r>
          </w:p>
        </w:tc>
        <w:tc>
          <w:tcPr>
            <w:tcW w:w="1873" w:type="dxa"/>
          </w:tcPr>
          <w:p w:rsidR="000A5B21" w:rsidRPr="00E44873" w:rsidRDefault="000A5B21" w:rsidP="00122621">
            <w:pPr>
              <w:pStyle w:val="Tabletext"/>
              <w:keepNext/>
              <w:keepLines/>
              <w:jc w:val="center"/>
              <w:rPr>
                <w:b/>
              </w:rPr>
            </w:pPr>
            <w:r w:rsidRPr="00E44873">
              <w:rPr>
                <w:b/>
              </w:rPr>
              <w:t xml:space="preserve">CAB + RPV Q8W </w:t>
            </w:r>
          </w:p>
        </w:tc>
        <w:tc>
          <w:tcPr>
            <w:tcW w:w="2096" w:type="dxa"/>
          </w:tcPr>
          <w:p w:rsidR="000A5B21" w:rsidRPr="00E44873" w:rsidRDefault="000A5B21" w:rsidP="00122621">
            <w:pPr>
              <w:pStyle w:val="Tabletext"/>
              <w:keepNext/>
              <w:keepLines/>
              <w:jc w:val="center"/>
              <w:rPr>
                <w:b/>
              </w:rPr>
            </w:pPr>
            <w:r w:rsidRPr="00E44873">
              <w:rPr>
                <w:b/>
              </w:rPr>
              <w:t>CAB + RPV Q2M</w:t>
            </w:r>
          </w:p>
        </w:tc>
        <w:tc>
          <w:tcPr>
            <w:tcW w:w="1651" w:type="dxa"/>
          </w:tcPr>
          <w:p w:rsidR="000A5B21" w:rsidRPr="00E44873" w:rsidRDefault="000A5B21" w:rsidP="00122621">
            <w:pPr>
              <w:pStyle w:val="Tabletext"/>
              <w:keepNext/>
              <w:keepLines/>
              <w:jc w:val="center"/>
              <w:rPr>
                <w:b/>
              </w:rPr>
            </w:pPr>
            <w:r w:rsidRPr="00E44873">
              <w:rPr>
                <w:b/>
              </w:rPr>
              <w:t>DTG/RPV</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 xml:space="preserve">Cost CAB 25mg tablets, oral lead-in </w:t>
            </w:r>
            <w:r w:rsidRPr="00E44873">
              <w:rPr>
                <w:iCs/>
                <w:vertAlign w:val="superscript"/>
              </w:rPr>
              <w:t>a</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$0</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Cost RPV 25mg tablets, oral lead-in</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 xml:space="preserve">'''''''''''''''' </w:t>
            </w:r>
            <w:r w:rsidRPr="00E44873">
              <w:rPr>
                <w:vertAlign w:val="superscript"/>
              </w:rPr>
              <w:t>b</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 xml:space="preserve">'''''''''''''''' </w:t>
            </w:r>
            <w:r w:rsidRPr="00E44873">
              <w:rPr>
                <w:vertAlign w:val="superscript"/>
              </w:rPr>
              <w:t>b</w:t>
            </w:r>
          </w:p>
        </w:tc>
        <w:tc>
          <w:tcPr>
            <w:tcW w:w="1651" w:type="dxa"/>
          </w:tcPr>
          <w:p w:rsidR="000A5B21" w:rsidRPr="00E44873" w:rsidRDefault="000A5B21" w:rsidP="00122621">
            <w:pPr>
              <w:pStyle w:val="Tabletext"/>
              <w:keepNext/>
              <w:keepLines/>
              <w:jc w:val="center"/>
            </w:pPr>
            <w:r w:rsidRPr="00E44873">
              <w:t>$0</w:t>
            </w:r>
          </w:p>
        </w:tc>
      </w:tr>
      <w:tr w:rsidR="000A5B21" w:rsidRPr="00E44873" w:rsidTr="00122621">
        <w:tc>
          <w:tcPr>
            <w:tcW w:w="3396" w:type="dxa"/>
          </w:tcPr>
          <w:p w:rsidR="000A5B21" w:rsidRPr="00E44873" w:rsidRDefault="000A5B21" w:rsidP="00122621">
            <w:pPr>
              <w:pStyle w:val="Tabletext"/>
              <w:keepNext/>
              <w:keepLines/>
              <w:rPr>
                <w:iCs/>
                <w:vertAlign w:val="superscript"/>
              </w:rPr>
            </w:pPr>
            <w:r w:rsidRPr="00E44873">
              <w:rPr>
                <w:iCs/>
              </w:rPr>
              <w:t xml:space="preserve">Administration cost, year 1 (MBS23) </w:t>
            </w:r>
            <w:r w:rsidRPr="00E44873">
              <w:rPr>
                <w:iCs/>
                <w:vertAlign w:val="superscript"/>
              </w:rPr>
              <w:t>c</w:t>
            </w:r>
          </w:p>
        </w:tc>
        <w:tc>
          <w:tcPr>
            <w:tcW w:w="1873" w:type="dxa"/>
          </w:tcPr>
          <w:p w:rsidR="000A5B21" w:rsidRPr="00E44873" w:rsidRDefault="000A5B21" w:rsidP="00122621">
            <w:pPr>
              <w:pStyle w:val="Tabletext"/>
              <w:keepNext/>
              <w:keepLines/>
              <w:jc w:val="center"/>
              <w:rPr>
                <w:vertAlign w:val="superscript"/>
              </w:rPr>
            </w:pPr>
            <w:r w:rsidRPr="00E44873">
              <w:t xml:space="preserve">$232.50 (6 visits) </w:t>
            </w:r>
            <w:r w:rsidRPr="00E44873">
              <w:rPr>
                <w:vertAlign w:val="superscript"/>
              </w:rPr>
              <w:t>d</w:t>
            </w:r>
          </w:p>
        </w:tc>
        <w:tc>
          <w:tcPr>
            <w:tcW w:w="2096" w:type="dxa"/>
          </w:tcPr>
          <w:p w:rsidR="000A5B21" w:rsidRPr="00E44873" w:rsidRDefault="000A5B21" w:rsidP="00122621">
            <w:pPr>
              <w:pStyle w:val="Tabletext"/>
              <w:keepNext/>
              <w:keepLines/>
              <w:jc w:val="center"/>
              <w:rPr>
                <w:vertAlign w:val="superscript"/>
              </w:rPr>
            </w:pPr>
            <w:r w:rsidRPr="00E44873">
              <w:t xml:space="preserve">$213.13 (5.5 visits) </w:t>
            </w:r>
            <w:r w:rsidRPr="00E44873">
              <w:rPr>
                <w:vertAlign w:val="superscript"/>
              </w:rPr>
              <w:t>f</w:t>
            </w:r>
          </w:p>
        </w:tc>
        <w:tc>
          <w:tcPr>
            <w:tcW w:w="1651" w:type="dxa"/>
          </w:tcPr>
          <w:p w:rsidR="000A5B21" w:rsidRPr="00E44873" w:rsidRDefault="000A5B21" w:rsidP="00122621">
            <w:pPr>
              <w:pStyle w:val="Tabletext"/>
              <w:keepNext/>
              <w:keepLines/>
              <w:jc w:val="center"/>
            </w:pPr>
            <w:r w:rsidRPr="00E44873">
              <w:t>$0 (NA)</w:t>
            </w:r>
          </w:p>
        </w:tc>
      </w:tr>
      <w:tr w:rsidR="000A5B21" w:rsidRPr="00E44873" w:rsidTr="00122621">
        <w:tc>
          <w:tcPr>
            <w:tcW w:w="3396" w:type="dxa"/>
          </w:tcPr>
          <w:p w:rsidR="000A5B21" w:rsidRPr="00E44873" w:rsidRDefault="000A5B21" w:rsidP="00122621">
            <w:pPr>
              <w:pStyle w:val="Tabletext"/>
              <w:keepNext/>
              <w:keepLines/>
              <w:rPr>
                <w:iCs/>
                <w:vertAlign w:val="superscript"/>
              </w:rPr>
            </w:pPr>
            <w:r w:rsidRPr="00E44873">
              <w:rPr>
                <w:iCs/>
              </w:rPr>
              <w:t xml:space="preserve">Administration cost, year 2 (MBS23) </w:t>
            </w:r>
            <w:r w:rsidRPr="00E44873">
              <w:rPr>
                <w:iCs/>
                <w:vertAlign w:val="superscript"/>
              </w:rPr>
              <w:t>c</w:t>
            </w:r>
          </w:p>
        </w:tc>
        <w:tc>
          <w:tcPr>
            <w:tcW w:w="1873" w:type="dxa"/>
          </w:tcPr>
          <w:p w:rsidR="000A5B21" w:rsidRPr="00E44873" w:rsidRDefault="000A5B21" w:rsidP="00122621">
            <w:pPr>
              <w:pStyle w:val="Tabletext"/>
              <w:keepNext/>
              <w:keepLines/>
              <w:jc w:val="center"/>
              <w:rPr>
                <w:vertAlign w:val="superscript"/>
              </w:rPr>
            </w:pPr>
            <w:r w:rsidRPr="00E44873">
              <w:t xml:space="preserve">$174.38 (4.5 visits) </w:t>
            </w:r>
            <w:r w:rsidRPr="00E44873">
              <w:rPr>
                <w:vertAlign w:val="superscript"/>
              </w:rPr>
              <w:t>e</w:t>
            </w:r>
          </w:p>
        </w:tc>
        <w:tc>
          <w:tcPr>
            <w:tcW w:w="2096" w:type="dxa"/>
          </w:tcPr>
          <w:p w:rsidR="000A5B21" w:rsidRPr="00E44873" w:rsidRDefault="000A5B21" w:rsidP="00122621">
            <w:pPr>
              <w:pStyle w:val="Tabletext"/>
              <w:keepNext/>
              <w:keepLines/>
              <w:jc w:val="center"/>
              <w:rPr>
                <w:vertAlign w:val="superscript"/>
              </w:rPr>
            </w:pPr>
            <w:r w:rsidRPr="00E44873">
              <w:t xml:space="preserve">$155.00 (4 visits) </w:t>
            </w:r>
            <w:r w:rsidRPr="00E44873">
              <w:rPr>
                <w:vertAlign w:val="superscript"/>
              </w:rPr>
              <w:t>g</w:t>
            </w:r>
          </w:p>
        </w:tc>
        <w:tc>
          <w:tcPr>
            <w:tcW w:w="1651" w:type="dxa"/>
          </w:tcPr>
          <w:p w:rsidR="000A5B21" w:rsidRPr="00E44873" w:rsidRDefault="000A5B21" w:rsidP="00122621">
            <w:pPr>
              <w:pStyle w:val="Tabletext"/>
              <w:keepNext/>
              <w:keepLines/>
              <w:jc w:val="center"/>
            </w:pPr>
            <w:r w:rsidRPr="00E44873">
              <w:t>$0 (NA)</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Number of doses/scripts, year 1</w:t>
            </w:r>
          </w:p>
        </w:tc>
        <w:tc>
          <w:tcPr>
            <w:tcW w:w="1873" w:type="dxa"/>
          </w:tcPr>
          <w:p w:rsidR="000A5B21" w:rsidRPr="00E44873" w:rsidRDefault="000A5B21" w:rsidP="00122621">
            <w:pPr>
              <w:pStyle w:val="Tabletext"/>
              <w:keepNext/>
              <w:keepLines/>
              <w:jc w:val="center"/>
            </w:pPr>
            <w:r w:rsidRPr="00E44873">
              <w:t>7</w:t>
            </w:r>
          </w:p>
        </w:tc>
        <w:tc>
          <w:tcPr>
            <w:tcW w:w="2096" w:type="dxa"/>
          </w:tcPr>
          <w:p w:rsidR="000A5B21" w:rsidRPr="00E44873" w:rsidRDefault="000A5B21" w:rsidP="00122621">
            <w:pPr>
              <w:pStyle w:val="Tabletext"/>
              <w:keepNext/>
              <w:keepLines/>
              <w:jc w:val="center"/>
            </w:pPr>
            <w:r w:rsidRPr="00E44873">
              <w:t>6.5</w:t>
            </w:r>
          </w:p>
        </w:tc>
        <w:tc>
          <w:tcPr>
            <w:tcW w:w="1651" w:type="dxa"/>
          </w:tcPr>
          <w:p w:rsidR="000A5B21" w:rsidRPr="00E44873" w:rsidRDefault="000A5B21" w:rsidP="00122621">
            <w:pPr>
              <w:pStyle w:val="Tabletext"/>
              <w:keepNext/>
              <w:keepLines/>
              <w:jc w:val="center"/>
            </w:pPr>
            <w:r w:rsidRPr="00E44873">
              <w:t>6</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Number of doses/scripts, year 2</w:t>
            </w:r>
          </w:p>
        </w:tc>
        <w:tc>
          <w:tcPr>
            <w:tcW w:w="1873" w:type="dxa"/>
          </w:tcPr>
          <w:p w:rsidR="000A5B21" w:rsidRPr="00E44873" w:rsidRDefault="000A5B21" w:rsidP="00122621">
            <w:pPr>
              <w:pStyle w:val="Tabletext"/>
              <w:keepNext/>
              <w:keepLines/>
              <w:jc w:val="center"/>
            </w:pPr>
            <w:r w:rsidRPr="00E44873">
              <w:t>6.5</w:t>
            </w:r>
          </w:p>
        </w:tc>
        <w:tc>
          <w:tcPr>
            <w:tcW w:w="2096" w:type="dxa"/>
          </w:tcPr>
          <w:p w:rsidR="000A5B21" w:rsidRPr="00E44873" w:rsidRDefault="000A5B21" w:rsidP="00122621">
            <w:pPr>
              <w:pStyle w:val="Tabletext"/>
              <w:keepNext/>
              <w:keepLines/>
              <w:jc w:val="center"/>
            </w:pPr>
            <w:r w:rsidRPr="00E44873">
              <w:t>6</w:t>
            </w:r>
          </w:p>
        </w:tc>
        <w:tc>
          <w:tcPr>
            <w:tcW w:w="1651" w:type="dxa"/>
          </w:tcPr>
          <w:p w:rsidR="000A5B21" w:rsidRPr="00E44873" w:rsidRDefault="000A5B21" w:rsidP="00122621">
            <w:pPr>
              <w:pStyle w:val="Tabletext"/>
              <w:keepNext/>
              <w:keepLines/>
              <w:jc w:val="center"/>
            </w:pPr>
            <w:r w:rsidRPr="00E44873">
              <w:t>6</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Ex-manufacturer Price (per script)</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 xml:space="preserve">$1,684.86 </w:t>
            </w:r>
            <w:r w:rsidRPr="00E44873">
              <w:rPr>
                <w:vertAlign w:val="superscript"/>
              </w:rPr>
              <w:t>b</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Total cost for 2 years (undiscounted)</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$20,218.32</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Total cost for 2 years (discounted)</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w:t>
            </w:r>
            <w:r w:rsidRPr="00123C8F">
              <w:t>19,736.93</w:t>
            </w:r>
          </w:p>
        </w:tc>
      </w:tr>
    </w:tbl>
    <w:p w:rsidR="000A5B21" w:rsidRPr="00E44873" w:rsidRDefault="000A5B21" w:rsidP="000A5B21">
      <w:pPr>
        <w:pStyle w:val="TableFooter"/>
        <w:keepNext/>
        <w:keepLines/>
      </w:pPr>
      <w:r w:rsidRPr="00E44873">
        <w:t>Source: Constructed during evaluation.</w:t>
      </w:r>
    </w:p>
    <w:p w:rsidR="000A5B21" w:rsidRPr="00E44873" w:rsidRDefault="000A5B21" w:rsidP="000A5B21">
      <w:pPr>
        <w:pStyle w:val="TableFooter"/>
        <w:keepNext/>
        <w:keepLines/>
        <w:tabs>
          <w:tab w:val="left" w:pos="284"/>
        </w:tabs>
        <w:ind w:left="284" w:hanging="284"/>
      </w:pPr>
      <w:r w:rsidRPr="00E44873">
        <w:rPr>
          <w:vertAlign w:val="superscript"/>
        </w:rPr>
        <w:t>a</w:t>
      </w:r>
      <w:r w:rsidRPr="00E44873">
        <w:rPr>
          <w:vertAlign w:val="superscript"/>
        </w:rPr>
        <w:tab/>
      </w:r>
      <w:r w:rsidRPr="00E44873">
        <w:t>Approved ex-manufacturer price based on DPMQ of $</w:t>
      </w:r>
      <w:r w:rsidR="000D517E">
        <w:rPr>
          <w:noProof/>
          <w:color w:val="000000"/>
          <w:highlight w:val="black"/>
        </w:rPr>
        <w:t>''''''''''''''''''</w:t>
      </w:r>
      <w:r w:rsidRPr="00E44873">
        <w:t xml:space="preserve"> for CAB tablets proposed in the submission. </w:t>
      </w:r>
    </w:p>
    <w:p w:rsidR="000A5B21" w:rsidRPr="00E44873" w:rsidRDefault="000A5B21" w:rsidP="000A5B21">
      <w:pPr>
        <w:pStyle w:val="TableFooter"/>
        <w:keepNext/>
        <w:keepLines/>
        <w:tabs>
          <w:tab w:val="left" w:pos="284"/>
        </w:tabs>
        <w:ind w:left="284" w:hanging="284"/>
      </w:pPr>
      <w:r w:rsidRPr="00E44873">
        <w:rPr>
          <w:vertAlign w:val="superscript"/>
        </w:rPr>
        <w:t>b</w:t>
      </w:r>
      <w:r w:rsidRPr="00E44873">
        <w:t xml:space="preserve"> </w:t>
      </w:r>
      <w:r w:rsidRPr="00E44873">
        <w:tab/>
        <w:t>PBS-listed approved ex-manufacturer price</w:t>
      </w:r>
    </w:p>
    <w:p w:rsidR="000A5B21" w:rsidRPr="00E44873" w:rsidRDefault="000A5B21" w:rsidP="000A5B21">
      <w:pPr>
        <w:pStyle w:val="TableFooter"/>
        <w:keepNext/>
        <w:keepLines/>
        <w:tabs>
          <w:tab w:val="left" w:pos="284"/>
        </w:tabs>
        <w:ind w:left="284" w:hanging="284"/>
      </w:pPr>
      <w:r w:rsidRPr="00E44873">
        <w:rPr>
          <w:vertAlign w:val="superscript"/>
        </w:rPr>
        <w:t>c</w:t>
      </w:r>
      <w:r w:rsidRPr="00E44873">
        <w:tab/>
        <w:t>Assume MBS item 23 (Professional attendance by a general practitioner) 100% benefit $38.75 instead of submission’s assumption of MBS 10997 (Service provided to a person with a chronic disease by a practice nurse), 100% benefit $12.40</w:t>
      </w:r>
    </w:p>
    <w:p w:rsidR="000A5B21" w:rsidRPr="00E44873" w:rsidRDefault="000A5B21" w:rsidP="000A5B21">
      <w:pPr>
        <w:pStyle w:val="TableFooter"/>
        <w:keepNext/>
        <w:keepLines/>
        <w:tabs>
          <w:tab w:val="left" w:pos="284"/>
        </w:tabs>
        <w:ind w:left="284" w:hanging="284"/>
      </w:pPr>
      <w:r w:rsidRPr="00E44873">
        <w:rPr>
          <w:vertAlign w:val="superscript"/>
        </w:rPr>
        <w:t>d</w:t>
      </w:r>
      <w:r w:rsidRPr="00E44873">
        <w:rPr>
          <w:vertAlign w:val="superscript"/>
        </w:rPr>
        <w:tab/>
      </w:r>
      <w:r w:rsidRPr="00E44873">
        <w:t>Assume</w:t>
      </w:r>
      <w:r w:rsidRPr="00E44873">
        <w:rPr>
          <w:vertAlign w:val="superscript"/>
        </w:rPr>
        <w:t xml:space="preserve"> </w:t>
      </w:r>
      <w:r w:rsidRPr="00E44873">
        <w:t>7 injections + 1 visit for oral tablets = 8 total visits in year 1. Assume patient would attend doctor twice a year with oral ART, therefore an incremental 6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e</w:t>
      </w:r>
      <w:r w:rsidRPr="00E44873">
        <w:rPr>
          <w:vertAlign w:val="superscript"/>
        </w:rPr>
        <w:tab/>
      </w:r>
      <w:r w:rsidRPr="00E44873">
        <w:t>Assume</w:t>
      </w:r>
      <w:r w:rsidRPr="00E44873">
        <w:rPr>
          <w:vertAlign w:val="superscript"/>
        </w:rPr>
        <w:t xml:space="preserve"> </w:t>
      </w:r>
      <w:r w:rsidRPr="00E44873">
        <w:t>6.5 injections/total visits in year 2. Assume patient would attend doctor twice a year with oral ART, therefore an incremental 4.5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f</w:t>
      </w:r>
      <w:r w:rsidRPr="00E44873">
        <w:rPr>
          <w:vertAlign w:val="superscript"/>
        </w:rPr>
        <w:tab/>
      </w:r>
      <w:r w:rsidRPr="00E44873">
        <w:t>Assume</w:t>
      </w:r>
      <w:r w:rsidRPr="00E44873">
        <w:rPr>
          <w:vertAlign w:val="superscript"/>
        </w:rPr>
        <w:t xml:space="preserve"> </w:t>
      </w:r>
      <w:r w:rsidRPr="00E44873">
        <w:t>6.5 injections + 1 visit for oral tablets = 7.5 total visits in year 1. Assume patient would attend doctor twice a year with oral ART, therefore an incremental 5.5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g</w:t>
      </w:r>
      <w:r w:rsidRPr="00E44873">
        <w:rPr>
          <w:vertAlign w:val="superscript"/>
        </w:rPr>
        <w:tab/>
      </w:r>
      <w:r w:rsidRPr="00E44873">
        <w:t>Assume</w:t>
      </w:r>
      <w:r w:rsidRPr="00E44873">
        <w:rPr>
          <w:vertAlign w:val="superscript"/>
        </w:rPr>
        <w:t xml:space="preserve"> </w:t>
      </w:r>
      <w:r w:rsidRPr="00E44873">
        <w:t>6 injections/total visits in year 2. Assume patient would attend doctor twice a year with oral ART, therefore an incremental 4 visits/injections incurred</w:t>
      </w:r>
    </w:p>
    <w:p w:rsidR="000A5B21" w:rsidRPr="00E44873" w:rsidRDefault="000A5B21" w:rsidP="000A5B21">
      <w:pPr>
        <w:pStyle w:val="TableFooter"/>
        <w:keepNext/>
        <w:keepLines/>
        <w:tabs>
          <w:tab w:val="left" w:pos="284"/>
        </w:tabs>
        <w:ind w:left="284" w:hanging="284"/>
      </w:pPr>
    </w:p>
    <w:p w:rsidR="000A5B21" w:rsidRPr="00E44873" w:rsidRDefault="000A5B21" w:rsidP="000A5B21">
      <w:pPr>
        <w:pStyle w:val="TableFooter"/>
        <w:keepNext/>
        <w:keepLines/>
        <w:tabs>
          <w:tab w:val="left" w:pos="284"/>
        </w:tabs>
        <w:ind w:left="284" w:hanging="284"/>
      </w:pPr>
    </w:p>
    <w:p w:rsidR="000A5B21" w:rsidRPr="00E44873" w:rsidRDefault="000A5B21" w:rsidP="000A5B21">
      <w:pPr>
        <w:keepNext/>
        <w:keepLines/>
        <w:rPr>
          <w:rStyle w:val="CommentReference"/>
        </w:rPr>
      </w:pPr>
      <w:r w:rsidRPr="00E44873">
        <w:rPr>
          <w:rStyle w:val="CommentReference"/>
        </w:rPr>
        <w:t>Table 13:  Results of the cost-minimisation analysis to DTG/3TC using AEMP (over 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873"/>
        <w:gridCol w:w="2096"/>
        <w:gridCol w:w="1651"/>
      </w:tblGrid>
      <w:tr w:rsidR="000A5B21" w:rsidRPr="00E44873" w:rsidTr="00122621">
        <w:tc>
          <w:tcPr>
            <w:tcW w:w="3396" w:type="dxa"/>
          </w:tcPr>
          <w:p w:rsidR="000A5B21" w:rsidRPr="00E44873" w:rsidRDefault="000A5B21" w:rsidP="00122621">
            <w:pPr>
              <w:pStyle w:val="Tabletext"/>
              <w:keepNext/>
              <w:keepLines/>
              <w:rPr>
                <w:b/>
              </w:rPr>
            </w:pPr>
            <w:r w:rsidRPr="00E44873">
              <w:rPr>
                <w:b/>
              </w:rPr>
              <w:t>Component</w:t>
            </w:r>
          </w:p>
        </w:tc>
        <w:tc>
          <w:tcPr>
            <w:tcW w:w="1873" w:type="dxa"/>
          </w:tcPr>
          <w:p w:rsidR="000A5B21" w:rsidRPr="00E44873" w:rsidRDefault="000A5B21" w:rsidP="00122621">
            <w:pPr>
              <w:pStyle w:val="Tabletext"/>
              <w:keepNext/>
              <w:keepLines/>
              <w:jc w:val="center"/>
              <w:rPr>
                <w:b/>
              </w:rPr>
            </w:pPr>
            <w:r w:rsidRPr="00E44873">
              <w:rPr>
                <w:b/>
              </w:rPr>
              <w:t xml:space="preserve">CAB + RPV Q8W </w:t>
            </w:r>
          </w:p>
        </w:tc>
        <w:tc>
          <w:tcPr>
            <w:tcW w:w="2096" w:type="dxa"/>
          </w:tcPr>
          <w:p w:rsidR="000A5B21" w:rsidRPr="00E44873" w:rsidRDefault="000A5B21" w:rsidP="00122621">
            <w:pPr>
              <w:pStyle w:val="Tabletext"/>
              <w:keepNext/>
              <w:keepLines/>
              <w:jc w:val="center"/>
              <w:rPr>
                <w:b/>
              </w:rPr>
            </w:pPr>
            <w:r w:rsidRPr="00E44873">
              <w:rPr>
                <w:b/>
              </w:rPr>
              <w:t>CAB + RPV Q2M</w:t>
            </w:r>
          </w:p>
        </w:tc>
        <w:tc>
          <w:tcPr>
            <w:tcW w:w="1651" w:type="dxa"/>
          </w:tcPr>
          <w:p w:rsidR="000A5B21" w:rsidRPr="00E44873" w:rsidRDefault="000A5B21" w:rsidP="00122621">
            <w:pPr>
              <w:pStyle w:val="Tabletext"/>
              <w:keepNext/>
              <w:keepLines/>
              <w:jc w:val="center"/>
              <w:rPr>
                <w:b/>
              </w:rPr>
            </w:pPr>
            <w:r w:rsidRPr="00E44873">
              <w:rPr>
                <w:b/>
              </w:rPr>
              <w:t>DTG/3</w:t>
            </w:r>
            <w:r w:rsidRPr="00E44873">
              <w:rPr>
                <w:b/>
                <w:bCs/>
              </w:rPr>
              <w:t>TC</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 xml:space="preserve">Cost CAB 25mg tablets, oral lead-in </w:t>
            </w:r>
            <w:r w:rsidRPr="00E44873">
              <w:rPr>
                <w:iCs/>
                <w:vertAlign w:val="superscript"/>
              </w:rPr>
              <w:t>a</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$0</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Cost RPV 25mg tablets, oral lead-in</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 xml:space="preserve">''''''''''''''' </w:t>
            </w:r>
            <w:r w:rsidRPr="00E44873">
              <w:rPr>
                <w:vertAlign w:val="superscript"/>
              </w:rPr>
              <w:t>b</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 xml:space="preserve">''''''''''''''''' </w:t>
            </w:r>
            <w:r w:rsidRPr="00E44873">
              <w:rPr>
                <w:vertAlign w:val="superscript"/>
              </w:rPr>
              <w:t>b</w:t>
            </w:r>
          </w:p>
        </w:tc>
        <w:tc>
          <w:tcPr>
            <w:tcW w:w="1651" w:type="dxa"/>
          </w:tcPr>
          <w:p w:rsidR="000A5B21" w:rsidRPr="00E44873" w:rsidRDefault="000A5B21" w:rsidP="00122621">
            <w:pPr>
              <w:pStyle w:val="Tabletext"/>
              <w:keepNext/>
              <w:keepLines/>
              <w:jc w:val="center"/>
            </w:pPr>
            <w:r w:rsidRPr="00E44873">
              <w:t>$0</w:t>
            </w:r>
          </w:p>
        </w:tc>
      </w:tr>
      <w:tr w:rsidR="000A5B21" w:rsidRPr="00E44873" w:rsidTr="00122621">
        <w:tc>
          <w:tcPr>
            <w:tcW w:w="3396" w:type="dxa"/>
          </w:tcPr>
          <w:p w:rsidR="000A5B21" w:rsidRPr="00E44873" w:rsidRDefault="000A5B21" w:rsidP="00122621">
            <w:pPr>
              <w:pStyle w:val="Tabletext"/>
              <w:keepNext/>
              <w:keepLines/>
              <w:rPr>
                <w:iCs/>
                <w:vertAlign w:val="superscript"/>
              </w:rPr>
            </w:pPr>
            <w:r w:rsidRPr="00E44873">
              <w:rPr>
                <w:iCs/>
              </w:rPr>
              <w:t xml:space="preserve">Administration cost, year 1 (MBS23) </w:t>
            </w:r>
            <w:r w:rsidRPr="00E44873">
              <w:rPr>
                <w:iCs/>
                <w:vertAlign w:val="superscript"/>
              </w:rPr>
              <w:t>c</w:t>
            </w:r>
          </w:p>
        </w:tc>
        <w:tc>
          <w:tcPr>
            <w:tcW w:w="1873" w:type="dxa"/>
          </w:tcPr>
          <w:p w:rsidR="000A5B21" w:rsidRPr="00E44873" w:rsidRDefault="000A5B21" w:rsidP="00122621">
            <w:pPr>
              <w:pStyle w:val="Tabletext"/>
              <w:keepNext/>
              <w:keepLines/>
              <w:jc w:val="center"/>
              <w:rPr>
                <w:vertAlign w:val="superscript"/>
              </w:rPr>
            </w:pPr>
            <w:r w:rsidRPr="00E44873">
              <w:t xml:space="preserve">$232.50 (6 visits) </w:t>
            </w:r>
            <w:r w:rsidRPr="00E44873">
              <w:rPr>
                <w:vertAlign w:val="superscript"/>
              </w:rPr>
              <w:t>d</w:t>
            </w:r>
          </w:p>
        </w:tc>
        <w:tc>
          <w:tcPr>
            <w:tcW w:w="2096" w:type="dxa"/>
          </w:tcPr>
          <w:p w:rsidR="000A5B21" w:rsidRPr="00E44873" w:rsidRDefault="000A5B21" w:rsidP="00122621">
            <w:pPr>
              <w:pStyle w:val="Tabletext"/>
              <w:keepNext/>
              <w:keepLines/>
              <w:jc w:val="center"/>
              <w:rPr>
                <w:vertAlign w:val="superscript"/>
              </w:rPr>
            </w:pPr>
            <w:r w:rsidRPr="00E44873">
              <w:t xml:space="preserve">$213.13 (5.5 visits) </w:t>
            </w:r>
            <w:r w:rsidRPr="00E44873">
              <w:rPr>
                <w:vertAlign w:val="superscript"/>
              </w:rPr>
              <w:t>f</w:t>
            </w:r>
          </w:p>
        </w:tc>
        <w:tc>
          <w:tcPr>
            <w:tcW w:w="1651" w:type="dxa"/>
          </w:tcPr>
          <w:p w:rsidR="000A5B21" w:rsidRPr="00E44873" w:rsidRDefault="000A5B21" w:rsidP="00122621">
            <w:pPr>
              <w:pStyle w:val="Tabletext"/>
              <w:keepNext/>
              <w:keepLines/>
              <w:jc w:val="center"/>
            </w:pPr>
            <w:r w:rsidRPr="00E44873">
              <w:t>$0 (NA)</w:t>
            </w:r>
          </w:p>
        </w:tc>
      </w:tr>
      <w:tr w:rsidR="000A5B21" w:rsidRPr="00E44873" w:rsidTr="00122621">
        <w:tc>
          <w:tcPr>
            <w:tcW w:w="3396" w:type="dxa"/>
          </w:tcPr>
          <w:p w:rsidR="000A5B21" w:rsidRPr="00E44873" w:rsidRDefault="000A5B21" w:rsidP="00122621">
            <w:pPr>
              <w:pStyle w:val="Tabletext"/>
              <w:keepNext/>
              <w:keepLines/>
              <w:rPr>
                <w:iCs/>
                <w:vertAlign w:val="superscript"/>
              </w:rPr>
            </w:pPr>
            <w:r w:rsidRPr="00E44873">
              <w:rPr>
                <w:iCs/>
              </w:rPr>
              <w:t xml:space="preserve">Administration cost, year 2 (MBS23) </w:t>
            </w:r>
            <w:r w:rsidRPr="00E44873">
              <w:rPr>
                <w:iCs/>
                <w:vertAlign w:val="superscript"/>
              </w:rPr>
              <w:t>c</w:t>
            </w:r>
          </w:p>
        </w:tc>
        <w:tc>
          <w:tcPr>
            <w:tcW w:w="1873" w:type="dxa"/>
          </w:tcPr>
          <w:p w:rsidR="000A5B21" w:rsidRPr="00E44873" w:rsidRDefault="000A5B21" w:rsidP="00122621">
            <w:pPr>
              <w:pStyle w:val="Tabletext"/>
              <w:keepNext/>
              <w:keepLines/>
              <w:jc w:val="center"/>
              <w:rPr>
                <w:vertAlign w:val="superscript"/>
              </w:rPr>
            </w:pPr>
            <w:r w:rsidRPr="00E44873">
              <w:t xml:space="preserve">$174.38 (4.5 visits) </w:t>
            </w:r>
            <w:r w:rsidRPr="00E44873">
              <w:rPr>
                <w:vertAlign w:val="superscript"/>
              </w:rPr>
              <w:t>e</w:t>
            </w:r>
          </w:p>
        </w:tc>
        <w:tc>
          <w:tcPr>
            <w:tcW w:w="2096" w:type="dxa"/>
          </w:tcPr>
          <w:p w:rsidR="000A5B21" w:rsidRPr="00E44873" w:rsidRDefault="000A5B21" w:rsidP="00122621">
            <w:pPr>
              <w:pStyle w:val="Tabletext"/>
              <w:keepNext/>
              <w:keepLines/>
              <w:jc w:val="center"/>
              <w:rPr>
                <w:vertAlign w:val="superscript"/>
              </w:rPr>
            </w:pPr>
            <w:r w:rsidRPr="00E44873">
              <w:t xml:space="preserve">$155.00 (4 visits) </w:t>
            </w:r>
            <w:r w:rsidRPr="00E44873">
              <w:rPr>
                <w:vertAlign w:val="superscript"/>
              </w:rPr>
              <w:t>g</w:t>
            </w:r>
          </w:p>
        </w:tc>
        <w:tc>
          <w:tcPr>
            <w:tcW w:w="1651" w:type="dxa"/>
          </w:tcPr>
          <w:p w:rsidR="000A5B21" w:rsidRPr="00E44873" w:rsidRDefault="000A5B21" w:rsidP="00122621">
            <w:pPr>
              <w:pStyle w:val="Tabletext"/>
              <w:keepNext/>
              <w:keepLines/>
              <w:jc w:val="center"/>
            </w:pPr>
            <w:r w:rsidRPr="00E44873">
              <w:t>$0 (NA)</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Number of doses/scripts, year 1</w:t>
            </w:r>
          </w:p>
        </w:tc>
        <w:tc>
          <w:tcPr>
            <w:tcW w:w="1873" w:type="dxa"/>
          </w:tcPr>
          <w:p w:rsidR="000A5B21" w:rsidRPr="00E44873" w:rsidRDefault="000A5B21" w:rsidP="00122621">
            <w:pPr>
              <w:pStyle w:val="Tabletext"/>
              <w:keepNext/>
              <w:keepLines/>
              <w:jc w:val="center"/>
            </w:pPr>
            <w:r w:rsidRPr="00E44873">
              <w:t>7</w:t>
            </w:r>
          </w:p>
        </w:tc>
        <w:tc>
          <w:tcPr>
            <w:tcW w:w="2096" w:type="dxa"/>
          </w:tcPr>
          <w:p w:rsidR="000A5B21" w:rsidRPr="00E44873" w:rsidRDefault="000A5B21" w:rsidP="00122621">
            <w:pPr>
              <w:pStyle w:val="Tabletext"/>
              <w:keepNext/>
              <w:keepLines/>
              <w:jc w:val="center"/>
            </w:pPr>
            <w:r w:rsidRPr="00E44873">
              <w:t>6.5</w:t>
            </w:r>
          </w:p>
        </w:tc>
        <w:tc>
          <w:tcPr>
            <w:tcW w:w="1651" w:type="dxa"/>
          </w:tcPr>
          <w:p w:rsidR="000A5B21" w:rsidRPr="00E44873" w:rsidRDefault="000A5B21" w:rsidP="00122621">
            <w:pPr>
              <w:pStyle w:val="Tabletext"/>
              <w:keepNext/>
              <w:keepLines/>
              <w:jc w:val="center"/>
            </w:pPr>
            <w:r w:rsidRPr="00E44873">
              <w:t>6</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Number of doses/scripts, year 2</w:t>
            </w:r>
          </w:p>
        </w:tc>
        <w:tc>
          <w:tcPr>
            <w:tcW w:w="1873" w:type="dxa"/>
          </w:tcPr>
          <w:p w:rsidR="000A5B21" w:rsidRPr="00E44873" w:rsidRDefault="000A5B21" w:rsidP="00122621">
            <w:pPr>
              <w:pStyle w:val="Tabletext"/>
              <w:keepNext/>
              <w:keepLines/>
              <w:jc w:val="center"/>
            </w:pPr>
            <w:r w:rsidRPr="00E44873">
              <w:t>6.5</w:t>
            </w:r>
          </w:p>
        </w:tc>
        <w:tc>
          <w:tcPr>
            <w:tcW w:w="2096" w:type="dxa"/>
          </w:tcPr>
          <w:p w:rsidR="000A5B21" w:rsidRPr="00E44873" w:rsidRDefault="000A5B21" w:rsidP="00122621">
            <w:pPr>
              <w:pStyle w:val="Tabletext"/>
              <w:keepNext/>
              <w:keepLines/>
              <w:jc w:val="center"/>
            </w:pPr>
            <w:r w:rsidRPr="00E44873">
              <w:t>6</w:t>
            </w:r>
          </w:p>
        </w:tc>
        <w:tc>
          <w:tcPr>
            <w:tcW w:w="1651" w:type="dxa"/>
          </w:tcPr>
          <w:p w:rsidR="000A5B21" w:rsidRPr="00E44873" w:rsidRDefault="000A5B21" w:rsidP="00122621">
            <w:pPr>
              <w:pStyle w:val="Tabletext"/>
              <w:keepNext/>
              <w:keepLines/>
              <w:jc w:val="center"/>
            </w:pPr>
            <w:r w:rsidRPr="00E44873">
              <w:t>6</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Ex-manufacturer Price (per script)</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rPr>
                <w:vertAlign w:val="superscript"/>
              </w:rPr>
            </w:pPr>
            <w:r w:rsidRPr="00E44873">
              <w:t xml:space="preserve">$1,395.56 </w:t>
            </w:r>
            <w:r w:rsidRPr="00E44873">
              <w:rPr>
                <w:vertAlign w:val="superscript"/>
              </w:rPr>
              <w:t>b</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Total cost for 2 years (undiscounted)</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$16,746.72</w:t>
            </w:r>
          </w:p>
        </w:tc>
      </w:tr>
      <w:tr w:rsidR="000A5B21" w:rsidRPr="00E44873" w:rsidTr="00122621">
        <w:tc>
          <w:tcPr>
            <w:tcW w:w="3396" w:type="dxa"/>
          </w:tcPr>
          <w:p w:rsidR="000A5B21" w:rsidRPr="00E44873" w:rsidRDefault="000A5B21" w:rsidP="00122621">
            <w:pPr>
              <w:pStyle w:val="Tabletext"/>
              <w:keepNext/>
              <w:keepLines/>
              <w:rPr>
                <w:iCs/>
              </w:rPr>
            </w:pPr>
            <w:r w:rsidRPr="00E44873">
              <w:rPr>
                <w:iCs/>
              </w:rPr>
              <w:t>Total cost for 2 years (discounted)</w:t>
            </w:r>
          </w:p>
        </w:tc>
        <w:tc>
          <w:tcPr>
            <w:tcW w:w="1873"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2096" w:type="dxa"/>
          </w:tcPr>
          <w:p w:rsidR="000A5B21" w:rsidRPr="00E44873" w:rsidRDefault="000A5B21" w:rsidP="00122621">
            <w:pPr>
              <w:pStyle w:val="Tabletext"/>
              <w:keepNext/>
              <w:keepLines/>
              <w:jc w:val="center"/>
            </w:pPr>
            <w:r w:rsidRPr="00E44873">
              <w:t>$</w:t>
            </w:r>
            <w:r w:rsidR="000D517E">
              <w:rPr>
                <w:noProof/>
                <w:color w:val="000000"/>
                <w:highlight w:val="black"/>
              </w:rPr>
              <w:t>'''''''''''''''''''''''</w:t>
            </w:r>
          </w:p>
        </w:tc>
        <w:tc>
          <w:tcPr>
            <w:tcW w:w="1651" w:type="dxa"/>
          </w:tcPr>
          <w:p w:rsidR="000A5B21" w:rsidRPr="00E44873" w:rsidRDefault="000A5B21" w:rsidP="00122621">
            <w:pPr>
              <w:pStyle w:val="Tabletext"/>
              <w:keepNext/>
              <w:keepLines/>
              <w:jc w:val="center"/>
            </w:pPr>
            <w:r w:rsidRPr="00E44873">
              <w:t>$16,347.99</w:t>
            </w:r>
          </w:p>
        </w:tc>
      </w:tr>
    </w:tbl>
    <w:p w:rsidR="000A5B21" w:rsidRPr="00E44873" w:rsidRDefault="000A5B21" w:rsidP="000A5B21">
      <w:pPr>
        <w:pStyle w:val="TableFooter"/>
        <w:keepNext/>
        <w:keepLines/>
      </w:pPr>
      <w:r w:rsidRPr="00E44873">
        <w:t>Source: Constructed during evaluation.</w:t>
      </w:r>
    </w:p>
    <w:p w:rsidR="000A5B21" w:rsidRPr="00E44873" w:rsidRDefault="000A5B21" w:rsidP="000A5B21">
      <w:pPr>
        <w:pStyle w:val="TableFooter"/>
        <w:keepNext/>
        <w:keepLines/>
        <w:tabs>
          <w:tab w:val="left" w:pos="284"/>
        </w:tabs>
        <w:ind w:left="284" w:hanging="284"/>
      </w:pPr>
      <w:r w:rsidRPr="00E44873">
        <w:rPr>
          <w:vertAlign w:val="superscript"/>
        </w:rPr>
        <w:t>a</w:t>
      </w:r>
      <w:r w:rsidRPr="00E44873">
        <w:rPr>
          <w:vertAlign w:val="superscript"/>
        </w:rPr>
        <w:tab/>
      </w:r>
      <w:r w:rsidRPr="00E44873">
        <w:t>Approved ex-manufacturer price based on DPMQ of $</w:t>
      </w:r>
      <w:r w:rsidR="000D517E">
        <w:rPr>
          <w:noProof/>
          <w:color w:val="000000"/>
          <w:highlight w:val="black"/>
        </w:rPr>
        <w:t xml:space="preserve">'''''''''''''''' </w:t>
      </w:r>
      <w:r w:rsidRPr="00E44873">
        <w:t>for CAB tablets proposed in the submission</w:t>
      </w:r>
      <w:r w:rsidR="00460D8F">
        <w:t>.</w:t>
      </w:r>
      <w:r w:rsidRPr="00E44873">
        <w:t xml:space="preserve"> </w:t>
      </w:r>
    </w:p>
    <w:p w:rsidR="000A5B21" w:rsidRPr="00E44873" w:rsidRDefault="000A5B21" w:rsidP="000A5B21">
      <w:pPr>
        <w:pStyle w:val="TableFooter"/>
        <w:keepNext/>
        <w:keepLines/>
        <w:tabs>
          <w:tab w:val="left" w:pos="284"/>
        </w:tabs>
        <w:ind w:left="284" w:hanging="284"/>
      </w:pPr>
      <w:r w:rsidRPr="00E44873">
        <w:rPr>
          <w:vertAlign w:val="superscript"/>
        </w:rPr>
        <w:t>b</w:t>
      </w:r>
      <w:r w:rsidRPr="00E44873">
        <w:t xml:space="preserve"> </w:t>
      </w:r>
      <w:r w:rsidRPr="00E44873">
        <w:tab/>
        <w:t>PBS-listed approved ex-manufacturer price</w:t>
      </w:r>
    </w:p>
    <w:p w:rsidR="000A5B21" w:rsidRPr="00E44873" w:rsidRDefault="000A5B21" w:rsidP="000A5B21">
      <w:pPr>
        <w:pStyle w:val="TableFooter"/>
        <w:keepNext/>
        <w:keepLines/>
        <w:tabs>
          <w:tab w:val="left" w:pos="284"/>
        </w:tabs>
        <w:ind w:left="284" w:hanging="284"/>
      </w:pPr>
      <w:r w:rsidRPr="00E44873">
        <w:rPr>
          <w:vertAlign w:val="superscript"/>
        </w:rPr>
        <w:t>c</w:t>
      </w:r>
      <w:r w:rsidRPr="00E44873">
        <w:tab/>
        <w:t>Assume MBS item 23 (Professional attendance by a general practitioner) 100% benefit $38.75 instead of submission’s assumption of MBS 10997 (Service provided to a person with a chronic disease by a practice nurse), 100% benefit $12.40</w:t>
      </w:r>
    </w:p>
    <w:p w:rsidR="000A5B21" w:rsidRPr="00E44873" w:rsidRDefault="000A5B21" w:rsidP="000A5B21">
      <w:pPr>
        <w:pStyle w:val="TableFooter"/>
        <w:keepNext/>
        <w:keepLines/>
        <w:tabs>
          <w:tab w:val="left" w:pos="284"/>
        </w:tabs>
        <w:ind w:left="284" w:hanging="284"/>
      </w:pPr>
      <w:r w:rsidRPr="00E44873">
        <w:rPr>
          <w:vertAlign w:val="superscript"/>
        </w:rPr>
        <w:t>d</w:t>
      </w:r>
      <w:r w:rsidRPr="00E44873">
        <w:rPr>
          <w:vertAlign w:val="superscript"/>
        </w:rPr>
        <w:tab/>
      </w:r>
      <w:r w:rsidRPr="00E44873">
        <w:t>Assume</w:t>
      </w:r>
      <w:r w:rsidRPr="00E44873">
        <w:rPr>
          <w:vertAlign w:val="superscript"/>
        </w:rPr>
        <w:t xml:space="preserve"> </w:t>
      </w:r>
      <w:r w:rsidRPr="00E44873">
        <w:t>7 injections + 1 visit for oral tablets = 8 total visits in year 1. Assume patient would attend doctor twice a year with oral ART, therefore an incremental 6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e</w:t>
      </w:r>
      <w:r w:rsidRPr="00E44873">
        <w:rPr>
          <w:vertAlign w:val="superscript"/>
        </w:rPr>
        <w:tab/>
      </w:r>
      <w:r w:rsidRPr="00E44873">
        <w:t>Assume</w:t>
      </w:r>
      <w:r w:rsidRPr="00E44873">
        <w:rPr>
          <w:vertAlign w:val="superscript"/>
        </w:rPr>
        <w:t xml:space="preserve"> </w:t>
      </w:r>
      <w:r w:rsidRPr="00E44873">
        <w:t>6.5 injections/total visits in year 2. Assume patient would attend doctor twice a year with oral ART, therefore an incremental 4.5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f</w:t>
      </w:r>
      <w:r w:rsidRPr="00E44873">
        <w:rPr>
          <w:vertAlign w:val="superscript"/>
        </w:rPr>
        <w:tab/>
      </w:r>
      <w:r w:rsidRPr="00E44873">
        <w:t>Assume</w:t>
      </w:r>
      <w:r w:rsidRPr="00E44873">
        <w:rPr>
          <w:vertAlign w:val="superscript"/>
        </w:rPr>
        <w:t xml:space="preserve"> </w:t>
      </w:r>
      <w:r w:rsidRPr="00E44873">
        <w:t>6.5 injections + 1 visit for oral tablets = 7.5 total visits in year 1. Assume patient would attend doctor twice a year with oral ART, therefore an incremental 5.5 visits/injections incurred</w:t>
      </w:r>
    </w:p>
    <w:p w:rsidR="000A5B21" w:rsidRPr="00E44873" w:rsidRDefault="000A5B21" w:rsidP="000A5B21">
      <w:pPr>
        <w:pStyle w:val="TableFooter"/>
        <w:keepNext/>
        <w:keepLines/>
        <w:tabs>
          <w:tab w:val="left" w:pos="284"/>
        </w:tabs>
        <w:ind w:left="284" w:hanging="284"/>
      </w:pPr>
      <w:r w:rsidRPr="00E44873">
        <w:rPr>
          <w:vertAlign w:val="superscript"/>
        </w:rPr>
        <w:t>g</w:t>
      </w:r>
      <w:r w:rsidRPr="00E44873">
        <w:rPr>
          <w:vertAlign w:val="superscript"/>
        </w:rPr>
        <w:tab/>
      </w:r>
      <w:r w:rsidRPr="00E44873">
        <w:t>Assume</w:t>
      </w:r>
      <w:r w:rsidRPr="00E44873">
        <w:rPr>
          <w:vertAlign w:val="superscript"/>
        </w:rPr>
        <w:t xml:space="preserve"> </w:t>
      </w:r>
      <w:r w:rsidRPr="00E44873">
        <w:t>6 injections/total visits in year 2. Assume patient would attend doctor twice a year with oral ART, therefore an incremental 4 visits/injections incurred</w:t>
      </w:r>
    </w:p>
    <w:p w:rsidR="000A5B21" w:rsidRPr="00E44873" w:rsidRDefault="000A5B21" w:rsidP="000A5B21"/>
    <w:p w:rsidR="002F0D4D" w:rsidRPr="00E44873" w:rsidRDefault="002F0D4D" w:rsidP="009D4033">
      <w:pPr>
        <w:widowControl/>
      </w:pPr>
    </w:p>
    <w:p w:rsidR="002F0D4D" w:rsidRDefault="002F0D4D" w:rsidP="002F0D4D"/>
    <w:p w:rsidR="00460D8F" w:rsidRDefault="00460D8F" w:rsidP="002F0D4D"/>
    <w:p w:rsidR="007234C7" w:rsidRDefault="007234C7" w:rsidP="00411141">
      <w:pPr>
        <w:pStyle w:val="Heading3"/>
      </w:pPr>
    </w:p>
    <w:p w:rsidR="007234C7" w:rsidRDefault="007234C7" w:rsidP="00411141">
      <w:pPr>
        <w:pStyle w:val="Heading3"/>
      </w:pPr>
    </w:p>
    <w:p w:rsidR="00AF6A96" w:rsidRPr="00E44873" w:rsidRDefault="00AF6A96" w:rsidP="00411141">
      <w:pPr>
        <w:pStyle w:val="Heading3"/>
      </w:pPr>
      <w:r w:rsidRPr="00E44873">
        <w:t>Cost-benefit analysis (CBA)</w:t>
      </w:r>
    </w:p>
    <w:p w:rsidR="00380CDC" w:rsidRPr="00E44873" w:rsidRDefault="00380CDC" w:rsidP="00380CDC">
      <w:pPr>
        <w:pStyle w:val="ListParagraph"/>
        <w:widowControl/>
        <w:numPr>
          <w:ilvl w:val="1"/>
          <w:numId w:val="1"/>
        </w:numPr>
        <w:spacing w:before="240"/>
      </w:pPr>
      <w:r w:rsidRPr="00E44873">
        <w:t xml:space="preserve">The ESC </w:t>
      </w:r>
      <w:r w:rsidR="00B16613">
        <w:t xml:space="preserve">advised it </w:t>
      </w:r>
      <w:r w:rsidRPr="00E44873">
        <w:t xml:space="preserve">did not consider the CBA sufficiently reliable to inform decision-making, as there were significant issues with the estimation of WTP using the DCE, including: </w:t>
      </w:r>
    </w:p>
    <w:p w:rsidR="00380CDC" w:rsidRPr="00E44873" w:rsidRDefault="00380CDC" w:rsidP="00380CDC">
      <w:pPr>
        <w:pStyle w:val="Bulletpoints"/>
        <w:numPr>
          <w:ilvl w:val="1"/>
          <w:numId w:val="2"/>
        </w:numPr>
      </w:pPr>
      <w:r w:rsidRPr="00E44873">
        <w:t>the lack of oral ART as an option for alternative treatment, or consideration of current oral treatment preferences in the modelling (to ensure any surplus was attributable only to LA injection dose form), meaning the WTP and consumer surplus for LA injections were overestimated</w:t>
      </w:r>
    </w:p>
    <w:p w:rsidR="00380CDC" w:rsidRPr="00E44873" w:rsidRDefault="00380CDC" w:rsidP="00380CDC">
      <w:pPr>
        <w:pStyle w:val="Bulletpoints"/>
        <w:numPr>
          <w:ilvl w:val="1"/>
          <w:numId w:val="2"/>
        </w:numPr>
      </w:pPr>
      <w:r w:rsidRPr="00E44873">
        <w:t>the fact that claimed benefits around quality of life, anxiety and stigma were not included in the DCE</w:t>
      </w:r>
    </w:p>
    <w:p w:rsidR="00380CDC" w:rsidRPr="00E44873" w:rsidRDefault="00380CDC" w:rsidP="00380CDC">
      <w:pPr>
        <w:pStyle w:val="Bulletpoints"/>
        <w:numPr>
          <w:ilvl w:val="1"/>
          <w:numId w:val="2"/>
        </w:numPr>
      </w:pPr>
      <w:r w:rsidRPr="00E44873">
        <w:t xml:space="preserve">the lack of face validity with magnitude of </w:t>
      </w:r>
      <w:r w:rsidR="00010223" w:rsidRPr="00E44873">
        <w:t>the calculated consumer surplus</w:t>
      </w:r>
      <w:r w:rsidRPr="00E44873">
        <w:t xml:space="preserve"> compared to co-payments that patients faced,</w:t>
      </w:r>
    </w:p>
    <w:p w:rsidR="00380CDC" w:rsidRPr="00E44873" w:rsidRDefault="00380CDC" w:rsidP="00380CDC">
      <w:pPr>
        <w:pStyle w:val="Bulletpoints"/>
        <w:numPr>
          <w:ilvl w:val="1"/>
          <w:numId w:val="2"/>
        </w:numPr>
      </w:pPr>
      <w:r w:rsidRPr="00E44873">
        <w:t>incorrect representation of LA injection with regards to safety and oral bridging availability.</w:t>
      </w:r>
    </w:p>
    <w:p w:rsidR="00380CDC" w:rsidRPr="00E44873" w:rsidRDefault="00380CDC" w:rsidP="00380CDC">
      <w:pPr>
        <w:pStyle w:val="Bulletpoints"/>
        <w:numPr>
          <w:ilvl w:val="0"/>
          <w:numId w:val="0"/>
        </w:numPr>
        <w:ind w:left="720"/>
      </w:pPr>
      <w:r w:rsidRPr="00E44873">
        <w:t xml:space="preserve">Further evaluation on the CBA is provided below. </w:t>
      </w:r>
    </w:p>
    <w:p w:rsidR="00575493" w:rsidRPr="00E44873" w:rsidRDefault="009B0CA9" w:rsidP="00D1387B">
      <w:pPr>
        <w:pStyle w:val="ListParagraph"/>
        <w:widowControl/>
        <w:numPr>
          <w:ilvl w:val="1"/>
          <w:numId w:val="1"/>
        </w:numPr>
        <w:spacing w:before="240"/>
      </w:pPr>
      <w:r w:rsidRPr="00E44873">
        <w:t xml:space="preserve">The </w:t>
      </w:r>
      <w:r w:rsidR="00D31976" w:rsidRPr="00E44873">
        <w:t>CBA</w:t>
      </w:r>
      <w:r w:rsidRPr="00E44873">
        <w:t xml:space="preserve"> presented by the submission incorporated</w:t>
      </w:r>
      <w:r w:rsidR="00D31976" w:rsidRPr="00E44873">
        <w:t xml:space="preserve"> </w:t>
      </w:r>
      <w:r w:rsidR="005F0704" w:rsidRPr="00E44873">
        <w:t xml:space="preserve">a </w:t>
      </w:r>
      <w:r w:rsidR="00D31976" w:rsidRPr="00E44873">
        <w:t xml:space="preserve">consumer surplus from patient benefits of a LA </w:t>
      </w:r>
      <w:r w:rsidRPr="00E44873">
        <w:t xml:space="preserve">ART </w:t>
      </w:r>
      <w:r w:rsidR="00D31976" w:rsidRPr="00E44873">
        <w:t xml:space="preserve">valued through a willingness to pay (WTP) study and </w:t>
      </w:r>
      <w:r w:rsidR="00A30A21" w:rsidRPr="00E44873">
        <w:t xml:space="preserve">included </w:t>
      </w:r>
      <w:r w:rsidR="00D31976" w:rsidRPr="00E44873">
        <w:t xml:space="preserve">the incremental cost due to administration of CAB LA + RPV LA. The total cost benefit of CAB LA + RPV LA was compared to the cost of treatment with DTG/RPV based on the submission’s claim of “non-inferior antiviral effectiveness and improved patient acceptability for CAB LA + RPV LA”, such that the total cost benefit for each alternative are equal over a period of 10 years. </w:t>
      </w:r>
    </w:p>
    <w:p w:rsidR="00D31976" w:rsidRPr="00E44873" w:rsidRDefault="00D31976" w:rsidP="00D1387B">
      <w:pPr>
        <w:pStyle w:val="ListParagraph"/>
        <w:widowControl/>
        <w:numPr>
          <w:ilvl w:val="1"/>
          <w:numId w:val="1"/>
        </w:numPr>
      </w:pPr>
      <w:r w:rsidRPr="00E44873">
        <w:t xml:space="preserve">The sponsor commissioned a WTP study to examine the treatment preferences for HIV and to elicit preferences for the attributes associated with treatment. </w:t>
      </w:r>
      <w:r w:rsidR="009B2D2A">
        <w:t xml:space="preserve">A discrete choice experiment (DCE) was used </w:t>
      </w:r>
      <w:r w:rsidRPr="00E44873">
        <w:t xml:space="preserve">to determine </w:t>
      </w:r>
      <w:r w:rsidR="009B2D2A">
        <w:t>WTP</w:t>
      </w:r>
      <w:r w:rsidR="009B2D2A" w:rsidRPr="00E44873">
        <w:t xml:space="preserve"> </w:t>
      </w:r>
      <w:r w:rsidRPr="00E44873">
        <w:t>and to estimate the benefit (consumer surplus) to patients receiving CAB</w:t>
      </w:r>
      <w:r w:rsidR="005F0704" w:rsidRPr="00E44873">
        <w:t xml:space="preserve"> LA</w:t>
      </w:r>
      <w:r w:rsidRPr="00E44873">
        <w:t xml:space="preserve"> + RPV</w:t>
      </w:r>
      <w:r w:rsidR="005F0704" w:rsidRPr="00E44873">
        <w:t xml:space="preserve"> LA</w:t>
      </w:r>
      <w:r w:rsidRPr="00E44873">
        <w:t xml:space="preserve">. See </w:t>
      </w:r>
      <w:r w:rsidR="00B90AC3" w:rsidRPr="00B90AC3">
        <w:t xml:space="preserve">Table </w:t>
      </w:r>
      <w:r w:rsidR="00AC37A9" w:rsidRPr="00E44873">
        <w:t>4</w:t>
      </w:r>
      <w:r w:rsidR="009B0CA9" w:rsidRPr="00E44873">
        <w:t xml:space="preserve"> </w:t>
      </w:r>
      <w:r w:rsidRPr="00E44873">
        <w:t>for a summary of the WTP</w:t>
      </w:r>
      <w:r w:rsidR="009B2D2A">
        <w:t>/DCE</w:t>
      </w:r>
      <w:r w:rsidRPr="00E44873">
        <w:t xml:space="preserve"> study</w:t>
      </w:r>
      <w:r w:rsidR="00F64F90" w:rsidRPr="00E44873">
        <w:t xml:space="preserve"> and </w:t>
      </w:r>
      <w:r w:rsidR="00B90AC3" w:rsidRPr="00B90AC3">
        <w:t>Figure 1</w:t>
      </w:r>
      <w:r w:rsidR="00BB0338" w:rsidRPr="00E44873">
        <w:t xml:space="preserve"> </w:t>
      </w:r>
      <w:r w:rsidR="00F64F90" w:rsidRPr="00E44873">
        <w:t>for an example of a choice scenario where participants were asked to choose their preferred treatment.</w:t>
      </w:r>
    </w:p>
    <w:p w:rsidR="00D31976" w:rsidRPr="00E44873" w:rsidRDefault="009B0CA9" w:rsidP="009B0CA9">
      <w:pPr>
        <w:pStyle w:val="Tabletext"/>
        <w:keepNext/>
        <w:keepLines/>
        <w:rPr>
          <w:rStyle w:val="CommentReference"/>
          <w:b w:val="0"/>
        </w:rPr>
      </w:pPr>
      <w:bookmarkStart w:id="24" w:name="_Ref59492865"/>
      <w:r w:rsidRPr="00E44873">
        <w:rPr>
          <w:rStyle w:val="CommentReference"/>
        </w:rPr>
        <w:t xml:space="preserve">Table </w:t>
      </w:r>
      <w:bookmarkEnd w:id="24"/>
      <w:r w:rsidR="0046465A" w:rsidRPr="00E44873">
        <w:rPr>
          <w:rStyle w:val="CommentReference"/>
        </w:rPr>
        <w:t>1</w:t>
      </w:r>
      <w:r w:rsidR="00A84B03" w:rsidRPr="00E44873">
        <w:rPr>
          <w:rStyle w:val="CommentReference"/>
        </w:rPr>
        <w:t>4</w:t>
      </w:r>
      <w:r w:rsidR="00D31976" w:rsidRPr="00E44873">
        <w:rPr>
          <w:rStyle w:val="CommentReference"/>
        </w:rPr>
        <w:t>: Summary of the willingness to pay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0"/>
        <w:gridCol w:w="7057"/>
      </w:tblGrid>
      <w:tr w:rsidR="00D31976" w:rsidRPr="00E44873" w:rsidTr="00AD4B02">
        <w:tc>
          <w:tcPr>
            <w:tcW w:w="1087" w:type="pct"/>
            <w:vAlign w:val="center"/>
          </w:tcPr>
          <w:p w:rsidR="00D31976" w:rsidRPr="00E44873" w:rsidRDefault="00D31976" w:rsidP="009B0CA9">
            <w:pPr>
              <w:pStyle w:val="Tabletext"/>
              <w:keepNext/>
              <w:keepLines/>
              <w:rPr>
                <w:b/>
              </w:rPr>
            </w:pPr>
            <w:r w:rsidRPr="00E44873">
              <w:rPr>
                <w:b/>
              </w:rPr>
              <w:t>Component</w:t>
            </w:r>
          </w:p>
        </w:tc>
        <w:tc>
          <w:tcPr>
            <w:tcW w:w="3913" w:type="pct"/>
          </w:tcPr>
          <w:p w:rsidR="00D31976" w:rsidRPr="00E44873" w:rsidRDefault="00D31976" w:rsidP="009B0CA9">
            <w:pPr>
              <w:pStyle w:val="Tabletext"/>
              <w:keepNext/>
              <w:keepLines/>
              <w:jc w:val="center"/>
              <w:rPr>
                <w:b/>
              </w:rPr>
            </w:pPr>
            <w:r w:rsidRPr="00E44873">
              <w:rPr>
                <w:b/>
              </w:rPr>
              <w:t>Summary</w:t>
            </w:r>
          </w:p>
        </w:tc>
      </w:tr>
      <w:tr w:rsidR="00D31976" w:rsidRPr="00E44873" w:rsidTr="00AD4B02">
        <w:tc>
          <w:tcPr>
            <w:tcW w:w="1087" w:type="pct"/>
            <w:vAlign w:val="center"/>
          </w:tcPr>
          <w:p w:rsidR="00D31976" w:rsidRPr="00E44873" w:rsidRDefault="00D31976" w:rsidP="009B0CA9">
            <w:pPr>
              <w:pStyle w:val="Tabletext"/>
              <w:keepNext/>
              <w:keepLines/>
            </w:pPr>
            <w:r w:rsidRPr="00E44873">
              <w:t>Design</w:t>
            </w:r>
          </w:p>
        </w:tc>
        <w:tc>
          <w:tcPr>
            <w:tcW w:w="3913" w:type="pct"/>
          </w:tcPr>
          <w:p w:rsidR="00D31976" w:rsidRPr="00E44873" w:rsidRDefault="00D31976" w:rsidP="009B0CA9">
            <w:pPr>
              <w:pStyle w:val="Tabletext"/>
              <w:keepNext/>
              <w:keepLines/>
            </w:pPr>
            <w:r w:rsidRPr="00E44873">
              <w:t>Discret</w:t>
            </w:r>
            <w:r w:rsidR="00E20C59" w:rsidRPr="00E44873">
              <w:t>e choice experiment (DCE) that ask</w:t>
            </w:r>
            <w:r w:rsidRPr="00E44873">
              <w:t xml:space="preserve">ed participants to select their preferred treatment out of two hypothetical injectable treatment alternatives, ‘injection 1’ and ‘injection 2’, and their current treatment, which was a fixed oral ART defined by the participant. </w:t>
            </w:r>
          </w:p>
          <w:p w:rsidR="00D31976" w:rsidRPr="00E44873" w:rsidRDefault="00D31976" w:rsidP="009B0CA9">
            <w:pPr>
              <w:pStyle w:val="Tabletext"/>
              <w:keepNext/>
              <w:keepLines/>
            </w:pPr>
          </w:p>
          <w:p w:rsidR="00D31976" w:rsidRPr="00E44873" w:rsidRDefault="00D31976" w:rsidP="009B0CA9">
            <w:pPr>
              <w:pStyle w:val="Tabletext"/>
              <w:keepNext/>
              <w:keepLines/>
            </w:pPr>
            <w:r w:rsidRPr="00E44873">
              <w:t xml:space="preserve">The treatment alternatives were described by differing levels of attributes (frequency of administration, location of administration, number of pills/injections, short term side effects, adherence to medication dosing regimen, long term health problems, injection site reactions, patient support program and out of pocket costs). Based on patient-reported eligibility for concessional healthcare costs (i.e., reduced patient co-payments), patients were either shown general or concessional out-of-pocket medication costs. </w:t>
            </w:r>
          </w:p>
          <w:p w:rsidR="00D31976" w:rsidRPr="00E44873" w:rsidRDefault="00D31976" w:rsidP="009B0CA9">
            <w:pPr>
              <w:pStyle w:val="Tabletext"/>
              <w:keepNext/>
              <w:keepLines/>
            </w:pPr>
          </w:p>
          <w:p w:rsidR="00D31976" w:rsidRPr="00E44873" w:rsidRDefault="00D31976" w:rsidP="009B0CA9">
            <w:pPr>
              <w:pStyle w:val="Tabletext"/>
              <w:keepNext/>
              <w:keepLines/>
            </w:pPr>
            <w:r w:rsidRPr="00E44873">
              <w:t xml:space="preserve">Each participant was presented with 12 scenarios. </w:t>
            </w:r>
          </w:p>
        </w:tc>
      </w:tr>
      <w:tr w:rsidR="00D31976" w:rsidRPr="00E44873" w:rsidTr="00AD4B02">
        <w:tc>
          <w:tcPr>
            <w:tcW w:w="1087" w:type="pct"/>
            <w:vAlign w:val="center"/>
          </w:tcPr>
          <w:p w:rsidR="00D31976" w:rsidRPr="00E44873" w:rsidRDefault="00D31976" w:rsidP="009B0CA9">
            <w:pPr>
              <w:pStyle w:val="Tabletext"/>
              <w:keepNext/>
              <w:keepLines/>
            </w:pPr>
            <w:r w:rsidRPr="00E44873">
              <w:t>Population</w:t>
            </w:r>
          </w:p>
        </w:tc>
        <w:tc>
          <w:tcPr>
            <w:tcW w:w="3913" w:type="pct"/>
          </w:tcPr>
          <w:p w:rsidR="00D31976" w:rsidRPr="00E44873" w:rsidRDefault="00D31976" w:rsidP="009B0CA9">
            <w:pPr>
              <w:pStyle w:val="Tabletext"/>
              <w:keepNext/>
              <w:keepLines/>
            </w:pPr>
            <w:r w:rsidRPr="00E44873">
              <w:t xml:space="preserve">Eligibility criteria: 18 years and over; have been diagnosed with HIV; currently using antiretroviral therapy for HIV; and Australian citizen or permanent resident. </w:t>
            </w:r>
          </w:p>
          <w:p w:rsidR="00D31976" w:rsidRPr="00E44873" w:rsidRDefault="00D31976" w:rsidP="009B0CA9">
            <w:pPr>
              <w:pStyle w:val="Tabletext"/>
              <w:keepNext/>
              <w:keepLines/>
            </w:pPr>
          </w:p>
          <w:p w:rsidR="00D31976" w:rsidRPr="00E44873" w:rsidRDefault="00D31976" w:rsidP="009B0CA9">
            <w:pPr>
              <w:pStyle w:val="Tabletext"/>
              <w:keepNext/>
              <w:keepLines/>
            </w:pPr>
            <w:r w:rsidRPr="00E44873">
              <w:t>99 participants completed the DCE. 89% male, half were aged 51 years or older and approximately three quarters listed their sexual orientation as lesbian, gay or homosexual (78%), reside in a metro/city area (77%) and/or reported their ethnicity as Australian or European (76%). The sample included participants representing all states, with the majority from NSW (38%) and VIC (18%).</w:t>
            </w:r>
          </w:p>
        </w:tc>
      </w:tr>
      <w:tr w:rsidR="00D31976" w:rsidRPr="00E44873" w:rsidTr="00AD4B02">
        <w:tc>
          <w:tcPr>
            <w:tcW w:w="1087" w:type="pct"/>
            <w:vAlign w:val="center"/>
          </w:tcPr>
          <w:p w:rsidR="00D31976" w:rsidRPr="00E44873" w:rsidRDefault="00D31976" w:rsidP="009B0CA9">
            <w:pPr>
              <w:pStyle w:val="Tabletext"/>
              <w:keepNext/>
              <w:keepLines/>
            </w:pPr>
            <w:r w:rsidRPr="00E44873">
              <w:t>Analysis methods</w:t>
            </w:r>
          </w:p>
        </w:tc>
        <w:tc>
          <w:tcPr>
            <w:tcW w:w="3913" w:type="pct"/>
          </w:tcPr>
          <w:p w:rsidR="00D31976" w:rsidRPr="00E44873" w:rsidRDefault="00D31976" w:rsidP="009B0CA9">
            <w:pPr>
              <w:pStyle w:val="Tabletext"/>
              <w:keepNext/>
              <w:keepLines/>
            </w:pPr>
            <w:r w:rsidRPr="00E44873">
              <w:t xml:space="preserve">Latent class model </w:t>
            </w:r>
          </w:p>
        </w:tc>
      </w:tr>
      <w:tr w:rsidR="00D31976" w:rsidRPr="00E44873" w:rsidTr="00AD4B02">
        <w:tc>
          <w:tcPr>
            <w:tcW w:w="1087" w:type="pct"/>
            <w:vAlign w:val="center"/>
          </w:tcPr>
          <w:p w:rsidR="00D31976" w:rsidRPr="00E44873" w:rsidRDefault="00D31976" w:rsidP="009B0CA9">
            <w:pPr>
              <w:pStyle w:val="Tabletext"/>
              <w:keepNext/>
              <w:keepLines/>
            </w:pPr>
            <w:r w:rsidRPr="00E44873">
              <w:t>Segmentation</w:t>
            </w:r>
          </w:p>
        </w:tc>
        <w:tc>
          <w:tcPr>
            <w:tcW w:w="3913" w:type="pct"/>
          </w:tcPr>
          <w:p w:rsidR="00D31976" w:rsidRPr="00E44873" w:rsidRDefault="00D31976" w:rsidP="009B0CA9">
            <w:pPr>
              <w:pStyle w:val="Tabletext"/>
              <w:keepNext/>
              <w:keepLines/>
            </w:pPr>
            <w:r w:rsidRPr="00E44873">
              <w:t xml:space="preserve">Participants </w:t>
            </w:r>
            <w:r w:rsidR="00173940" w:rsidRPr="00E44873">
              <w:t xml:space="preserve">were classed based on their preferences for HIV treatments. Participants </w:t>
            </w:r>
            <w:r w:rsidRPr="00E44873">
              <w:t>in segment 1 (64%) were reluctant to give up their current treatment whereas those in segment 2 (36%) showed strong preference for the injection treatment.</w:t>
            </w:r>
            <w:r w:rsidR="00173940" w:rsidRPr="00E44873">
              <w:t xml:space="preserve"> It was noted that participants who currently pay for their medication, are currently employed and those with a lower quality of</w:t>
            </w:r>
            <w:r w:rsidR="00240580" w:rsidRPr="00E44873">
              <w:t xml:space="preserve"> life score were</w:t>
            </w:r>
            <w:r w:rsidR="00173940" w:rsidRPr="00E44873">
              <w:t xml:space="preserve"> likely to be in segment 2. </w:t>
            </w:r>
          </w:p>
        </w:tc>
      </w:tr>
      <w:tr w:rsidR="00D31976" w:rsidRPr="00E44873" w:rsidTr="00AD4B02">
        <w:tc>
          <w:tcPr>
            <w:tcW w:w="1087" w:type="pct"/>
            <w:vAlign w:val="center"/>
          </w:tcPr>
          <w:p w:rsidR="00D31976" w:rsidRPr="00E44873" w:rsidRDefault="00D31976" w:rsidP="009B0CA9">
            <w:pPr>
              <w:pStyle w:val="Tabletext"/>
              <w:keepNext/>
              <w:keepLines/>
            </w:pPr>
            <w:r w:rsidRPr="00E44873">
              <w:t>Relative attribute importance</w:t>
            </w:r>
          </w:p>
        </w:tc>
        <w:tc>
          <w:tcPr>
            <w:tcW w:w="3913" w:type="pct"/>
          </w:tcPr>
          <w:p w:rsidR="00D31976" w:rsidRPr="00E44873" w:rsidRDefault="00D31976" w:rsidP="009B0CA9">
            <w:pPr>
              <w:pStyle w:val="Tabletext"/>
              <w:keepNext/>
              <w:keepLines/>
            </w:pPr>
            <w:r w:rsidRPr="00E44873">
              <w:t>In both classes, risk of side effects, location of administration and out of pocket costs were the greatest contributors to preference.</w:t>
            </w:r>
          </w:p>
        </w:tc>
      </w:tr>
      <w:tr w:rsidR="00D31976" w:rsidRPr="00E44873" w:rsidTr="00AD4B02">
        <w:tc>
          <w:tcPr>
            <w:tcW w:w="1087" w:type="pct"/>
            <w:vAlign w:val="center"/>
          </w:tcPr>
          <w:p w:rsidR="00D31976" w:rsidRPr="00E44873" w:rsidRDefault="00D31976" w:rsidP="009B0CA9">
            <w:pPr>
              <w:pStyle w:val="Tabletext"/>
              <w:keepNext/>
              <w:keepLines/>
            </w:pPr>
            <w:r w:rsidRPr="00E44873">
              <w:t>Consumer surplus</w:t>
            </w:r>
          </w:p>
        </w:tc>
        <w:tc>
          <w:tcPr>
            <w:tcW w:w="3913" w:type="pct"/>
          </w:tcPr>
          <w:p w:rsidR="00D31976" w:rsidRPr="00E44873" w:rsidRDefault="00D31976" w:rsidP="009B0CA9">
            <w:pPr>
              <w:pStyle w:val="Tabletext"/>
              <w:keepNext/>
              <w:keepLines/>
            </w:pPr>
            <w:r w:rsidRPr="00E44873">
              <w:t xml:space="preserve">Calculated under 2 scenarios, where patient co-payment for the two-monthly cost of HIV treatment is at its maximum ($41 for general and $6.60 for concession) in scenario 1, and where patient co-payment is at its minimum ($0) in scenario 2. </w:t>
            </w:r>
          </w:p>
          <w:p w:rsidR="00D31976" w:rsidRPr="00E44873" w:rsidRDefault="00D31976" w:rsidP="009B0CA9">
            <w:pPr>
              <w:pStyle w:val="Tabletext"/>
              <w:keepNext/>
              <w:keepLines/>
            </w:pPr>
          </w:p>
          <w:p w:rsidR="00D31976" w:rsidRPr="00E44873" w:rsidRDefault="00D31976" w:rsidP="009B0CA9">
            <w:pPr>
              <w:pStyle w:val="Tabletext"/>
              <w:keepNext/>
              <w:keepLines/>
            </w:pPr>
            <w:r w:rsidRPr="00E44873">
              <w:t xml:space="preserve">Results: The total willingness to pay for the two monthly LA injection was found to be between $33.50 and $43.27 for the aggregate market and between $52 to $158 in segment 2. </w:t>
            </w:r>
          </w:p>
        </w:tc>
      </w:tr>
    </w:tbl>
    <w:p w:rsidR="00D31976" w:rsidRPr="00E44873" w:rsidRDefault="00D31976" w:rsidP="009B0CA9">
      <w:pPr>
        <w:pStyle w:val="TableFooter"/>
        <w:keepNext/>
        <w:keepLines/>
      </w:pPr>
      <w:r w:rsidRPr="00E44873">
        <w:t xml:space="preserve">Source: Complied during evaluation using information from Attachment F to the submission. </w:t>
      </w:r>
    </w:p>
    <w:p w:rsidR="00F64F90" w:rsidRPr="00E44873" w:rsidRDefault="00F64F90" w:rsidP="00F64F90"/>
    <w:p w:rsidR="00F64F90" w:rsidRPr="00E44873" w:rsidRDefault="00411141" w:rsidP="00411141">
      <w:pPr>
        <w:pStyle w:val="Tabletext"/>
        <w:keepNext/>
        <w:keepLines/>
        <w:rPr>
          <w:rStyle w:val="CommentReference"/>
        </w:rPr>
      </w:pPr>
      <w:bookmarkStart w:id="25" w:name="_Ref61377422"/>
      <w:r w:rsidRPr="00E44873">
        <w:rPr>
          <w:rStyle w:val="CommentReference"/>
        </w:rPr>
        <w:t xml:space="preserve">Figure </w:t>
      </w:r>
      <w:r w:rsidR="00B90AC3">
        <w:rPr>
          <w:rStyle w:val="CommentReference"/>
          <w:noProof/>
        </w:rPr>
        <w:t>1</w:t>
      </w:r>
      <w:bookmarkEnd w:id="25"/>
      <w:r w:rsidR="00F64F90" w:rsidRPr="00E44873">
        <w:rPr>
          <w:rStyle w:val="CommentReference"/>
        </w:rPr>
        <w:t>: Example of a discrete choice experiment scenario</w:t>
      </w:r>
    </w:p>
    <w:p w:rsidR="00F64F90" w:rsidRPr="00E44873" w:rsidRDefault="00F64F90" w:rsidP="00F64F90">
      <w:r w:rsidRPr="00E44873">
        <w:rPr>
          <w:noProof/>
          <w:lang w:eastAsia="en-AU"/>
        </w:rPr>
        <w:drawing>
          <wp:inline distT="0" distB="0" distL="0" distR="0" wp14:anchorId="1696203A" wp14:editId="18ACFCF5">
            <wp:extent cx="5732145" cy="5255260"/>
            <wp:effectExtent l="0" t="0" r="1905" b="2540"/>
            <wp:docPr id="4" name="Picture 4" title="Figure 1: Example of a discrete choice experi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5255260"/>
                    </a:xfrm>
                    <a:prstGeom prst="rect">
                      <a:avLst/>
                    </a:prstGeom>
                  </pic:spPr>
                </pic:pic>
              </a:graphicData>
            </a:graphic>
          </wp:inline>
        </w:drawing>
      </w:r>
    </w:p>
    <w:p w:rsidR="00D31976" w:rsidRPr="00E44873" w:rsidRDefault="00F64F90" w:rsidP="00D31976">
      <w:pPr>
        <w:pStyle w:val="TableFooter"/>
      </w:pPr>
      <w:r w:rsidRPr="00E44873">
        <w:t xml:space="preserve">Source: Figure 1, p13 of Attachment F in the submission </w:t>
      </w:r>
    </w:p>
    <w:p w:rsidR="00F64F90" w:rsidRPr="00E44873" w:rsidRDefault="00F64F90" w:rsidP="00F64F90"/>
    <w:p w:rsidR="00411141" w:rsidRPr="00E44873" w:rsidRDefault="00411141" w:rsidP="00D1387B">
      <w:pPr>
        <w:pStyle w:val="ListParagraph"/>
        <w:widowControl/>
        <w:numPr>
          <w:ilvl w:val="1"/>
          <w:numId w:val="1"/>
        </w:numPr>
      </w:pPr>
      <w:bookmarkStart w:id="26" w:name="_Ref61377523"/>
      <w:r w:rsidRPr="00E44873">
        <w:t xml:space="preserve">As discussed in paragraph </w:t>
      </w:r>
      <w:r w:rsidR="00B90AC3">
        <w:t>6.40</w:t>
      </w:r>
      <w:r w:rsidRPr="00E44873">
        <w:t>, the submission stated that CAB LA + RPV LA provides additional benefits to patients who have an unmet need for an alternative to daily oral ART. These include QoL impacts such as anxiety and worry due to the requirement to adhere to daily treatment, stigma and associated reminder of disease, fear of unintentional disclosure, patient preference, convenience, less frequent dosing and medical conditions affecting oral dosing.</w:t>
      </w:r>
      <w:bookmarkEnd w:id="26"/>
      <w:r w:rsidRPr="00E44873">
        <w:t xml:space="preserve"> </w:t>
      </w:r>
    </w:p>
    <w:p w:rsidR="00411141" w:rsidRPr="00E44873" w:rsidRDefault="00411141" w:rsidP="00D1387B">
      <w:pPr>
        <w:pStyle w:val="ListParagraph"/>
        <w:widowControl/>
        <w:numPr>
          <w:ilvl w:val="1"/>
          <w:numId w:val="1"/>
        </w:numPr>
        <w:rPr>
          <w:iCs/>
        </w:rPr>
      </w:pPr>
      <w:bookmarkStart w:id="27" w:name="_Ref61377903"/>
      <w:r w:rsidRPr="00E44873">
        <w:t xml:space="preserve">Inappropriately, the WTP study did not assess the value or impact of these proposed factors which may impact on QoL except for preference and convenience. Instead, the WTP </w:t>
      </w:r>
      <w:r w:rsidR="00164023" w:rsidRPr="00E44873">
        <w:t>choice sets (</w:t>
      </w:r>
      <w:r w:rsidR="00B90AC3" w:rsidRPr="00B90AC3">
        <w:t>Figure 1</w:t>
      </w:r>
      <w:r w:rsidR="00164023" w:rsidRPr="00E44873">
        <w:t>) reported</w:t>
      </w:r>
      <w:r w:rsidRPr="00E44873">
        <w:t xml:space="preserve"> on</w:t>
      </w:r>
      <w:r w:rsidR="00164023" w:rsidRPr="00E44873">
        <w:t xml:space="preserve"> variations in</w:t>
      </w:r>
      <w:r w:rsidRPr="00E44873">
        <w:t>:</w:t>
      </w:r>
      <w:bookmarkEnd w:id="27"/>
    </w:p>
    <w:p w:rsidR="00411141" w:rsidRPr="00E44873" w:rsidRDefault="00411141" w:rsidP="00411141">
      <w:pPr>
        <w:pStyle w:val="ListParagraph"/>
        <w:widowControl/>
        <w:ind w:left="1134" w:hanging="425"/>
      </w:pPr>
      <w:r w:rsidRPr="00E44873">
        <w:t>•</w:t>
      </w:r>
      <w:r w:rsidRPr="00E44873">
        <w:tab/>
        <w:t>Out of pocket costs (which should be the same for oral ART and LA injections under the PBS, but understandably used as a measure of patient willingness to pay);</w:t>
      </w:r>
    </w:p>
    <w:p w:rsidR="00411141" w:rsidRPr="00E44873" w:rsidRDefault="00411141" w:rsidP="00411141">
      <w:pPr>
        <w:pStyle w:val="ListParagraph"/>
        <w:widowControl/>
        <w:ind w:left="1134" w:hanging="425"/>
      </w:pPr>
      <w:r w:rsidRPr="00E44873">
        <w:t>•</w:t>
      </w:r>
      <w:r w:rsidRPr="00E44873">
        <w:tab/>
        <w:t xml:space="preserve">Patient convenience (e.g. in what setting the injections may be delivered); and </w:t>
      </w:r>
    </w:p>
    <w:p w:rsidR="00411141" w:rsidRPr="00E44873" w:rsidRDefault="00411141" w:rsidP="00411141">
      <w:pPr>
        <w:pStyle w:val="ListParagraph"/>
        <w:widowControl/>
        <w:ind w:left="1134" w:hanging="425"/>
      </w:pPr>
      <w:r w:rsidRPr="00E44873">
        <w:t>•</w:t>
      </w:r>
      <w:r w:rsidRPr="00E44873">
        <w:tab/>
      </w:r>
      <w:r w:rsidR="004E7B9A">
        <w:t xml:space="preserve">Other attributes included </w:t>
      </w:r>
      <w:r w:rsidRPr="00E44873">
        <w:t xml:space="preserve">number of injections, frequency of side effects, whether a 7 </w:t>
      </w:r>
      <w:r w:rsidR="00E467A6" w:rsidRPr="00E44873">
        <w:t>day</w:t>
      </w:r>
      <w:r w:rsidRPr="00E44873">
        <w:t xml:space="preserve"> administration window was allowed (somewhat confusingly labelled as ‘adherence’ within the choice sets) and risk of long term problems. The availability of a support phone program (which was not part of the treatment for which listing was being sought) was also considered.</w:t>
      </w:r>
    </w:p>
    <w:p w:rsidR="00411141" w:rsidRPr="00E44873" w:rsidRDefault="00411141" w:rsidP="00D1387B">
      <w:pPr>
        <w:pStyle w:val="ListParagraph"/>
        <w:widowControl/>
        <w:numPr>
          <w:ilvl w:val="1"/>
          <w:numId w:val="1"/>
        </w:numPr>
        <w:rPr>
          <w:iCs/>
        </w:rPr>
      </w:pPr>
      <w:bookmarkStart w:id="28" w:name="_Ref61377532"/>
      <w:r w:rsidRPr="00E44873">
        <w:t>Therefore, it was considered that the WTP study was not designed to, and did not, provide reliable information on whether LA ART injections would improve health related QoL in areas that were proposed (e.g. the emotional challenges or adherence) among PL HIV compared to oral daily ART.</w:t>
      </w:r>
      <w:bookmarkEnd w:id="28"/>
    </w:p>
    <w:p w:rsidR="00F64F90" w:rsidRPr="00E44873" w:rsidRDefault="00F64F90" w:rsidP="00D1387B">
      <w:pPr>
        <w:pStyle w:val="ListParagraph"/>
        <w:widowControl/>
        <w:numPr>
          <w:ilvl w:val="1"/>
          <w:numId w:val="1"/>
        </w:numPr>
      </w:pPr>
      <w:r w:rsidRPr="00E44873">
        <w:t>It was</w:t>
      </w:r>
      <w:r w:rsidR="00164023" w:rsidRPr="00E44873">
        <w:t xml:space="preserve"> also</w:t>
      </w:r>
      <w:r w:rsidRPr="00E44873">
        <w:t xml:space="preserve"> unclear why a DCE was necessary in this case. The WTP by patients who prefer a two monthly injection instead of a daily oral ART would be simple to elicit with a direct contingent valuation method. The outcome is neither unobservable nor difficult to measure and the difference between LA injection and oral ART do not appear to be particularly difficult for the patient to contextualise or inte</w:t>
      </w:r>
      <w:r w:rsidR="00DB68B3" w:rsidRPr="00E44873">
        <w:t>rnalise. There is some evidence</w:t>
      </w:r>
      <w:r w:rsidR="0070353F" w:rsidRPr="00E44873">
        <w:rPr>
          <w:rStyle w:val="FootnoteReference"/>
        </w:rPr>
        <w:footnoteReference w:id="3"/>
      </w:r>
      <w:r w:rsidRPr="00E44873">
        <w:t xml:space="preserve"> that DCEs will report higher WTP estimates compared to contingent valuation studies, which would favour CAB LA + RPV LA.</w:t>
      </w:r>
    </w:p>
    <w:p w:rsidR="00553892" w:rsidRPr="00E44873" w:rsidRDefault="0002655A" w:rsidP="00D1387B">
      <w:pPr>
        <w:pStyle w:val="ListParagraph"/>
        <w:numPr>
          <w:ilvl w:val="1"/>
          <w:numId w:val="1"/>
        </w:numPr>
      </w:pPr>
      <w:r w:rsidRPr="00E44873">
        <w:t xml:space="preserve">The DCE </w:t>
      </w:r>
      <w:r w:rsidR="004E7B9A">
        <w:t xml:space="preserve">is </w:t>
      </w:r>
      <w:r w:rsidRPr="00E44873">
        <w:t>base</w:t>
      </w:r>
      <w:r w:rsidR="00553892" w:rsidRPr="00E44873">
        <w:t>d</w:t>
      </w:r>
      <w:r w:rsidRPr="00E44873">
        <w:t xml:space="preserve"> on the assumption that all treatment options/alternatives have similar efficacy in keeping viral load undetectable. It was unclear if this was </w:t>
      </w:r>
      <w:r w:rsidR="007B7544" w:rsidRPr="00E44873">
        <w:t xml:space="preserve">adequately </w:t>
      </w:r>
      <w:r w:rsidRPr="00E44873">
        <w:t xml:space="preserve">supported, particularly as Q8W dosing was associated with more CVF compared to Q4W. </w:t>
      </w:r>
    </w:p>
    <w:p w:rsidR="00240580" w:rsidRPr="00E44873" w:rsidRDefault="00240580" w:rsidP="00D1387B">
      <w:pPr>
        <w:pStyle w:val="ListParagraph"/>
        <w:widowControl/>
        <w:numPr>
          <w:ilvl w:val="1"/>
          <w:numId w:val="1"/>
        </w:numPr>
      </w:pPr>
      <w:r w:rsidRPr="00E44873">
        <w:t xml:space="preserve">The results of the DCE could not be independently verified based on the information provided. </w:t>
      </w:r>
      <w:r w:rsidR="00164023" w:rsidRPr="00E44873">
        <w:t xml:space="preserve">Moreover, beyond the applicability of the WTP study described in paragraphs </w:t>
      </w:r>
      <w:r w:rsidR="00B90AC3">
        <w:t>6.53</w:t>
      </w:r>
      <w:r w:rsidR="00164023" w:rsidRPr="00E44873">
        <w:t xml:space="preserve"> to </w:t>
      </w:r>
      <w:r w:rsidR="00B90AC3">
        <w:t>6.54</w:t>
      </w:r>
      <w:r w:rsidR="00164023" w:rsidRPr="00E44873">
        <w:t xml:space="preserve">, </w:t>
      </w:r>
      <w:r w:rsidRPr="00E44873">
        <w:t>t</w:t>
      </w:r>
      <w:r w:rsidR="00D31976" w:rsidRPr="00E44873">
        <w:t xml:space="preserve">here were </w:t>
      </w:r>
      <w:r w:rsidR="00272938" w:rsidRPr="00E44873">
        <w:t xml:space="preserve">a number of </w:t>
      </w:r>
      <w:r w:rsidR="00D31976" w:rsidRPr="00E44873">
        <w:t xml:space="preserve">issues with the DCE </w:t>
      </w:r>
      <w:r w:rsidR="00272938" w:rsidRPr="00E44873">
        <w:t>methodology</w:t>
      </w:r>
      <w:r w:rsidR="00164023" w:rsidRPr="00E44873">
        <w:t xml:space="preserve"> which further limited the reliability of the results and its relevance to the current submission</w:t>
      </w:r>
      <w:r w:rsidRPr="00E44873">
        <w:t xml:space="preserve">: </w:t>
      </w:r>
    </w:p>
    <w:p w:rsidR="0002655A" w:rsidRPr="00E44873" w:rsidRDefault="00272938" w:rsidP="00164023">
      <w:pPr>
        <w:pStyle w:val="Bulletpoints"/>
        <w:spacing w:after="120"/>
        <w:ind w:left="993" w:hanging="284"/>
      </w:pPr>
      <w:r w:rsidRPr="00E44873">
        <w:t>T</w:t>
      </w:r>
      <w:r w:rsidR="00D31976" w:rsidRPr="00E44873">
        <w:t>he DCE did not allow for a switch to another oral ART as a viable alternative</w:t>
      </w:r>
      <w:r w:rsidR="0002655A" w:rsidRPr="00E44873">
        <w:t>. By not allowing another oral ART as a viable alternative (patients were only asked to compare two injection scenarios with their current ART for each choice set), the DCE inappropriately assigned all the consumer surplus which would have been observed from any treatment switch to the LA injection dose form.</w:t>
      </w:r>
      <w:r w:rsidR="001347D6" w:rsidRPr="00E44873">
        <w:t xml:space="preserve"> </w:t>
      </w:r>
      <w:r w:rsidR="00380CDC" w:rsidRPr="00E44873">
        <w:t>Additionally,</w:t>
      </w:r>
      <w:r w:rsidR="001347D6" w:rsidRPr="00E44873">
        <w:t xml:space="preserve"> the latent class model results indicate</w:t>
      </w:r>
      <w:r w:rsidR="00380CDC" w:rsidRPr="00E44873">
        <w:t>d</w:t>
      </w:r>
      <w:r w:rsidR="001347D6" w:rsidRPr="00E44873">
        <w:t xml:space="preserve"> that preferences for the status quo (current </w:t>
      </w:r>
      <w:r w:rsidR="00E20C59" w:rsidRPr="00E44873">
        <w:t xml:space="preserve">oral </w:t>
      </w:r>
      <w:r w:rsidR="001347D6" w:rsidRPr="00E44873">
        <w:t xml:space="preserve">treatment) have not been estimated in the modelling and only the preferences for injections have been modelled. The ESC considered </w:t>
      </w:r>
      <w:r w:rsidR="00380CDC" w:rsidRPr="00E44873">
        <w:t xml:space="preserve">both of </w:t>
      </w:r>
      <w:r w:rsidR="001347D6" w:rsidRPr="00E44873">
        <w:t>these factors</w:t>
      </w:r>
      <w:r w:rsidR="0002655A" w:rsidRPr="00E44873">
        <w:t xml:space="preserve"> have significantly overestimated the consumer surplus</w:t>
      </w:r>
      <w:r w:rsidR="001347D6" w:rsidRPr="00E44873">
        <w:t xml:space="preserve"> specifically</w:t>
      </w:r>
      <w:r w:rsidR="0002655A" w:rsidRPr="00E44873">
        <w:t xml:space="preserve"> attributable to the LA injection dose form.</w:t>
      </w:r>
    </w:p>
    <w:p w:rsidR="0002655A" w:rsidRPr="00E44873" w:rsidRDefault="0002655A" w:rsidP="00164023">
      <w:pPr>
        <w:pStyle w:val="Bulletpoints"/>
        <w:spacing w:after="120"/>
        <w:ind w:left="993" w:hanging="284"/>
      </w:pPr>
      <w:r w:rsidRPr="00E44873">
        <w:t xml:space="preserve">The magnitude of the </w:t>
      </w:r>
      <w:r w:rsidR="00E20C59" w:rsidRPr="00E44873">
        <w:t xml:space="preserve">calculated </w:t>
      </w:r>
      <w:r w:rsidRPr="00E44873">
        <w:t>consumer surplus lacked face validity when compared to the magnitude of patient co-payments.</w:t>
      </w:r>
    </w:p>
    <w:p w:rsidR="00553892" w:rsidRPr="00E44873" w:rsidRDefault="0002655A" w:rsidP="00164023">
      <w:pPr>
        <w:pStyle w:val="Bulletpoints"/>
        <w:spacing w:after="120"/>
        <w:ind w:left="993" w:hanging="284"/>
      </w:pPr>
      <w:r w:rsidRPr="00E44873">
        <w:t>Patients reported a statistically significantly negative preference for treatments with ‘high risk’ of low grade, manageable side effects, which was defined as a 25% risk. In FLAIR, ATLAS and ATLAS-2M, at least 75% of patients experienced at least one ISR</w:t>
      </w:r>
      <w:r w:rsidR="00C94945" w:rsidRPr="00E44873">
        <w:t>, and at least 77% of patients experienced an AE (excluding ISR)</w:t>
      </w:r>
      <w:r w:rsidRPr="00E44873">
        <w:t xml:space="preserve">. Therefore it was possible the DCE underrepresented the risk of adverse events associated with LA injections. </w:t>
      </w:r>
    </w:p>
    <w:p w:rsidR="001347D6" w:rsidRPr="00E44873" w:rsidRDefault="00380CDC" w:rsidP="00164023">
      <w:pPr>
        <w:pStyle w:val="Bulletpoints"/>
        <w:spacing w:after="120"/>
        <w:ind w:left="993" w:hanging="284"/>
      </w:pPr>
      <w:r w:rsidRPr="00E44873">
        <w:t>C</w:t>
      </w:r>
      <w:r w:rsidR="001347D6" w:rsidRPr="00E44873">
        <w:t>laimed benefits in terms of quality of life, stigma, anxiety and worry were not included in the DCE as attributes</w:t>
      </w:r>
      <w:r w:rsidR="00E94295" w:rsidRPr="00E44873">
        <w:t xml:space="preserve"> and therefore</w:t>
      </w:r>
      <w:r w:rsidRPr="00E44873">
        <w:t xml:space="preserve"> it</w:t>
      </w:r>
      <w:r w:rsidR="00E94295" w:rsidRPr="00E44873">
        <w:t xml:space="preserve"> does not directly value these claimed health benefits. </w:t>
      </w:r>
    </w:p>
    <w:p w:rsidR="0002655A" w:rsidRPr="00E44873" w:rsidRDefault="0002655A" w:rsidP="00164023">
      <w:pPr>
        <w:pStyle w:val="Bulletpoints"/>
        <w:spacing w:after="120"/>
        <w:ind w:left="993" w:hanging="284"/>
      </w:pPr>
      <w:r w:rsidRPr="00E44873">
        <w:t>T</w:t>
      </w:r>
      <w:r w:rsidR="00272938" w:rsidRPr="00E44873">
        <w:t>here was a</w:t>
      </w:r>
      <w:r w:rsidR="00D31976" w:rsidRPr="00E44873">
        <w:t xml:space="preserve"> lack of information known to patients that could bias the results</w:t>
      </w:r>
      <w:r w:rsidRPr="00E44873">
        <w:t>. T</w:t>
      </w:r>
      <w:r w:rsidR="00D31976" w:rsidRPr="00E44873">
        <w:t>he study assumed missed injections could be covered by tablets but the submission was not seeking this listing, therefore any missed doses w</w:t>
      </w:r>
      <w:r w:rsidR="005F0704" w:rsidRPr="00E44873">
        <w:t>ould</w:t>
      </w:r>
      <w:r w:rsidR="00D31976" w:rsidRPr="00E44873">
        <w:t xml:space="preserve"> have to be funded by another source</w:t>
      </w:r>
      <w:r w:rsidRPr="00E44873">
        <w:t xml:space="preserve">. </w:t>
      </w:r>
    </w:p>
    <w:p w:rsidR="0002655A" w:rsidRPr="00E44873" w:rsidRDefault="00164023" w:rsidP="00E20C59">
      <w:pPr>
        <w:pStyle w:val="Bulletpoints"/>
        <w:spacing w:after="120"/>
        <w:ind w:left="993" w:hanging="284"/>
      </w:pPr>
      <w:r w:rsidRPr="00E44873">
        <w:t>C</w:t>
      </w:r>
      <w:r w:rsidR="00D31976" w:rsidRPr="00E44873">
        <w:t xml:space="preserve">onfidence intervals </w:t>
      </w:r>
      <w:r w:rsidR="0002655A" w:rsidRPr="00E44873">
        <w:t>for consumer surplus estimates</w:t>
      </w:r>
      <w:r w:rsidRPr="00E44873">
        <w:t xml:space="preserve"> were not reported</w:t>
      </w:r>
      <w:r w:rsidR="00780A74" w:rsidRPr="00E44873">
        <w:t xml:space="preserve">, </w:t>
      </w:r>
      <w:r w:rsidR="00D31976" w:rsidRPr="00E44873">
        <w:t xml:space="preserve">therefore the accuracy of the estimates was unknown. </w:t>
      </w:r>
      <w:r w:rsidR="00C16D4B" w:rsidRPr="00E44873">
        <w:t>I</w:t>
      </w:r>
      <w:r w:rsidR="00D31976" w:rsidRPr="00E44873">
        <w:t>n the case of exenatide</w:t>
      </w:r>
      <w:r w:rsidR="00C16D4B" w:rsidRPr="00E44873">
        <w:t xml:space="preserve"> in July 2015</w:t>
      </w:r>
      <w:r w:rsidR="00D31976" w:rsidRPr="00E44873">
        <w:t>, the ESC previously “did not consider it was appropriate to expect the PBAC to make decisions without some information about the bounds of the WTP estimates” (Exenatide</w:t>
      </w:r>
      <w:r w:rsidR="005F0704" w:rsidRPr="00E44873">
        <w:t xml:space="preserve"> PSD</w:t>
      </w:r>
      <w:r w:rsidR="00D31976" w:rsidRPr="00E44873">
        <w:t>, July 2015, paragraph 6.17).</w:t>
      </w:r>
    </w:p>
    <w:p w:rsidR="00D31976" w:rsidRPr="00E44873" w:rsidRDefault="00F1690B" w:rsidP="00D1387B">
      <w:pPr>
        <w:pStyle w:val="ListParagraph"/>
        <w:widowControl/>
        <w:numPr>
          <w:ilvl w:val="1"/>
          <w:numId w:val="1"/>
        </w:numPr>
      </w:pPr>
      <w:r w:rsidRPr="00E44873">
        <w:t xml:space="preserve">Based on the DCE, the submission estimated an additional consumer surplus of $109.74 per dose of CAB LA + RP LA which was applied as a cost offset in the CBA. </w:t>
      </w:r>
      <w:r w:rsidR="00D31976" w:rsidRPr="00E44873">
        <w:t xml:space="preserve">Overall, the consumer surplus for treatment with CAB LA + RPV LA derived from the WTP study, even in patients who were in favour of LA injections, was likely to be overestimated. </w:t>
      </w:r>
    </w:p>
    <w:p w:rsidR="00D31976" w:rsidRPr="00E44873" w:rsidRDefault="00D31976" w:rsidP="00D1387B">
      <w:pPr>
        <w:pStyle w:val="ListParagraph"/>
        <w:widowControl/>
        <w:numPr>
          <w:ilvl w:val="1"/>
          <w:numId w:val="1"/>
        </w:numPr>
      </w:pPr>
      <w:r w:rsidRPr="00E44873">
        <w:t>The submission proposed that at a DPMQ per two monthly dose of $</w:t>
      </w:r>
      <w:r w:rsidR="000D517E">
        <w:rPr>
          <w:noProof/>
          <w:color w:val="000000"/>
          <w:highlight w:val="black"/>
        </w:rPr>
        <w:t>''''''''''''''''</w:t>
      </w:r>
      <w:r w:rsidRPr="00E44873">
        <w:t xml:space="preserve">, CAB LA + RPV LA would have price parity compared to the DTG/RPV FDC (DPMQ $1,732.60). Overall, the results of the submission’s </w:t>
      </w:r>
      <w:r w:rsidR="00780A74" w:rsidRPr="00E44873">
        <w:t>CBA</w:t>
      </w:r>
      <w:r w:rsidRPr="00E44873">
        <w:t xml:space="preserve"> may not be accurate, given that: </w:t>
      </w:r>
    </w:p>
    <w:p w:rsidR="00D31976" w:rsidRPr="00E44873" w:rsidRDefault="00D31976" w:rsidP="00D1387B">
      <w:pPr>
        <w:pStyle w:val="Bulletpoints"/>
        <w:numPr>
          <w:ilvl w:val="0"/>
          <w:numId w:val="7"/>
        </w:numPr>
        <w:spacing w:after="160"/>
        <w:ind w:left="993" w:hanging="284"/>
      </w:pPr>
      <w:r w:rsidRPr="00E44873">
        <w:t>Assumed ‘two monthly’ dosing, rather than Q8W dosing as per the ATLAS-2M trial. This would have resulted in lower number of injections required</w:t>
      </w:r>
      <w:r w:rsidR="005F0704" w:rsidRPr="00E44873">
        <w:t>.</w:t>
      </w:r>
      <w:r w:rsidRPr="00E44873">
        <w:t xml:space="preserve"> </w:t>
      </w:r>
    </w:p>
    <w:p w:rsidR="00D31976" w:rsidRPr="00E44873" w:rsidRDefault="00D31976" w:rsidP="00D1387B">
      <w:pPr>
        <w:pStyle w:val="Bulletpoints"/>
        <w:numPr>
          <w:ilvl w:val="0"/>
          <w:numId w:val="6"/>
        </w:numPr>
        <w:spacing w:after="160"/>
        <w:ind w:left="993" w:hanging="284"/>
      </w:pPr>
      <w:r w:rsidRPr="00E44873">
        <w:t xml:space="preserve">Consumer surplus benefit (applied as a cost offset) </w:t>
      </w:r>
      <w:r w:rsidR="009B0CA9" w:rsidRPr="00E44873">
        <w:t xml:space="preserve">derived from the DCE </w:t>
      </w:r>
      <w:r w:rsidRPr="00E44873">
        <w:t>in the analysis was likely overestimated. Additionally, it was inappropriate to attribute 100% of the consumer surplus in the CBA, as the PBAC has previously stated that any consumer surplus should be shared between the sponsor, the consumer and the Government (</w:t>
      </w:r>
      <w:r w:rsidR="005F0704" w:rsidRPr="00E44873">
        <w:t xml:space="preserve">Exenatide PSD, July 2015, </w:t>
      </w:r>
      <w:r w:rsidRPr="00E44873">
        <w:t>paragraph 6.33)</w:t>
      </w:r>
      <w:r w:rsidR="005F0704" w:rsidRPr="00E44873">
        <w:t>.</w:t>
      </w:r>
      <w:r w:rsidRPr="00E44873">
        <w:t xml:space="preserve"> </w:t>
      </w:r>
    </w:p>
    <w:p w:rsidR="00D31976" w:rsidRPr="00E44873" w:rsidRDefault="00D31976" w:rsidP="00D1387B">
      <w:pPr>
        <w:pStyle w:val="Bulletpoints"/>
        <w:numPr>
          <w:ilvl w:val="0"/>
          <w:numId w:val="6"/>
        </w:numPr>
        <w:spacing w:after="160"/>
        <w:ind w:left="993" w:hanging="284"/>
      </w:pPr>
      <w:r w:rsidRPr="00E44873">
        <w:t xml:space="preserve">Five additional administration visits were included in </w:t>
      </w:r>
      <w:r w:rsidR="00680B10" w:rsidRPr="00E44873">
        <w:t>Y</w:t>
      </w:r>
      <w:r w:rsidRPr="00E44873">
        <w:t>ear 1 for CAB LA + RPV LA, when six visits should have been included. There was also uncertainty around the MBS item used and whether this was appropriate for the patient population</w:t>
      </w:r>
      <w:r w:rsidR="00680B10" w:rsidRPr="00E44873">
        <w:t>.</w:t>
      </w:r>
    </w:p>
    <w:p w:rsidR="00D31976" w:rsidRPr="00E44873" w:rsidRDefault="00D31976" w:rsidP="00D1387B">
      <w:pPr>
        <w:pStyle w:val="Bulletpoints"/>
        <w:numPr>
          <w:ilvl w:val="0"/>
          <w:numId w:val="6"/>
        </w:numPr>
        <w:spacing w:after="160"/>
        <w:ind w:left="993" w:hanging="284"/>
      </w:pPr>
      <w:r w:rsidRPr="00E44873">
        <w:t xml:space="preserve">The cost of adverse events were not included, despite </w:t>
      </w:r>
      <w:r w:rsidR="00680B10" w:rsidRPr="00E44873">
        <w:t>increased</w:t>
      </w:r>
      <w:r w:rsidRPr="00E44873">
        <w:t xml:space="preserve"> adverse events associated with CAB + RPV (namely ISRs due to the administration route).</w:t>
      </w:r>
    </w:p>
    <w:p w:rsidR="00D31976" w:rsidRPr="00E44873" w:rsidRDefault="00D31976" w:rsidP="00D31976">
      <w:pPr>
        <w:pStyle w:val="TableFooter"/>
      </w:pPr>
    </w:p>
    <w:p w:rsidR="004958AD" w:rsidRPr="00E44873" w:rsidRDefault="004958AD" w:rsidP="00D1387B">
      <w:pPr>
        <w:pStyle w:val="ListParagraph"/>
        <w:widowControl/>
        <w:numPr>
          <w:ilvl w:val="1"/>
          <w:numId w:val="1"/>
        </w:numPr>
      </w:pPr>
      <w:r w:rsidRPr="00E44873">
        <w:t xml:space="preserve">It is relevant to note that the requested premium was based on cost offsets (consumer surplus) for patient preferences rather than actual health gains. Without corresponding clinical evidence to show that the injectable treatment of CAB </w:t>
      </w:r>
      <w:r w:rsidR="00680B10" w:rsidRPr="00E44873">
        <w:t xml:space="preserve">LA </w:t>
      </w:r>
      <w:r w:rsidRPr="00E44873">
        <w:t xml:space="preserve">+ RPV </w:t>
      </w:r>
      <w:r w:rsidR="00680B10" w:rsidRPr="00E44873">
        <w:t>LA</w:t>
      </w:r>
      <w:r w:rsidRPr="00E44873">
        <w:t xml:space="preserve"> leads to improved adherence and improved health outcomes, funding a price advantage for patient preferences</w:t>
      </w:r>
      <w:r w:rsidR="00D42850" w:rsidRPr="00E44873">
        <w:t xml:space="preserve"> </w:t>
      </w:r>
      <w:r w:rsidR="009B4BD4" w:rsidRPr="00E44873">
        <w:t>does not provide a sufficient basis for quantifying the potential benefit</w:t>
      </w:r>
      <w:r w:rsidR="00A21EA7" w:rsidRPr="00E44873">
        <w:t xml:space="preserve"> and improved health outcomes, </w:t>
      </w:r>
      <w:r w:rsidR="00500D98" w:rsidRPr="00E44873">
        <w:t xml:space="preserve">and </w:t>
      </w:r>
      <w:r w:rsidR="00A21EA7" w:rsidRPr="00E44873">
        <w:t>there</w:t>
      </w:r>
      <w:r w:rsidR="00140C44">
        <w:t>fore</w:t>
      </w:r>
      <w:r w:rsidR="00A21EA7" w:rsidRPr="00E44873">
        <w:t xml:space="preserve"> is not a basis for a higher price.</w:t>
      </w:r>
      <w:r w:rsidRPr="00E44873">
        <w:t xml:space="preserve"> </w:t>
      </w:r>
      <w:r w:rsidR="00780A74" w:rsidRPr="00E44873">
        <w:t xml:space="preserve">It was noted that in its consideration for exenatide once weekly, the PBAC did not accept the price advantage based on the WTP results presented but instead ‘was more persuaded that there would be significant impacts on quality of life for patients that were likely to lead to health benefits’ (Paragraphs 7.5, exenatide PSD July 2015). </w:t>
      </w:r>
    </w:p>
    <w:p w:rsidR="00D31976" w:rsidRPr="00E44873" w:rsidRDefault="00F1690B" w:rsidP="00D1387B">
      <w:pPr>
        <w:pStyle w:val="ListParagraph"/>
        <w:widowControl/>
        <w:numPr>
          <w:ilvl w:val="1"/>
          <w:numId w:val="1"/>
        </w:numPr>
      </w:pPr>
      <w:r w:rsidRPr="00E44873">
        <w:t xml:space="preserve">Overall, </w:t>
      </w:r>
      <w:r w:rsidR="00D31976" w:rsidRPr="00E44873">
        <w:t xml:space="preserve">the CBA presented on the basis of the submission’s claim of improved patient acceptability was </w:t>
      </w:r>
      <w:r w:rsidRPr="00E44873">
        <w:t>likely un</w:t>
      </w:r>
      <w:r w:rsidR="00D31976" w:rsidRPr="00E44873">
        <w:t>reasonable, given that:</w:t>
      </w:r>
    </w:p>
    <w:p w:rsidR="00D31976" w:rsidRPr="00E44873" w:rsidRDefault="00D31976" w:rsidP="00D1387B">
      <w:pPr>
        <w:pStyle w:val="Bulletpoints"/>
        <w:numPr>
          <w:ilvl w:val="0"/>
          <w:numId w:val="7"/>
        </w:numPr>
        <w:spacing w:after="160"/>
        <w:ind w:left="993" w:hanging="284"/>
      </w:pPr>
      <w:r w:rsidRPr="00E44873">
        <w:t>There were significant issues with the estimation of WTP using the DCE, including the lack of oral ART as an option for alternative treatment (to ensure any surplus was attributable only to LA injection dose form), lack of face validity with magnitude of benefit compared to co-payments that patients faced, and incorrect representation of LA injection with regards to safety and oral bridging availability</w:t>
      </w:r>
      <w:r w:rsidR="00680B10" w:rsidRPr="00E44873">
        <w:t>.</w:t>
      </w:r>
      <w:r w:rsidRPr="00E44873">
        <w:t xml:space="preserve"> </w:t>
      </w:r>
    </w:p>
    <w:p w:rsidR="00D31976" w:rsidRPr="00E44873" w:rsidRDefault="00D31976" w:rsidP="00D1387B">
      <w:pPr>
        <w:pStyle w:val="Bulletpoints"/>
        <w:numPr>
          <w:ilvl w:val="0"/>
          <w:numId w:val="7"/>
        </w:numPr>
        <w:spacing w:after="160"/>
        <w:ind w:left="993" w:hanging="284"/>
      </w:pPr>
      <w:r w:rsidRPr="00E44873">
        <w:t xml:space="preserve">The WTP study did not identify which attributes contributed to the perceived gain in consumer surplus. The PBAC has previously stated </w:t>
      </w:r>
      <w:r w:rsidR="00680B10" w:rsidRPr="00E44873">
        <w:t xml:space="preserve">(Exenatide PSD, July 2015, paragraph 7.5) </w:t>
      </w:r>
      <w:r w:rsidRPr="00E44873">
        <w:t xml:space="preserve">that in the instance where a </w:t>
      </w:r>
      <w:r w:rsidR="00780A74" w:rsidRPr="00E44873">
        <w:t xml:space="preserve">price advantage </w:t>
      </w:r>
      <w:r w:rsidRPr="00E44873">
        <w:t>was accepted for tobramycin, they were more persuaded by the provision of significant impacts on quality of life for patients that were likely to lead to health benefits</w:t>
      </w:r>
      <w:r w:rsidR="00680B10" w:rsidRPr="00E44873">
        <w:t>.</w:t>
      </w:r>
    </w:p>
    <w:p w:rsidR="007B211D" w:rsidRPr="00E44873" w:rsidRDefault="00D31976" w:rsidP="00D1387B">
      <w:pPr>
        <w:pStyle w:val="Bulletpoints"/>
        <w:numPr>
          <w:ilvl w:val="0"/>
          <w:numId w:val="7"/>
        </w:numPr>
        <w:spacing w:after="160"/>
        <w:ind w:left="993" w:hanging="284"/>
      </w:pPr>
      <w:r w:rsidRPr="00E44873">
        <w:t xml:space="preserve">No confidence interval for consumer surplus estimates were </w:t>
      </w:r>
      <w:r w:rsidR="00680B10" w:rsidRPr="00E44873">
        <w:t>provided</w:t>
      </w:r>
      <w:r w:rsidRPr="00E44873">
        <w:t>. The ESC previously “did not consider it was appropriate to expect the PBAC to make decisions without some information about the bounds of the WTP estimates” (Exenatide</w:t>
      </w:r>
      <w:r w:rsidR="00680B10" w:rsidRPr="00E44873">
        <w:t xml:space="preserve"> PSD</w:t>
      </w:r>
      <w:r w:rsidRPr="00E44873">
        <w:t>, July 2015, paragraph 6.17)</w:t>
      </w:r>
      <w:r w:rsidR="00680B10" w:rsidRPr="00E44873">
        <w:t>.</w:t>
      </w:r>
    </w:p>
    <w:p w:rsidR="007B211D" w:rsidRPr="00E44873" w:rsidRDefault="007B211D" w:rsidP="00D1387B">
      <w:pPr>
        <w:pStyle w:val="ListParagraph"/>
        <w:widowControl/>
        <w:numPr>
          <w:ilvl w:val="1"/>
          <w:numId w:val="1"/>
        </w:numPr>
      </w:pPr>
      <w:r w:rsidRPr="00E44873">
        <w:t>The PSCR argued that the DCE did not include parameters such as reduced stigma, reduced risk of unwanted disclosure and the daily reminder of living with HIV as there was a necessary limitation on the number of parameters to maintain validity of the DCE. The PSCR further argued that these benefits are likely to have been considered when respondents considered their responses in the DC</w:t>
      </w:r>
      <w:r w:rsidR="00380CDC" w:rsidRPr="00E44873">
        <w:t>E</w:t>
      </w:r>
      <w:r w:rsidRPr="00E44873">
        <w:t xml:space="preserve"> and therefore these were incorporated into the consumer surplus. The ESC considered that such an assumption was unjustified and </w:t>
      </w:r>
      <w:r w:rsidR="00380CDC" w:rsidRPr="00E44873">
        <w:t>advis</w:t>
      </w:r>
      <w:r w:rsidRPr="00E44873">
        <w:t>ed the DCE-informed CBA approach was not appropriate.</w:t>
      </w:r>
    </w:p>
    <w:p w:rsidR="00D31976" w:rsidRPr="001C7B02" w:rsidRDefault="00D31976" w:rsidP="00D31976">
      <w:pPr>
        <w:pStyle w:val="Heading2"/>
      </w:pPr>
      <w:bookmarkStart w:id="29" w:name="_Toc62034934"/>
      <w:r w:rsidRPr="001C7B02">
        <w:t>Drug cost/patient/year</w:t>
      </w:r>
      <w:bookmarkEnd w:id="29"/>
    </w:p>
    <w:p w:rsidR="00D31976" w:rsidRPr="00E44873" w:rsidRDefault="00D31976" w:rsidP="00D31976">
      <w:pPr>
        <w:keepNext/>
        <w:widowControl/>
      </w:pPr>
    </w:p>
    <w:p w:rsidR="00D31976" w:rsidRPr="00E44873" w:rsidRDefault="00D31976" w:rsidP="00D1387B">
      <w:pPr>
        <w:pStyle w:val="ListParagraph"/>
        <w:widowControl/>
        <w:numPr>
          <w:ilvl w:val="1"/>
          <w:numId w:val="1"/>
        </w:numPr>
        <w:spacing w:after="120"/>
        <w:rPr>
          <w:rFonts w:asciiTheme="minorHAnsi" w:hAnsiTheme="minorHAnsi" w:cstheme="minorHAnsi"/>
          <w:szCs w:val="24"/>
          <w:lang w:eastAsia="en-AU"/>
        </w:rPr>
      </w:pPr>
      <w:r w:rsidRPr="00E44873">
        <w:t>The drug cost</w:t>
      </w:r>
      <w:r w:rsidR="00F1690B" w:rsidRPr="00E44873">
        <w:t xml:space="preserve"> per patient per year is $</w:t>
      </w:r>
      <w:r w:rsidR="000D517E">
        <w:rPr>
          <w:noProof/>
          <w:color w:val="000000"/>
          <w:highlight w:val="black"/>
        </w:rPr>
        <w:t>'''''''''''''''''''''</w:t>
      </w:r>
      <w:r w:rsidRPr="00E44873">
        <w:t xml:space="preserve"> based on the submission’s requested DPMQ of $</w:t>
      </w:r>
      <w:r w:rsidR="000D517E">
        <w:rPr>
          <w:noProof/>
          <w:color w:val="000000"/>
          <w:highlight w:val="black"/>
        </w:rPr>
        <w:t>''''''''''''</w:t>
      </w:r>
      <w:r w:rsidRPr="00E44873">
        <w:t xml:space="preserve"> for CAB tablets and $</w:t>
      </w:r>
      <w:r w:rsidR="000D517E">
        <w:rPr>
          <w:noProof/>
          <w:color w:val="000000"/>
          <w:highlight w:val="black"/>
        </w:rPr>
        <w:t>''''''''''''''''</w:t>
      </w:r>
      <w:r w:rsidRPr="00E44873">
        <w:t xml:space="preserve"> for CAB LA + RPV LA injections. This calculation is based on 1 script for CAB + RPV tablets (oral lead-in), followed by 7 scripts for CAB LA + RPV LA injections (based on Q8W dosing) in Year 1. It is anticipated that there will be 6.5 scripts for CAB LA + RPV LA required from Year 2</w:t>
      </w:r>
      <w:r w:rsidR="00F1690B" w:rsidRPr="00E44873">
        <w:t xml:space="preserve"> onwards at a cost of $</w:t>
      </w:r>
      <w:r w:rsidR="000D517E">
        <w:rPr>
          <w:noProof/>
          <w:color w:val="000000"/>
          <w:highlight w:val="black"/>
        </w:rPr>
        <w:t>''''''''''''''''''''</w:t>
      </w:r>
      <w:r w:rsidRPr="00E44873">
        <w:t xml:space="preserve"> per year. </w:t>
      </w:r>
      <w:r w:rsidR="00680B10" w:rsidRPr="00E44873">
        <w:rPr>
          <w:iCs/>
        </w:rPr>
        <w:t>This compares with a cost of $10,540 for the DTG/RPV, assuming 6.08 scripts (365/60) per year.</w:t>
      </w:r>
    </w:p>
    <w:p w:rsidR="00D31976" w:rsidRPr="00E44873" w:rsidRDefault="00D31976" w:rsidP="00D1387B">
      <w:pPr>
        <w:pStyle w:val="ListParagraph"/>
        <w:widowControl/>
        <w:numPr>
          <w:ilvl w:val="1"/>
          <w:numId w:val="1"/>
        </w:numPr>
        <w:spacing w:after="120"/>
        <w:rPr>
          <w:rFonts w:asciiTheme="minorHAnsi" w:hAnsiTheme="minorHAnsi" w:cstheme="minorHAnsi"/>
          <w:iCs/>
          <w:szCs w:val="24"/>
          <w:lang w:eastAsia="en-AU"/>
        </w:rPr>
      </w:pPr>
      <w:r w:rsidRPr="00E44873">
        <w:t xml:space="preserve">If the </w:t>
      </w:r>
      <w:r w:rsidR="00132087" w:rsidRPr="00E44873">
        <w:t>price for CAB LA + RPV LA Q8W from the CMA we</w:t>
      </w:r>
      <w:r w:rsidRPr="00E44873">
        <w:t>re used, the drug cost pe</w:t>
      </w:r>
      <w:r w:rsidR="00132087" w:rsidRPr="00E44873">
        <w:t>r patient per year is $</w:t>
      </w:r>
      <w:r w:rsidR="000D517E">
        <w:rPr>
          <w:noProof/>
          <w:color w:val="000000"/>
          <w:highlight w:val="black"/>
        </w:rPr>
        <w:t>'''''''''''''''''''</w:t>
      </w:r>
      <w:r w:rsidR="00780A74" w:rsidRPr="00E44873">
        <w:t xml:space="preserve"> </w:t>
      </w:r>
      <w:r w:rsidRPr="00E44873">
        <w:t>in Year 1 and $</w:t>
      </w:r>
      <w:r w:rsidR="000D517E">
        <w:rPr>
          <w:noProof/>
          <w:color w:val="000000"/>
          <w:highlight w:val="black"/>
        </w:rPr>
        <w:t>''''''''''''''''''</w:t>
      </w:r>
      <w:r w:rsidR="00883B82" w:rsidRPr="00E44873">
        <w:t xml:space="preserve"> </w:t>
      </w:r>
      <w:r w:rsidRPr="00E44873">
        <w:t>in subsequent years, based on the DPMQ of $</w:t>
      </w:r>
      <w:r w:rsidR="000D517E">
        <w:rPr>
          <w:noProof/>
          <w:color w:val="000000"/>
          <w:highlight w:val="black"/>
        </w:rPr>
        <w:t>''''''''''''''</w:t>
      </w:r>
      <w:r w:rsidRPr="00E44873">
        <w:t xml:space="preserve"> for CAB tablets and $</w:t>
      </w:r>
      <w:r w:rsidR="000D517E">
        <w:rPr>
          <w:noProof/>
          <w:color w:val="000000"/>
          <w:highlight w:val="black"/>
        </w:rPr>
        <w:t>'''''''''''''''</w:t>
      </w:r>
      <w:r w:rsidRPr="00E44873">
        <w:t xml:space="preserve"> for CAB LA + RPV LA injections. </w:t>
      </w:r>
    </w:p>
    <w:p w:rsidR="00D31976" w:rsidRPr="00E44873" w:rsidRDefault="00D31976" w:rsidP="00D31976">
      <w:pPr>
        <w:keepNext/>
        <w:widowControl/>
      </w:pPr>
    </w:p>
    <w:p w:rsidR="00D31976" w:rsidRPr="001C7B02" w:rsidRDefault="00D31976" w:rsidP="00D31976">
      <w:pPr>
        <w:pStyle w:val="Heading2"/>
      </w:pPr>
      <w:bookmarkStart w:id="30" w:name="_Toc62034935"/>
      <w:r w:rsidRPr="001C7B02">
        <w:t>Estimated PBS usage &amp; financial implications</w:t>
      </w:r>
      <w:bookmarkEnd w:id="30"/>
    </w:p>
    <w:p w:rsidR="00D31976" w:rsidRPr="00E44873" w:rsidRDefault="00D31976" w:rsidP="00D31976">
      <w:pPr>
        <w:ind w:left="720" w:hanging="720"/>
        <w:rPr>
          <w:b/>
        </w:rPr>
      </w:pPr>
    </w:p>
    <w:p w:rsidR="003930FA" w:rsidRPr="00E44873" w:rsidRDefault="00D31976" w:rsidP="00D1387B">
      <w:pPr>
        <w:pStyle w:val="ListParagraph"/>
        <w:widowControl/>
        <w:numPr>
          <w:ilvl w:val="1"/>
          <w:numId w:val="1"/>
        </w:numPr>
      </w:pPr>
      <w:r w:rsidRPr="00E44873">
        <w:t xml:space="preserve">This submission </w:t>
      </w:r>
      <w:r w:rsidR="00B069AC" w:rsidRPr="00E44873">
        <w:t>was not</w:t>
      </w:r>
      <w:r w:rsidRPr="00E44873">
        <w:t xml:space="preserve"> considered by DUSC</w:t>
      </w:r>
      <w:r w:rsidR="00132087" w:rsidRPr="00E44873">
        <w:t xml:space="preserve">. </w:t>
      </w:r>
      <w:r w:rsidRPr="00E44873">
        <w:t>The submission took an epidemiological approach to estimating use and financial impact.</w:t>
      </w:r>
    </w:p>
    <w:p w:rsidR="00D31976" w:rsidRPr="00E44873" w:rsidRDefault="00D31976" w:rsidP="00D1387B">
      <w:pPr>
        <w:pStyle w:val="ListParagraph"/>
        <w:widowControl/>
        <w:numPr>
          <w:ilvl w:val="1"/>
          <w:numId w:val="1"/>
        </w:numPr>
      </w:pPr>
      <w:r w:rsidRPr="00E44873">
        <w:t>The estimated net cost to the government budget of listing CAB LA + RPV LA on the PBS/RPBS was $</w:t>
      </w:r>
      <w:r w:rsidR="0014484E">
        <w:t>0 to $10</w:t>
      </w:r>
      <w:r w:rsidRPr="00E44873">
        <w:t xml:space="preserve"> million in Year 1, decreasing to a net savingin Year 6. Cost savings were mainly driven by the lower (effective) price of the proposed medicine</w:t>
      </w:r>
      <w:r w:rsidR="00132087" w:rsidRPr="00E44873">
        <w:t xml:space="preserve"> compared </w:t>
      </w:r>
      <w:r w:rsidRPr="00E44873">
        <w:t xml:space="preserve">to therapies </w:t>
      </w:r>
      <w:r w:rsidR="00132087" w:rsidRPr="00E44873">
        <w:t>being replaced</w:t>
      </w:r>
      <w:r w:rsidR="0046465A" w:rsidRPr="00E44873">
        <w:t>.</w:t>
      </w:r>
      <w:r w:rsidR="00C76EC6" w:rsidRPr="00E44873">
        <w:t xml:space="preserve"> </w:t>
      </w:r>
      <w:r w:rsidRPr="00E44873">
        <w:t xml:space="preserve">Despite a cost saving observed during </w:t>
      </w:r>
      <w:r w:rsidR="00680B10" w:rsidRPr="00E44873">
        <w:t>Y</w:t>
      </w:r>
      <w:r w:rsidRPr="00E44873">
        <w:t>ear</w:t>
      </w:r>
      <w:r w:rsidR="00680B10" w:rsidRPr="00E44873">
        <w:t>s</w:t>
      </w:r>
      <w:r w:rsidRPr="00E44873">
        <w:t xml:space="preserve"> 3-6, there was an overall net cost of $</w:t>
      </w:r>
      <w:r w:rsidR="0014484E">
        <w:t>0 to $10 million</w:t>
      </w:r>
      <w:r w:rsidRPr="00E44873">
        <w:t xml:space="preserve"> to the government health budget (with MBS costs taken in account) over the first six years of listing. </w:t>
      </w:r>
    </w:p>
    <w:p w:rsidR="00D31976" w:rsidRPr="00E44873" w:rsidRDefault="005B7C04" w:rsidP="00D1387B">
      <w:pPr>
        <w:pStyle w:val="ListParagraph"/>
        <w:widowControl/>
        <w:numPr>
          <w:ilvl w:val="1"/>
          <w:numId w:val="1"/>
        </w:numPr>
      </w:pPr>
      <w:r w:rsidRPr="00E44873">
        <w:t>The estimated use and financial implications of CAB LA + RPV LA are presented in</w:t>
      </w:r>
      <w:r w:rsidR="004F29F3" w:rsidRPr="00E44873">
        <w:t xml:space="preserve"> Table</w:t>
      </w:r>
      <w:r w:rsidR="00754061">
        <w:t> </w:t>
      </w:r>
      <w:r w:rsidR="004F29F3" w:rsidRPr="00E44873">
        <w:t>1</w:t>
      </w:r>
      <w:r w:rsidR="00E753BA" w:rsidRPr="00E44873">
        <w:t>5</w:t>
      </w:r>
      <w:r w:rsidR="00D31976" w:rsidRPr="00E44873">
        <w:t xml:space="preserve">. </w:t>
      </w:r>
    </w:p>
    <w:p w:rsidR="00D31976" w:rsidRPr="00E44873" w:rsidRDefault="005B7C04" w:rsidP="005B7C04">
      <w:pPr>
        <w:pStyle w:val="Tabletext"/>
        <w:keepNext/>
        <w:keepLines/>
        <w:rPr>
          <w:rStyle w:val="CommentReference"/>
        </w:rPr>
      </w:pPr>
      <w:bookmarkStart w:id="31" w:name="_Ref59494344"/>
      <w:r w:rsidRPr="00E44873">
        <w:rPr>
          <w:rStyle w:val="CommentReference"/>
        </w:rPr>
        <w:t xml:space="preserve">Table </w:t>
      </w:r>
      <w:bookmarkEnd w:id="31"/>
      <w:r w:rsidR="0046465A" w:rsidRPr="00E44873">
        <w:rPr>
          <w:rStyle w:val="CommentReference"/>
        </w:rPr>
        <w:t>1</w:t>
      </w:r>
      <w:r w:rsidR="00E753BA" w:rsidRPr="00E44873">
        <w:rPr>
          <w:rStyle w:val="CommentReference"/>
        </w:rPr>
        <w:t>5</w:t>
      </w:r>
      <w:r w:rsidR="00D31976" w:rsidRPr="00E44873">
        <w:rPr>
          <w:rStyle w:val="CommentReference"/>
        </w:rPr>
        <w:t>:  Estimated net financial implications of the proposed CAB + RPV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91"/>
        <w:gridCol w:w="1104"/>
        <w:gridCol w:w="1104"/>
        <w:gridCol w:w="1105"/>
        <w:gridCol w:w="1104"/>
        <w:gridCol w:w="1104"/>
        <w:gridCol w:w="1105"/>
      </w:tblGrid>
      <w:tr w:rsidR="00D31976" w:rsidRPr="00E44873" w:rsidTr="009B3D3F">
        <w:trPr>
          <w:tblHeader/>
        </w:trPr>
        <w:tc>
          <w:tcPr>
            <w:tcW w:w="1326" w:type="pct"/>
            <w:shd w:val="clear" w:color="auto" w:fill="auto"/>
            <w:vAlign w:val="center"/>
          </w:tcPr>
          <w:p w:rsidR="00D31976" w:rsidRPr="00E44873" w:rsidRDefault="00D31976" w:rsidP="00AD4B02">
            <w:pPr>
              <w:pStyle w:val="In-tableHeading"/>
              <w:keepNext w:val="0"/>
              <w:rPr>
                <w:sz w:val="18"/>
                <w:szCs w:val="18"/>
              </w:rPr>
            </w:pPr>
          </w:p>
        </w:tc>
        <w:tc>
          <w:tcPr>
            <w:tcW w:w="612"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1</w:t>
            </w:r>
          </w:p>
        </w:tc>
        <w:tc>
          <w:tcPr>
            <w:tcW w:w="612"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2</w:t>
            </w:r>
          </w:p>
        </w:tc>
        <w:tc>
          <w:tcPr>
            <w:tcW w:w="613"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3</w:t>
            </w:r>
          </w:p>
        </w:tc>
        <w:tc>
          <w:tcPr>
            <w:tcW w:w="612"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4</w:t>
            </w:r>
          </w:p>
        </w:tc>
        <w:tc>
          <w:tcPr>
            <w:tcW w:w="612"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5</w:t>
            </w:r>
          </w:p>
        </w:tc>
        <w:tc>
          <w:tcPr>
            <w:tcW w:w="613" w:type="pct"/>
            <w:shd w:val="clear" w:color="auto" w:fill="auto"/>
            <w:vAlign w:val="center"/>
          </w:tcPr>
          <w:p w:rsidR="00D31976" w:rsidRPr="00E44873" w:rsidRDefault="00D31976" w:rsidP="00AD4B02">
            <w:pPr>
              <w:pStyle w:val="In-tableHeading"/>
              <w:keepNext w:val="0"/>
              <w:jc w:val="center"/>
              <w:rPr>
                <w:sz w:val="18"/>
                <w:szCs w:val="18"/>
              </w:rPr>
            </w:pPr>
            <w:r w:rsidRPr="00E44873">
              <w:rPr>
                <w:sz w:val="18"/>
                <w:szCs w:val="18"/>
              </w:rPr>
              <w:t>Year 6</w:t>
            </w:r>
          </w:p>
        </w:tc>
      </w:tr>
      <w:tr w:rsidR="00D31976" w:rsidRPr="00E44873" w:rsidTr="009B3D3F">
        <w:tc>
          <w:tcPr>
            <w:tcW w:w="5000" w:type="pct"/>
            <w:gridSpan w:val="7"/>
            <w:shd w:val="clear" w:color="auto" w:fill="auto"/>
            <w:vAlign w:val="center"/>
          </w:tcPr>
          <w:p w:rsidR="00D31976" w:rsidRPr="00E44873" w:rsidRDefault="00D31976" w:rsidP="00AD4B02">
            <w:pPr>
              <w:pStyle w:val="TableText0"/>
              <w:keepNext w:val="0"/>
              <w:spacing w:before="0" w:after="0"/>
              <w:rPr>
                <w:b/>
                <w:sz w:val="18"/>
                <w:szCs w:val="18"/>
              </w:rPr>
            </w:pPr>
            <w:r w:rsidRPr="00E44873">
              <w:rPr>
                <w:b/>
                <w:sz w:val="18"/>
                <w:szCs w:val="18"/>
              </w:rPr>
              <w:t>4.2 Estimation of use and financial impact of the proposed medicine (PBS and RPBS)</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Prevalent HIV patients</w:t>
            </w:r>
          </w:p>
        </w:tc>
        <w:tc>
          <w:tcPr>
            <w:tcW w:w="612" w:type="pct"/>
            <w:shd w:val="clear" w:color="auto" w:fill="auto"/>
          </w:tcPr>
          <w:p w:rsidR="00D31976" w:rsidRPr="000D517E" w:rsidRDefault="000D517E" w:rsidP="00AD4B02">
            <w:pPr>
              <w:pStyle w:val="TableText0"/>
              <w:keepNext w:val="0"/>
              <w:spacing w:before="0" w:after="0"/>
              <w:jc w:val="center"/>
              <w:rPr>
                <w:sz w:val="18"/>
                <w:szCs w:val="18"/>
                <w:vertAlign w:val="superscript"/>
              </w:rPr>
            </w:pPr>
            <w:r>
              <w:rPr>
                <w:noProof/>
                <w:color w:val="000000"/>
                <w:sz w:val="18"/>
                <w:szCs w:val="18"/>
                <w:highlight w:val="black"/>
              </w:rPr>
              <w:t>''''''''''''''''</w:t>
            </w:r>
            <w:r w:rsidR="00DC051A" w:rsidRPr="00DC051A">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DC051A" w:rsidRPr="00DC051A">
              <w:rPr>
                <w:sz w:val="18"/>
                <w:szCs w:val="18"/>
                <w:vertAlign w:val="superscript"/>
              </w:rPr>
              <w:t>1</w:t>
            </w:r>
            <w:r>
              <w:rPr>
                <w:noProof/>
                <w:color w:val="000000"/>
                <w:sz w:val="18"/>
                <w:szCs w:val="18"/>
                <w:highlight w:val="black"/>
              </w:rPr>
              <w:t xml:space="preserve"> </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DC051A" w:rsidRPr="00DC051A">
              <w:rPr>
                <w:sz w:val="18"/>
                <w:szCs w:val="18"/>
                <w:vertAlign w:val="superscript"/>
              </w:rPr>
              <w:t>1</w:t>
            </w:r>
            <w:r>
              <w:rPr>
                <w:noProof/>
                <w:color w:val="000000"/>
                <w:sz w:val="18"/>
                <w:szCs w:val="18"/>
                <w:highlight w:val="black"/>
              </w:rPr>
              <w:t xml:space="preserve"> </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DC051A" w:rsidRPr="00DC051A">
              <w:rPr>
                <w:sz w:val="18"/>
                <w:szCs w:val="18"/>
                <w:vertAlign w:val="superscript"/>
              </w:rPr>
              <w:t>1</w:t>
            </w:r>
            <w:r>
              <w:rPr>
                <w:noProof/>
                <w:color w:val="000000"/>
                <w:sz w:val="18"/>
                <w:szCs w:val="18"/>
                <w:highlight w:val="black"/>
              </w:rPr>
              <w:t xml:space="preserve"> </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DC051A" w:rsidRPr="00DC051A">
              <w:rPr>
                <w:sz w:val="18"/>
                <w:szCs w:val="18"/>
                <w:vertAlign w:val="superscript"/>
              </w:rPr>
              <w:t>1</w:t>
            </w:r>
            <w:r>
              <w:rPr>
                <w:noProof/>
                <w:color w:val="000000"/>
                <w:sz w:val="18"/>
                <w:szCs w:val="18"/>
                <w:highlight w:val="black"/>
              </w:rPr>
              <w:t xml:space="preserve"> </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DC051A" w:rsidRPr="00DC051A">
              <w:rPr>
                <w:sz w:val="18"/>
                <w:szCs w:val="18"/>
                <w:vertAlign w:val="superscript"/>
              </w:rPr>
              <w:t>1</w:t>
            </w:r>
            <w:r>
              <w:rPr>
                <w:noProof/>
                <w:color w:val="000000"/>
                <w:sz w:val="18"/>
                <w:szCs w:val="18"/>
                <w:highlight w:val="black"/>
              </w:rPr>
              <w:t xml:space="preserve"> </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Virologically suppressed</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DC051A" w:rsidRPr="00DC051A">
              <w:rPr>
                <w:sz w:val="18"/>
                <w:szCs w:val="18"/>
                <w:vertAlign w:val="superscript"/>
              </w:rPr>
              <w:t>1</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Patients who will switch</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30709C">
              <w:rPr>
                <w:sz w:val="18"/>
                <w:szCs w:val="18"/>
                <w:vertAlign w:val="superscript"/>
              </w:rPr>
              <w:t>2</w:t>
            </w:r>
            <w:r>
              <w:rPr>
                <w:noProof/>
                <w:color w:val="000000"/>
                <w:sz w:val="18"/>
                <w:szCs w:val="18"/>
                <w:highlight w:val="black"/>
              </w:rPr>
              <w:t xml:space="preserve"> </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 xml:space="preserve">Eligible switch patients </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2</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30709C">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 xml:space="preserve">Initiating patients </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Continuing patients</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rFonts w:cs="Arial"/>
                <w:iCs/>
                <w:noProof/>
                <w:color w:val="000000"/>
                <w:sz w:val="18"/>
                <w:szCs w:val="18"/>
                <w:highlight w:val="black"/>
              </w:rPr>
              <w:t>''''</w:t>
            </w:r>
            <w:r w:rsidR="0030709C">
              <w:rPr>
                <w:sz w:val="18"/>
                <w:szCs w:val="18"/>
                <w:vertAlign w:val="superscript"/>
              </w:rPr>
              <w:t>4</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30709C">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Script numbers</w:t>
            </w:r>
          </w:p>
        </w:tc>
        <w:tc>
          <w:tcPr>
            <w:tcW w:w="612" w:type="pct"/>
            <w:shd w:val="clear" w:color="auto" w:fill="auto"/>
          </w:tcPr>
          <w:p w:rsidR="00D31976" w:rsidRPr="000D517E" w:rsidRDefault="00D31976" w:rsidP="00AD4B02">
            <w:pPr>
              <w:pStyle w:val="TableText0"/>
              <w:keepNext w:val="0"/>
              <w:spacing w:before="0" w:after="0"/>
              <w:jc w:val="center"/>
              <w:rPr>
                <w:sz w:val="18"/>
                <w:szCs w:val="18"/>
              </w:rPr>
            </w:pPr>
          </w:p>
        </w:tc>
        <w:tc>
          <w:tcPr>
            <w:tcW w:w="612" w:type="pct"/>
            <w:shd w:val="clear" w:color="auto" w:fill="auto"/>
          </w:tcPr>
          <w:p w:rsidR="00D31976" w:rsidRPr="000D517E" w:rsidRDefault="00D31976" w:rsidP="00AD4B02">
            <w:pPr>
              <w:pStyle w:val="TableText0"/>
              <w:keepNext w:val="0"/>
              <w:spacing w:before="0" w:after="0"/>
              <w:jc w:val="center"/>
              <w:rPr>
                <w:sz w:val="18"/>
                <w:szCs w:val="18"/>
              </w:rPr>
            </w:pPr>
          </w:p>
        </w:tc>
        <w:tc>
          <w:tcPr>
            <w:tcW w:w="613" w:type="pct"/>
            <w:shd w:val="clear" w:color="auto" w:fill="auto"/>
          </w:tcPr>
          <w:p w:rsidR="00D31976" w:rsidRPr="000D517E" w:rsidRDefault="00D31976" w:rsidP="00AD4B02">
            <w:pPr>
              <w:pStyle w:val="TableText0"/>
              <w:keepNext w:val="0"/>
              <w:spacing w:before="0" w:after="0"/>
              <w:jc w:val="center"/>
              <w:rPr>
                <w:sz w:val="18"/>
                <w:szCs w:val="18"/>
              </w:rPr>
            </w:pPr>
          </w:p>
        </w:tc>
        <w:tc>
          <w:tcPr>
            <w:tcW w:w="612" w:type="pct"/>
            <w:shd w:val="clear" w:color="auto" w:fill="auto"/>
          </w:tcPr>
          <w:p w:rsidR="00D31976" w:rsidRPr="000D517E" w:rsidRDefault="00D31976" w:rsidP="00AD4B02">
            <w:pPr>
              <w:pStyle w:val="TableText0"/>
              <w:keepNext w:val="0"/>
              <w:spacing w:before="0" w:after="0"/>
              <w:jc w:val="center"/>
              <w:rPr>
                <w:sz w:val="18"/>
                <w:szCs w:val="18"/>
              </w:rPr>
            </w:pPr>
          </w:p>
        </w:tc>
        <w:tc>
          <w:tcPr>
            <w:tcW w:w="612" w:type="pct"/>
            <w:shd w:val="clear" w:color="auto" w:fill="auto"/>
          </w:tcPr>
          <w:p w:rsidR="00D31976" w:rsidRPr="000D517E" w:rsidRDefault="00D31976" w:rsidP="00AD4B02">
            <w:pPr>
              <w:pStyle w:val="TableText0"/>
              <w:keepNext w:val="0"/>
              <w:spacing w:before="0" w:after="0"/>
              <w:jc w:val="center"/>
              <w:rPr>
                <w:sz w:val="18"/>
                <w:szCs w:val="18"/>
              </w:rPr>
            </w:pPr>
          </w:p>
        </w:tc>
        <w:tc>
          <w:tcPr>
            <w:tcW w:w="613" w:type="pct"/>
            <w:shd w:val="clear" w:color="auto" w:fill="auto"/>
          </w:tcPr>
          <w:p w:rsidR="00D31976" w:rsidRPr="000D517E" w:rsidRDefault="00D31976" w:rsidP="00AD4B02">
            <w:pPr>
              <w:pStyle w:val="TableText0"/>
              <w:keepNext w:val="0"/>
              <w:spacing w:before="0" w:after="0"/>
              <w:jc w:val="center"/>
              <w:rPr>
                <w:sz w:val="18"/>
                <w:szCs w:val="18"/>
              </w:rPr>
            </w:pP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ind w:left="107"/>
              <w:rPr>
                <w:sz w:val="18"/>
                <w:szCs w:val="18"/>
              </w:rPr>
            </w:pPr>
            <w:r w:rsidRPr="00E44873">
              <w:rPr>
                <w:sz w:val="18"/>
                <w:szCs w:val="18"/>
              </w:rPr>
              <w:t>CAB tablets</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10859">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10859">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10859">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 </w:t>
            </w:r>
            <w:r w:rsidR="00910859">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 </w:t>
            </w:r>
            <w:r w:rsidR="00910859">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 </w:t>
            </w:r>
            <w:r w:rsidR="00910859">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ind w:left="107"/>
              <w:rPr>
                <w:sz w:val="18"/>
                <w:szCs w:val="18"/>
              </w:rPr>
            </w:pPr>
            <w:r w:rsidRPr="00E44873">
              <w:rPr>
                <w:sz w:val="18"/>
                <w:szCs w:val="18"/>
              </w:rPr>
              <w:t>CAB+RPV injections</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9A0518">
              <w:rPr>
                <w:sz w:val="18"/>
                <w:szCs w:val="18"/>
                <w:vertAlign w:val="superscript"/>
              </w:rPr>
              <w:t>5</w:t>
            </w:r>
            <w:r>
              <w:rPr>
                <w:noProof/>
                <w:color w:val="000000"/>
                <w:sz w:val="18"/>
                <w:szCs w:val="18"/>
                <w:highlight w:val="black"/>
              </w:rPr>
              <w:t xml:space="preserve"> </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A0518">
              <w:rPr>
                <w:sz w:val="18"/>
                <w:szCs w:val="18"/>
                <w:vertAlign w:val="superscript"/>
              </w:rPr>
              <w:t>5</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A0518">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A0518">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9A0518">
              <w:rPr>
                <w:sz w:val="18"/>
                <w:szCs w:val="18"/>
                <w:vertAlign w:val="superscript"/>
              </w:rPr>
              <w:t>6</w:t>
            </w:r>
            <w:r>
              <w:rPr>
                <w:noProof/>
                <w:color w:val="000000"/>
                <w:sz w:val="18"/>
                <w:szCs w:val="18"/>
                <w:highlight w:val="black"/>
              </w:rPr>
              <w:t xml:space="preserve"> </w:t>
            </w:r>
          </w:p>
        </w:tc>
        <w:tc>
          <w:tcPr>
            <w:tcW w:w="613" w:type="pct"/>
            <w:shd w:val="clear" w:color="auto" w:fill="auto"/>
          </w:tcPr>
          <w:p w:rsidR="00D31976" w:rsidRPr="000D517E" w:rsidRDefault="000D517E" w:rsidP="00AD4B02">
            <w:pPr>
              <w:pStyle w:val="TableText0"/>
              <w:keepNext w:val="0"/>
              <w:spacing w:before="0" w:after="0"/>
              <w:jc w:val="center"/>
              <w:rPr>
                <w:rFonts w:cs="Arial"/>
                <w:iCs/>
                <w:sz w:val="18"/>
                <w:szCs w:val="18"/>
              </w:rPr>
            </w:pPr>
            <w:r>
              <w:rPr>
                <w:noProof/>
                <w:color w:val="000000"/>
                <w:sz w:val="18"/>
                <w:szCs w:val="18"/>
                <w:highlight w:val="black"/>
              </w:rPr>
              <w:t xml:space="preserve">'''''''''''''''' </w:t>
            </w:r>
            <w:r w:rsidR="009A0518">
              <w:rPr>
                <w:sz w:val="18"/>
                <w:szCs w:val="18"/>
                <w:vertAlign w:val="superscript"/>
              </w:rPr>
              <w:t>6</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Total</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5</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1</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1</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6</w:t>
            </w:r>
          </w:p>
        </w:tc>
        <w:tc>
          <w:tcPr>
            <w:tcW w:w="613"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 xml:space="preserve">'''''''''''''''' </w:t>
            </w:r>
            <w:r w:rsidR="009A0518">
              <w:rPr>
                <w:sz w:val="18"/>
                <w:szCs w:val="18"/>
                <w:vertAlign w:val="superscript"/>
              </w:rPr>
              <w:t>6</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 xml:space="preserve">PBS/RPBS cost less co-pay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p>
        </w:tc>
        <w:tc>
          <w:tcPr>
            <w:tcW w:w="612" w:type="pct"/>
            <w:shd w:val="clear" w:color="auto" w:fill="auto"/>
          </w:tcPr>
          <w:p w:rsidR="00D31976" w:rsidRPr="00E44873" w:rsidRDefault="00D31976" w:rsidP="00AD4B02">
            <w:pPr>
              <w:pStyle w:val="TableText0"/>
              <w:keepNext w:val="0"/>
              <w:spacing w:before="0" w:after="0"/>
              <w:jc w:val="center"/>
              <w:rPr>
                <w:sz w:val="18"/>
                <w:szCs w:val="18"/>
              </w:rPr>
            </w:pPr>
          </w:p>
        </w:tc>
        <w:tc>
          <w:tcPr>
            <w:tcW w:w="613" w:type="pct"/>
            <w:shd w:val="clear" w:color="auto" w:fill="auto"/>
          </w:tcPr>
          <w:p w:rsidR="00D31976" w:rsidRPr="00E44873" w:rsidRDefault="00D31976" w:rsidP="00AD4B02">
            <w:pPr>
              <w:pStyle w:val="TableText0"/>
              <w:keepNext w:val="0"/>
              <w:spacing w:before="0" w:after="0"/>
              <w:jc w:val="center"/>
              <w:rPr>
                <w:sz w:val="18"/>
                <w:szCs w:val="18"/>
              </w:rPr>
            </w:pPr>
          </w:p>
        </w:tc>
        <w:tc>
          <w:tcPr>
            <w:tcW w:w="612" w:type="pct"/>
            <w:shd w:val="clear" w:color="auto" w:fill="auto"/>
          </w:tcPr>
          <w:p w:rsidR="00D31976" w:rsidRPr="00E44873" w:rsidRDefault="00D31976" w:rsidP="00AD4B02">
            <w:pPr>
              <w:pStyle w:val="TableText0"/>
              <w:keepNext w:val="0"/>
              <w:spacing w:before="0" w:after="0"/>
              <w:jc w:val="center"/>
              <w:rPr>
                <w:sz w:val="18"/>
                <w:szCs w:val="18"/>
              </w:rPr>
            </w:pPr>
          </w:p>
        </w:tc>
        <w:tc>
          <w:tcPr>
            <w:tcW w:w="612" w:type="pct"/>
            <w:shd w:val="clear" w:color="auto" w:fill="auto"/>
          </w:tcPr>
          <w:p w:rsidR="00D31976" w:rsidRPr="00E44873" w:rsidRDefault="00D31976" w:rsidP="00AD4B02">
            <w:pPr>
              <w:pStyle w:val="TableText0"/>
              <w:keepNext w:val="0"/>
              <w:spacing w:before="0" w:after="0"/>
              <w:jc w:val="center"/>
              <w:rPr>
                <w:sz w:val="18"/>
                <w:szCs w:val="18"/>
              </w:rPr>
            </w:pPr>
          </w:p>
        </w:tc>
        <w:tc>
          <w:tcPr>
            <w:tcW w:w="613" w:type="pct"/>
            <w:shd w:val="clear" w:color="auto" w:fill="auto"/>
          </w:tcPr>
          <w:p w:rsidR="00D31976" w:rsidRPr="00E44873" w:rsidRDefault="00D31976" w:rsidP="00AD4B02">
            <w:pPr>
              <w:pStyle w:val="TableText0"/>
              <w:keepNext w:val="0"/>
              <w:spacing w:before="0" w:after="0"/>
              <w:jc w:val="center"/>
              <w:rPr>
                <w:sz w:val="18"/>
                <w:szCs w:val="18"/>
              </w:rPr>
            </w:pP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ind w:left="107"/>
              <w:rPr>
                <w:sz w:val="18"/>
                <w:szCs w:val="18"/>
              </w:rPr>
            </w:pPr>
            <w:r w:rsidRPr="00E44873">
              <w:rPr>
                <w:sz w:val="18"/>
                <w:szCs w:val="18"/>
              </w:rPr>
              <w:t>CAB tablets</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8A131A">
              <w:rPr>
                <w:sz w:val="18"/>
                <w:szCs w:val="18"/>
                <w:vertAlign w:val="superscript"/>
              </w:rPr>
              <w:t>7</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ind w:left="107"/>
              <w:rPr>
                <w:sz w:val="18"/>
                <w:szCs w:val="18"/>
              </w:rPr>
            </w:pPr>
            <w:r w:rsidRPr="00E44873">
              <w:rPr>
                <w:sz w:val="18"/>
                <w:szCs w:val="18"/>
              </w:rPr>
              <w:t>CAB+RPV injections (pub)</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8</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9</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10</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11</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12</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12</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ind w:left="107"/>
              <w:rPr>
                <w:sz w:val="18"/>
                <w:szCs w:val="18"/>
              </w:rPr>
            </w:pPr>
            <w:r w:rsidRPr="00E44873">
              <w:rPr>
                <w:sz w:val="18"/>
                <w:szCs w:val="18"/>
              </w:rPr>
              <w:t>CAB+RPV injections (eff)</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13</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467BD7">
              <w:rPr>
                <w:sz w:val="18"/>
                <w:szCs w:val="18"/>
                <w:vertAlign w:val="superscript"/>
              </w:rPr>
              <w:t>8</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9D66FF">
              <w:rPr>
                <w:sz w:val="18"/>
                <w:szCs w:val="18"/>
                <w:vertAlign w:val="superscript"/>
              </w:rPr>
              <w:t>14</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9D66FF">
              <w:rPr>
                <w:sz w:val="18"/>
                <w:szCs w:val="18"/>
                <w:vertAlign w:val="superscript"/>
              </w:rPr>
              <w:t>9</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9D66FF">
              <w:rPr>
                <w:sz w:val="18"/>
                <w:szCs w:val="18"/>
                <w:vertAlign w:val="superscript"/>
              </w:rPr>
              <w:t>9</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9D66FF">
              <w:rPr>
                <w:sz w:val="18"/>
                <w:szCs w:val="18"/>
                <w:vertAlign w:val="superscript"/>
              </w:rPr>
              <w:t>9</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Total (pub)</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8</w:t>
            </w:r>
            <w:r w:rsidRPr="00E44873">
              <w:rPr>
                <w:sz w:val="18"/>
                <w:szCs w:val="18"/>
              </w:rPr>
              <w:t xml:space="preserve">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9</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11</w:t>
            </w:r>
            <w:r w:rsidRPr="00E44873">
              <w:rPr>
                <w:sz w:val="18"/>
                <w:szCs w:val="18"/>
              </w:rPr>
              <w:t xml:space="preserve">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12</w:t>
            </w:r>
            <w:r w:rsidRPr="00E44873">
              <w:rPr>
                <w:sz w:val="18"/>
                <w:szCs w:val="18"/>
              </w:rPr>
              <w:t xml:space="preserve">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12</w:t>
            </w:r>
            <w:r w:rsidRPr="00E44873">
              <w:rPr>
                <w:sz w:val="18"/>
                <w:szCs w:val="18"/>
              </w:rPr>
              <w:t xml:space="preserve"> </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 xml:space="preserve"> $</w:t>
            </w:r>
            <w:r w:rsidR="000D517E">
              <w:rPr>
                <w:noProof/>
                <w:color w:val="000000"/>
                <w:sz w:val="18"/>
                <w:szCs w:val="18"/>
                <w:highlight w:val="black"/>
              </w:rPr>
              <w:t>''''''''''''''''''''''''''''</w:t>
            </w:r>
            <w:r w:rsidR="009D66FF">
              <w:rPr>
                <w:sz w:val="18"/>
                <w:szCs w:val="18"/>
                <w:vertAlign w:val="superscript"/>
              </w:rPr>
              <w:t>12</w:t>
            </w:r>
            <w:r w:rsidRPr="00E44873">
              <w:rPr>
                <w:sz w:val="18"/>
                <w:szCs w:val="18"/>
              </w:rPr>
              <w:t xml:space="preserve"> </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Total (eff)</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13</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8</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14</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9</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9</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11236">
              <w:rPr>
                <w:sz w:val="18"/>
                <w:szCs w:val="18"/>
                <w:vertAlign w:val="superscript"/>
              </w:rPr>
              <w:t>9</w:t>
            </w:r>
          </w:p>
        </w:tc>
      </w:tr>
      <w:tr w:rsidR="00D31976" w:rsidRPr="00E44873" w:rsidTr="009B3D3F">
        <w:tc>
          <w:tcPr>
            <w:tcW w:w="5000" w:type="pct"/>
            <w:gridSpan w:val="7"/>
            <w:shd w:val="clear" w:color="auto" w:fill="auto"/>
            <w:vAlign w:val="center"/>
          </w:tcPr>
          <w:p w:rsidR="00D31976" w:rsidRPr="00E44873" w:rsidRDefault="00D31976" w:rsidP="00AD4B02">
            <w:pPr>
              <w:pStyle w:val="TableText0"/>
              <w:keepNext w:val="0"/>
              <w:spacing w:before="0" w:after="0"/>
              <w:rPr>
                <w:rFonts w:cs="Arial"/>
                <w:b/>
                <w:sz w:val="18"/>
                <w:szCs w:val="18"/>
              </w:rPr>
            </w:pPr>
            <w:r w:rsidRPr="00E44873">
              <w:rPr>
                <w:rFonts w:cs="Arial"/>
                <w:b/>
                <w:sz w:val="18"/>
                <w:szCs w:val="18"/>
              </w:rPr>
              <w:t>4.3 Estimation of changes in use and financial impact of other medicines (PBS and RPBS)</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 xml:space="preserve">Changes in script numbers </w:t>
            </w:r>
          </w:p>
        </w:tc>
        <w:tc>
          <w:tcPr>
            <w:tcW w:w="612"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c>
          <w:tcPr>
            <w:tcW w:w="612"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c>
          <w:tcPr>
            <w:tcW w:w="613"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c>
          <w:tcPr>
            <w:tcW w:w="612"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c>
          <w:tcPr>
            <w:tcW w:w="612"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c>
          <w:tcPr>
            <w:tcW w:w="613" w:type="pct"/>
            <w:shd w:val="clear" w:color="auto" w:fill="auto"/>
            <w:vAlign w:val="center"/>
          </w:tcPr>
          <w:p w:rsidR="00D31976" w:rsidRPr="00E44873" w:rsidRDefault="00D31976" w:rsidP="00AD4B02">
            <w:pPr>
              <w:pStyle w:val="TableText0"/>
              <w:keepNext w:val="0"/>
              <w:spacing w:before="0" w:after="0"/>
              <w:jc w:val="center"/>
              <w:rPr>
                <w:rFonts w:cs="Arial"/>
                <w:sz w:val="18"/>
                <w:szCs w:val="18"/>
              </w:rPr>
            </w:pPr>
          </w:p>
        </w:tc>
      </w:tr>
      <w:tr w:rsidR="00883B82" w:rsidRPr="00E44873" w:rsidTr="009B3D3F">
        <w:trPr>
          <w:trHeight w:val="56"/>
        </w:trPr>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Prescriptions not used by patients who initiated treatment with CAB+RPV</w:t>
            </w:r>
          </w:p>
        </w:tc>
      </w:tr>
      <w:tr w:rsidR="00D31976" w:rsidRPr="00E44873" w:rsidTr="009B3D3F">
        <w:trPr>
          <w:trHeight w:val="56"/>
        </w:trPr>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Juluca </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4</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Pr="00E44873">
              <w:rPr>
                <w:sz w:val="18"/>
                <w:szCs w:val="18"/>
              </w:rPr>
              <w:t xml:space="preserve"> </w:t>
            </w:r>
            <w:r w:rsidR="008E3D9F">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4</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4</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Triumeq </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Pr="00E44873">
              <w:rPr>
                <w:sz w:val="18"/>
                <w:szCs w:val="18"/>
              </w:rPr>
              <w:t xml:space="preserve"> </w:t>
            </w:r>
            <w:r w:rsidR="008E3D9F">
              <w:rPr>
                <w:sz w:val="18"/>
                <w:szCs w:val="18"/>
                <w:vertAlign w:val="superscript"/>
              </w:rPr>
              <w:t>3</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Biktarvy </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Genvoya </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 xml:space="preserve">''''''''' </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3</w:t>
            </w:r>
            <w:r w:rsidRPr="00E44873">
              <w:rPr>
                <w:sz w:val="18"/>
                <w:szCs w:val="18"/>
              </w:rPr>
              <w:t xml:space="preserve"> </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Odefsey</w:t>
            </w:r>
          </w:p>
        </w:tc>
        <w:tc>
          <w:tcPr>
            <w:tcW w:w="612"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4</w:t>
            </w:r>
          </w:p>
        </w:tc>
        <w:tc>
          <w:tcPr>
            <w:tcW w:w="613" w:type="pct"/>
            <w:shd w:val="clear" w:color="auto" w:fill="auto"/>
          </w:tcPr>
          <w:p w:rsidR="00D31976" w:rsidRPr="00E44873" w:rsidRDefault="00D31976" w:rsidP="00AD4B02">
            <w:pPr>
              <w:pStyle w:val="TableText0"/>
              <w:keepNext w:val="0"/>
              <w:spacing w:before="0" w:after="0"/>
              <w:ind w:left="113"/>
              <w:jc w:val="center"/>
              <w:rPr>
                <w:sz w:val="18"/>
                <w:szCs w:val="18"/>
              </w:rPr>
            </w:pPr>
            <w:r w:rsidRPr="00E44873">
              <w:rPr>
                <w:sz w:val="18"/>
                <w:szCs w:val="18"/>
              </w:rPr>
              <w:t>-</w:t>
            </w:r>
            <w:r w:rsidR="000D517E">
              <w:rPr>
                <w:noProof/>
                <w:color w:val="000000"/>
                <w:sz w:val="18"/>
                <w:szCs w:val="18"/>
                <w:highlight w:val="black"/>
              </w:rPr>
              <w:t>''''''''</w:t>
            </w:r>
            <w:r w:rsidR="008E3D9F">
              <w:rPr>
                <w:sz w:val="18"/>
                <w:szCs w:val="18"/>
                <w:vertAlign w:val="superscript"/>
              </w:rPr>
              <w:t>4</w:t>
            </w:r>
          </w:p>
        </w:tc>
      </w:tr>
      <w:tr w:rsidR="00883B82" w:rsidRPr="00E44873" w:rsidTr="009B3D3F">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Prescriptions not used by patients who are continuing treatment with CAB+RPV from previous year</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Juluca </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4</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Triumeq </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Biktarvy </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5</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5</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Genvoya </w:t>
            </w:r>
          </w:p>
        </w:tc>
        <w:tc>
          <w:tcPr>
            <w:tcW w:w="612" w:type="pct"/>
            <w:shd w:val="clear" w:color="auto" w:fill="auto"/>
          </w:tcPr>
          <w:p w:rsidR="00D31976" w:rsidRPr="000D517E" w:rsidRDefault="000D517E" w:rsidP="00AD4B02">
            <w:pPr>
              <w:pStyle w:val="TableText0"/>
              <w:keepNext w:val="0"/>
              <w:spacing w:before="0" w:after="0"/>
              <w:jc w:val="center"/>
              <w:rPr>
                <w:sz w:val="18"/>
                <w:szCs w:val="18"/>
              </w:rPr>
            </w:pPr>
            <w:r>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2</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Odefsey </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333B21">
              <w:rPr>
                <w:sz w:val="18"/>
                <w:szCs w:val="18"/>
                <w:vertAlign w:val="superscript"/>
              </w:rPr>
              <w:t>4</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333B21">
              <w:rPr>
                <w:sz w:val="18"/>
                <w:szCs w:val="18"/>
                <w:vertAlign w:val="superscript"/>
              </w:rPr>
              <w:t>3</w:t>
            </w:r>
          </w:p>
        </w:tc>
      </w:tr>
      <w:tr w:rsidR="00883B82" w:rsidRPr="00E44873" w:rsidTr="009B3D3F">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Additional rilpivirine tablet use from patients initiating CAB+RPV</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Rilpivirine </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c>
          <w:tcPr>
            <w:tcW w:w="612"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c>
          <w:tcPr>
            <w:tcW w:w="613" w:type="pct"/>
            <w:shd w:val="clear" w:color="auto" w:fill="auto"/>
          </w:tcPr>
          <w:p w:rsidR="00D31976" w:rsidRPr="000D517E" w:rsidRDefault="000D517E" w:rsidP="00AD4B02">
            <w:pPr>
              <w:pStyle w:val="TableText0"/>
              <w:keepNext w:val="0"/>
              <w:spacing w:before="0" w:after="0"/>
              <w:jc w:val="center"/>
              <w:rPr>
                <w:rFonts w:cs="Arial"/>
                <w:sz w:val="18"/>
                <w:szCs w:val="18"/>
              </w:rPr>
            </w:pPr>
            <w:r>
              <w:rPr>
                <w:noProof/>
                <w:color w:val="000000"/>
                <w:sz w:val="18"/>
                <w:szCs w:val="18"/>
                <w:highlight w:val="black"/>
              </w:rPr>
              <w:t>'''''''''</w:t>
            </w:r>
            <w:r w:rsidR="008F4AB1">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Total</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2</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5</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1</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1</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1</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8F4AB1">
              <w:rPr>
                <w:sz w:val="18"/>
                <w:szCs w:val="18"/>
                <w:vertAlign w:val="superscript"/>
              </w:rPr>
              <w:t>6</w:t>
            </w:r>
          </w:p>
        </w:tc>
      </w:tr>
      <w:tr w:rsidR="00883B82" w:rsidRPr="00E44873" w:rsidTr="009B3D3F">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Cost offsets from prescriptions not used by patients who initiated treatment with CAB+RPV</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Juluca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Triumeq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Biktarvy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Genvoya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Odefsey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80429B">
              <w:rPr>
                <w:sz w:val="18"/>
                <w:szCs w:val="18"/>
                <w:vertAlign w:val="superscript"/>
              </w:rPr>
              <w:t>7</w:t>
            </w:r>
          </w:p>
        </w:tc>
      </w:tr>
      <w:tr w:rsidR="00883B82" w:rsidRPr="00E44873" w:rsidTr="009B3D3F">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Cost offsets from prescriptions not used by patients who are continuing treatment with CAB+RPV from previous year</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Juluca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Triumeq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Biktarvy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13</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13</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Genvoya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3F1B76">
              <w:rPr>
                <w:sz w:val="18"/>
                <w:szCs w:val="18"/>
                <w:vertAlign w:val="superscript"/>
              </w:rPr>
              <w:t>15</w:t>
            </w:r>
          </w:p>
        </w:tc>
      </w:tr>
      <w:tr w:rsidR="00D31976" w:rsidRPr="00E44873" w:rsidTr="009B3D3F">
        <w:tc>
          <w:tcPr>
            <w:tcW w:w="1326" w:type="pct"/>
            <w:shd w:val="clear" w:color="auto" w:fill="auto"/>
          </w:tcPr>
          <w:p w:rsidR="00D31976" w:rsidRPr="00E44873" w:rsidRDefault="00D31976" w:rsidP="00883B82">
            <w:pPr>
              <w:pStyle w:val="TableText0"/>
              <w:keepNext w:val="0"/>
              <w:spacing w:before="0" w:after="0"/>
              <w:ind w:left="107"/>
              <w:rPr>
                <w:sz w:val="18"/>
                <w:szCs w:val="18"/>
              </w:rPr>
            </w:pPr>
            <w:r w:rsidRPr="00E44873">
              <w:rPr>
                <w:sz w:val="18"/>
                <w:szCs w:val="18"/>
              </w:rPr>
              <w:t xml:space="preserve">Odefsey </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5A2C69">
              <w:rPr>
                <w:sz w:val="18"/>
                <w:szCs w:val="18"/>
                <w:vertAlign w:val="superscript"/>
              </w:rPr>
              <w:t>7</w:t>
            </w:r>
          </w:p>
        </w:tc>
      </w:tr>
      <w:tr w:rsidR="00883B82" w:rsidRPr="00E44873" w:rsidTr="009B3D3F">
        <w:tc>
          <w:tcPr>
            <w:tcW w:w="5000" w:type="pct"/>
            <w:gridSpan w:val="7"/>
            <w:shd w:val="clear" w:color="auto" w:fill="auto"/>
          </w:tcPr>
          <w:p w:rsidR="00883B82" w:rsidRPr="00E44873" w:rsidRDefault="00883B82" w:rsidP="00883B82">
            <w:pPr>
              <w:pStyle w:val="TableText0"/>
              <w:keepNext w:val="0"/>
              <w:spacing w:before="0" w:after="0"/>
              <w:rPr>
                <w:sz w:val="18"/>
                <w:szCs w:val="18"/>
              </w:rPr>
            </w:pPr>
            <w:r w:rsidRPr="00E44873">
              <w:rPr>
                <w:sz w:val="18"/>
                <w:szCs w:val="18"/>
              </w:rPr>
              <w:t>Additional cost from rilpivirine tablet use from patients initiating CAB+RPV</w:t>
            </w:r>
          </w:p>
        </w:tc>
      </w:tr>
      <w:tr w:rsidR="00D31976" w:rsidRPr="00E44873" w:rsidTr="009B3D3F">
        <w:tc>
          <w:tcPr>
            <w:tcW w:w="1326" w:type="pct"/>
            <w:shd w:val="clear" w:color="auto" w:fill="auto"/>
          </w:tcPr>
          <w:p w:rsidR="00D31976" w:rsidRPr="00E44873" w:rsidRDefault="00D31976" w:rsidP="00AD4B02">
            <w:pPr>
              <w:pStyle w:val="TableText0"/>
              <w:keepNext w:val="0"/>
              <w:spacing w:before="0" w:after="0"/>
              <w:ind w:left="107"/>
              <w:rPr>
                <w:sz w:val="18"/>
                <w:szCs w:val="18"/>
              </w:rPr>
            </w:pPr>
            <w:r w:rsidRPr="00E44873">
              <w:rPr>
                <w:sz w:val="18"/>
                <w:szCs w:val="18"/>
              </w:rPr>
              <w:t>Rilpivirine – initiating (first yr)</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7</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Total</w:t>
            </w:r>
            <w:r w:rsidR="00883B82" w:rsidRPr="00E44873">
              <w:rPr>
                <w:sz w:val="18"/>
                <w:szCs w:val="18"/>
              </w:rPr>
              <w:t xml:space="preserve"> cost of other PBS medicines</w:t>
            </w:r>
          </w:p>
        </w:tc>
        <w:tc>
          <w:tcPr>
            <w:tcW w:w="612" w:type="pct"/>
            <w:shd w:val="clear" w:color="auto" w:fill="auto"/>
          </w:tcPr>
          <w:p w:rsidR="00D31976" w:rsidRPr="00E44873" w:rsidRDefault="00D31976" w:rsidP="00AD4B02">
            <w:pPr>
              <w:pStyle w:val="TableText0"/>
              <w:keepNext w:val="0"/>
              <w:spacing w:before="0" w:after="0"/>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13</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8</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14</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9</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9</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944276">
              <w:rPr>
                <w:sz w:val="18"/>
                <w:szCs w:val="18"/>
                <w:vertAlign w:val="superscript"/>
              </w:rPr>
              <w:t>9</w:t>
            </w:r>
          </w:p>
        </w:tc>
      </w:tr>
      <w:tr w:rsidR="00D31976" w:rsidRPr="00E44873" w:rsidTr="009B3D3F">
        <w:tc>
          <w:tcPr>
            <w:tcW w:w="5000" w:type="pct"/>
            <w:gridSpan w:val="7"/>
            <w:shd w:val="clear" w:color="auto" w:fill="auto"/>
            <w:vAlign w:val="center"/>
          </w:tcPr>
          <w:p w:rsidR="00D31976" w:rsidRPr="00E44873" w:rsidRDefault="00D31976" w:rsidP="00AD4B02">
            <w:pPr>
              <w:pStyle w:val="TableText0"/>
              <w:keepNext w:val="0"/>
              <w:spacing w:before="0" w:after="0"/>
              <w:rPr>
                <w:rFonts w:cs="Arial"/>
                <w:b/>
                <w:sz w:val="18"/>
                <w:szCs w:val="18"/>
              </w:rPr>
            </w:pPr>
            <w:r w:rsidRPr="00E44873">
              <w:rPr>
                <w:rFonts w:cs="Arial"/>
                <w:b/>
                <w:sz w:val="18"/>
                <w:szCs w:val="18"/>
              </w:rPr>
              <w:t>4.4 Estimated financial implications for the PBS/RPBS</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Net cost to PBS/RPBS (pub)</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15</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13</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13</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13</w:t>
            </w:r>
          </w:p>
        </w:tc>
        <w:tc>
          <w:tcPr>
            <w:tcW w:w="612"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8</w:t>
            </w:r>
          </w:p>
        </w:tc>
        <w:tc>
          <w:tcPr>
            <w:tcW w:w="613" w:type="pct"/>
            <w:shd w:val="clear" w:color="auto" w:fill="auto"/>
          </w:tcPr>
          <w:p w:rsidR="00D31976" w:rsidRPr="00E44873" w:rsidRDefault="00D31976" w:rsidP="00AD4B02">
            <w:pPr>
              <w:pStyle w:val="TableText0"/>
              <w:keepNext w:val="0"/>
              <w:spacing w:before="0" w:after="0"/>
              <w:jc w:val="center"/>
              <w:rPr>
                <w:rFonts w:cs="Arial"/>
                <w:iCs/>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8</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vertAlign w:val="superscript"/>
              </w:rPr>
            </w:pPr>
            <w:r w:rsidRPr="00E44873">
              <w:rPr>
                <w:sz w:val="18"/>
                <w:szCs w:val="18"/>
              </w:rPr>
              <w:t>Net cost to PBS/RPBS (eff)</w:t>
            </w:r>
          </w:p>
        </w:tc>
        <w:tc>
          <w:tcPr>
            <w:tcW w:w="612"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b/>
                <w:iCs/>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r>
      <w:tr w:rsidR="00D31976" w:rsidRPr="00E44873" w:rsidTr="009B3D3F">
        <w:tc>
          <w:tcPr>
            <w:tcW w:w="5000" w:type="pct"/>
            <w:gridSpan w:val="7"/>
            <w:shd w:val="clear" w:color="auto" w:fill="auto"/>
            <w:vAlign w:val="center"/>
          </w:tcPr>
          <w:p w:rsidR="00D31976" w:rsidRPr="00E44873" w:rsidRDefault="00D31976" w:rsidP="00AD4B02">
            <w:pPr>
              <w:pStyle w:val="TableText0"/>
              <w:keepNext w:val="0"/>
              <w:spacing w:before="0" w:after="0"/>
              <w:rPr>
                <w:rFonts w:cs="Arial"/>
                <w:b/>
                <w:sz w:val="18"/>
                <w:szCs w:val="18"/>
              </w:rPr>
            </w:pPr>
            <w:r w:rsidRPr="00E44873">
              <w:rPr>
                <w:rFonts w:cs="Arial"/>
                <w:b/>
                <w:sz w:val="18"/>
                <w:szCs w:val="18"/>
              </w:rPr>
              <w:t>4.5 Estimated financial implications for the health budget</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Net change in PBS/RPBS scripts</w:t>
            </w:r>
          </w:p>
        </w:tc>
        <w:tc>
          <w:tcPr>
            <w:tcW w:w="612"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c>
          <w:tcPr>
            <w:tcW w:w="612"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c>
          <w:tcPr>
            <w:tcW w:w="613"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c>
          <w:tcPr>
            <w:tcW w:w="612"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c>
          <w:tcPr>
            <w:tcW w:w="612"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c>
          <w:tcPr>
            <w:tcW w:w="613" w:type="pct"/>
            <w:shd w:val="clear" w:color="auto" w:fill="auto"/>
          </w:tcPr>
          <w:p w:rsidR="00D31976" w:rsidRPr="00E44873" w:rsidRDefault="000D517E" w:rsidP="00AD4B02">
            <w:pPr>
              <w:pStyle w:val="TableText0"/>
              <w:keepNext w:val="0"/>
              <w:spacing w:before="0" w:after="0"/>
              <w:jc w:val="center"/>
              <w:rPr>
                <w:rFonts w:cs="Arial"/>
                <w:iCs/>
                <w:sz w:val="18"/>
                <w:szCs w:val="18"/>
              </w:rPr>
            </w:pPr>
            <w:r>
              <w:rPr>
                <w:noProof/>
                <w:color w:val="000000"/>
                <w:sz w:val="18"/>
                <w:szCs w:val="18"/>
                <w:highlight w:val="black"/>
              </w:rPr>
              <w:t>''''''''''''''</w:t>
            </w:r>
            <w:r w:rsidR="00D31976" w:rsidRPr="00E44873">
              <w:rPr>
                <w:sz w:val="18"/>
                <w:szCs w:val="18"/>
              </w:rPr>
              <w:t xml:space="preserve"> </w:t>
            </w:r>
            <w:r w:rsidR="00C031FD">
              <w:rPr>
                <w:sz w:val="18"/>
                <w:szCs w:val="18"/>
                <w:vertAlign w:val="superscript"/>
              </w:rPr>
              <w:t>3</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MBS additional costs</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 xml:space="preserve">MBS decreased costs </w:t>
            </w:r>
            <w:r w:rsidRPr="00E44873">
              <w:rPr>
                <w:sz w:val="18"/>
                <w:szCs w:val="18"/>
                <w:vertAlign w:val="superscript"/>
              </w:rPr>
              <w:t>a</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rFonts w:cs="Arial"/>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sz w:val="18"/>
                <w:szCs w:val="18"/>
              </w:rPr>
            </w:pPr>
            <w:r w:rsidRPr="00E44873">
              <w:rPr>
                <w:sz w:val="18"/>
                <w:szCs w:val="18"/>
              </w:rPr>
              <w:t>Net MBS costs</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2"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c>
          <w:tcPr>
            <w:tcW w:w="613" w:type="pct"/>
            <w:shd w:val="clear" w:color="auto" w:fill="auto"/>
          </w:tcPr>
          <w:p w:rsidR="00D31976" w:rsidRPr="00E44873" w:rsidRDefault="00D31976" w:rsidP="00AD4B02">
            <w:pPr>
              <w:pStyle w:val="TableText0"/>
              <w:keepNext w:val="0"/>
              <w:spacing w:before="0" w:after="0"/>
              <w:jc w:val="center"/>
              <w:rPr>
                <w:sz w:val="18"/>
                <w:szCs w:val="18"/>
              </w:rPr>
            </w:pPr>
            <w:r w:rsidRPr="00E44873">
              <w:rPr>
                <w:sz w:val="18"/>
                <w:szCs w:val="18"/>
              </w:rPr>
              <w:t>$</w:t>
            </w:r>
            <w:r w:rsidR="000D517E">
              <w:rPr>
                <w:noProof/>
                <w:color w:val="000000"/>
                <w:sz w:val="18"/>
                <w:szCs w:val="18"/>
                <w:highlight w:val="black"/>
              </w:rPr>
              <w:t>'''''''''''''''''''''</w:t>
            </w:r>
            <w:r w:rsidR="00C031FD">
              <w:rPr>
                <w:sz w:val="18"/>
                <w:szCs w:val="18"/>
                <w:vertAlign w:val="superscript"/>
              </w:rPr>
              <w:t>7</w:t>
            </w:r>
          </w:p>
        </w:tc>
      </w:tr>
      <w:tr w:rsidR="00D31976" w:rsidRPr="00E44873" w:rsidTr="009B3D3F">
        <w:tc>
          <w:tcPr>
            <w:tcW w:w="1326" w:type="pct"/>
            <w:shd w:val="clear" w:color="auto" w:fill="auto"/>
            <w:vAlign w:val="center"/>
          </w:tcPr>
          <w:p w:rsidR="00D31976" w:rsidRPr="00E44873" w:rsidRDefault="00D31976" w:rsidP="00AD4B02">
            <w:pPr>
              <w:pStyle w:val="TableText0"/>
              <w:keepNext w:val="0"/>
              <w:spacing w:before="0" w:after="0"/>
              <w:rPr>
                <w:b/>
                <w:sz w:val="18"/>
                <w:szCs w:val="18"/>
              </w:rPr>
            </w:pPr>
            <w:r w:rsidRPr="00E44873">
              <w:rPr>
                <w:b/>
                <w:sz w:val="18"/>
                <w:szCs w:val="18"/>
              </w:rPr>
              <w:t>Net cost to Government health budget</w:t>
            </w:r>
          </w:p>
        </w:tc>
        <w:tc>
          <w:tcPr>
            <w:tcW w:w="612"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3"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2"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c>
          <w:tcPr>
            <w:tcW w:w="613" w:type="pct"/>
            <w:shd w:val="clear" w:color="auto" w:fill="auto"/>
            <w:vAlign w:val="center"/>
          </w:tcPr>
          <w:p w:rsidR="00D31976" w:rsidRPr="00E44873" w:rsidRDefault="00D31976" w:rsidP="00680B10">
            <w:pPr>
              <w:pStyle w:val="TableText0"/>
              <w:keepNext w:val="0"/>
              <w:spacing w:before="0" w:after="0"/>
              <w:jc w:val="center"/>
              <w:rPr>
                <w:b/>
                <w:sz w:val="18"/>
                <w:szCs w:val="18"/>
              </w:rPr>
            </w:pPr>
            <w:r w:rsidRPr="00E44873">
              <w:rPr>
                <w:b/>
                <w:sz w:val="18"/>
                <w:szCs w:val="18"/>
              </w:rPr>
              <w:t>-$</w:t>
            </w:r>
            <w:r w:rsidR="000D517E">
              <w:rPr>
                <w:b/>
                <w:noProof/>
                <w:color w:val="000000"/>
                <w:sz w:val="18"/>
                <w:szCs w:val="18"/>
                <w:highlight w:val="black"/>
              </w:rPr>
              <w:t>''''''''''''''</w:t>
            </w:r>
            <w:r w:rsidR="00C031FD">
              <w:rPr>
                <w:sz w:val="18"/>
                <w:szCs w:val="18"/>
                <w:vertAlign w:val="superscript"/>
              </w:rPr>
              <w:t>7</w:t>
            </w:r>
          </w:p>
        </w:tc>
      </w:tr>
    </w:tbl>
    <w:p w:rsidR="00D31976" w:rsidRPr="00E44873" w:rsidRDefault="00D31976" w:rsidP="00680B10">
      <w:pPr>
        <w:pStyle w:val="TableFooter"/>
        <w:tabs>
          <w:tab w:val="left" w:pos="284"/>
        </w:tabs>
        <w:ind w:left="284" w:hanging="284"/>
      </w:pPr>
      <w:r w:rsidRPr="00E44873">
        <w:rPr>
          <w:vertAlign w:val="superscript"/>
        </w:rPr>
        <w:t>a</w:t>
      </w:r>
      <w:r w:rsidR="00680B10" w:rsidRPr="00E44873">
        <w:tab/>
      </w:r>
      <w:r w:rsidRPr="00E44873">
        <w:t xml:space="preserve">there were errors in the cell referencing for the calculation of MBS decreased cost. Instead of calculating number of urinalysis based on Biktarvy, Genvoya and Odefsey (continuing and initiation), the submission calculated these based on Juluca, Triumeq, Biktarvy, Genvoya, Odefsey initiating and Juluca continuing. Corrected during evaluation. </w:t>
      </w:r>
    </w:p>
    <w:p w:rsidR="00D31976" w:rsidRPr="00E44873" w:rsidRDefault="00D31976" w:rsidP="00D31976">
      <w:pPr>
        <w:pStyle w:val="TableFooter"/>
      </w:pPr>
      <w:r w:rsidRPr="00E44873">
        <w:t>Text in italics indicate values calculated during evaluation</w:t>
      </w:r>
    </w:p>
    <w:p w:rsidR="00D31976" w:rsidRPr="00E44873" w:rsidRDefault="00D31976" w:rsidP="00D31976">
      <w:pPr>
        <w:pStyle w:val="TableFooter"/>
      </w:pPr>
      <w:r w:rsidRPr="00E44873">
        <w:t>Source: Table 75 – 77, 79 - 84, p138 – 144 of the submission.</w:t>
      </w:r>
    </w:p>
    <w:p w:rsidR="00D31976" w:rsidRDefault="00D31976" w:rsidP="00D31976">
      <w:pPr>
        <w:pStyle w:val="TableFooter"/>
      </w:pPr>
      <w:r w:rsidRPr="00E44873">
        <w:t xml:space="preserve">CAB = cabotegravir; RPV = rilpivirine; pub = published; eff = effective. </w:t>
      </w:r>
    </w:p>
    <w:p w:rsidR="00934AB7" w:rsidRPr="009868C4" w:rsidRDefault="00934AB7" w:rsidP="00934AB7">
      <w:pPr>
        <w:pStyle w:val="TableFigureFooter"/>
        <w:spacing w:after="0"/>
        <w:contextualSpacing w:val="0"/>
      </w:pPr>
      <w:r w:rsidRPr="009868C4">
        <w:rPr>
          <w:i/>
        </w:rPr>
        <w:t>The redacted values correspond to the following ranges</w:t>
      </w:r>
      <w:r>
        <w:rPr>
          <w:i/>
        </w:rPr>
        <w:t xml:space="preserve">: </w:t>
      </w:r>
    </w:p>
    <w:p w:rsidR="00934AB7" w:rsidRPr="00E24C99" w:rsidRDefault="00DC051A" w:rsidP="00D31976">
      <w:pPr>
        <w:pStyle w:val="TableFooter"/>
        <w:rPr>
          <w:i/>
        </w:rPr>
      </w:pPr>
      <w:r w:rsidRPr="00E24C99">
        <w:rPr>
          <w:i/>
          <w:vertAlign w:val="superscript"/>
        </w:rPr>
        <w:t>1</w:t>
      </w:r>
      <w:r w:rsidRPr="00E24C99">
        <w:rPr>
          <w:i/>
        </w:rPr>
        <w:t xml:space="preserve"> 20,000 to &lt; 30,000</w:t>
      </w:r>
    </w:p>
    <w:p w:rsidR="00DC051A" w:rsidRPr="00E24C99" w:rsidRDefault="00DC051A" w:rsidP="00D31976">
      <w:pPr>
        <w:pStyle w:val="TableFooter"/>
        <w:rPr>
          <w:i/>
        </w:rPr>
      </w:pPr>
      <w:r w:rsidRPr="00E24C99">
        <w:rPr>
          <w:i/>
          <w:vertAlign w:val="superscript"/>
        </w:rPr>
        <w:t xml:space="preserve">2 </w:t>
      </w:r>
      <w:r w:rsidRPr="00E24C99">
        <w:rPr>
          <w:i/>
        </w:rPr>
        <w:t>5,000 to &lt; 10,000</w:t>
      </w:r>
    </w:p>
    <w:p w:rsidR="00DC051A" w:rsidRPr="00E24C99" w:rsidRDefault="00DC051A" w:rsidP="00D31976">
      <w:pPr>
        <w:pStyle w:val="TableFooter"/>
        <w:rPr>
          <w:i/>
        </w:rPr>
      </w:pPr>
      <w:r w:rsidRPr="00E24C99">
        <w:rPr>
          <w:i/>
          <w:vertAlign w:val="superscript"/>
        </w:rPr>
        <w:t>3</w:t>
      </w:r>
      <w:r w:rsidRPr="00E24C99">
        <w:rPr>
          <w:i/>
        </w:rPr>
        <w:t xml:space="preserve"> </w:t>
      </w:r>
      <w:r w:rsidR="0030709C" w:rsidRPr="00E24C99">
        <w:rPr>
          <w:i/>
        </w:rPr>
        <w:t>500 to &lt; 5,000</w:t>
      </w:r>
    </w:p>
    <w:p w:rsidR="00DC051A" w:rsidRPr="00E24C99" w:rsidRDefault="00DC051A" w:rsidP="00D31976">
      <w:pPr>
        <w:pStyle w:val="TableFooter"/>
        <w:rPr>
          <w:i/>
        </w:rPr>
      </w:pPr>
      <w:r w:rsidRPr="00E24C99">
        <w:rPr>
          <w:i/>
          <w:vertAlign w:val="superscript"/>
        </w:rPr>
        <w:t>4</w:t>
      </w:r>
      <w:r w:rsidRPr="00E24C99">
        <w:rPr>
          <w:i/>
        </w:rPr>
        <w:t xml:space="preserve"> </w:t>
      </w:r>
      <w:r w:rsidR="0030709C" w:rsidRPr="00E24C99">
        <w:rPr>
          <w:i/>
        </w:rPr>
        <w:t>&lt; 500</w:t>
      </w:r>
    </w:p>
    <w:p w:rsidR="00DC051A" w:rsidRPr="00E24C99" w:rsidRDefault="00DC051A" w:rsidP="00D31976">
      <w:pPr>
        <w:pStyle w:val="TableFooter"/>
        <w:rPr>
          <w:i/>
        </w:rPr>
      </w:pPr>
      <w:r w:rsidRPr="00E24C99">
        <w:rPr>
          <w:i/>
          <w:vertAlign w:val="superscript"/>
        </w:rPr>
        <w:t>5</w:t>
      </w:r>
      <w:r w:rsidRPr="00E24C99">
        <w:rPr>
          <w:i/>
        </w:rPr>
        <w:t xml:space="preserve"> </w:t>
      </w:r>
      <w:r w:rsidR="001D78B4" w:rsidRPr="00E24C99">
        <w:rPr>
          <w:i/>
        </w:rPr>
        <w:t>10,000 to &lt; 20,000</w:t>
      </w:r>
    </w:p>
    <w:p w:rsidR="001D78B4" w:rsidRPr="00E24C99" w:rsidRDefault="001D78B4" w:rsidP="00D31976">
      <w:pPr>
        <w:pStyle w:val="TableFooter"/>
        <w:rPr>
          <w:i/>
        </w:rPr>
      </w:pPr>
      <w:r w:rsidRPr="00E24C99">
        <w:rPr>
          <w:i/>
          <w:vertAlign w:val="superscript"/>
        </w:rPr>
        <w:t>6</w:t>
      </w:r>
      <w:r w:rsidRPr="00E24C99">
        <w:rPr>
          <w:i/>
        </w:rPr>
        <w:t xml:space="preserve"> </w:t>
      </w:r>
      <w:r w:rsidR="009A0518" w:rsidRPr="00E24C99">
        <w:rPr>
          <w:i/>
        </w:rPr>
        <w:t>30,000 to &lt; 40,000</w:t>
      </w:r>
    </w:p>
    <w:p w:rsidR="001D78B4" w:rsidRPr="00E24C99" w:rsidRDefault="001D78B4" w:rsidP="00D31976">
      <w:pPr>
        <w:pStyle w:val="TableFooter"/>
        <w:rPr>
          <w:i/>
        </w:rPr>
      </w:pPr>
      <w:r w:rsidRPr="00E24C99">
        <w:rPr>
          <w:i/>
          <w:vertAlign w:val="superscript"/>
        </w:rPr>
        <w:t xml:space="preserve">7 </w:t>
      </w:r>
      <w:r w:rsidR="00BD42F9" w:rsidRPr="00E24C99">
        <w:rPr>
          <w:i/>
        </w:rPr>
        <w:t>$0 to &lt; $10 million</w:t>
      </w:r>
    </w:p>
    <w:p w:rsidR="001D78B4" w:rsidRPr="00E24C99" w:rsidRDefault="001D78B4" w:rsidP="00D31976">
      <w:pPr>
        <w:pStyle w:val="TableFooter"/>
        <w:rPr>
          <w:i/>
        </w:rPr>
      </w:pPr>
      <w:r w:rsidRPr="00E24C99">
        <w:rPr>
          <w:i/>
          <w:vertAlign w:val="superscript"/>
        </w:rPr>
        <w:t>8</w:t>
      </w:r>
      <w:r w:rsidRPr="00E24C99">
        <w:rPr>
          <w:i/>
        </w:rPr>
        <w:t xml:space="preserve"> </w:t>
      </w:r>
      <w:r w:rsidR="003C7BB6" w:rsidRPr="00E24C99">
        <w:rPr>
          <w:i/>
        </w:rPr>
        <w:t>$30 million to &lt; $40 million</w:t>
      </w:r>
    </w:p>
    <w:p w:rsidR="001D78B4" w:rsidRPr="00E24C99" w:rsidRDefault="001D78B4" w:rsidP="00D31976">
      <w:pPr>
        <w:pStyle w:val="TableFooter"/>
        <w:rPr>
          <w:i/>
        </w:rPr>
      </w:pPr>
      <w:r w:rsidRPr="00E24C99">
        <w:rPr>
          <w:i/>
          <w:vertAlign w:val="superscript"/>
        </w:rPr>
        <w:t>9</w:t>
      </w:r>
      <w:r w:rsidRPr="00E24C99">
        <w:rPr>
          <w:i/>
        </w:rPr>
        <w:t xml:space="preserve"> </w:t>
      </w:r>
      <w:r w:rsidR="003C7BB6" w:rsidRPr="00E24C99">
        <w:rPr>
          <w:i/>
        </w:rPr>
        <w:t>$50 million to &lt; $60 million</w:t>
      </w:r>
    </w:p>
    <w:p w:rsidR="001D78B4" w:rsidRPr="00E24C99" w:rsidRDefault="001D78B4" w:rsidP="00D31976">
      <w:pPr>
        <w:pStyle w:val="TableFooter"/>
        <w:rPr>
          <w:i/>
        </w:rPr>
      </w:pPr>
      <w:r w:rsidRPr="00E24C99">
        <w:rPr>
          <w:i/>
          <w:vertAlign w:val="superscript"/>
        </w:rPr>
        <w:t>10</w:t>
      </w:r>
      <w:r w:rsidRPr="00E24C99">
        <w:rPr>
          <w:i/>
        </w:rPr>
        <w:t xml:space="preserve"> </w:t>
      </w:r>
      <w:r w:rsidR="003C7BB6" w:rsidRPr="00E24C99">
        <w:rPr>
          <w:i/>
        </w:rPr>
        <w:t>$60 million to &lt; $70 million</w:t>
      </w:r>
    </w:p>
    <w:p w:rsidR="003C7BB6" w:rsidRPr="00E24C99" w:rsidRDefault="003C7BB6" w:rsidP="00D31976">
      <w:pPr>
        <w:pStyle w:val="TableFooter"/>
        <w:rPr>
          <w:i/>
        </w:rPr>
      </w:pPr>
      <w:r w:rsidRPr="00E24C99">
        <w:rPr>
          <w:i/>
          <w:vertAlign w:val="superscript"/>
        </w:rPr>
        <w:t>11</w:t>
      </w:r>
      <w:r w:rsidRPr="00E24C99">
        <w:rPr>
          <w:i/>
        </w:rPr>
        <w:t xml:space="preserve"> </w:t>
      </w:r>
      <w:r w:rsidR="00D75AC5" w:rsidRPr="00E24C99">
        <w:rPr>
          <w:i/>
        </w:rPr>
        <w:t>$70 million to &lt; $80 million</w:t>
      </w:r>
    </w:p>
    <w:p w:rsidR="003C7BB6" w:rsidRPr="00E24C99" w:rsidRDefault="003C7BB6" w:rsidP="00D31976">
      <w:pPr>
        <w:pStyle w:val="TableFooter"/>
        <w:rPr>
          <w:i/>
        </w:rPr>
      </w:pPr>
      <w:r w:rsidRPr="00E24C99">
        <w:rPr>
          <w:i/>
          <w:vertAlign w:val="superscript"/>
        </w:rPr>
        <w:t xml:space="preserve">12 </w:t>
      </w:r>
      <w:r w:rsidR="00D75AC5" w:rsidRPr="00E24C99">
        <w:rPr>
          <w:i/>
        </w:rPr>
        <w:t>$80 million to &lt; $90 million</w:t>
      </w:r>
    </w:p>
    <w:p w:rsidR="003C7BB6" w:rsidRPr="00E24C99" w:rsidRDefault="003C7BB6" w:rsidP="00D31976">
      <w:pPr>
        <w:pStyle w:val="TableFooter"/>
        <w:rPr>
          <w:i/>
        </w:rPr>
      </w:pPr>
      <w:r w:rsidRPr="00E24C99">
        <w:rPr>
          <w:i/>
          <w:vertAlign w:val="superscript"/>
        </w:rPr>
        <w:t>13</w:t>
      </w:r>
      <w:r w:rsidRPr="00E24C99">
        <w:rPr>
          <w:i/>
        </w:rPr>
        <w:t xml:space="preserve"> </w:t>
      </w:r>
      <w:r w:rsidR="00467BD7" w:rsidRPr="00E24C99">
        <w:rPr>
          <w:i/>
        </w:rPr>
        <w:t>$20 million to &lt; $30 million</w:t>
      </w:r>
    </w:p>
    <w:p w:rsidR="003C7BB6" w:rsidRPr="00E24C99" w:rsidRDefault="003C7BB6" w:rsidP="00D31976">
      <w:pPr>
        <w:pStyle w:val="TableFooter"/>
        <w:rPr>
          <w:i/>
        </w:rPr>
      </w:pPr>
      <w:r w:rsidRPr="00E24C99">
        <w:rPr>
          <w:i/>
          <w:vertAlign w:val="superscript"/>
        </w:rPr>
        <w:t>14</w:t>
      </w:r>
      <w:r w:rsidR="00467BD7" w:rsidRPr="00E24C99">
        <w:rPr>
          <w:i/>
          <w:vertAlign w:val="superscript"/>
        </w:rPr>
        <w:t xml:space="preserve"> </w:t>
      </w:r>
      <w:r w:rsidR="00467BD7" w:rsidRPr="00E24C99">
        <w:rPr>
          <w:i/>
        </w:rPr>
        <w:t>$40 million to &lt; $50 million</w:t>
      </w:r>
    </w:p>
    <w:p w:rsidR="00DC051A" w:rsidRPr="00E24C99" w:rsidRDefault="003C7BB6" w:rsidP="00D31976">
      <w:pPr>
        <w:pStyle w:val="TableFooter"/>
        <w:rPr>
          <w:i/>
        </w:rPr>
      </w:pPr>
      <w:r w:rsidRPr="00E24C99">
        <w:rPr>
          <w:i/>
          <w:vertAlign w:val="superscript"/>
        </w:rPr>
        <w:t>15</w:t>
      </w:r>
      <w:r w:rsidR="002F5DFA" w:rsidRPr="00E24C99">
        <w:rPr>
          <w:i/>
        </w:rPr>
        <w:t xml:space="preserve"> $10 million to &lt; $20 million</w:t>
      </w:r>
    </w:p>
    <w:p w:rsidR="00D31976" w:rsidRPr="00E44873" w:rsidRDefault="00D31976" w:rsidP="00D1387B">
      <w:pPr>
        <w:pStyle w:val="ListParagraph"/>
        <w:widowControl/>
        <w:numPr>
          <w:ilvl w:val="1"/>
          <w:numId w:val="1"/>
        </w:numPr>
        <w:spacing w:before="240" w:after="0"/>
      </w:pPr>
      <w:r w:rsidRPr="00E44873">
        <w:t xml:space="preserve">Overall, </w:t>
      </w:r>
      <w:r w:rsidR="00F47EF5" w:rsidRPr="00E44873">
        <w:t xml:space="preserve">the ESC considered the </w:t>
      </w:r>
      <w:r w:rsidRPr="00E44873">
        <w:t>submission’s estimated usage of CAB LA + RPV LA was uncertain and may be underestimated. The following points were noted regarding the submission’s financial model:</w:t>
      </w:r>
    </w:p>
    <w:p w:rsidR="00D31976" w:rsidRPr="00E44873" w:rsidRDefault="00D31976" w:rsidP="005B7C04">
      <w:pPr>
        <w:pStyle w:val="Bulletpoints"/>
        <w:spacing w:before="240"/>
        <w:ind w:left="993" w:hanging="284"/>
      </w:pPr>
      <w:r w:rsidRPr="00E44873">
        <w:t xml:space="preserve">An error was identified in the calculation of </w:t>
      </w:r>
      <w:r w:rsidR="00883B82" w:rsidRPr="00E44873">
        <w:t xml:space="preserve">the cost of </w:t>
      </w:r>
      <w:r w:rsidRPr="00E44873">
        <w:t xml:space="preserve">urinalysis </w:t>
      </w:r>
      <w:r w:rsidR="00883B82" w:rsidRPr="00E44873">
        <w:t xml:space="preserve">required </w:t>
      </w:r>
      <w:r w:rsidRPr="00E44873">
        <w:t>for Biktarvy, Genvoya and Odefsey</w:t>
      </w:r>
      <w:r w:rsidR="00195658" w:rsidRPr="00E44873">
        <w:t xml:space="preserve"> which resulted in an underestimation of decreased MBS costs</w:t>
      </w:r>
      <w:r w:rsidRPr="00E44873">
        <w:t xml:space="preserve"> and was corrected during the evaluation</w:t>
      </w:r>
      <w:r w:rsidR="00C568EB" w:rsidRPr="00E44873">
        <w:t>;</w:t>
      </w:r>
    </w:p>
    <w:p w:rsidR="00D31976" w:rsidRPr="00E44873" w:rsidRDefault="00D31976" w:rsidP="005B7C04">
      <w:pPr>
        <w:pStyle w:val="Bulletpoints"/>
        <w:spacing w:before="240"/>
        <w:ind w:left="993" w:hanging="284"/>
      </w:pPr>
      <w:r w:rsidRPr="00E44873">
        <w:t xml:space="preserve">The financial model was based on one initiation dose during </w:t>
      </w:r>
      <w:r w:rsidR="00680B10" w:rsidRPr="00E44873">
        <w:t xml:space="preserve">the </w:t>
      </w:r>
      <w:r w:rsidRPr="00E44873">
        <w:t>first year. This was inappropriate and inconsistent with the draft product information. Moreover,  if a Q8W frequency for CAB LA + RPV LA was used, then the number of doses per year when continuation should be 6.5, not 6.08</w:t>
      </w:r>
      <w:r w:rsidR="00C568EB" w:rsidRPr="00E44873">
        <w:t>;</w:t>
      </w:r>
      <w:r w:rsidRPr="00E44873">
        <w:t xml:space="preserve">  </w:t>
      </w:r>
    </w:p>
    <w:p w:rsidR="00D31976" w:rsidRPr="00E44873" w:rsidRDefault="00D31976" w:rsidP="005B7C04">
      <w:pPr>
        <w:pStyle w:val="Bulletpoints"/>
        <w:spacing w:before="240"/>
        <w:ind w:left="993" w:hanging="284"/>
      </w:pPr>
      <w:r w:rsidRPr="00E44873">
        <w:t xml:space="preserve">Costs of adverse events </w:t>
      </w:r>
      <w:r w:rsidR="00C568EB" w:rsidRPr="00E44873">
        <w:t xml:space="preserve">management </w:t>
      </w:r>
      <w:r w:rsidRPr="00E44873">
        <w:t>were not included</w:t>
      </w:r>
      <w:r w:rsidR="00C568EB" w:rsidRPr="00E44873">
        <w:t>;</w:t>
      </w:r>
    </w:p>
    <w:p w:rsidR="00D31976" w:rsidRPr="00E44873" w:rsidRDefault="006737F9" w:rsidP="005B7C04">
      <w:pPr>
        <w:pStyle w:val="Bulletpoints"/>
        <w:spacing w:before="240"/>
        <w:ind w:left="993" w:hanging="284"/>
      </w:pPr>
      <w:r w:rsidRPr="00E44873">
        <w:t>There wa</w:t>
      </w:r>
      <w:r w:rsidR="00D31976" w:rsidRPr="00E44873">
        <w:t>s uncertainty around the MBS item used for treatment administration and whether this was appropriate for the patient population. The cost of additional visits may be underestimated</w:t>
      </w:r>
      <w:r w:rsidR="00C568EB" w:rsidRPr="00E44873">
        <w:t>; and</w:t>
      </w:r>
    </w:p>
    <w:p w:rsidR="00D31976" w:rsidRPr="00E44873" w:rsidRDefault="00D31976" w:rsidP="005B7C04">
      <w:pPr>
        <w:pStyle w:val="Bulletpoints"/>
        <w:spacing w:before="240"/>
        <w:ind w:left="993" w:hanging="284"/>
      </w:pPr>
      <w:r w:rsidRPr="00E44873">
        <w:t xml:space="preserve">It may not be appropriate to assume that patients would only consider treatment with CAB LA + RPV LA once </w:t>
      </w:r>
      <w:r w:rsidR="00680B10" w:rsidRPr="00E44873">
        <w:t xml:space="preserve">in </w:t>
      </w:r>
      <w:r w:rsidRPr="00E44873">
        <w:t>a lifetime, which the submission assumed by assigning a diminishing proportion of patients who have not been offered CAB LA + RPV LA previously to the eligible patient pool.</w:t>
      </w:r>
    </w:p>
    <w:p w:rsidR="005B7C04" w:rsidRPr="00E44873" w:rsidRDefault="00E6177E" w:rsidP="00D1387B">
      <w:pPr>
        <w:pStyle w:val="ListParagraph"/>
        <w:widowControl/>
        <w:numPr>
          <w:ilvl w:val="1"/>
          <w:numId w:val="1"/>
        </w:numPr>
        <w:spacing w:before="240" w:after="0"/>
        <w:rPr>
          <w:iCs/>
        </w:rPr>
      </w:pPr>
      <w:r w:rsidRPr="00E44873">
        <w:t>A sensitivity analysi</w:t>
      </w:r>
      <w:r w:rsidR="005B7C04" w:rsidRPr="00E44873">
        <w:t xml:space="preserve">s around the financial estimates </w:t>
      </w:r>
      <w:r w:rsidRPr="00E44873">
        <w:t>assuming a Q8W</w:t>
      </w:r>
      <w:r w:rsidR="006737F9" w:rsidRPr="00E44873">
        <w:t xml:space="preserve"> dose frequency</w:t>
      </w:r>
      <w:r w:rsidRPr="00E44873">
        <w:t xml:space="preserve"> (56 day between doses, translating to 7 CAB LA + RPV LA doses per year in initiation patients and 6.52 doses per year in continuing patients) instead of two monthly (6 CAB LA + RPV LA doses per year in initiation patients and 6.08 doses per year in continuing patients) </w:t>
      </w:r>
      <w:r w:rsidR="00163562" w:rsidRPr="00E44873">
        <w:t xml:space="preserve">was </w:t>
      </w:r>
      <w:r w:rsidR="005B7C04" w:rsidRPr="00E44873">
        <w:t xml:space="preserve">conducted </w:t>
      </w:r>
      <w:r w:rsidR="00163562" w:rsidRPr="00E44873">
        <w:t xml:space="preserve">during the evaluation. This had a significant </w:t>
      </w:r>
      <w:r w:rsidR="002C38D9" w:rsidRPr="00E44873">
        <w:t>effect</w:t>
      </w:r>
      <w:r w:rsidR="00163562" w:rsidRPr="00E44873">
        <w:t xml:space="preserve"> on the financial impact, increasing the net cost to around $</w:t>
      </w:r>
      <w:r w:rsidR="00E24C99">
        <w:t>0 to $10</w:t>
      </w:r>
      <w:r w:rsidR="00E24C99" w:rsidRPr="00E44873">
        <w:t xml:space="preserve"> </w:t>
      </w:r>
      <w:r w:rsidR="00163562" w:rsidRPr="00E44873">
        <w:t>million per year</w:t>
      </w:r>
      <w:r w:rsidR="006737F9" w:rsidRPr="00E44873">
        <w:t xml:space="preserve"> (from $</w:t>
      </w:r>
      <w:r w:rsidR="00E24C99">
        <w:t>0 to $10</w:t>
      </w:r>
      <w:r w:rsidR="00E24C99" w:rsidRPr="00E44873">
        <w:t xml:space="preserve"> </w:t>
      </w:r>
      <w:r w:rsidR="006737F9" w:rsidRPr="00E44873">
        <w:t>million or less)</w:t>
      </w:r>
      <w:r w:rsidR="00163562" w:rsidRPr="00E44873">
        <w:t>, for a total of $</w:t>
      </w:r>
      <w:r w:rsidR="00E24C99">
        <w:t>20 million to &lt; $30</w:t>
      </w:r>
      <w:r w:rsidR="00E24C99" w:rsidRPr="00E44873">
        <w:t xml:space="preserve"> </w:t>
      </w:r>
      <w:r w:rsidR="00163562" w:rsidRPr="00E44873">
        <w:t xml:space="preserve">million over the first six years of listing. </w:t>
      </w:r>
    </w:p>
    <w:p w:rsidR="00371577" w:rsidRPr="009D4033" w:rsidRDefault="00F47EF5" w:rsidP="00371577">
      <w:pPr>
        <w:pStyle w:val="ListParagraph"/>
        <w:widowControl/>
        <w:numPr>
          <w:ilvl w:val="1"/>
          <w:numId w:val="1"/>
        </w:numPr>
        <w:spacing w:before="240" w:after="0"/>
        <w:rPr>
          <w:iCs/>
        </w:rPr>
      </w:pPr>
      <w:r w:rsidRPr="00E44873">
        <w:t>The PSCR also agreed it was reasonable to list CAB tablets for short-term continuing use for patients who will miss planned dosing of CAB LA + RPV LA, however did not provide any utilisation or financial estimates for use for this population.</w:t>
      </w:r>
      <w:r w:rsidR="00371577">
        <w:t xml:space="preserve"> The Pre-PBAC Response provided estimates for the utilisation of oral CAB for periods of planned missed doses based on the number of oral CAB packs provided in the ATLAS2M trial and noted only 1 pack was provided for this purpose in the study. The utilisation estimates of oral CAB for missed doses are presented in the table below.</w:t>
      </w:r>
    </w:p>
    <w:p w:rsidR="009D4033" w:rsidRPr="009D4033" w:rsidRDefault="009D4033" w:rsidP="009D4033">
      <w:pPr>
        <w:pStyle w:val="ListParagraph"/>
        <w:widowControl/>
        <w:spacing w:after="0"/>
        <w:rPr>
          <w:iCs/>
        </w:rPr>
      </w:pPr>
    </w:p>
    <w:p w:rsidR="00371577" w:rsidRPr="009D4033" w:rsidRDefault="00371577" w:rsidP="009D4033">
      <w:pPr>
        <w:pStyle w:val="Tabletext"/>
        <w:keepNext/>
        <w:keepLines/>
        <w:rPr>
          <w:rStyle w:val="CommentReference"/>
        </w:rPr>
      </w:pPr>
      <w:r w:rsidRPr="009D4033">
        <w:rPr>
          <w:rStyle w:val="CommentReference"/>
        </w:rPr>
        <w:t>Table</w:t>
      </w:r>
      <w:r w:rsidR="009D4033">
        <w:rPr>
          <w:rStyle w:val="CommentReference"/>
        </w:rPr>
        <w:t>16</w:t>
      </w:r>
      <w:r w:rsidRPr="009D4033">
        <w:rPr>
          <w:rStyle w:val="CommentReference"/>
        </w:rPr>
        <w:t>: Utilisation and financial estimates of oral cabotegravir for planned missed doses</w:t>
      </w:r>
    </w:p>
    <w:tbl>
      <w:tblPr>
        <w:tblStyle w:val="TableGrid"/>
        <w:tblW w:w="0" w:type="auto"/>
        <w:tblLook w:val="04A0" w:firstRow="1" w:lastRow="0" w:firstColumn="1" w:lastColumn="0" w:noHBand="0" w:noVBand="1"/>
        <w:tblCaption w:val="Table16: Utilisation and financial estimates of oral cabotegravir for planned missed doses"/>
      </w:tblPr>
      <w:tblGrid>
        <w:gridCol w:w="3037"/>
        <w:gridCol w:w="1005"/>
        <w:gridCol w:w="974"/>
        <w:gridCol w:w="974"/>
        <w:gridCol w:w="1004"/>
        <w:gridCol w:w="1033"/>
        <w:gridCol w:w="990"/>
      </w:tblGrid>
      <w:tr w:rsidR="00371577" w:rsidRPr="005D536A" w:rsidTr="00F6034A">
        <w:trPr>
          <w:trHeight w:val="300"/>
          <w:tblHeader/>
        </w:trPr>
        <w:tc>
          <w:tcPr>
            <w:tcW w:w="3235" w:type="dxa"/>
            <w:noWrap/>
            <w:hideMark/>
          </w:tcPr>
          <w:p w:rsidR="00371577" w:rsidRPr="005D536A" w:rsidRDefault="00371577" w:rsidP="00FE14C4">
            <w:pPr>
              <w:ind w:right="-284"/>
              <w:rPr>
                <w:rFonts w:ascii="Arial Narrow" w:eastAsiaTheme="minorHAnsi" w:hAnsi="Arial Narrow" w:cs="Calibri"/>
                <w:b/>
                <w:sz w:val="20"/>
                <w:szCs w:val="20"/>
              </w:rPr>
            </w:pPr>
            <w:bookmarkStart w:id="32" w:name="_GoBack" w:colFirst="0" w:colLast="7"/>
            <w:r w:rsidRPr="005D536A">
              <w:rPr>
                <w:rFonts w:ascii="Arial Narrow" w:eastAsiaTheme="minorHAnsi" w:hAnsi="Arial Narrow" w:cs="Calibri"/>
                <w:b/>
                <w:sz w:val="20"/>
                <w:szCs w:val="20"/>
              </w:rPr>
              <w:t>Total</w:t>
            </w:r>
          </w:p>
        </w:tc>
        <w:tc>
          <w:tcPr>
            <w:tcW w:w="1060"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sz w:val="20"/>
                <w:szCs w:val="20"/>
              </w:rPr>
              <w:t>2021</w:t>
            </w:r>
          </w:p>
        </w:tc>
        <w:tc>
          <w:tcPr>
            <w:tcW w:w="879"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sz w:val="20"/>
                <w:szCs w:val="20"/>
              </w:rPr>
              <w:t>2022</w:t>
            </w:r>
          </w:p>
        </w:tc>
        <w:tc>
          <w:tcPr>
            <w:tcW w:w="1012"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sz w:val="20"/>
                <w:szCs w:val="20"/>
              </w:rPr>
              <w:t>2023</w:t>
            </w:r>
          </w:p>
        </w:tc>
        <w:tc>
          <w:tcPr>
            <w:tcW w:w="879"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sz w:val="20"/>
                <w:szCs w:val="20"/>
              </w:rPr>
              <w:t>2024</w:t>
            </w:r>
          </w:p>
        </w:tc>
        <w:tc>
          <w:tcPr>
            <w:tcW w:w="908"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bCs/>
                <w:sz w:val="20"/>
                <w:szCs w:val="20"/>
              </w:rPr>
              <w:t>2025</w:t>
            </w:r>
          </w:p>
        </w:tc>
        <w:tc>
          <w:tcPr>
            <w:tcW w:w="1044" w:type="dxa"/>
            <w:noWrap/>
          </w:tcPr>
          <w:p w:rsidR="00371577" w:rsidRPr="005D536A" w:rsidRDefault="00371577" w:rsidP="00FE14C4">
            <w:pPr>
              <w:ind w:right="-284"/>
              <w:rPr>
                <w:rFonts w:ascii="Arial Narrow" w:eastAsiaTheme="minorHAnsi" w:hAnsi="Arial Narrow" w:cs="Calibri"/>
                <w:b/>
                <w:sz w:val="20"/>
                <w:szCs w:val="20"/>
              </w:rPr>
            </w:pPr>
            <w:r w:rsidRPr="005D536A">
              <w:rPr>
                <w:rFonts w:ascii="Arial Narrow" w:eastAsiaTheme="minorHAnsi" w:hAnsi="Arial Narrow" w:cs="Calibri"/>
                <w:b/>
                <w:bCs/>
                <w:sz w:val="20"/>
                <w:szCs w:val="20"/>
              </w:rPr>
              <w:t>2026</w:t>
            </w:r>
          </w:p>
        </w:tc>
      </w:tr>
      <w:tr w:rsidR="00371577" w:rsidRPr="005D536A" w:rsidTr="00371577">
        <w:trPr>
          <w:trHeight w:val="300"/>
        </w:trPr>
        <w:tc>
          <w:tcPr>
            <w:tcW w:w="3235" w:type="dxa"/>
            <w:noWrap/>
            <w:hideMark/>
          </w:tcPr>
          <w:p w:rsidR="00371577" w:rsidRPr="005D536A" w:rsidRDefault="00371577" w:rsidP="00FE14C4">
            <w:pPr>
              <w:ind w:right="-284"/>
              <w:rPr>
                <w:rFonts w:ascii="Arial Narrow" w:eastAsiaTheme="minorHAnsi" w:hAnsi="Arial Narrow" w:cs="Calibri"/>
                <w:sz w:val="20"/>
                <w:szCs w:val="20"/>
              </w:rPr>
            </w:pPr>
            <w:r>
              <w:rPr>
                <w:rFonts w:ascii="Arial Narrow" w:eastAsiaTheme="minorHAnsi" w:hAnsi="Arial Narrow" w:cs="Calibri"/>
                <w:sz w:val="20"/>
                <w:szCs w:val="20"/>
              </w:rPr>
              <w:t>CAB 30 mg oral tablet packs dispensed</w:t>
            </w:r>
          </w:p>
        </w:tc>
        <w:tc>
          <w:tcPr>
            <w:tcW w:w="1060" w:type="dxa"/>
            <w:noWrap/>
            <w:hideMark/>
          </w:tcPr>
          <w:p w:rsidR="00371577" w:rsidRPr="000D517E" w:rsidRDefault="000D517E" w:rsidP="00FE14C4">
            <w:pPr>
              <w:ind w:right="-284"/>
              <w:rPr>
                <w:rFonts w:ascii="Arial Narrow" w:eastAsiaTheme="minorHAnsi" w:hAnsi="Arial Narrow" w:cs="Calibri"/>
                <w:sz w:val="20"/>
                <w:szCs w:val="20"/>
                <w:vertAlign w:val="superscript"/>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c>
          <w:tcPr>
            <w:tcW w:w="879" w:type="dxa"/>
            <w:noWrap/>
            <w:hideMark/>
          </w:tcPr>
          <w:p w:rsidR="00371577" w:rsidRPr="000D517E" w:rsidRDefault="000D517E" w:rsidP="00FE14C4">
            <w:pPr>
              <w:ind w:right="-284"/>
              <w:rPr>
                <w:rFonts w:ascii="Arial Narrow" w:eastAsiaTheme="minorHAnsi" w:hAnsi="Arial Narrow" w:cs="Calibri"/>
                <w:sz w:val="20"/>
                <w:szCs w:val="20"/>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c>
          <w:tcPr>
            <w:tcW w:w="1012" w:type="dxa"/>
            <w:noWrap/>
            <w:hideMark/>
          </w:tcPr>
          <w:p w:rsidR="00371577" w:rsidRPr="000D517E" w:rsidRDefault="000D517E" w:rsidP="00FE14C4">
            <w:pPr>
              <w:ind w:right="-284"/>
              <w:rPr>
                <w:rFonts w:ascii="Arial Narrow" w:eastAsiaTheme="minorHAnsi" w:hAnsi="Arial Narrow" w:cs="Calibri"/>
                <w:sz w:val="20"/>
                <w:szCs w:val="20"/>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c>
          <w:tcPr>
            <w:tcW w:w="879" w:type="dxa"/>
            <w:noWrap/>
            <w:hideMark/>
          </w:tcPr>
          <w:p w:rsidR="00371577" w:rsidRPr="000D517E" w:rsidRDefault="000D517E" w:rsidP="00FE14C4">
            <w:pPr>
              <w:ind w:right="-284"/>
              <w:rPr>
                <w:rFonts w:ascii="Arial Narrow" w:eastAsiaTheme="minorHAnsi" w:hAnsi="Arial Narrow" w:cs="Calibri"/>
                <w:sz w:val="20"/>
                <w:szCs w:val="20"/>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c>
          <w:tcPr>
            <w:tcW w:w="908" w:type="dxa"/>
            <w:noWrap/>
            <w:hideMark/>
          </w:tcPr>
          <w:p w:rsidR="00371577" w:rsidRPr="000D517E" w:rsidRDefault="000D517E" w:rsidP="00FE14C4">
            <w:pPr>
              <w:ind w:right="-284"/>
              <w:rPr>
                <w:rFonts w:ascii="Arial Narrow" w:eastAsiaTheme="minorHAnsi" w:hAnsi="Arial Narrow" w:cs="Calibri"/>
                <w:sz w:val="20"/>
                <w:szCs w:val="20"/>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c>
          <w:tcPr>
            <w:tcW w:w="1044" w:type="dxa"/>
            <w:noWrap/>
            <w:hideMark/>
          </w:tcPr>
          <w:p w:rsidR="00371577" w:rsidRPr="000D517E" w:rsidRDefault="000D517E" w:rsidP="00FE14C4">
            <w:pPr>
              <w:ind w:right="-284"/>
              <w:rPr>
                <w:rFonts w:ascii="Arial Narrow" w:eastAsiaTheme="minorHAnsi" w:hAnsi="Arial Narrow" w:cs="Calibri"/>
                <w:sz w:val="20"/>
                <w:szCs w:val="20"/>
              </w:rPr>
            </w:pPr>
            <w:r>
              <w:rPr>
                <w:rFonts w:ascii="Arial Narrow" w:eastAsiaTheme="minorHAnsi" w:hAnsi="Arial Narrow" w:cs="Calibri"/>
                <w:noProof/>
                <w:color w:val="000000"/>
                <w:sz w:val="20"/>
                <w:szCs w:val="20"/>
                <w:highlight w:val="black"/>
              </w:rPr>
              <w:t>'''</w:t>
            </w:r>
            <w:r w:rsidR="00E24C99" w:rsidRPr="00E24C99">
              <w:rPr>
                <w:rFonts w:ascii="Arial Narrow" w:eastAsiaTheme="minorHAnsi" w:hAnsi="Arial Narrow" w:cs="Calibri"/>
                <w:sz w:val="20"/>
                <w:szCs w:val="20"/>
                <w:vertAlign w:val="superscript"/>
              </w:rPr>
              <w:t>1</w:t>
            </w:r>
          </w:p>
        </w:tc>
      </w:tr>
      <w:tr w:rsidR="00371577" w:rsidRPr="005D536A" w:rsidTr="00371577">
        <w:trPr>
          <w:trHeight w:val="300"/>
        </w:trPr>
        <w:tc>
          <w:tcPr>
            <w:tcW w:w="3235"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Cost</w:t>
            </w:r>
          </w:p>
        </w:tc>
        <w:tc>
          <w:tcPr>
            <w:tcW w:w="1060"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c>
          <w:tcPr>
            <w:tcW w:w="879"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c>
          <w:tcPr>
            <w:tcW w:w="1012"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c>
          <w:tcPr>
            <w:tcW w:w="879"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c>
          <w:tcPr>
            <w:tcW w:w="908"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c>
          <w:tcPr>
            <w:tcW w:w="1044" w:type="dxa"/>
            <w:noWrap/>
            <w:hideMark/>
          </w:tcPr>
          <w:p w:rsidR="00371577" w:rsidRPr="005D536A" w:rsidRDefault="00371577" w:rsidP="00FE14C4">
            <w:pPr>
              <w:ind w:right="-284"/>
              <w:rPr>
                <w:rFonts w:ascii="Arial Narrow" w:eastAsiaTheme="minorHAnsi" w:hAnsi="Arial Narrow" w:cs="Calibri"/>
                <w:sz w:val="20"/>
                <w:szCs w:val="20"/>
              </w:rPr>
            </w:pPr>
            <w:r w:rsidRPr="005D536A">
              <w:rPr>
                <w:rFonts w:ascii="Arial Narrow" w:eastAsiaTheme="minorHAnsi" w:hAnsi="Arial Narrow" w:cs="Calibri"/>
                <w:sz w:val="20"/>
                <w:szCs w:val="20"/>
              </w:rPr>
              <w:t>$</w:t>
            </w:r>
            <w:r w:rsidR="000D517E">
              <w:rPr>
                <w:rFonts w:ascii="Arial Narrow" w:eastAsiaTheme="minorHAnsi" w:hAnsi="Arial Narrow" w:cs="Calibri"/>
                <w:noProof/>
                <w:color w:val="000000"/>
                <w:sz w:val="20"/>
                <w:szCs w:val="20"/>
                <w:highlight w:val="black"/>
              </w:rPr>
              <w:t>''''''''''''''''''''</w:t>
            </w:r>
            <w:r w:rsidR="00E24C99">
              <w:rPr>
                <w:rFonts w:ascii="Arial Narrow" w:eastAsiaTheme="minorHAnsi" w:hAnsi="Arial Narrow" w:cs="Calibri"/>
                <w:sz w:val="20"/>
                <w:szCs w:val="20"/>
                <w:vertAlign w:val="superscript"/>
              </w:rPr>
              <w:t>2</w:t>
            </w:r>
          </w:p>
        </w:tc>
      </w:tr>
    </w:tbl>
    <w:bookmarkEnd w:id="32"/>
    <w:p w:rsidR="00371577" w:rsidRPr="00371577" w:rsidRDefault="00371577" w:rsidP="009D4033">
      <w:pPr>
        <w:widowControl/>
        <w:rPr>
          <w:rFonts w:ascii="Arial Narrow" w:hAnsi="Arial Narrow"/>
          <w:iCs/>
          <w:sz w:val="20"/>
          <w:szCs w:val="20"/>
        </w:rPr>
      </w:pPr>
      <w:r>
        <w:rPr>
          <w:rFonts w:ascii="Arial Narrow" w:hAnsi="Arial Narrow"/>
          <w:iCs/>
          <w:sz w:val="20"/>
          <w:szCs w:val="20"/>
        </w:rPr>
        <w:t>Source: Table 2, Pre-PBAC Response.</w:t>
      </w:r>
    </w:p>
    <w:p w:rsidR="00E24C99" w:rsidRPr="009868C4" w:rsidRDefault="00E24C99" w:rsidP="00E24C99">
      <w:pPr>
        <w:pStyle w:val="TableFigureFooter"/>
        <w:spacing w:after="0"/>
        <w:contextualSpacing w:val="0"/>
      </w:pPr>
      <w:r w:rsidRPr="009868C4">
        <w:rPr>
          <w:i/>
        </w:rPr>
        <w:t>The redacted values correspond to the following ranges</w:t>
      </w:r>
      <w:r>
        <w:rPr>
          <w:i/>
        </w:rPr>
        <w:t xml:space="preserve">: </w:t>
      </w:r>
    </w:p>
    <w:p w:rsidR="00E24C99" w:rsidRPr="00E24C99" w:rsidRDefault="00E24C99" w:rsidP="00E24C99">
      <w:pPr>
        <w:pStyle w:val="TableFooter"/>
        <w:rPr>
          <w:i/>
        </w:rPr>
      </w:pPr>
      <w:r w:rsidRPr="00E24C99">
        <w:rPr>
          <w:i/>
          <w:vertAlign w:val="superscript"/>
        </w:rPr>
        <w:t>1</w:t>
      </w:r>
      <w:r w:rsidRPr="00E24C99">
        <w:rPr>
          <w:i/>
        </w:rPr>
        <w:t xml:space="preserve"> &lt; </w:t>
      </w:r>
      <w:r>
        <w:rPr>
          <w:i/>
        </w:rPr>
        <w:t>5</w:t>
      </w:r>
      <w:r w:rsidRPr="00E24C99">
        <w:rPr>
          <w:i/>
        </w:rPr>
        <w:t>00</w:t>
      </w:r>
    </w:p>
    <w:p w:rsidR="00E24C99" w:rsidRPr="00E24C99" w:rsidRDefault="00E24C99" w:rsidP="00E24C99">
      <w:pPr>
        <w:pStyle w:val="TableFooter"/>
        <w:rPr>
          <w:i/>
        </w:rPr>
      </w:pPr>
      <w:r w:rsidRPr="00E24C99">
        <w:rPr>
          <w:i/>
          <w:vertAlign w:val="superscript"/>
        </w:rPr>
        <w:t xml:space="preserve">2 </w:t>
      </w:r>
      <w:r>
        <w:rPr>
          <w:i/>
        </w:rPr>
        <w:t>$0 to &lt; $10 million</w:t>
      </w:r>
    </w:p>
    <w:p w:rsidR="00D31976" w:rsidRPr="00E44873" w:rsidRDefault="00D31976" w:rsidP="00D31976">
      <w:pPr>
        <w:pStyle w:val="Bulletpoints"/>
        <w:numPr>
          <w:ilvl w:val="0"/>
          <w:numId w:val="0"/>
        </w:numPr>
      </w:pPr>
    </w:p>
    <w:p w:rsidR="00D31976" w:rsidRPr="001C7B02" w:rsidRDefault="00D31976" w:rsidP="00D31976">
      <w:pPr>
        <w:pStyle w:val="Heading2"/>
      </w:pPr>
      <w:bookmarkStart w:id="33" w:name="_Toc62034936"/>
      <w:r w:rsidRPr="001C7B02">
        <w:t>Quality Use of Medicines</w:t>
      </w:r>
      <w:bookmarkEnd w:id="33"/>
    </w:p>
    <w:p w:rsidR="00D31976" w:rsidRPr="00E44873" w:rsidRDefault="00D31976" w:rsidP="00D31976">
      <w:pPr>
        <w:widowControl/>
      </w:pPr>
    </w:p>
    <w:p w:rsidR="00D31976" w:rsidRPr="00E44873" w:rsidRDefault="00D31976" w:rsidP="00D1387B">
      <w:pPr>
        <w:pStyle w:val="ListParagraph"/>
        <w:widowControl/>
        <w:numPr>
          <w:ilvl w:val="1"/>
          <w:numId w:val="1"/>
        </w:numPr>
      </w:pPr>
      <w:r w:rsidRPr="00E44873">
        <w:t xml:space="preserve">The sponsor has advised they are investigating a range of initiatives to improve service delivery and, as a result, optimise delivery of CAB LA + RPV LA, focused on the following: </w:t>
      </w:r>
    </w:p>
    <w:p w:rsidR="00D31976" w:rsidRPr="00E44873" w:rsidRDefault="00D31976" w:rsidP="00163562">
      <w:pPr>
        <w:pStyle w:val="Bulletpoints"/>
        <w:spacing w:after="240"/>
        <w:ind w:left="993" w:hanging="284"/>
      </w:pPr>
      <w:r w:rsidRPr="00E44873">
        <w:t xml:space="preserve">Supply chain and delivery: Partnering with a third-party provider that in-licenses and distributes prescription medicines for direct to clinic cold-chain delivery and removing patient responsibility for maintaining cold-chain. </w:t>
      </w:r>
    </w:p>
    <w:p w:rsidR="00D31976" w:rsidRPr="00E44873" w:rsidRDefault="00D31976" w:rsidP="00163562">
      <w:pPr>
        <w:pStyle w:val="Bulletpoints"/>
        <w:spacing w:after="240"/>
        <w:ind w:left="993" w:hanging="284"/>
      </w:pPr>
      <w:r w:rsidRPr="00E44873">
        <w:t>Healthcare professionals support: The sponsor is employing a National Implementation Specialist to support the introduction of Cabenuva into Australia. This will include training all appropriate staff on gluteus medius injections, planning and organising support infrastructure such as direct-to-clinic cold-chain logistics, liaising with other healthcare professionals closer to patient’s home to support direct-to-clinic delivery, if required, and delivering optimal patient support programs and appointment reminder systems.</w:t>
      </w:r>
    </w:p>
    <w:p w:rsidR="00D31976" w:rsidRPr="00E44873" w:rsidRDefault="00D31976" w:rsidP="006737F9">
      <w:pPr>
        <w:pStyle w:val="Bulletpoints"/>
        <w:spacing w:after="240"/>
        <w:ind w:left="993" w:hanging="284"/>
      </w:pPr>
      <w:r w:rsidRPr="00E44873">
        <w:t>Patient support: Welcome handbook for patients who have been prescribed Cabenuva and website support for adherence</w:t>
      </w:r>
      <w:r w:rsidR="002C38D9" w:rsidRPr="00E44873">
        <w:t>.</w:t>
      </w:r>
    </w:p>
    <w:p w:rsidR="00D31976" w:rsidRPr="00E44873" w:rsidRDefault="00D31976" w:rsidP="006737F9">
      <w:pPr>
        <w:pStyle w:val="Bulletpoints"/>
        <w:spacing w:after="240"/>
        <w:ind w:left="993" w:hanging="284"/>
      </w:pPr>
      <w:r w:rsidRPr="00E44873">
        <w:t>Partnering with healthcare professionals: Ongoing work is being conducted by the sponsor involving detailed clinic service delivery interviews with established HIV service providers to determine optimum implementation of Cabenuva across different settings and to work with healthcare professionals to develop the most appropriate service model. Interim results have identified that clinics have differing requirements and the implementation plan must be adapted to cater for these requirements.</w:t>
      </w:r>
    </w:p>
    <w:p w:rsidR="00D31976" w:rsidRPr="00E44873" w:rsidRDefault="00D31976" w:rsidP="00D31976"/>
    <w:p w:rsidR="00D31976" w:rsidRPr="001C7B02" w:rsidRDefault="00D31976" w:rsidP="00D31976">
      <w:pPr>
        <w:pStyle w:val="Heading2"/>
      </w:pPr>
      <w:bookmarkStart w:id="34" w:name="_Toc62034937"/>
      <w:r w:rsidRPr="001C7B02">
        <w:t>Financial Management – Risk Sharing Arrangements</w:t>
      </w:r>
      <w:bookmarkEnd w:id="34"/>
    </w:p>
    <w:p w:rsidR="00D31976" w:rsidRPr="00E44873" w:rsidRDefault="00D31976" w:rsidP="00D31976">
      <w:pPr>
        <w:widowControl/>
      </w:pPr>
    </w:p>
    <w:p w:rsidR="00E20EC2" w:rsidRDefault="00163562" w:rsidP="006A4FD5">
      <w:pPr>
        <w:pStyle w:val="ListParagraph"/>
        <w:widowControl/>
        <w:numPr>
          <w:ilvl w:val="1"/>
          <w:numId w:val="1"/>
        </w:numPr>
      </w:pPr>
      <w:r w:rsidRPr="00E44873">
        <w:t>No special pricing arrangement was requested for CAB tablets. However, the sponsor requested a special pricing arrangement for CAB LA + RPV LA injections with an effective price of $</w:t>
      </w:r>
      <w:r w:rsidR="000D517E">
        <w:rPr>
          <w:noProof/>
          <w:color w:val="000000"/>
          <w:highlight w:val="black"/>
        </w:rPr>
        <w:t>'''''''''''''''''</w:t>
      </w:r>
      <w:r w:rsidRPr="00E44873">
        <w:t xml:space="preserve"> per two monthly injection compared to a published price of $2,827.74. </w:t>
      </w:r>
    </w:p>
    <w:p w:rsidR="006A4FD5" w:rsidRPr="00754061" w:rsidRDefault="006A4FD5" w:rsidP="00754061">
      <w:pPr>
        <w:pStyle w:val="ListParagraph"/>
        <w:ind w:left="709"/>
        <w:rPr>
          <w:rFonts w:asciiTheme="minorHAnsi" w:hAnsiTheme="minorHAnsi"/>
          <w:i/>
        </w:rPr>
      </w:pPr>
      <w:r w:rsidRPr="00525B39">
        <w:rPr>
          <w:rFonts w:asciiTheme="minorHAnsi" w:hAnsiTheme="minorHAnsi"/>
          <w:i/>
        </w:rPr>
        <w:t>For more detail on PBAC’s view, see section 7 PBAC outcome.</w:t>
      </w:r>
    </w:p>
    <w:p w:rsidR="001C7B02" w:rsidRPr="00D52702" w:rsidRDefault="001C7B02" w:rsidP="00623B67">
      <w:pPr>
        <w:keepNext/>
        <w:numPr>
          <w:ilvl w:val="0"/>
          <w:numId w:val="1"/>
        </w:numPr>
        <w:spacing w:before="240" w:after="120"/>
        <w:outlineLvl w:val="0"/>
        <w:rPr>
          <w:rFonts w:asciiTheme="minorHAnsi" w:hAnsiTheme="minorHAnsi"/>
          <w:b/>
          <w:bCs/>
          <w:sz w:val="32"/>
        </w:rPr>
      </w:pPr>
      <w:r w:rsidRPr="00D52702">
        <w:rPr>
          <w:rFonts w:asciiTheme="minorHAnsi" w:hAnsiTheme="minorHAnsi"/>
          <w:b/>
          <w:bCs/>
          <w:sz w:val="32"/>
        </w:rPr>
        <w:t>PBAC Outcome</w:t>
      </w:r>
    </w:p>
    <w:p w:rsidR="007B745F" w:rsidRDefault="00623B67" w:rsidP="007B745F">
      <w:pPr>
        <w:numPr>
          <w:ilvl w:val="1"/>
          <w:numId w:val="1"/>
        </w:numPr>
        <w:spacing w:after="120"/>
        <w:rPr>
          <w:rFonts w:asciiTheme="minorHAnsi" w:hAnsiTheme="minorHAnsi"/>
          <w:bCs/>
          <w:lang w:val="en-GB"/>
        </w:rPr>
      </w:pPr>
      <w:r>
        <w:rPr>
          <w:rFonts w:asciiTheme="minorHAnsi" w:hAnsiTheme="minorHAnsi"/>
          <w:bCs/>
          <w:lang w:val="en-GB"/>
        </w:rPr>
        <w:t>The PBAC did not recommend the listing of cabotegravir (CAB) tablets or cabotegravir and rilpivirine long acting injections (CAB LA + RPV LA). In deciding not to recommend the listing, the PBAC considered the presented evidence did not support a conclusion that CAB and CAB LA + RPV LA offered advantages in terms of quality of life, reduced anxiety or worry associated with daily oral therapy</w:t>
      </w:r>
      <w:r w:rsidR="007B745F">
        <w:rPr>
          <w:rFonts w:asciiTheme="minorHAnsi" w:hAnsiTheme="minorHAnsi"/>
          <w:bCs/>
          <w:lang w:val="en-GB"/>
        </w:rPr>
        <w:t xml:space="preserve"> or fear of unintentional disclosure of HIV status. Furthermore, the PBAC considered the economic analysis, which relied on a cost benefit analysis (CBA) rather than a formal cost utility analysis (CUA) was uninformative for decision-making as it did not capture or allow exploration of the factors </w:t>
      </w:r>
      <w:r w:rsidR="00596895">
        <w:rPr>
          <w:rFonts w:asciiTheme="minorHAnsi" w:hAnsiTheme="minorHAnsi"/>
          <w:bCs/>
          <w:lang w:val="en-GB"/>
        </w:rPr>
        <w:t>for which advantages over daily oral anti-retroviral therapy (ART) were claimed.</w:t>
      </w:r>
      <w:r w:rsidR="001A58EE">
        <w:rPr>
          <w:rFonts w:asciiTheme="minorHAnsi" w:hAnsiTheme="minorHAnsi"/>
          <w:bCs/>
          <w:lang w:val="en-GB"/>
        </w:rPr>
        <w:t xml:space="preserve"> </w:t>
      </w:r>
    </w:p>
    <w:p w:rsidR="0044104A" w:rsidRPr="00E86F9E" w:rsidRDefault="00FC57BC" w:rsidP="00E86F9E">
      <w:pPr>
        <w:numPr>
          <w:ilvl w:val="1"/>
          <w:numId w:val="1"/>
        </w:numPr>
        <w:spacing w:after="120"/>
        <w:rPr>
          <w:rFonts w:asciiTheme="minorHAnsi" w:hAnsiTheme="minorHAnsi"/>
          <w:bCs/>
          <w:lang w:val="en-GB"/>
        </w:rPr>
      </w:pPr>
      <w:r>
        <w:rPr>
          <w:rFonts w:asciiTheme="minorHAnsi" w:hAnsiTheme="minorHAnsi"/>
          <w:bCs/>
          <w:lang w:val="en-GB"/>
        </w:rPr>
        <w:t xml:space="preserve">The PBAC welcomed the input from the National Association of People Living with HIV (NAPWHA) and the views expressed in the Sponsor Hearing, which highlighted that anxiety, worry and fear of unintentional disclosure are concerns for many people with HIV. </w:t>
      </w:r>
      <w:r w:rsidR="00E86F9E">
        <w:rPr>
          <w:rFonts w:asciiTheme="minorHAnsi" w:hAnsiTheme="minorHAnsi"/>
          <w:bCs/>
          <w:lang w:val="en-GB"/>
        </w:rPr>
        <w:t>The Committee</w:t>
      </w:r>
      <w:r>
        <w:rPr>
          <w:rFonts w:asciiTheme="minorHAnsi" w:hAnsiTheme="minorHAnsi"/>
          <w:bCs/>
          <w:lang w:val="en-GB"/>
        </w:rPr>
        <w:t xml:space="preserve"> acknowledged that some people living with HIV may feel anxiety and worry with regards to the daily reminder of daily oral therapy and the risk of unwanted disclosure of HIV status,</w:t>
      </w:r>
      <w:r w:rsidR="00E86F9E">
        <w:rPr>
          <w:rFonts w:asciiTheme="minorHAnsi" w:hAnsiTheme="minorHAnsi"/>
          <w:bCs/>
          <w:lang w:val="en-GB"/>
        </w:rPr>
        <w:t xml:space="preserve"> and these issues impact their lives. However, the PBAC</w:t>
      </w:r>
      <w:r w:rsidR="00D22EC2">
        <w:rPr>
          <w:rFonts w:asciiTheme="minorHAnsi" w:hAnsiTheme="minorHAnsi"/>
          <w:bCs/>
          <w:lang w:val="en-GB"/>
        </w:rPr>
        <w:t xml:space="preserve"> </w:t>
      </w:r>
      <w:r w:rsidR="007F3D15">
        <w:rPr>
          <w:rFonts w:asciiTheme="minorHAnsi" w:hAnsiTheme="minorHAnsi"/>
          <w:bCs/>
          <w:lang w:val="en-GB"/>
        </w:rPr>
        <w:t xml:space="preserve">considered it was unclear </w:t>
      </w:r>
      <w:r w:rsidR="00CC74C5">
        <w:rPr>
          <w:rFonts w:asciiTheme="minorHAnsi" w:hAnsiTheme="minorHAnsi"/>
          <w:bCs/>
          <w:lang w:val="en-GB"/>
        </w:rPr>
        <w:t>if</w:t>
      </w:r>
      <w:r w:rsidR="00D22EC2">
        <w:rPr>
          <w:rFonts w:asciiTheme="minorHAnsi" w:hAnsiTheme="minorHAnsi"/>
          <w:bCs/>
          <w:lang w:val="en-GB"/>
        </w:rPr>
        <w:t xml:space="preserve"> the availability of a long acting injectable alternative to oral ART would </w:t>
      </w:r>
      <w:r w:rsidR="00E86F9E">
        <w:rPr>
          <w:rFonts w:asciiTheme="minorHAnsi" w:hAnsiTheme="minorHAnsi"/>
          <w:bCs/>
          <w:lang w:val="en-GB"/>
        </w:rPr>
        <w:t xml:space="preserve">provide tangible improvements in patients’ quality of life and </w:t>
      </w:r>
      <w:r w:rsidR="00D22EC2" w:rsidRPr="00E86F9E">
        <w:rPr>
          <w:rFonts w:asciiTheme="minorHAnsi" w:hAnsiTheme="minorHAnsi"/>
          <w:bCs/>
          <w:lang w:val="en-GB"/>
        </w:rPr>
        <w:t xml:space="preserve">further </w:t>
      </w:r>
      <w:r w:rsidRPr="00E86F9E">
        <w:rPr>
          <w:rFonts w:asciiTheme="minorHAnsi" w:hAnsiTheme="minorHAnsi"/>
          <w:bCs/>
          <w:lang w:val="en-GB"/>
        </w:rPr>
        <w:t>considered the clinical data and economic analyses presented did not allow an exploration of these issues</w:t>
      </w:r>
      <w:r w:rsidR="00544FFA">
        <w:rPr>
          <w:rFonts w:asciiTheme="minorHAnsi" w:hAnsiTheme="minorHAnsi"/>
          <w:bCs/>
          <w:lang w:val="en-GB"/>
        </w:rPr>
        <w:t>. T</w:t>
      </w:r>
      <w:r w:rsidRPr="00E86F9E">
        <w:rPr>
          <w:rFonts w:asciiTheme="minorHAnsi" w:hAnsiTheme="minorHAnsi"/>
          <w:bCs/>
          <w:lang w:val="en-GB"/>
        </w:rPr>
        <w:t>herefore</w:t>
      </w:r>
      <w:r w:rsidR="00544FFA">
        <w:rPr>
          <w:rFonts w:asciiTheme="minorHAnsi" w:hAnsiTheme="minorHAnsi"/>
          <w:bCs/>
          <w:lang w:val="en-GB"/>
        </w:rPr>
        <w:t xml:space="preserve"> the PBAC considered it</w:t>
      </w:r>
      <w:r w:rsidRPr="00E86F9E">
        <w:rPr>
          <w:rFonts w:asciiTheme="minorHAnsi" w:hAnsiTheme="minorHAnsi"/>
          <w:bCs/>
          <w:lang w:val="en-GB"/>
        </w:rPr>
        <w:t xml:space="preserve"> </w:t>
      </w:r>
      <w:r w:rsidR="00CC74C5">
        <w:rPr>
          <w:rFonts w:asciiTheme="minorHAnsi" w:hAnsiTheme="minorHAnsi"/>
          <w:bCs/>
          <w:lang w:val="en-GB"/>
        </w:rPr>
        <w:t xml:space="preserve">was </w:t>
      </w:r>
      <w:r w:rsidRPr="00E86F9E">
        <w:rPr>
          <w:rFonts w:asciiTheme="minorHAnsi" w:hAnsiTheme="minorHAnsi"/>
          <w:bCs/>
          <w:lang w:val="en-GB"/>
        </w:rPr>
        <w:t xml:space="preserve">not possible to </w:t>
      </w:r>
      <w:r w:rsidR="00E86F9E">
        <w:rPr>
          <w:rFonts w:asciiTheme="minorHAnsi" w:hAnsiTheme="minorHAnsi"/>
          <w:bCs/>
          <w:lang w:val="en-GB"/>
        </w:rPr>
        <w:t xml:space="preserve">assess </w:t>
      </w:r>
      <w:r w:rsidR="00544FFA">
        <w:rPr>
          <w:rFonts w:asciiTheme="minorHAnsi" w:hAnsiTheme="minorHAnsi"/>
          <w:bCs/>
          <w:lang w:val="en-GB"/>
        </w:rPr>
        <w:t xml:space="preserve">the magnitude of </w:t>
      </w:r>
      <w:r w:rsidR="00E86F9E">
        <w:rPr>
          <w:rFonts w:asciiTheme="minorHAnsi" w:hAnsiTheme="minorHAnsi"/>
          <w:bCs/>
          <w:lang w:val="en-GB"/>
        </w:rPr>
        <w:t>any</w:t>
      </w:r>
      <w:r w:rsidRPr="00E86F9E">
        <w:rPr>
          <w:rFonts w:asciiTheme="minorHAnsi" w:hAnsiTheme="minorHAnsi"/>
          <w:bCs/>
          <w:lang w:val="en-GB"/>
        </w:rPr>
        <w:t xml:space="preserve"> potential health benefits and how value could be attributed to them (in economic terms).</w:t>
      </w:r>
    </w:p>
    <w:p w:rsidR="001C7B02" w:rsidRDefault="00FC4E81" w:rsidP="001C7B02">
      <w:pPr>
        <w:numPr>
          <w:ilvl w:val="1"/>
          <w:numId w:val="1"/>
        </w:numPr>
        <w:spacing w:after="120"/>
        <w:rPr>
          <w:rFonts w:asciiTheme="minorHAnsi" w:hAnsiTheme="minorHAnsi"/>
          <w:bCs/>
          <w:lang w:val="en-GB"/>
        </w:rPr>
      </w:pPr>
      <w:r>
        <w:rPr>
          <w:rFonts w:asciiTheme="minorHAnsi" w:hAnsiTheme="minorHAnsi"/>
          <w:bCs/>
          <w:lang w:val="en-GB"/>
        </w:rPr>
        <w:t>The PBAC noted the submission argued there was an unmet need for an alternative to daily oral ART therapy</w:t>
      </w:r>
      <w:r w:rsidR="007F3D15">
        <w:rPr>
          <w:rFonts w:asciiTheme="minorHAnsi" w:hAnsiTheme="minorHAnsi"/>
          <w:bCs/>
          <w:lang w:val="en-GB"/>
        </w:rPr>
        <w:t>, however</w:t>
      </w:r>
      <w:r>
        <w:rPr>
          <w:rFonts w:asciiTheme="minorHAnsi" w:hAnsiTheme="minorHAnsi"/>
          <w:bCs/>
          <w:lang w:val="en-GB"/>
        </w:rPr>
        <w:t xml:space="preserve"> considered this claim</w:t>
      </w:r>
      <w:r w:rsidR="00065427">
        <w:rPr>
          <w:rFonts w:asciiTheme="minorHAnsi" w:hAnsiTheme="minorHAnsi"/>
          <w:bCs/>
          <w:lang w:val="en-GB"/>
        </w:rPr>
        <w:t xml:space="preserve"> was not adequately supported. The PBAC noted that Australian epidemiological data indicated diagnosis and treatment rates in Australia were high </w:t>
      </w:r>
      <w:r w:rsidR="0043504F">
        <w:rPr>
          <w:rFonts w:asciiTheme="minorHAnsi" w:hAnsiTheme="minorHAnsi"/>
          <w:bCs/>
          <w:lang w:val="en-GB"/>
        </w:rPr>
        <w:t>and</w:t>
      </w:r>
      <w:r w:rsidR="00D30727">
        <w:rPr>
          <w:rFonts w:asciiTheme="minorHAnsi" w:hAnsiTheme="minorHAnsi"/>
          <w:bCs/>
          <w:lang w:val="en-GB"/>
        </w:rPr>
        <w:t xml:space="preserve"> did not indicate an unmet need in the overall HIV population. However, the PBAC noted the additional input from the National Aboriginal Community Controlled Health Organisation (NACCHO) which highlighted</w:t>
      </w:r>
      <w:r w:rsidR="00EB18AB">
        <w:rPr>
          <w:rFonts w:asciiTheme="minorHAnsi" w:hAnsiTheme="minorHAnsi"/>
          <w:bCs/>
          <w:lang w:val="en-GB"/>
        </w:rPr>
        <w:t xml:space="preserve"> that under-diagnosis of HIV and adherence to daily oral therapy remains a concern in</w:t>
      </w:r>
      <w:r w:rsidR="00D30727">
        <w:rPr>
          <w:rFonts w:asciiTheme="minorHAnsi" w:hAnsiTheme="minorHAnsi"/>
          <w:bCs/>
          <w:lang w:val="en-GB"/>
        </w:rPr>
        <w:t xml:space="preserve"> some Aboriginal and Torres Strait Islander communities</w:t>
      </w:r>
      <w:r w:rsidR="00EB18AB">
        <w:rPr>
          <w:rFonts w:asciiTheme="minorHAnsi" w:hAnsiTheme="minorHAnsi"/>
          <w:bCs/>
          <w:lang w:val="en-GB"/>
        </w:rPr>
        <w:t>.</w:t>
      </w:r>
      <w:r w:rsidR="00D30727">
        <w:rPr>
          <w:rFonts w:asciiTheme="minorHAnsi" w:hAnsiTheme="minorHAnsi"/>
          <w:bCs/>
          <w:lang w:val="en-GB"/>
        </w:rPr>
        <w:t xml:space="preserve"> On that basis, the PBAC accepted that a long acting injectable option such as CAB LA + RPV LA may offer advantages in communities where HIV transmission and treatment adherence are of concern.</w:t>
      </w:r>
      <w:r w:rsidR="0043504F">
        <w:rPr>
          <w:rFonts w:asciiTheme="minorHAnsi" w:hAnsiTheme="minorHAnsi"/>
          <w:bCs/>
          <w:lang w:val="en-GB"/>
        </w:rPr>
        <w:t xml:space="preserve"> </w:t>
      </w:r>
      <w:r w:rsidR="00FE14C4">
        <w:rPr>
          <w:rFonts w:asciiTheme="minorHAnsi" w:hAnsiTheme="minorHAnsi"/>
          <w:bCs/>
          <w:lang w:val="en-GB"/>
        </w:rPr>
        <w:t>However, no evidence was presented to show that the availability of the</w:t>
      </w:r>
      <w:r w:rsidR="00BE7F9C">
        <w:rPr>
          <w:rFonts w:asciiTheme="minorHAnsi" w:hAnsiTheme="minorHAnsi"/>
          <w:bCs/>
          <w:lang w:val="en-GB"/>
        </w:rPr>
        <w:t xml:space="preserve"> long acting injections</w:t>
      </w:r>
      <w:r w:rsidR="00FE14C4">
        <w:rPr>
          <w:rFonts w:asciiTheme="minorHAnsi" w:hAnsiTheme="minorHAnsi"/>
          <w:bCs/>
          <w:lang w:val="en-GB"/>
        </w:rPr>
        <w:t xml:space="preserve"> would alleviate adherence issues in this population.</w:t>
      </w:r>
    </w:p>
    <w:p w:rsidR="001C7B02" w:rsidRDefault="00FC57BC" w:rsidP="001C7B02">
      <w:pPr>
        <w:numPr>
          <w:ilvl w:val="1"/>
          <w:numId w:val="1"/>
        </w:numPr>
        <w:spacing w:after="120"/>
        <w:rPr>
          <w:rFonts w:asciiTheme="minorHAnsi" w:hAnsiTheme="minorHAnsi"/>
          <w:bCs/>
          <w:lang w:val="en-GB"/>
        </w:rPr>
      </w:pPr>
      <w:r>
        <w:rPr>
          <w:rFonts w:asciiTheme="minorHAnsi" w:hAnsiTheme="minorHAnsi"/>
          <w:bCs/>
          <w:lang w:val="en-GB"/>
        </w:rPr>
        <w:t>The Committee</w:t>
      </w:r>
      <w:r w:rsidR="001F6922" w:rsidRPr="00FC57BC">
        <w:rPr>
          <w:rFonts w:asciiTheme="minorHAnsi" w:hAnsiTheme="minorHAnsi"/>
          <w:bCs/>
          <w:lang w:val="en-GB"/>
        </w:rPr>
        <w:t xml:space="preserve"> considered the nominated primary comparator of combination dolutegravir with rilpivirine was reasonable, however considered that other </w:t>
      </w:r>
      <w:r w:rsidR="00D76923" w:rsidRPr="00FC57BC">
        <w:rPr>
          <w:rFonts w:asciiTheme="minorHAnsi" w:hAnsiTheme="minorHAnsi"/>
          <w:bCs/>
          <w:lang w:val="en-GB"/>
        </w:rPr>
        <w:t>relevant alternatives may include other single tablet fixed-dose combinations such as those containing tenofovir alafenamide, dolutegravir + abacavir + lamivudine (Triumeq</w:t>
      </w:r>
      <w:r w:rsidR="00D76923" w:rsidRPr="00FC57BC">
        <w:rPr>
          <w:rFonts w:asciiTheme="minorHAnsi" w:hAnsiTheme="minorHAnsi" w:cstheme="minorHAnsi"/>
          <w:bCs/>
          <w:vertAlign w:val="superscript"/>
          <w:lang w:val="en-GB"/>
        </w:rPr>
        <w:t>®</w:t>
      </w:r>
      <w:r w:rsidR="0071093F">
        <w:rPr>
          <w:rFonts w:asciiTheme="minorHAnsi" w:hAnsiTheme="minorHAnsi"/>
          <w:bCs/>
          <w:lang w:val="en-GB"/>
        </w:rPr>
        <w:t>) and dolutegravir with lamivud</w:t>
      </w:r>
      <w:r w:rsidR="00D76923" w:rsidRPr="00FC57BC">
        <w:rPr>
          <w:rFonts w:asciiTheme="minorHAnsi" w:hAnsiTheme="minorHAnsi"/>
          <w:bCs/>
          <w:lang w:val="en-GB"/>
        </w:rPr>
        <w:t>ine (Dovato</w:t>
      </w:r>
      <w:r w:rsidR="00D76923" w:rsidRPr="00FC57BC">
        <w:rPr>
          <w:rFonts w:asciiTheme="minorHAnsi" w:hAnsiTheme="minorHAnsi" w:cstheme="minorHAnsi"/>
          <w:bCs/>
          <w:vertAlign w:val="superscript"/>
          <w:lang w:val="en-GB"/>
        </w:rPr>
        <w:t>®</w:t>
      </w:r>
      <w:r w:rsidR="00D76923" w:rsidRPr="00FC57BC">
        <w:rPr>
          <w:rFonts w:asciiTheme="minorHAnsi" w:hAnsiTheme="minorHAnsi"/>
          <w:bCs/>
          <w:lang w:val="en-GB"/>
        </w:rPr>
        <w:t>)</w:t>
      </w:r>
      <w:r w:rsidR="009D4033">
        <w:rPr>
          <w:rFonts w:asciiTheme="minorHAnsi" w:hAnsiTheme="minorHAnsi"/>
          <w:bCs/>
          <w:lang w:val="en-GB"/>
        </w:rPr>
        <w:t xml:space="preserve"> (see Comparator section)</w:t>
      </w:r>
      <w:r w:rsidR="00D76923" w:rsidRPr="00FC57BC">
        <w:rPr>
          <w:rFonts w:asciiTheme="minorHAnsi" w:hAnsiTheme="minorHAnsi"/>
          <w:bCs/>
          <w:lang w:val="en-GB"/>
        </w:rPr>
        <w:t>.</w:t>
      </w:r>
    </w:p>
    <w:p w:rsidR="00130526" w:rsidRPr="00E86F9E" w:rsidRDefault="00E86F9E" w:rsidP="00E86F9E">
      <w:pPr>
        <w:numPr>
          <w:ilvl w:val="1"/>
          <w:numId w:val="1"/>
        </w:numPr>
        <w:spacing w:after="120"/>
        <w:rPr>
          <w:rFonts w:asciiTheme="minorHAnsi" w:hAnsiTheme="minorHAnsi"/>
          <w:bCs/>
          <w:lang w:val="en-GB"/>
        </w:rPr>
      </w:pPr>
      <w:r>
        <w:rPr>
          <w:rFonts w:asciiTheme="minorHAnsi" w:hAnsiTheme="minorHAnsi"/>
          <w:bCs/>
          <w:lang w:val="en-GB"/>
        </w:rPr>
        <w:t>The P</w:t>
      </w:r>
      <w:r w:rsidRPr="00E86F9E">
        <w:rPr>
          <w:rFonts w:asciiTheme="minorHAnsi" w:hAnsiTheme="minorHAnsi"/>
          <w:bCs/>
          <w:lang w:val="en-GB"/>
        </w:rPr>
        <w:t xml:space="preserve">BAC noted the key CAB LA + RPV LA clinical trials were good quality, open label randomised controlled trials comparing the long acting injectable at four-weekly </w:t>
      </w:r>
      <w:r w:rsidR="006231A8">
        <w:rPr>
          <w:rFonts w:asciiTheme="minorHAnsi" w:hAnsiTheme="minorHAnsi"/>
          <w:bCs/>
          <w:lang w:val="en-GB"/>
        </w:rPr>
        <w:t xml:space="preserve">or eight-weekly </w:t>
      </w:r>
      <w:r w:rsidRPr="00E86F9E">
        <w:rPr>
          <w:rFonts w:asciiTheme="minorHAnsi" w:hAnsiTheme="minorHAnsi"/>
          <w:bCs/>
          <w:lang w:val="en-GB"/>
        </w:rPr>
        <w:t>intervals to current oral ART</w:t>
      </w:r>
      <w:r w:rsidR="001A58EE">
        <w:rPr>
          <w:rFonts w:asciiTheme="minorHAnsi" w:hAnsiTheme="minorHAnsi"/>
          <w:bCs/>
          <w:lang w:val="en-GB"/>
        </w:rPr>
        <w:t xml:space="preserve"> regimens</w:t>
      </w:r>
      <w:r w:rsidRPr="00E86F9E">
        <w:rPr>
          <w:rFonts w:asciiTheme="minorHAnsi" w:hAnsiTheme="minorHAnsi"/>
          <w:bCs/>
          <w:lang w:val="en-GB"/>
        </w:rPr>
        <w:t xml:space="preserve">. The PBAC also noted the populations recruited in the trials </w:t>
      </w:r>
      <w:r w:rsidR="00BE7F9C">
        <w:rPr>
          <w:rFonts w:asciiTheme="minorHAnsi" w:hAnsiTheme="minorHAnsi"/>
          <w:bCs/>
          <w:lang w:val="en-GB"/>
        </w:rPr>
        <w:t>had</w:t>
      </w:r>
      <w:r w:rsidR="00BE7F9C" w:rsidRPr="00E86F9E">
        <w:rPr>
          <w:rFonts w:asciiTheme="minorHAnsi" w:hAnsiTheme="minorHAnsi"/>
          <w:bCs/>
          <w:lang w:val="en-GB"/>
        </w:rPr>
        <w:t xml:space="preserve"> </w:t>
      </w:r>
      <w:r w:rsidRPr="00E86F9E">
        <w:rPr>
          <w:rFonts w:asciiTheme="minorHAnsi" w:hAnsiTheme="minorHAnsi"/>
          <w:bCs/>
          <w:lang w:val="en-GB"/>
        </w:rPr>
        <w:t>substantially higher reported preference for long acting injectable treatment (&gt;90%) than was reported</w:t>
      </w:r>
      <w:r w:rsidR="00BE7F9C">
        <w:rPr>
          <w:rFonts w:asciiTheme="minorHAnsi" w:hAnsiTheme="minorHAnsi"/>
          <w:bCs/>
          <w:lang w:val="en-GB"/>
        </w:rPr>
        <w:t xml:space="preserve"> for individuals</w:t>
      </w:r>
      <w:r w:rsidRPr="00E86F9E">
        <w:rPr>
          <w:rFonts w:asciiTheme="minorHAnsi" w:hAnsiTheme="minorHAnsi"/>
          <w:bCs/>
          <w:lang w:val="en-GB"/>
        </w:rPr>
        <w:t xml:space="preserve"> in the willingness-to-pay (WTP) study conducted in Australia for the submission (36%). The PBAC considered this difference may limit the generali</w:t>
      </w:r>
      <w:r w:rsidR="00A47FA4">
        <w:rPr>
          <w:rFonts w:asciiTheme="minorHAnsi" w:hAnsiTheme="minorHAnsi"/>
          <w:bCs/>
          <w:lang w:val="en-GB"/>
        </w:rPr>
        <w:t>s</w:t>
      </w:r>
      <w:r w:rsidRPr="00E86F9E">
        <w:rPr>
          <w:rFonts w:asciiTheme="minorHAnsi" w:hAnsiTheme="minorHAnsi"/>
          <w:bCs/>
          <w:lang w:val="en-GB"/>
        </w:rPr>
        <w:t xml:space="preserve">ability of the secondary patient reported outcomes reported in the study to the Australian population. </w:t>
      </w:r>
      <w:r w:rsidR="00544FFA">
        <w:rPr>
          <w:rFonts w:asciiTheme="minorHAnsi" w:hAnsiTheme="minorHAnsi"/>
          <w:bCs/>
          <w:lang w:val="en-GB"/>
        </w:rPr>
        <w:t xml:space="preserve">The Committee </w:t>
      </w:r>
      <w:r>
        <w:rPr>
          <w:rFonts w:asciiTheme="minorHAnsi" w:hAnsiTheme="minorHAnsi"/>
          <w:bCs/>
          <w:lang w:val="en-GB"/>
        </w:rPr>
        <w:t>considered that the results of the patient reported outcomes in the studies may also be an unreliable basis to assess potential health ben</w:t>
      </w:r>
      <w:r w:rsidR="00E65719">
        <w:rPr>
          <w:rFonts w:asciiTheme="minorHAnsi" w:hAnsiTheme="minorHAnsi"/>
          <w:bCs/>
          <w:lang w:val="en-GB"/>
        </w:rPr>
        <w:t>efits</w:t>
      </w:r>
      <w:r>
        <w:rPr>
          <w:rFonts w:asciiTheme="minorHAnsi" w:hAnsiTheme="minorHAnsi"/>
          <w:bCs/>
          <w:lang w:val="en-GB"/>
        </w:rPr>
        <w:t xml:space="preserve"> in terms of quality of life, anxiety, stigma or fear of unintentional disclosure in the Australian population</w:t>
      </w:r>
      <w:r w:rsidR="006231A8">
        <w:rPr>
          <w:rFonts w:asciiTheme="minorHAnsi" w:hAnsiTheme="minorHAnsi"/>
          <w:bCs/>
          <w:lang w:val="en-GB"/>
        </w:rPr>
        <w:t xml:space="preserve"> </w:t>
      </w:r>
      <w:r w:rsidR="006231A8" w:rsidRPr="009D4033">
        <w:rPr>
          <w:rFonts w:asciiTheme="minorHAnsi" w:hAnsiTheme="minorHAnsi"/>
          <w:bCs/>
          <w:lang w:val="en-GB"/>
        </w:rPr>
        <w:t>(see paragraph 6.28)</w:t>
      </w:r>
      <w:r w:rsidRPr="009D4033">
        <w:rPr>
          <w:rFonts w:asciiTheme="minorHAnsi" w:hAnsiTheme="minorHAnsi"/>
          <w:bCs/>
          <w:lang w:val="en-GB"/>
        </w:rPr>
        <w:t>.</w:t>
      </w:r>
      <w:r>
        <w:rPr>
          <w:rFonts w:asciiTheme="minorHAnsi" w:hAnsiTheme="minorHAnsi"/>
          <w:bCs/>
          <w:lang w:val="en-GB"/>
        </w:rPr>
        <w:t xml:space="preserve"> The PBAC conside</w:t>
      </w:r>
      <w:r w:rsidR="005518D6">
        <w:rPr>
          <w:rFonts w:asciiTheme="minorHAnsi" w:hAnsiTheme="minorHAnsi"/>
          <w:bCs/>
          <w:lang w:val="en-GB"/>
        </w:rPr>
        <w:t>red further exploration of the impact of these</w:t>
      </w:r>
      <w:r>
        <w:rPr>
          <w:rFonts w:asciiTheme="minorHAnsi" w:hAnsiTheme="minorHAnsi"/>
          <w:bCs/>
          <w:lang w:val="en-GB"/>
        </w:rPr>
        <w:t xml:space="preserve"> issues in the Australian HIV population would be informative.</w:t>
      </w:r>
    </w:p>
    <w:p w:rsidR="00130526" w:rsidRPr="00130526" w:rsidRDefault="00130526" w:rsidP="00130526">
      <w:pPr>
        <w:pStyle w:val="ListParagraph"/>
        <w:numPr>
          <w:ilvl w:val="1"/>
          <w:numId w:val="1"/>
        </w:numPr>
        <w:rPr>
          <w:rFonts w:asciiTheme="minorHAnsi" w:hAnsiTheme="minorHAnsi"/>
          <w:bCs/>
          <w:lang w:val="en-GB"/>
        </w:rPr>
      </w:pPr>
      <w:r w:rsidRPr="00130526">
        <w:rPr>
          <w:rFonts w:asciiTheme="minorHAnsi" w:hAnsiTheme="minorHAnsi"/>
          <w:bCs/>
          <w:lang w:val="en-GB"/>
        </w:rPr>
        <w:t>The PBAC noted that the submission relied on a multi-step indirect comparison to compare</w:t>
      </w:r>
      <w:r w:rsidR="00A95681">
        <w:rPr>
          <w:rFonts w:asciiTheme="minorHAnsi" w:hAnsiTheme="minorHAnsi"/>
          <w:bCs/>
          <w:lang w:val="en-GB"/>
        </w:rPr>
        <w:t xml:space="preserve"> </w:t>
      </w:r>
      <w:r w:rsidR="00A95681" w:rsidRPr="00E44873">
        <w:rPr>
          <w:rFonts w:cs="Calibri"/>
          <w:snapToGrid/>
          <w:szCs w:val="24"/>
          <w:lang w:val="en-US" w:eastAsia="en-AU"/>
        </w:rPr>
        <w:t>CAB LA + RPV LA Q8W and DTG/RPV FDC</w:t>
      </w:r>
      <w:r w:rsidRPr="00130526">
        <w:rPr>
          <w:rFonts w:asciiTheme="minorHAnsi" w:hAnsiTheme="minorHAnsi"/>
          <w:bCs/>
          <w:lang w:val="en-GB"/>
        </w:rPr>
        <w:t xml:space="preserve">. Whilst there were uncertainties with the indirect comparisons, </w:t>
      </w:r>
      <w:r>
        <w:rPr>
          <w:rFonts w:asciiTheme="minorHAnsi" w:hAnsiTheme="minorHAnsi"/>
          <w:bCs/>
          <w:lang w:val="en-GB"/>
        </w:rPr>
        <w:t>t</w:t>
      </w:r>
      <w:r w:rsidRPr="00130526">
        <w:rPr>
          <w:rFonts w:asciiTheme="minorHAnsi" w:hAnsiTheme="minorHAnsi"/>
          <w:bCs/>
          <w:lang w:val="en-GB"/>
        </w:rPr>
        <w:t xml:space="preserve">he PBAC considered that the evidence presented supported a conclusion that CAB LA + RPV LA, either given once every four weeks or once every eight weeks, is of non-inferior comparative effectiveness to daily oral ART regimens, in terms of virological control of HIV. </w:t>
      </w:r>
    </w:p>
    <w:p w:rsidR="00150FA1" w:rsidRDefault="0045416C" w:rsidP="00150FA1">
      <w:pPr>
        <w:numPr>
          <w:ilvl w:val="1"/>
          <w:numId w:val="1"/>
        </w:numPr>
        <w:spacing w:after="120"/>
        <w:rPr>
          <w:rFonts w:asciiTheme="minorHAnsi" w:hAnsiTheme="minorHAnsi"/>
          <w:bCs/>
          <w:lang w:val="en-GB"/>
        </w:rPr>
      </w:pPr>
      <w:r>
        <w:rPr>
          <w:rFonts w:asciiTheme="minorHAnsi" w:hAnsiTheme="minorHAnsi"/>
          <w:bCs/>
          <w:lang w:val="en-GB"/>
        </w:rPr>
        <w:t>The PBAC noted that</w:t>
      </w:r>
      <w:r w:rsidR="00EE6343">
        <w:rPr>
          <w:rFonts w:asciiTheme="minorHAnsi" w:hAnsiTheme="minorHAnsi"/>
          <w:bCs/>
          <w:lang w:val="en-GB"/>
        </w:rPr>
        <w:t xml:space="preserve"> seco</w:t>
      </w:r>
      <w:r>
        <w:rPr>
          <w:rFonts w:asciiTheme="minorHAnsi" w:hAnsiTheme="minorHAnsi"/>
          <w:bCs/>
          <w:lang w:val="en-GB"/>
        </w:rPr>
        <w:t>ndary patient reported outcomes</w:t>
      </w:r>
      <w:r w:rsidR="00EE6343">
        <w:rPr>
          <w:rFonts w:asciiTheme="minorHAnsi" w:hAnsiTheme="minorHAnsi"/>
          <w:bCs/>
          <w:lang w:val="en-GB"/>
        </w:rPr>
        <w:t xml:space="preserve"> formed the basis of the submission’s claim of advanta</w:t>
      </w:r>
      <w:r>
        <w:rPr>
          <w:rFonts w:asciiTheme="minorHAnsi" w:hAnsiTheme="minorHAnsi"/>
          <w:bCs/>
          <w:lang w:val="en-GB"/>
        </w:rPr>
        <w:t>ges over daily oral ART therapy. Based on the evidence presented,</w:t>
      </w:r>
      <w:r w:rsidR="00EE6343">
        <w:rPr>
          <w:rFonts w:asciiTheme="minorHAnsi" w:hAnsiTheme="minorHAnsi"/>
          <w:bCs/>
          <w:lang w:val="en-GB"/>
        </w:rPr>
        <w:t xml:space="preserve"> the PBAC </w:t>
      </w:r>
      <w:r w:rsidR="00EE6343" w:rsidRPr="00EE6343">
        <w:rPr>
          <w:rFonts w:asciiTheme="minorHAnsi" w:hAnsiTheme="minorHAnsi"/>
          <w:bCs/>
          <w:lang w:val="en-GB"/>
        </w:rPr>
        <w:t>considered the claim that CAB LA + RPV LA provides additional benefits to patients who have an unmet need for an alternative to daily oral A</w:t>
      </w:r>
      <w:r>
        <w:rPr>
          <w:rFonts w:asciiTheme="minorHAnsi" w:hAnsiTheme="minorHAnsi"/>
          <w:bCs/>
          <w:lang w:val="en-GB"/>
        </w:rPr>
        <w:t xml:space="preserve">RT was not adequately supported. The PBAC </w:t>
      </w:r>
      <w:r w:rsidR="00FC4E81">
        <w:rPr>
          <w:rFonts w:asciiTheme="minorHAnsi" w:hAnsiTheme="minorHAnsi"/>
          <w:bCs/>
          <w:lang w:val="en-GB"/>
        </w:rPr>
        <w:t>noted the results of the HIVTSQ</w:t>
      </w:r>
      <w:r w:rsidR="001F6922">
        <w:rPr>
          <w:rFonts w:asciiTheme="minorHAnsi" w:hAnsiTheme="minorHAnsi"/>
          <w:bCs/>
          <w:lang w:val="en-GB"/>
        </w:rPr>
        <w:t xml:space="preserve"> in the FLAIR and ATLAS trials were associated with a statistically significant improvement in treatment satisfaction, however also noted the numerical differences between the LA injectable and oral ART arms was small and the lower bound of the 95% CI would not have met any of the proposed within-group minimally important clinical difference</w:t>
      </w:r>
      <w:r w:rsidR="002520FA">
        <w:rPr>
          <w:rFonts w:asciiTheme="minorHAnsi" w:hAnsiTheme="minorHAnsi"/>
          <w:bCs/>
          <w:lang w:val="en-GB"/>
        </w:rPr>
        <w:t>s</w:t>
      </w:r>
      <w:r w:rsidR="001F6922">
        <w:rPr>
          <w:rFonts w:asciiTheme="minorHAnsi" w:hAnsiTheme="minorHAnsi"/>
          <w:bCs/>
          <w:lang w:val="en-GB"/>
        </w:rPr>
        <w:t>. The PBAC was therefore uncertain if the differences in results of the HIVTSQ were clinically significant.</w:t>
      </w:r>
      <w:r w:rsidR="00C33965">
        <w:rPr>
          <w:rFonts w:asciiTheme="minorHAnsi" w:hAnsiTheme="minorHAnsi"/>
          <w:bCs/>
          <w:lang w:val="en-GB"/>
        </w:rPr>
        <w:t xml:space="preserve"> Furthermore, </w:t>
      </w:r>
      <w:r w:rsidR="000E791D">
        <w:rPr>
          <w:rFonts w:asciiTheme="minorHAnsi" w:hAnsiTheme="minorHAnsi"/>
          <w:bCs/>
          <w:lang w:val="en-GB"/>
        </w:rPr>
        <w:t>the PBAC noted the results of the SF-12 health surveys in FLAIR and ATLAS did not report any statistically significant differences in either the mental or physical domains between long acting injectable therapy and daily oral ART. Therefore, the PBAC</w:t>
      </w:r>
      <w:r w:rsidR="00150FA1" w:rsidRPr="00150FA1">
        <w:t xml:space="preserve"> </w:t>
      </w:r>
      <w:r w:rsidR="00150FA1">
        <w:rPr>
          <w:rFonts w:asciiTheme="minorHAnsi" w:hAnsiTheme="minorHAnsi"/>
          <w:bCs/>
          <w:lang w:val="en-GB"/>
        </w:rPr>
        <w:t>considered</w:t>
      </w:r>
      <w:r w:rsidR="00150FA1" w:rsidRPr="00150FA1">
        <w:rPr>
          <w:rFonts w:asciiTheme="minorHAnsi" w:hAnsiTheme="minorHAnsi"/>
          <w:bCs/>
          <w:lang w:val="en-GB"/>
        </w:rPr>
        <w:t xml:space="preserve"> that</w:t>
      </w:r>
      <w:r w:rsidR="007C7D0F">
        <w:rPr>
          <w:rFonts w:asciiTheme="minorHAnsi" w:hAnsiTheme="minorHAnsi"/>
          <w:bCs/>
          <w:lang w:val="en-GB"/>
        </w:rPr>
        <w:t xml:space="preserve"> although</w:t>
      </w:r>
      <w:r w:rsidR="00150FA1" w:rsidRPr="00150FA1">
        <w:rPr>
          <w:rFonts w:asciiTheme="minorHAnsi" w:hAnsiTheme="minorHAnsi"/>
          <w:bCs/>
          <w:lang w:val="en-GB"/>
        </w:rPr>
        <w:t xml:space="preserve"> for some patients the option of a long acting injectable for control of HIV may be a preference</w:t>
      </w:r>
      <w:r w:rsidR="00150FA1">
        <w:rPr>
          <w:rFonts w:asciiTheme="minorHAnsi" w:hAnsiTheme="minorHAnsi"/>
          <w:bCs/>
          <w:lang w:val="en-GB"/>
        </w:rPr>
        <w:t xml:space="preserve">, </w:t>
      </w:r>
      <w:r w:rsidR="000E791D">
        <w:rPr>
          <w:rFonts w:asciiTheme="minorHAnsi" w:hAnsiTheme="minorHAnsi"/>
          <w:bCs/>
          <w:lang w:val="en-GB"/>
        </w:rPr>
        <w:t>the results of the patient-reported outcomes in the clinical trials did not support a conclusion that treatment with CAB LA + RPV LA was associated with improvements in quality of life</w:t>
      </w:r>
      <w:r w:rsidR="00150FA1">
        <w:rPr>
          <w:rFonts w:asciiTheme="minorHAnsi" w:hAnsiTheme="minorHAnsi"/>
          <w:bCs/>
          <w:lang w:val="en-GB"/>
        </w:rPr>
        <w:t xml:space="preserve">. </w:t>
      </w:r>
    </w:p>
    <w:p w:rsidR="00C57F57" w:rsidRPr="00C57F57" w:rsidRDefault="00C57F57" w:rsidP="00BF0E3F">
      <w:pPr>
        <w:numPr>
          <w:ilvl w:val="1"/>
          <w:numId w:val="1"/>
        </w:numPr>
        <w:spacing w:after="120"/>
        <w:rPr>
          <w:rFonts w:asciiTheme="minorHAnsi" w:hAnsiTheme="minorHAnsi"/>
          <w:bCs/>
          <w:lang w:val="en-GB"/>
        </w:rPr>
      </w:pPr>
      <w:r>
        <w:rPr>
          <w:rFonts w:asciiTheme="minorHAnsi" w:hAnsiTheme="minorHAnsi"/>
          <w:bCs/>
          <w:lang w:val="en-GB"/>
        </w:rPr>
        <w:t>The PBAC considered that the evidence presented supported a conclusion that overall, CAB LA + RPV LA is likely to be of non-inferior comparative safety to daily oral ART therapy. The PBAC also noted the Advisory Committee for Medicines</w:t>
      </w:r>
      <w:r w:rsidR="007C7D0F">
        <w:rPr>
          <w:rFonts w:asciiTheme="minorHAnsi" w:hAnsiTheme="minorHAnsi"/>
          <w:bCs/>
          <w:lang w:val="en-GB"/>
        </w:rPr>
        <w:t xml:space="preserve"> (ACM)</w:t>
      </w:r>
      <w:r>
        <w:rPr>
          <w:rFonts w:asciiTheme="minorHAnsi" w:hAnsiTheme="minorHAnsi"/>
          <w:bCs/>
          <w:lang w:val="en-GB"/>
        </w:rPr>
        <w:t xml:space="preserve"> noted a number of cases of hepatitis disease flare in trial patients with HIV and hepatitis B/C co-infection and </w:t>
      </w:r>
      <w:r w:rsidR="006436A4">
        <w:rPr>
          <w:rFonts w:asciiTheme="minorHAnsi" w:hAnsiTheme="minorHAnsi"/>
          <w:bCs/>
          <w:lang w:val="en-GB"/>
        </w:rPr>
        <w:t>advised that these occurrences in the clinical trials should be noted in the Product Information.</w:t>
      </w:r>
    </w:p>
    <w:p w:rsidR="00FC57BC" w:rsidRDefault="00FC57BC" w:rsidP="00FC57BC">
      <w:pPr>
        <w:numPr>
          <w:ilvl w:val="1"/>
          <w:numId w:val="1"/>
        </w:numPr>
        <w:spacing w:after="120"/>
        <w:rPr>
          <w:rFonts w:asciiTheme="minorHAnsi" w:hAnsiTheme="minorHAnsi"/>
          <w:bCs/>
          <w:lang w:val="en-GB"/>
        </w:rPr>
      </w:pPr>
      <w:r w:rsidRPr="007B745F">
        <w:rPr>
          <w:rFonts w:asciiTheme="minorHAnsi" w:hAnsiTheme="minorHAnsi"/>
          <w:bCs/>
          <w:lang w:val="en-GB"/>
        </w:rPr>
        <w:t xml:space="preserve">The PBAC considered </w:t>
      </w:r>
      <w:r>
        <w:rPr>
          <w:rFonts w:asciiTheme="minorHAnsi" w:hAnsiTheme="minorHAnsi"/>
          <w:bCs/>
          <w:lang w:val="en-GB"/>
        </w:rPr>
        <w:t>the CBA</w:t>
      </w:r>
      <w:r w:rsidRPr="007B745F">
        <w:rPr>
          <w:rFonts w:asciiTheme="minorHAnsi" w:hAnsiTheme="minorHAnsi"/>
          <w:bCs/>
          <w:lang w:val="en-GB"/>
        </w:rPr>
        <w:t xml:space="preserve"> presented to support the requested price premium was </w:t>
      </w:r>
      <w:r>
        <w:rPr>
          <w:rFonts w:asciiTheme="minorHAnsi" w:hAnsiTheme="minorHAnsi"/>
          <w:bCs/>
          <w:lang w:val="en-GB"/>
        </w:rPr>
        <w:t xml:space="preserve">inappropriate and uninformative for decision making. </w:t>
      </w:r>
      <w:r w:rsidR="007C0A49">
        <w:rPr>
          <w:rFonts w:asciiTheme="minorHAnsi" w:hAnsiTheme="minorHAnsi"/>
          <w:bCs/>
          <w:lang w:val="en-GB"/>
        </w:rPr>
        <w:t>T</w:t>
      </w:r>
      <w:r>
        <w:rPr>
          <w:rFonts w:asciiTheme="minorHAnsi" w:hAnsiTheme="minorHAnsi"/>
          <w:bCs/>
          <w:lang w:val="en-GB"/>
        </w:rPr>
        <w:t xml:space="preserve">he PBAC considered the discrete choice experiment (DCE) based </w:t>
      </w:r>
      <w:r w:rsidR="001B0C18">
        <w:rPr>
          <w:rFonts w:asciiTheme="minorHAnsi" w:hAnsiTheme="minorHAnsi"/>
          <w:bCs/>
          <w:lang w:val="en-GB"/>
        </w:rPr>
        <w:t>WTP</w:t>
      </w:r>
      <w:r>
        <w:rPr>
          <w:rFonts w:asciiTheme="minorHAnsi" w:hAnsiTheme="minorHAnsi"/>
          <w:bCs/>
          <w:lang w:val="en-GB"/>
        </w:rPr>
        <w:t xml:space="preserve"> study used to inform the CBA was flawed for the reasons outlin</w:t>
      </w:r>
      <w:r w:rsidR="009D4033">
        <w:rPr>
          <w:rFonts w:asciiTheme="minorHAnsi" w:hAnsiTheme="minorHAnsi"/>
          <w:bCs/>
          <w:lang w:val="en-GB"/>
        </w:rPr>
        <w:t xml:space="preserve">ed by the ESC in paragraph 6.48. </w:t>
      </w:r>
      <w:r>
        <w:rPr>
          <w:rFonts w:asciiTheme="minorHAnsi" w:hAnsiTheme="minorHAnsi"/>
          <w:bCs/>
          <w:lang w:val="en-GB"/>
        </w:rPr>
        <w:t xml:space="preserve">Furthermore, the PBAC noted </w:t>
      </w:r>
      <w:r w:rsidR="007C0A49">
        <w:rPr>
          <w:rFonts w:asciiTheme="minorHAnsi" w:hAnsiTheme="minorHAnsi"/>
          <w:bCs/>
          <w:lang w:val="en-GB"/>
        </w:rPr>
        <w:t xml:space="preserve">it </w:t>
      </w:r>
      <w:r>
        <w:rPr>
          <w:rFonts w:asciiTheme="minorHAnsi" w:hAnsiTheme="minorHAnsi"/>
          <w:bCs/>
          <w:lang w:val="en-GB"/>
        </w:rPr>
        <w:t xml:space="preserve">did not include any variables to assess benefits around quality of life, anxiety or stigma and given these were the primary claimed advantages of CAB LA + RPV LA, considered the economic </w:t>
      </w:r>
      <w:r w:rsidR="007C0A49">
        <w:rPr>
          <w:rFonts w:asciiTheme="minorHAnsi" w:hAnsiTheme="minorHAnsi"/>
          <w:bCs/>
          <w:lang w:val="en-GB"/>
        </w:rPr>
        <w:t xml:space="preserve">analysis </w:t>
      </w:r>
      <w:r>
        <w:rPr>
          <w:rFonts w:asciiTheme="minorHAnsi" w:hAnsiTheme="minorHAnsi"/>
          <w:bCs/>
          <w:lang w:val="en-GB"/>
        </w:rPr>
        <w:t xml:space="preserve">did not provide a basis upon which to consider the potential value of any claimed advantages over daily oral therapy. </w:t>
      </w:r>
    </w:p>
    <w:p w:rsidR="00FC57BC" w:rsidRPr="00522AF3" w:rsidRDefault="00FC57BC" w:rsidP="00FC57BC">
      <w:pPr>
        <w:numPr>
          <w:ilvl w:val="1"/>
          <w:numId w:val="1"/>
        </w:numPr>
        <w:spacing w:after="120"/>
        <w:rPr>
          <w:rFonts w:asciiTheme="minorHAnsi" w:hAnsiTheme="minorHAnsi"/>
          <w:bCs/>
          <w:lang w:val="en-GB"/>
        </w:rPr>
      </w:pPr>
      <w:r>
        <w:rPr>
          <w:rFonts w:asciiTheme="minorHAnsi" w:hAnsiTheme="minorHAnsi"/>
          <w:bCs/>
          <w:lang w:val="en-GB"/>
        </w:rPr>
        <w:t xml:space="preserve">Given the clinical evidence did not substantively establish that a CAB LA + RPV LA provides the claimed benefits in terms of quality of life improvements, reduced anxiety or stigma, the PBAC considered that based on its assessment that CAB LA + RPV LA is of non-inferior comparative efficacy for the treatment of HIV infection and also of non-inferior comparative safety to daily oral ART regimens, that the most appropriate basis for a listing would be if it were cost minimised to the least costly alternative. </w:t>
      </w:r>
    </w:p>
    <w:p w:rsidR="00003875" w:rsidRPr="00FC26AE" w:rsidRDefault="00B97667" w:rsidP="00003875">
      <w:pPr>
        <w:numPr>
          <w:ilvl w:val="1"/>
          <w:numId w:val="1"/>
        </w:numPr>
        <w:spacing w:after="120"/>
      </w:pPr>
      <w:r>
        <w:rPr>
          <w:rFonts w:asciiTheme="minorHAnsi" w:hAnsiTheme="minorHAnsi"/>
          <w:bCs/>
          <w:lang w:val="en-GB"/>
        </w:rPr>
        <w:t>The PBAC considered that the utilisation of CAB LA + RPV LA was likely overestimated</w:t>
      </w:r>
      <w:r w:rsidR="00E7123C">
        <w:rPr>
          <w:rFonts w:asciiTheme="minorHAnsi" w:hAnsiTheme="minorHAnsi"/>
          <w:bCs/>
          <w:lang w:val="en-GB"/>
        </w:rPr>
        <w:t xml:space="preserve">, and considered </w:t>
      </w:r>
      <w:r w:rsidR="00C503CB">
        <w:rPr>
          <w:rFonts w:asciiTheme="minorHAnsi" w:hAnsiTheme="minorHAnsi"/>
          <w:bCs/>
          <w:lang w:val="en-GB"/>
        </w:rPr>
        <w:t xml:space="preserve">the </w:t>
      </w:r>
      <w:r w:rsidR="003A1C1C">
        <w:rPr>
          <w:rFonts w:asciiTheme="minorHAnsi" w:hAnsiTheme="minorHAnsi"/>
          <w:bCs/>
          <w:lang w:val="en-GB"/>
        </w:rPr>
        <w:t>results of the WTP study did not indicate a strong preference for the long acting injectable over current oral ART</w:t>
      </w:r>
      <w:r w:rsidR="00C503CB">
        <w:rPr>
          <w:rFonts w:asciiTheme="minorHAnsi" w:hAnsiTheme="minorHAnsi"/>
          <w:bCs/>
          <w:lang w:val="en-GB"/>
        </w:rPr>
        <w:t xml:space="preserve"> and therefore agreed uptake of CAB LA + RPV LA was likely to be lower than expected.</w:t>
      </w:r>
      <w:r w:rsidR="00265ED0">
        <w:rPr>
          <w:rFonts w:asciiTheme="minorHAnsi" w:hAnsiTheme="minorHAnsi"/>
          <w:bCs/>
          <w:lang w:val="en-GB"/>
        </w:rPr>
        <w:t xml:space="preserve"> The Committee agreed with the Pre-PBAC Response and considered that use of oral CAB for periods of planned missed doses was likely to be very low.</w:t>
      </w:r>
    </w:p>
    <w:p w:rsidR="001C7B02" w:rsidRPr="00F444D7" w:rsidRDefault="00003875" w:rsidP="000C2164">
      <w:pPr>
        <w:numPr>
          <w:ilvl w:val="1"/>
          <w:numId w:val="1"/>
        </w:numPr>
        <w:spacing w:after="120"/>
      </w:pPr>
      <w:r w:rsidRPr="00B16613">
        <w:rPr>
          <w:rFonts w:asciiTheme="minorHAnsi" w:hAnsiTheme="minorHAnsi"/>
          <w:bCs/>
          <w:lang w:val="en-GB"/>
        </w:rPr>
        <w:t>The PBAC considered an early re-entry pathway would be acceptable if the resubmission accepted listing on a cost minimisation basis to the least costly comparator</w:t>
      </w:r>
      <w:r w:rsidR="00B16613">
        <w:rPr>
          <w:rFonts w:asciiTheme="minorHAnsi" w:hAnsiTheme="minorHAnsi"/>
          <w:bCs/>
          <w:lang w:val="en-GB"/>
        </w:rPr>
        <w:t>, with appropriate MBS administration costs</w:t>
      </w:r>
      <w:r w:rsidR="006F31CA">
        <w:rPr>
          <w:rFonts w:asciiTheme="minorHAnsi" w:hAnsiTheme="minorHAnsi"/>
          <w:bCs/>
          <w:lang w:val="en-GB"/>
        </w:rPr>
        <w:t xml:space="preserve"> (see paragraph 6.47) </w:t>
      </w:r>
      <w:r w:rsidRPr="00B16613">
        <w:rPr>
          <w:rFonts w:asciiTheme="minorHAnsi" w:hAnsiTheme="minorHAnsi"/>
          <w:bCs/>
          <w:lang w:val="en-GB"/>
        </w:rPr>
        <w:t>and present</w:t>
      </w:r>
      <w:r w:rsidR="00B16613">
        <w:rPr>
          <w:rFonts w:asciiTheme="minorHAnsi" w:hAnsiTheme="minorHAnsi"/>
          <w:bCs/>
          <w:lang w:val="en-GB"/>
        </w:rPr>
        <w:t>ed</w:t>
      </w:r>
      <w:r w:rsidRPr="00B16613">
        <w:rPr>
          <w:rFonts w:asciiTheme="minorHAnsi" w:hAnsiTheme="minorHAnsi"/>
          <w:bCs/>
          <w:lang w:val="en-GB"/>
        </w:rPr>
        <w:t xml:space="preserve"> an economic analysis to that effect. The resubmission must be lodged by week 7 of the current PBAC cycle or the next cycle. If these terms are not acceptable to the sponsor, a standard re-entry pathway is available.</w:t>
      </w:r>
      <w:r w:rsidR="00F444D7" w:rsidRPr="00B16613">
        <w:rPr>
          <w:rFonts w:asciiTheme="minorHAnsi" w:hAnsiTheme="minorHAnsi"/>
          <w:bCs/>
          <w:lang w:val="en-GB"/>
        </w:rPr>
        <w:t xml:space="preserve"> The PBAC </w:t>
      </w:r>
      <w:r w:rsidR="00853ED8">
        <w:rPr>
          <w:rFonts w:asciiTheme="minorHAnsi" w:hAnsiTheme="minorHAnsi"/>
          <w:bCs/>
          <w:lang w:val="en-GB"/>
        </w:rPr>
        <w:t>considered</w:t>
      </w:r>
      <w:r w:rsidR="00853ED8" w:rsidRPr="00B16613">
        <w:rPr>
          <w:rFonts w:asciiTheme="minorHAnsi" w:hAnsiTheme="minorHAnsi"/>
          <w:bCs/>
          <w:lang w:val="en-GB"/>
        </w:rPr>
        <w:t xml:space="preserve"> </w:t>
      </w:r>
      <w:r w:rsidR="00F444D7" w:rsidRPr="00B16613">
        <w:rPr>
          <w:rFonts w:asciiTheme="minorHAnsi" w:hAnsiTheme="minorHAnsi"/>
          <w:bCs/>
          <w:lang w:val="en-GB"/>
        </w:rPr>
        <w:t>that any such re-submission where listing on a cost minimisation basis is not accepted should be supported by a full cost utility analysis.</w:t>
      </w:r>
    </w:p>
    <w:p w:rsidR="00F444D7" w:rsidRPr="00F444D7" w:rsidRDefault="001C7B02" w:rsidP="00F444D7">
      <w:pPr>
        <w:numPr>
          <w:ilvl w:val="1"/>
          <w:numId w:val="1"/>
        </w:numPr>
        <w:spacing w:after="120"/>
        <w:rPr>
          <w:rFonts w:asciiTheme="minorHAnsi" w:hAnsiTheme="minorHAnsi"/>
          <w:b/>
          <w:bCs/>
          <w:lang w:val="en-GB"/>
        </w:rPr>
      </w:pPr>
      <w:r w:rsidRPr="00525B39">
        <w:rPr>
          <w:rFonts w:asciiTheme="minorHAnsi" w:hAnsiTheme="minorHAnsi"/>
          <w:bCs/>
          <w:lang w:val="en-GB"/>
        </w:rPr>
        <w:t>The PBAC note</w:t>
      </w:r>
      <w:r w:rsidR="00F444D7">
        <w:rPr>
          <w:rFonts w:asciiTheme="minorHAnsi" w:hAnsiTheme="minorHAnsi"/>
          <w:bCs/>
          <w:lang w:val="en-GB"/>
        </w:rPr>
        <w:t>d that this submission is</w:t>
      </w:r>
      <w:r w:rsidRPr="00525B39">
        <w:rPr>
          <w:rFonts w:asciiTheme="minorHAnsi" w:hAnsiTheme="minorHAnsi"/>
          <w:bCs/>
          <w:lang w:val="en-GB"/>
        </w:rPr>
        <w:t xml:space="preserve"> eligible for an Independent Review. </w:t>
      </w:r>
    </w:p>
    <w:p w:rsidR="00F444D7" w:rsidRDefault="00F444D7" w:rsidP="00F444D7">
      <w:pPr>
        <w:pStyle w:val="ListParagraph"/>
        <w:rPr>
          <w:rFonts w:asciiTheme="minorHAnsi" w:hAnsiTheme="minorHAnsi"/>
          <w:b/>
          <w:bCs/>
          <w:lang w:val="en-GB"/>
        </w:rPr>
      </w:pPr>
    </w:p>
    <w:p w:rsidR="001C7B02" w:rsidRPr="00F444D7" w:rsidRDefault="001C7B02" w:rsidP="00F444D7">
      <w:pPr>
        <w:spacing w:after="120"/>
        <w:outlineLvl w:val="1"/>
        <w:rPr>
          <w:rFonts w:asciiTheme="minorHAnsi" w:hAnsiTheme="minorHAnsi"/>
          <w:b/>
          <w:bCs/>
          <w:lang w:val="en-GB"/>
        </w:rPr>
      </w:pPr>
      <w:r w:rsidRPr="00525B39">
        <w:rPr>
          <w:rFonts w:asciiTheme="minorHAnsi" w:hAnsiTheme="minorHAnsi"/>
          <w:b/>
          <w:bCs/>
          <w:lang w:val="en-GB"/>
        </w:rPr>
        <w:t>Outcome:</w:t>
      </w:r>
      <w:r w:rsidR="00F444D7">
        <w:rPr>
          <w:rFonts w:asciiTheme="minorHAnsi" w:hAnsiTheme="minorHAnsi"/>
          <w:b/>
          <w:bCs/>
          <w:lang w:val="en-GB"/>
        </w:rPr>
        <w:t xml:space="preserve"> </w:t>
      </w:r>
      <w:r w:rsidR="00F444D7">
        <w:rPr>
          <w:rFonts w:asciiTheme="minorHAnsi" w:hAnsiTheme="minorHAnsi"/>
          <w:b/>
          <w:bCs/>
          <w:lang w:val="en-GB"/>
        </w:rPr>
        <w:br/>
      </w:r>
      <w:r w:rsidR="00F444D7">
        <w:rPr>
          <w:rFonts w:asciiTheme="minorHAnsi" w:hAnsiTheme="minorHAnsi"/>
          <w:bCs/>
          <w:lang w:val="en-GB"/>
        </w:rPr>
        <w:t>Rejected</w:t>
      </w:r>
    </w:p>
    <w:p w:rsidR="00912F62" w:rsidRDefault="00912F62" w:rsidP="00036F46">
      <w:pPr>
        <w:widowControl/>
        <w:jc w:val="left"/>
        <w:rPr>
          <w:rFonts w:asciiTheme="minorHAnsi" w:hAnsiTheme="minorHAnsi"/>
          <w:b/>
          <w:bCs/>
        </w:rPr>
      </w:pPr>
    </w:p>
    <w:p w:rsidR="007654F1" w:rsidRDefault="007654F1" w:rsidP="007654F1">
      <w:pPr>
        <w:pStyle w:val="Heading1"/>
        <w:keepNext/>
        <w:keepLines/>
        <w:widowControl/>
        <w:numPr>
          <w:ilvl w:val="0"/>
          <w:numId w:val="1"/>
        </w:numPr>
        <w:spacing w:before="240" w:after="120"/>
        <w:ind w:left="709" w:hanging="709"/>
        <w:jc w:val="left"/>
        <w:rPr>
          <w:rFonts w:asciiTheme="minorHAnsi" w:hAnsiTheme="minorHAnsi"/>
          <w:bCs/>
          <w:lang w:val="en-GB"/>
        </w:rPr>
      </w:pPr>
      <w:r>
        <w:rPr>
          <w:rFonts w:asciiTheme="minorHAnsi" w:hAnsiTheme="minorHAnsi"/>
          <w:caps w:val="0"/>
        </w:rPr>
        <w:t>Context f</w:t>
      </w:r>
      <w:r w:rsidRPr="00C07617">
        <w:rPr>
          <w:rFonts w:asciiTheme="minorHAnsi" w:hAnsiTheme="minorHAnsi"/>
          <w:caps w:val="0"/>
        </w:rPr>
        <w:t>or Decision</w:t>
      </w:r>
    </w:p>
    <w:p w:rsidR="007654F1" w:rsidRPr="007129F2" w:rsidRDefault="007654F1" w:rsidP="007654F1">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654F1" w:rsidRPr="00C07617" w:rsidRDefault="007654F1" w:rsidP="007654F1">
      <w:pPr>
        <w:pStyle w:val="Heading1"/>
        <w:keepNext/>
        <w:keepLines/>
        <w:widowControl/>
        <w:numPr>
          <w:ilvl w:val="0"/>
          <w:numId w:val="1"/>
        </w:numPr>
        <w:spacing w:before="240" w:after="120"/>
        <w:ind w:left="709" w:hanging="709"/>
        <w:jc w:val="left"/>
        <w:rPr>
          <w:rFonts w:asciiTheme="minorHAnsi" w:hAnsiTheme="minorHAnsi"/>
        </w:rPr>
      </w:pPr>
      <w:r>
        <w:rPr>
          <w:rFonts w:asciiTheme="minorHAnsi" w:hAnsiTheme="minorHAnsi"/>
          <w:caps w:val="0"/>
        </w:rPr>
        <w:t>Sponsor’s Comment</w:t>
      </w:r>
    </w:p>
    <w:p w:rsidR="00375BFF" w:rsidRPr="00375BFF" w:rsidRDefault="00375BFF" w:rsidP="000D517E">
      <w:pPr>
        <w:spacing w:after="120"/>
        <w:ind w:left="709"/>
        <w:rPr>
          <w:rFonts w:asciiTheme="minorHAnsi" w:hAnsiTheme="minorHAnsi"/>
          <w:bCs/>
          <w:lang w:val="en-GB"/>
        </w:rPr>
      </w:pPr>
      <w:r w:rsidRPr="00375BFF">
        <w:rPr>
          <w:rFonts w:asciiTheme="minorHAnsi" w:hAnsiTheme="minorHAnsi"/>
          <w:bCs/>
          <w:lang w:val="en-GB"/>
        </w:rPr>
        <w:t>ViiV Healthcare maintains there is strong evidence to support the claim that CAB LA + RPV LA (Cabenuva) provides additional benefit compared with daily oral therapy for many people living with HIV (PLHIV) in terms of quality of life, reducing the burden of the daily reminder of HIV, reduced anxiety or worry associated with adherence to daily oral therapy or fear of unintentional disclosure of HIV status. It was important to see consumer comments reinforcing the requirement to support PLHIV and these unmet needs through access to longer acting therapy. ViiV will continue to work with the PBAC to ensure this innovative treatment option becomes available to Australians living with HIV.</w:t>
      </w:r>
    </w:p>
    <w:p w:rsidR="007654F1" w:rsidRPr="00036F46" w:rsidRDefault="00375BFF" w:rsidP="00123C8F">
      <w:pPr>
        <w:widowControl/>
        <w:ind w:left="709"/>
        <w:jc w:val="left"/>
        <w:rPr>
          <w:rFonts w:asciiTheme="minorHAnsi" w:hAnsiTheme="minorHAnsi"/>
          <w:b/>
          <w:bCs/>
        </w:rPr>
      </w:pPr>
      <w:r w:rsidRPr="00375BFF">
        <w:rPr>
          <w:rFonts w:asciiTheme="minorHAnsi" w:hAnsiTheme="minorHAnsi"/>
          <w:bCs/>
          <w:lang w:val="en-GB"/>
        </w:rPr>
        <w:t>ViiV Healthcare are disappointed the committee felt the DCE was flawed</w:t>
      </w:r>
      <w:r w:rsidR="00123C8F">
        <w:rPr>
          <w:rFonts w:asciiTheme="minorHAnsi" w:hAnsiTheme="minorHAnsi"/>
          <w:bCs/>
          <w:lang w:val="en-GB"/>
        </w:rPr>
        <w:t>. ViiV disagrees with the PBAC statement</w:t>
      </w:r>
      <w:r w:rsidRPr="00375BFF">
        <w:rPr>
          <w:rFonts w:asciiTheme="minorHAnsi" w:hAnsiTheme="minorHAnsi"/>
          <w:bCs/>
          <w:lang w:val="en-GB"/>
        </w:rPr>
        <w:t xml:space="preserve"> that ‘benefits such as stigma and associated reminder of disease, fear of unintentional disclosure, patient preference were not assessed appropriately within the experiment and the model’. On the contrary, these benefits were assessed in the experiment because they are benefits associated with the change in mode / frequency to an injection and are therefore captured in the preference for this mode and shown in the mode constant in the model. It is the point of the experiment to determine patient preferences and quantify them. </w:t>
      </w:r>
    </w:p>
    <w:p w:rsidR="001C7B02" w:rsidRPr="00525B39" w:rsidRDefault="001C7B02" w:rsidP="001C7B02">
      <w:pPr>
        <w:rPr>
          <w:rFonts w:asciiTheme="minorHAnsi" w:hAnsiTheme="minorHAnsi"/>
          <w:bCs/>
        </w:rPr>
      </w:pPr>
    </w:p>
    <w:p w:rsidR="00E20EC2" w:rsidRPr="009A0909" w:rsidRDefault="00E20EC2" w:rsidP="009A0909">
      <w:pPr>
        <w:widowControl/>
        <w:rPr>
          <w:b/>
          <w:caps/>
          <w:sz w:val="32"/>
        </w:rPr>
      </w:pPr>
    </w:p>
    <w:sectPr w:rsidR="00E20EC2" w:rsidRPr="009A0909" w:rsidSect="00E20EC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420" w16cex:dateUtc="2021-04-07T00:12:00Z"/>
  <w16cex:commentExtensible w16cex:durableId="24180444" w16cex:dateUtc="2021-04-07T00:13:00Z"/>
  <w16cex:commentExtensible w16cex:durableId="2418100C" w16cex:dateUtc="2021-04-07T01:03:00Z"/>
  <w16cex:commentExtensible w16cex:durableId="2418079C" w16cex:dateUtc="2021-04-07T00:27:00Z"/>
  <w16cex:commentExtensible w16cex:durableId="24181130" w16cex:dateUtc="2021-04-07T01:08:00Z"/>
  <w16cex:commentExtensible w16cex:durableId="2418118B" w16cex:dateUtc="2021-04-07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4ADC9" w16cid:durableId="24180420"/>
  <w16cid:commentId w16cid:paraId="643A21C0" w16cid:durableId="24180444"/>
  <w16cid:commentId w16cid:paraId="00527117" w16cid:durableId="2418100C"/>
  <w16cid:commentId w16cid:paraId="61DA98DC" w16cid:durableId="2418079C"/>
  <w16cid:commentId w16cid:paraId="5AEBA08A" w16cid:durableId="24181130"/>
  <w16cid:commentId w16cid:paraId="661C0AA3" w16cid:durableId="2417F633"/>
  <w16cid:commentId w16cid:paraId="3721BC12" w16cid:durableId="241811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7E" w:rsidRDefault="000D517E" w:rsidP="00124A51">
      <w:r>
        <w:separator/>
      </w:r>
    </w:p>
    <w:p w:rsidR="000D517E" w:rsidRDefault="000D517E"/>
  </w:endnote>
  <w:endnote w:type="continuationSeparator" w:id="0">
    <w:p w:rsidR="000D517E" w:rsidRDefault="000D517E" w:rsidP="00124A51">
      <w:r>
        <w:continuationSeparator/>
      </w:r>
    </w:p>
    <w:p w:rsidR="000D517E" w:rsidRDefault="000D5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Roboto-Ligh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7E" w:rsidRDefault="000D5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4E" w:rsidRPr="00D13A3E" w:rsidRDefault="004C244E" w:rsidP="00015886">
    <w:pPr>
      <w:ind w:right="360"/>
      <w:jc w:val="center"/>
      <w:rPr>
        <w:b/>
        <w:sz w:val="20"/>
      </w:rPr>
    </w:pPr>
  </w:p>
  <w:p w:rsidR="004C244E" w:rsidRPr="00623B67" w:rsidRDefault="004C244E" w:rsidP="00E44873">
    <w:pPr>
      <w:pStyle w:val="Footer"/>
      <w:keepNext/>
      <w:ind w:left="360"/>
      <w:jc w:val="center"/>
    </w:pPr>
    <w:r w:rsidRPr="00836F75">
      <w:rPr>
        <w:b/>
      </w:rPr>
      <w:fldChar w:fldCharType="begin"/>
    </w:r>
    <w:r w:rsidRPr="00836F75">
      <w:rPr>
        <w:b/>
      </w:rPr>
      <w:instrText xml:space="preserve"> PAGE   \* MERGEFORMAT </w:instrText>
    </w:r>
    <w:r w:rsidRPr="00836F75">
      <w:rPr>
        <w:b/>
      </w:rPr>
      <w:fldChar w:fldCharType="separate"/>
    </w:r>
    <w:r w:rsidR="00700013">
      <w:rPr>
        <w:b/>
        <w:noProof/>
      </w:rPr>
      <w:t>38</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7E" w:rsidRDefault="000D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7E" w:rsidRDefault="000D517E" w:rsidP="00124A51">
      <w:r>
        <w:separator/>
      </w:r>
    </w:p>
    <w:p w:rsidR="000D517E" w:rsidRDefault="000D517E"/>
  </w:footnote>
  <w:footnote w:type="continuationSeparator" w:id="0">
    <w:p w:rsidR="000D517E" w:rsidRDefault="000D517E" w:rsidP="00124A51">
      <w:r>
        <w:continuationSeparator/>
      </w:r>
    </w:p>
    <w:p w:rsidR="000D517E" w:rsidRDefault="000D517E"/>
  </w:footnote>
  <w:footnote w:id="1">
    <w:p w:rsidR="004C244E" w:rsidRDefault="004C244E">
      <w:pPr>
        <w:pStyle w:val="FootnoteText"/>
      </w:pPr>
      <w:r>
        <w:rPr>
          <w:rStyle w:val="FootnoteReference"/>
        </w:rPr>
        <w:footnoteRef/>
      </w:r>
      <w:r>
        <w:t xml:space="preserve"> </w:t>
      </w:r>
      <w:r w:rsidRPr="00F444A2">
        <w:t>https://www.latrobe.edu.au/__data/assets/pdf_file/0007/1058614/HIV-Futures-9.pdf</w:t>
      </w:r>
    </w:p>
  </w:footnote>
  <w:footnote w:id="2">
    <w:p w:rsidR="004C244E" w:rsidRDefault="004C244E" w:rsidP="00C858F5">
      <w:pPr>
        <w:pStyle w:val="FootnoteText"/>
      </w:pPr>
      <w:r>
        <w:rPr>
          <w:rStyle w:val="FootnoteReference"/>
        </w:rPr>
        <w:footnoteRef/>
      </w:r>
      <w:r>
        <w:t xml:space="preserve"> National update on HIV, viral hepatitis and sexually transmissible infections in Australia: 2009–2018. Sydney:</w:t>
      </w:r>
    </w:p>
    <w:p w:rsidR="004C244E" w:rsidRDefault="004C244E" w:rsidP="00C858F5">
      <w:pPr>
        <w:pStyle w:val="FootnoteText"/>
      </w:pPr>
      <w:r>
        <w:t>Kirby Institute, UNSW Sydney (published 2020).</w:t>
      </w:r>
    </w:p>
  </w:footnote>
  <w:footnote w:id="3">
    <w:p w:rsidR="004C244E" w:rsidRPr="0070353F" w:rsidRDefault="004C244E">
      <w:pPr>
        <w:pStyle w:val="FootnoteText"/>
        <w:rPr>
          <w:sz w:val="18"/>
          <w:szCs w:val="18"/>
        </w:rPr>
      </w:pPr>
      <w:r w:rsidRPr="0070353F">
        <w:rPr>
          <w:rStyle w:val="FootnoteReference"/>
          <w:sz w:val="18"/>
          <w:szCs w:val="18"/>
        </w:rPr>
        <w:footnoteRef/>
      </w:r>
      <w:r w:rsidRPr="0070353F">
        <w:rPr>
          <w:sz w:val="18"/>
          <w:szCs w:val="18"/>
        </w:rPr>
        <w:t xml:space="preserve"> </w:t>
      </w:r>
      <w:r w:rsidRPr="0070353F">
        <w:rPr>
          <w:rFonts w:eastAsiaTheme="minorHAnsi"/>
          <w:sz w:val="18"/>
          <w:szCs w:val="18"/>
        </w:rPr>
        <w:t xml:space="preserve">DANYLIV, A., PAVLOVA, M., GRYGA, I., &amp; GROOT, W. (2012). WILLINGNESS TO PAY FOR PHYSICIAN SERVICES: COMPARING ESTIMATES FROM A DISCRETE CHOICE EXPERIMENT AND CONTINGENT VALUATION. Society and Economy, 34(2), 339-357. Retrieved December 19, 2020, from </w:t>
      </w:r>
      <w:hyperlink r:id="rId1" w:history="1">
        <w:r w:rsidRPr="0070353F">
          <w:rPr>
            <w:rStyle w:val="Hyperlink"/>
            <w:rFonts w:eastAsiaTheme="minorHAnsi"/>
            <w:sz w:val="18"/>
            <w:szCs w:val="18"/>
          </w:rPr>
          <w:t>http://www.jstor.org/stable/90002260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7E" w:rsidRDefault="000D5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4E" w:rsidRPr="00623B67" w:rsidRDefault="004C244E" w:rsidP="00E44873">
    <w:pPr>
      <w:pStyle w:val="Header"/>
      <w:keepNext/>
      <w:ind w:left="360"/>
      <w:jc w:val="center"/>
      <w:rPr>
        <w:i/>
        <w:color w:val="808080"/>
      </w:rPr>
    </w:pPr>
    <w:r>
      <w:rPr>
        <w:i/>
        <w:color w:val="808080"/>
      </w:rPr>
      <w:t xml:space="preserve">Public Summary Document </w:t>
    </w:r>
    <w:r w:rsidRPr="00623B67">
      <w:rPr>
        <w:i/>
        <w:color w:val="808080"/>
      </w:rPr>
      <w:t>– March 2021 PBAC Meeting</w:t>
    </w:r>
  </w:p>
  <w:p w:rsidR="004C244E" w:rsidRPr="008C7ECB" w:rsidRDefault="004C2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7E" w:rsidRDefault="000D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B6274A"/>
    <w:multiLevelType w:val="hybridMultilevel"/>
    <w:tmpl w:val="E69205E2"/>
    <w:lvl w:ilvl="0" w:tplc="F4B8FDE2">
      <w:start w:val="1"/>
      <w:numFmt w:val="decimal"/>
      <w:lvlText w:val="%1."/>
      <w:lvlJc w:val="left"/>
      <w:pPr>
        <w:ind w:left="1778"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056B83"/>
    <w:multiLevelType w:val="hybridMultilevel"/>
    <w:tmpl w:val="A3068E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8" w15:restartNumberingAfterBreak="0">
    <w:nsid w:val="38DD3827"/>
    <w:multiLevelType w:val="hybridMultilevel"/>
    <w:tmpl w:val="FF4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0A6C449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9FCABA20">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424D3"/>
    <w:multiLevelType w:val="hybridMultilevel"/>
    <w:tmpl w:val="B83C73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270B4"/>
    <w:multiLevelType w:val="hybridMultilevel"/>
    <w:tmpl w:val="17DA7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C4794"/>
    <w:multiLevelType w:val="hybridMultilevel"/>
    <w:tmpl w:val="8222B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B53A5"/>
    <w:multiLevelType w:val="hybridMultilevel"/>
    <w:tmpl w:val="46881B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723CB7"/>
    <w:multiLevelType w:val="hybridMultilevel"/>
    <w:tmpl w:val="EFEA7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12745B6"/>
    <w:multiLevelType w:val="hybridMultilevel"/>
    <w:tmpl w:val="48D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D4EC6"/>
    <w:multiLevelType w:val="hybridMultilevel"/>
    <w:tmpl w:val="7CB4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617DB0"/>
    <w:multiLevelType w:val="hybridMultilevel"/>
    <w:tmpl w:val="1DD2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2C9CB8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0"/>
  </w:num>
  <w:num w:numId="2">
    <w:abstractNumId w:val="9"/>
  </w:num>
  <w:num w:numId="3">
    <w:abstractNumId w:val="7"/>
  </w:num>
  <w:num w:numId="4">
    <w:abstractNumId w:val="15"/>
  </w:num>
  <w:num w:numId="5">
    <w:abstractNumId w:val="14"/>
  </w:num>
  <w:num w:numId="6">
    <w:abstractNumId w:val="13"/>
  </w:num>
  <w:num w:numId="7">
    <w:abstractNumId w:val="19"/>
  </w:num>
  <w:num w:numId="8">
    <w:abstractNumId w:val="17"/>
  </w:num>
  <w:num w:numId="9">
    <w:abstractNumId w:val="8"/>
  </w:num>
  <w:num w:numId="10">
    <w:abstractNumId w:val="3"/>
  </w:num>
  <w:num w:numId="11">
    <w:abstractNumId w:val="21"/>
  </w:num>
  <w:num w:numId="12">
    <w:abstractNumId w:val="18"/>
  </w:num>
  <w:num w:numId="13">
    <w:abstractNumId w:val="9"/>
  </w:num>
  <w:num w:numId="14">
    <w:abstractNumId w:val="9"/>
  </w:num>
  <w:num w:numId="15">
    <w:abstractNumId w:val="9"/>
  </w:num>
  <w:num w:numId="16">
    <w:abstractNumId w:val="11"/>
  </w:num>
  <w:num w:numId="17">
    <w:abstractNumId w:val="12"/>
  </w:num>
  <w:num w:numId="18">
    <w:abstractNumId w:val="1"/>
  </w:num>
  <w:num w:numId="19">
    <w:abstractNumId w:val="0"/>
  </w:num>
  <w:num w:numId="20">
    <w:abstractNumId w:val="4"/>
  </w:num>
  <w:num w:numId="21">
    <w:abstractNumId w:val="6"/>
  </w:num>
  <w:num w:numId="22">
    <w:abstractNumId w:val="2"/>
  </w:num>
  <w:num w:numId="23">
    <w:abstractNumId w:val="5"/>
  </w:num>
  <w:num w:numId="24">
    <w:abstractNumId w:val="10"/>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D22"/>
    <w:rsid w:val="00002A3D"/>
    <w:rsid w:val="00003499"/>
    <w:rsid w:val="00003875"/>
    <w:rsid w:val="000039B7"/>
    <w:rsid w:val="00003F27"/>
    <w:rsid w:val="00005B23"/>
    <w:rsid w:val="000063A4"/>
    <w:rsid w:val="00010223"/>
    <w:rsid w:val="0001031F"/>
    <w:rsid w:val="00010EA1"/>
    <w:rsid w:val="00011A3E"/>
    <w:rsid w:val="00011BE2"/>
    <w:rsid w:val="00013247"/>
    <w:rsid w:val="00013D0B"/>
    <w:rsid w:val="0001436F"/>
    <w:rsid w:val="000148E0"/>
    <w:rsid w:val="00014E27"/>
    <w:rsid w:val="00015248"/>
    <w:rsid w:val="00015886"/>
    <w:rsid w:val="000162EF"/>
    <w:rsid w:val="000172FE"/>
    <w:rsid w:val="0002225F"/>
    <w:rsid w:val="0002325A"/>
    <w:rsid w:val="00023763"/>
    <w:rsid w:val="00023E62"/>
    <w:rsid w:val="000247D4"/>
    <w:rsid w:val="00025199"/>
    <w:rsid w:val="00025597"/>
    <w:rsid w:val="00025906"/>
    <w:rsid w:val="0002655A"/>
    <w:rsid w:val="0002697B"/>
    <w:rsid w:val="000272D9"/>
    <w:rsid w:val="00027704"/>
    <w:rsid w:val="00030743"/>
    <w:rsid w:val="000334E5"/>
    <w:rsid w:val="00033863"/>
    <w:rsid w:val="00033ED0"/>
    <w:rsid w:val="000344B8"/>
    <w:rsid w:val="00035C51"/>
    <w:rsid w:val="00035DC0"/>
    <w:rsid w:val="00036082"/>
    <w:rsid w:val="00036292"/>
    <w:rsid w:val="00036829"/>
    <w:rsid w:val="00036BD2"/>
    <w:rsid w:val="00036F46"/>
    <w:rsid w:val="000374E2"/>
    <w:rsid w:val="00040895"/>
    <w:rsid w:val="000422F0"/>
    <w:rsid w:val="0004318F"/>
    <w:rsid w:val="00043283"/>
    <w:rsid w:val="00043C37"/>
    <w:rsid w:val="00045017"/>
    <w:rsid w:val="00045929"/>
    <w:rsid w:val="00045A2B"/>
    <w:rsid w:val="0004698F"/>
    <w:rsid w:val="00046EBF"/>
    <w:rsid w:val="00047325"/>
    <w:rsid w:val="00047E6D"/>
    <w:rsid w:val="00050406"/>
    <w:rsid w:val="00050F68"/>
    <w:rsid w:val="000539D0"/>
    <w:rsid w:val="00054621"/>
    <w:rsid w:val="000546D7"/>
    <w:rsid w:val="00055458"/>
    <w:rsid w:val="00055879"/>
    <w:rsid w:val="00056472"/>
    <w:rsid w:val="00057468"/>
    <w:rsid w:val="000578D7"/>
    <w:rsid w:val="00060ACE"/>
    <w:rsid w:val="00061C37"/>
    <w:rsid w:val="00061CF7"/>
    <w:rsid w:val="00061F9A"/>
    <w:rsid w:val="00064DDE"/>
    <w:rsid w:val="00064E08"/>
    <w:rsid w:val="0006508C"/>
    <w:rsid w:val="00065427"/>
    <w:rsid w:val="00065576"/>
    <w:rsid w:val="000657A0"/>
    <w:rsid w:val="00066360"/>
    <w:rsid w:val="00066679"/>
    <w:rsid w:val="00067DE7"/>
    <w:rsid w:val="0007079E"/>
    <w:rsid w:val="00071248"/>
    <w:rsid w:val="000720B9"/>
    <w:rsid w:val="000729D0"/>
    <w:rsid w:val="000737F7"/>
    <w:rsid w:val="0007597C"/>
    <w:rsid w:val="0007672F"/>
    <w:rsid w:val="0007683E"/>
    <w:rsid w:val="00076BE7"/>
    <w:rsid w:val="000774F0"/>
    <w:rsid w:val="00080909"/>
    <w:rsid w:val="00080922"/>
    <w:rsid w:val="000812CA"/>
    <w:rsid w:val="00082219"/>
    <w:rsid w:val="0008258D"/>
    <w:rsid w:val="00083C61"/>
    <w:rsid w:val="00083E70"/>
    <w:rsid w:val="00083E99"/>
    <w:rsid w:val="00084209"/>
    <w:rsid w:val="000856C5"/>
    <w:rsid w:val="0008668F"/>
    <w:rsid w:val="00086CAD"/>
    <w:rsid w:val="00087214"/>
    <w:rsid w:val="000875D5"/>
    <w:rsid w:val="00087E56"/>
    <w:rsid w:val="00090BFE"/>
    <w:rsid w:val="00090C7E"/>
    <w:rsid w:val="00091DBC"/>
    <w:rsid w:val="00092600"/>
    <w:rsid w:val="0009262B"/>
    <w:rsid w:val="00093310"/>
    <w:rsid w:val="0009445C"/>
    <w:rsid w:val="000954B8"/>
    <w:rsid w:val="000956E3"/>
    <w:rsid w:val="00095FE5"/>
    <w:rsid w:val="00096284"/>
    <w:rsid w:val="000966AC"/>
    <w:rsid w:val="0009793A"/>
    <w:rsid w:val="000A08E6"/>
    <w:rsid w:val="000A12EF"/>
    <w:rsid w:val="000A23CD"/>
    <w:rsid w:val="000A295E"/>
    <w:rsid w:val="000A469F"/>
    <w:rsid w:val="000A50CC"/>
    <w:rsid w:val="000A5B21"/>
    <w:rsid w:val="000A7D08"/>
    <w:rsid w:val="000B0172"/>
    <w:rsid w:val="000B0287"/>
    <w:rsid w:val="000B0670"/>
    <w:rsid w:val="000B08BD"/>
    <w:rsid w:val="000B0E75"/>
    <w:rsid w:val="000B1203"/>
    <w:rsid w:val="000B1C08"/>
    <w:rsid w:val="000B2571"/>
    <w:rsid w:val="000B2D18"/>
    <w:rsid w:val="000B4BA5"/>
    <w:rsid w:val="000B532F"/>
    <w:rsid w:val="000B5ABB"/>
    <w:rsid w:val="000B5D99"/>
    <w:rsid w:val="000B6CAC"/>
    <w:rsid w:val="000B75CB"/>
    <w:rsid w:val="000B7612"/>
    <w:rsid w:val="000C2164"/>
    <w:rsid w:val="000C3DF9"/>
    <w:rsid w:val="000C4F4C"/>
    <w:rsid w:val="000C5A61"/>
    <w:rsid w:val="000C6713"/>
    <w:rsid w:val="000D15D1"/>
    <w:rsid w:val="000D1BFC"/>
    <w:rsid w:val="000D281A"/>
    <w:rsid w:val="000D3128"/>
    <w:rsid w:val="000D326A"/>
    <w:rsid w:val="000D3CDE"/>
    <w:rsid w:val="000D4DA0"/>
    <w:rsid w:val="000D517E"/>
    <w:rsid w:val="000D51FB"/>
    <w:rsid w:val="000D5C6B"/>
    <w:rsid w:val="000D65A8"/>
    <w:rsid w:val="000D6DA2"/>
    <w:rsid w:val="000D6F56"/>
    <w:rsid w:val="000E135D"/>
    <w:rsid w:val="000E1DC3"/>
    <w:rsid w:val="000E2C42"/>
    <w:rsid w:val="000E30FB"/>
    <w:rsid w:val="000E45AF"/>
    <w:rsid w:val="000E59CA"/>
    <w:rsid w:val="000E6020"/>
    <w:rsid w:val="000E638B"/>
    <w:rsid w:val="000E73D8"/>
    <w:rsid w:val="000E791D"/>
    <w:rsid w:val="000F00BA"/>
    <w:rsid w:val="000F031E"/>
    <w:rsid w:val="000F0398"/>
    <w:rsid w:val="000F1AB0"/>
    <w:rsid w:val="000F316A"/>
    <w:rsid w:val="000F3C74"/>
    <w:rsid w:val="000F4BB8"/>
    <w:rsid w:val="000F606A"/>
    <w:rsid w:val="000F6528"/>
    <w:rsid w:val="000F7127"/>
    <w:rsid w:val="000F7850"/>
    <w:rsid w:val="00100F8A"/>
    <w:rsid w:val="0010227A"/>
    <w:rsid w:val="00102AA9"/>
    <w:rsid w:val="00102E9F"/>
    <w:rsid w:val="00103ACF"/>
    <w:rsid w:val="0010487F"/>
    <w:rsid w:val="00104DD4"/>
    <w:rsid w:val="0010518E"/>
    <w:rsid w:val="00105903"/>
    <w:rsid w:val="00105AE2"/>
    <w:rsid w:val="00106231"/>
    <w:rsid w:val="00106B80"/>
    <w:rsid w:val="00107F6F"/>
    <w:rsid w:val="00110064"/>
    <w:rsid w:val="0011032E"/>
    <w:rsid w:val="00111A31"/>
    <w:rsid w:val="00111EA9"/>
    <w:rsid w:val="0011348B"/>
    <w:rsid w:val="00114178"/>
    <w:rsid w:val="0011493C"/>
    <w:rsid w:val="001152A5"/>
    <w:rsid w:val="00115982"/>
    <w:rsid w:val="00115AD2"/>
    <w:rsid w:val="0011670F"/>
    <w:rsid w:val="00116C53"/>
    <w:rsid w:val="001178BC"/>
    <w:rsid w:val="0012005C"/>
    <w:rsid w:val="001211DD"/>
    <w:rsid w:val="00121799"/>
    <w:rsid w:val="001222FC"/>
    <w:rsid w:val="00122621"/>
    <w:rsid w:val="0012334B"/>
    <w:rsid w:val="00123C8F"/>
    <w:rsid w:val="00124A51"/>
    <w:rsid w:val="00124D2E"/>
    <w:rsid w:val="00125493"/>
    <w:rsid w:val="00126621"/>
    <w:rsid w:val="00127181"/>
    <w:rsid w:val="0012729B"/>
    <w:rsid w:val="00127C46"/>
    <w:rsid w:val="001301E9"/>
    <w:rsid w:val="00130526"/>
    <w:rsid w:val="00130597"/>
    <w:rsid w:val="00131D82"/>
    <w:rsid w:val="00131E11"/>
    <w:rsid w:val="00132087"/>
    <w:rsid w:val="00133462"/>
    <w:rsid w:val="00133D36"/>
    <w:rsid w:val="001347D6"/>
    <w:rsid w:val="00135340"/>
    <w:rsid w:val="00137645"/>
    <w:rsid w:val="0014015A"/>
    <w:rsid w:val="00140C44"/>
    <w:rsid w:val="00140E99"/>
    <w:rsid w:val="001411F4"/>
    <w:rsid w:val="00142370"/>
    <w:rsid w:val="00142384"/>
    <w:rsid w:val="00143565"/>
    <w:rsid w:val="0014484E"/>
    <w:rsid w:val="00145114"/>
    <w:rsid w:val="00145540"/>
    <w:rsid w:val="001456B0"/>
    <w:rsid w:val="00146327"/>
    <w:rsid w:val="001509A5"/>
    <w:rsid w:val="00150FA1"/>
    <w:rsid w:val="0015189A"/>
    <w:rsid w:val="00152053"/>
    <w:rsid w:val="0015461B"/>
    <w:rsid w:val="0015548F"/>
    <w:rsid w:val="00155C00"/>
    <w:rsid w:val="0015615A"/>
    <w:rsid w:val="00157130"/>
    <w:rsid w:val="001576B1"/>
    <w:rsid w:val="00157ED8"/>
    <w:rsid w:val="00160A4C"/>
    <w:rsid w:val="00160EC1"/>
    <w:rsid w:val="00161991"/>
    <w:rsid w:val="00162913"/>
    <w:rsid w:val="00162C39"/>
    <w:rsid w:val="00163224"/>
    <w:rsid w:val="00163562"/>
    <w:rsid w:val="00163EA1"/>
    <w:rsid w:val="00163EFF"/>
    <w:rsid w:val="00164023"/>
    <w:rsid w:val="001661FB"/>
    <w:rsid w:val="00166397"/>
    <w:rsid w:val="00170523"/>
    <w:rsid w:val="00170936"/>
    <w:rsid w:val="00170CFC"/>
    <w:rsid w:val="00171A71"/>
    <w:rsid w:val="0017210F"/>
    <w:rsid w:val="001721F9"/>
    <w:rsid w:val="00173565"/>
    <w:rsid w:val="00173940"/>
    <w:rsid w:val="00173B07"/>
    <w:rsid w:val="00174575"/>
    <w:rsid w:val="00174A49"/>
    <w:rsid w:val="00174BCF"/>
    <w:rsid w:val="001756B0"/>
    <w:rsid w:val="0017741F"/>
    <w:rsid w:val="0018099C"/>
    <w:rsid w:val="00181D9C"/>
    <w:rsid w:val="00182391"/>
    <w:rsid w:val="00183DCF"/>
    <w:rsid w:val="001848A7"/>
    <w:rsid w:val="0018505B"/>
    <w:rsid w:val="00185F44"/>
    <w:rsid w:val="0018752F"/>
    <w:rsid w:val="00187C0F"/>
    <w:rsid w:val="001906F8"/>
    <w:rsid w:val="0019344C"/>
    <w:rsid w:val="00193729"/>
    <w:rsid w:val="00193D1D"/>
    <w:rsid w:val="00194C7F"/>
    <w:rsid w:val="00195222"/>
    <w:rsid w:val="00195658"/>
    <w:rsid w:val="0019586E"/>
    <w:rsid w:val="00195940"/>
    <w:rsid w:val="00196929"/>
    <w:rsid w:val="00196BE2"/>
    <w:rsid w:val="001975D8"/>
    <w:rsid w:val="001A0815"/>
    <w:rsid w:val="001A0ABB"/>
    <w:rsid w:val="001A1F14"/>
    <w:rsid w:val="001A43FA"/>
    <w:rsid w:val="001A4B8C"/>
    <w:rsid w:val="001A4C0F"/>
    <w:rsid w:val="001A4CE3"/>
    <w:rsid w:val="001A58EE"/>
    <w:rsid w:val="001A59FB"/>
    <w:rsid w:val="001A6354"/>
    <w:rsid w:val="001A6872"/>
    <w:rsid w:val="001A7AE8"/>
    <w:rsid w:val="001B056F"/>
    <w:rsid w:val="001B0C18"/>
    <w:rsid w:val="001B0D6E"/>
    <w:rsid w:val="001B0E73"/>
    <w:rsid w:val="001B1C04"/>
    <w:rsid w:val="001B204E"/>
    <w:rsid w:val="001B3443"/>
    <w:rsid w:val="001B376E"/>
    <w:rsid w:val="001B460E"/>
    <w:rsid w:val="001B4D20"/>
    <w:rsid w:val="001B7B3E"/>
    <w:rsid w:val="001C1ADB"/>
    <w:rsid w:val="001C25AC"/>
    <w:rsid w:val="001C2A9B"/>
    <w:rsid w:val="001C4299"/>
    <w:rsid w:val="001C4C62"/>
    <w:rsid w:val="001C53F2"/>
    <w:rsid w:val="001C5F94"/>
    <w:rsid w:val="001C6E66"/>
    <w:rsid w:val="001C7B02"/>
    <w:rsid w:val="001D2A4C"/>
    <w:rsid w:val="001D3958"/>
    <w:rsid w:val="001D40BF"/>
    <w:rsid w:val="001D48B9"/>
    <w:rsid w:val="001D55DA"/>
    <w:rsid w:val="001D78B4"/>
    <w:rsid w:val="001E0538"/>
    <w:rsid w:val="001E0815"/>
    <w:rsid w:val="001E1490"/>
    <w:rsid w:val="001E238E"/>
    <w:rsid w:val="001E2483"/>
    <w:rsid w:val="001E261C"/>
    <w:rsid w:val="001E2B1E"/>
    <w:rsid w:val="001E30D4"/>
    <w:rsid w:val="001E3DBA"/>
    <w:rsid w:val="001E4B14"/>
    <w:rsid w:val="001E52EB"/>
    <w:rsid w:val="001E5549"/>
    <w:rsid w:val="001E61D2"/>
    <w:rsid w:val="001E68F1"/>
    <w:rsid w:val="001E6ED3"/>
    <w:rsid w:val="001E740C"/>
    <w:rsid w:val="001F0469"/>
    <w:rsid w:val="001F1235"/>
    <w:rsid w:val="001F1CB3"/>
    <w:rsid w:val="001F1EDE"/>
    <w:rsid w:val="001F1F71"/>
    <w:rsid w:val="001F3191"/>
    <w:rsid w:val="001F35F6"/>
    <w:rsid w:val="001F38B5"/>
    <w:rsid w:val="001F6922"/>
    <w:rsid w:val="001F6947"/>
    <w:rsid w:val="001F7361"/>
    <w:rsid w:val="002011B0"/>
    <w:rsid w:val="00201F22"/>
    <w:rsid w:val="00203181"/>
    <w:rsid w:val="00203783"/>
    <w:rsid w:val="0020385F"/>
    <w:rsid w:val="00203A48"/>
    <w:rsid w:val="002041C3"/>
    <w:rsid w:val="00204FB9"/>
    <w:rsid w:val="0020555C"/>
    <w:rsid w:val="00206638"/>
    <w:rsid w:val="00207021"/>
    <w:rsid w:val="0020732F"/>
    <w:rsid w:val="00207D00"/>
    <w:rsid w:val="002105C1"/>
    <w:rsid w:val="00210A0A"/>
    <w:rsid w:val="00210A62"/>
    <w:rsid w:val="00213EFD"/>
    <w:rsid w:val="00214439"/>
    <w:rsid w:val="002150D3"/>
    <w:rsid w:val="00215380"/>
    <w:rsid w:val="00215489"/>
    <w:rsid w:val="00215779"/>
    <w:rsid w:val="00216DF2"/>
    <w:rsid w:val="00220729"/>
    <w:rsid w:val="00220AAE"/>
    <w:rsid w:val="00220CAE"/>
    <w:rsid w:val="00221763"/>
    <w:rsid w:val="00222546"/>
    <w:rsid w:val="0022258D"/>
    <w:rsid w:val="00223B49"/>
    <w:rsid w:val="00224DD4"/>
    <w:rsid w:val="002260AF"/>
    <w:rsid w:val="00226BB2"/>
    <w:rsid w:val="00227E98"/>
    <w:rsid w:val="0023027B"/>
    <w:rsid w:val="002302AE"/>
    <w:rsid w:val="002309CC"/>
    <w:rsid w:val="00230FC7"/>
    <w:rsid w:val="00231620"/>
    <w:rsid w:val="00231D32"/>
    <w:rsid w:val="0023209F"/>
    <w:rsid w:val="00232111"/>
    <w:rsid w:val="00232120"/>
    <w:rsid w:val="002329E8"/>
    <w:rsid w:val="002341BD"/>
    <w:rsid w:val="00234DFF"/>
    <w:rsid w:val="00234E47"/>
    <w:rsid w:val="00234F6A"/>
    <w:rsid w:val="00235797"/>
    <w:rsid w:val="00235BBE"/>
    <w:rsid w:val="0023629D"/>
    <w:rsid w:val="00237255"/>
    <w:rsid w:val="00240580"/>
    <w:rsid w:val="00240D99"/>
    <w:rsid w:val="00242186"/>
    <w:rsid w:val="002424AF"/>
    <w:rsid w:val="002429D9"/>
    <w:rsid w:val="002439DC"/>
    <w:rsid w:val="00244215"/>
    <w:rsid w:val="00244746"/>
    <w:rsid w:val="00244DC8"/>
    <w:rsid w:val="0024529F"/>
    <w:rsid w:val="002458BA"/>
    <w:rsid w:val="0024636C"/>
    <w:rsid w:val="00246B05"/>
    <w:rsid w:val="00246E0F"/>
    <w:rsid w:val="00247925"/>
    <w:rsid w:val="00250175"/>
    <w:rsid w:val="00250B8C"/>
    <w:rsid w:val="002520FA"/>
    <w:rsid w:val="002521A0"/>
    <w:rsid w:val="0025257D"/>
    <w:rsid w:val="002526C6"/>
    <w:rsid w:val="0025369B"/>
    <w:rsid w:val="00253D73"/>
    <w:rsid w:val="00254DCF"/>
    <w:rsid w:val="00255113"/>
    <w:rsid w:val="0025534B"/>
    <w:rsid w:val="0025583F"/>
    <w:rsid w:val="00255B53"/>
    <w:rsid w:val="00255BB7"/>
    <w:rsid w:val="00257541"/>
    <w:rsid w:val="0025756A"/>
    <w:rsid w:val="002577DC"/>
    <w:rsid w:val="00257A39"/>
    <w:rsid w:val="0026027A"/>
    <w:rsid w:val="00260A26"/>
    <w:rsid w:val="002625BE"/>
    <w:rsid w:val="00262A1A"/>
    <w:rsid w:val="00262A87"/>
    <w:rsid w:val="00263DD7"/>
    <w:rsid w:val="00264274"/>
    <w:rsid w:val="00264D26"/>
    <w:rsid w:val="002652E6"/>
    <w:rsid w:val="00265ED0"/>
    <w:rsid w:val="00265F15"/>
    <w:rsid w:val="00265F2B"/>
    <w:rsid w:val="00267085"/>
    <w:rsid w:val="00267533"/>
    <w:rsid w:val="00267642"/>
    <w:rsid w:val="00267AEA"/>
    <w:rsid w:val="002700E6"/>
    <w:rsid w:val="00271FFE"/>
    <w:rsid w:val="00272938"/>
    <w:rsid w:val="0027294B"/>
    <w:rsid w:val="0027529B"/>
    <w:rsid w:val="00275C5A"/>
    <w:rsid w:val="00275C70"/>
    <w:rsid w:val="002760BC"/>
    <w:rsid w:val="00276F92"/>
    <w:rsid w:val="00277A02"/>
    <w:rsid w:val="00277EF7"/>
    <w:rsid w:val="00281014"/>
    <w:rsid w:val="00282E33"/>
    <w:rsid w:val="002831F2"/>
    <w:rsid w:val="002839D4"/>
    <w:rsid w:val="00283D4E"/>
    <w:rsid w:val="00284E34"/>
    <w:rsid w:val="00285A26"/>
    <w:rsid w:val="00286DA4"/>
    <w:rsid w:val="002917FD"/>
    <w:rsid w:val="00292485"/>
    <w:rsid w:val="002935D4"/>
    <w:rsid w:val="00293764"/>
    <w:rsid w:val="00294900"/>
    <w:rsid w:val="00296929"/>
    <w:rsid w:val="002A14AB"/>
    <w:rsid w:val="002A2C49"/>
    <w:rsid w:val="002A2F50"/>
    <w:rsid w:val="002A36FB"/>
    <w:rsid w:val="002A398B"/>
    <w:rsid w:val="002A3C81"/>
    <w:rsid w:val="002A4E5F"/>
    <w:rsid w:val="002A54C0"/>
    <w:rsid w:val="002A568E"/>
    <w:rsid w:val="002A57B4"/>
    <w:rsid w:val="002A5851"/>
    <w:rsid w:val="002A5CD3"/>
    <w:rsid w:val="002A5EA1"/>
    <w:rsid w:val="002B09A4"/>
    <w:rsid w:val="002B0F3B"/>
    <w:rsid w:val="002B156A"/>
    <w:rsid w:val="002B1C1F"/>
    <w:rsid w:val="002B2C40"/>
    <w:rsid w:val="002B3E97"/>
    <w:rsid w:val="002B432F"/>
    <w:rsid w:val="002B436E"/>
    <w:rsid w:val="002B4C58"/>
    <w:rsid w:val="002B62B3"/>
    <w:rsid w:val="002B6754"/>
    <w:rsid w:val="002B6CCE"/>
    <w:rsid w:val="002C12CD"/>
    <w:rsid w:val="002C2283"/>
    <w:rsid w:val="002C2398"/>
    <w:rsid w:val="002C2510"/>
    <w:rsid w:val="002C2775"/>
    <w:rsid w:val="002C27C1"/>
    <w:rsid w:val="002C38D9"/>
    <w:rsid w:val="002C3F5E"/>
    <w:rsid w:val="002C4A39"/>
    <w:rsid w:val="002C5099"/>
    <w:rsid w:val="002C5889"/>
    <w:rsid w:val="002C6C3C"/>
    <w:rsid w:val="002C71CE"/>
    <w:rsid w:val="002C7402"/>
    <w:rsid w:val="002D30B9"/>
    <w:rsid w:val="002D577C"/>
    <w:rsid w:val="002E0134"/>
    <w:rsid w:val="002E041A"/>
    <w:rsid w:val="002E0443"/>
    <w:rsid w:val="002E0E06"/>
    <w:rsid w:val="002E15B9"/>
    <w:rsid w:val="002E1FB2"/>
    <w:rsid w:val="002E2158"/>
    <w:rsid w:val="002E2AC4"/>
    <w:rsid w:val="002E3332"/>
    <w:rsid w:val="002E4043"/>
    <w:rsid w:val="002E4C3B"/>
    <w:rsid w:val="002E4CC3"/>
    <w:rsid w:val="002E6489"/>
    <w:rsid w:val="002E6F2A"/>
    <w:rsid w:val="002E759A"/>
    <w:rsid w:val="002E7722"/>
    <w:rsid w:val="002F0032"/>
    <w:rsid w:val="002F0472"/>
    <w:rsid w:val="002F07BA"/>
    <w:rsid w:val="002F0D4D"/>
    <w:rsid w:val="002F0DA9"/>
    <w:rsid w:val="002F1C0D"/>
    <w:rsid w:val="002F23E1"/>
    <w:rsid w:val="002F3ACF"/>
    <w:rsid w:val="002F5BF0"/>
    <w:rsid w:val="002F5DFA"/>
    <w:rsid w:val="002F643C"/>
    <w:rsid w:val="002F71C0"/>
    <w:rsid w:val="00300394"/>
    <w:rsid w:val="00301017"/>
    <w:rsid w:val="0030119A"/>
    <w:rsid w:val="0030155F"/>
    <w:rsid w:val="00301887"/>
    <w:rsid w:val="00301BBA"/>
    <w:rsid w:val="00301F43"/>
    <w:rsid w:val="00302C99"/>
    <w:rsid w:val="0030334C"/>
    <w:rsid w:val="00303AA3"/>
    <w:rsid w:val="00303D2B"/>
    <w:rsid w:val="0030587B"/>
    <w:rsid w:val="003062FD"/>
    <w:rsid w:val="00306867"/>
    <w:rsid w:val="00306951"/>
    <w:rsid w:val="00306D98"/>
    <w:rsid w:val="0030709C"/>
    <w:rsid w:val="003076FF"/>
    <w:rsid w:val="0030786C"/>
    <w:rsid w:val="0031031A"/>
    <w:rsid w:val="00310981"/>
    <w:rsid w:val="0031158D"/>
    <w:rsid w:val="00312276"/>
    <w:rsid w:val="00314D18"/>
    <w:rsid w:val="00315363"/>
    <w:rsid w:val="00315498"/>
    <w:rsid w:val="0031683B"/>
    <w:rsid w:val="00316F7A"/>
    <w:rsid w:val="00317B77"/>
    <w:rsid w:val="00320F51"/>
    <w:rsid w:val="003211B8"/>
    <w:rsid w:val="00321E77"/>
    <w:rsid w:val="00322107"/>
    <w:rsid w:val="00322846"/>
    <w:rsid w:val="003229DC"/>
    <w:rsid w:val="00322A8D"/>
    <w:rsid w:val="00324B5F"/>
    <w:rsid w:val="003250E4"/>
    <w:rsid w:val="0032587B"/>
    <w:rsid w:val="0032623D"/>
    <w:rsid w:val="00326DA7"/>
    <w:rsid w:val="00326E40"/>
    <w:rsid w:val="003270E4"/>
    <w:rsid w:val="0032732C"/>
    <w:rsid w:val="0032759D"/>
    <w:rsid w:val="00330082"/>
    <w:rsid w:val="00330F5C"/>
    <w:rsid w:val="0033306D"/>
    <w:rsid w:val="00333B21"/>
    <w:rsid w:val="00335498"/>
    <w:rsid w:val="00336594"/>
    <w:rsid w:val="003366C9"/>
    <w:rsid w:val="003371B0"/>
    <w:rsid w:val="0034086E"/>
    <w:rsid w:val="00340D9A"/>
    <w:rsid w:val="00340DF1"/>
    <w:rsid w:val="00341E31"/>
    <w:rsid w:val="003422C4"/>
    <w:rsid w:val="00342829"/>
    <w:rsid w:val="00344369"/>
    <w:rsid w:val="003443B8"/>
    <w:rsid w:val="00344A81"/>
    <w:rsid w:val="00345492"/>
    <w:rsid w:val="003459A9"/>
    <w:rsid w:val="00345B29"/>
    <w:rsid w:val="00347EEF"/>
    <w:rsid w:val="00350411"/>
    <w:rsid w:val="0035070F"/>
    <w:rsid w:val="003517F9"/>
    <w:rsid w:val="00352C98"/>
    <w:rsid w:val="0035620E"/>
    <w:rsid w:val="003617FE"/>
    <w:rsid w:val="00361EB2"/>
    <w:rsid w:val="003623A1"/>
    <w:rsid w:val="003624C4"/>
    <w:rsid w:val="00363FA6"/>
    <w:rsid w:val="003654AC"/>
    <w:rsid w:val="00365553"/>
    <w:rsid w:val="00366778"/>
    <w:rsid w:val="00366B65"/>
    <w:rsid w:val="0037029F"/>
    <w:rsid w:val="003710CF"/>
    <w:rsid w:val="00371577"/>
    <w:rsid w:val="003718AA"/>
    <w:rsid w:val="0037358A"/>
    <w:rsid w:val="0037383F"/>
    <w:rsid w:val="003740A5"/>
    <w:rsid w:val="00374BE6"/>
    <w:rsid w:val="003750F6"/>
    <w:rsid w:val="00375BFF"/>
    <w:rsid w:val="00375C9C"/>
    <w:rsid w:val="003760FC"/>
    <w:rsid w:val="0037620E"/>
    <w:rsid w:val="00376269"/>
    <w:rsid w:val="00376598"/>
    <w:rsid w:val="0037669C"/>
    <w:rsid w:val="00377471"/>
    <w:rsid w:val="00380946"/>
    <w:rsid w:val="00380CDC"/>
    <w:rsid w:val="003816E0"/>
    <w:rsid w:val="0038365C"/>
    <w:rsid w:val="0038369B"/>
    <w:rsid w:val="00383B78"/>
    <w:rsid w:val="00383C29"/>
    <w:rsid w:val="00384864"/>
    <w:rsid w:val="00385A9D"/>
    <w:rsid w:val="00385ACE"/>
    <w:rsid w:val="00386BB4"/>
    <w:rsid w:val="003902B1"/>
    <w:rsid w:val="0039045F"/>
    <w:rsid w:val="00391E1C"/>
    <w:rsid w:val="003930A5"/>
    <w:rsid w:val="003930FA"/>
    <w:rsid w:val="00393568"/>
    <w:rsid w:val="00393BAC"/>
    <w:rsid w:val="00395815"/>
    <w:rsid w:val="00396896"/>
    <w:rsid w:val="00396AD6"/>
    <w:rsid w:val="00396FD0"/>
    <w:rsid w:val="0039773B"/>
    <w:rsid w:val="00397FD9"/>
    <w:rsid w:val="003A16E3"/>
    <w:rsid w:val="003A1A7A"/>
    <w:rsid w:val="003A1C1C"/>
    <w:rsid w:val="003A2392"/>
    <w:rsid w:val="003A2831"/>
    <w:rsid w:val="003A2D9E"/>
    <w:rsid w:val="003A3ED1"/>
    <w:rsid w:val="003A5F1B"/>
    <w:rsid w:val="003A6479"/>
    <w:rsid w:val="003A74E0"/>
    <w:rsid w:val="003A79CE"/>
    <w:rsid w:val="003A7FE3"/>
    <w:rsid w:val="003B109E"/>
    <w:rsid w:val="003B1326"/>
    <w:rsid w:val="003B14EB"/>
    <w:rsid w:val="003B1988"/>
    <w:rsid w:val="003B2A0C"/>
    <w:rsid w:val="003B2F23"/>
    <w:rsid w:val="003B3F6F"/>
    <w:rsid w:val="003B40BF"/>
    <w:rsid w:val="003B5B61"/>
    <w:rsid w:val="003B64D9"/>
    <w:rsid w:val="003B7B6E"/>
    <w:rsid w:val="003C1654"/>
    <w:rsid w:val="003C1BF1"/>
    <w:rsid w:val="003C3C0A"/>
    <w:rsid w:val="003C54A0"/>
    <w:rsid w:val="003C611F"/>
    <w:rsid w:val="003C62AF"/>
    <w:rsid w:val="003C6315"/>
    <w:rsid w:val="003C6357"/>
    <w:rsid w:val="003C6FFB"/>
    <w:rsid w:val="003C7BB6"/>
    <w:rsid w:val="003C7D19"/>
    <w:rsid w:val="003C7E0B"/>
    <w:rsid w:val="003D01BC"/>
    <w:rsid w:val="003D073E"/>
    <w:rsid w:val="003D1403"/>
    <w:rsid w:val="003D1828"/>
    <w:rsid w:val="003D1DE4"/>
    <w:rsid w:val="003D2422"/>
    <w:rsid w:val="003D28AC"/>
    <w:rsid w:val="003D2938"/>
    <w:rsid w:val="003D2A5C"/>
    <w:rsid w:val="003D39A1"/>
    <w:rsid w:val="003D3FBF"/>
    <w:rsid w:val="003D4530"/>
    <w:rsid w:val="003D4A30"/>
    <w:rsid w:val="003D5F3C"/>
    <w:rsid w:val="003D6AC9"/>
    <w:rsid w:val="003D79BB"/>
    <w:rsid w:val="003D7C98"/>
    <w:rsid w:val="003D7F88"/>
    <w:rsid w:val="003E0543"/>
    <w:rsid w:val="003E2106"/>
    <w:rsid w:val="003E2629"/>
    <w:rsid w:val="003E334B"/>
    <w:rsid w:val="003E35FC"/>
    <w:rsid w:val="003E3D64"/>
    <w:rsid w:val="003E64FC"/>
    <w:rsid w:val="003E6775"/>
    <w:rsid w:val="003E6880"/>
    <w:rsid w:val="003F1B76"/>
    <w:rsid w:val="003F2BE7"/>
    <w:rsid w:val="003F4156"/>
    <w:rsid w:val="003F5912"/>
    <w:rsid w:val="003F7E62"/>
    <w:rsid w:val="00400B29"/>
    <w:rsid w:val="004012F0"/>
    <w:rsid w:val="00401FEE"/>
    <w:rsid w:val="00402A94"/>
    <w:rsid w:val="0040504B"/>
    <w:rsid w:val="0040579E"/>
    <w:rsid w:val="0040617B"/>
    <w:rsid w:val="00406858"/>
    <w:rsid w:val="00406E4D"/>
    <w:rsid w:val="00407101"/>
    <w:rsid w:val="00407E06"/>
    <w:rsid w:val="00410177"/>
    <w:rsid w:val="00410708"/>
    <w:rsid w:val="00410EC7"/>
    <w:rsid w:val="00411141"/>
    <w:rsid w:val="004115B7"/>
    <w:rsid w:val="00411B39"/>
    <w:rsid w:val="00411DC7"/>
    <w:rsid w:val="00413A1E"/>
    <w:rsid w:val="00414476"/>
    <w:rsid w:val="00414C2E"/>
    <w:rsid w:val="00414D05"/>
    <w:rsid w:val="004151CF"/>
    <w:rsid w:val="00415D5A"/>
    <w:rsid w:val="00416364"/>
    <w:rsid w:val="00416B45"/>
    <w:rsid w:val="00416FE8"/>
    <w:rsid w:val="00417743"/>
    <w:rsid w:val="00417EFE"/>
    <w:rsid w:val="00420AA6"/>
    <w:rsid w:val="00420B9F"/>
    <w:rsid w:val="00421F5F"/>
    <w:rsid w:val="00422260"/>
    <w:rsid w:val="0042413F"/>
    <w:rsid w:val="00426AEE"/>
    <w:rsid w:val="00426C06"/>
    <w:rsid w:val="00426D51"/>
    <w:rsid w:val="00426FA3"/>
    <w:rsid w:val="004319F8"/>
    <w:rsid w:val="00431E55"/>
    <w:rsid w:val="00431EBA"/>
    <w:rsid w:val="004321F6"/>
    <w:rsid w:val="00433044"/>
    <w:rsid w:val="0043418E"/>
    <w:rsid w:val="0043475C"/>
    <w:rsid w:val="0043504F"/>
    <w:rsid w:val="004353AF"/>
    <w:rsid w:val="00436B6E"/>
    <w:rsid w:val="00436CBB"/>
    <w:rsid w:val="004375B9"/>
    <w:rsid w:val="0044104A"/>
    <w:rsid w:val="00441797"/>
    <w:rsid w:val="00442536"/>
    <w:rsid w:val="004428D0"/>
    <w:rsid w:val="004436DC"/>
    <w:rsid w:val="004443A7"/>
    <w:rsid w:val="0044442C"/>
    <w:rsid w:val="00444922"/>
    <w:rsid w:val="004451E5"/>
    <w:rsid w:val="004452C8"/>
    <w:rsid w:val="00445941"/>
    <w:rsid w:val="0044599A"/>
    <w:rsid w:val="004464EB"/>
    <w:rsid w:val="00446B55"/>
    <w:rsid w:val="00447D26"/>
    <w:rsid w:val="00447E4D"/>
    <w:rsid w:val="004502B2"/>
    <w:rsid w:val="0045119C"/>
    <w:rsid w:val="004528F3"/>
    <w:rsid w:val="0045370C"/>
    <w:rsid w:val="0045416C"/>
    <w:rsid w:val="00454EDC"/>
    <w:rsid w:val="0045547A"/>
    <w:rsid w:val="00455501"/>
    <w:rsid w:val="004558C1"/>
    <w:rsid w:val="00455C08"/>
    <w:rsid w:val="00455D45"/>
    <w:rsid w:val="00455EE2"/>
    <w:rsid w:val="004566F6"/>
    <w:rsid w:val="00456DB6"/>
    <w:rsid w:val="00456E52"/>
    <w:rsid w:val="00456ED3"/>
    <w:rsid w:val="00457AEB"/>
    <w:rsid w:val="004609E7"/>
    <w:rsid w:val="00460D8F"/>
    <w:rsid w:val="004611B9"/>
    <w:rsid w:val="00462387"/>
    <w:rsid w:val="004631B2"/>
    <w:rsid w:val="00463D4C"/>
    <w:rsid w:val="00464595"/>
    <w:rsid w:val="0046465A"/>
    <w:rsid w:val="00464BE7"/>
    <w:rsid w:val="004663F5"/>
    <w:rsid w:val="00466684"/>
    <w:rsid w:val="00467BD7"/>
    <w:rsid w:val="0047140D"/>
    <w:rsid w:val="00472A79"/>
    <w:rsid w:val="00472C85"/>
    <w:rsid w:val="00473F19"/>
    <w:rsid w:val="00474414"/>
    <w:rsid w:val="00474F06"/>
    <w:rsid w:val="00475E22"/>
    <w:rsid w:val="004765C2"/>
    <w:rsid w:val="0048016D"/>
    <w:rsid w:val="0048078E"/>
    <w:rsid w:val="0048088E"/>
    <w:rsid w:val="00480B3D"/>
    <w:rsid w:val="00481B1D"/>
    <w:rsid w:val="00481D87"/>
    <w:rsid w:val="00482720"/>
    <w:rsid w:val="004835E7"/>
    <w:rsid w:val="0048381E"/>
    <w:rsid w:val="00483D10"/>
    <w:rsid w:val="00484056"/>
    <w:rsid w:val="00484702"/>
    <w:rsid w:val="00484B65"/>
    <w:rsid w:val="00486232"/>
    <w:rsid w:val="004867E2"/>
    <w:rsid w:val="004901B3"/>
    <w:rsid w:val="004906DC"/>
    <w:rsid w:val="00490EDB"/>
    <w:rsid w:val="00491562"/>
    <w:rsid w:val="00491B3A"/>
    <w:rsid w:val="00491C32"/>
    <w:rsid w:val="0049251F"/>
    <w:rsid w:val="00492CFD"/>
    <w:rsid w:val="00492FB2"/>
    <w:rsid w:val="004930F3"/>
    <w:rsid w:val="00494317"/>
    <w:rsid w:val="00494DD5"/>
    <w:rsid w:val="004958AD"/>
    <w:rsid w:val="004958C5"/>
    <w:rsid w:val="00495A6D"/>
    <w:rsid w:val="00496196"/>
    <w:rsid w:val="004962D2"/>
    <w:rsid w:val="0049725C"/>
    <w:rsid w:val="00497C2F"/>
    <w:rsid w:val="004A021C"/>
    <w:rsid w:val="004A0DA1"/>
    <w:rsid w:val="004A1F63"/>
    <w:rsid w:val="004A239A"/>
    <w:rsid w:val="004A3D34"/>
    <w:rsid w:val="004A409A"/>
    <w:rsid w:val="004A52E9"/>
    <w:rsid w:val="004A63F7"/>
    <w:rsid w:val="004A6483"/>
    <w:rsid w:val="004A6597"/>
    <w:rsid w:val="004A7848"/>
    <w:rsid w:val="004B0709"/>
    <w:rsid w:val="004B14BB"/>
    <w:rsid w:val="004B1C97"/>
    <w:rsid w:val="004B1CB4"/>
    <w:rsid w:val="004B2F18"/>
    <w:rsid w:val="004B35C9"/>
    <w:rsid w:val="004B36E5"/>
    <w:rsid w:val="004B37AD"/>
    <w:rsid w:val="004B38FA"/>
    <w:rsid w:val="004B3DDB"/>
    <w:rsid w:val="004B4226"/>
    <w:rsid w:val="004B44FD"/>
    <w:rsid w:val="004B5CFC"/>
    <w:rsid w:val="004B66F5"/>
    <w:rsid w:val="004B6811"/>
    <w:rsid w:val="004B7624"/>
    <w:rsid w:val="004B774D"/>
    <w:rsid w:val="004B7E2E"/>
    <w:rsid w:val="004C244E"/>
    <w:rsid w:val="004C269F"/>
    <w:rsid w:val="004C362B"/>
    <w:rsid w:val="004C4AED"/>
    <w:rsid w:val="004C4CC3"/>
    <w:rsid w:val="004C60B4"/>
    <w:rsid w:val="004C7BB0"/>
    <w:rsid w:val="004D06BF"/>
    <w:rsid w:val="004D1AC2"/>
    <w:rsid w:val="004D267E"/>
    <w:rsid w:val="004D2BE7"/>
    <w:rsid w:val="004D2C2D"/>
    <w:rsid w:val="004D5CAE"/>
    <w:rsid w:val="004D63F9"/>
    <w:rsid w:val="004D6953"/>
    <w:rsid w:val="004D7227"/>
    <w:rsid w:val="004D7C30"/>
    <w:rsid w:val="004E02A3"/>
    <w:rsid w:val="004E0E0D"/>
    <w:rsid w:val="004E0E7F"/>
    <w:rsid w:val="004E0EB8"/>
    <w:rsid w:val="004E28E3"/>
    <w:rsid w:val="004E2A62"/>
    <w:rsid w:val="004E2ADC"/>
    <w:rsid w:val="004E3252"/>
    <w:rsid w:val="004E3DEF"/>
    <w:rsid w:val="004E43B2"/>
    <w:rsid w:val="004E44EB"/>
    <w:rsid w:val="004E470F"/>
    <w:rsid w:val="004E4C59"/>
    <w:rsid w:val="004E4EAD"/>
    <w:rsid w:val="004E508B"/>
    <w:rsid w:val="004E5A47"/>
    <w:rsid w:val="004E5F31"/>
    <w:rsid w:val="004E7B9A"/>
    <w:rsid w:val="004F1D02"/>
    <w:rsid w:val="004F2679"/>
    <w:rsid w:val="004F29F3"/>
    <w:rsid w:val="004F2F21"/>
    <w:rsid w:val="004F3984"/>
    <w:rsid w:val="004F5FCC"/>
    <w:rsid w:val="004F6913"/>
    <w:rsid w:val="004F6D1D"/>
    <w:rsid w:val="004F7504"/>
    <w:rsid w:val="004F7606"/>
    <w:rsid w:val="004F7865"/>
    <w:rsid w:val="00500D98"/>
    <w:rsid w:val="00501A51"/>
    <w:rsid w:val="0050219B"/>
    <w:rsid w:val="00502B3C"/>
    <w:rsid w:val="00503F17"/>
    <w:rsid w:val="00504705"/>
    <w:rsid w:val="00506928"/>
    <w:rsid w:val="00510103"/>
    <w:rsid w:val="00511236"/>
    <w:rsid w:val="005123F4"/>
    <w:rsid w:val="00512451"/>
    <w:rsid w:val="00513C16"/>
    <w:rsid w:val="00513DD2"/>
    <w:rsid w:val="0051413E"/>
    <w:rsid w:val="005152B5"/>
    <w:rsid w:val="005158E5"/>
    <w:rsid w:val="00515AAD"/>
    <w:rsid w:val="00515AFF"/>
    <w:rsid w:val="005168A5"/>
    <w:rsid w:val="00516B68"/>
    <w:rsid w:val="00521319"/>
    <w:rsid w:val="005226EE"/>
    <w:rsid w:val="00522AF3"/>
    <w:rsid w:val="00522BC8"/>
    <w:rsid w:val="005233F9"/>
    <w:rsid w:val="0052356E"/>
    <w:rsid w:val="0052377F"/>
    <w:rsid w:val="005239FA"/>
    <w:rsid w:val="00523C28"/>
    <w:rsid w:val="005246C2"/>
    <w:rsid w:val="005264AA"/>
    <w:rsid w:val="0052796E"/>
    <w:rsid w:val="00527D3C"/>
    <w:rsid w:val="00530C04"/>
    <w:rsid w:val="00531A3F"/>
    <w:rsid w:val="00532048"/>
    <w:rsid w:val="0053429C"/>
    <w:rsid w:val="00534C27"/>
    <w:rsid w:val="00534E4E"/>
    <w:rsid w:val="00536F42"/>
    <w:rsid w:val="00537182"/>
    <w:rsid w:val="00541CB1"/>
    <w:rsid w:val="00542743"/>
    <w:rsid w:val="00542C2D"/>
    <w:rsid w:val="005443DE"/>
    <w:rsid w:val="00544FFA"/>
    <w:rsid w:val="00545A6A"/>
    <w:rsid w:val="005518D6"/>
    <w:rsid w:val="00551985"/>
    <w:rsid w:val="00551C62"/>
    <w:rsid w:val="0055213E"/>
    <w:rsid w:val="00552BD3"/>
    <w:rsid w:val="00552C5E"/>
    <w:rsid w:val="00553892"/>
    <w:rsid w:val="0055392F"/>
    <w:rsid w:val="00554285"/>
    <w:rsid w:val="005542C8"/>
    <w:rsid w:val="00555010"/>
    <w:rsid w:val="00555109"/>
    <w:rsid w:val="005579AF"/>
    <w:rsid w:val="0056213C"/>
    <w:rsid w:val="00565295"/>
    <w:rsid w:val="005665C7"/>
    <w:rsid w:val="0056696F"/>
    <w:rsid w:val="00571547"/>
    <w:rsid w:val="00571D45"/>
    <w:rsid w:val="00572269"/>
    <w:rsid w:val="0057244A"/>
    <w:rsid w:val="00572DEF"/>
    <w:rsid w:val="0057478C"/>
    <w:rsid w:val="00575493"/>
    <w:rsid w:val="005757BA"/>
    <w:rsid w:val="005758B7"/>
    <w:rsid w:val="00575B0C"/>
    <w:rsid w:val="00575D8D"/>
    <w:rsid w:val="00576972"/>
    <w:rsid w:val="00576C83"/>
    <w:rsid w:val="00576C8F"/>
    <w:rsid w:val="00577D1A"/>
    <w:rsid w:val="00577E8D"/>
    <w:rsid w:val="005800EB"/>
    <w:rsid w:val="005817C6"/>
    <w:rsid w:val="00581E23"/>
    <w:rsid w:val="00581E86"/>
    <w:rsid w:val="00582C78"/>
    <w:rsid w:val="00582D93"/>
    <w:rsid w:val="00583699"/>
    <w:rsid w:val="00585CDD"/>
    <w:rsid w:val="00585D5F"/>
    <w:rsid w:val="00587058"/>
    <w:rsid w:val="00587897"/>
    <w:rsid w:val="00591957"/>
    <w:rsid w:val="00591C88"/>
    <w:rsid w:val="00593D21"/>
    <w:rsid w:val="00593E8E"/>
    <w:rsid w:val="005951B8"/>
    <w:rsid w:val="005962BB"/>
    <w:rsid w:val="0059630F"/>
    <w:rsid w:val="00596895"/>
    <w:rsid w:val="0059690F"/>
    <w:rsid w:val="00596FD6"/>
    <w:rsid w:val="0059763B"/>
    <w:rsid w:val="00597BF9"/>
    <w:rsid w:val="005A28CE"/>
    <w:rsid w:val="005A2A5D"/>
    <w:rsid w:val="005A2C69"/>
    <w:rsid w:val="005A31CD"/>
    <w:rsid w:val="005A36D2"/>
    <w:rsid w:val="005A373D"/>
    <w:rsid w:val="005A3E42"/>
    <w:rsid w:val="005A7AB1"/>
    <w:rsid w:val="005A7BAB"/>
    <w:rsid w:val="005A7F27"/>
    <w:rsid w:val="005B1E93"/>
    <w:rsid w:val="005B2FC7"/>
    <w:rsid w:val="005B34A4"/>
    <w:rsid w:val="005B359A"/>
    <w:rsid w:val="005B5857"/>
    <w:rsid w:val="005B6B28"/>
    <w:rsid w:val="005B7594"/>
    <w:rsid w:val="005B7C04"/>
    <w:rsid w:val="005C1B83"/>
    <w:rsid w:val="005C2357"/>
    <w:rsid w:val="005C2A17"/>
    <w:rsid w:val="005C2D55"/>
    <w:rsid w:val="005C3424"/>
    <w:rsid w:val="005C346B"/>
    <w:rsid w:val="005C47FC"/>
    <w:rsid w:val="005C5E3D"/>
    <w:rsid w:val="005C72A8"/>
    <w:rsid w:val="005C75BC"/>
    <w:rsid w:val="005D03EF"/>
    <w:rsid w:val="005D044D"/>
    <w:rsid w:val="005D0ABD"/>
    <w:rsid w:val="005D0CA8"/>
    <w:rsid w:val="005D0E9E"/>
    <w:rsid w:val="005D18AD"/>
    <w:rsid w:val="005D1F20"/>
    <w:rsid w:val="005D26B4"/>
    <w:rsid w:val="005D2D1A"/>
    <w:rsid w:val="005D4D6C"/>
    <w:rsid w:val="005D5347"/>
    <w:rsid w:val="005D55D4"/>
    <w:rsid w:val="005D6242"/>
    <w:rsid w:val="005D6873"/>
    <w:rsid w:val="005D73DD"/>
    <w:rsid w:val="005D77B0"/>
    <w:rsid w:val="005E089C"/>
    <w:rsid w:val="005E1A7A"/>
    <w:rsid w:val="005E1C89"/>
    <w:rsid w:val="005E35E2"/>
    <w:rsid w:val="005E3BCD"/>
    <w:rsid w:val="005E475E"/>
    <w:rsid w:val="005E4ECD"/>
    <w:rsid w:val="005E5121"/>
    <w:rsid w:val="005E55D7"/>
    <w:rsid w:val="005E6CBC"/>
    <w:rsid w:val="005E73C0"/>
    <w:rsid w:val="005F0704"/>
    <w:rsid w:val="005F1504"/>
    <w:rsid w:val="005F18AF"/>
    <w:rsid w:val="005F1BDF"/>
    <w:rsid w:val="005F1C1D"/>
    <w:rsid w:val="005F25C2"/>
    <w:rsid w:val="005F2706"/>
    <w:rsid w:val="005F3ADD"/>
    <w:rsid w:val="005F6A8F"/>
    <w:rsid w:val="0060090A"/>
    <w:rsid w:val="00601583"/>
    <w:rsid w:val="00601D8C"/>
    <w:rsid w:val="0060293C"/>
    <w:rsid w:val="00603364"/>
    <w:rsid w:val="00603926"/>
    <w:rsid w:val="00603B57"/>
    <w:rsid w:val="00603DB9"/>
    <w:rsid w:val="006054E9"/>
    <w:rsid w:val="00605572"/>
    <w:rsid w:val="00605578"/>
    <w:rsid w:val="00605E70"/>
    <w:rsid w:val="006064F3"/>
    <w:rsid w:val="006072B1"/>
    <w:rsid w:val="00607379"/>
    <w:rsid w:val="00607669"/>
    <w:rsid w:val="00607AFD"/>
    <w:rsid w:val="00611F5B"/>
    <w:rsid w:val="006125B3"/>
    <w:rsid w:val="00612DC6"/>
    <w:rsid w:val="00612F97"/>
    <w:rsid w:val="0061305B"/>
    <w:rsid w:val="0061345D"/>
    <w:rsid w:val="00613572"/>
    <w:rsid w:val="006155B1"/>
    <w:rsid w:val="00615B8C"/>
    <w:rsid w:val="00616802"/>
    <w:rsid w:val="00617E12"/>
    <w:rsid w:val="00621477"/>
    <w:rsid w:val="00622CDD"/>
    <w:rsid w:val="00623111"/>
    <w:rsid w:val="006231A8"/>
    <w:rsid w:val="0062321E"/>
    <w:rsid w:val="00623617"/>
    <w:rsid w:val="00623B0F"/>
    <w:rsid w:val="00623B67"/>
    <w:rsid w:val="00626516"/>
    <w:rsid w:val="00626721"/>
    <w:rsid w:val="00626CF7"/>
    <w:rsid w:val="006279F9"/>
    <w:rsid w:val="0063158F"/>
    <w:rsid w:val="006319EE"/>
    <w:rsid w:val="00631D6B"/>
    <w:rsid w:val="00631EE8"/>
    <w:rsid w:val="006330A1"/>
    <w:rsid w:val="00633ECA"/>
    <w:rsid w:val="00634120"/>
    <w:rsid w:val="0063479F"/>
    <w:rsid w:val="006352CC"/>
    <w:rsid w:val="006353F0"/>
    <w:rsid w:val="006356BD"/>
    <w:rsid w:val="006364A1"/>
    <w:rsid w:val="00636864"/>
    <w:rsid w:val="00637BFD"/>
    <w:rsid w:val="0064034F"/>
    <w:rsid w:val="00641605"/>
    <w:rsid w:val="00641C4E"/>
    <w:rsid w:val="006436A4"/>
    <w:rsid w:val="00644D84"/>
    <w:rsid w:val="006461DC"/>
    <w:rsid w:val="006464C3"/>
    <w:rsid w:val="006471CC"/>
    <w:rsid w:val="0064735C"/>
    <w:rsid w:val="0065079F"/>
    <w:rsid w:val="00651159"/>
    <w:rsid w:val="0065134E"/>
    <w:rsid w:val="006515F3"/>
    <w:rsid w:val="00652A47"/>
    <w:rsid w:val="00652B25"/>
    <w:rsid w:val="00652C4C"/>
    <w:rsid w:val="0065379F"/>
    <w:rsid w:val="00654C9A"/>
    <w:rsid w:val="00656D55"/>
    <w:rsid w:val="00657FFA"/>
    <w:rsid w:val="00661C6B"/>
    <w:rsid w:val="00662A37"/>
    <w:rsid w:val="006649D1"/>
    <w:rsid w:val="00666E47"/>
    <w:rsid w:val="0066719F"/>
    <w:rsid w:val="006710BD"/>
    <w:rsid w:val="0067155C"/>
    <w:rsid w:val="006737EE"/>
    <w:rsid w:val="006737F9"/>
    <w:rsid w:val="006747C1"/>
    <w:rsid w:val="00674E42"/>
    <w:rsid w:val="00676505"/>
    <w:rsid w:val="00677B7A"/>
    <w:rsid w:val="00677C80"/>
    <w:rsid w:val="00680B10"/>
    <w:rsid w:val="00680F4D"/>
    <w:rsid w:val="00682112"/>
    <w:rsid w:val="00682636"/>
    <w:rsid w:val="0068436E"/>
    <w:rsid w:val="006847C6"/>
    <w:rsid w:val="00684867"/>
    <w:rsid w:val="00685F68"/>
    <w:rsid w:val="00686256"/>
    <w:rsid w:val="00686957"/>
    <w:rsid w:val="006872BA"/>
    <w:rsid w:val="00687E26"/>
    <w:rsid w:val="00691648"/>
    <w:rsid w:val="006917D7"/>
    <w:rsid w:val="00691FB8"/>
    <w:rsid w:val="006941E4"/>
    <w:rsid w:val="00694DED"/>
    <w:rsid w:val="00694F44"/>
    <w:rsid w:val="0069629F"/>
    <w:rsid w:val="006A0524"/>
    <w:rsid w:val="006A067B"/>
    <w:rsid w:val="006A174A"/>
    <w:rsid w:val="006A36A7"/>
    <w:rsid w:val="006A3CE1"/>
    <w:rsid w:val="006A4EC1"/>
    <w:rsid w:val="006A4FD5"/>
    <w:rsid w:val="006A5F6C"/>
    <w:rsid w:val="006A79FE"/>
    <w:rsid w:val="006A7E5F"/>
    <w:rsid w:val="006B0237"/>
    <w:rsid w:val="006B0768"/>
    <w:rsid w:val="006B261B"/>
    <w:rsid w:val="006B27D0"/>
    <w:rsid w:val="006B2C90"/>
    <w:rsid w:val="006B3285"/>
    <w:rsid w:val="006B443A"/>
    <w:rsid w:val="006B4BB8"/>
    <w:rsid w:val="006B5571"/>
    <w:rsid w:val="006B617F"/>
    <w:rsid w:val="006B67F5"/>
    <w:rsid w:val="006B6CA3"/>
    <w:rsid w:val="006B6DD0"/>
    <w:rsid w:val="006B713A"/>
    <w:rsid w:val="006C0548"/>
    <w:rsid w:val="006C0DC8"/>
    <w:rsid w:val="006C14BE"/>
    <w:rsid w:val="006C1AF3"/>
    <w:rsid w:val="006C2A8E"/>
    <w:rsid w:val="006C328F"/>
    <w:rsid w:val="006C43BC"/>
    <w:rsid w:val="006C6603"/>
    <w:rsid w:val="006C6DF1"/>
    <w:rsid w:val="006C7C9D"/>
    <w:rsid w:val="006D0DE2"/>
    <w:rsid w:val="006D31A0"/>
    <w:rsid w:val="006D3C7D"/>
    <w:rsid w:val="006D4203"/>
    <w:rsid w:val="006D5603"/>
    <w:rsid w:val="006D5D5F"/>
    <w:rsid w:val="006D661D"/>
    <w:rsid w:val="006D76D4"/>
    <w:rsid w:val="006E0537"/>
    <w:rsid w:val="006E120D"/>
    <w:rsid w:val="006E204B"/>
    <w:rsid w:val="006E2B7D"/>
    <w:rsid w:val="006E40CE"/>
    <w:rsid w:val="006E4AF4"/>
    <w:rsid w:val="006E6DD1"/>
    <w:rsid w:val="006E7DFC"/>
    <w:rsid w:val="006F2DAD"/>
    <w:rsid w:val="006F2F0A"/>
    <w:rsid w:val="006F306C"/>
    <w:rsid w:val="006F31CA"/>
    <w:rsid w:val="006F374C"/>
    <w:rsid w:val="006F489D"/>
    <w:rsid w:val="006F63A5"/>
    <w:rsid w:val="006F664A"/>
    <w:rsid w:val="006F6B6E"/>
    <w:rsid w:val="006F6F31"/>
    <w:rsid w:val="006F70C0"/>
    <w:rsid w:val="00700013"/>
    <w:rsid w:val="0070142B"/>
    <w:rsid w:val="00701848"/>
    <w:rsid w:val="007024B0"/>
    <w:rsid w:val="0070276E"/>
    <w:rsid w:val="00702F8F"/>
    <w:rsid w:val="007033BC"/>
    <w:rsid w:val="0070353F"/>
    <w:rsid w:val="007035CC"/>
    <w:rsid w:val="00704E0D"/>
    <w:rsid w:val="0070575B"/>
    <w:rsid w:val="0071093F"/>
    <w:rsid w:val="00711A36"/>
    <w:rsid w:val="00711F0B"/>
    <w:rsid w:val="00712003"/>
    <w:rsid w:val="00714B41"/>
    <w:rsid w:val="00714B55"/>
    <w:rsid w:val="0071529C"/>
    <w:rsid w:val="007153F0"/>
    <w:rsid w:val="007172AD"/>
    <w:rsid w:val="00717947"/>
    <w:rsid w:val="00717BBF"/>
    <w:rsid w:val="00720F6A"/>
    <w:rsid w:val="00722836"/>
    <w:rsid w:val="00722B1B"/>
    <w:rsid w:val="00722B2E"/>
    <w:rsid w:val="007234C7"/>
    <w:rsid w:val="007237B7"/>
    <w:rsid w:val="0072416F"/>
    <w:rsid w:val="007245F6"/>
    <w:rsid w:val="00724A25"/>
    <w:rsid w:val="00724FA9"/>
    <w:rsid w:val="00726BF2"/>
    <w:rsid w:val="00726DFB"/>
    <w:rsid w:val="007274FB"/>
    <w:rsid w:val="00727C94"/>
    <w:rsid w:val="00727F36"/>
    <w:rsid w:val="00730530"/>
    <w:rsid w:val="00730ABB"/>
    <w:rsid w:val="00731D2F"/>
    <w:rsid w:val="00731EAE"/>
    <w:rsid w:val="007333E6"/>
    <w:rsid w:val="00734DDC"/>
    <w:rsid w:val="00735033"/>
    <w:rsid w:val="00735328"/>
    <w:rsid w:val="0073685B"/>
    <w:rsid w:val="00737C75"/>
    <w:rsid w:val="00740852"/>
    <w:rsid w:val="00741264"/>
    <w:rsid w:val="007416E6"/>
    <w:rsid w:val="00741800"/>
    <w:rsid w:val="00744AD7"/>
    <w:rsid w:val="007457AD"/>
    <w:rsid w:val="00750C71"/>
    <w:rsid w:val="00751093"/>
    <w:rsid w:val="00752142"/>
    <w:rsid w:val="007522D0"/>
    <w:rsid w:val="007523F9"/>
    <w:rsid w:val="00752968"/>
    <w:rsid w:val="00752D85"/>
    <w:rsid w:val="00753DC6"/>
    <w:rsid w:val="00754061"/>
    <w:rsid w:val="0075473D"/>
    <w:rsid w:val="00755A65"/>
    <w:rsid w:val="007573E8"/>
    <w:rsid w:val="00757B1B"/>
    <w:rsid w:val="007606D9"/>
    <w:rsid w:val="00760C4E"/>
    <w:rsid w:val="00760D47"/>
    <w:rsid w:val="007614F6"/>
    <w:rsid w:val="0076179F"/>
    <w:rsid w:val="00761BAF"/>
    <w:rsid w:val="007654F1"/>
    <w:rsid w:val="00765B1A"/>
    <w:rsid w:val="00765EAE"/>
    <w:rsid w:val="0076612F"/>
    <w:rsid w:val="00767633"/>
    <w:rsid w:val="00767681"/>
    <w:rsid w:val="00771C5F"/>
    <w:rsid w:val="00772760"/>
    <w:rsid w:val="00773F38"/>
    <w:rsid w:val="0077480E"/>
    <w:rsid w:val="00774E8E"/>
    <w:rsid w:val="007764B8"/>
    <w:rsid w:val="00776C32"/>
    <w:rsid w:val="007773A4"/>
    <w:rsid w:val="00777A21"/>
    <w:rsid w:val="00777A43"/>
    <w:rsid w:val="00780A74"/>
    <w:rsid w:val="00780B76"/>
    <w:rsid w:val="00780D84"/>
    <w:rsid w:val="00781214"/>
    <w:rsid w:val="0078121D"/>
    <w:rsid w:val="007835C0"/>
    <w:rsid w:val="0078364B"/>
    <w:rsid w:val="00783EBA"/>
    <w:rsid w:val="007843F2"/>
    <w:rsid w:val="007845F0"/>
    <w:rsid w:val="0078477B"/>
    <w:rsid w:val="007859B0"/>
    <w:rsid w:val="007878EA"/>
    <w:rsid w:val="00791A80"/>
    <w:rsid w:val="007934CB"/>
    <w:rsid w:val="007951AD"/>
    <w:rsid w:val="00796054"/>
    <w:rsid w:val="007A0937"/>
    <w:rsid w:val="007A0A12"/>
    <w:rsid w:val="007A0F43"/>
    <w:rsid w:val="007A1214"/>
    <w:rsid w:val="007A132D"/>
    <w:rsid w:val="007A305B"/>
    <w:rsid w:val="007A4299"/>
    <w:rsid w:val="007A52EE"/>
    <w:rsid w:val="007A60E1"/>
    <w:rsid w:val="007A62D8"/>
    <w:rsid w:val="007A7424"/>
    <w:rsid w:val="007A7E42"/>
    <w:rsid w:val="007B0D68"/>
    <w:rsid w:val="007B211D"/>
    <w:rsid w:val="007B251D"/>
    <w:rsid w:val="007B26EC"/>
    <w:rsid w:val="007B2EF4"/>
    <w:rsid w:val="007B2FCD"/>
    <w:rsid w:val="007B321C"/>
    <w:rsid w:val="007B38B3"/>
    <w:rsid w:val="007B3C63"/>
    <w:rsid w:val="007B49E0"/>
    <w:rsid w:val="007B4F58"/>
    <w:rsid w:val="007B528D"/>
    <w:rsid w:val="007B70C1"/>
    <w:rsid w:val="007B745F"/>
    <w:rsid w:val="007B7544"/>
    <w:rsid w:val="007B77D1"/>
    <w:rsid w:val="007C0A49"/>
    <w:rsid w:val="007C176D"/>
    <w:rsid w:val="007C1CD9"/>
    <w:rsid w:val="007C33F1"/>
    <w:rsid w:val="007C361D"/>
    <w:rsid w:val="007C409F"/>
    <w:rsid w:val="007C4B84"/>
    <w:rsid w:val="007C4BF5"/>
    <w:rsid w:val="007C4EC7"/>
    <w:rsid w:val="007C5062"/>
    <w:rsid w:val="007C6666"/>
    <w:rsid w:val="007C71D3"/>
    <w:rsid w:val="007C7D0F"/>
    <w:rsid w:val="007D004F"/>
    <w:rsid w:val="007D04E3"/>
    <w:rsid w:val="007D0B38"/>
    <w:rsid w:val="007D23CC"/>
    <w:rsid w:val="007D3114"/>
    <w:rsid w:val="007D4D63"/>
    <w:rsid w:val="007D4DBC"/>
    <w:rsid w:val="007D5440"/>
    <w:rsid w:val="007D55CF"/>
    <w:rsid w:val="007D77AF"/>
    <w:rsid w:val="007E0AFF"/>
    <w:rsid w:val="007E0D30"/>
    <w:rsid w:val="007E1484"/>
    <w:rsid w:val="007E1652"/>
    <w:rsid w:val="007E25A5"/>
    <w:rsid w:val="007E35C0"/>
    <w:rsid w:val="007E3A37"/>
    <w:rsid w:val="007E51A1"/>
    <w:rsid w:val="007E6FA7"/>
    <w:rsid w:val="007E7591"/>
    <w:rsid w:val="007F04BC"/>
    <w:rsid w:val="007F0E2D"/>
    <w:rsid w:val="007F1017"/>
    <w:rsid w:val="007F1265"/>
    <w:rsid w:val="007F22BA"/>
    <w:rsid w:val="007F3D15"/>
    <w:rsid w:val="007F422B"/>
    <w:rsid w:val="007F4A3F"/>
    <w:rsid w:val="007F4A61"/>
    <w:rsid w:val="007F5531"/>
    <w:rsid w:val="007F608B"/>
    <w:rsid w:val="007F61C2"/>
    <w:rsid w:val="007F7CE6"/>
    <w:rsid w:val="008014B0"/>
    <w:rsid w:val="00802C23"/>
    <w:rsid w:val="008034F7"/>
    <w:rsid w:val="0080429B"/>
    <w:rsid w:val="008043C7"/>
    <w:rsid w:val="00805142"/>
    <w:rsid w:val="0080657B"/>
    <w:rsid w:val="00806B41"/>
    <w:rsid w:val="00807A8B"/>
    <w:rsid w:val="00807B27"/>
    <w:rsid w:val="0081057F"/>
    <w:rsid w:val="00811383"/>
    <w:rsid w:val="00812149"/>
    <w:rsid w:val="0081256C"/>
    <w:rsid w:val="00812CAC"/>
    <w:rsid w:val="0081492E"/>
    <w:rsid w:val="00814D97"/>
    <w:rsid w:val="00815103"/>
    <w:rsid w:val="008166EF"/>
    <w:rsid w:val="00822C1D"/>
    <w:rsid w:val="008233B0"/>
    <w:rsid w:val="00824577"/>
    <w:rsid w:val="0082521D"/>
    <w:rsid w:val="00825751"/>
    <w:rsid w:val="00825D7F"/>
    <w:rsid w:val="00825D9F"/>
    <w:rsid w:val="008264EB"/>
    <w:rsid w:val="00826CC7"/>
    <w:rsid w:val="00826E33"/>
    <w:rsid w:val="00827A34"/>
    <w:rsid w:val="0083030D"/>
    <w:rsid w:val="008310F4"/>
    <w:rsid w:val="00833B05"/>
    <w:rsid w:val="0083418B"/>
    <w:rsid w:val="0083454C"/>
    <w:rsid w:val="00835596"/>
    <w:rsid w:val="008356DA"/>
    <w:rsid w:val="008362B4"/>
    <w:rsid w:val="00836758"/>
    <w:rsid w:val="0083749C"/>
    <w:rsid w:val="00837696"/>
    <w:rsid w:val="00837F3B"/>
    <w:rsid w:val="00840284"/>
    <w:rsid w:val="00840CA2"/>
    <w:rsid w:val="0084374F"/>
    <w:rsid w:val="00843E4A"/>
    <w:rsid w:val="00847DF5"/>
    <w:rsid w:val="00847E72"/>
    <w:rsid w:val="0085004E"/>
    <w:rsid w:val="008502C8"/>
    <w:rsid w:val="00851AE4"/>
    <w:rsid w:val="0085309D"/>
    <w:rsid w:val="00853346"/>
    <w:rsid w:val="00853B7F"/>
    <w:rsid w:val="00853ED8"/>
    <w:rsid w:val="00856897"/>
    <w:rsid w:val="008568DA"/>
    <w:rsid w:val="00856E9A"/>
    <w:rsid w:val="00856FB6"/>
    <w:rsid w:val="00857E71"/>
    <w:rsid w:val="0086075D"/>
    <w:rsid w:val="00861724"/>
    <w:rsid w:val="00862502"/>
    <w:rsid w:val="00862AE2"/>
    <w:rsid w:val="00862B3C"/>
    <w:rsid w:val="008637CE"/>
    <w:rsid w:val="00865DC8"/>
    <w:rsid w:val="008660D4"/>
    <w:rsid w:val="00866512"/>
    <w:rsid w:val="00866DE7"/>
    <w:rsid w:val="00866E79"/>
    <w:rsid w:val="00867B8E"/>
    <w:rsid w:val="00867C90"/>
    <w:rsid w:val="008700C1"/>
    <w:rsid w:val="008708C3"/>
    <w:rsid w:val="0087146C"/>
    <w:rsid w:val="008716D6"/>
    <w:rsid w:val="00871FA9"/>
    <w:rsid w:val="008724DF"/>
    <w:rsid w:val="008728E9"/>
    <w:rsid w:val="00872BA3"/>
    <w:rsid w:val="00872DC0"/>
    <w:rsid w:val="008746DE"/>
    <w:rsid w:val="00875F1D"/>
    <w:rsid w:val="00875F2D"/>
    <w:rsid w:val="008760C5"/>
    <w:rsid w:val="00880378"/>
    <w:rsid w:val="008815C8"/>
    <w:rsid w:val="00882003"/>
    <w:rsid w:val="00882874"/>
    <w:rsid w:val="00882AD1"/>
    <w:rsid w:val="00883787"/>
    <w:rsid w:val="00883B82"/>
    <w:rsid w:val="00884FB0"/>
    <w:rsid w:val="00885867"/>
    <w:rsid w:val="00886CD2"/>
    <w:rsid w:val="00891FF2"/>
    <w:rsid w:val="00892A36"/>
    <w:rsid w:val="00893239"/>
    <w:rsid w:val="00893265"/>
    <w:rsid w:val="00894489"/>
    <w:rsid w:val="00895338"/>
    <w:rsid w:val="00895714"/>
    <w:rsid w:val="00895BF8"/>
    <w:rsid w:val="008963A5"/>
    <w:rsid w:val="008A01AA"/>
    <w:rsid w:val="008A044F"/>
    <w:rsid w:val="008A131A"/>
    <w:rsid w:val="008A173D"/>
    <w:rsid w:val="008A3363"/>
    <w:rsid w:val="008A3371"/>
    <w:rsid w:val="008A3516"/>
    <w:rsid w:val="008A3C3E"/>
    <w:rsid w:val="008A4B03"/>
    <w:rsid w:val="008A4EFE"/>
    <w:rsid w:val="008A5912"/>
    <w:rsid w:val="008A794C"/>
    <w:rsid w:val="008A79DE"/>
    <w:rsid w:val="008B1757"/>
    <w:rsid w:val="008B387E"/>
    <w:rsid w:val="008B3B2E"/>
    <w:rsid w:val="008B4809"/>
    <w:rsid w:val="008B57AF"/>
    <w:rsid w:val="008B6CA8"/>
    <w:rsid w:val="008B6D8F"/>
    <w:rsid w:val="008B7D7E"/>
    <w:rsid w:val="008C40C7"/>
    <w:rsid w:val="008C46E2"/>
    <w:rsid w:val="008C5670"/>
    <w:rsid w:val="008C6543"/>
    <w:rsid w:val="008C660D"/>
    <w:rsid w:val="008C7ECB"/>
    <w:rsid w:val="008D115C"/>
    <w:rsid w:val="008D15D2"/>
    <w:rsid w:val="008D30EE"/>
    <w:rsid w:val="008D3C5D"/>
    <w:rsid w:val="008D4755"/>
    <w:rsid w:val="008D4C3D"/>
    <w:rsid w:val="008D539F"/>
    <w:rsid w:val="008D62FF"/>
    <w:rsid w:val="008D7EB3"/>
    <w:rsid w:val="008E0D3C"/>
    <w:rsid w:val="008E1B9E"/>
    <w:rsid w:val="008E1D93"/>
    <w:rsid w:val="008E223B"/>
    <w:rsid w:val="008E2623"/>
    <w:rsid w:val="008E3425"/>
    <w:rsid w:val="008E38A0"/>
    <w:rsid w:val="008E3B2C"/>
    <w:rsid w:val="008E3D9F"/>
    <w:rsid w:val="008E55AB"/>
    <w:rsid w:val="008E5808"/>
    <w:rsid w:val="008E68E2"/>
    <w:rsid w:val="008E69E6"/>
    <w:rsid w:val="008E6EFF"/>
    <w:rsid w:val="008E78C2"/>
    <w:rsid w:val="008F000E"/>
    <w:rsid w:val="008F03F9"/>
    <w:rsid w:val="008F120A"/>
    <w:rsid w:val="008F27E0"/>
    <w:rsid w:val="008F48EB"/>
    <w:rsid w:val="008F4AB1"/>
    <w:rsid w:val="008F4EF3"/>
    <w:rsid w:val="008F4F0B"/>
    <w:rsid w:val="008F7279"/>
    <w:rsid w:val="00901124"/>
    <w:rsid w:val="009020E2"/>
    <w:rsid w:val="009023EE"/>
    <w:rsid w:val="00902A4E"/>
    <w:rsid w:val="00904277"/>
    <w:rsid w:val="009046C4"/>
    <w:rsid w:val="0090512C"/>
    <w:rsid w:val="00906136"/>
    <w:rsid w:val="009062A5"/>
    <w:rsid w:val="009068BF"/>
    <w:rsid w:val="0090789D"/>
    <w:rsid w:val="00910859"/>
    <w:rsid w:val="00911272"/>
    <w:rsid w:val="0091261F"/>
    <w:rsid w:val="00912808"/>
    <w:rsid w:val="00912F62"/>
    <w:rsid w:val="009135D6"/>
    <w:rsid w:val="00913BFE"/>
    <w:rsid w:val="00914C77"/>
    <w:rsid w:val="009156DA"/>
    <w:rsid w:val="00917AFF"/>
    <w:rsid w:val="0092369B"/>
    <w:rsid w:val="00923A12"/>
    <w:rsid w:val="00924691"/>
    <w:rsid w:val="0092774F"/>
    <w:rsid w:val="009328A4"/>
    <w:rsid w:val="00932A1A"/>
    <w:rsid w:val="00932B5B"/>
    <w:rsid w:val="00934AB7"/>
    <w:rsid w:val="00935176"/>
    <w:rsid w:val="00935463"/>
    <w:rsid w:val="00935C0E"/>
    <w:rsid w:val="009377DC"/>
    <w:rsid w:val="00937FC0"/>
    <w:rsid w:val="00940D41"/>
    <w:rsid w:val="009425D3"/>
    <w:rsid w:val="009441BC"/>
    <w:rsid w:val="00944251"/>
    <w:rsid w:val="00944276"/>
    <w:rsid w:val="00946847"/>
    <w:rsid w:val="009469F2"/>
    <w:rsid w:val="00946C3A"/>
    <w:rsid w:val="00947C8D"/>
    <w:rsid w:val="009510A2"/>
    <w:rsid w:val="0095270A"/>
    <w:rsid w:val="00953257"/>
    <w:rsid w:val="009535E5"/>
    <w:rsid w:val="0095447A"/>
    <w:rsid w:val="00955A4B"/>
    <w:rsid w:val="00955D45"/>
    <w:rsid w:val="00956D98"/>
    <w:rsid w:val="00960F42"/>
    <w:rsid w:val="00961A48"/>
    <w:rsid w:val="00961E04"/>
    <w:rsid w:val="00962CB9"/>
    <w:rsid w:val="00964312"/>
    <w:rsid w:val="009645D4"/>
    <w:rsid w:val="00965B8A"/>
    <w:rsid w:val="00966269"/>
    <w:rsid w:val="009666CA"/>
    <w:rsid w:val="00970100"/>
    <w:rsid w:val="0097019A"/>
    <w:rsid w:val="009717AC"/>
    <w:rsid w:val="009718B7"/>
    <w:rsid w:val="00971D40"/>
    <w:rsid w:val="0097246C"/>
    <w:rsid w:val="00973934"/>
    <w:rsid w:val="00975EC9"/>
    <w:rsid w:val="00977C61"/>
    <w:rsid w:val="00981677"/>
    <w:rsid w:val="0098206A"/>
    <w:rsid w:val="00983856"/>
    <w:rsid w:val="00983A26"/>
    <w:rsid w:val="00983E57"/>
    <w:rsid w:val="00984658"/>
    <w:rsid w:val="0098559F"/>
    <w:rsid w:val="0098675D"/>
    <w:rsid w:val="00986BD5"/>
    <w:rsid w:val="009910CB"/>
    <w:rsid w:val="009917EC"/>
    <w:rsid w:val="0099236F"/>
    <w:rsid w:val="009935E2"/>
    <w:rsid w:val="00993C98"/>
    <w:rsid w:val="0099493B"/>
    <w:rsid w:val="009952BC"/>
    <w:rsid w:val="00995314"/>
    <w:rsid w:val="00995A5E"/>
    <w:rsid w:val="00996B1A"/>
    <w:rsid w:val="009A0518"/>
    <w:rsid w:val="009A0909"/>
    <w:rsid w:val="009A1305"/>
    <w:rsid w:val="009A1E03"/>
    <w:rsid w:val="009A2DB7"/>
    <w:rsid w:val="009A4176"/>
    <w:rsid w:val="009A4E32"/>
    <w:rsid w:val="009A5115"/>
    <w:rsid w:val="009A7868"/>
    <w:rsid w:val="009A7F10"/>
    <w:rsid w:val="009B0524"/>
    <w:rsid w:val="009B0CA9"/>
    <w:rsid w:val="009B1749"/>
    <w:rsid w:val="009B2D2A"/>
    <w:rsid w:val="009B3264"/>
    <w:rsid w:val="009B351A"/>
    <w:rsid w:val="009B3D3F"/>
    <w:rsid w:val="009B3E26"/>
    <w:rsid w:val="009B4106"/>
    <w:rsid w:val="009B4790"/>
    <w:rsid w:val="009B4BD4"/>
    <w:rsid w:val="009B5DF6"/>
    <w:rsid w:val="009B6A78"/>
    <w:rsid w:val="009B6F5C"/>
    <w:rsid w:val="009C0798"/>
    <w:rsid w:val="009C0BDF"/>
    <w:rsid w:val="009C17FC"/>
    <w:rsid w:val="009C199A"/>
    <w:rsid w:val="009C1E8D"/>
    <w:rsid w:val="009C4A11"/>
    <w:rsid w:val="009C682B"/>
    <w:rsid w:val="009C6A04"/>
    <w:rsid w:val="009C6CEA"/>
    <w:rsid w:val="009C7B85"/>
    <w:rsid w:val="009D119D"/>
    <w:rsid w:val="009D1562"/>
    <w:rsid w:val="009D18C6"/>
    <w:rsid w:val="009D283C"/>
    <w:rsid w:val="009D4033"/>
    <w:rsid w:val="009D5903"/>
    <w:rsid w:val="009D5B91"/>
    <w:rsid w:val="009D66FF"/>
    <w:rsid w:val="009D684B"/>
    <w:rsid w:val="009D792E"/>
    <w:rsid w:val="009D7F05"/>
    <w:rsid w:val="009E0DFE"/>
    <w:rsid w:val="009E138E"/>
    <w:rsid w:val="009E2B44"/>
    <w:rsid w:val="009E3056"/>
    <w:rsid w:val="009E354E"/>
    <w:rsid w:val="009E444D"/>
    <w:rsid w:val="009E4C07"/>
    <w:rsid w:val="009E5120"/>
    <w:rsid w:val="009E58AE"/>
    <w:rsid w:val="009E5D8D"/>
    <w:rsid w:val="009E5E9C"/>
    <w:rsid w:val="009E785D"/>
    <w:rsid w:val="009F00ED"/>
    <w:rsid w:val="009F082F"/>
    <w:rsid w:val="009F5051"/>
    <w:rsid w:val="009F69E3"/>
    <w:rsid w:val="00A00E7E"/>
    <w:rsid w:val="00A01184"/>
    <w:rsid w:val="00A01333"/>
    <w:rsid w:val="00A019E5"/>
    <w:rsid w:val="00A02AD0"/>
    <w:rsid w:val="00A03D43"/>
    <w:rsid w:val="00A04380"/>
    <w:rsid w:val="00A06010"/>
    <w:rsid w:val="00A10E39"/>
    <w:rsid w:val="00A115C8"/>
    <w:rsid w:val="00A117D4"/>
    <w:rsid w:val="00A11CD0"/>
    <w:rsid w:val="00A13948"/>
    <w:rsid w:val="00A13C76"/>
    <w:rsid w:val="00A1555B"/>
    <w:rsid w:val="00A155C5"/>
    <w:rsid w:val="00A15ADB"/>
    <w:rsid w:val="00A16AD8"/>
    <w:rsid w:val="00A16D36"/>
    <w:rsid w:val="00A16D7E"/>
    <w:rsid w:val="00A17AEA"/>
    <w:rsid w:val="00A211F4"/>
    <w:rsid w:val="00A21CB9"/>
    <w:rsid w:val="00A21CF3"/>
    <w:rsid w:val="00A21EA7"/>
    <w:rsid w:val="00A237D6"/>
    <w:rsid w:val="00A247BF"/>
    <w:rsid w:val="00A24CF6"/>
    <w:rsid w:val="00A24DCF"/>
    <w:rsid w:val="00A263DD"/>
    <w:rsid w:val="00A26A53"/>
    <w:rsid w:val="00A26DF2"/>
    <w:rsid w:val="00A27AEC"/>
    <w:rsid w:val="00A30937"/>
    <w:rsid w:val="00A30A02"/>
    <w:rsid w:val="00A30A21"/>
    <w:rsid w:val="00A311FC"/>
    <w:rsid w:val="00A31765"/>
    <w:rsid w:val="00A320DB"/>
    <w:rsid w:val="00A33D96"/>
    <w:rsid w:val="00A35D16"/>
    <w:rsid w:val="00A36C59"/>
    <w:rsid w:val="00A36CFD"/>
    <w:rsid w:val="00A37BC9"/>
    <w:rsid w:val="00A37BCD"/>
    <w:rsid w:val="00A37D9A"/>
    <w:rsid w:val="00A4295F"/>
    <w:rsid w:val="00A43C59"/>
    <w:rsid w:val="00A441F4"/>
    <w:rsid w:val="00A471A9"/>
    <w:rsid w:val="00A47FA4"/>
    <w:rsid w:val="00A50235"/>
    <w:rsid w:val="00A503C9"/>
    <w:rsid w:val="00A50ECD"/>
    <w:rsid w:val="00A518F3"/>
    <w:rsid w:val="00A52729"/>
    <w:rsid w:val="00A53675"/>
    <w:rsid w:val="00A53A3B"/>
    <w:rsid w:val="00A55DA5"/>
    <w:rsid w:val="00A564D7"/>
    <w:rsid w:val="00A56B6A"/>
    <w:rsid w:val="00A56E8C"/>
    <w:rsid w:val="00A578DC"/>
    <w:rsid w:val="00A62710"/>
    <w:rsid w:val="00A62912"/>
    <w:rsid w:val="00A64363"/>
    <w:rsid w:val="00A64EEE"/>
    <w:rsid w:val="00A66D84"/>
    <w:rsid w:val="00A6725B"/>
    <w:rsid w:val="00A6760D"/>
    <w:rsid w:val="00A70605"/>
    <w:rsid w:val="00A71905"/>
    <w:rsid w:val="00A73134"/>
    <w:rsid w:val="00A731A9"/>
    <w:rsid w:val="00A73333"/>
    <w:rsid w:val="00A735D9"/>
    <w:rsid w:val="00A75A40"/>
    <w:rsid w:val="00A760AE"/>
    <w:rsid w:val="00A76514"/>
    <w:rsid w:val="00A76CE6"/>
    <w:rsid w:val="00A777B2"/>
    <w:rsid w:val="00A77C73"/>
    <w:rsid w:val="00A8071C"/>
    <w:rsid w:val="00A80A9D"/>
    <w:rsid w:val="00A814F3"/>
    <w:rsid w:val="00A817CF"/>
    <w:rsid w:val="00A84B03"/>
    <w:rsid w:val="00A86E8B"/>
    <w:rsid w:val="00A87164"/>
    <w:rsid w:val="00A87FD8"/>
    <w:rsid w:val="00A90327"/>
    <w:rsid w:val="00A909DC"/>
    <w:rsid w:val="00A9280E"/>
    <w:rsid w:val="00A93072"/>
    <w:rsid w:val="00A93953"/>
    <w:rsid w:val="00A93D77"/>
    <w:rsid w:val="00A94165"/>
    <w:rsid w:val="00A9485F"/>
    <w:rsid w:val="00A94DA6"/>
    <w:rsid w:val="00A95681"/>
    <w:rsid w:val="00A959D8"/>
    <w:rsid w:val="00A95E57"/>
    <w:rsid w:val="00A95F65"/>
    <w:rsid w:val="00A971A0"/>
    <w:rsid w:val="00A9769B"/>
    <w:rsid w:val="00A97B53"/>
    <w:rsid w:val="00AA113D"/>
    <w:rsid w:val="00AA209C"/>
    <w:rsid w:val="00AA295D"/>
    <w:rsid w:val="00AA3ABA"/>
    <w:rsid w:val="00AA3FE3"/>
    <w:rsid w:val="00AA5D8A"/>
    <w:rsid w:val="00AA629F"/>
    <w:rsid w:val="00AA6C7D"/>
    <w:rsid w:val="00AA7F98"/>
    <w:rsid w:val="00AA7FD6"/>
    <w:rsid w:val="00AB0313"/>
    <w:rsid w:val="00AB042A"/>
    <w:rsid w:val="00AB261E"/>
    <w:rsid w:val="00AB2D34"/>
    <w:rsid w:val="00AB337A"/>
    <w:rsid w:val="00AB3430"/>
    <w:rsid w:val="00AB37B6"/>
    <w:rsid w:val="00AB4AD1"/>
    <w:rsid w:val="00AB5116"/>
    <w:rsid w:val="00AB59E1"/>
    <w:rsid w:val="00AB6C2C"/>
    <w:rsid w:val="00AB7205"/>
    <w:rsid w:val="00AB7CFA"/>
    <w:rsid w:val="00AC1E8A"/>
    <w:rsid w:val="00AC2B0F"/>
    <w:rsid w:val="00AC2F66"/>
    <w:rsid w:val="00AC3151"/>
    <w:rsid w:val="00AC37A9"/>
    <w:rsid w:val="00AC5B48"/>
    <w:rsid w:val="00AD11BD"/>
    <w:rsid w:val="00AD173F"/>
    <w:rsid w:val="00AD2871"/>
    <w:rsid w:val="00AD2E43"/>
    <w:rsid w:val="00AD46BA"/>
    <w:rsid w:val="00AD4B02"/>
    <w:rsid w:val="00AD6502"/>
    <w:rsid w:val="00AD6A7E"/>
    <w:rsid w:val="00AE08A0"/>
    <w:rsid w:val="00AE2416"/>
    <w:rsid w:val="00AE3734"/>
    <w:rsid w:val="00AE396A"/>
    <w:rsid w:val="00AE3DC1"/>
    <w:rsid w:val="00AE588F"/>
    <w:rsid w:val="00AE5DEF"/>
    <w:rsid w:val="00AE6BE6"/>
    <w:rsid w:val="00AF1315"/>
    <w:rsid w:val="00AF189D"/>
    <w:rsid w:val="00AF19BF"/>
    <w:rsid w:val="00AF21B9"/>
    <w:rsid w:val="00AF2DC3"/>
    <w:rsid w:val="00AF5467"/>
    <w:rsid w:val="00AF5641"/>
    <w:rsid w:val="00AF578C"/>
    <w:rsid w:val="00AF6A96"/>
    <w:rsid w:val="00B0040F"/>
    <w:rsid w:val="00B00580"/>
    <w:rsid w:val="00B00787"/>
    <w:rsid w:val="00B01F6C"/>
    <w:rsid w:val="00B02FFD"/>
    <w:rsid w:val="00B033E5"/>
    <w:rsid w:val="00B039D7"/>
    <w:rsid w:val="00B03A63"/>
    <w:rsid w:val="00B04979"/>
    <w:rsid w:val="00B05A37"/>
    <w:rsid w:val="00B063F8"/>
    <w:rsid w:val="00B069AC"/>
    <w:rsid w:val="00B106C2"/>
    <w:rsid w:val="00B106E4"/>
    <w:rsid w:val="00B10873"/>
    <w:rsid w:val="00B10B43"/>
    <w:rsid w:val="00B113AA"/>
    <w:rsid w:val="00B11E3D"/>
    <w:rsid w:val="00B12AD6"/>
    <w:rsid w:val="00B13322"/>
    <w:rsid w:val="00B13DD8"/>
    <w:rsid w:val="00B161F3"/>
    <w:rsid w:val="00B16613"/>
    <w:rsid w:val="00B16B23"/>
    <w:rsid w:val="00B201A4"/>
    <w:rsid w:val="00B2081A"/>
    <w:rsid w:val="00B213A6"/>
    <w:rsid w:val="00B21452"/>
    <w:rsid w:val="00B2193A"/>
    <w:rsid w:val="00B22AEC"/>
    <w:rsid w:val="00B240DB"/>
    <w:rsid w:val="00B24308"/>
    <w:rsid w:val="00B24DF6"/>
    <w:rsid w:val="00B25D9D"/>
    <w:rsid w:val="00B26C04"/>
    <w:rsid w:val="00B270E4"/>
    <w:rsid w:val="00B27117"/>
    <w:rsid w:val="00B27DE4"/>
    <w:rsid w:val="00B3343A"/>
    <w:rsid w:val="00B34F42"/>
    <w:rsid w:val="00B34FE2"/>
    <w:rsid w:val="00B357D8"/>
    <w:rsid w:val="00B37A7B"/>
    <w:rsid w:val="00B37BFC"/>
    <w:rsid w:val="00B37F2B"/>
    <w:rsid w:val="00B40358"/>
    <w:rsid w:val="00B41462"/>
    <w:rsid w:val="00B41614"/>
    <w:rsid w:val="00B41BAB"/>
    <w:rsid w:val="00B42851"/>
    <w:rsid w:val="00B42F80"/>
    <w:rsid w:val="00B430E4"/>
    <w:rsid w:val="00B43287"/>
    <w:rsid w:val="00B435CB"/>
    <w:rsid w:val="00B444D4"/>
    <w:rsid w:val="00B45D16"/>
    <w:rsid w:val="00B46AD5"/>
    <w:rsid w:val="00B50452"/>
    <w:rsid w:val="00B504BD"/>
    <w:rsid w:val="00B50DB8"/>
    <w:rsid w:val="00B51674"/>
    <w:rsid w:val="00B517E5"/>
    <w:rsid w:val="00B51F1A"/>
    <w:rsid w:val="00B53208"/>
    <w:rsid w:val="00B53654"/>
    <w:rsid w:val="00B53823"/>
    <w:rsid w:val="00B53905"/>
    <w:rsid w:val="00B543C1"/>
    <w:rsid w:val="00B54B5B"/>
    <w:rsid w:val="00B55168"/>
    <w:rsid w:val="00B5527A"/>
    <w:rsid w:val="00B5562E"/>
    <w:rsid w:val="00B55ADC"/>
    <w:rsid w:val="00B55D17"/>
    <w:rsid w:val="00B57000"/>
    <w:rsid w:val="00B574EC"/>
    <w:rsid w:val="00B60939"/>
    <w:rsid w:val="00B60AFD"/>
    <w:rsid w:val="00B61D56"/>
    <w:rsid w:val="00B620A0"/>
    <w:rsid w:val="00B626EF"/>
    <w:rsid w:val="00B62715"/>
    <w:rsid w:val="00B64CCD"/>
    <w:rsid w:val="00B650F8"/>
    <w:rsid w:val="00B65CB6"/>
    <w:rsid w:val="00B66C7E"/>
    <w:rsid w:val="00B67301"/>
    <w:rsid w:val="00B70F4B"/>
    <w:rsid w:val="00B71780"/>
    <w:rsid w:val="00B720B0"/>
    <w:rsid w:val="00B72D97"/>
    <w:rsid w:val="00B76498"/>
    <w:rsid w:val="00B76EC0"/>
    <w:rsid w:val="00B777E1"/>
    <w:rsid w:val="00B77F06"/>
    <w:rsid w:val="00B817E6"/>
    <w:rsid w:val="00B818A4"/>
    <w:rsid w:val="00B8191C"/>
    <w:rsid w:val="00B827B0"/>
    <w:rsid w:val="00B83C5F"/>
    <w:rsid w:val="00B84117"/>
    <w:rsid w:val="00B848A8"/>
    <w:rsid w:val="00B84921"/>
    <w:rsid w:val="00B85AA2"/>
    <w:rsid w:val="00B8610A"/>
    <w:rsid w:val="00B8649C"/>
    <w:rsid w:val="00B86759"/>
    <w:rsid w:val="00B87F0A"/>
    <w:rsid w:val="00B90AC3"/>
    <w:rsid w:val="00B90B96"/>
    <w:rsid w:val="00B92D0B"/>
    <w:rsid w:val="00B93199"/>
    <w:rsid w:val="00B932E5"/>
    <w:rsid w:val="00B94945"/>
    <w:rsid w:val="00B95340"/>
    <w:rsid w:val="00B96416"/>
    <w:rsid w:val="00B9674C"/>
    <w:rsid w:val="00B96D26"/>
    <w:rsid w:val="00B9705E"/>
    <w:rsid w:val="00B97667"/>
    <w:rsid w:val="00B9781F"/>
    <w:rsid w:val="00BA322D"/>
    <w:rsid w:val="00BA379A"/>
    <w:rsid w:val="00BA3D61"/>
    <w:rsid w:val="00BA476D"/>
    <w:rsid w:val="00BA5AC9"/>
    <w:rsid w:val="00BA71A3"/>
    <w:rsid w:val="00BA7534"/>
    <w:rsid w:val="00BA7C96"/>
    <w:rsid w:val="00BA7D8C"/>
    <w:rsid w:val="00BB0338"/>
    <w:rsid w:val="00BB0A61"/>
    <w:rsid w:val="00BB0BDD"/>
    <w:rsid w:val="00BB27E6"/>
    <w:rsid w:val="00BB2A73"/>
    <w:rsid w:val="00BB2F2B"/>
    <w:rsid w:val="00BB4ACC"/>
    <w:rsid w:val="00BB703E"/>
    <w:rsid w:val="00BB7405"/>
    <w:rsid w:val="00BC03CD"/>
    <w:rsid w:val="00BC0EEC"/>
    <w:rsid w:val="00BC3631"/>
    <w:rsid w:val="00BC3EB1"/>
    <w:rsid w:val="00BD09C8"/>
    <w:rsid w:val="00BD0BA1"/>
    <w:rsid w:val="00BD3C25"/>
    <w:rsid w:val="00BD42F9"/>
    <w:rsid w:val="00BD68A3"/>
    <w:rsid w:val="00BD6938"/>
    <w:rsid w:val="00BD6BEE"/>
    <w:rsid w:val="00BD6C6A"/>
    <w:rsid w:val="00BD6CA5"/>
    <w:rsid w:val="00BD6CF3"/>
    <w:rsid w:val="00BD7DD8"/>
    <w:rsid w:val="00BE05B0"/>
    <w:rsid w:val="00BE2105"/>
    <w:rsid w:val="00BE2180"/>
    <w:rsid w:val="00BE21F2"/>
    <w:rsid w:val="00BE33CA"/>
    <w:rsid w:val="00BE34F3"/>
    <w:rsid w:val="00BE3686"/>
    <w:rsid w:val="00BE3B97"/>
    <w:rsid w:val="00BE3D6F"/>
    <w:rsid w:val="00BE4275"/>
    <w:rsid w:val="00BE62AE"/>
    <w:rsid w:val="00BE632F"/>
    <w:rsid w:val="00BE6393"/>
    <w:rsid w:val="00BE682B"/>
    <w:rsid w:val="00BE699D"/>
    <w:rsid w:val="00BE73D4"/>
    <w:rsid w:val="00BE7F9C"/>
    <w:rsid w:val="00BF0876"/>
    <w:rsid w:val="00BF0E3F"/>
    <w:rsid w:val="00BF0F95"/>
    <w:rsid w:val="00BF2433"/>
    <w:rsid w:val="00BF3522"/>
    <w:rsid w:val="00BF3939"/>
    <w:rsid w:val="00BF3954"/>
    <w:rsid w:val="00BF430D"/>
    <w:rsid w:val="00BF44D0"/>
    <w:rsid w:val="00BF485B"/>
    <w:rsid w:val="00BF61C9"/>
    <w:rsid w:val="00BF6C94"/>
    <w:rsid w:val="00BF7AAC"/>
    <w:rsid w:val="00C00424"/>
    <w:rsid w:val="00C01784"/>
    <w:rsid w:val="00C031FD"/>
    <w:rsid w:val="00C034E5"/>
    <w:rsid w:val="00C0438B"/>
    <w:rsid w:val="00C056E5"/>
    <w:rsid w:val="00C06321"/>
    <w:rsid w:val="00C074A6"/>
    <w:rsid w:val="00C07743"/>
    <w:rsid w:val="00C07E07"/>
    <w:rsid w:val="00C10677"/>
    <w:rsid w:val="00C123D5"/>
    <w:rsid w:val="00C12C14"/>
    <w:rsid w:val="00C13933"/>
    <w:rsid w:val="00C144D7"/>
    <w:rsid w:val="00C14518"/>
    <w:rsid w:val="00C1517F"/>
    <w:rsid w:val="00C15D5E"/>
    <w:rsid w:val="00C16D4B"/>
    <w:rsid w:val="00C16EED"/>
    <w:rsid w:val="00C200AA"/>
    <w:rsid w:val="00C20BAB"/>
    <w:rsid w:val="00C21B5A"/>
    <w:rsid w:val="00C21C0C"/>
    <w:rsid w:val="00C23322"/>
    <w:rsid w:val="00C237ED"/>
    <w:rsid w:val="00C24247"/>
    <w:rsid w:val="00C24632"/>
    <w:rsid w:val="00C25418"/>
    <w:rsid w:val="00C25D9C"/>
    <w:rsid w:val="00C26D10"/>
    <w:rsid w:val="00C2778B"/>
    <w:rsid w:val="00C277A1"/>
    <w:rsid w:val="00C31506"/>
    <w:rsid w:val="00C31649"/>
    <w:rsid w:val="00C33965"/>
    <w:rsid w:val="00C37580"/>
    <w:rsid w:val="00C40385"/>
    <w:rsid w:val="00C414F0"/>
    <w:rsid w:val="00C422FC"/>
    <w:rsid w:val="00C43255"/>
    <w:rsid w:val="00C4328F"/>
    <w:rsid w:val="00C471A6"/>
    <w:rsid w:val="00C475AA"/>
    <w:rsid w:val="00C503CB"/>
    <w:rsid w:val="00C519B6"/>
    <w:rsid w:val="00C527FC"/>
    <w:rsid w:val="00C53B87"/>
    <w:rsid w:val="00C54302"/>
    <w:rsid w:val="00C54440"/>
    <w:rsid w:val="00C555E4"/>
    <w:rsid w:val="00C55621"/>
    <w:rsid w:val="00C55C0C"/>
    <w:rsid w:val="00C5607F"/>
    <w:rsid w:val="00C568EB"/>
    <w:rsid w:val="00C56BAA"/>
    <w:rsid w:val="00C56C0F"/>
    <w:rsid w:val="00C578E5"/>
    <w:rsid w:val="00C57F57"/>
    <w:rsid w:val="00C613EF"/>
    <w:rsid w:val="00C61847"/>
    <w:rsid w:val="00C61EAE"/>
    <w:rsid w:val="00C636E5"/>
    <w:rsid w:val="00C63878"/>
    <w:rsid w:val="00C63BDE"/>
    <w:rsid w:val="00C63CB6"/>
    <w:rsid w:val="00C65576"/>
    <w:rsid w:val="00C66165"/>
    <w:rsid w:val="00C710EE"/>
    <w:rsid w:val="00C7151A"/>
    <w:rsid w:val="00C71C94"/>
    <w:rsid w:val="00C71F60"/>
    <w:rsid w:val="00C72241"/>
    <w:rsid w:val="00C72CD5"/>
    <w:rsid w:val="00C73C34"/>
    <w:rsid w:val="00C750C8"/>
    <w:rsid w:val="00C7560F"/>
    <w:rsid w:val="00C76E0C"/>
    <w:rsid w:val="00C76EC6"/>
    <w:rsid w:val="00C777AE"/>
    <w:rsid w:val="00C808A2"/>
    <w:rsid w:val="00C809F8"/>
    <w:rsid w:val="00C80A0E"/>
    <w:rsid w:val="00C80F98"/>
    <w:rsid w:val="00C8213F"/>
    <w:rsid w:val="00C82DAA"/>
    <w:rsid w:val="00C82F9E"/>
    <w:rsid w:val="00C83693"/>
    <w:rsid w:val="00C838C6"/>
    <w:rsid w:val="00C84BF0"/>
    <w:rsid w:val="00C84ECF"/>
    <w:rsid w:val="00C8503D"/>
    <w:rsid w:val="00C858F5"/>
    <w:rsid w:val="00C875C1"/>
    <w:rsid w:val="00C8797A"/>
    <w:rsid w:val="00C900B8"/>
    <w:rsid w:val="00C90555"/>
    <w:rsid w:val="00C90938"/>
    <w:rsid w:val="00C90C71"/>
    <w:rsid w:val="00C91626"/>
    <w:rsid w:val="00C925C2"/>
    <w:rsid w:val="00C92ED1"/>
    <w:rsid w:val="00C931CF"/>
    <w:rsid w:val="00C938CF"/>
    <w:rsid w:val="00C9450B"/>
    <w:rsid w:val="00C94945"/>
    <w:rsid w:val="00C9624D"/>
    <w:rsid w:val="00C969DA"/>
    <w:rsid w:val="00C9726B"/>
    <w:rsid w:val="00CA09D4"/>
    <w:rsid w:val="00CA1A39"/>
    <w:rsid w:val="00CA2C77"/>
    <w:rsid w:val="00CA369E"/>
    <w:rsid w:val="00CA444F"/>
    <w:rsid w:val="00CA465B"/>
    <w:rsid w:val="00CA49C7"/>
    <w:rsid w:val="00CA5245"/>
    <w:rsid w:val="00CA6560"/>
    <w:rsid w:val="00CA71F4"/>
    <w:rsid w:val="00CA7B09"/>
    <w:rsid w:val="00CB0CE8"/>
    <w:rsid w:val="00CB1094"/>
    <w:rsid w:val="00CB2F2A"/>
    <w:rsid w:val="00CB44D5"/>
    <w:rsid w:val="00CB47D6"/>
    <w:rsid w:val="00CB5B1A"/>
    <w:rsid w:val="00CB6B22"/>
    <w:rsid w:val="00CB6C40"/>
    <w:rsid w:val="00CB6E2C"/>
    <w:rsid w:val="00CB7F5F"/>
    <w:rsid w:val="00CC01C5"/>
    <w:rsid w:val="00CC18A1"/>
    <w:rsid w:val="00CC1B39"/>
    <w:rsid w:val="00CC3EB3"/>
    <w:rsid w:val="00CC50F6"/>
    <w:rsid w:val="00CC53D7"/>
    <w:rsid w:val="00CC640A"/>
    <w:rsid w:val="00CC69C9"/>
    <w:rsid w:val="00CC73B9"/>
    <w:rsid w:val="00CC74C5"/>
    <w:rsid w:val="00CC764B"/>
    <w:rsid w:val="00CD40E4"/>
    <w:rsid w:val="00CD441E"/>
    <w:rsid w:val="00CD4EB7"/>
    <w:rsid w:val="00CD5889"/>
    <w:rsid w:val="00CD64FE"/>
    <w:rsid w:val="00CD6ADC"/>
    <w:rsid w:val="00CD7913"/>
    <w:rsid w:val="00CE022C"/>
    <w:rsid w:val="00CE0F76"/>
    <w:rsid w:val="00CE1277"/>
    <w:rsid w:val="00CE2851"/>
    <w:rsid w:val="00CE2A95"/>
    <w:rsid w:val="00CE4A64"/>
    <w:rsid w:val="00CE6274"/>
    <w:rsid w:val="00CE6A88"/>
    <w:rsid w:val="00CE79B2"/>
    <w:rsid w:val="00CF2B8D"/>
    <w:rsid w:val="00CF456B"/>
    <w:rsid w:val="00CF5A22"/>
    <w:rsid w:val="00CF6CDF"/>
    <w:rsid w:val="00D00F96"/>
    <w:rsid w:val="00D01E52"/>
    <w:rsid w:val="00D02535"/>
    <w:rsid w:val="00D0262E"/>
    <w:rsid w:val="00D02B08"/>
    <w:rsid w:val="00D03828"/>
    <w:rsid w:val="00D03A84"/>
    <w:rsid w:val="00D0515E"/>
    <w:rsid w:val="00D0749E"/>
    <w:rsid w:val="00D07C27"/>
    <w:rsid w:val="00D1077F"/>
    <w:rsid w:val="00D10E21"/>
    <w:rsid w:val="00D110BD"/>
    <w:rsid w:val="00D11B9E"/>
    <w:rsid w:val="00D12E72"/>
    <w:rsid w:val="00D130E2"/>
    <w:rsid w:val="00D13675"/>
    <w:rsid w:val="00D1387B"/>
    <w:rsid w:val="00D141E1"/>
    <w:rsid w:val="00D15621"/>
    <w:rsid w:val="00D15A34"/>
    <w:rsid w:val="00D16579"/>
    <w:rsid w:val="00D17762"/>
    <w:rsid w:val="00D17D6C"/>
    <w:rsid w:val="00D20355"/>
    <w:rsid w:val="00D207F0"/>
    <w:rsid w:val="00D209BD"/>
    <w:rsid w:val="00D21C37"/>
    <w:rsid w:val="00D22EC2"/>
    <w:rsid w:val="00D232DF"/>
    <w:rsid w:val="00D24616"/>
    <w:rsid w:val="00D267BD"/>
    <w:rsid w:val="00D2754D"/>
    <w:rsid w:val="00D27B27"/>
    <w:rsid w:val="00D30727"/>
    <w:rsid w:val="00D3141C"/>
    <w:rsid w:val="00D31976"/>
    <w:rsid w:val="00D31A52"/>
    <w:rsid w:val="00D32C40"/>
    <w:rsid w:val="00D33BE9"/>
    <w:rsid w:val="00D349E3"/>
    <w:rsid w:val="00D34F91"/>
    <w:rsid w:val="00D357FF"/>
    <w:rsid w:val="00D35876"/>
    <w:rsid w:val="00D35A35"/>
    <w:rsid w:val="00D370E9"/>
    <w:rsid w:val="00D379F4"/>
    <w:rsid w:val="00D424C7"/>
    <w:rsid w:val="00D42850"/>
    <w:rsid w:val="00D43B2A"/>
    <w:rsid w:val="00D43D93"/>
    <w:rsid w:val="00D441B7"/>
    <w:rsid w:val="00D44A68"/>
    <w:rsid w:val="00D45807"/>
    <w:rsid w:val="00D462E6"/>
    <w:rsid w:val="00D4655D"/>
    <w:rsid w:val="00D46679"/>
    <w:rsid w:val="00D47575"/>
    <w:rsid w:val="00D47C5E"/>
    <w:rsid w:val="00D5030F"/>
    <w:rsid w:val="00D50771"/>
    <w:rsid w:val="00D50DF2"/>
    <w:rsid w:val="00D512DE"/>
    <w:rsid w:val="00D5274A"/>
    <w:rsid w:val="00D529D6"/>
    <w:rsid w:val="00D52AF1"/>
    <w:rsid w:val="00D532C1"/>
    <w:rsid w:val="00D538CD"/>
    <w:rsid w:val="00D53AE0"/>
    <w:rsid w:val="00D53E2B"/>
    <w:rsid w:val="00D55142"/>
    <w:rsid w:val="00D55357"/>
    <w:rsid w:val="00D55C6B"/>
    <w:rsid w:val="00D615AA"/>
    <w:rsid w:val="00D6209E"/>
    <w:rsid w:val="00D62E06"/>
    <w:rsid w:val="00D62F49"/>
    <w:rsid w:val="00D63CDB"/>
    <w:rsid w:val="00D63FBF"/>
    <w:rsid w:val="00D63FC0"/>
    <w:rsid w:val="00D66CFE"/>
    <w:rsid w:val="00D672FB"/>
    <w:rsid w:val="00D70F16"/>
    <w:rsid w:val="00D7204C"/>
    <w:rsid w:val="00D72484"/>
    <w:rsid w:val="00D74B39"/>
    <w:rsid w:val="00D74E9E"/>
    <w:rsid w:val="00D754C8"/>
    <w:rsid w:val="00D756EE"/>
    <w:rsid w:val="00D75AC5"/>
    <w:rsid w:val="00D75C05"/>
    <w:rsid w:val="00D76923"/>
    <w:rsid w:val="00D76A00"/>
    <w:rsid w:val="00D76A44"/>
    <w:rsid w:val="00D76FA7"/>
    <w:rsid w:val="00D800E9"/>
    <w:rsid w:val="00D801F9"/>
    <w:rsid w:val="00D80A05"/>
    <w:rsid w:val="00D815EF"/>
    <w:rsid w:val="00D81EBF"/>
    <w:rsid w:val="00D82B47"/>
    <w:rsid w:val="00D86330"/>
    <w:rsid w:val="00D91923"/>
    <w:rsid w:val="00D91F9D"/>
    <w:rsid w:val="00D91FAA"/>
    <w:rsid w:val="00D92489"/>
    <w:rsid w:val="00D92D74"/>
    <w:rsid w:val="00D9369C"/>
    <w:rsid w:val="00D93753"/>
    <w:rsid w:val="00D9562F"/>
    <w:rsid w:val="00D95C90"/>
    <w:rsid w:val="00D95E97"/>
    <w:rsid w:val="00D9714F"/>
    <w:rsid w:val="00DA02AE"/>
    <w:rsid w:val="00DA0B46"/>
    <w:rsid w:val="00DA1EFE"/>
    <w:rsid w:val="00DA3167"/>
    <w:rsid w:val="00DA3209"/>
    <w:rsid w:val="00DA3DB0"/>
    <w:rsid w:val="00DA3EC6"/>
    <w:rsid w:val="00DA458A"/>
    <w:rsid w:val="00DA4DC3"/>
    <w:rsid w:val="00DA5999"/>
    <w:rsid w:val="00DA73DF"/>
    <w:rsid w:val="00DA77A5"/>
    <w:rsid w:val="00DB0590"/>
    <w:rsid w:val="00DB1E0A"/>
    <w:rsid w:val="00DB2084"/>
    <w:rsid w:val="00DB3003"/>
    <w:rsid w:val="00DB484F"/>
    <w:rsid w:val="00DB4D0B"/>
    <w:rsid w:val="00DB559B"/>
    <w:rsid w:val="00DB6323"/>
    <w:rsid w:val="00DB68B3"/>
    <w:rsid w:val="00DC0138"/>
    <w:rsid w:val="00DC01EB"/>
    <w:rsid w:val="00DC04F6"/>
    <w:rsid w:val="00DC051A"/>
    <w:rsid w:val="00DC198A"/>
    <w:rsid w:val="00DC3C57"/>
    <w:rsid w:val="00DC48CE"/>
    <w:rsid w:val="00DC545B"/>
    <w:rsid w:val="00DC5501"/>
    <w:rsid w:val="00DC74F1"/>
    <w:rsid w:val="00DD0B7C"/>
    <w:rsid w:val="00DD1E90"/>
    <w:rsid w:val="00DD273C"/>
    <w:rsid w:val="00DD2F97"/>
    <w:rsid w:val="00DD3887"/>
    <w:rsid w:val="00DD3F28"/>
    <w:rsid w:val="00DD42D9"/>
    <w:rsid w:val="00DD4537"/>
    <w:rsid w:val="00DD4E15"/>
    <w:rsid w:val="00DD5075"/>
    <w:rsid w:val="00DD74DC"/>
    <w:rsid w:val="00DE108C"/>
    <w:rsid w:val="00DE1360"/>
    <w:rsid w:val="00DE3138"/>
    <w:rsid w:val="00DE37F8"/>
    <w:rsid w:val="00DE38B2"/>
    <w:rsid w:val="00DE4FCB"/>
    <w:rsid w:val="00DE5AC8"/>
    <w:rsid w:val="00DE7832"/>
    <w:rsid w:val="00DF0123"/>
    <w:rsid w:val="00DF18FC"/>
    <w:rsid w:val="00DF4404"/>
    <w:rsid w:val="00DF4B0C"/>
    <w:rsid w:val="00DF4F56"/>
    <w:rsid w:val="00DF53D2"/>
    <w:rsid w:val="00DF5D2B"/>
    <w:rsid w:val="00DF5F32"/>
    <w:rsid w:val="00DF6ADE"/>
    <w:rsid w:val="00E00E8E"/>
    <w:rsid w:val="00E0247A"/>
    <w:rsid w:val="00E02D07"/>
    <w:rsid w:val="00E03C41"/>
    <w:rsid w:val="00E04683"/>
    <w:rsid w:val="00E05630"/>
    <w:rsid w:val="00E06DBB"/>
    <w:rsid w:val="00E076A9"/>
    <w:rsid w:val="00E10149"/>
    <w:rsid w:val="00E1158D"/>
    <w:rsid w:val="00E14A9A"/>
    <w:rsid w:val="00E15B2A"/>
    <w:rsid w:val="00E16372"/>
    <w:rsid w:val="00E17ABF"/>
    <w:rsid w:val="00E2002F"/>
    <w:rsid w:val="00E20C59"/>
    <w:rsid w:val="00E20E4D"/>
    <w:rsid w:val="00E20EC2"/>
    <w:rsid w:val="00E20ED6"/>
    <w:rsid w:val="00E21358"/>
    <w:rsid w:val="00E2249B"/>
    <w:rsid w:val="00E22A0D"/>
    <w:rsid w:val="00E240C0"/>
    <w:rsid w:val="00E24C99"/>
    <w:rsid w:val="00E25C17"/>
    <w:rsid w:val="00E2651A"/>
    <w:rsid w:val="00E270CB"/>
    <w:rsid w:val="00E2771E"/>
    <w:rsid w:val="00E30DB0"/>
    <w:rsid w:val="00E3187D"/>
    <w:rsid w:val="00E34948"/>
    <w:rsid w:val="00E355E7"/>
    <w:rsid w:val="00E35A74"/>
    <w:rsid w:val="00E362F1"/>
    <w:rsid w:val="00E36A9B"/>
    <w:rsid w:val="00E37569"/>
    <w:rsid w:val="00E40E0B"/>
    <w:rsid w:val="00E41E30"/>
    <w:rsid w:val="00E436AB"/>
    <w:rsid w:val="00E43D70"/>
    <w:rsid w:val="00E44873"/>
    <w:rsid w:val="00E45B49"/>
    <w:rsid w:val="00E45BB2"/>
    <w:rsid w:val="00E466F3"/>
    <w:rsid w:val="00E467A6"/>
    <w:rsid w:val="00E47B2C"/>
    <w:rsid w:val="00E50268"/>
    <w:rsid w:val="00E51560"/>
    <w:rsid w:val="00E526BB"/>
    <w:rsid w:val="00E52CC2"/>
    <w:rsid w:val="00E54347"/>
    <w:rsid w:val="00E543D7"/>
    <w:rsid w:val="00E55424"/>
    <w:rsid w:val="00E55AD0"/>
    <w:rsid w:val="00E55BB5"/>
    <w:rsid w:val="00E60413"/>
    <w:rsid w:val="00E6054A"/>
    <w:rsid w:val="00E6177E"/>
    <w:rsid w:val="00E62327"/>
    <w:rsid w:val="00E630C6"/>
    <w:rsid w:val="00E64DCE"/>
    <w:rsid w:val="00E64E57"/>
    <w:rsid w:val="00E65719"/>
    <w:rsid w:val="00E65E79"/>
    <w:rsid w:val="00E66622"/>
    <w:rsid w:val="00E66BA2"/>
    <w:rsid w:val="00E67416"/>
    <w:rsid w:val="00E67467"/>
    <w:rsid w:val="00E709B7"/>
    <w:rsid w:val="00E7123C"/>
    <w:rsid w:val="00E718B6"/>
    <w:rsid w:val="00E71B8A"/>
    <w:rsid w:val="00E71D73"/>
    <w:rsid w:val="00E723BA"/>
    <w:rsid w:val="00E73581"/>
    <w:rsid w:val="00E7458F"/>
    <w:rsid w:val="00E753BA"/>
    <w:rsid w:val="00E75D1C"/>
    <w:rsid w:val="00E7761D"/>
    <w:rsid w:val="00E83208"/>
    <w:rsid w:val="00E833F7"/>
    <w:rsid w:val="00E83BDF"/>
    <w:rsid w:val="00E83D95"/>
    <w:rsid w:val="00E85556"/>
    <w:rsid w:val="00E85AEA"/>
    <w:rsid w:val="00E86F9E"/>
    <w:rsid w:val="00E87A1D"/>
    <w:rsid w:val="00E90860"/>
    <w:rsid w:val="00E9113C"/>
    <w:rsid w:val="00E91DB0"/>
    <w:rsid w:val="00E925B8"/>
    <w:rsid w:val="00E926A5"/>
    <w:rsid w:val="00E92703"/>
    <w:rsid w:val="00E92933"/>
    <w:rsid w:val="00E94295"/>
    <w:rsid w:val="00E947DB"/>
    <w:rsid w:val="00E96892"/>
    <w:rsid w:val="00E9702B"/>
    <w:rsid w:val="00E979B5"/>
    <w:rsid w:val="00E97B44"/>
    <w:rsid w:val="00EA0F9C"/>
    <w:rsid w:val="00EA17C3"/>
    <w:rsid w:val="00EA2CAA"/>
    <w:rsid w:val="00EA2EE2"/>
    <w:rsid w:val="00EA2F8F"/>
    <w:rsid w:val="00EA3864"/>
    <w:rsid w:val="00EA3F24"/>
    <w:rsid w:val="00EA425D"/>
    <w:rsid w:val="00EA4B6D"/>
    <w:rsid w:val="00EA4BFC"/>
    <w:rsid w:val="00EA71C1"/>
    <w:rsid w:val="00EB0030"/>
    <w:rsid w:val="00EB0D6C"/>
    <w:rsid w:val="00EB15B6"/>
    <w:rsid w:val="00EB1738"/>
    <w:rsid w:val="00EB18AB"/>
    <w:rsid w:val="00EB2AA5"/>
    <w:rsid w:val="00EB3B9B"/>
    <w:rsid w:val="00EB4916"/>
    <w:rsid w:val="00EB6496"/>
    <w:rsid w:val="00EB760C"/>
    <w:rsid w:val="00EB7782"/>
    <w:rsid w:val="00EC00C9"/>
    <w:rsid w:val="00EC116B"/>
    <w:rsid w:val="00EC1CF4"/>
    <w:rsid w:val="00EC2333"/>
    <w:rsid w:val="00EC2649"/>
    <w:rsid w:val="00EC2B80"/>
    <w:rsid w:val="00EC5D1A"/>
    <w:rsid w:val="00EC7004"/>
    <w:rsid w:val="00EC7466"/>
    <w:rsid w:val="00ED01A8"/>
    <w:rsid w:val="00ED0D2F"/>
    <w:rsid w:val="00ED4F4D"/>
    <w:rsid w:val="00ED57EA"/>
    <w:rsid w:val="00ED6286"/>
    <w:rsid w:val="00ED7364"/>
    <w:rsid w:val="00EE07D3"/>
    <w:rsid w:val="00EE1F14"/>
    <w:rsid w:val="00EE22AF"/>
    <w:rsid w:val="00EE3E5B"/>
    <w:rsid w:val="00EE5C95"/>
    <w:rsid w:val="00EE6343"/>
    <w:rsid w:val="00EF0171"/>
    <w:rsid w:val="00EF1470"/>
    <w:rsid w:val="00EF1B25"/>
    <w:rsid w:val="00EF3237"/>
    <w:rsid w:val="00EF34FE"/>
    <w:rsid w:val="00EF3580"/>
    <w:rsid w:val="00EF4452"/>
    <w:rsid w:val="00EF448B"/>
    <w:rsid w:val="00EF4747"/>
    <w:rsid w:val="00EF4BF8"/>
    <w:rsid w:val="00EF588B"/>
    <w:rsid w:val="00EF5C0B"/>
    <w:rsid w:val="00EF6236"/>
    <w:rsid w:val="00EF6863"/>
    <w:rsid w:val="00EF6F00"/>
    <w:rsid w:val="00F006F7"/>
    <w:rsid w:val="00F00FC7"/>
    <w:rsid w:val="00F01937"/>
    <w:rsid w:val="00F02214"/>
    <w:rsid w:val="00F02253"/>
    <w:rsid w:val="00F02B99"/>
    <w:rsid w:val="00F02FB7"/>
    <w:rsid w:val="00F03AEB"/>
    <w:rsid w:val="00F03C2E"/>
    <w:rsid w:val="00F04A66"/>
    <w:rsid w:val="00F0504A"/>
    <w:rsid w:val="00F0516C"/>
    <w:rsid w:val="00F05368"/>
    <w:rsid w:val="00F053A0"/>
    <w:rsid w:val="00F057AB"/>
    <w:rsid w:val="00F06668"/>
    <w:rsid w:val="00F067A2"/>
    <w:rsid w:val="00F06CF1"/>
    <w:rsid w:val="00F07B7E"/>
    <w:rsid w:val="00F10229"/>
    <w:rsid w:val="00F11B10"/>
    <w:rsid w:val="00F1263A"/>
    <w:rsid w:val="00F1265D"/>
    <w:rsid w:val="00F13B89"/>
    <w:rsid w:val="00F14B8F"/>
    <w:rsid w:val="00F15137"/>
    <w:rsid w:val="00F156AF"/>
    <w:rsid w:val="00F1587E"/>
    <w:rsid w:val="00F15DEB"/>
    <w:rsid w:val="00F1690B"/>
    <w:rsid w:val="00F16DE4"/>
    <w:rsid w:val="00F20945"/>
    <w:rsid w:val="00F22C95"/>
    <w:rsid w:val="00F234DA"/>
    <w:rsid w:val="00F23B0F"/>
    <w:rsid w:val="00F23E31"/>
    <w:rsid w:val="00F24837"/>
    <w:rsid w:val="00F24F17"/>
    <w:rsid w:val="00F2575F"/>
    <w:rsid w:val="00F25769"/>
    <w:rsid w:val="00F258AF"/>
    <w:rsid w:val="00F25CAD"/>
    <w:rsid w:val="00F26FC8"/>
    <w:rsid w:val="00F27056"/>
    <w:rsid w:val="00F2739A"/>
    <w:rsid w:val="00F27565"/>
    <w:rsid w:val="00F27CD6"/>
    <w:rsid w:val="00F30953"/>
    <w:rsid w:val="00F310D4"/>
    <w:rsid w:val="00F31D1A"/>
    <w:rsid w:val="00F31D5A"/>
    <w:rsid w:val="00F33DE9"/>
    <w:rsid w:val="00F3572C"/>
    <w:rsid w:val="00F359E6"/>
    <w:rsid w:val="00F360A4"/>
    <w:rsid w:val="00F3619A"/>
    <w:rsid w:val="00F36F21"/>
    <w:rsid w:val="00F37CA6"/>
    <w:rsid w:val="00F40021"/>
    <w:rsid w:val="00F403A5"/>
    <w:rsid w:val="00F40AAA"/>
    <w:rsid w:val="00F40B22"/>
    <w:rsid w:val="00F40BA7"/>
    <w:rsid w:val="00F4114F"/>
    <w:rsid w:val="00F41C0A"/>
    <w:rsid w:val="00F41D08"/>
    <w:rsid w:val="00F41DF6"/>
    <w:rsid w:val="00F442FF"/>
    <w:rsid w:val="00F444A2"/>
    <w:rsid w:val="00F444D7"/>
    <w:rsid w:val="00F44687"/>
    <w:rsid w:val="00F46CB6"/>
    <w:rsid w:val="00F47611"/>
    <w:rsid w:val="00F47DE8"/>
    <w:rsid w:val="00F47EF5"/>
    <w:rsid w:val="00F5005C"/>
    <w:rsid w:val="00F500C1"/>
    <w:rsid w:val="00F52507"/>
    <w:rsid w:val="00F5255D"/>
    <w:rsid w:val="00F540F2"/>
    <w:rsid w:val="00F542C1"/>
    <w:rsid w:val="00F54B73"/>
    <w:rsid w:val="00F55E73"/>
    <w:rsid w:val="00F55EDA"/>
    <w:rsid w:val="00F57A41"/>
    <w:rsid w:val="00F57DF3"/>
    <w:rsid w:val="00F57F56"/>
    <w:rsid w:val="00F60092"/>
    <w:rsid w:val="00F6034A"/>
    <w:rsid w:val="00F60724"/>
    <w:rsid w:val="00F607ED"/>
    <w:rsid w:val="00F635F0"/>
    <w:rsid w:val="00F63DF4"/>
    <w:rsid w:val="00F64F90"/>
    <w:rsid w:val="00F65F4B"/>
    <w:rsid w:val="00F66593"/>
    <w:rsid w:val="00F66A2B"/>
    <w:rsid w:val="00F70C9D"/>
    <w:rsid w:val="00F7113C"/>
    <w:rsid w:val="00F711AD"/>
    <w:rsid w:val="00F712B8"/>
    <w:rsid w:val="00F74146"/>
    <w:rsid w:val="00F74730"/>
    <w:rsid w:val="00F74C20"/>
    <w:rsid w:val="00F74CD9"/>
    <w:rsid w:val="00F75693"/>
    <w:rsid w:val="00F75F45"/>
    <w:rsid w:val="00F76C06"/>
    <w:rsid w:val="00F77841"/>
    <w:rsid w:val="00F80A7B"/>
    <w:rsid w:val="00F80E5D"/>
    <w:rsid w:val="00F81601"/>
    <w:rsid w:val="00F851CE"/>
    <w:rsid w:val="00F853AB"/>
    <w:rsid w:val="00F86B2D"/>
    <w:rsid w:val="00F86E43"/>
    <w:rsid w:val="00F86F87"/>
    <w:rsid w:val="00F91219"/>
    <w:rsid w:val="00F91A96"/>
    <w:rsid w:val="00F93709"/>
    <w:rsid w:val="00F943FF"/>
    <w:rsid w:val="00F94D1B"/>
    <w:rsid w:val="00F97606"/>
    <w:rsid w:val="00F97974"/>
    <w:rsid w:val="00F97A0E"/>
    <w:rsid w:val="00F97A78"/>
    <w:rsid w:val="00FA00F9"/>
    <w:rsid w:val="00FA0B20"/>
    <w:rsid w:val="00FA2366"/>
    <w:rsid w:val="00FA24E7"/>
    <w:rsid w:val="00FA2B7F"/>
    <w:rsid w:val="00FA3DD6"/>
    <w:rsid w:val="00FB0183"/>
    <w:rsid w:val="00FB1259"/>
    <w:rsid w:val="00FB2FCB"/>
    <w:rsid w:val="00FB4888"/>
    <w:rsid w:val="00FB4A25"/>
    <w:rsid w:val="00FB6C78"/>
    <w:rsid w:val="00FC0DCD"/>
    <w:rsid w:val="00FC0F9E"/>
    <w:rsid w:val="00FC1074"/>
    <w:rsid w:val="00FC1884"/>
    <w:rsid w:val="00FC1B9B"/>
    <w:rsid w:val="00FC24BC"/>
    <w:rsid w:val="00FC26AE"/>
    <w:rsid w:val="00FC371D"/>
    <w:rsid w:val="00FC3A3C"/>
    <w:rsid w:val="00FC4E81"/>
    <w:rsid w:val="00FC550D"/>
    <w:rsid w:val="00FC5576"/>
    <w:rsid w:val="00FC55A1"/>
    <w:rsid w:val="00FC57BC"/>
    <w:rsid w:val="00FC5F0B"/>
    <w:rsid w:val="00FC62DB"/>
    <w:rsid w:val="00FC7756"/>
    <w:rsid w:val="00FD1D8B"/>
    <w:rsid w:val="00FD1FF0"/>
    <w:rsid w:val="00FD2100"/>
    <w:rsid w:val="00FD22EE"/>
    <w:rsid w:val="00FD436C"/>
    <w:rsid w:val="00FD446D"/>
    <w:rsid w:val="00FD549D"/>
    <w:rsid w:val="00FD62BF"/>
    <w:rsid w:val="00FD6394"/>
    <w:rsid w:val="00FD7089"/>
    <w:rsid w:val="00FD7863"/>
    <w:rsid w:val="00FE0B39"/>
    <w:rsid w:val="00FE0E6C"/>
    <w:rsid w:val="00FE14C4"/>
    <w:rsid w:val="00FE3595"/>
    <w:rsid w:val="00FE386B"/>
    <w:rsid w:val="00FE3A6D"/>
    <w:rsid w:val="00FE561E"/>
    <w:rsid w:val="00FE70C3"/>
    <w:rsid w:val="00FF10FF"/>
    <w:rsid w:val="00FF300A"/>
    <w:rsid w:val="00FF3DCF"/>
    <w:rsid w:val="00FF44BA"/>
    <w:rsid w:val="00FF492C"/>
    <w:rsid w:val="00FF4A21"/>
    <w:rsid w:val="00FF5AA3"/>
    <w:rsid w:val="00FF5AD8"/>
    <w:rsid w:val="00FF5C43"/>
    <w:rsid w:val="00FF6CAF"/>
    <w:rsid w:val="00FF72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30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Dossier table,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C682B"/>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customStyle="1" w:styleId="TableTextCA">
    <w:name w:val="Table Text CA"/>
    <w:basedOn w:val="Normal"/>
    <w:qFormat/>
    <w:rsid w:val="00E96892"/>
    <w:pPr>
      <w:widowControl/>
      <w:spacing w:before="20" w:after="20"/>
      <w:jc w:val="center"/>
    </w:pPr>
    <w:rPr>
      <w:rFonts w:ascii="Arial Narrow" w:eastAsiaTheme="minorHAnsi" w:hAnsi="Arial Narrow" w:cstheme="minorBidi"/>
      <w:snapToGrid/>
      <w:sz w:val="20"/>
    </w:rPr>
  </w:style>
  <w:style w:type="table" w:customStyle="1" w:styleId="ASDTable1">
    <w:name w:val="ASD Table1"/>
    <w:basedOn w:val="TableNormal"/>
    <w:next w:val="TableGrid"/>
    <w:uiPriority w:val="59"/>
    <w:rsid w:val="00D7248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11">
    <w:name w:val="Dossier table11"/>
    <w:basedOn w:val="TableNormal"/>
    <w:next w:val="TableGrid"/>
    <w:uiPriority w:val="59"/>
    <w:rsid w:val="009718B7"/>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edList">
    <w:name w:val="Numbered List"/>
    <w:basedOn w:val="Normal"/>
    <w:uiPriority w:val="3"/>
    <w:qFormat/>
    <w:rsid w:val="00D754C8"/>
    <w:pPr>
      <w:widowControl/>
      <w:numPr>
        <w:numId w:val="3"/>
      </w:numPr>
      <w:spacing w:after="240"/>
      <w:ind w:left="357" w:hanging="357"/>
      <w:contextualSpacing/>
    </w:pPr>
    <w:rPr>
      <w:rFonts w:ascii="Candara" w:eastAsiaTheme="majorEastAsia" w:hAnsi="Candara" w:cstheme="majorBidi"/>
      <w:snapToGrid/>
    </w:rPr>
  </w:style>
  <w:style w:type="paragraph" w:styleId="FootnoteText">
    <w:name w:val="footnote text"/>
    <w:basedOn w:val="Normal"/>
    <w:link w:val="FootnoteTextChar"/>
    <w:semiHidden/>
    <w:unhideWhenUsed/>
    <w:rsid w:val="00E60413"/>
    <w:rPr>
      <w:sz w:val="20"/>
      <w:szCs w:val="20"/>
    </w:rPr>
  </w:style>
  <w:style w:type="character" w:customStyle="1" w:styleId="FootnoteTextChar">
    <w:name w:val="Footnote Text Char"/>
    <w:basedOn w:val="DefaultParagraphFont"/>
    <w:link w:val="FootnoteText"/>
    <w:semiHidden/>
    <w:rsid w:val="00E60413"/>
    <w:rPr>
      <w:rFonts w:ascii="Calibri" w:hAnsi="Calibri" w:cs="Arial"/>
      <w:snapToGrid w:val="0"/>
      <w:lang w:eastAsia="en-US"/>
    </w:rPr>
  </w:style>
  <w:style w:type="character" w:styleId="FootnoteReference">
    <w:name w:val="footnote reference"/>
    <w:basedOn w:val="DefaultParagraphFont"/>
    <w:semiHidden/>
    <w:unhideWhenUsed/>
    <w:rsid w:val="00E60413"/>
    <w:rPr>
      <w:vertAlign w:val="superscript"/>
    </w:rPr>
  </w:style>
  <w:style w:type="paragraph" w:customStyle="1" w:styleId="In-tableHeading">
    <w:name w:val="In-table Heading"/>
    <w:qFormat/>
    <w:rsid w:val="00DA02AE"/>
    <w:pPr>
      <w:keepNext/>
    </w:pPr>
    <w:rPr>
      <w:rFonts w:ascii="Arial Narrow" w:eastAsiaTheme="majorEastAsia" w:hAnsi="Arial Narrow"/>
      <w:b/>
      <w:szCs w:val="24"/>
      <w:lang w:val="en-US"/>
    </w:rPr>
  </w:style>
  <w:style w:type="character" w:customStyle="1" w:styleId="TableTextChar0">
    <w:name w:val="Table Text Char"/>
    <w:basedOn w:val="DefaultParagraphFont"/>
    <w:link w:val="TableText0"/>
    <w:rsid w:val="00DA02AE"/>
    <w:rPr>
      <w:rFonts w:ascii="Arial Narrow" w:eastAsiaTheme="minorHAnsi" w:hAnsi="Arial Narrow" w:cstheme="minorBidi"/>
      <w:szCs w:val="22"/>
      <w:lang w:eastAsia="en-US"/>
    </w:rPr>
  </w:style>
  <w:style w:type="paragraph" w:customStyle="1" w:styleId="2-SectionHeading">
    <w:name w:val="2-Section Heading"/>
    <w:qFormat/>
    <w:rsid w:val="000247D4"/>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247D4"/>
    <w:pPr>
      <w:widowControl/>
      <w:spacing w:after="120"/>
      <w:ind w:left="720" w:hanging="720"/>
    </w:pPr>
    <w:rPr>
      <w:rFonts w:asciiTheme="minorHAnsi" w:hAnsiTheme="minorHAnsi"/>
      <w:szCs w:val="24"/>
      <w:lang w:eastAsia="en-AU"/>
    </w:rPr>
  </w:style>
  <w:style w:type="character" w:customStyle="1" w:styleId="ExecSumBodyTextChar">
    <w:name w:val="Exec Sum Body Text Char"/>
    <w:basedOn w:val="DefaultParagraphFont"/>
    <w:link w:val="ExecSumBodyText"/>
    <w:rsid w:val="000247D4"/>
    <w:rPr>
      <w:rFonts w:asciiTheme="minorHAnsi" w:hAnsiTheme="minorHAnsi" w:cs="Arial"/>
      <w:snapToGrid w:val="0"/>
      <w:sz w:val="24"/>
      <w:szCs w:val="24"/>
    </w:rPr>
  </w:style>
  <w:style w:type="table" w:customStyle="1" w:styleId="Submissionstandard">
    <w:name w:val="Submission standard"/>
    <w:basedOn w:val="TableNormal"/>
    <w:uiPriority w:val="99"/>
    <w:qFormat/>
    <w:rsid w:val="008E3B2C"/>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Roboto-Light" w:hAnsi="Roboto-Light" w:cstheme="majorBidi"/>
        <w:b/>
        <w:sz w:val="20"/>
      </w:rPr>
      <w:tblPr/>
      <w:tcPr>
        <w:shd w:val="clear" w:color="auto" w:fill="BFBFBF" w:themeFill="background1" w:themeFillShade="BF"/>
      </w:tcPr>
    </w:tblStylePr>
  </w:style>
  <w:style w:type="paragraph" w:customStyle="1" w:styleId="2Sections">
    <w:name w:val="2. Sections"/>
    <w:qFormat/>
    <w:rsid w:val="007654F1"/>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7654F1"/>
    <w:pPr>
      <w:widowControl/>
      <w:spacing w:after="120"/>
      <w:ind w:left="720" w:hanging="720"/>
      <w:jc w:val="both"/>
    </w:pPr>
    <w:rPr>
      <w:rFonts w:asciiTheme="minorHAnsi" w:eastAsiaTheme="minorHAnsi" w:hAnsiTheme="minorHAnsi" w:cstheme="minorBidi"/>
      <w:i/>
      <w:snapToGrid/>
      <w:lang w:eastAsia="en-AU"/>
    </w:rPr>
  </w:style>
  <w:style w:type="character" w:customStyle="1" w:styleId="TableFigureFooterChar">
    <w:name w:val="Table/Figure Footer Char"/>
    <w:link w:val="TableFigureFooter"/>
    <w:locked/>
    <w:rsid w:val="00934AB7"/>
    <w:rPr>
      <w:rFonts w:ascii="Arial Narrow" w:hAnsi="Arial Narrow" w:cs="Arial"/>
      <w:sz w:val="18"/>
    </w:rPr>
  </w:style>
  <w:style w:type="paragraph" w:customStyle="1" w:styleId="TableFigureFooter">
    <w:name w:val="Table/Figure Footer"/>
    <w:basedOn w:val="Normal"/>
    <w:link w:val="TableFigureFooterChar"/>
    <w:qFormat/>
    <w:rsid w:val="00934AB7"/>
    <w:pPr>
      <w:widowControl/>
      <w:snapToGrid w:val="0"/>
      <w:spacing w:after="120"/>
      <w:contextualSpacing/>
    </w:pPr>
    <w:rPr>
      <w:rFonts w:ascii="Arial Narrow" w:hAnsi="Arial Narrow"/>
      <w:snapToGrid/>
      <w:sz w:val="18"/>
      <w:szCs w:val="20"/>
      <w:lang w:eastAsia="en-AU"/>
    </w:rPr>
  </w:style>
  <w:style w:type="character" w:customStyle="1" w:styleId="normaltextrun">
    <w:name w:val="normaltextrun"/>
    <w:basedOn w:val="DefaultParagraphFont"/>
    <w:rsid w:val="0012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4152">
      <w:bodyDiv w:val="1"/>
      <w:marLeft w:val="0"/>
      <w:marRight w:val="0"/>
      <w:marTop w:val="0"/>
      <w:marBottom w:val="0"/>
      <w:divBdr>
        <w:top w:val="none" w:sz="0" w:space="0" w:color="auto"/>
        <w:left w:val="none" w:sz="0" w:space="0" w:color="auto"/>
        <w:bottom w:val="none" w:sz="0" w:space="0" w:color="auto"/>
        <w:right w:val="none" w:sz="0" w:space="0" w:color="auto"/>
      </w:divBdr>
    </w:div>
    <w:div w:id="230699622">
      <w:bodyDiv w:val="1"/>
      <w:marLeft w:val="0"/>
      <w:marRight w:val="0"/>
      <w:marTop w:val="0"/>
      <w:marBottom w:val="0"/>
      <w:divBdr>
        <w:top w:val="none" w:sz="0" w:space="0" w:color="auto"/>
        <w:left w:val="none" w:sz="0" w:space="0" w:color="auto"/>
        <w:bottom w:val="none" w:sz="0" w:space="0" w:color="auto"/>
        <w:right w:val="none" w:sz="0" w:space="0" w:color="auto"/>
      </w:divBdr>
    </w:div>
    <w:div w:id="426584656">
      <w:bodyDiv w:val="1"/>
      <w:marLeft w:val="0"/>
      <w:marRight w:val="0"/>
      <w:marTop w:val="0"/>
      <w:marBottom w:val="0"/>
      <w:divBdr>
        <w:top w:val="none" w:sz="0" w:space="0" w:color="auto"/>
        <w:left w:val="none" w:sz="0" w:space="0" w:color="auto"/>
        <w:bottom w:val="none" w:sz="0" w:space="0" w:color="auto"/>
        <w:right w:val="none" w:sz="0" w:space="0" w:color="auto"/>
      </w:divBdr>
    </w:div>
    <w:div w:id="731004514">
      <w:bodyDiv w:val="1"/>
      <w:marLeft w:val="0"/>
      <w:marRight w:val="0"/>
      <w:marTop w:val="0"/>
      <w:marBottom w:val="0"/>
      <w:divBdr>
        <w:top w:val="none" w:sz="0" w:space="0" w:color="auto"/>
        <w:left w:val="none" w:sz="0" w:space="0" w:color="auto"/>
        <w:bottom w:val="none" w:sz="0" w:space="0" w:color="auto"/>
        <w:right w:val="none" w:sz="0" w:space="0" w:color="auto"/>
      </w:divBdr>
    </w:div>
    <w:div w:id="1016544462">
      <w:bodyDiv w:val="1"/>
      <w:marLeft w:val="0"/>
      <w:marRight w:val="0"/>
      <w:marTop w:val="0"/>
      <w:marBottom w:val="0"/>
      <w:divBdr>
        <w:top w:val="none" w:sz="0" w:space="0" w:color="auto"/>
        <w:left w:val="none" w:sz="0" w:space="0" w:color="auto"/>
        <w:bottom w:val="none" w:sz="0" w:space="0" w:color="auto"/>
        <w:right w:val="none" w:sz="0" w:space="0" w:color="auto"/>
      </w:divBdr>
    </w:div>
    <w:div w:id="1146824430">
      <w:bodyDiv w:val="1"/>
      <w:marLeft w:val="0"/>
      <w:marRight w:val="0"/>
      <w:marTop w:val="0"/>
      <w:marBottom w:val="0"/>
      <w:divBdr>
        <w:top w:val="none" w:sz="0" w:space="0" w:color="auto"/>
        <w:left w:val="none" w:sz="0" w:space="0" w:color="auto"/>
        <w:bottom w:val="none" w:sz="0" w:space="0" w:color="auto"/>
        <w:right w:val="none" w:sz="0" w:space="0" w:color="auto"/>
      </w:divBdr>
    </w:div>
    <w:div w:id="1282032197">
      <w:bodyDiv w:val="1"/>
      <w:marLeft w:val="0"/>
      <w:marRight w:val="0"/>
      <w:marTop w:val="0"/>
      <w:marBottom w:val="0"/>
      <w:divBdr>
        <w:top w:val="none" w:sz="0" w:space="0" w:color="auto"/>
        <w:left w:val="none" w:sz="0" w:space="0" w:color="auto"/>
        <w:bottom w:val="none" w:sz="0" w:space="0" w:color="auto"/>
        <w:right w:val="none" w:sz="0" w:space="0" w:color="auto"/>
      </w:divBdr>
    </w:div>
    <w:div w:id="1450511991">
      <w:bodyDiv w:val="1"/>
      <w:marLeft w:val="0"/>
      <w:marRight w:val="0"/>
      <w:marTop w:val="0"/>
      <w:marBottom w:val="0"/>
      <w:divBdr>
        <w:top w:val="none" w:sz="0" w:space="0" w:color="auto"/>
        <w:left w:val="none" w:sz="0" w:space="0" w:color="auto"/>
        <w:bottom w:val="none" w:sz="0" w:space="0" w:color="auto"/>
        <w:right w:val="none" w:sz="0" w:space="0" w:color="auto"/>
      </w:divBdr>
    </w:div>
    <w:div w:id="1902054359">
      <w:bodyDiv w:val="1"/>
      <w:marLeft w:val="0"/>
      <w:marRight w:val="0"/>
      <w:marTop w:val="0"/>
      <w:marBottom w:val="0"/>
      <w:divBdr>
        <w:top w:val="none" w:sz="0" w:space="0" w:color="auto"/>
        <w:left w:val="none" w:sz="0" w:space="0" w:color="auto"/>
        <w:bottom w:val="none" w:sz="0" w:space="0" w:color="auto"/>
        <w:right w:val="none" w:sz="0" w:space="0" w:color="auto"/>
      </w:divBdr>
    </w:div>
    <w:div w:id="2097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90002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BCF0-37C0-4D34-B68B-30D66159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16526</Words>
  <Characters>89724</Characters>
  <Application>Microsoft Office Word</Application>
  <DocSecurity>0</DocSecurity>
  <Lines>747</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2021-07-08T02:34:00Z</dcterms:created>
  <dcterms:modified xsi:type="dcterms:W3CDTF">2021-07-08T02:34:00Z</dcterms:modified>
</cp:coreProperties>
</file>