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AF20AB" w:rsidRDefault="00B77C8E" w:rsidP="004A6040">
      <w:pPr>
        <w:pStyle w:val="1-MainHeading"/>
      </w:pPr>
      <w:bookmarkStart w:id="0" w:name="_Toc62045598"/>
      <w:r w:rsidRPr="00AF20AB">
        <w:t>5</w:t>
      </w:r>
      <w:r w:rsidR="00433044" w:rsidRPr="00AF20AB">
        <w:t>.</w:t>
      </w:r>
      <w:r w:rsidRPr="00AF20AB">
        <w:t>0</w:t>
      </w:r>
      <w:r w:rsidR="005205BA" w:rsidRPr="00AF20AB">
        <w:t>5</w:t>
      </w:r>
      <w:r w:rsidR="00163F66" w:rsidRPr="00AF20AB">
        <w:tab/>
      </w:r>
      <w:r w:rsidR="00181A61" w:rsidRPr="00AF20AB">
        <w:t>DECITABINE +</w:t>
      </w:r>
      <w:r w:rsidR="007B2E7D" w:rsidRPr="00AF20AB">
        <w:t xml:space="preserve"> </w:t>
      </w:r>
      <w:r w:rsidR="00E06433" w:rsidRPr="00AF20AB">
        <w:t>CEDAZURIDINE</w:t>
      </w:r>
      <w:r w:rsidR="00163F66" w:rsidRPr="00AF20AB">
        <w:t>,</w:t>
      </w:r>
      <w:r w:rsidR="00163F66" w:rsidRPr="00AF20AB">
        <w:br/>
      </w:r>
      <w:r w:rsidR="00E06433" w:rsidRPr="00AF20AB">
        <w:t>Tablet</w:t>
      </w:r>
      <w:r w:rsidR="000D53A8" w:rsidRPr="00AF20AB">
        <w:t xml:space="preserve"> </w:t>
      </w:r>
      <w:r w:rsidR="007B2E7D" w:rsidRPr="00AF20AB">
        <w:t xml:space="preserve">containing decitabine </w:t>
      </w:r>
      <w:r w:rsidR="00E06433" w:rsidRPr="00AF20AB">
        <w:t>35</w:t>
      </w:r>
      <w:r w:rsidR="007B2E7D" w:rsidRPr="00AF20AB">
        <w:t xml:space="preserve"> mg + cedazuridine </w:t>
      </w:r>
      <w:r w:rsidR="00E06433" w:rsidRPr="00AF20AB">
        <w:t>100</w:t>
      </w:r>
      <w:r w:rsidR="007B2E7D" w:rsidRPr="00AF20AB">
        <w:t xml:space="preserve"> </w:t>
      </w:r>
      <w:r w:rsidR="00E06433" w:rsidRPr="00AF20AB">
        <w:t>mg</w:t>
      </w:r>
      <w:r w:rsidR="00163F66" w:rsidRPr="00AF20AB">
        <w:t>,</w:t>
      </w:r>
      <w:r w:rsidR="00163F66" w:rsidRPr="00AF20AB">
        <w:br/>
      </w:r>
      <w:r w:rsidR="00E06433" w:rsidRPr="00AF20AB">
        <w:t>Inqovi</w:t>
      </w:r>
      <w:r w:rsidR="00B60939" w:rsidRPr="00AF20AB">
        <w:rPr>
          <w:vertAlign w:val="superscript"/>
        </w:rPr>
        <w:t>®</w:t>
      </w:r>
      <w:r w:rsidR="004A6040" w:rsidRPr="00AF20AB">
        <w:t>,</w:t>
      </w:r>
      <w:r w:rsidR="004A6040" w:rsidRPr="00AF20AB">
        <w:br/>
      </w:r>
      <w:r w:rsidR="00E06433" w:rsidRPr="00AF20AB">
        <w:t>Otsuka Australia Pharmaceutical Pty Ltd</w:t>
      </w:r>
      <w:r w:rsidR="00B60939" w:rsidRPr="00AF20AB">
        <w:t>.</w:t>
      </w:r>
      <w:bookmarkEnd w:id="0"/>
    </w:p>
    <w:p w:rsidR="00B50DB8" w:rsidRPr="00AF20AB" w:rsidRDefault="00B50DB8" w:rsidP="004A6040">
      <w:pPr>
        <w:pStyle w:val="2-SectionHeading"/>
      </w:pPr>
      <w:bookmarkStart w:id="1" w:name="_Toc62045600"/>
      <w:r w:rsidRPr="00AF20AB">
        <w:t xml:space="preserve">Purpose of </w:t>
      </w:r>
      <w:r w:rsidR="00CD7193" w:rsidRPr="00AF20AB">
        <w:t>s</w:t>
      </w:r>
      <w:r w:rsidR="00BB3A45" w:rsidRPr="00AF20AB">
        <w:t>ubmission</w:t>
      </w:r>
      <w:bookmarkEnd w:id="1"/>
    </w:p>
    <w:p w:rsidR="009121DD" w:rsidRPr="00AF20AB" w:rsidRDefault="007170DA" w:rsidP="004E18E9">
      <w:pPr>
        <w:pStyle w:val="3-BodyText"/>
      </w:pPr>
      <w:r w:rsidRPr="00AF20AB">
        <w:t xml:space="preserve">The submission requested </w:t>
      </w:r>
      <w:r w:rsidR="008B1757" w:rsidRPr="00AF20AB">
        <w:t xml:space="preserve">Authority Required listing for </w:t>
      </w:r>
      <w:r w:rsidR="009121DD" w:rsidRPr="00AF20AB">
        <w:t>decitabine+cedazuridine</w:t>
      </w:r>
      <w:r w:rsidR="008B1757" w:rsidRPr="00AF20AB">
        <w:t xml:space="preserve"> for </w:t>
      </w:r>
      <w:r w:rsidR="0050174E" w:rsidRPr="00AF20AB">
        <w:t xml:space="preserve">the </w:t>
      </w:r>
      <w:r w:rsidR="008B1757" w:rsidRPr="00AF20AB">
        <w:t>treatment of</w:t>
      </w:r>
      <w:r w:rsidR="009121DD" w:rsidRPr="00AF20AB">
        <w:t xml:space="preserve"> myelodysplastic syndrome (MDS) and chronic myelomonocytic leukaemia (CMML)</w:t>
      </w:r>
      <w:r w:rsidR="00F0057E" w:rsidRPr="00AF20AB">
        <w:t xml:space="preserve"> in high-risk patients.</w:t>
      </w:r>
      <w:r w:rsidR="008B1757" w:rsidRPr="00AF20AB">
        <w:t xml:space="preserve"> </w:t>
      </w:r>
    </w:p>
    <w:p w:rsidR="00C2778B" w:rsidRPr="00AF20AB" w:rsidRDefault="005750C5" w:rsidP="004E18E9">
      <w:pPr>
        <w:pStyle w:val="3-BodyText"/>
      </w:pPr>
      <w:r w:rsidRPr="00AF20AB">
        <w:t>Listing was requested on the basis of a cost-minimisation</w:t>
      </w:r>
      <w:r w:rsidR="005E64A2" w:rsidRPr="00AF20AB">
        <w:t xml:space="preserve"> </w:t>
      </w:r>
      <w:r w:rsidRPr="00AF20AB">
        <w:t xml:space="preserve">analysis versus </w:t>
      </w:r>
      <w:r w:rsidR="005E64A2" w:rsidRPr="00AF20AB">
        <w:t>azacitidine</w:t>
      </w:r>
      <w:r w:rsidR="00AF20AB">
        <w:t xml:space="preserve">. </w:t>
      </w:r>
    </w:p>
    <w:p w:rsidR="008B1757" w:rsidRPr="00AF20AB" w:rsidRDefault="008B1757" w:rsidP="004A6040">
      <w:pPr>
        <w:pStyle w:val="TableFigureHeading"/>
        <w:rPr>
          <w:rStyle w:val="CommentReference"/>
          <w:b/>
          <w:szCs w:val="24"/>
        </w:rPr>
      </w:pPr>
      <w:r w:rsidRPr="00AF20AB">
        <w:rPr>
          <w:rStyle w:val="CommentReference"/>
          <w:b/>
          <w:szCs w:val="24"/>
        </w:rPr>
        <w:t xml:space="preserve">Table </w:t>
      </w:r>
      <w:r w:rsidR="000B2CFA" w:rsidRPr="00AF20AB">
        <w:rPr>
          <w:rStyle w:val="CommentReference"/>
          <w:b/>
          <w:szCs w:val="24"/>
        </w:rPr>
        <w:t>1</w:t>
      </w:r>
      <w:r w:rsidRPr="00AF20AB">
        <w:rPr>
          <w:rStyle w:val="CommentReference"/>
          <w:b/>
          <w:szCs w:val="24"/>
        </w:rPr>
        <w:t>:</w:t>
      </w:r>
      <w:r w:rsidR="00BC591F" w:rsidRPr="00AF20AB">
        <w:rPr>
          <w:rStyle w:val="CommentReference"/>
          <w:b/>
          <w:szCs w:val="24"/>
        </w:rPr>
        <w:t xml:space="preserve"> </w:t>
      </w:r>
      <w:r w:rsidRPr="00AF20AB">
        <w:rPr>
          <w:rStyle w:val="CommentReference"/>
          <w:b/>
          <w:szCs w:val="24"/>
        </w:rPr>
        <w:t>Key components of the clinical issue addressed by the submission</w:t>
      </w:r>
      <w:r w:rsidR="007170DA" w:rsidRPr="00AF20AB">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AF20AB" w:rsidTr="002A2ADE">
        <w:trPr>
          <w:cantSplit/>
          <w:tblHeader/>
        </w:trPr>
        <w:tc>
          <w:tcPr>
            <w:tcW w:w="924" w:type="pct"/>
            <w:shd w:val="clear" w:color="auto" w:fill="auto"/>
          </w:tcPr>
          <w:p w:rsidR="008B1757" w:rsidRPr="00AF20AB" w:rsidRDefault="008B1757" w:rsidP="004A6040">
            <w:pPr>
              <w:pStyle w:val="In-tableHeading"/>
              <w:rPr>
                <w:szCs w:val="20"/>
                <w:lang w:val="en-AU"/>
              </w:rPr>
            </w:pPr>
            <w:r w:rsidRPr="00AF20AB">
              <w:rPr>
                <w:lang w:val="en-AU"/>
              </w:rPr>
              <w:t>Component</w:t>
            </w:r>
          </w:p>
        </w:tc>
        <w:tc>
          <w:tcPr>
            <w:tcW w:w="4076" w:type="pct"/>
            <w:shd w:val="clear" w:color="auto" w:fill="auto"/>
          </w:tcPr>
          <w:p w:rsidR="008B1757" w:rsidRPr="00AF20AB" w:rsidRDefault="008B1757" w:rsidP="004A6040">
            <w:pPr>
              <w:pStyle w:val="In-tableHeading"/>
              <w:rPr>
                <w:lang w:val="en-AU"/>
              </w:rPr>
            </w:pPr>
            <w:r w:rsidRPr="00AF20AB">
              <w:rPr>
                <w:lang w:val="en-AU"/>
              </w:rPr>
              <w:t>Description</w:t>
            </w:r>
          </w:p>
        </w:tc>
      </w:tr>
      <w:tr w:rsidR="005E64A2" w:rsidRPr="00AF20AB" w:rsidTr="00D22D97">
        <w:trPr>
          <w:cantSplit/>
        </w:trPr>
        <w:tc>
          <w:tcPr>
            <w:tcW w:w="924" w:type="pct"/>
            <w:shd w:val="clear" w:color="auto" w:fill="auto"/>
            <w:vAlign w:val="center"/>
          </w:tcPr>
          <w:p w:rsidR="005E64A2" w:rsidRPr="00AF20AB" w:rsidRDefault="005E64A2" w:rsidP="005E64A2">
            <w:pPr>
              <w:pStyle w:val="TableText0"/>
            </w:pPr>
            <w:r w:rsidRPr="00AF20AB">
              <w:t>Population</w:t>
            </w:r>
          </w:p>
        </w:tc>
        <w:tc>
          <w:tcPr>
            <w:tcW w:w="4076" w:type="pct"/>
            <w:shd w:val="clear" w:color="auto" w:fill="auto"/>
            <w:vAlign w:val="center"/>
          </w:tcPr>
          <w:p w:rsidR="005E64A2" w:rsidRPr="00AF20AB" w:rsidRDefault="005E64A2" w:rsidP="005E64A2">
            <w:pPr>
              <w:pStyle w:val="TableText0"/>
              <w:rPr>
                <w:szCs w:val="20"/>
              </w:rPr>
            </w:pPr>
            <w:r w:rsidRPr="00AF20AB">
              <w:t>High risk myelodysplastic syndrome (MDS) and chronic myelomonocytic leukaemia (CMML)</w:t>
            </w:r>
          </w:p>
        </w:tc>
      </w:tr>
      <w:tr w:rsidR="005E64A2" w:rsidRPr="00AF20AB" w:rsidTr="00D22D97">
        <w:trPr>
          <w:cantSplit/>
        </w:trPr>
        <w:tc>
          <w:tcPr>
            <w:tcW w:w="924" w:type="pct"/>
            <w:shd w:val="clear" w:color="auto" w:fill="auto"/>
            <w:vAlign w:val="center"/>
          </w:tcPr>
          <w:p w:rsidR="005E64A2" w:rsidRPr="00AF20AB" w:rsidRDefault="005E64A2" w:rsidP="005E64A2">
            <w:pPr>
              <w:pStyle w:val="TableText0"/>
            </w:pPr>
            <w:r w:rsidRPr="00AF20AB">
              <w:t>Intervention</w:t>
            </w:r>
          </w:p>
        </w:tc>
        <w:tc>
          <w:tcPr>
            <w:tcW w:w="4076" w:type="pct"/>
            <w:shd w:val="clear" w:color="auto" w:fill="auto"/>
            <w:vAlign w:val="center"/>
          </w:tcPr>
          <w:p w:rsidR="005E64A2" w:rsidRPr="00AF20AB" w:rsidRDefault="005E64A2" w:rsidP="005E64A2">
            <w:pPr>
              <w:pStyle w:val="TableText0"/>
            </w:pPr>
            <w:r w:rsidRPr="00AF20AB">
              <w:t>Decitabine 35mg + cedazuridine 100mg, fixed dose combination tablet</w:t>
            </w:r>
            <w:r w:rsidR="000850DE" w:rsidRPr="00AF20AB">
              <w:t xml:space="preserve"> taken on Day 1-5 in 28-day cycles</w:t>
            </w:r>
          </w:p>
        </w:tc>
      </w:tr>
      <w:tr w:rsidR="005E64A2" w:rsidRPr="00AF20AB" w:rsidTr="00D22D97">
        <w:trPr>
          <w:cantSplit/>
        </w:trPr>
        <w:tc>
          <w:tcPr>
            <w:tcW w:w="924" w:type="pct"/>
            <w:shd w:val="clear" w:color="auto" w:fill="auto"/>
            <w:vAlign w:val="center"/>
          </w:tcPr>
          <w:p w:rsidR="005E64A2" w:rsidRPr="00AF20AB" w:rsidRDefault="005E64A2" w:rsidP="005E64A2">
            <w:pPr>
              <w:pStyle w:val="TableText0"/>
            </w:pPr>
            <w:r w:rsidRPr="00AF20AB">
              <w:t>Comparator</w:t>
            </w:r>
          </w:p>
        </w:tc>
        <w:tc>
          <w:tcPr>
            <w:tcW w:w="4076" w:type="pct"/>
            <w:shd w:val="clear" w:color="auto" w:fill="auto"/>
            <w:vAlign w:val="center"/>
          </w:tcPr>
          <w:p w:rsidR="005E64A2" w:rsidRPr="00AF20AB" w:rsidRDefault="005E64A2" w:rsidP="005E64A2">
            <w:pPr>
              <w:pStyle w:val="TableText0"/>
            </w:pPr>
            <w:r w:rsidRPr="00AF20AB">
              <w:t xml:space="preserve">Azacitidine </w:t>
            </w:r>
          </w:p>
        </w:tc>
      </w:tr>
      <w:tr w:rsidR="005E64A2" w:rsidRPr="00AF20AB" w:rsidTr="00D22D97">
        <w:trPr>
          <w:cantSplit/>
        </w:trPr>
        <w:tc>
          <w:tcPr>
            <w:tcW w:w="924" w:type="pct"/>
            <w:shd w:val="clear" w:color="auto" w:fill="auto"/>
            <w:vAlign w:val="center"/>
          </w:tcPr>
          <w:p w:rsidR="005E64A2" w:rsidRPr="00AF20AB" w:rsidRDefault="005E64A2" w:rsidP="005E64A2">
            <w:pPr>
              <w:pStyle w:val="TableText0"/>
            </w:pPr>
            <w:r w:rsidRPr="00AF20AB">
              <w:t>Outcomes</w:t>
            </w:r>
          </w:p>
        </w:tc>
        <w:tc>
          <w:tcPr>
            <w:tcW w:w="4076" w:type="pct"/>
            <w:shd w:val="clear" w:color="auto" w:fill="auto"/>
            <w:vAlign w:val="center"/>
          </w:tcPr>
          <w:p w:rsidR="005E64A2" w:rsidRPr="00AF20AB" w:rsidRDefault="005E64A2" w:rsidP="005E64A2">
            <w:pPr>
              <w:pStyle w:val="TableText0"/>
              <w:rPr>
                <w:rFonts w:eastAsia="Times New Roman" w:cs="Arial"/>
                <w:bCs w:val="0"/>
                <w:snapToGrid w:val="0"/>
                <w:szCs w:val="20"/>
              </w:rPr>
            </w:pPr>
            <w:r w:rsidRPr="00AF20AB">
              <w:t>OS, time to AML transformation, overall response, complete response, partial response, haematological improvement</w:t>
            </w:r>
          </w:p>
        </w:tc>
      </w:tr>
      <w:tr w:rsidR="005E64A2" w:rsidRPr="00AF20AB" w:rsidTr="00D22D97">
        <w:trPr>
          <w:cantSplit/>
        </w:trPr>
        <w:tc>
          <w:tcPr>
            <w:tcW w:w="924" w:type="pct"/>
            <w:shd w:val="clear" w:color="auto" w:fill="auto"/>
            <w:vAlign w:val="center"/>
          </w:tcPr>
          <w:p w:rsidR="005E64A2" w:rsidRPr="00AF20AB" w:rsidRDefault="005E64A2" w:rsidP="005E64A2">
            <w:pPr>
              <w:pStyle w:val="TableText0"/>
            </w:pPr>
            <w:r w:rsidRPr="00AF20AB">
              <w:t>Clinical claim</w:t>
            </w:r>
          </w:p>
        </w:tc>
        <w:tc>
          <w:tcPr>
            <w:tcW w:w="4076" w:type="pct"/>
            <w:shd w:val="clear" w:color="auto" w:fill="auto"/>
            <w:vAlign w:val="center"/>
          </w:tcPr>
          <w:p w:rsidR="005E64A2" w:rsidRPr="00AF20AB" w:rsidRDefault="005E64A2" w:rsidP="005E64A2">
            <w:pPr>
              <w:pStyle w:val="TableText0"/>
              <w:rPr>
                <w:rFonts w:eastAsia="Times New Roman" w:cs="Arial"/>
                <w:bCs w:val="0"/>
                <w:snapToGrid w:val="0"/>
                <w:szCs w:val="20"/>
              </w:rPr>
            </w:pPr>
            <w:r w:rsidRPr="00AF20AB">
              <w:t>Non-inferiority in terms of efficacy and safety</w:t>
            </w:r>
          </w:p>
        </w:tc>
      </w:tr>
    </w:tbl>
    <w:p w:rsidR="004E43B2" w:rsidRPr="00AF20AB" w:rsidRDefault="008B1757" w:rsidP="004A6040">
      <w:pPr>
        <w:pStyle w:val="TableFigureFooter"/>
      </w:pPr>
      <w:r w:rsidRPr="00AF20AB">
        <w:t xml:space="preserve">Source: </w:t>
      </w:r>
      <w:r w:rsidR="005E64A2" w:rsidRPr="00AF20AB">
        <w:t>Table 1.1, p28 of the submission</w:t>
      </w:r>
      <w:r w:rsidRPr="00AF20AB">
        <w:t>.</w:t>
      </w:r>
    </w:p>
    <w:p w:rsidR="00F57940" w:rsidRPr="00AF20AB" w:rsidRDefault="00F57940" w:rsidP="004A6040">
      <w:pPr>
        <w:pStyle w:val="TableFigureFooter"/>
        <w:rPr>
          <w:sz w:val="20"/>
        </w:rPr>
      </w:pPr>
      <w:r w:rsidRPr="00AF20AB">
        <w:t>AML=acute myeloid leukaemia; OS=overall survival</w:t>
      </w:r>
    </w:p>
    <w:p w:rsidR="005C25FF" w:rsidRPr="00AF20AB" w:rsidRDefault="005C25FF" w:rsidP="004A6040">
      <w:pPr>
        <w:pStyle w:val="2-SectionHeading"/>
      </w:pPr>
      <w:bookmarkStart w:id="2" w:name="_Toc62045601"/>
      <w:r w:rsidRPr="00AF20AB">
        <w:t>Background</w:t>
      </w:r>
      <w:bookmarkEnd w:id="2"/>
    </w:p>
    <w:p w:rsidR="005C25FF" w:rsidRPr="00AF20AB" w:rsidRDefault="005C25FF" w:rsidP="004A6040">
      <w:pPr>
        <w:pStyle w:val="4-SubsectionHeading"/>
      </w:pPr>
      <w:bookmarkStart w:id="3" w:name="_Toc22897638"/>
      <w:bookmarkStart w:id="4" w:name="_Toc62045602"/>
      <w:r w:rsidRPr="00AF20AB">
        <w:t>Registration status</w:t>
      </w:r>
      <w:bookmarkEnd w:id="3"/>
      <w:bookmarkEnd w:id="4"/>
    </w:p>
    <w:p w:rsidR="00F57940" w:rsidRPr="00AF20AB" w:rsidRDefault="00F57940" w:rsidP="004E18E9">
      <w:pPr>
        <w:pStyle w:val="3-BodyText"/>
      </w:pPr>
      <w:r w:rsidRPr="00AF20AB">
        <w:t>Decitabine+cedazuridine was approved by the TGA on 29 October 2020 for the treatment of adult patients with MDS/CMML.</w:t>
      </w:r>
      <w:r w:rsidR="001275C6" w:rsidRPr="00AF20AB">
        <w:t xml:space="preserve"> The TGA application was evaluated under the Project Orbis international collaboration with the FDA in the US and Health Canada</w:t>
      </w:r>
      <w:r w:rsidR="00AF20AB">
        <w:t xml:space="preserve">. </w:t>
      </w:r>
    </w:p>
    <w:p w:rsidR="00F57940" w:rsidRPr="00AF20AB" w:rsidRDefault="002850BB" w:rsidP="004E18E9">
      <w:pPr>
        <w:pStyle w:val="3-BodyText"/>
      </w:pPr>
      <w:r w:rsidRPr="00AF20AB">
        <w:t>T</w:t>
      </w:r>
      <w:r w:rsidR="00F57940" w:rsidRPr="00AF20AB">
        <w:t xml:space="preserve">he requested PBS listing is narrower than the TGA indication, as </w:t>
      </w:r>
      <w:r w:rsidR="001275C6" w:rsidRPr="00AF20AB">
        <w:t>it</w:t>
      </w:r>
      <w:r w:rsidR="00F57940" w:rsidRPr="00AF20AB">
        <w:t xml:space="preserve"> is limited to patients with an intermediate-2 or high risk IPSS score for MDS, and for CMML patients</w:t>
      </w:r>
      <w:r w:rsidR="00815E55" w:rsidRPr="00AF20AB">
        <w:t>. For CMML</w:t>
      </w:r>
      <w:r w:rsidR="005205BA" w:rsidRPr="00AF20AB">
        <w:t>,</w:t>
      </w:r>
      <w:r w:rsidR="00F57940" w:rsidRPr="00AF20AB">
        <w:t xml:space="preserve"> the requested PBS listing specifies an additional eligibility criterion of 10% to 29% marrow blasts without myeloproliferative disorder. These criteria align with the current azacitidine PBS listing</w:t>
      </w:r>
      <w:r w:rsidR="0000305D">
        <w:t xml:space="preserve">, but does not include low blast count (20-30%) acute myeloid </w:t>
      </w:r>
      <w:r w:rsidR="00917FA4">
        <w:t>leukaemia</w:t>
      </w:r>
      <w:r w:rsidR="00AF20AB">
        <w:t xml:space="preserve">. </w:t>
      </w:r>
    </w:p>
    <w:p w:rsidR="000F53FB" w:rsidRPr="00AF20AB" w:rsidRDefault="00B50DB8" w:rsidP="0077132F">
      <w:pPr>
        <w:pStyle w:val="2-SectionHeading"/>
      </w:pPr>
      <w:bookmarkStart w:id="5" w:name="_Toc62045603"/>
      <w:r w:rsidRPr="00AF20AB">
        <w:lastRenderedPageBreak/>
        <w:t>Requested listing</w:t>
      </w:r>
      <w:bookmarkEnd w:id="5"/>
    </w:p>
    <w:tbl>
      <w:tblPr>
        <w:tblW w:w="8991" w:type="dxa"/>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2127"/>
        <w:gridCol w:w="868"/>
        <w:gridCol w:w="914"/>
        <w:gridCol w:w="950"/>
        <w:gridCol w:w="2087"/>
        <w:gridCol w:w="2045"/>
      </w:tblGrid>
      <w:tr w:rsidR="00686F68" w:rsidRPr="00AF20AB" w:rsidTr="00686F68">
        <w:tc>
          <w:tcPr>
            <w:tcW w:w="2127" w:type="dxa"/>
            <w:vAlign w:val="center"/>
          </w:tcPr>
          <w:p w:rsidR="00686F68" w:rsidRPr="00AF20AB" w:rsidRDefault="00686F68" w:rsidP="00686F68">
            <w:pPr>
              <w:pStyle w:val="Tabletext"/>
              <w:rPr>
                <w:b/>
                <w:bCs/>
              </w:rPr>
            </w:pPr>
            <w:r w:rsidRPr="00AF20AB">
              <w:rPr>
                <w:b/>
              </w:rPr>
              <w:t>Name, restriction, manner of administration, form</w:t>
            </w:r>
          </w:p>
        </w:tc>
        <w:tc>
          <w:tcPr>
            <w:tcW w:w="868" w:type="dxa"/>
            <w:vAlign w:val="center"/>
          </w:tcPr>
          <w:p w:rsidR="00686F68" w:rsidRPr="00AF20AB" w:rsidRDefault="00686F68" w:rsidP="00686F68">
            <w:pPr>
              <w:pStyle w:val="Tabletext"/>
              <w:jc w:val="center"/>
              <w:rPr>
                <w:b/>
                <w:bCs/>
              </w:rPr>
            </w:pPr>
            <w:r w:rsidRPr="00AF20AB">
              <w:rPr>
                <w:b/>
              </w:rPr>
              <w:t>Maximum quantity (packs)</w:t>
            </w:r>
          </w:p>
        </w:tc>
        <w:tc>
          <w:tcPr>
            <w:tcW w:w="914" w:type="dxa"/>
            <w:vAlign w:val="center"/>
          </w:tcPr>
          <w:p w:rsidR="00686F68" w:rsidRPr="00AF20AB" w:rsidRDefault="00686F68" w:rsidP="00686F68">
            <w:pPr>
              <w:pStyle w:val="Tabletext"/>
              <w:jc w:val="center"/>
              <w:rPr>
                <w:b/>
                <w:bCs/>
              </w:rPr>
            </w:pPr>
            <w:r w:rsidRPr="00AF20AB">
              <w:rPr>
                <w:b/>
              </w:rPr>
              <w:t>Maximum quantity (units)</w:t>
            </w:r>
          </w:p>
        </w:tc>
        <w:tc>
          <w:tcPr>
            <w:tcW w:w="950" w:type="dxa"/>
            <w:vAlign w:val="center"/>
          </w:tcPr>
          <w:p w:rsidR="00686F68" w:rsidRPr="00AF20AB" w:rsidRDefault="00686F68" w:rsidP="00686F68">
            <w:pPr>
              <w:pStyle w:val="Tabletext"/>
              <w:jc w:val="center"/>
              <w:rPr>
                <w:b/>
                <w:bCs/>
              </w:rPr>
            </w:pPr>
            <w:r w:rsidRPr="00AF20AB">
              <w:rPr>
                <w:b/>
              </w:rPr>
              <w:t>No. of repeats</w:t>
            </w:r>
          </w:p>
        </w:tc>
        <w:tc>
          <w:tcPr>
            <w:tcW w:w="2087" w:type="dxa"/>
            <w:vAlign w:val="center"/>
          </w:tcPr>
          <w:p w:rsidR="00686F68" w:rsidRPr="00AF20AB" w:rsidRDefault="00686F68" w:rsidP="00686F68">
            <w:pPr>
              <w:pStyle w:val="Tabletext"/>
              <w:jc w:val="center"/>
              <w:rPr>
                <w:b/>
                <w:bCs/>
              </w:rPr>
            </w:pPr>
            <w:r w:rsidRPr="00AF20AB">
              <w:rPr>
                <w:b/>
              </w:rPr>
              <w:t>Dispensed price for maximum quantity</w:t>
            </w:r>
          </w:p>
        </w:tc>
        <w:tc>
          <w:tcPr>
            <w:tcW w:w="2045" w:type="dxa"/>
            <w:vAlign w:val="center"/>
          </w:tcPr>
          <w:p w:rsidR="00686F68" w:rsidRPr="00AF20AB" w:rsidRDefault="00686F68" w:rsidP="00686F68">
            <w:pPr>
              <w:pStyle w:val="Tabletext"/>
              <w:jc w:val="center"/>
              <w:rPr>
                <w:b/>
                <w:bCs/>
              </w:rPr>
            </w:pPr>
            <w:r w:rsidRPr="00AF20AB">
              <w:rPr>
                <w:b/>
              </w:rPr>
              <w:t>Proprietary name and manufacturer</w:t>
            </w:r>
          </w:p>
        </w:tc>
      </w:tr>
      <w:tr w:rsidR="00686F68" w:rsidRPr="00AF20AB" w:rsidTr="00686F68">
        <w:tc>
          <w:tcPr>
            <w:tcW w:w="2127" w:type="dxa"/>
            <w:vAlign w:val="center"/>
          </w:tcPr>
          <w:p w:rsidR="00686F68" w:rsidRPr="00AF20AB" w:rsidRDefault="00686F68" w:rsidP="00686F68">
            <w:pPr>
              <w:pStyle w:val="Tabletext"/>
            </w:pPr>
            <w:r w:rsidRPr="00AF20AB">
              <w:t>DECITABINE 35MG and CEDAZURIDINE 100MG</w:t>
            </w:r>
          </w:p>
          <w:p w:rsidR="00686F68" w:rsidRPr="00AF20AB" w:rsidRDefault="00686F68" w:rsidP="00686F68">
            <w:pPr>
              <w:pStyle w:val="Tabletext"/>
              <w:rPr>
                <w:b/>
                <w:bCs/>
              </w:rPr>
            </w:pPr>
            <w:r w:rsidRPr="00AF20AB">
              <w:t>Tablet</w:t>
            </w:r>
          </w:p>
        </w:tc>
        <w:tc>
          <w:tcPr>
            <w:tcW w:w="868" w:type="dxa"/>
            <w:vAlign w:val="center"/>
          </w:tcPr>
          <w:p w:rsidR="00686F68" w:rsidRPr="00AF20AB" w:rsidRDefault="00686F68" w:rsidP="00686F68">
            <w:pPr>
              <w:pStyle w:val="Tabletext"/>
              <w:jc w:val="center"/>
              <w:rPr>
                <w:rFonts w:ascii="Times" w:hAnsi="Times"/>
              </w:rPr>
            </w:pPr>
            <w:r w:rsidRPr="00AF20AB">
              <w:t>5</w:t>
            </w:r>
          </w:p>
        </w:tc>
        <w:tc>
          <w:tcPr>
            <w:tcW w:w="914" w:type="dxa"/>
            <w:vAlign w:val="center"/>
          </w:tcPr>
          <w:p w:rsidR="00686F68" w:rsidRPr="00AF20AB" w:rsidRDefault="00686F68" w:rsidP="00686F68">
            <w:pPr>
              <w:pStyle w:val="Tabletext"/>
              <w:jc w:val="center"/>
              <w:rPr>
                <w:rFonts w:ascii="Times" w:hAnsi="Times"/>
              </w:rPr>
            </w:pPr>
            <w:r w:rsidRPr="00AF20AB">
              <w:t>5</w:t>
            </w:r>
          </w:p>
        </w:tc>
        <w:tc>
          <w:tcPr>
            <w:tcW w:w="950" w:type="dxa"/>
            <w:vAlign w:val="center"/>
          </w:tcPr>
          <w:p w:rsidR="00686F68" w:rsidRPr="00AF20AB" w:rsidRDefault="00686F68" w:rsidP="00686F68">
            <w:pPr>
              <w:pStyle w:val="Tabletext"/>
            </w:pPr>
            <w:r w:rsidRPr="00AF20AB">
              <w:t>2 initial</w:t>
            </w:r>
          </w:p>
          <w:p w:rsidR="00686F68" w:rsidRPr="00AF20AB" w:rsidRDefault="00686F68" w:rsidP="00686F68">
            <w:pPr>
              <w:pStyle w:val="Tabletext"/>
              <w:jc w:val="center"/>
              <w:rPr>
                <w:rFonts w:ascii="Times" w:hAnsi="Times"/>
              </w:rPr>
            </w:pPr>
            <w:r w:rsidRPr="00AF20AB">
              <w:t>5 continuing</w:t>
            </w:r>
          </w:p>
        </w:tc>
        <w:tc>
          <w:tcPr>
            <w:tcW w:w="2087" w:type="dxa"/>
            <w:vAlign w:val="center"/>
          </w:tcPr>
          <w:p w:rsidR="00686F68" w:rsidRPr="00AF20AB" w:rsidRDefault="00686F68" w:rsidP="00686F68">
            <w:pPr>
              <w:pStyle w:val="Tabletext"/>
              <w:jc w:val="center"/>
            </w:pPr>
            <w:r w:rsidRPr="00AF20AB">
              <w:t>$4,876.96 published price</w:t>
            </w:r>
          </w:p>
          <w:p w:rsidR="00686F68" w:rsidRPr="00AF20AB" w:rsidRDefault="00686F68" w:rsidP="00686F68">
            <w:pPr>
              <w:pStyle w:val="Tabletext"/>
              <w:jc w:val="center"/>
            </w:pPr>
            <w:r w:rsidRPr="00AF20AB">
              <w:t>$</w:t>
            </w:r>
            <w:r w:rsidR="00A02580">
              <w:rPr>
                <w:noProof/>
                <w:color w:val="000000"/>
                <w:highlight w:val="black"/>
              </w:rPr>
              <w:t>''''''''''''''''''''</w:t>
            </w:r>
            <w:r w:rsidRPr="00AF20AB">
              <w:t xml:space="preserve"> effective price</w:t>
            </w:r>
          </w:p>
          <w:p w:rsidR="00686F68" w:rsidRPr="00AF20AB" w:rsidRDefault="00686F68" w:rsidP="00686F68">
            <w:pPr>
              <w:pStyle w:val="Tabletext"/>
              <w:jc w:val="center"/>
              <w:rPr>
                <w:rFonts w:ascii="Times" w:hAnsi="Times"/>
                <w:vertAlign w:val="superscript"/>
              </w:rPr>
            </w:pPr>
          </w:p>
        </w:tc>
        <w:tc>
          <w:tcPr>
            <w:tcW w:w="2045" w:type="dxa"/>
            <w:vAlign w:val="center"/>
          </w:tcPr>
          <w:p w:rsidR="00686F68" w:rsidRPr="00AF20AB" w:rsidRDefault="00686F68" w:rsidP="00686F68">
            <w:pPr>
              <w:pStyle w:val="Tabletext"/>
              <w:jc w:val="center"/>
            </w:pPr>
            <w:r w:rsidRPr="00AF20AB">
              <w:t>INQOVI</w:t>
            </w:r>
            <w:r w:rsidRPr="00AF20AB">
              <w:rPr>
                <w:vertAlign w:val="superscript"/>
              </w:rPr>
              <w:t xml:space="preserve">® </w:t>
            </w:r>
          </w:p>
          <w:p w:rsidR="00686F68" w:rsidRPr="00AF20AB" w:rsidRDefault="00686F68" w:rsidP="00686F68">
            <w:pPr>
              <w:pStyle w:val="Tabletext"/>
              <w:jc w:val="center"/>
              <w:rPr>
                <w:rFonts w:ascii="Times" w:hAnsi="Times"/>
              </w:rPr>
            </w:pPr>
            <w:r w:rsidRPr="00AF20AB">
              <w:t>Otsuka Australia</w:t>
            </w:r>
          </w:p>
        </w:tc>
      </w:tr>
    </w:tbl>
    <w:p w:rsidR="00686F68" w:rsidRPr="00AF20AB" w:rsidRDefault="00686F68" w:rsidP="00686F68"/>
    <w:tbl>
      <w:tblPr>
        <w:tblW w:w="5000" w:type="pct"/>
        <w:tblLook w:val="0000" w:firstRow="0" w:lastRow="0" w:firstColumn="0" w:lastColumn="0" w:noHBand="0" w:noVBand="0"/>
      </w:tblPr>
      <w:tblGrid>
        <w:gridCol w:w="1838"/>
        <w:gridCol w:w="7179"/>
      </w:tblGrid>
      <w:tr w:rsidR="00686F68" w:rsidRPr="00AF20AB" w:rsidTr="00597925">
        <w:trPr>
          <w:cantSplit/>
        </w:trPr>
        <w:tc>
          <w:tcPr>
            <w:tcW w:w="1019"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b/>
              </w:rPr>
            </w:pPr>
            <w:r w:rsidRPr="00AF20AB">
              <w:rPr>
                <w:b/>
              </w:rPr>
              <w:t>Category / Program:</w:t>
            </w:r>
          </w:p>
        </w:tc>
        <w:tc>
          <w:tcPr>
            <w:tcW w:w="3981"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pPr>
            <w:r w:rsidRPr="00AF20AB">
              <w:t>GENERAL – General Schedule (S85)</w:t>
            </w:r>
          </w:p>
        </w:tc>
      </w:tr>
      <w:tr w:rsidR="00686F68" w:rsidRPr="00AF20AB" w:rsidTr="00597925">
        <w:trPr>
          <w:cantSplit/>
        </w:trPr>
        <w:tc>
          <w:tcPr>
            <w:tcW w:w="1019"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b/>
              </w:rPr>
            </w:pPr>
            <w:r w:rsidRPr="00AF20AB">
              <w:rPr>
                <w:b/>
              </w:rPr>
              <w:t>Prescriber type:</w:t>
            </w:r>
          </w:p>
        </w:tc>
        <w:tc>
          <w:tcPr>
            <w:tcW w:w="3981"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pPr>
            <w:r w:rsidRPr="00AF20AB">
              <w:fldChar w:fldCharType="begin">
                <w:ffData>
                  <w:name w:val=""/>
                  <w:enabled/>
                  <w:calcOnExit w:val="0"/>
                  <w:checkBox>
                    <w:sizeAuto/>
                    <w:default w:val="1"/>
                  </w:checkBox>
                </w:ffData>
              </w:fldChar>
            </w:r>
            <w:r w:rsidRPr="00AF20AB">
              <w:instrText xml:space="preserve"> FORMCHECKBOX </w:instrText>
            </w:r>
            <w:r w:rsidR="00C86C32">
              <w:fldChar w:fldCharType="separate"/>
            </w:r>
            <w:r w:rsidRPr="00AF20AB">
              <w:fldChar w:fldCharType="end"/>
            </w:r>
            <w:r w:rsidRPr="00AF20AB">
              <w:t xml:space="preserve">Medical Practitioners  </w:t>
            </w:r>
          </w:p>
        </w:tc>
      </w:tr>
      <w:tr w:rsidR="00686F68" w:rsidRPr="00AF20AB" w:rsidTr="00597925">
        <w:trPr>
          <w:cantSplit/>
        </w:trPr>
        <w:tc>
          <w:tcPr>
            <w:tcW w:w="1019"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b/>
              </w:rPr>
            </w:pPr>
            <w:r w:rsidRPr="00AF20AB">
              <w:rPr>
                <w:b/>
              </w:rPr>
              <w:t>Condition:</w:t>
            </w:r>
          </w:p>
        </w:tc>
        <w:tc>
          <w:tcPr>
            <w:tcW w:w="3981"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pPr>
            <w:r w:rsidRPr="00AF20AB">
              <w:t>Myelodysplastic syndrome and chronic myelomonocytic leukaemia</w:t>
            </w:r>
          </w:p>
        </w:tc>
      </w:tr>
      <w:tr w:rsidR="00686F68" w:rsidRPr="00AF20AB" w:rsidTr="00597925">
        <w:trPr>
          <w:cantSplit/>
        </w:trPr>
        <w:tc>
          <w:tcPr>
            <w:tcW w:w="1019"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b/>
              </w:rPr>
            </w:pPr>
            <w:r w:rsidRPr="00AF20AB">
              <w:rPr>
                <w:b/>
              </w:rPr>
              <w:t>PBS Indication:</w:t>
            </w:r>
          </w:p>
        </w:tc>
        <w:tc>
          <w:tcPr>
            <w:tcW w:w="3981"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pPr>
            <w:r w:rsidRPr="00AF20AB">
              <w:t>Myelodysplastic syndrome and chronic myelomonocytic leukaemia</w:t>
            </w:r>
          </w:p>
        </w:tc>
      </w:tr>
      <w:tr w:rsidR="00686F68" w:rsidRPr="00AF20AB" w:rsidTr="00597925">
        <w:trPr>
          <w:cantSplit/>
        </w:trPr>
        <w:tc>
          <w:tcPr>
            <w:tcW w:w="1019"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b/>
              </w:rPr>
            </w:pPr>
            <w:r w:rsidRPr="00AF20AB">
              <w:rPr>
                <w:b/>
              </w:rPr>
              <w:t>Treatment phase:</w:t>
            </w:r>
          </w:p>
        </w:tc>
        <w:tc>
          <w:tcPr>
            <w:tcW w:w="3981"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pPr>
            <w:r w:rsidRPr="00AF20AB">
              <w:t>Initial</w:t>
            </w:r>
          </w:p>
        </w:tc>
      </w:tr>
      <w:tr w:rsidR="00686F68" w:rsidRPr="00AF20AB" w:rsidTr="00597925">
        <w:trPr>
          <w:cantSplit/>
        </w:trPr>
        <w:tc>
          <w:tcPr>
            <w:tcW w:w="1019"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i/>
              </w:rPr>
            </w:pPr>
            <w:r w:rsidRPr="00AF20AB">
              <w:rPr>
                <w:b/>
              </w:rPr>
              <w:t>Restriction:</w:t>
            </w:r>
          </w:p>
        </w:tc>
        <w:tc>
          <w:tcPr>
            <w:tcW w:w="3981"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pPr>
            <w:r w:rsidRPr="00AF20AB">
              <w:fldChar w:fldCharType="begin">
                <w:ffData>
                  <w:name w:val=""/>
                  <w:enabled/>
                  <w:calcOnExit w:val="0"/>
                  <w:checkBox>
                    <w:sizeAuto/>
                    <w:default w:val="1"/>
                  </w:checkBox>
                </w:ffData>
              </w:fldChar>
            </w:r>
            <w:r w:rsidRPr="00AF20AB">
              <w:instrText xml:space="preserve"> FORMCHECKBOX </w:instrText>
            </w:r>
            <w:r w:rsidR="00C86C32">
              <w:fldChar w:fldCharType="separate"/>
            </w:r>
            <w:r w:rsidRPr="00AF20AB">
              <w:fldChar w:fldCharType="end"/>
            </w:r>
            <w:r w:rsidRPr="00AF20AB">
              <w:t xml:space="preserve">Authority Required - </w:t>
            </w:r>
            <w:r w:rsidRPr="00AF20AB">
              <w:rPr>
                <w:rFonts w:eastAsia="Calibri" w:cs="Arial"/>
                <w:sz w:val="18"/>
                <w:szCs w:val="18"/>
              </w:rPr>
              <w:t>non-immediate/delayed (</w:t>
            </w:r>
            <w:r w:rsidRPr="00AF20AB">
              <w:t>In Writing/Electronic)</w:t>
            </w:r>
          </w:p>
        </w:tc>
      </w:tr>
      <w:tr w:rsidR="00686F68" w:rsidRPr="00AF20AB" w:rsidTr="00597925">
        <w:trPr>
          <w:cantSplit/>
        </w:trPr>
        <w:tc>
          <w:tcPr>
            <w:tcW w:w="1019"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b/>
              </w:rPr>
            </w:pPr>
            <w:r w:rsidRPr="00AF20AB">
              <w:rPr>
                <w:b/>
              </w:rPr>
              <w:t>Clinical criteria:</w:t>
            </w:r>
          </w:p>
          <w:p w:rsidR="00686F68" w:rsidRPr="00AF20AB" w:rsidRDefault="00686F68" w:rsidP="00D45D70">
            <w:pPr>
              <w:pStyle w:val="TableText0"/>
              <w:keepNext w:val="0"/>
              <w:widowControl w:val="0"/>
              <w:rPr>
                <w:i/>
              </w:rPr>
            </w:pPr>
          </w:p>
        </w:tc>
        <w:tc>
          <w:tcPr>
            <w:tcW w:w="3981"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rFonts w:cs="Arial"/>
              </w:rPr>
            </w:pPr>
            <w:r w:rsidRPr="00AF20AB">
              <w:rPr>
                <w:rFonts w:cs="Arial"/>
              </w:rPr>
              <w:t>Myelodysplastic syndrome</w:t>
            </w:r>
          </w:p>
          <w:p w:rsidR="00686F68" w:rsidRPr="00AF20AB" w:rsidRDefault="00686F68" w:rsidP="00D45D70">
            <w:pPr>
              <w:pStyle w:val="TableText0"/>
              <w:keepNext w:val="0"/>
              <w:widowControl w:val="0"/>
              <w:rPr>
                <w:rFonts w:cs="Arial"/>
              </w:rPr>
            </w:pPr>
            <w:r w:rsidRPr="00AF20AB">
              <w:rPr>
                <w:rFonts w:cs="Arial"/>
              </w:rPr>
              <w:t>The condition must be classified as Intermediate-2 OR high-risk according to the International Prognostic Scoring System (IPSS)</w:t>
            </w:r>
          </w:p>
          <w:p w:rsidR="00686F68" w:rsidRPr="00AF20AB" w:rsidRDefault="00686F68" w:rsidP="00D45D70">
            <w:pPr>
              <w:pStyle w:val="TableText0"/>
              <w:keepNext w:val="0"/>
              <w:widowControl w:val="0"/>
              <w:rPr>
                <w:rFonts w:cs="Arial"/>
              </w:rPr>
            </w:pPr>
            <w:r w:rsidRPr="00AF20AB">
              <w:rPr>
                <w:rFonts w:cs="Arial"/>
              </w:rPr>
              <w:t>AND</w:t>
            </w:r>
          </w:p>
          <w:p w:rsidR="00686F68" w:rsidRPr="00AF20AB" w:rsidRDefault="00686F68" w:rsidP="00D45D70">
            <w:pPr>
              <w:pStyle w:val="TableText0"/>
              <w:keepNext w:val="0"/>
              <w:widowControl w:val="0"/>
              <w:rPr>
                <w:rFonts w:cs="Arial"/>
              </w:rPr>
            </w:pPr>
            <w:r w:rsidRPr="00AF20AB">
              <w:rPr>
                <w:rFonts w:cs="Arial"/>
              </w:rPr>
              <w:t>The condition must have ≤30% marrow blasts</w:t>
            </w:r>
          </w:p>
          <w:p w:rsidR="00686F68" w:rsidRPr="00AF20AB" w:rsidRDefault="00686F68" w:rsidP="00D45D70">
            <w:pPr>
              <w:pStyle w:val="TableText0"/>
              <w:keepNext w:val="0"/>
              <w:widowControl w:val="0"/>
              <w:rPr>
                <w:rFonts w:cs="Arial"/>
              </w:rPr>
            </w:pPr>
            <w:r w:rsidRPr="00AF20AB">
              <w:rPr>
                <w:rFonts w:cs="Arial"/>
              </w:rPr>
              <w:t xml:space="preserve">Chronic myelomonocytic leukaemia </w:t>
            </w:r>
          </w:p>
          <w:p w:rsidR="00686F68" w:rsidRPr="00AF20AB" w:rsidRDefault="00686F68" w:rsidP="00D45D70">
            <w:pPr>
              <w:pStyle w:val="TableText0"/>
              <w:keepNext w:val="0"/>
              <w:widowControl w:val="0"/>
              <w:rPr>
                <w:rFonts w:cs="Arial"/>
              </w:rPr>
            </w:pPr>
            <w:r w:rsidRPr="00AF20AB">
              <w:rPr>
                <w:rFonts w:cs="Arial"/>
              </w:rPr>
              <w:t>The condition must have 10% to 29% marrow blasts without myeloproliferative disorder.</w:t>
            </w:r>
          </w:p>
        </w:tc>
      </w:tr>
      <w:tr w:rsidR="00686F68" w:rsidRPr="00AF20AB" w:rsidTr="00597925">
        <w:trPr>
          <w:cantSplit/>
        </w:trPr>
        <w:tc>
          <w:tcPr>
            <w:tcW w:w="1019"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b/>
              </w:rPr>
            </w:pPr>
            <w:r w:rsidRPr="00AF20AB">
              <w:rPr>
                <w:b/>
              </w:rPr>
              <w:t>Treatment phase:</w:t>
            </w:r>
          </w:p>
        </w:tc>
        <w:tc>
          <w:tcPr>
            <w:tcW w:w="3981"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rFonts w:cs="Arial"/>
              </w:rPr>
            </w:pPr>
            <w:r w:rsidRPr="00AF20AB">
              <w:rPr>
                <w:rFonts w:cs="Arial"/>
              </w:rPr>
              <w:t>Continuing</w:t>
            </w:r>
          </w:p>
        </w:tc>
      </w:tr>
      <w:tr w:rsidR="00686F68" w:rsidRPr="00AF20AB" w:rsidTr="00597925">
        <w:trPr>
          <w:cantSplit/>
        </w:trPr>
        <w:tc>
          <w:tcPr>
            <w:tcW w:w="1019"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b/>
              </w:rPr>
            </w:pPr>
            <w:r w:rsidRPr="00AF20AB">
              <w:rPr>
                <w:b/>
              </w:rPr>
              <w:t>Restriction:</w:t>
            </w:r>
          </w:p>
        </w:tc>
        <w:tc>
          <w:tcPr>
            <w:tcW w:w="3981"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pPr>
            <w:r w:rsidRPr="00AF20AB">
              <w:fldChar w:fldCharType="begin">
                <w:ffData>
                  <w:name w:val=""/>
                  <w:enabled/>
                  <w:calcOnExit w:val="0"/>
                  <w:checkBox>
                    <w:sizeAuto/>
                    <w:default w:val="1"/>
                  </w:checkBox>
                </w:ffData>
              </w:fldChar>
            </w:r>
            <w:r w:rsidRPr="00AF20AB">
              <w:instrText xml:space="preserve"> FORMCHECKBOX </w:instrText>
            </w:r>
            <w:r w:rsidR="00C86C32">
              <w:fldChar w:fldCharType="separate"/>
            </w:r>
            <w:r w:rsidRPr="00AF20AB">
              <w:fldChar w:fldCharType="end"/>
            </w:r>
            <w:r w:rsidRPr="00AF20AB">
              <w:t xml:space="preserve">Authority Required – </w:t>
            </w:r>
            <w:r w:rsidRPr="00AF20AB">
              <w:rPr>
                <w:rFonts w:eastAsia="Calibri" w:cs="Arial"/>
                <w:sz w:val="18"/>
                <w:szCs w:val="18"/>
              </w:rPr>
              <w:t>immediate/real time (Telephone/Electronic)</w:t>
            </w:r>
          </w:p>
        </w:tc>
      </w:tr>
      <w:tr w:rsidR="00686F68" w:rsidRPr="00AF20AB" w:rsidTr="00597925">
        <w:trPr>
          <w:cantSplit/>
        </w:trPr>
        <w:tc>
          <w:tcPr>
            <w:tcW w:w="1019"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b/>
              </w:rPr>
            </w:pPr>
            <w:r w:rsidRPr="00AF20AB">
              <w:rPr>
                <w:b/>
              </w:rPr>
              <w:t>Clinical criteria:</w:t>
            </w:r>
          </w:p>
          <w:p w:rsidR="00686F68" w:rsidRPr="00AF20AB" w:rsidRDefault="00686F68" w:rsidP="00D45D70">
            <w:pPr>
              <w:pStyle w:val="TableText0"/>
              <w:keepNext w:val="0"/>
              <w:widowControl w:val="0"/>
              <w:rPr>
                <w:b/>
              </w:rPr>
            </w:pPr>
          </w:p>
        </w:tc>
        <w:tc>
          <w:tcPr>
            <w:tcW w:w="3981"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rFonts w:cs="Arial"/>
              </w:rPr>
            </w:pPr>
            <w:r w:rsidRPr="00AF20AB">
              <w:rPr>
                <w:rFonts w:cs="Arial"/>
              </w:rPr>
              <w:t>Myelodysplastic syndrome</w:t>
            </w:r>
          </w:p>
          <w:p w:rsidR="00686F68" w:rsidRPr="00AF20AB" w:rsidRDefault="00686F68" w:rsidP="00D45D70">
            <w:pPr>
              <w:pStyle w:val="TableText0"/>
              <w:keepNext w:val="0"/>
              <w:widowControl w:val="0"/>
              <w:rPr>
                <w:rFonts w:cs="Arial"/>
              </w:rPr>
            </w:pPr>
            <w:r w:rsidRPr="00AF20AB">
              <w:rPr>
                <w:rFonts w:cs="Arial"/>
              </w:rPr>
              <w:t>The condition must be classified as Intermediate-2 OR high-risk according to the International Prognostic Scoring System (IPSS)</w:t>
            </w:r>
          </w:p>
          <w:p w:rsidR="00686F68" w:rsidRPr="00AF20AB" w:rsidRDefault="00686F68" w:rsidP="00D45D70">
            <w:pPr>
              <w:pStyle w:val="TableText0"/>
              <w:keepNext w:val="0"/>
              <w:widowControl w:val="0"/>
              <w:rPr>
                <w:rFonts w:cs="Arial"/>
              </w:rPr>
            </w:pPr>
            <w:r w:rsidRPr="00AF20AB">
              <w:rPr>
                <w:rFonts w:cs="Arial"/>
              </w:rPr>
              <w:t>AND</w:t>
            </w:r>
          </w:p>
          <w:p w:rsidR="00686F68" w:rsidRPr="00AF20AB" w:rsidRDefault="00686F68" w:rsidP="00D45D70">
            <w:pPr>
              <w:pStyle w:val="TableText0"/>
              <w:keepNext w:val="0"/>
              <w:widowControl w:val="0"/>
              <w:rPr>
                <w:rFonts w:cs="Arial"/>
              </w:rPr>
            </w:pPr>
            <w:r w:rsidRPr="00AF20AB">
              <w:rPr>
                <w:rFonts w:cs="Arial"/>
              </w:rPr>
              <w:t>The condition must have ≤30% marrow blasts</w:t>
            </w:r>
          </w:p>
          <w:p w:rsidR="00686F68" w:rsidRPr="00AF20AB" w:rsidRDefault="00686F68" w:rsidP="00D45D70">
            <w:pPr>
              <w:pStyle w:val="TableText0"/>
              <w:keepNext w:val="0"/>
              <w:widowControl w:val="0"/>
              <w:rPr>
                <w:rFonts w:cs="Arial"/>
              </w:rPr>
            </w:pPr>
            <w:r w:rsidRPr="00AF20AB">
              <w:rPr>
                <w:rFonts w:cs="Arial"/>
              </w:rPr>
              <w:t xml:space="preserve">Chronic myelomonocytic leukaemia </w:t>
            </w:r>
          </w:p>
          <w:p w:rsidR="00686F68" w:rsidRPr="00AF20AB" w:rsidRDefault="00686F68" w:rsidP="00D45D70">
            <w:pPr>
              <w:pStyle w:val="TableText0"/>
              <w:keepNext w:val="0"/>
              <w:widowControl w:val="0"/>
              <w:rPr>
                <w:rFonts w:cs="Arial"/>
              </w:rPr>
            </w:pPr>
            <w:r w:rsidRPr="00AF20AB">
              <w:rPr>
                <w:rFonts w:cs="Arial"/>
              </w:rPr>
              <w:t>The condition must have 10% to 29% marrow blasts without myeloproliferative disorder.</w:t>
            </w:r>
          </w:p>
        </w:tc>
      </w:tr>
      <w:tr w:rsidR="00686F68" w:rsidRPr="00AF20AB" w:rsidTr="00597925">
        <w:trPr>
          <w:cantSplit/>
        </w:trPr>
        <w:tc>
          <w:tcPr>
            <w:tcW w:w="1019"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b/>
              </w:rPr>
            </w:pPr>
            <w:r w:rsidRPr="00AF20AB">
              <w:rPr>
                <w:b/>
              </w:rPr>
              <w:t>Treatment criteria:</w:t>
            </w:r>
          </w:p>
        </w:tc>
        <w:tc>
          <w:tcPr>
            <w:tcW w:w="3981" w:type="pct"/>
            <w:tcBorders>
              <w:top w:val="single" w:sz="4" w:space="0" w:color="auto"/>
              <w:left w:val="single" w:sz="4" w:space="0" w:color="auto"/>
              <w:bottom w:val="single" w:sz="4" w:space="0" w:color="auto"/>
              <w:right w:val="single" w:sz="4" w:space="0" w:color="auto"/>
            </w:tcBorders>
            <w:vAlign w:val="center"/>
          </w:tcPr>
          <w:p w:rsidR="00686F68" w:rsidRPr="00AF20AB" w:rsidRDefault="00686F68" w:rsidP="00D45D70">
            <w:pPr>
              <w:pStyle w:val="TableText0"/>
              <w:keepNext w:val="0"/>
              <w:widowControl w:val="0"/>
              <w:rPr>
                <w:rFonts w:cs="Arial"/>
              </w:rPr>
            </w:pPr>
            <w:r w:rsidRPr="00AF20AB">
              <w:rPr>
                <w:rFonts w:cs="Arial"/>
              </w:rPr>
              <w:t>Patient must have previously received PBS-subsidised treatment with this drug for this condition</w:t>
            </w:r>
          </w:p>
          <w:p w:rsidR="00686F68" w:rsidRPr="00AF20AB" w:rsidRDefault="00686F68" w:rsidP="00D45D70">
            <w:pPr>
              <w:pStyle w:val="TableText0"/>
              <w:keepNext w:val="0"/>
              <w:widowControl w:val="0"/>
              <w:rPr>
                <w:rFonts w:cs="Arial"/>
              </w:rPr>
            </w:pPr>
            <w:r w:rsidRPr="00AF20AB">
              <w:rPr>
                <w:rFonts w:cs="Arial"/>
              </w:rPr>
              <w:t>AND</w:t>
            </w:r>
          </w:p>
          <w:p w:rsidR="00686F68" w:rsidRPr="00AF20AB" w:rsidRDefault="00686F68" w:rsidP="00D45D70">
            <w:pPr>
              <w:pStyle w:val="TableText0"/>
              <w:keepNext w:val="0"/>
              <w:widowControl w:val="0"/>
              <w:rPr>
                <w:rFonts w:cs="Arial"/>
              </w:rPr>
            </w:pPr>
            <w:r w:rsidRPr="00AF20AB">
              <w:rPr>
                <w:rFonts w:cs="Arial"/>
              </w:rPr>
              <w:t>Patient must not have progressive disease</w:t>
            </w:r>
          </w:p>
        </w:tc>
      </w:tr>
    </w:tbl>
    <w:p w:rsidR="0090685E" w:rsidRPr="00AF20AB" w:rsidRDefault="0090685E" w:rsidP="004B1CB4">
      <w:pPr>
        <w:rPr>
          <w:rFonts w:ascii="Arial Narrow" w:hAnsi="Arial Narrow"/>
          <w:sz w:val="18"/>
          <w:szCs w:val="18"/>
        </w:rPr>
      </w:pPr>
    </w:p>
    <w:p w:rsidR="0090685E" w:rsidRPr="00AF20AB" w:rsidRDefault="0090685E" w:rsidP="004B1CB4">
      <w:pPr>
        <w:rPr>
          <w:rFonts w:ascii="Arial Narrow" w:hAnsi="Arial Narrow"/>
          <w:sz w:val="18"/>
          <w:szCs w:val="18"/>
        </w:rPr>
      </w:pPr>
    </w:p>
    <w:p w:rsidR="00166A9B" w:rsidRPr="00AF20AB" w:rsidRDefault="001C55E3" w:rsidP="004E18E9">
      <w:pPr>
        <w:pStyle w:val="3-BodyText"/>
      </w:pPr>
      <w:r w:rsidRPr="00AF20AB">
        <w:t>The current PBS listings for azacitidine include MDS, CMML and acute myeloid leukaemia (AML) as indications for each PBS item</w:t>
      </w:r>
      <w:r w:rsidR="00AF20AB">
        <w:t xml:space="preserve">. </w:t>
      </w:r>
      <w:r w:rsidR="00166A9B" w:rsidRPr="00AF20AB">
        <w:t>The submission indicated (p29) there are overlapping population groups between the requested PBS listing and the azacitidine listing, which is illustrated in the table below.</w:t>
      </w:r>
    </w:p>
    <w:p w:rsidR="003F6493" w:rsidRDefault="003F6493">
      <w:pPr>
        <w:jc w:val="left"/>
        <w:rPr>
          <w:rStyle w:val="CommentReference"/>
          <w:bCs/>
          <w:snapToGrid w:val="0"/>
          <w:szCs w:val="24"/>
        </w:rPr>
      </w:pPr>
      <w:r>
        <w:rPr>
          <w:rStyle w:val="CommentReference"/>
          <w:bCs/>
          <w:szCs w:val="24"/>
        </w:rPr>
        <w:br w:type="page"/>
      </w:r>
    </w:p>
    <w:p w:rsidR="00166A9B" w:rsidRPr="00AF20AB" w:rsidRDefault="00166A9B" w:rsidP="00166A9B">
      <w:pPr>
        <w:pStyle w:val="3-BodyText"/>
        <w:numPr>
          <w:ilvl w:val="0"/>
          <w:numId w:val="0"/>
        </w:numPr>
        <w:spacing w:after="0"/>
      </w:pPr>
      <w:r w:rsidRPr="00AF20AB">
        <w:rPr>
          <w:rStyle w:val="CommentReference"/>
          <w:bCs/>
          <w:szCs w:val="24"/>
        </w:rPr>
        <w:t>Table 2:</w:t>
      </w:r>
      <w:r w:rsidRPr="00AF20AB">
        <w:rPr>
          <w:rStyle w:val="CommentReference"/>
          <w:b w:val="0"/>
          <w:szCs w:val="24"/>
        </w:rPr>
        <w:t xml:space="preserve"> </w:t>
      </w:r>
      <w:r w:rsidRPr="00AF20AB">
        <w:rPr>
          <w:rStyle w:val="CommentReference"/>
          <w:bCs/>
          <w:szCs w:val="24"/>
        </w:rPr>
        <w:t>Populations in the proposed PBS listing and the azacitidine listings for MDS, CMML and AML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709"/>
        <w:gridCol w:w="4536"/>
      </w:tblGrid>
      <w:tr w:rsidR="00166A9B" w:rsidRPr="00AF20AB" w:rsidTr="00342EEC">
        <w:tc>
          <w:tcPr>
            <w:tcW w:w="3681" w:type="dxa"/>
            <w:vAlign w:val="center"/>
          </w:tcPr>
          <w:p w:rsidR="00166A9B" w:rsidRPr="00AF20AB" w:rsidRDefault="00166A9B" w:rsidP="00DA5F38">
            <w:pPr>
              <w:pStyle w:val="In-tableHeading"/>
              <w:tabs>
                <w:tab w:val="left" w:pos="164"/>
              </w:tabs>
              <w:rPr>
                <w:lang w:val="en-AU"/>
              </w:rPr>
            </w:pPr>
            <w:r w:rsidRPr="00AF20AB">
              <w:rPr>
                <w:lang w:val="en-AU"/>
              </w:rPr>
              <w:t>Requested PBS listing</w:t>
            </w:r>
          </w:p>
        </w:tc>
        <w:tc>
          <w:tcPr>
            <w:tcW w:w="709" w:type="dxa"/>
            <w:vAlign w:val="center"/>
          </w:tcPr>
          <w:p w:rsidR="00166A9B" w:rsidRPr="00AF20AB" w:rsidRDefault="00166A9B" w:rsidP="00DA5F38">
            <w:pPr>
              <w:pStyle w:val="In-tableHeading"/>
              <w:jc w:val="center"/>
              <w:rPr>
                <w:lang w:val="en-AU"/>
              </w:rPr>
            </w:pPr>
          </w:p>
        </w:tc>
        <w:tc>
          <w:tcPr>
            <w:tcW w:w="4536" w:type="dxa"/>
          </w:tcPr>
          <w:p w:rsidR="00166A9B" w:rsidRPr="00AF20AB" w:rsidRDefault="00166A9B" w:rsidP="00DA5F38">
            <w:pPr>
              <w:pStyle w:val="In-tableHeading"/>
              <w:tabs>
                <w:tab w:val="left" w:pos="145"/>
              </w:tabs>
              <w:jc w:val="center"/>
              <w:rPr>
                <w:lang w:val="en-AU"/>
              </w:rPr>
            </w:pPr>
            <w:r w:rsidRPr="00AF20AB">
              <w:rPr>
                <w:lang w:val="en-AU"/>
              </w:rPr>
              <w:t>Azacitidine PBS listings</w:t>
            </w:r>
          </w:p>
        </w:tc>
      </w:tr>
      <w:tr w:rsidR="00166A9B" w:rsidRPr="00AF20AB" w:rsidTr="00342EEC">
        <w:tc>
          <w:tcPr>
            <w:tcW w:w="3681" w:type="dxa"/>
            <w:vMerge w:val="restart"/>
            <w:vAlign w:val="center"/>
          </w:tcPr>
          <w:p w:rsidR="00166A9B" w:rsidRPr="00AF20AB" w:rsidRDefault="00166A9B" w:rsidP="00DA5F38">
            <w:pPr>
              <w:pStyle w:val="TableText0"/>
              <w:tabs>
                <w:tab w:val="left" w:pos="164"/>
              </w:tabs>
            </w:pPr>
            <w:r w:rsidRPr="00AF20AB">
              <w:t>MDS</w:t>
            </w:r>
          </w:p>
          <w:p w:rsidR="00166A9B" w:rsidRPr="00AF20AB" w:rsidRDefault="00166A9B" w:rsidP="00DA5F38">
            <w:pPr>
              <w:pStyle w:val="TableText0"/>
              <w:tabs>
                <w:tab w:val="left" w:pos="164"/>
              </w:tabs>
              <w:ind w:left="164" w:hanging="164"/>
            </w:pPr>
            <w:r w:rsidRPr="00AF20AB">
              <w:tab/>
              <w:t>Condition must be classified as intermediate-2 or high risk according to the IPSS</w:t>
            </w:r>
          </w:p>
          <w:p w:rsidR="00166A9B" w:rsidRPr="00AF20AB" w:rsidRDefault="00166A9B" w:rsidP="00DA5F38">
            <w:pPr>
              <w:pStyle w:val="TableText0"/>
              <w:tabs>
                <w:tab w:val="left" w:pos="164"/>
              </w:tabs>
            </w:pPr>
            <w:r w:rsidRPr="00AF20AB">
              <w:tab/>
              <w:t>Condition must have ≤30% marrow blasts</w:t>
            </w:r>
          </w:p>
        </w:tc>
        <w:tc>
          <w:tcPr>
            <w:tcW w:w="709" w:type="dxa"/>
            <w:vMerge w:val="restart"/>
            <w:vAlign w:val="center"/>
          </w:tcPr>
          <w:p w:rsidR="00166A9B" w:rsidRPr="00AF20AB" w:rsidRDefault="00166A9B" w:rsidP="00DA5F38">
            <w:pPr>
              <w:pStyle w:val="TableText0"/>
              <w:jc w:val="center"/>
            </w:pPr>
            <w:r w:rsidRPr="00AF20AB">
              <w:t>=</w:t>
            </w:r>
          </w:p>
        </w:tc>
        <w:tc>
          <w:tcPr>
            <w:tcW w:w="4536" w:type="dxa"/>
          </w:tcPr>
          <w:p w:rsidR="00166A9B" w:rsidRPr="00AF20AB" w:rsidRDefault="00166A9B" w:rsidP="00DA5F38">
            <w:pPr>
              <w:pStyle w:val="TableText0"/>
              <w:tabs>
                <w:tab w:val="left" w:pos="145"/>
              </w:tabs>
            </w:pPr>
            <w:r w:rsidRPr="00AF20AB">
              <w:t>MDS</w:t>
            </w:r>
          </w:p>
          <w:p w:rsidR="00166A9B" w:rsidRPr="00AF20AB" w:rsidRDefault="00166A9B" w:rsidP="00597925">
            <w:pPr>
              <w:pStyle w:val="TableText0"/>
              <w:tabs>
                <w:tab w:val="left" w:pos="145"/>
              </w:tabs>
              <w:ind w:left="164" w:hanging="164"/>
            </w:pPr>
            <w:r w:rsidRPr="00AF20AB">
              <w:tab/>
              <w:t>Condition must be classified as intermediate-2 or high risk according to the IPSS</w:t>
            </w:r>
          </w:p>
        </w:tc>
      </w:tr>
      <w:tr w:rsidR="00166A9B" w:rsidRPr="00AF20AB" w:rsidTr="00342EEC">
        <w:tc>
          <w:tcPr>
            <w:tcW w:w="3681" w:type="dxa"/>
            <w:vMerge/>
            <w:vAlign w:val="center"/>
          </w:tcPr>
          <w:p w:rsidR="00166A9B" w:rsidRPr="00AF20AB" w:rsidRDefault="00166A9B" w:rsidP="00DA5F38">
            <w:pPr>
              <w:pStyle w:val="TableText0"/>
              <w:tabs>
                <w:tab w:val="left" w:pos="164"/>
              </w:tabs>
            </w:pPr>
          </w:p>
        </w:tc>
        <w:tc>
          <w:tcPr>
            <w:tcW w:w="709" w:type="dxa"/>
            <w:vMerge/>
            <w:vAlign w:val="center"/>
          </w:tcPr>
          <w:p w:rsidR="00166A9B" w:rsidRPr="00AF20AB" w:rsidRDefault="00166A9B" w:rsidP="00DA5F38">
            <w:pPr>
              <w:pStyle w:val="TableText0"/>
              <w:jc w:val="center"/>
            </w:pPr>
          </w:p>
        </w:tc>
        <w:tc>
          <w:tcPr>
            <w:tcW w:w="4536" w:type="dxa"/>
          </w:tcPr>
          <w:p w:rsidR="00166A9B" w:rsidRPr="00AF20AB" w:rsidRDefault="00166A9B" w:rsidP="00DA5F38">
            <w:pPr>
              <w:pStyle w:val="TableText0"/>
              <w:tabs>
                <w:tab w:val="left" w:pos="145"/>
              </w:tabs>
            </w:pPr>
            <w:r w:rsidRPr="00AF20AB">
              <w:t>AML</w:t>
            </w:r>
          </w:p>
          <w:p w:rsidR="00166A9B" w:rsidRPr="00AF20AB" w:rsidRDefault="00166A9B" w:rsidP="00DA5F38">
            <w:pPr>
              <w:pStyle w:val="TableText0"/>
              <w:tabs>
                <w:tab w:val="left" w:pos="145"/>
              </w:tabs>
              <w:ind w:left="145" w:hanging="145"/>
            </w:pPr>
            <w:r w:rsidRPr="00AF20AB">
              <w:tab/>
              <w:t>Condition must have 20% to 30% marrow blasts and multi</w:t>
            </w:r>
            <w:r w:rsidR="00342EEC" w:rsidRPr="00AF20AB">
              <w:t>-</w:t>
            </w:r>
            <w:r w:rsidRPr="00AF20AB">
              <w:t>lineage dysplasia, according to WHO classification</w:t>
            </w:r>
          </w:p>
        </w:tc>
      </w:tr>
      <w:tr w:rsidR="00166A9B" w:rsidRPr="00AF20AB" w:rsidTr="00342EEC">
        <w:tc>
          <w:tcPr>
            <w:tcW w:w="3681" w:type="dxa"/>
            <w:vAlign w:val="center"/>
          </w:tcPr>
          <w:p w:rsidR="00166A9B" w:rsidRPr="00AF20AB" w:rsidRDefault="00166A9B" w:rsidP="00DA5F38">
            <w:pPr>
              <w:pStyle w:val="TableText0"/>
              <w:tabs>
                <w:tab w:val="left" w:pos="164"/>
              </w:tabs>
            </w:pPr>
            <w:r w:rsidRPr="00AF20AB">
              <w:t>CMML</w:t>
            </w:r>
          </w:p>
          <w:p w:rsidR="00166A9B" w:rsidRPr="00AF20AB" w:rsidRDefault="00166A9B" w:rsidP="00DA5F38">
            <w:pPr>
              <w:pStyle w:val="TableText0"/>
              <w:tabs>
                <w:tab w:val="left" w:pos="164"/>
              </w:tabs>
              <w:ind w:left="164" w:hanging="164"/>
            </w:pPr>
            <w:r w:rsidRPr="00AF20AB">
              <w:tab/>
              <w:t>Condition must have 10% to 29% marrow blasts without myeloproliferative disorder</w:t>
            </w:r>
          </w:p>
        </w:tc>
        <w:tc>
          <w:tcPr>
            <w:tcW w:w="709" w:type="dxa"/>
            <w:vAlign w:val="center"/>
          </w:tcPr>
          <w:p w:rsidR="00166A9B" w:rsidRPr="00AF20AB" w:rsidRDefault="00166A9B" w:rsidP="00DA5F38">
            <w:pPr>
              <w:pStyle w:val="TableText0"/>
              <w:jc w:val="center"/>
            </w:pPr>
            <w:r w:rsidRPr="00AF20AB">
              <w:t>=</w:t>
            </w:r>
          </w:p>
        </w:tc>
        <w:tc>
          <w:tcPr>
            <w:tcW w:w="4536" w:type="dxa"/>
          </w:tcPr>
          <w:p w:rsidR="00166A9B" w:rsidRPr="00AF20AB" w:rsidRDefault="00166A9B" w:rsidP="00DA5F38">
            <w:pPr>
              <w:pStyle w:val="TableText0"/>
              <w:tabs>
                <w:tab w:val="left" w:pos="145"/>
              </w:tabs>
            </w:pPr>
            <w:r w:rsidRPr="00AF20AB">
              <w:t>CMML</w:t>
            </w:r>
          </w:p>
          <w:p w:rsidR="00166A9B" w:rsidRPr="00AF20AB" w:rsidRDefault="00166A9B" w:rsidP="00DA5F38">
            <w:pPr>
              <w:pStyle w:val="TableText0"/>
              <w:tabs>
                <w:tab w:val="left" w:pos="145"/>
              </w:tabs>
              <w:ind w:left="145" w:hanging="145"/>
            </w:pPr>
            <w:r w:rsidRPr="00AF20AB">
              <w:tab/>
              <w:t>Condition must have 10% to 29% marrow blasts without myeloproliferative disorder</w:t>
            </w:r>
          </w:p>
        </w:tc>
      </w:tr>
    </w:tbl>
    <w:p w:rsidR="00166A9B" w:rsidRPr="00AF20AB" w:rsidRDefault="00166A9B" w:rsidP="00166A9B">
      <w:pPr>
        <w:pStyle w:val="TableFigureFooter"/>
        <w:spacing w:after="0"/>
        <w:rPr>
          <w:szCs w:val="18"/>
        </w:rPr>
      </w:pPr>
      <w:r w:rsidRPr="00AF20AB">
        <w:rPr>
          <w:szCs w:val="18"/>
        </w:rPr>
        <w:t>Source: Table 1.2, p29 of the submission.</w:t>
      </w:r>
    </w:p>
    <w:p w:rsidR="001C55E3" w:rsidRPr="00AF20AB" w:rsidRDefault="00166A9B" w:rsidP="00166A9B">
      <w:pPr>
        <w:pStyle w:val="3-BodyText"/>
        <w:numPr>
          <w:ilvl w:val="0"/>
          <w:numId w:val="0"/>
        </w:numPr>
      </w:pPr>
      <w:r w:rsidRPr="00AF20AB">
        <w:rPr>
          <w:rFonts w:ascii="Arial Narrow" w:hAnsi="Arial Narrow"/>
          <w:sz w:val="18"/>
          <w:szCs w:val="18"/>
        </w:rPr>
        <w:t>AML=acute myeloid leukaemia; CMML=chronic myelomonocytic leukaemia; IPSS=International Prognostic Scoring System; MDS=myelodysplastic syndrome</w:t>
      </w:r>
    </w:p>
    <w:p w:rsidR="00046F0C" w:rsidRPr="00AF20AB" w:rsidRDefault="00046F0C" w:rsidP="004E18E9">
      <w:pPr>
        <w:pStyle w:val="3-BodyText"/>
      </w:pPr>
      <w:r w:rsidRPr="00AF20AB">
        <w:rPr>
          <w:iCs/>
        </w:rPr>
        <w:t>While the requested restriction was largely consistent with the azacitidine PBS listing, it did not include detailed International Prognostic Scoring System (IPSS) criteria that are part of the azacitidine PBS listing.</w:t>
      </w:r>
      <w:r w:rsidRPr="00AF20AB">
        <w:t xml:space="preserve"> The </w:t>
      </w:r>
      <w:r w:rsidR="00706F9D" w:rsidRPr="00AF20AB">
        <w:t>Pre-S</w:t>
      </w:r>
      <w:r w:rsidR="001F73EE" w:rsidRPr="00AF20AB">
        <w:t>ub-</w:t>
      </w:r>
      <w:r w:rsidR="00706F9D" w:rsidRPr="00AF20AB">
        <w:t>Committee Response (PSCR</w:t>
      </w:r>
      <w:r w:rsidR="000969FC" w:rsidRPr="00AF20AB">
        <w:t>)</w:t>
      </w:r>
      <w:r w:rsidR="00706F9D" w:rsidRPr="00AF20AB">
        <w:t xml:space="preserve"> </w:t>
      </w:r>
      <w:r w:rsidR="000969FC" w:rsidRPr="00AF20AB">
        <w:t>i</w:t>
      </w:r>
      <w:r w:rsidR="00706F9D" w:rsidRPr="00AF20AB">
        <w:t>ndicated</w:t>
      </w:r>
      <w:r w:rsidRPr="00AF20AB">
        <w:t xml:space="preserve"> that the sponsor is willing to include the IPSS risk clarification used in the azacitidine PBS listing if it is considered necessary.</w:t>
      </w:r>
    </w:p>
    <w:p w:rsidR="003B4D93" w:rsidRPr="00AF20AB" w:rsidRDefault="003B4D93" w:rsidP="006F56EF">
      <w:pPr>
        <w:pStyle w:val="3-BodyText"/>
      </w:pPr>
      <w:r w:rsidRPr="00AF20AB">
        <w:t xml:space="preserve">The ESC noted that </w:t>
      </w:r>
      <w:r w:rsidR="00E965EF" w:rsidRPr="00AF20AB">
        <w:t xml:space="preserve">the requested listing for MDS is based on the French-American-British (FAB) classification system where patients with &lt;30% myeloblasts were classified as MDS and those with ≥30% myeloblasts within the bone marrow or peripheral blood were classified as AML. The ESC noted that the FAB classification was now outdated with the World Health Organisation (WHO) classification system being developed in 2001. </w:t>
      </w:r>
      <w:r w:rsidR="007D3025" w:rsidRPr="00AF20AB">
        <w:t xml:space="preserve">Under the WHO classification system, the upper threshold of blast count for MDS diagnosis is 20% which means that a subtype of MDS under the FAB classification system would fall into AML under the WHO classification system (20% to 30% marrow blasts). </w:t>
      </w:r>
      <w:r w:rsidR="002F5A4F" w:rsidRPr="00AF20AB">
        <w:t xml:space="preserve">The </w:t>
      </w:r>
      <w:r w:rsidR="006F56EF" w:rsidRPr="00AF20AB">
        <w:t xml:space="preserve">PBAC advised </w:t>
      </w:r>
      <w:r w:rsidR="008E05B2" w:rsidRPr="00AF20AB">
        <w:t xml:space="preserve">that </w:t>
      </w:r>
      <w:r w:rsidR="002F5A4F" w:rsidRPr="00AF20AB">
        <w:t xml:space="preserve">the restrictions for decitabine+cedazuridine should align with the existing azacitidine restrictions (i.e. restrictions for MDS, AML and CMML) and that the restriction for MDS should specify an upper threshold of 20% for bone marrow blasts consistent with the WHO classification system. </w:t>
      </w:r>
    </w:p>
    <w:p w:rsidR="00046F0C" w:rsidRPr="00AF20AB" w:rsidRDefault="00046F0C" w:rsidP="004E18E9">
      <w:pPr>
        <w:pStyle w:val="3-BodyText"/>
      </w:pPr>
      <w:r w:rsidRPr="00AF20AB">
        <w:rPr>
          <w:iCs/>
        </w:rPr>
        <w:t>The azacitidine listing also specifies that a bone marrow biopsy report must be provided, along with a full blood examination report and the pathology report detailing the cytogenetics demonstrating intermediate-2 or high risk according to IPSS</w:t>
      </w:r>
      <w:r w:rsidR="00AF20AB">
        <w:rPr>
          <w:iCs/>
        </w:rPr>
        <w:t xml:space="preserve">. </w:t>
      </w:r>
      <w:r w:rsidRPr="00AF20AB">
        <w:rPr>
          <w:iCs/>
        </w:rPr>
        <w:t>These requirements have not been included in the requested restriction.</w:t>
      </w:r>
      <w:r w:rsidR="00E70EF9" w:rsidRPr="00AF20AB">
        <w:rPr>
          <w:iCs/>
        </w:rPr>
        <w:t xml:space="preserve"> The PSCR indicated the sponsor was willing to accept changes to the restrictions to align the proposed restrictions with the existing azacitidine restrictions. </w:t>
      </w:r>
    </w:p>
    <w:p w:rsidR="00BC68D4" w:rsidRPr="00AF20AB" w:rsidRDefault="00BC68D4" w:rsidP="004E18E9">
      <w:pPr>
        <w:pStyle w:val="3-BodyText"/>
      </w:pPr>
      <w:r w:rsidRPr="00AF20AB">
        <w:rPr>
          <w:rFonts w:ascii="Calibri" w:hAnsi="Calibri" w:cs="Calibri"/>
          <w:color w:val="222222"/>
        </w:rPr>
        <w:t xml:space="preserve">The submission requested </w:t>
      </w:r>
      <w:r w:rsidR="00CF3C8A" w:rsidRPr="00AF20AB">
        <w:rPr>
          <w:rFonts w:ascii="Calibri" w:hAnsi="Calibri" w:cs="Calibri"/>
          <w:color w:val="222222"/>
        </w:rPr>
        <w:t xml:space="preserve">broadening the </w:t>
      </w:r>
      <w:r w:rsidRPr="00AF20AB">
        <w:rPr>
          <w:rFonts w:ascii="Calibri" w:hAnsi="Calibri" w:cs="Calibri"/>
          <w:color w:val="222222"/>
        </w:rPr>
        <w:t>restriction to include intermediate-1 low risk patients</w:t>
      </w:r>
      <w:r w:rsidR="00CF3C8A" w:rsidRPr="00AF20AB">
        <w:rPr>
          <w:rFonts w:ascii="Calibri" w:hAnsi="Calibri" w:cs="Calibri"/>
          <w:color w:val="222222"/>
        </w:rPr>
        <w:t xml:space="preserve"> and provided associated</w:t>
      </w:r>
      <w:r w:rsidRPr="00AF20AB">
        <w:rPr>
          <w:rFonts w:ascii="Calibri" w:hAnsi="Calibri" w:cs="Calibri"/>
          <w:color w:val="222222"/>
        </w:rPr>
        <w:t xml:space="preserve"> clinical evidence and financial estimates (see ‘Financial estimates’ below for further detail). </w:t>
      </w:r>
      <w:r w:rsidRPr="00AF20AB">
        <w:rPr>
          <w:rFonts w:ascii="Calibri" w:hAnsi="Calibri" w:cs="Calibri"/>
          <w:iCs/>
          <w:color w:val="222222"/>
        </w:rPr>
        <w:t>The clinical evidence presented by the submission was limited</w:t>
      </w:r>
      <w:r w:rsidR="00946BBA" w:rsidRPr="00AF20AB">
        <w:rPr>
          <w:rFonts w:ascii="Calibri" w:hAnsi="Calibri" w:cs="Calibri"/>
          <w:iCs/>
          <w:color w:val="222222"/>
        </w:rPr>
        <w:t>, and estimated patient numbers could not be verified.</w:t>
      </w:r>
      <w:r w:rsidRPr="00AF20AB">
        <w:rPr>
          <w:rFonts w:ascii="Calibri" w:hAnsi="Calibri" w:cs="Calibri"/>
          <w:color w:val="222222"/>
        </w:rPr>
        <w:t xml:space="preserve"> </w:t>
      </w:r>
      <w:r w:rsidR="00ED64BA" w:rsidRPr="00AF20AB">
        <w:rPr>
          <w:rFonts w:ascii="Calibri" w:hAnsi="Calibri" w:cs="Calibri"/>
          <w:color w:val="222222"/>
        </w:rPr>
        <w:t xml:space="preserve">The ESC </w:t>
      </w:r>
      <w:r w:rsidR="00E064BD" w:rsidRPr="00AF20AB">
        <w:rPr>
          <w:rFonts w:ascii="Calibri" w:hAnsi="Calibri" w:cs="Calibri"/>
          <w:color w:val="222222"/>
        </w:rPr>
        <w:t xml:space="preserve">noted the request to include intermediate-1 low risk patients was based on IPSS subgroup analyses of OS in Lubbert et al., 2011 and Fenaux et al., 2009. The ESC </w:t>
      </w:r>
      <w:r w:rsidR="00ED64BA" w:rsidRPr="00AF20AB">
        <w:rPr>
          <w:rFonts w:ascii="Calibri" w:hAnsi="Calibri" w:cs="Calibri"/>
          <w:color w:val="222222"/>
        </w:rPr>
        <w:t xml:space="preserve">considered the available clinical evidence of the efficacy of decitabine+cedazuridine in intermediate-1 low risk patients was limited noting there </w:t>
      </w:r>
      <w:r w:rsidR="00E064BD" w:rsidRPr="00AF20AB">
        <w:rPr>
          <w:rFonts w:ascii="Calibri" w:hAnsi="Calibri" w:cs="Calibri"/>
          <w:color w:val="222222"/>
        </w:rPr>
        <w:t xml:space="preserve">were only 16 patients in Lubbert et al., 2011 and 13 patients in Fenaux et al., 2009 with an IPSS risk category of intermediate-1. </w:t>
      </w:r>
    </w:p>
    <w:p w:rsidR="00A45A2B" w:rsidRPr="00AF20AB" w:rsidRDefault="00A45A2B" w:rsidP="00A45A2B">
      <w:pPr>
        <w:pStyle w:val="ListParagraph"/>
        <w:numPr>
          <w:ilvl w:val="0"/>
          <w:numId w:val="0"/>
        </w:numPr>
        <w:ind w:left="709"/>
        <w:rPr>
          <w:i/>
        </w:rPr>
      </w:pPr>
      <w:r w:rsidRPr="00AF20AB">
        <w:rPr>
          <w:i/>
        </w:rPr>
        <w:t>For more detail on PBAC’s view, see section 7 PBAC outcome.</w:t>
      </w:r>
    </w:p>
    <w:p w:rsidR="00B50DB8" w:rsidRPr="00AF20AB" w:rsidRDefault="00203181" w:rsidP="004E18E9">
      <w:pPr>
        <w:pStyle w:val="2-SectionHeading"/>
      </w:pPr>
      <w:bookmarkStart w:id="6" w:name="_Toc62045604"/>
      <w:r w:rsidRPr="00AF20AB">
        <w:t xml:space="preserve">Population and </w:t>
      </w:r>
      <w:r w:rsidR="008E0D3C" w:rsidRPr="00AF20AB">
        <w:t>d</w:t>
      </w:r>
      <w:r w:rsidRPr="00AF20AB">
        <w:t>isease</w:t>
      </w:r>
      <w:bookmarkEnd w:id="6"/>
    </w:p>
    <w:p w:rsidR="00946BBA" w:rsidRPr="00AF20AB" w:rsidRDefault="00946BBA" w:rsidP="004E18E9">
      <w:pPr>
        <w:pStyle w:val="3-BodyText"/>
      </w:pPr>
      <w:r w:rsidRPr="00AF20AB">
        <w:t xml:space="preserve">Myelodysplastic syndrome is a </w:t>
      </w:r>
      <w:r w:rsidR="00D066B4" w:rsidRPr="00AF20AB">
        <w:t>heterogeneous</w:t>
      </w:r>
      <w:r w:rsidRPr="00AF20AB">
        <w:t xml:space="preserve"> group of haematopoietic stem cell disorders characterised by dysplastic changes in myeloid, erythroid and megakaryocytic progenitors and is associated with cytopenias affecting one or more of the three lineages. Chronic myelomonocytic leukaemia is also a </w:t>
      </w:r>
      <w:r w:rsidR="00D066B4" w:rsidRPr="00AF20AB">
        <w:t>heterogeneous</w:t>
      </w:r>
      <w:r w:rsidRPr="00AF20AB">
        <w:t xml:space="preserve"> group of haematopoietic stem cell disorders and is differentiated from other forms of MDS by persistent peripheral blood monocytosis (≥1</w:t>
      </w:r>
      <w:r w:rsidRPr="00AF20AB">
        <w:rPr>
          <w:rFonts w:cs="Calibri"/>
        </w:rPr>
        <w:t>×</w:t>
      </w:r>
      <w:r w:rsidRPr="00AF20AB">
        <w:t>10</w:t>
      </w:r>
      <w:r w:rsidRPr="00AF20AB">
        <w:rPr>
          <w:vertAlign w:val="superscript"/>
        </w:rPr>
        <w:t>9</w:t>
      </w:r>
      <w:r w:rsidRPr="00AF20AB">
        <w:t>/L; monocytes ≥10% of white blood cell count).</w:t>
      </w:r>
    </w:p>
    <w:p w:rsidR="000C2E0F" w:rsidRPr="00AF20AB" w:rsidRDefault="00946BBA" w:rsidP="004E18E9">
      <w:pPr>
        <w:pStyle w:val="3-BodyText"/>
      </w:pPr>
      <w:r w:rsidRPr="00AF20AB">
        <w:t>Most patients with MDS or CMML are elderly, with a median age at diagnosis of approximately 70 years, with around 10% of patients being younger than 50 years</w:t>
      </w:r>
      <w:r w:rsidR="00AF20AB">
        <w:t xml:space="preserve">. </w:t>
      </w:r>
      <w:r w:rsidRPr="00AF20AB">
        <w:t xml:space="preserve">Along with anaemia, neutropenia and thrombocytopenia, variable blast </w:t>
      </w:r>
      <w:r w:rsidR="00EF190C" w:rsidRPr="00AF20AB">
        <w:t xml:space="preserve">proliferation </w:t>
      </w:r>
      <w:r w:rsidRPr="00AF20AB">
        <w:t>and leukocytosis may be observed</w:t>
      </w:r>
      <w:r w:rsidR="00AF20AB">
        <w:t xml:space="preserve">. </w:t>
      </w:r>
    </w:p>
    <w:p w:rsidR="000C2E0F" w:rsidRPr="00AF20AB" w:rsidRDefault="000C2E0F" w:rsidP="000C2E0F">
      <w:pPr>
        <w:pStyle w:val="3-BodyText"/>
      </w:pPr>
      <w:r w:rsidRPr="00AF20AB">
        <w:t xml:space="preserve">Disease classification is based on the French-American-British (FAB) classification and the IPSS, both of which are part of the azacitidine PBS listing and the requested listing for decitabine+cedazuridine. </w:t>
      </w:r>
    </w:p>
    <w:p w:rsidR="00946BBA" w:rsidRPr="00AF20AB" w:rsidRDefault="00946BBA" w:rsidP="004E18E9">
      <w:pPr>
        <w:pStyle w:val="3-BodyText"/>
      </w:pPr>
      <w:r w:rsidRPr="00AF20AB">
        <w:t xml:space="preserve">Both MDS and CMML may evolve into acute myeloid leukaemia (AML), and such patients have a less favourable prognosis than those presenting with </w:t>
      </w:r>
      <w:r w:rsidRPr="00AF20AB">
        <w:rPr>
          <w:iCs/>
        </w:rPr>
        <w:t>de novo</w:t>
      </w:r>
      <w:r w:rsidRPr="00AF20AB">
        <w:t xml:space="preserve"> AML</w:t>
      </w:r>
      <w:r w:rsidR="00AF20AB">
        <w:t xml:space="preserve">. </w:t>
      </w:r>
      <w:r w:rsidRPr="00AF20AB">
        <w:t>Prognosis is also poor in patients with high risk MDS sub-types, such as MDS with 20%-30% bone marrow blast, which is associated with a median survival of 5 months and an AML evolution rate of 60%.</w:t>
      </w:r>
    </w:p>
    <w:p w:rsidR="008238D2" w:rsidRPr="00AF20AB" w:rsidRDefault="008238D2" w:rsidP="004E18E9">
      <w:pPr>
        <w:pStyle w:val="3-BodyText"/>
      </w:pPr>
      <w:r w:rsidRPr="00AF20AB">
        <w:t>Decitabine+cedazuridine is a fixed dose combination tablet of decitabine 35mg and cedazuridine 100mg</w:t>
      </w:r>
      <w:r w:rsidR="00AF20AB">
        <w:t xml:space="preserve">. </w:t>
      </w:r>
      <w:r w:rsidRPr="00AF20AB">
        <w:t>Decitabine is a nucleoside metabolic inhibitor (referred to as a hypomethylating agent or HMA) and cedazuridine is a cytidine deaminase (CDA) inhibitor</w:t>
      </w:r>
      <w:r w:rsidR="00AF20AB">
        <w:t xml:space="preserve">. </w:t>
      </w:r>
      <w:r w:rsidRPr="00AF20AB">
        <w:t>The oral administration of cedazuridine with decitabine enhances the oral bioavailability of decitabine via inhibition of first pass metabolism of decitabine in the gut and liver by CDA.</w:t>
      </w:r>
    </w:p>
    <w:p w:rsidR="008238D2" w:rsidRPr="00AF20AB" w:rsidRDefault="008238D2" w:rsidP="004E18E9">
      <w:pPr>
        <w:pStyle w:val="3-BodyText"/>
      </w:pPr>
      <w:r w:rsidRPr="00AF20AB">
        <w:t xml:space="preserve">The submission considered that use of azacitidine comprised current treatment of MDS/CMML, and decitabine+cedazuridine would be used </w:t>
      </w:r>
      <w:r w:rsidR="00CF3C8A" w:rsidRPr="00AF20AB">
        <w:t xml:space="preserve">as an alternative to </w:t>
      </w:r>
      <w:r w:rsidRPr="00AF20AB">
        <w:t>azacitidine in the proposed clinical management algorithm</w:t>
      </w:r>
      <w:r w:rsidR="00AF20AB">
        <w:t xml:space="preserve">. </w:t>
      </w:r>
    </w:p>
    <w:p w:rsidR="00A45A2B" w:rsidRPr="00AF20AB" w:rsidRDefault="00A45A2B" w:rsidP="00A45A2B">
      <w:pPr>
        <w:pStyle w:val="ListParagraph"/>
        <w:numPr>
          <w:ilvl w:val="0"/>
          <w:numId w:val="0"/>
        </w:numPr>
        <w:ind w:left="709"/>
        <w:rPr>
          <w:i/>
        </w:rPr>
      </w:pPr>
      <w:r w:rsidRPr="00AF20AB">
        <w:rPr>
          <w:i/>
        </w:rPr>
        <w:t>For more detail on PBAC’s view, see section 7 PBAC outcome.</w:t>
      </w:r>
    </w:p>
    <w:p w:rsidR="00B50DB8" w:rsidRPr="00AF20AB" w:rsidRDefault="00B50DB8" w:rsidP="004E18E9">
      <w:pPr>
        <w:pStyle w:val="2-SectionHeading"/>
      </w:pPr>
      <w:bookmarkStart w:id="7" w:name="_Toc62045605"/>
      <w:r w:rsidRPr="00AF20AB">
        <w:t>Comparator</w:t>
      </w:r>
      <w:bookmarkEnd w:id="7"/>
    </w:p>
    <w:p w:rsidR="00F57940" w:rsidRPr="00AF20AB" w:rsidRDefault="00F57940" w:rsidP="00882E3C">
      <w:pPr>
        <w:pStyle w:val="3-BodyText"/>
        <w:rPr>
          <w:snapToGrid/>
        </w:rPr>
      </w:pPr>
      <w:r w:rsidRPr="00AF20AB">
        <w:t>The submission nominated azacitidine as the main comparator</w:t>
      </w:r>
      <w:r w:rsidR="00E21F8B" w:rsidRPr="00AF20AB">
        <w:t>, with the primary justification being azacitidine is the only HMA currently available on the PBS for the MDS and CMML populations</w:t>
      </w:r>
      <w:r w:rsidRPr="00AF20AB">
        <w:t>.</w:t>
      </w:r>
      <w:r w:rsidR="00E21F8B" w:rsidRPr="00AF20AB">
        <w:t xml:space="preserve"> </w:t>
      </w:r>
      <w:r w:rsidR="00AA4632" w:rsidRPr="00AF20AB">
        <w:t xml:space="preserve">The ESC considered </w:t>
      </w:r>
      <w:r w:rsidR="004661DA" w:rsidRPr="00AF20AB">
        <w:t>azacitidine is the appropriate comparator.</w:t>
      </w:r>
      <w:r w:rsidR="00AA4632" w:rsidRPr="00AF20AB">
        <w:t xml:space="preserve"> </w:t>
      </w:r>
    </w:p>
    <w:p w:rsidR="00B50DB8" w:rsidRPr="00AF20AB" w:rsidRDefault="00E21F8B" w:rsidP="001B1ECE">
      <w:pPr>
        <w:pStyle w:val="3-BodyText"/>
        <w:rPr>
          <w:snapToGrid/>
        </w:rPr>
      </w:pPr>
      <w:r w:rsidRPr="00AF20AB">
        <w:rPr>
          <w:iCs/>
        </w:rPr>
        <w:t xml:space="preserve">While lenalidomide is PBS-listed for treatment of MDS, </w:t>
      </w:r>
      <w:r w:rsidR="00CF3C8A" w:rsidRPr="00AF20AB">
        <w:rPr>
          <w:iCs/>
        </w:rPr>
        <w:t xml:space="preserve">it is </w:t>
      </w:r>
      <w:r w:rsidRPr="00AF20AB">
        <w:rPr>
          <w:iCs/>
        </w:rPr>
        <w:t>list</w:t>
      </w:r>
      <w:r w:rsidR="00CF3C8A" w:rsidRPr="00AF20AB">
        <w:rPr>
          <w:iCs/>
        </w:rPr>
        <w:t>ed specifically</w:t>
      </w:r>
      <w:r w:rsidRPr="00AF20AB">
        <w:rPr>
          <w:iCs/>
        </w:rPr>
        <w:t xml:space="preserve"> for low-risk or intermediate-1 patients, who </w:t>
      </w:r>
      <w:r w:rsidRPr="00AF20AB">
        <w:rPr>
          <w:rFonts w:cs="Calibri"/>
          <w:iCs/>
          <w:color w:val="222222"/>
          <w:lang w:eastAsia="en-GB"/>
        </w:rPr>
        <w:t>have a deletion 5q cytogenetic abnormality with or without additional cytogenetic abnormalities and who are red blood cell transfusion dependent</w:t>
      </w:r>
      <w:r w:rsidR="00CF3C8A" w:rsidRPr="00AF20AB">
        <w:rPr>
          <w:rFonts w:cs="Calibri"/>
          <w:iCs/>
          <w:color w:val="222222"/>
          <w:lang w:eastAsia="en-GB"/>
        </w:rPr>
        <w:t>, and hence is not a relevant comparator</w:t>
      </w:r>
      <w:r w:rsidRPr="00AF20AB">
        <w:rPr>
          <w:rFonts w:cs="Calibri"/>
          <w:iCs/>
          <w:color w:val="222222"/>
          <w:lang w:eastAsia="en-GB"/>
        </w:rPr>
        <w:t>.</w:t>
      </w:r>
    </w:p>
    <w:p w:rsidR="00342AAE" w:rsidRPr="00AF20AB" w:rsidRDefault="00342AAE" w:rsidP="00342AAE">
      <w:pPr>
        <w:pStyle w:val="3-BodyText"/>
        <w:numPr>
          <w:ilvl w:val="0"/>
          <w:numId w:val="0"/>
        </w:numPr>
        <w:ind w:left="720"/>
        <w:rPr>
          <w:snapToGrid/>
        </w:rPr>
      </w:pPr>
      <w:r w:rsidRPr="00AF20AB">
        <w:rPr>
          <w:i/>
        </w:rPr>
        <w:t>For more detail on PBAC’s view, see section 7 PBAC outcome.</w:t>
      </w:r>
    </w:p>
    <w:p w:rsidR="00223D5A" w:rsidRPr="00AF20AB" w:rsidRDefault="00223D5A" w:rsidP="00223D5A">
      <w:pPr>
        <w:pStyle w:val="2-SectionHeading"/>
      </w:pPr>
      <w:bookmarkStart w:id="8" w:name="_Toc62045606"/>
      <w:bookmarkStart w:id="9" w:name="_Toc22897640"/>
      <w:r w:rsidRPr="00AF20AB">
        <w:t>Consideration of the evidence</w:t>
      </w:r>
      <w:bookmarkEnd w:id="8"/>
    </w:p>
    <w:p w:rsidR="00342AAE" w:rsidRPr="00AF20AB" w:rsidRDefault="00342AAE" w:rsidP="002E4F02">
      <w:pPr>
        <w:pStyle w:val="4-SubsectionHeading"/>
      </w:pPr>
      <w:bookmarkStart w:id="10" w:name="_Toc62045607"/>
      <w:r w:rsidRPr="00AF20AB">
        <w:t>Sponsor hearing</w:t>
      </w:r>
    </w:p>
    <w:p w:rsidR="00342AAE" w:rsidRDefault="001E638B" w:rsidP="00856D66">
      <w:pPr>
        <w:pStyle w:val="3-BodyText"/>
      </w:pPr>
      <w:r w:rsidRPr="00AF20AB">
        <w:t xml:space="preserve">The sponsor requested a hearing for this item. </w:t>
      </w:r>
      <w:r w:rsidR="00DE75FA" w:rsidRPr="00AF20AB">
        <w:t xml:space="preserve">The clinician noted that distribution of azacitidine across Australia was challenging </w:t>
      </w:r>
      <w:r w:rsidR="00C53665" w:rsidRPr="00AF20AB">
        <w:t xml:space="preserve">given its </w:t>
      </w:r>
      <w:r w:rsidR="00DE75FA" w:rsidRPr="00AF20AB">
        <w:t xml:space="preserve">limited </w:t>
      </w:r>
      <w:r w:rsidR="00C53665" w:rsidRPr="00AF20AB">
        <w:t>stability. The clinician emphasised</w:t>
      </w:r>
      <w:r w:rsidR="00D022A3" w:rsidRPr="00AF20AB">
        <w:t xml:space="preserve"> that travel and its associated financial costs are current barriers for rural and remote patients in accessing treatment with azacitidine. The clinician considered that as</w:t>
      </w:r>
      <w:r w:rsidR="00014C93" w:rsidRPr="00AF20AB">
        <w:t xml:space="preserve"> an oral therapy, decitabine+</w:t>
      </w:r>
      <w:r w:rsidR="00C53665" w:rsidRPr="00AF20AB">
        <w:t xml:space="preserve">cedazuridine would ease the financial burden associated </w:t>
      </w:r>
      <w:r w:rsidR="00D022A3" w:rsidRPr="00AF20AB">
        <w:t xml:space="preserve">with travelling and provide a more flexible treatment regimen for patients which can be incorporated into a telehealth model of care. </w:t>
      </w:r>
      <w:r w:rsidR="003C2FB0" w:rsidRPr="00AF20AB">
        <w:t>Th</w:t>
      </w:r>
      <w:r w:rsidR="00A407FC" w:rsidRPr="00AF20AB">
        <w:t xml:space="preserve">e clinician highlighted that the indirect comparison between IV decitabine and azacitidine </w:t>
      </w:r>
      <w:r w:rsidR="00CB6CEE" w:rsidRPr="00AF20AB">
        <w:t xml:space="preserve">showed no statistically significant </w:t>
      </w:r>
      <w:r w:rsidR="00524D9D" w:rsidRPr="00AF20AB">
        <w:t xml:space="preserve">differences in terms of response based outcomes. The clinician </w:t>
      </w:r>
      <w:r w:rsidR="00D6331B" w:rsidRPr="00AF20AB">
        <w:t>noted that Komrokji 2020 et al., 2020</w:t>
      </w:r>
      <w:r w:rsidR="00D6331B" w:rsidRPr="00AF20AB">
        <w:rPr>
          <w:rStyle w:val="FootnoteReference"/>
          <w:iCs/>
        </w:rPr>
        <w:footnoteReference w:id="1"/>
      </w:r>
      <w:r w:rsidR="00D6331B" w:rsidRPr="00AF20AB">
        <w:t xml:space="preserve"> found that complete response was significantly associated with a better OS than other response groups and can be used as a surrogate endpoint for OS in higher-risk MDS patients. The clinician considered that </w:t>
      </w:r>
      <w:r w:rsidR="00856D66" w:rsidRPr="00AF20AB">
        <w:t xml:space="preserve">although there was evidence azacitidine was superior in terms of OS to decitabine in patients with MDS duration &gt;1 year, and was superior in patients with ECOG score of 2-3, patients would likely be treated soon after diagnosis in clinical practice. The clinician considered that </w:t>
      </w:r>
      <w:r w:rsidR="00993AC4" w:rsidRPr="00AF20AB">
        <w:t xml:space="preserve">the interpretation of OS from the indirect comparison may be limited due heterogeneity between patient populations, censoring and differences in subsequent therapies used in the trials. The clinician noted </w:t>
      </w:r>
      <w:r w:rsidR="00072425" w:rsidRPr="00AF20AB">
        <w:t xml:space="preserve">that the reporting of serious adverse events in the trials were problematic as most patients have grade 3 or 4 neutropenia and thrombocytopenia at baseline. The clinician considered that febrile neutropenia and requirement of intravenous antibiotics would be a better indicator of safety </w:t>
      </w:r>
      <w:r w:rsidR="00C60E68" w:rsidRPr="00AF20AB">
        <w:t xml:space="preserve">concerns and noted that </w:t>
      </w:r>
      <w:r w:rsidR="00072425" w:rsidRPr="00AF20AB">
        <w:t>a meta-analysis (Xie</w:t>
      </w:r>
      <w:r w:rsidR="00C60E68" w:rsidRPr="00AF20AB">
        <w:t xml:space="preserve"> et al.,</w:t>
      </w:r>
      <w:r w:rsidR="00072425" w:rsidRPr="00AF20AB">
        <w:t xml:space="preserve"> </w:t>
      </w:r>
      <w:r w:rsidR="00C60E68" w:rsidRPr="00AF20AB">
        <w:t xml:space="preserve">2015) found no significant differences between in febrile neutropenia between decitabine and azacitidine. </w:t>
      </w:r>
    </w:p>
    <w:p w:rsidR="00342AAE" w:rsidRPr="00AF20AB" w:rsidRDefault="00342AAE" w:rsidP="00342AAE">
      <w:pPr>
        <w:pStyle w:val="4-SubsectionHeading"/>
      </w:pPr>
      <w:r w:rsidRPr="00AF20AB">
        <w:t>Consumer comments</w:t>
      </w:r>
    </w:p>
    <w:p w:rsidR="00342AAE" w:rsidRPr="00AF20AB" w:rsidRDefault="00342AAE" w:rsidP="00CD1DA0">
      <w:pPr>
        <w:widowControl w:val="0"/>
        <w:numPr>
          <w:ilvl w:val="1"/>
          <w:numId w:val="1"/>
        </w:numPr>
        <w:spacing w:after="120"/>
        <w:rPr>
          <w:rFonts w:asciiTheme="minorHAnsi" w:hAnsiTheme="minorHAnsi"/>
          <w:bCs/>
          <w:snapToGrid w:val="0"/>
          <w:lang w:eastAsia="en-US"/>
        </w:rPr>
      </w:pPr>
      <w:r w:rsidRPr="00AF20AB">
        <w:rPr>
          <w:rFonts w:asciiTheme="minorHAnsi" w:hAnsiTheme="minorHAnsi"/>
          <w:bCs/>
          <w:snapToGrid w:val="0"/>
          <w:lang w:eastAsia="en-US"/>
        </w:rPr>
        <w:t>PBAC noted and welcomed the input from health care professionals (</w:t>
      </w:r>
      <w:r w:rsidR="005B1526" w:rsidRPr="00AF20AB">
        <w:rPr>
          <w:rFonts w:asciiTheme="minorHAnsi" w:hAnsiTheme="minorHAnsi"/>
          <w:bCs/>
          <w:snapToGrid w:val="0"/>
          <w:lang w:eastAsia="en-US"/>
        </w:rPr>
        <w:t>4</w:t>
      </w:r>
      <w:r w:rsidRPr="00AF20AB">
        <w:rPr>
          <w:rFonts w:asciiTheme="minorHAnsi" w:hAnsiTheme="minorHAnsi"/>
          <w:bCs/>
          <w:snapToGrid w:val="0"/>
          <w:lang w:eastAsia="en-US"/>
        </w:rPr>
        <w:t>) and organisations (</w:t>
      </w:r>
      <w:r w:rsidR="005B1526" w:rsidRPr="00AF20AB">
        <w:rPr>
          <w:rFonts w:asciiTheme="minorHAnsi" w:hAnsiTheme="minorHAnsi"/>
          <w:bCs/>
          <w:snapToGrid w:val="0"/>
          <w:lang w:eastAsia="en-US"/>
        </w:rPr>
        <w:t>2</w:t>
      </w:r>
      <w:r w:rsidRPr="00AF20AB">
        <w:rPr>
          <w:rFonts w:asciiTheme="minorHAnsi" w:hAnsiTheme="minorHAnsi"/>
          <w:bCs/>
          <w:snapToGrid w:val="0"/>
          <w:lang w:eastAsia="en-US"/>
        </w:rPr>
        <w:t>) via the Consumer Comments facility on the PBS website</w:t>
      </w:r>
      <w:r w:rsidR="00AF20AB">
        <w:rPr>
          <w:rFonts w:asciiTheme="minorHAnsi" w:hAnsiTheme="minorHAnsi"/>
          <w:bCs/>
          <w:snapToGrid w:val="0"/>
          <w:lang w:eastAsia="en-US"/>
        </w:rPr>
        <w:t xml:space="preserve">. </w:t>
      </w:r>
      <w:r w:rsidRPr="00AF20AB">
        <w:rPr>
          <w:rFonts w:asciiTheme="minorHAnsi" w:hAnsiTheme="minorHAnsi"/>
          <w:bCs/>
          <w:snapToGrid w:val="0"/>
          <w:lang w:eastAsia="en-US"/>
        </w:rPr>
        <w:t xml:space="preserve">The comments </w:t>
      </w:r>
      <w:r w:rsidR="002207EE" w:rsidRPr="00AF20AB">
        <w:rPr>
          <w:rFonts w:asciiTheme="minorHAnsi" w:hAnsiTheme="minorHAnsi"/>
          <w:bCs/>
          <w:snapToGrid w:val="0"/>
          <w:lang w:eastAsia="en-US"/>
        </w:rPr>
        <w:t>from health care professionals</w:t>
      </w:r>
      <w:r w:rsidR="000E76FB" w:rsidRPr="00AF20AB">
        <w:rPr>
          <w:rFonts w:asciiTheme="minorHAnsi" w:hAnsiTheme="minorHAnsi"/>
          <w:bCs/>
          <w:snapToGrid w:val="0"/>
          <w:lang w:eastAsia="en-US"/>
        </w:rPr>
        <w:t xml:space="preserve"> noted that current treatment with azacitidine</w:t>
      </w:r>
      <w:r w:rsidR="00382883" w:rsidRPr="00AF20AB">
        <w:rPr>
          <w:rFonts w:asciiTheme="minorHAnsi" w:hAnsiTheme="minorHAnsi"/>
          <w:bCs/>
          <w:snapToGrid w:val="0"/>
          <w:lang w:eastAsia="en-US"/>
        </w:rPr>
        <w:t xml:space="preserve"> requires</w:t>
      </w:r>
      <w:r w:rsidR="000E76FB" w:rsidRPr="00AF20AB">
        <w:rPr>
          <w:rFonts w:asciiTheme="minorHAnsi" w:hAnsiTheme="minorHAnsi"/>
          <w:bCs/>
          <w:snapToGrid w:val="0"/>
          <w:lang w:eastAsia="en-US"/>
        </w:rPr>
        <w:t xml:space="preserve"> patients to attend outpatient clinics </w:t>
      </w:r>
      <w:r w:rsidR="001E638B" w:rsidRPr="00AF20AB">
        <w:rPr>
          <w:rFonts w:asciiTheme="minorHAnsi" w:hAnsiTheme="minorHAnsi"/>
          <w:bCs/>
          <w:snapToGrid w:val="0"/>
          <w:lang w:eastAsia="en-US"/>
        </w:rPr>
        <w:t xml:space="preserve">over </w:t>
      </w:r>
      <w:r w:rsidR="00382883" w:rsidRPr="00AF20AB">
        <w:rPr>
          <w:rFonts w:asciiTheme="minorHAnsi" w:hAnsiTheme="minorHAnsi"/>
          <w:bCs/>
          <w:snapToGrid w:val="0"/>
          <w:lang w:eastAsia="en-US"/>
        </w:rPr>
        <w:t xml:space="preserve">several days each month. The comments </w:t>
      </w:r>
      <w:r w:rsidR="002207EE" w:rsidRPr="00AF20AB">
        <w:rPr>
          <w:rFonts w:asciiTheme="minorHAnsi" w:hAnsiTheme="minorHAnsi"/>
          <w:bCs/>
          <w:snapToGrid w:val="0"/>
          <w:lang w:eastAsia="en-US"/>
        </w:rPr>
        <w:t xml:space="preserve">emphasised </w:t>
      </w:r>
      <w:r w:rsidR="00FA164F" w:rsidRPr="00AF20AB">
        <w:rPr>
          <w:rFonts w:asciiTheme="minorHAnsi" w:hAnsiTheme="minorHAnsi"/>
          <w:bCs/>
          <w:snapToGrid w:val="0"/>
          <w:lang w:eastAsia="en-US"/>
        </w:rPr>
        <w:t xml:space="preserve">that the availability of </w:t>
      </w:r>
      <w:r w:rsidR="00054C9E" w:rsidRPr="00AF20AB">
        <w:rPr>
          <w:rFonts w:asciiTheme="minorHAnsi" w:hAnsiTheme="minorHAnsi"/>
          <w:bCs/>
          <w:snapToGrid w:val="0"/>
          <w:lang w:eastAsia="en-US"/>
        </w:rPr>
        <w:t>an oral hypomethy</w:t>
      </w:r>
      <w:r w:rsidR="00014C93" w:rsidRPr="00AF20AB">
        <w:rPr>
          <w:rFonts w:asciiTheme="minorHAnsi" w:hAnsiTheme="minorHAnsi"/>
          <w:bCs/>
          <w:snapToGrid w:val="0"/>
          <w:lang w:eastAsia="en-US"/>
        </w:rPr>
        <w:t>lating agent such as decitabine+</w:t>
      </w:r>
      <w:r w:rsidR="00054C9E" w:rsidRPr="00AF20AB">
        <w:rPr>
          <w:rFonts w:asciiTheme="minorHAnsi" w:hAnsiTheme="minorHAnsi"/>
          <w:bCs/>
          <w:snapToGrid w:val="0"/>
          <w:lang w:eastAsia="en-US"/>
        </w:rPr>
        <w:t xml:space="preserve">cedazuridine would provide more flexibility for patients who live remotely and reduce </w:t>
      </w:r>
      <w:r w:rsidR="000E76FB" w:rsidRPr="00AF20AB">
        <w:rPr>
          <w:rFonts w:asciiTheme="minorHAnsi" w:hAnsiTheme="minorHAnsi"/>
          <w:bCs/>
          <w:snapToGrid w:val="0"/>
          <w:lang w:eastAsia="en-US"/>
        </w:rPr>
        <w:t>the burden on outpatient clinics</w:t>
      </w:r>
      <w:r w:rsidR="00382883" w:rsidRPr="00AF20AB">
        <w:rPr>
          <w:rFonts w:asciiTheme="minorHAnsi" w:hAnsiTheme="minorHAnsi"/>
          <w:bCs/>
          <w:snapToGrid w:val="0"/>
          <w:lang w:eastAsia="en-US"/>
        </w:rPr>
        <w:t>.</w:t>
      </w:r>
    </w:p>
    <w:p w:rsidR="00382883" w:rsidRPr="00AF20AB" w:rsidRDefault="00A21486" w:rsidP="00CD1DA0">
      <w:pPr>
        <w:widowControl w:val="0"/>
        <w:numPr>
          <w:ilvl w:val="1"/>
          <w:numId w:val="1"/>
        </w:numPr>
        <w:spacing w:after="120"/>
        <w:rPr>
          <w:rFonts w:asciiTheme="minorHAnsi" w:hAnsiTheme="minorHAnsi"/>
          <w:bCs/>
          <w:snapToGrid w:val="0"/>
          <w:lang w:eastAsia="en-US"/>
        </w:rPr>
      </w:pPr>
      <w:r w:rsidRPr="00AF20AB">
        <w:rPr>
          <w:rFonts w:asciiTheme="minorHAnsi" w:hAnsiTheme="minorHAnsi"/>
          <w:bCs/>
          <w:snapToGrid w:val="0"/>
          <w:lang w:eastAsia="en-US"/>
        </w:rPr>
        <w:t>The Leukaemia foundation and Rare Cancers Australia strongly</w:t>
      </w:r>
      <w:r w:rsidR="00014C93" w:rsidRPr="00AF20AB">
        <w:rPr>
          <w:rFonts w:asciiTheme="minorHAnsi" w:hAnsiTheme="minorHAnsi"/>
          <w:bCs/>
          <w:snapToGrid w:val="0"/>
          <w:lang w:eastAsia="en-US"/>
        </w:rPr>
        <w:t xml:space="preserve"> supported listing decitabine+</w:t>
      </w:r>
      <w:r w:rsidRPr="00AF20AB">
        <w:rPr>
          <w:rFonts w:asciiTheme="minorHAnsi" w:hAnsiTheme="minorHAnsi"/>
          <w:bCs/>
          <w:snapToGrid w:val="0"/>
          <w:lang w:eastAsia="en-US"/>
        </w:rPr>
        <w:t>cedazuridine on the PBS</w:t>
      </w:r>
      <w:r w:rsidR="009A513B" w:rsidRPr="00AF20AB">
        <w:rPr>
          <w:rFonts w:asciiTheme="minorHAnsi" w:hAnsiTheme="minorHAnsi"/>
          <w:bCs/>
          <w:snapToGrid w:val="0"/>
          <w:lang w:eastAsia="en-US"/>
        </w:rPr>
        <w:t>,</w:t>
      </w:r>
      <w:r w:rsidRPr="00AF20AB">
        <w:rPr>
          <w:rFonts w:asciiTheme="minorHAnsi" w:hAnsiTheme="minorHAnsi"/>
          <w:bCs/>
          <w:snapToGrid w:val="0"/>
          <w:lang w:eastAsia="en-US"/>
        </w:rPr>
        <w:t xml:space="preserve"> noting that</w:t>
      </w:r>
      <w:r w:rsidR="009A513B" w:rsidRPr="00AF20AB">
        <w:rPr>
          <w:rFonts w:asciiTheme="minorHAnsi" w:hAnsiTheme="minorHAnsi"/>
          <w:bCs/>
          <w:snapToGrid w:val="0"/>
          <w:lang w:eastAsia="en-US"/>
        </w:rPr>
        <w:t xml:space="preserve"> blood cancers are associated with debilitating effects on quality of life and</w:t>
      </w:r>
      <w:r w:rsidRPr="00AF20AB">
        <w:rPr>
          <w:rFonts w:asciiTheme="minorHAnsi" w:hAnsiTheme="minorHAnsi"/>
          <w:bCs/>
          <w:snapToGrid w:val="0"/>
          <w:lang w:eastAsia="en-US"/>
        </w:rPr>
        <w:t xml:space="preserve"> the availability of an oral agent</w:t>
      </w:r>
      <w:r w:rsidR="009A513B" w:rsidRPr="00AF20AB">
        <w:rPr>
          <w:rFonts w:asciiTheme="minorHAnsi" w:hAnsiTheme="minorHAnsi"/>
          <w:bCs/>
          <w:snapToGrid w:val="0"/>
          <w:lang w:eastAsia="en-US"/>
        </w:rPr>
        <w:t xml:space="preserve"> which reduces the need to travel for treatment</w:t>
      </w:r>
      <w:r w:rsidR="00CF3D04" w:rsidRPr="00AF20AB">
        <w:rPr>
          <w:rFonts w:asciiTheme="minorHAnsi" w:hAnsiTheme="minorHAnsi"/>
          <w:bCs/>
          <w:snapToGrid w:val="0"/>
          <w:lang w:eastAsia="en-US"/>
        </w:rPr>
        <w:t>,</w:t>
      </w:r>
      <w:r w:rsidRPr="00AF20AB">
        <w:rPr>
          <w:rFonts w:asciiTheme="minorHAnsi" w:hAnsiTheme="minorHAnsi"/>
          <w:bCs/>
          <w:snapToGrid w:val="0"/>
          <w:lang w:eastAsia="en-US"/>
        </w:rPr>
        <w:t xml:space="preserve"> </w:t>
      </w:r>
      <w:r w:rsidR="009A513B" w:rsidRPr="00AF20AB">
        <w:rPr>
          <w:rFonts w:asciiTheme="minorHAnsi" w:hAnsiTheme="minorHAnsi"/>
          <w:bCs/>
          <w:snapToGrid w:val="0"/>
          <w:lang w:eastAsia="en-US"/>
        </w:rPr>
        <w:t xml:space="preserve">would be valuable </w:t>
      </w:r>
      <w:r w:rsidRPr="00AF20AB">
        <w:rPr>
          <w:rFonts w:asciiTheme="minorHAnsi" w:hAnsiTheme="minorHAnsi"/>
          <w:bCs/>
          <w:snapToGrid w:val="0"/>
          <w:lang w:eastAsia="en-US"/>
        </w:rPr>
        <w:t xml:space="preserve">for </w:t>
      </w:r>
      <w:r w:rsidR="009A513B" w:rsidRPr="00AF20AB">
        <w:rPr>
          <w:rFonts w:asciiTheme="minorHAnsi" w:hAnsiTheme="minorHAnsi"/>
          <w:bCs/>
          <w:snapToGrid w:val="0"/>
          <w:lang w:eastAsia="en-US"/>
        </w:rPr>
        <w:t>these patients</w:t>
      </w:r>
      <w:r w:rsidR="00AF20AB">
        <w:rPr>
          <w:rFonts w:asciiTheme="minorHAnsi" w:hAnsiTheme="minorHAnsi"/>
          <w:bCs/>
          <w:snapToGrid w:val="0"/>
          <w:lang w:eastAsia="en-US"/>
        </w:rPr>
        <w:t xml:space="preserve">. </w:t>
      </w:r>
    </w:p>
    <w:p w:rsidR="00B60939" w:rsidRPr="00AF20AB" w:rsidRDefault="00B60939" w:rsidP="002E4F02">
      <w:pPr>
        <w:pStyle w:val="4-SubsectionHeading"/>
      </w:pPr>
      <w:r w:rsidRPr="00AF20AB">
        <w:t>Clinical trials</w:t>
      </w:r>
      <w:bookmarkEnd w:id="9"/>
      <w:bookmarkEnd w:id="10"/>
    </w:p>
    <w:p w:rsidR="00B5695A" w:rsidRPr="00AF20AB" w:rsidRDefault="00B5695A" w:rsidP="00B5695A">
      <w:pPr>
        <w:pStyle w:val="3-BodyText"/>
        <w:spacing w:after="0"/>
      </w:pPr>
      <w:r w:rsidRPr="00AF20AB">
        <w:t>The submission provided a two-step approach to support its claim of non-inferior effectiveness and safety of decitabine+cedazuridine versus azacitidine:</w:t>
      </w:r>
    </w:p>
    <w:p w:rsidR="00066275" w:rsidRPr="00AF20AB" w:rsidRDefault="00066275" w:rsidP="00ED5480">
      <w:pPr>
        <w:pStyle w:val="3-BodyText"/>
        <w:numPr>
          <w:ilvl w:val="0"/>
          <w:numId w:val="0"/>
        </w:numPr>
        <w:spacing w:after="0"/>
        <w:ind w:left="993"/>
      </w:pPr>
    </w:p>
    <w:p w:rsidR="00B5695A" w:rsidRPr="00AF20AB" w:rsidRDefault="00B5695A" w:rsidP="00D96689">
      <w:pPr>
        <w:pStyle w:val="3-BodyText"/>
        <w:numPr>
          <w:ilvl w:val="0"/>
          <w:numId w:val="9"/>
        </w:numPr>
        <w:ind w:left="993" w:hanging="284"/>
      </w:pPr>
      <w:r w:rsidRPr="00AF20AB">
        <w:rPr>
          <w:rFonts w:ascii="Calibri" w:hAnsi="Calibri" w:cs="Calibri"/>
        </w:rPr>
        <w:t>Indirect comparison of IV decitabine vs. azacitidine using best supportive care (BSC) as the common reference.</w:t>
      </w:r>
    </w:p>
    <w:p w:rsidR="00C80163" w:rsidRPr="00AF20AB" w:rsidRDefault="00C80163" w:rsidP="00D96689">
      <w:pPr>
        <w:pStyle w:val="3-BodyText"/>
        <w:numPr>
          <w:ilvl w:val="0"/>
          <w:numId w:val="9"/>
        </w:numPr>
        <w:ind w:left="993" w:hanging="284"/>
      </w:pPr>
      <w:r w:rsidRPr="00AF20AB">
        <w:rPr>
          <w:rFonts w:ascii="Calibri" w:hAnsi="Calibri" w:cs="Calibri"/>
        </w:rPr>
        <w:t>Direct comparison (pharmacokinetic evidence) of decitabine+cedazuridine vs. IV decitabine.</w:t>
      </w:r>
    </w:p>
    <w:p w:rsidR="00B5695A" w:rsidRPr="00AF20AB" w:rsidRDefault="00B5695A" w:rsidP="002E4F02">
      <w:pPr>
        <w:pStyle w:val="3-BodyText"/>
      </w:pPr>
      <w:r w:rsidRPr="00AF20AB">
        <w:t>The submission was based on six trials, two comparing decitabine IV and BSC and two comparing azacitidine and BSC that were used in the indirect comparison, and two pharmacokinetic trials comparing decitabine+cedazuridine and decitabine IV</w:t>
      </w:r>
      <w:r w:rsidR="00AF20AB">
        <w:t xml:space="preserve">. </w:t>
      </w:r>
      <w:r w:rsidRPr="00AF20AB">
        <w:t>Details of the trials are provided in the table below.</w:t>
      </w:r>
    </w:p>
    <w:p w:rsidR="008E0D3C" w:rsidRPr="00AF20AB" w:rsidRDefault="008E0D3C" w:rsidP="002E4F02">
      <w:pPr>
        <w:pStyle w:val="TableFigureHeading"/>
        <w:rPr>
          <w:rStyle w:val="CommentReference"/>
          <w:b/>
          <w:szCs w:val="24"/>
        </w:rPr>
      </w:pPr>
      <w:r w:rsidRPr="00AF20AB">
        <w:rPr>
          <w:rStyle w:val="CommentReference"/>
          <w:b/>
          <w:szCs w:val="24"/>
        </w:rPr>
        <w:t xml:space="preserve">Table </w:t>
      </w:r>
      <w:r w:rsidR="00CF1BE4" w:rsidRPr="00AF20AB">
        <w:rPr>
          <w:rStyle w:val="CommentReference"/>
          <w:b/>
          <w:szCs w:val="24"/>
        </w:rPr>
        <w:t>3</w:t>
      </w:r>
      <w:r w:rsidRPr="00AF20AB">
        <w:rPr>
          <w:rStyle w:val="CommentReference"/>
          <w:b/>
          <w:szCs w:val="24"/>
        </w:rPr>
        <w:t>:</w:t>
      </w:r>
      <w:r w:rsidR="00BC591F" w:rsidRPr="00AF20AB">
        <w:rPr>
          <w:rStyle w:val="CommentReference"/>
          <w:b/>
          <w:szCs w:val="24"/>
        </w:rPr>
        <w:t xml:space="preserve"> </w:t>
      </w:r>
      <w:r w:rsidR="00B5695A" w:rsidRPr="00AF20AB">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6"/>
        <w:gridCol w:w="5931"/>
        <w:gridCol w:w="1650"/>
      </w:tblGrid>
      <w:tr w:rsidR="00B5695A" w:rsidRPr="00AF20AB" w:rsidTr="00597925">
        <w:trPr>
          <w:tblHeader/>
        </w:trPr>
        <w:tc>
          <w:tcPr>
            <w:tcW w:w="796" w:type="pct"/>
            <w:vAlign w:val="center"/>
          </w:tcPr>
          <w:p w:rsidR="00B5695A" w:rsidRPr="00AF20AB" w:rsidRDefault="00B5695A" w:rsidP="00C85EC8">
            <w:pPr>
              <w:pStyle w:val="In-tableHeading"/>
              <w:widowControl w:val="0"/>
              <w:rPr>
                <w:lang w:val="en-AU"/>
              </w:rPr>
            </w:pPr>
            <w:r w:rsidRPr="00AF20AB">
              <w:rPr>
                <w:lang w:val="en-AU"/>
              </w:rPr>
              <w:t>Trial ID</w:t>
            </w:r>
          </w:p>
        </w:tc>
        <w:tc>
          <w:tcPr>
            <w:tcW w:w="3289" w:type="pct"/>
            <w:vAlign w:val="center"/>
          </w:tcPr>
          <w:p w:rsidR="00B5695A" w:rsidRPr="00AF20AB" w:rsidRDefault="00B5695A" w:rsidP="00C85EC8">
            <w:pPr>
              <w:pStyle w:val="In-tableHeading"/>
              <w:widowControl w:val="0"/>
              <w:jc w:val="center"/>
              <w:rPr>
                <w:lang w:val="en-AU"/>
              </w:rPr>
            </w:pPr>
            <w:r w:rsidRPr="00AF20AB">
              <w:rPr>
                <w:lang w:val="en-AU"/>
              </w:rPr>
              <w:t>Protocol title/ Publication title</w:t>
            </w:r>
          </w:p>
        </w:tc>
        <w:tc>
          <w:tcPr>
            <w:tcW w:w="915" w:type="pct"/>
            <w:vAlign w:val="center"/>
          </w:tcPr>
          <w:p w:rsidR="00B5695A" w:rsidRPr="00AF20AB" w:rsidRDefault="00B5695A" w:rsidP="00C85EC8">
            <w:pPr>
              <w:pStyle w:val="In-tableHeading"/>
              <w:widowControl w:val="0"/>
              <w:jc w:val="center"/>
              <w:rPr>
                <w:lang w:val="en-AU"/>
              </w:rPr>
            </w:pPr>
            <w:r w:rsidRPr="00AF20AB">
              <w:rPr>
                <w:lang w:val="en-AU"/>
              </w:rPr>
              <w:t>Publication citation</w:t>
            </w:r>
          </w:p>
        </w:tc>
      </w:tr>
      <w:tr w:rsidR="00B5695A" w:rsidRPr="00AF20AB" w:rsidTr="00D45D70">
        <w:tc>
          <w:tcPr>
            <w:tcW w:w="5000" w:type="pct"/>
            <w:gridSpan w:val="3"/>
            <w:tcBorders>
              <w:bottom w:val="nil"/>
            </w:tcBorders>
            <w:vAlign w:val="center"/>
          </w:tcPr>
          <w:p w:rsidR="00B5695A" w:rsidRPr="00AF20AB" w:rsidRDefault="00B5695A" w:rsidP="00C85EC8">
            <w:pPr>
              <w:pStyle w:val="TableText0"/>
              <w:widowControl w:val="0"/>
              <w:rPr>
                <w:b/>
                <w:bCs w:val="0"/>
              </w:rPr>
            </w:pPr>
            <w:r w:rsidRPr="00AF20AB">
              <w:rPr>
                <w:b/>
                <w:bCs w:val="0"/>
              </w:rPr>
              <w:t>Indirect comparison decitabine vs. azacitidine with BSC as common comparator</w:t>
            </w:r>
          </w:p>
        </w:tc>
      </w:tr>
      <w:tr w:rsidR="00B5695A" w:rsidRPr="00AF20AB" w:rsidTr="00597925">
        <w:tc>
          <w:tcPr>
            <w:tcW w:w="796" w:type="pct"/>
            <w:tcBorders>
              <w:bottom w:val="nil"/>
            </w:tcBorders>
            <w:vAlign w:val="center"/>
          </w:tcPr>
          <w:p w:rsidR="00B5695A" w:rsidRPr="00AF20AB" w:rsidRDefault="00B5695A" w:rsidP="00C85EC8">
            <w:pPr>
              <w:pStyle w:val="TableText0"/>
              <w:widowControl w:val="0"/>
            </w:pPr>
            <w:r w:rsidRPr="00AF20AB">
              <w:t>Kantarjian 2006 (decitabine vs. BSC)</w:t>
            </w:r>
          </w:p>
        </w:tc>
        <w:tc>
          <w:tcPr>
            <w:tcW w:w="3289" w:type="pct"/>
            <w:tcBorders>
              <w:bottom w:val="nil"/>
            </w:tcBorders>
            <w:vAlign w:val="center"/>
          </w:tcPr>
          <w:p w:rsidR="00B5695A" w:rsidRPr="00AF20AB" w:rsidRDefault="00B5695A" w:rsidP="00C85EC8">
            <w:pPr>
              <w:pStyle w:val="TableText0"/>
              <w:widowControl w:val="0"/>
              <w:rPr>
                <w:szCs w:val="18"/>
              </w:rPr>
            </w:pPr>
            <w:r w:rsidRPr="00AF20AB">
              <w:t>Kantarj</w:t>
            </w:r>
            <w:r w:rsidR="0034037D" w:rsidRPr="00AF20AB">
              <w:t>i</w:t>
            </w:r>
            <w:r w:rsidRPr="00AF20AB">
              <w:t>an H, Issa JPJ, Rosenfeld CS, Bennett JM et al</w:t>
            </w:r>
            <w:r w:rsidR="00AF20AB">
              <w:t xml:space="preserve">. </w:t>
            </w:r>
            <w:r w:rsidRPr="00AF20AB">
              <w:t xml:space="preserve">Decitabine improves patient outcomes in myelodysplastic syndromes: Results of a phase III randomised study. </w:t>
            </w:r>
          </w:p>
        </w:tc>
        <w:tc>
          <w:tcPr>
            <w:tcW w:w="915" w:type="pct"/>
            <w:tcBorders>
              <w:bottom w:val="nil"/>
            </w:tcBorders>
            <w:vAlign w:val="center"/>
          </w:tcPr>
          <w:p w:rsidR="00B5695A" w:rsidRPr="00AF20AB" w:rsidRDefault="00B5695A" w:rsidP="00C85EC8">
            <w:pPr>
              <w:pStyle w:val="TableText0"/>
              <w:widowControl w:val="0"/>
            </w:pPr>
            <w:r w:rsidRPr="00AF20AB">
              <w:rPr>
                <w:i/>
                <w:iCs/>
              </w:rPr>
              <w:t xml:space="preserve">Cancer </w:t>
            </w:r>
            <w:r w:rsidRPr="00AF20AB">
              <w:t>2006;106(8): 1794-803</w:t>
            </w:r>
          </w:p>
        </w:tc>
      </w:tr>
      <w:tr w:rsidR="00B5695A" w:rsidRPr="00AF20AB" w:rsidTr="00597925">
        <w:tc>
          <w:tcPr>
            <w:tcW w:w="796" w:type="pct"/>
            <w:tcBorders>
              <w:bottom w:val="nil"/>
            </w:tcBorders>
            <w:vAlign w:val="center"/>
          </w:tcPr>
          <w:p w:rsidR="00B5695A" w:rsidRPr="00AF20AB" w:rsidRDefault="00B5695A" w:rsidP="00C85EC8">
            <w:pPr>
              <w:pStyle w:val="TableText0"/>
              <w:widowControl w:val="0"/>
            </w:pPr>
            <w:r w:rsidRPr="00AF20AB">
              <w:t>Lubbert 2011 (decitabine vs. BSC)</w:t>
            </w:r>
          </w:p>
        </w:tc>
        <w:tc>
          <w:tcPr>
            <w:tcW w:w="3289" w:type="pct"/>
            <w:tcBorders>
              <w:bottom w:val="nil"/>
            </w:tcBorders>
            <w:vAlign w:val="center"/>
          </w:tcPr>
          <w:p w:rsidR="00B5695A" w:rsidRPr="00AF20AB" w:rsidRDefault="00B5695A" w:rsidP="00C85EC8">
            <w:pPr>
              <w:pStyle w:val="TableText0"/>
              <w:widowControl w:val="0"/>
            </w:pPr>
            <w:r w:rsidRPr="00AF20AB">
              <w:t>Lubbert M, Suciu S, Baila L, Rüter BH et al</w:t>
            </w:r>
            <w:r w:rsidR="00AF20AB">
              <w:t xml:space="preserve">. </w:t>
            </w:r>
            <w:r w:rsidRPr="00AF20AB">
              <w:t xml:space="preserve">Low-dose decitabine versus best supportive care in elderly patients with intermediate- or high-risk myelodysplastic syndrome (MDS) ineligible for intensive chemotherapy: Final results of the randomised phase III study of the European organisation for research and treatment of cancer leukaemia group and the German MDS study group. </w:t>
            </w:r>
          </w:p>
        </w:tc>
        <w:tc>
          <w:tcPr>
            <w:tcW w:w="915" w:type="pct"/>
            <w:tcBorders>
              <w:bottom w:val="nil"/>
            </w:tcBorders>
            <w:vAlign w:val="center"/>
          </w:tcPr>
          <w:p w:rsidR="00B5695A" w:rsidRPr="00AF20AB" w:rsidRDefault="00B5695A" w:rsidP="00C85EC8">
            <w:pPr>
              <w:pStyle w:val="TableText0"/>
              <w:widowControl w:val="0"/>
            </w:pPr>
            <w:r w:rsidRPr="00AF20AB">
              <w:rPr>
                <w:i/>
                <w:iCs/>
              </w:rPr>
              <w:t>J Clin Oncol</w:t>
            </w:r>
            <w:r w:rsidRPr="00AF20AB">
              <w:t xml:space="preserve"> 2011; 29(15): 1987-96.</w:t>
            </w:r>
          </w:p>
        </w:tc>
      </w:tr>
      <w:tr w:rsidR="00B5695A" w:rsidRPr="00AF20AB" w:rsidTr="00597925">
        <w:tc>
          <w:tcPr>
            <w:tcW w:w="796" w:type="pct"/>
            <w:tcBorders>
              <w:bottom w:val="nil"/>
            </w:tcBorders>
            <w:vAlign w:val="center"/>
          </w:tcPr>
          <w:p w:rsidR="00B5695A" w:rsidRPr="00AF20AB" w:rsidRDefault="00B5695A" w:rsidP="00C85EC8">
            <w:pPr>
              <w:pStyle w:val="TableText0"/>
              <w:widowControl w:val="0"/>
            </w:pPr>
            <w:r w:rsidRPr="00AF20AB">
              <w:t>Fenaux 2009 (azacitidine vs. BSC)</w:t>
            </w:r>
          </w:p>
        </w:tc>
        <w:tc>
          <w:tcPr>
            <w:tcW w:w="3289" w:type="pct"/>
            <w:tcBorders>
              <w:bottom w:val="nil"/>
            </w:tcBorders>
            <w:vAlign w:val="center"/>
          </w:tcPr>
          <w:p w:rsidR="00B5695A" w:rsidRPr="00AF20AB" w:rsidRDefault="00B5695A" w:rsidP="00C85EC8">
            <w:pPr>
              <w:pStyle w:val="TableText0"/>
              <w:widowControl w:val="0"/>
              <w:rPr>
                <w:szCs w:val="18"/>
              </w:rPr>
            </w:pPr>
            <w:r w:rsidRPr="00AF20AB">
              <w:t>Fenaux P, Mufti GJ, Hellström-Lindberg E, Santini V et al</w:t>
            </w:r>
            <w:r w:rsidR="00AF20AB">
              <w:t xml:space="preserve">. </w:t>
            </w:r>
            <w:r w:rsidRPr="00AF20AB">
              <w:t xml:space="preserve">Efficacy of azacitidine compared with that of conventional care regimens in the treatment of higher-risk myelodysplastic syndromes: a randomised, open label, phase III study. </w:t>
            </w:r>
          </w:p>
        </w:tc>
        <w:tc>
          <w:tcPr>
            <w:tcW w:w="915" w:type="pct"/>
            <w:tcBorders>
              <w:bottom w:val="nil"/>
            </w:tcBorders>
            <w:vAlign w:val="center"/>
          </w:tcPr>
          <w:p w:rsidR="00B5695A" w:rsidRPr="00AF20AB" w:rsidRDefault="00B5695A" w:rsidP="00C85EC8">
            <w:pPr>
              <w:pStyle w:val="TableText0"/>
              <w:widowControl w:val="0"/>
            </w:pPr>
            <w:r w:rsidRPr="00AF20AB">
              <w:rPr>
                <w:i/>
                <w:iCs/>
              </w:rPr>
              <w:t>Lancet Oncol</w:t>
            </w:r>
            <w:r w:rsidRPr="00AF20AB">
              <w:t xml:space="preserve"> 2009; 10(3): 223-32.</w:t>
            </w:r>
          </w:p>
        </w:tc>
      </w:tr>
      <w:tr w:rsidR="00B5695A" w:rsidRPr="00AF20AB" w:rsidTr="00597925">
        <w:tc>
          <w:tcPr>
            <w:tcW w:w="796" w:type="pct"/>
            <w:tcBorders>
              <w:bottom w:val="nil"/>
            </w:tcBorders>
            <w:vAlign w:val="center"/>
          </w:tcPr>
          <w:p w:rsidR="00B5695A" w:rsidRPr="00AF20AB" w:rsidRDefault="00B5695A" w:rsidP="00C85EC8">
            <w:pPr>
              <w:pStyle w:val="TableText0"/>
              <w:widowControl w:val="0"/>
            </w:pPr>
            <w:r w:rsidRPr="00AF20AB">
              <w:t>Silverman 2002 (azacitidine vs. BSC)</w:t>
            </w:r>
          </w:p>
        </w:tc>
        <w:tc>
          <w:tcPr>
            <w:tcW w:w="3289" w:type="pct"/>
            <w:tcBorders>
              <w:bottom w:val="nil"/>
            </w:tcBorders>
            <w:vAlign w:val="center"/>
          </w:tcPr>
          <w:p w:rsidR="00B5695A" w:rsidRPr="00AF20AB" w:rsidRDefault="00B5695A" w:rsidP="00C85EC8">
            <w:pPr>
              <w:pStyle w:val="TableText0"/>
              <w:widowControl w:val="0"/>
            </w:pPr>
            <w:r w:rsidRPr="00AF20AB">
              <w:t>Silverman LR, Demakos EP, Peterson BL, Kornblith AB et al</w:t>
            </w:r>
            <w:r w:rsidR="00AF20AB">
              <w:t xml:space="preserve">. </w:t>
            </w:r>
            <w:r w:rsidRPr="00AF20AB">
              <w:t xml:space="preserve">Randomised controlled trial of azacitidine in patients with the myelodysplastic syndrome: a study of the cancer and leukaemia group B. </w:t>
            </w:r>
          </w:p>
        </w:tc>
        <w:tc>
          <w:tcPr>
            <w:tcW w:w="915" w:type="pct"/>
            <w:tcBorders>
              <w:bottom w:val="nil"/>
            </w:tcBorders>
            <w:vAlign w:val="center"/>
          </w:tcPr>
          <w:p w:rsidR="00B5695A" w:rsidRPr="00AF20AB" w:rsidRDefault="00B5695A" w:rsidP="00C85EC8">
            <w:pPr>
              <w:pStyle w:val="TableText0"/>
              <w:widowControl w:val="0"/>
            </w:pPr>
            <w:r w:rsidRPr="00AF20AB">
              <w:rPr>
                <w:i/>
                <w:iCs/>
              </w:rPr>
              <w:t>J Clin Oncol</w:t>
            </w:r>
            <w:r w:rsidRPr="00AF20AB">
              <w:t xml:space="preserve"> 2002; 20(10): 2429</w:t>
            </w:r>
            <w:r w:rsidRPr="00AF20AB">
              <w:rPr>
                <w:rFonts w:ascii="Cambria Math" w:hAnsi="Cambria Math" w:cs="Cambria Math"/>
              </w:rPr>
              <w:t>‐</w:t>
            </w:r>
            <w:r w:rsidRPr="00AF20AB">
              <w:t>40.</w:t>
            </w:r>
          </w:p>
        </w:tc>
      </w:tr>
      <w:tr w:rsidR="00B5695A" w:rsidRPr="00AF20AB" w:rsidTr="00D45D70">
        <w:tc>
          <w:tcPr>
            <w:tcW w:w="5000" w:type="pct"/>
            <w:gridSpan w:val="3"/>
            <w:tcBorders>
              <w:top w:val="single" w:sz="4" w:space="0" w:color="auto"/>
              <w:bottom w:val="single" w:sz="4" w:space="0" w:color="auto"/>
            </w:tcBorders>
            <w:vAlign w:val="center"/>
          </w:tcPr>
          <w:p w:rsidR="00B5695A" w:rsidRPr="00AF20AB" w:rsidRDefault="00B5695A" w:rsidP="00C85EC8">
            <w:pPr>
              <w:pStyle w:val="TableText0"/>
              <w:widowControl w:val="0"/>
              <w:rPr>
                <w:b/>
                <w:bCs w:val="0"/>
                <w:iCs/>
                <w:szCs w:val="18"/>
              </w:rPr>
            </w:pPr>
            <w:r w:rsidRPr="00AF20AB">
              <w:rPr>
                <w:b/>
                <w:bCs w:val="0"/>
                <w:iCs/>
                <w:szCs w:val="18"/>
              </w:rPr>
              <w:t>Decitabine+cedazuridine vs. IV decitabine</w:t>
            </w:r>
          </w:p>
        </w:tc>
      </w:tr>
      <w:tr w:rsidR="00B5695A" w:rsidRPr="00AF20AB" w:rsidTr="00597925">
        <w:tc>
          <w:tcPr>
            <w:tcW w:w="796" w:type="pct"/>
            <w:tcBorders>
              <w:top w:val="single" w:sz="4" w:space="0" w:color="auto"/>
              <w:bottom w:val="nil"/>
            </w:tcBorders>
            <w:vAlign w:val="bottom"/>
          </w:tcPr>
          <w:p w:rsidR="00B5695A" w:rsidRPr="00AF20AB" w:rsidRDefault="00B5695A" w:rsidP="00C85EC8">
            <w:pPr>
              <w:pStyle w:val="TableText0"/>
              <w:widowControl w:val="0"/>
            </w:pPr>
            <w:r w:rsidRPr="00AF20AB">
              <w:t>ASCERTAIN</w:t>
            </w:r>
          </w:p>
        </w:tc>
        <w:tc>
          <w:tcPr>
            <w:tcW w:w="3289" w:type="pct"/>
            <w:tcBorders>
              <w:top w:val="single" w:sz="4" w:space="0" w:color="auto"/>
              <w:bottom w:val="nil"/>
            </w:tcBorders>
            <w:vAlign w:val="center"/>
          </w:tcPr>
          <w:p w:rsidR="00B5695A" w:rsidRPr="00AF20AB" w:rsidRDefault="00B5695A" w:rsidP="00C85EC8">
            <w:pPr>
              <w:pStyle w:val="TableText0"/>
              <w:widowControl w:val="0"/>
              <w:rPr>
                <w:szCs w:val="18"/>
              </w:rPr>
            </w:pPr>
            <w:r w:rsidRPr="00AF20AB">
              <w:t xml:space="preserve">A Phase 3, Randomised, Open Label, Cross-over Study of ASTX727 (Cedazuridine and Decitabine Fixed-Dose Combination) versus IV Decitabine in Subjects with Myelodysplastic Syndromes (MDS) and Chronic Myelomonocytic Leukaemia (CMML), </w:t>
            </w:r>
          </w:p>
        </w:tc>
        <w:tc>
          <w:tcPr>
            <w:tcW w:w="915" w:type="pct"/>
            <w:tcBorders>
              <w:top w:val="single" w:sz="4" w:space="0" w:color="auto"/>
              <w:bottom w:val="nil"/>
            </w:tcBorders>
            <w:vAlign w:val="center"/>
          </w:tcPr>
          <w:p w:rsidR="00B5695A" w:rsidRPr="00AF20AB" w:rsidRDefault="00B5695A" w:rsidP="00C85EC8">
            <w:pPr>
              <w:pStyle w:val="TableText0"/>
              <w:widowControl w:val="0"/>
              <w:rPr>
                <w:iCs/>
                <w:szCs w:val="18"/>
              </w:rPr>
            </w:pPr>
            <w:r w:rsidRPr="00AF20AB">
              <w:t>September 2019</w:t>
            </w:r>
          </w:p>
        </w:tc>
      </w:tr>
      <w:tr w:rsidR="00B5695A" w:rsidRPr="00AF20AB" w:rsidTr="00597925">
        <w:tc>
          <w:tcPr>
            <w:tcW w:w="796" w:type="pct"/>
            <w:tcBorders>
              <w:top w:val="nil"/>
              <w:bottom w:val="single" w:sz="4" w:space="0" w:color="auto"/>
            </w:tcBorders>
            <w:vAlign w:val="center"/>
          </w:tcPr>
          <w:p w:rsidR="00B5695A" w:rsidRPr="00AF20AB" w:rsidRDefault="00B5695A" w:rsidP="00C85EC8">
            <w:pPr>
              <w:pStyle w:val="TableText0"/>
              <w:widowControl w:val="0"/>
            </w:pPr>
          </w:p>
        </w:tc>
        <w:tc>
          <w:tcPr>
            <w:tcW w:w="3289" w:type="pct"/>
            <w:tcBorders>
              <w:top w:val="nil"/>
              <w:bottom w:val="single" w:sz="4" w:space="0" w:color="auto"/>
            </w:tcBorders>
            <w:vAlign w:val="center"/>
          </w:tcPr>
          <w:p w:rsidR="00B5695A" w:rsidRPr="00AF20AB" w:rsidRDefault="00B5695A" w:rsidP="00C85EC8">
            <w:pPr>
              <w:pStyle w:val="TableText0"/>
              <w:widowControl w:val="0"/>
              <w:rPr>
                <w:szCs w:val="18"/>
              </w:rPr>
            </w:pPr>
            <w:r w:rsidRPr="00AF20AB">
              <w:t xml:space="preserve">Garcia-Manero G, McCloskey J, Griffiths EA, Yee KWL, Zeidan AM, Al-Kali A, et al. Pharmacokinetic exposure equivalence and preliminary efficacy and safety from a randomised cross-over phase 3 study (ASCERTAIN study) of an oral hypomethylating agent ASTX727 (cedazuridine/decitabine) compared to IV decitabine. </w:t>
            </w:r>
          </w:p>
        </w:tc>
        <w:tc>
          <w:tcPr>
            <w:tcW w:w="915" w:type="pct"/>
            <w:tcBorders>
              <w:top w:val="nil"/>
              <w:bottom w:val="single" w:sz="4" w:space="0" w:color="auto"/>
            </w:tcBorders>
            <w:vAlign w:val="center"/>
          </w:tcPr>
          <w:p w:rsidR="00B5695A" w:rsidRPr="00AF20AB" w:rsidRDefault="00B5695A" w:rsidP="00C85EC8">
            <w:pPr>
              <w:pStyle w:val="TableText0"/>
              <w:widowControl w:val="0"/>
              <w:rPr>
                <w:iCs/>
                <w:szCs w:val="18"/>
              </w:rPr>
            </w:pPr>
            <w:r w:rsidRPr="00AF20AB">
              <w:rPr>
                <w:i/>
                <w:iCs/>
              </w:rPr>
              <w:t>Blood</w:t>
            </w:r>
            <w:r w:rsidRPr="00AF20AB">
              <w:t xml:space="preserve"> 2019; 134.</w:t>
            </w:r>
          </w:p>
        </w:tc>
      </w:tr>
      <w:tr w:rsidR="00B5695A" w:rsidRPr="00AF20AB" w:rsidTr="00597925">
        <w:tc>
          <w:tcPr>
            <w:tcW w:w="796" w:type="pct"/>
            <w:tcBorders>
              <w:top w:val="single" w:sz="4" w:space="0" w:color="auto"/>
              <w:bottom w:val="nil"/>
            </w:tcBorders>
            <w:vAlign w:val="center"/>
          </w:tcPr>
          <w:p w:rsidR="00B5695A" w:rsidRPr="00AF20AB" w:rsidRDefault="00B5695A" w:rsidP="00C85EC8">
            <w:pPr>
              <w:pStyle w:val="TableText0"/>
              <w:widowControl w:val="0"/>
            </w:pPr>
          </w:p>
        </w:tc>
        <w:tc>
          <w:tcPr>
            <w:tcW w:w="3289" w:type="pct"/>
            <w:tcBorders>
              <w:top w:val="single" w:sz="4" w:space="0" w:color="auto"/>
              <w:bottom w:val="nil"/>
            </w:tcBorders>
            <w:vAlign w:val="center"/>
          </w:tcPr>
          <w:p w:rsidR="00B5695A" w:rsidRPr="00AF20AB" w:rsidRDefault="00B5695A" w:rsidP="00C85EC8">
            <w:pPr>
              <w:pStyle w:val="TableText0"/>
              <w:widowControl w:val="0"/>
              <w:rPr>
                <w:szCs w:val="18"/>
              </w:rPr>
            </w:pPr>
            <w:r w:rsidRPr="00AF20AB">
              <w:t xml:space="preserve">A Phase 1-2 Pharmacokinetic Guided Dose-Escalation and Dose-Confirmation Study of ASTX727, a Combination of the Oral Cytidine Deaminase Inhibitor (CDAi) E7727 with Oral Decitabine in Subjects with Myelodysplastic Syndromes (MDS), </w:t>
            </w:r>
          </w:p>
        </w:tc>
        <w:tc>
          <w:tcPr>
            <w:tcW w:w="915" w:type="pct"/>
            <w:tcBorders>
              <w:top w:val="single" w:sz="4" w:space="0" w:color="auto"/>
              <w:bottom w:val="nil"/>
            </w:tcBorders>
            <w:vAlign w:val="center"/>
          </w:tcPr>
          <w:p w:rsidR="00B5695A" w:rsidRPr="00AF20AB" w:rsidRDefault="00B5695A" w:rsidP="00C85EC8">
            <w:pPr>
              <w:pStyle w:val="TableText0"/>
              <w:widowControl w:val="0"/>
              <w:rPr>
                <w:iCs/>
                <w:szCs w:val="18"/>
              </w:rPr>
            </w:pPr>
            <w:r w:rsidRPr="00AF20AB">
              <w:t>March 2019</w:t>
            </w:r>
          </w:p>
        </w:tc>
      </w:tr>
      <w:tr w:rsidR="00B5695A" w:rsidRPr="00AF20AB" w:rsidTr="00597925">
        <w:tc>
          <w:tcPr>
            <w:tcW w:w="796" w:type="pct"/>
            <w:tcBorders>
              <w:top w:val="nil"/>
              <w:bottom w:val="nil"/>
            </w:tcBorders>
            <w:vAlign w:val="center"/>
          </w:tcPr>
          <w:p w:rsidR="00B5695A" w:rsidRPr="00AF20AB" w:rsidRDefault="00B5695A" w:rsidP="00C85EC8">
            <w:pPr>
              <w:pStyle w:val="TableText0"/>
              <w:widowControl w:val="0"/>
            </w:pPr>
            <w:r w:rsidRPr="00AF20AB">
              <w:t>ASTX727-01-B</w:t>
            </w:r>
          </w:p>
        </w:tc>
        <w:tc>
          <w:tcPr>
            <w:tcW w:w="3289" w:type="pct"/>
            <w:tcBorders>
              <w:top w:val="nil"/>
              <w:bottom w:val="nil"/>
            </w:tcBorders>
            <w:vAlign w:val="center"/>
          </w:tcPr>
          <w:p w:rsidR="00B5695A" w:rsidRPr="00AF20AB" w:rsidRDefault="00B5695A" w:rsidP="00C85EC8">
            <w:pPr>
              <w:pStyle w:val="TableText0"/>
              <w:widowControl w:val="0"/>
              <w:rPr>
                <w:szCs w:val="18"/>
              </w:rPr>
            </w:pPr>
            <w:r w:rsidRPr="00AF20AB">
              <w:t xml:space="preserve">Garcia-Manero G, Griffiths EA, Steensma DP, Roboz GJ, Wells R, McCloskey J, et al. Oral cedazuridine/decitabine for MDS and CMML: a phase 2 pharmacokinetic/pharmacodynamic randomised cross-over study. </w:t>
            </w:r>
          </w:p>
        </w:tc>
        <w:tc>
          <w:tcPr>
            <w:tcW w:w="915" w:type="pct"/>
            <w:tcBorders>
              <w:top w:val="nil"/>
              <w:bottom w:val="nil"/>
            </w:tcBorders>
            <w:vAlign w:val="center"/>
          </w:tcPr>
          <w:p w:rsidR="00B5695A" w:rsidRPr="00AF20AB" w:rsidRDefault="00B5695A" w:rsidP="00C85EC8">
            <w:pPr>
              <w:pStyle w:val="TableText0"/>
              <w:widowControl w:val="0"/>
              <w:rPr>
                <w:i/>
                <w:szCs w:val="18"/>
              </w:rPr>
            </w:pPr>
            <w:r w:rsidRPr="00AF20AB">
              <w:rPr>
                <w:i/>
                <w:iCs/>
              </w:rPr>
              <w:t>Blood</w:t>
            </w:r>
            <w:r w:rsidRPr="00AF20AB">
              <w:t xml:space="preserve"> 2020; 136(6): 674-83.</w:t>
            </w:r>
          </w:p>
        </w:tc>
      </w:tr>
      <w:tr w:rsidR="00B5695A" w:rsidRPr="00AF20AB" w:rsidTr="00597925">
        <w:tc>
          <w:tcPr>
            <w:tcW w:w="796" w:type="pct"/>
            <w:tcBorders>
              <w:top w:val="nil"/>
              <w:bottom w:val="single" w:sz="4" w:space="0" w:color="auto"/>
            </w:tcBorders>
            <w:vAlign w:val="center"/>
          </w:tcPr>
          <w:p w:rsidR="00B5695A" w:rsidRPr="00AF20AB" w:rsidRDefault="00B5695A" w:rsidP="00C85EC8">
            <w:pPr>
              <w:pStyle w:val="TableText0"/>
              <w:widowControl w:val="0"/>
            </w:pPr>
          </w:p>
        </w:tc>
        <w:tc>
          <w:tcPr>
            <w:tcW w:w="3289" w:type="pct"/>
            <w:tcBorders>
              <w:top w:val="nil"/>
              <w:bottom w:val="single" w:sz="4" w:space="0" w:color="auto"/>
            </w:tcBorders>
            <w:vAlign w:val="center"/>
          </w:tcPr>
          <w:p w:rsidR="00B5695A" w:rsidRPr="00AF20AB" w:rsidRDefault="00B5695A" w:rsidP="00C85EC8">
            <w:pPr>
              <w:pStyle w:val="TableText0"/>
              <w:widowControl w:val="0"/>
              <w:rPr>
                <w:szCs w:val="18"/>
              </w:rPr>
            </w:pPr>
            <w:r w:rsidRPr="00AF20AB">
              <w:t xml:space="preserve">Garcia-Manero G, Griffiths EA, Roboz GJ, Busque L, Wells RA, Odenike O, et al. A phase 2 dose-confirmation study of oral ASTX727, a combination of oral decitabine with a cytidine deaminase inhibitor (CDAI) cedazuridine (E7727), in subjects with myelodysplastic syndromes (MDS). </w:t>
            </w:r>
          </w:p>
        </w:tc>
        <w:tc>
          <w:tcPr>
            <w:tcW w:w="915" w:type="pct"/>
            <w:tcBorders>
              <w:top w:val="nil"/>
              <w:bottom w:val="single" w:sz="4" w:space="0" w:color="auto"/>
            </w:tcBorders>
            <w:vAlign w:val="center"/>
          </w:tcPr>
          <w:p w:rsidR="00B5695A" w:rsidRPr="00AF20AB" w:rsidRDefault="00B5695A" w:rsidP="00C85EC8">
            <w:pPr>
              <w:pStyle w:val="TableText0"/>
              <w:widowControl w:val="0"/>
              <w:rPr>
                <w:iCs/>
                <w:szCs w:val="18"/>
              </w:rPr>
            </w:pPr>
            <w:r w:rsidRPr="00AF20AB">
              <w:rPr>
                <w:i/>
                <w:iCs/>
              </w:rPr>
              <w:t>Blood</w:t>
            </w:r>
            <w:r w:rsidRPr="00AF20AB">
              <w:t xml:space="preserve"> 2017; 130.</w:t>
            </w:r>
          </w:p>
        </w:tc>
      </w:tr>
    </w:tbl>
    <w:p w:rsidR="00B5695A" w:rsidRPr="00AF20AB" w:rsidRDefault="00B5695A" w:rsidP="00B5695A">
      <w:pPr>
        <w:pStyle w:val="TableFigureFooter"/>
      </w:pPr>
      <w:r w:rsidRPr="00AF20AB">
        <w:t>Source: Table 2.4, p59-61 of the submission.</w:t>
      </w:r>
    </w:p>
    <w:p w:rsidR="008E0D3C" w:rsidRPr="00AF20AB" w:rsidRDefault="00B5695A" w:rsidP="00B5695A">
      <w:pPr>
        <w:pStyle w:val="TableFigureFooter"/>
        <w:rPr>
          <w:sz w:val="20"/>
        </w:rPr>
      </w:pPr>
      <w:r w:rsidRPr="00AF20AB">
        <w:t>BSC=best supportive care; IV=intravenous</w:t>
      </w:r>
    </w:p>
    <w:p w:rsidR="007F1017" w:rsidRPr="00AF20AB" w:rsidRDefault="008F120A" w:rsidP="00EC5836">
      <w:pPr>
        <w:pStyle w:val="3-BodyText"/>
      </w:pPr>
      <w:r w:rsidRPr="00AF20AB">
        <w:t>The key features of the randomised trials</w:t>
      </w:r>
      <w:r w:rsidR="00B5695A" w:rsidRPr="00AF20AB">
        <w:t xml:space="preserve"> </w:t>
      </w:r>
      <w:r w:rsidRPr="00AF20AB">
        <w:t>are summarised in the table below.</w:t>
      </w:r>
      <w:r w:rsidR="00BC591F" w:rsidRPr="00AF20AB">
        <w:t xml:space="preserve"> </w:t>
      </w:r>
    </w:p>
    <w:p w:rsidR="007F1017" w:rsidRPr="00AF20AB" w:rsidRDefault="007F1017" w:rsidP="00EC5836">
      <w:pPr>
        <w:pStyle w:val="TableFigureHeading"/>
        <w:rPr>
          <w:rStyle w:val="CommentReference"/>
          <w:b/>
          <w:szCs w:val="24"/>
        </w:rPr>
      </w:pPr>
      <w:r w:rsidRPr="00AF20AB">
        <w:rPr>
          <w:rStyle w:val="CommentReference"/>
          <w:b/>
          <w:szCs w:val="24"/>
        </w:rPr>
        <w:t xml:space="preserve">Table </w:t>
      </w:r>
      <w:r w:rsidR="00CF1BE4" w:rsidRPr="00AF20AB">
        <w:rPr>
          <w:rStyle w:val="CommentReference"/>
          <w:b/>
          <w:szCs w:val="24"/>
        </w:rPr>
        <w:t>4</w:t>
      </w:r>
      <w:r w:rsidRPr="00AF20AB">
        <w:rPr>
          <w:rStyle w:val="CommentReference"/>
          <w:b/>
          <w:szCs w:val="24"/>
        </w:rPr>
        <w:t>: Key features of the included evidence</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2"/>
        <w:gridCol w:w="1270"/>
        <w:gridCol w:w="990"/>
        <w:gridCol w:w="1111"/>
        <w:gridCol w:w="2845"/>
        <w:gridCol w:w="1426"/>
      </w:tblGrid>
      <w:tr w:rsidR="003F5404" w:rsidRPr="00AF20AB" w:rsidTr="00D45D70">
        <w:trPr>
          <w:cantSplit/>
          <w:tblHeader/>
        </w:trPr>
        <w:tc>
          <w:tcPr>
            <w:tcW w:w="723" w:type="pct"/>
            <w:shd w:val="clear" w:color="auto" w:fill="auto"/>
            <w:vAlign w:val="center"/>
          </w:tcPr>
          <w:p w:rsidR="003F5404" w:rsidRPr="00AF20AB" w:rsidRDefault="003F5404" w:rsidP="00C85EC8">
            <w:pPr>
              <w:pStyle w:val="In-tableHeading"/>
              <w:widowControl w:val="0"/>
              <w:rPr>
                <w:lang w:val="en-AU"/>
              </w:rPr>
            </w:pPr>
            <w:r w:rsidRPr="00AF20AB">
              <w:rPr>
                <w:lang w:val="en-AU"/>
              </w:rPr>
              <w:t>Trial</w:t>
            </w:r>
          </w:p>
        </w:tc>
        <w:tc>
          <w:tcPr>
            <w:tcW w:w="711" w:type="pct"/>
            <w:shd w:val="clear" w:color="auto" w:fill="auto"/>
            <w:vAlign w:val="center"/>
          </w:tcPr>
          <w:p w:rsidR="003F5404" w:rsidRPr="00AF20AB" w:rsidRDefault="003F5404" w:rsidP="00C85EC8">
            <w:pPr>
              <w:pStyle w:val="In-tableHeading"/>
              <w:widowControl w:val="0"/>
              <w:jc w:val="center"/>
              <w:rPr>
                <w:lang w:val="en-AU"/>
              </w:rPr>
            </w:pPr>
            <w:r w:rsidRPr="00AF20AB">
              <w:rPr>
                <w:lang w:val="en-AU"/>
              </w:rPr>
              <w:t>N</w:t>
            </w:r>
          </w:p>
        </w:tc>
        <w:tc>
          <w:tcPr>
            <w:tcW w:w="554" w:type="pct"/>
            <w:shd w:val="clear" w:color="auto" w:fill="auto"/>
            <w:vAlign w:val="center"/>
          </w:tcPr>
          <w:p w:rsidR="003F5404" w:rsidRPr="00AF20AB" w:rsidRDefault="003F5404" w:rsidP="00C85EC8">
            <w:pPr>
              <w:pStyle w:val="In-tableHeading"/>
              <w:widowControl w:val="0"/>
              <w:jc w:val="center"/>
              <w:rPr>
                <w:lang w:val="en-AU"/>
              </w:rPr>
            </w:pPr>
            <w:r w:rsidRPr="00AF20AB">
              <w:rPr>
                <w:lang w:val="en-AU"/>
              </w:rPr>
              <w:t>Design</w:t>
            </w:r>
          </w:p>
        </w:tc>
        <w:tc>
          <w:tcPr>
            <w:tcW w:w="622" w:type="pct"/>
            <w:shd w:val="clear" w:color="auto" w:fill="auto"/>
            <w:vAlign w:val="center"/>
          </w:tcPr>
          <w:p w:rsidR="003F5404" w:rsidRPr="00AF20AB" w:rsidRDefault="003F5404" w:rsidP="00C85EC8">
            <w:pPr>
              <w:pStyle w:val="In-tableHeading"/>
              <w:widowControl w:val="0"/>
              <w:jc w:val="center"/>
              <w:rPr>
                <w:lang w:val="en-AU"/>
              </w:rPr>
            </w:pPr>
            <w:r w:rsidRPr="00AF20AB">
              <w:rPr>
                <w:lang w:val="en-AU"/>
              </w:rPr>
              <w:t>Risk of bias</w:t>
            </w:r>
          </w:p>
        </w:tc>
        <w:tc>
          <w:tcPr>
            <w:tcW w:w="1592" w:type="pct"/>
            <w:shd w:val="clear" w:color="auto" w:fill="auto"/>
            <w:vAlign w:val="center"/>
          </w:tcPr>
          <w:p w:rsidR="003F5404" w:rsidRPr="00AF20AB" w:rsidRDefault="003F5404" w:rsidP="00C85EC8">
            <w:pPr>
              <w:pStyle w:val="In-tableHeading"/>
              <w:widowControl w:val="0"/>
              <w:jc w:val="center"/>
              <w:rPr>
                <w:lang w:val="en-AU"/>
              </w:rPr>
            </w:pPr>
            <w:r w:rsidRPr="00AF20AB">
              <w:rPr>
                <w:lang w:val="en-AU"/>
              </w:rPr>
              <w:t>Patient population</w:t>
            </w:r>
          </w:p>
        </w:tc>
        <w:tc>
          <w:tcPr>
            <w:tcW w:w="798" w:type="pct"/>
            <w:shd w:val="clear" w:color="auto" w:fill="auto"/>
            <w:vAlign w:val="center"/>
          </w:tcPr>
          <w:p w:rsidR="003F5404" w:rsidRPr="00AF20AB" w:rsidRDefault="003F5404" w:rsidP="00C85EC8">
            <w:pPr>
              <w:pStyle w:val="In-tableHeading"/>
              <w:widowControl w:val="0"/>
              <w:jc w:val="center"/>
              <w:rPr>
                <w:lang w:val="en-AU"/>
              </w:rPr>
            </w:pPr>
            <w:r w:rsidRPr="00AF20AB">
              <w:rPr>
                <w:lang w:val="en-AU"/>
              </w:rPr>
              <w:t>Outcomes</w:t>
            </w:r>
          </w:p>
        </w:tc>
      </w:tr>
      <w:tr w:rsidR="003F5404" w:rsidRPr="00AF20AB" w:rsidTr="00D45D70">
        <w:trPr>
          <w:cantSplit/>
        </w:trPr>
        <w:tc>
          <w:tcPr>
            <w:tcW w:w="5000" w:type="pct"/>
            <w:gridSpan w:val="6"/>
            <w:shd w:val="clear" w:color="auto" w:fill="auto"/>
            <w:vAlign w:val="center"/>
          </w:tcPr>
          <w:p w:rsidR="003F5404" w:rsidRPr="00AF20AB" w:rsidRDefault="003F5404" w:rsidP="00C85EC8">
            <w:pPr>
              <w:pStyle w:val="TableText0"/>
              <w:widowControl w:val="0"/>
              <w:rPr>
                <w:b/>
                <w:bCs w:val="0"/>
              </w:rPr>
            </w:pPr>
            <w:r w:rsidRPr="00AF20AB">
              <w:rPr>
                <w:b/>
                <w:bCs w:val="0"/>
              </w:rPr>
              <w:t>Decitabine IV vs. BSC</w:t>
            </w:r>
          </w:p>
        </w:tc>
      </w:tr>
      <w:tr w:rsidR="003F5404" w:rsidRPr="00AF20AB" w:rsidTr="00D45D70">
        <w:trPr>
          <w:cantSplit/>
        </w:trPr>
        <w:tc>
          <w:tcPr>
            <w:tcW w:w="723" w:type="pct"/>
            <w:shd w:val="clear" w:color="auto" w:fill="auto"/>
            <w:vAlign w:val="center"/>
          </w:tcPr>
          <w:p w:rsidR="003F5404" w:rsidRPr="00AF20AB" w:rsidRDefault="003F5404" w:rsidP="00C85EC8">
            <w:pPr>
              <w:pStyle w:val="TableText0"/>
              <w:widowControl w:val="0"/>
            </w:pPr>
            <w:r w:rsidRPr="00AF20AB">
              <w:t>Kantarj</w:t>
            </w:r>
            <w:r w:rsidR="00C044E5" w:rsidRPr="00AF20AB">
              <w:t>i</w:t>
            </w:r>
            <w:r w:rsidRPr="00AF20AB">
              <w:t>an 2006</w:t>
            </w:r>
          </w:p>
        </w:tc>
        <w:tc>
          <w:tcPr>
            <w:tcW w:w="711" w:type="pct"/>
            <w:shd w:val="clear" w:color="auto" w:fill="auto"/>
            <w:vAlign w:val="center"/>
          </w:tcPr>
          <w:p w:rsidR="003F5404" w:rsidRPr="00AF20AB" w:rsidRDefault="003F5404" w:rsidP="00C85EC8">
            <w:pPr>
              <w:pStyle w:val="TableText0"/>
              <w:widowControl w:val="0"/>
            </w:pPr>
            <w:r w:rsidRPr="00AF20AB">
              <w:t>Dec: 89</w:t>
            </w:r>
          </w:p>
          <w:p w:rsidR="003F5404" w:rsidRPr="00AF20AB" w:rsidRDefault="003F5404" w:rsidP="00C85EC8">
            <w:pPr>
              <w:pStyle w:val="TableText0"/>
              <w:widowControl w:val="0"/>
            </w:pPr>
            <w:r w:rsidRPr="00AF20AB">
              <w:t>BSC: 81</w:t>
            </w:r>
          </w:p>
          <w:p w:rsidR="003F5404" w:rsidRPr="00AF20AB" w:rsidRDefault="003F5404" w:rsidP="00C85EC8">
            <w:pPr>
              <w:pStyle w:val="TableText0"/>
              <w:widowControl w:val="0"/>
            </w:pPr>
            <w:r w:rsidRPr="00AF20AB">
              <w:t>Total: 170</w:t>
            </w:r>
          </w:p>
        </w:tc>
        <w:tc>
          <w:tcPr>
            <w:tcW w:w="554" w:type="pct"/>
            <w:shd w:val="clear" w:color="auto" w:fill="auto"/>
            <w:vAlign w:val="center"/>
          </w:tcPr>
          <w:p w:rsidR="003F5404" w:rsidRPr="00AF20AB" w:rsidRDefault="003F5404" w:rsidP="00C85EC8">
            <w:pPr>
              <w:pStyle w:val="TableText0"/>
              <w:widowControl w:val="0"/>
            </w:pPr>
            <w:r w:rsidRPr="00AF20AB">
              <w:t>R, OL, MC</w:t>
            </w:r>
          </w:p>
        </w:tc>
        <w:tc>
          <w:tcPr>
            <w:tcW w:w="622" w:type="pct"/>
            <w:shd w:val="clear" w:color="auto" w:fill="auto"/>
            <w:vAlign w:val="center"/>
          </w:tcPr>
          <w:p w:rsidR="003F5404" w:rsidRPr="00AF20AB" w:rsidRDefault="003F5404" w:rsidP="00C85EC8">
            <w:pPr>
              <w:pStyle w:val="TableText0"/>
              <w:widowControl w:val="0"/>
              <w:jc w:val="center"/>
            </w:pPr>
            <w:r w:rsidRPr="00AF20AB">
              <w:t>High</w:t>
            </w:r>
          </w:p>
        </w:tc>
        <w:tc>
          <w:tcPr>
            <w:tcW w:w="1592" w:type="pct"/>
            <w:shd w:val="clear" w:color="auto" w:fill="auto"/>
            <w:vAlign w:val="center"/>
          </w:tcPr>
          <w:p w:rsidR="003F5404" w:rsidRPr="00AF20AB" w:rsidRDefault="003F5404" w:rsidP="00C85EC8">
            <w:pPr>
              <w:pStyle w:val="TableText0"/>
              <w:widowControl w:val="0"/>
            </w:pPr>
            <w:r w:rsidRPr="00AF20AB">
              <w:t>FAB-based MDS; IPSS ≥intermediate-1</w:t>
            </w:r>
          </w:p>
        </w:tc>
        <w:tc>
          <w:tcPr>
            <w:tcW w:w="798" w:type="pct"/>
            <w:shd w:val="clear" w:color="auto" w:fill="auto"/>
            <w:vAlign w:val="center"/>
          </w:tcPr>
          <w:p w:rsidR="003F5404" w:rsidRPr="00AF20AB" w:rsidRDefault="003F5404" w:rsidP="00C85EC8">
            <w:pPr>
              <w:pStyle w:val="TableText0"/>
              <w:widowControl w:val="0"/>
            </w:pPr>
            <w:r w:rsidRPr="00AF20AB">
              <w:t>ORR, time to AML transformation or death</w:t>
            </w:r>
          </w:p>
        </w:tc>
      </w:tr>
      <w:tr w:rsidR="003F5404" w:rsidRPr="00AF20AB" w:rsidTr="00D45D70">
        <w:trPr>
          <w:cantSplit/>
        </w:trPr>
        <w:tc>
          <w:tcPr>
            <w:tcW w:w="723" w:type="pct"/>
            <w:shd w:val="clear" w:color="auto" w:fill="auto"/>
            <w:vAlign w:val="center"/>
          </w:tcPr>
          <w:p w:rsidR="003F5404" w:rsidRPr="00AF20AB" w:rsidRDefault="003F5404" w:rsidP="00C85EC8">
            <w:pPr>
              <w:pStyle w:val="TableText0"/>
              <w:widowControl w:val="0"/>
            </w:pPr>
            <w:r w:rsidRPr="00AF20AB">
              <w:t>Lubbert 2011</w:t>
            </w:r>
          </w:p>
        </w:tc>
        <w:tc>
          <w:tcPr>
            <w:tcW w:w="711" w:type="pct"/>
            <w:shd w:val="clear" w:color="auto" w:fill="auto"/>
            <w:vAlign w:val="center"/>
          </w:tcPr>
          <w:p w:rsidR="003F5404" w:rsidRPr="00AF20AB" w:rsidRDefault="003F5404" w:rsidP="00C85EC8">
            <w:pPr>
              <w:pStyle w:val="TableText0"/>
              <w:widowControl w:val="0"/>
            </w:pPr>
            <w:r w:rsidRPr="00AF20AB">
              <w:t>Dec: 99</w:t>
            </w:r>
          </w:p>
          <w:p w:rsidR="003F5404" w:rsidRPr="00AF20AB" w:rsidRDefault="003F5404" w:rsidP="00C85EC8">
            <w:pPr>
              <w:pStyle w:val="TableText0"/>
              <w:widowControl w:val="0"/>
            </w:pPr>
            <w:r w:rsidRPr="00AF20AB">
              <w:t>BSC: 114</w:t>
            </w:r>
          </w:p>
          <w:p w:rsidR="003F5404" w:rsidRPr="00AF20AB" w:rsidRDefault="003F5404" w:rsidP="00C85EC8">
            <w:pPr>
              <w:pStyle w:val="TableText0"/>
              <w:widowControl w:val="0"/>
            </w:pPr>
            <w:r w:rsidRPr="00AF20AB">
              <w:t>Total: 233</w:t>
            </w:r>
          </w:p>
        </w:tc>
        <w:tc>
          <w:tcPr>
            <w:tcW w:w="554" w:type="pct"/>
            <w:shd w:val="clear" w:color="auto" w:fill="auto"/>
            <w:vAlign w:val="center"/>
          </w:tcPr>
          <w:p w:rsidR="003F5404" w:rsidRPr="00AF20AB" w:rsidRDefault="003F5404" w:rsidP="00C85EC8">
            <w:pPr>
              <w:pStyle w:val="TableText0"/>
              <w:widowControl w:val="0"/>
            </w:pPr>
            <w:r w:rsidRPr="00AF20AB">
              <w:t>R, OL, MC</w:t>
            </w:r>
          </w:p>
        </w:tc>
        <w:tc>
          <w:tcPr>
            <w:tcW w:w="622" w:type="pct"/>
            <w:shd w:val="clear" w:color="auto" w:fill="auto"/>
            <w:vAlign w:val="center"/>
          </w:tcPr>
          <w:p w:rsidR="003F5404" w:rsidRPr="00AF20AB" w:rsidRDefault="003F5404" w:rsidP="00C85EC8">
            <w:pPr>
              <w:pStyle w:val="TableText0"/>
              <w:widowControl w:val="0"/>
              <w:jc w:val="center"/>
            </w:pPr>
            <w:r w:rsidRPr="00AF20AB">
              <w:t>High</w:t>
            </w:r>
          </w:p>
        </w:tc>
        <w:tc>
          <w:tcPr>
            <w:tcW w:w="1592" w:type="pct"/>
            <w:shd w:val="clear" w:color="auto" w:fill="auto"/>
            <w:vAlign w:val="center"/>
          </w:tcPr>
          <w:p w:rsidR="003F5404" w:rsidRPr="00AF20AB" w:rsidRDefault="003F5404" w:rsidP="00C85EC8">
            <w:pPr>
              <w:pStyle w:val="TableText0"/>
              <w:widowControl w:val="0"/>
            </w:pPr>
            <w:r w:rsidRPr="00AF20AB">
              <w:t xml:space="preserve">FAB or WHO-based MDS; IPSS ≥intermediate-1; bone marrow blasts 11% to 30% or ≤10% and poor cytogenetics </w:t>
            </w:r>
          </w:p>
        </w:tc>
        <w:tc>
          <w:tcPr>
            <w:tcW w:w="798" w:type="pct"/>
            <w:shd w:val="clear" w:color="auto" w:fill="auto"/>
            <w:vAlign w:val="center"/>
          </w:tcPr>
          <w:p w:rsidR="003F5404" w:rsidRPr="00AF20AB" w:rsidRDefault="003F5404" w:rsidP="00C85EC8">
            <w:pPr>
              <w:pStyle w:val="TableText0"/>
              <w:widowControl w:val="0"/>
            </w:pPr>
            <w:r w:rsidRPr="00AF20AB">
              <w:t>OS</w:t>
            </w:r>
          </w:p>
        </w:tc>
      </w:tr>
      <w:tr w:rsidR="003F5404" w:rsidRPr="00AF20AB" w:rsidTr="00D45D70">
        <w:trPr>
          <w:cantSplit/>
        </w:trPr>
        <w:tc>
          <w:tcPr>
            <w:tcW w:w="5000" w:type="pct"/>
            <w:gridSpan w:val="6"/>
            <w:shd w:val="clear" w:color="auto" w:fill="auto"/>
            <w:vAlign w:val="center"/>
          </w:tcPr>
          <w:p w:rsidR="003F5404" w:rsidRPr="00AF20AB" w:rsidRDefault="003F5404" w:rsidP="00C85EC8">
            <w:pPr>
              <w:pStyle w:val="TableText0"/>
              <w:widowControl w:val="0"/>
              <w:rPr>
                <w:b/>
                <w:bCs w:val="0"/>
              </w:rPr>
            </w:pPr>
            <w:r w:rsidRPr="00AF20AB">
              <w:rPr>
                <w:b/>
                <w:bCs w:val="0"/>
              </w:rPr>
              <w:t>Azacitidine vs. BSC</w:t>
            </w:r>
          </w:p>
        </w:tc>
      </w:tr>
      <w:tr w:rsidR="003F5404" w:rsidRPr="00AF20AB" w:rsidTr="00D45D70">
        <w:trPr>
          <w:cantSplit/>
        </w:trPr>
        <w:tc>
          <w:tcPr>
            <w:tcW w:w="723" w:type="pct"/>
            <w:shd w:val="clear" w:color="auto" w:fill="auto"/>
            <w:vAlign w:val="center"/>
          </w:tcPr>
          <w:p w:rsidR="003F5404" w:rsidRPr="00AF20AB" w:rsidRDefault="003F5404" w:rsidP="00C85EC8">
            <w:pPr>
              <w:pStyle w:val="TableText0"/>
              <w:widowControl w:val="0"/>
            </w:pPr>
            <w:r w:rsidRPr="00AF20AB">
              <w:t>Fenaux 2009</w:t>
            </w:r>
          </w:p>
        </w:tc>
        <w:tc>
          <w:tcPr>
            <w:tcW w:w="711" w:type="pct"/>
            <w:shd w:val="clear" w:color="auto" w:fill="auto"/>
            <w:vAlign w:val="center"/>
          </w:tcPr>
          <w:p w:rsidR="003F5404" w:rsidRPr="00AF20AB" w:rsidRDefault="003F5404" w:rsidP="00C85EC8">
            <w:pPr>
              <w:pStyle w:val="TableText0"/>
              <w:widowControl w:val="0"/>
            </w:pPr>
            <w:r w:rsidRPr="00AF20AB">
              <w:t>Aza: 117</w:t>
            </w:r>
          </w:p>
          <w:p w:rsidR="003F5404" w:rsidRPr="00AF20AB" w:rsidRDefault="003F5404" w:rsidP="00C85EC8">
            <w:pPr>
              <w:pStyle w:val="TableText0"/>
              <w:widowControl w:val="0"/>
            </w:pPr>
            <w:r w:rsidRPr="00AF20AB">
              <w:t>BSC: 105</w:t>
            </w:r>
          </w:p>
          <w:p w:rsidR="003F5404" w:rsidRPr="00AF20AB" w:rsidRDefault="003F5404" w:rsidP="00C85EC8">
            <w:pPr>
              <w:pStyle w:val="TableText0"/>
              <w:widowControl w:val="0"/>
            </w:pPr>
            <w:r w:rsidRPr="00AF20AB">
              <w:t>Total: 222</w:t>
            </w:r>
          </w:p>
        </w:tc>
        <w:tc>
          <w:tcPr>
            <w:tcW w:w="554" w:type="pct"/>
            <w:shd w:val="clear" w:color="auto" w:fill="auto"/>
            <w:vAlign w:val="center"/>
          </w:tcPr>
          <w:p w:rsidR="003F5404" w:rsidRPr="00AF20AB" w:rsidRDefault="003F5404" w:rsidP="00C85EC8">
            <w:pPr>
              <w:pStyle w:val="TableText0"/>
              <w:widowControl w:val="0"/>
            </w:pPr>
            <w:r w:rsidRPr="00AF20AB">
              <w:t>R, OL, MC</w:t>
            </w:r>
          </w:p>
        </w:tc>
        <w:tc>
          <w:tcPr>
            <w:tcW w:w="622" w:type="pct"/>
            <w:shd w:val="clear" w:color="auto" w:fill="auto"/>
            <w:vAlign w:val="center"/>
          </w:tcPr>
          <w:p w:rsidR="003F5404" w:rsidRPr="00AF20AB" w:rsidRDefault="003F5404" w:rsidP="00C85EC8">
            <w:pPr>
              <w:pStyle w:val="TableText0"/>
              <w:widowControl w:val="0"/>
              <w:jc w:val="center"/>
            </w:pPr>
            <w:r w:rsidRPr="00AF20AB">
              <w:t>High</w:t>
            </w:r>
          </w:p>
        </w:tc>
        <w:tc>
          <w:tcPr>
            <w:tcW w:w="1592" w:type="pct"/>
            <w:shd w:val="clear" w:color="auto" w:fill="auto"/>
            <w:vAlign w:val="center"/>
          </w:tcPr>
          <w:p w:rsidR="003F5404" w:rsidRPr="00AF20AB" w:rsidRDefault="003F5404" w:rsidP="00C85EC8">
            <w:pPr>
              <w:pStyle w:val="TableText0"/>
              <w:widowControl w:val="0"/>
            </w:pPr>
            <w:r w:rsidRPr="00AF20AB">
              <w:t>MDS with IPSS intermediate-2 or high risk and FAB-based RAEB or RAEB-t, or CMML with at least 10% bone marrow blasts; ECOG 0-2</w:t>
            </w:r>
          </w:p>
        </w:tc>
        <w:tc>
          <w:tcPr>
            <w:tcW w:w="798" w:type="pct"/>
            <w:shd w:val="clear" w:color="auto" w:fill="auto"/>
            <w:vAlign w:val="center"/>
          </w:tcPr>
          <w:p w:rsidR="003F5404" w:rsidRPr="00AF20AB" w:rsidRDefault="003F5404" w:rsidP="00C85EC8">
            <w:pPr>
              <w:pStyle w:val="TableText0"/>
              <w:widowControl w:val="0"/>
            </w:pPr>
            <w:r w:rsidRPr="00AF20AB">
              <w:t>OS</w:t>
            </w:r>
          </w:p>
        </w:tc>
      </w:tr>
      <w:tr w:rsidR="003F5404" w:rsidRPr="00AF20AB" w:rsidTr="00D45D70">
        <w:trPr>
          <w:cantSplit/>
        </w:trPr>
        <w:tc>
          <w:tcPr>
            <w:tcW w:w="723" w:type="pct"/>
            <w:shd w:val="clear" w:color="auto" w:fill="auto"/>
            <w:vAlign w:val="center"/>
          </w:tcPr>
          <w:p w:rsidR="003F5404" w:rsidRPr="00AF20AB" w:rsidRDefault="003F5404" w:rsidP="00C85EC8">
            <w:pPr>
              <w:pStyle w:val="TableText0"/>
              <w:widowControl w:val="0"/>
            </w:pPr>
            <w:r w:rsidRPr="00AF20AB">
              <w:t>Silverman 2002</w:t>
            </w:r>
          </w:p>
        </w:tc>
        <w:tc>
          <w:tcPr>
            <w:tcW w:w="711" w:type="pct"/>
            <w:shd w:val="clear" w:color="auto" w:fill="auto"/>
            <w:vAlign w:val="center"/>
          </w:tcPr>
          <w:p w:rsidR="003F5404" w:rsidRPr="00AF20AB" w:rsidRDefault="003F5404" w:rsidP="00C85EC8">
            <w:pPr>
              <w:pStyle w:val="TableText0"/>
              <w:widowControl w:val="0"/>
            </w:pPr>
            <w:r w:rsidRPr="00AF20AB">
              <w:t>Aza: 99</w:t>
            </w:r>
          </w:p>
          <w:p w:rsidR="003F5404" w:rsidRPr="00AF20AB" w:rsidRDefault="003F5404" w:rsidP="00C85EC8">
            <w:pPr>
              <w:pStyle w:val="TableText0"/>
              <w:widowControl w:val="0"/>
            </w:pPr>
            <w:r w:rsidRPr="00AF20AB">
              <w:t>BSC: 92</w:t>
            </w:r>
          </w:p>
          <w:p w:rsidR="003F5404" w:rsidRPr="00AF20AB" w:rsidRDefault="003F5404" w:rsidP="00C85EC8">
            <w:pPr>
              <w:pStyle w:val="TableText0"/>
              <w:widowControl w:val="0"/>
            </w:pPr>
            <w:r w:rsidRPr="00AF20AB">
              <w:t>Total: 191</w:t>
            </w:r>
          </w:p>
        </w:tc>
        <w:tc>
          <w:tcPr>
            <w:tcW w:w="554" w:type="pct"/>
            <w:shd w:val="clear" w:color="auto" w:fill="auto"/>
            <w:vAlign w:val="center"/>
          </w:tcPr>
          <w:p w:rsidR="003F5404" w:rsidRPr="00AF20AB" w:rsidRDefault="003F5404" w:rsidP="00C85EC8">
            <w:pPr>
              <w:pStyle w:val="TableText0"/>
              <w:widowControl w:val="0"/>
            </w:pPr>
            <w:r w:rsidRPr="00AF20AB">
              <w:t>R, OL, MC, CO</w:t>
            </w:r>
          </w:p>
        </w:tc>
        <w:tc>
          <w:tcPr>
            <w:tcW w:w="622" w:type="pct"/>
            <w:shd w:val="clear" w:color="auto" w:fill="auto"/>
            <w:vAlign w:val="center"/>
          </w:tcPr>
          <w:p w:rsidR="003F5404" w:rsidRPr="00AF20AB" w:rsidRDefault="003F5404" w:rsidP="00C85EC8">
            <w:pPr>
              <w:pStyle w:val="TableText0"/>
              <w:widowControl w:val="0"/>
              <w:jc w:val="center"/>
            </w:pPr>
            <w:r w:rsidRPr="00AF20AB">
              <w:t>High</w:t>
            </w:r>
          </w:p>
        </w:tc>
        <w:tc>
          <w:tcPr>
            <w:tcW w:w="1592" w:type="pct"/>
            <w:shd w:val="clear" w:color="auto" w:fill="auto"/>
            <w:vAlign w:val="center"/>
          </w:tcPr>
          <w:p w:rsidR="003F5404" w:rsidRPr="00AF20AB" w:rsidRDefault="003F5404" w:rsidP="00C85EC8">
            <w:pPr>
              <w:pStyle w:val="TableText0"/>
              <w:widowControl w:val="0"/>
            </w:pPr>
            <w:r w:rsidRPr="00AF20AB">
              <w:t>FAB-based MDS; patients with RA or RARS must also have significant marrow dysfunction.</w:t>
            </w:r>
          </w:p>
        </w:tc>
        <w:tc>
          <w:tcPr>
            <w:tcW w:w="798" w:type="pct"/>
            <w:shd w:val="clear" w:color="auto" w:fill="auto"/>
            <w:vAlign w:val="center"/>
          </w:tcPr>
          <w:p w:rsidR="003F5404" w:rsidRPr="00AF20AB" w:rsidRDefault="003F5404" w:rsidP="00C85EC8">
            <w:pPr>
              <w:pStyle w:val="TableText0"/>
              <w:widowControl w:val="0"/>
            </w:pPr>
            <w:r w:rsidRPr="00AF20AB">
              <w:t>Response</w:t>
            </w:r>
          </w:p>
        </w:tc>
      </w:tr>
      <w:tr w:rsidR="003F5404" w:rsidRPr="00AF20AB" w:rsidTr="00D45D70">
        <w:trPr>
          <w:cantSplit/>
        </w:trPr>
        <w:tc>
          <w:tcPr>
            <w:tcW w:w="5000" w:type="pct"/>
            <w:gridSpan w:val="6"/>
            <w:shd w:val="clear" w:color="auto" w:fill="auto"/>
            <w:vAlign w:val="center"/>
          </w:tcPr>
          <w:p w:rsidR="003F5404" w:rsidRPr="00AF20AB" w:rsidRDefault="003F5404" w:rsidP="00C85EC8">
            <w:pPr>
              <w:pStyle w:val="TableText0"/>
              <w:widowControl w:val="0"/>
              <w:rPr>
                <w:b/>
                <w:bCs w:val="0"/>
              </w:rPr>
            </w:pPr>
            <w:r w:rsidRPr="00AF20AB">
              <w:rPr>
                <w:b/>
                <w:bCs w:val="0"/>
              </w:rPr>
              <w:t>Decitabine+cedazuridine vs. decitabine IV</w:t>
            </w:r>
          </w:p>
        </w:tc>
      </w:tr>
      <w:tr w:rsidR="003F5404" w:rsidRPr="00AF20AB" w:rsidTr="00D45D70">
        <w:trPr>
          <w:cantSplit/>
        </w:trPr>
        <w:tc>
          <w:tcPr>
            <w:tcW w:w="723" w:type="pct"/>
            <w:shd w:val="clear" w:color="auto" w:fill="auto"/>
            <w:vAlign w:val="center"/>
          </w:tcPr>
          <w:p w:rsidR="003F5404" w:rsidRPr="00AF20AB" w:rsidRDefault="003F5404" w:rsidP="00C85EC8">
            <w:pPr>
              <w:pStyle w:val="TableText0"/>
              <w:widowControl w:val="0"/>
            </w:pPr>
            <w:r w:rsidRPr="00AF20AB">
              <w:t>ASCERTAIN</w:t>
            </w:r>
          </w:p>
        </w:tc>
        <w:tc>
          <w:tcPr>
            <w:tcW w:w="711" w:type="pct"/>
            <w:shd w:val="clear" w:color="auto" w:fill="auto"/>
            <w:vAlign w:val="center"/>
          </w:tcPr>
          <w:p w:rsidR="003F5404" w:rsidRPr="00AF20AB" w:rsidRDefault="003F5404" w:rsidP="00C85EC8">
            <w:pPr>
              <w:pStyle w:val="TableText0"/>
              <w:widowControl w:val="0"/>
            </w:pPr>
            <w:r w:rsidRPr="00AF20AB">
              <w:t>133</w:t>
            </w:r>
          </w:p>
        </w:tc>
        <w:tc>
          <w:tcPr>
            <w:tcW w:w="554" w:type="pct"/>
            <w:shd w:val="clear" w:color="auto" w:fill="auto"/>
            <w:vAlign w:val="center"/>
          </w:tcPr>
          <w:p w:rsidR="003F5404" w:rsidRPr="00AF20AB" w:rsidRDefault="003F5404" w:rsidP="00C85EC8">
            <w:pPr>
              <w:pStyle w:val="TableText0"/>
              <w:widowControl w:val="0"/>
            </w:pPr>
            <w:r w:rsidRPr="00AF20AB">
              <w:t>R, OL, MC, CO</w:t>
            </w:r>
          </w:p>
        </w:tc>
        <w:tc>
          <w:tcPr>
            <w:tcW w:w="622" w:type="pct"/>
            <w:shd w:val="clear" w:color="auto" w:fill="auto"/>
            <w:vAlign w:val="center"/>
          </w:tcPr>
          <w:p w:rsidR="003F5404" w:rsidRPr="00AF20AB" w:rsidRDefault="003F5404" w:rsidP="00C85EC8">
            <w:pPr>
              <w:pStyle w:val="TableText0"/>
              <w:widowControl w:val="0"/>
              <w:jc w:val="center"/>
            </w:pPr>
            <w:r w:rsidRPr="00AF20AB">
              <w:t>High</w:t>
            </w:r>
          </w:p>
        </w:tc>
        <w:tc>
          <w:tcPr>
            <w:tcW w:w="1592" w:type="pct"/>
            <w:shd w:val="clear" w:color="auto" w:fill="auto"/>
            <w:vAlign w:val="center"/>
          </w:tcPr>
          <w:p w:rsidR="003F5404" w:rsidRPr="00AF20AB" w:rsidRDefault="003F5404" w:rsidP="00C85EC8">
            <w:pPr>
              <w:pStyle w:val="TableText0"/>
              <w:widowControl w:val="0"/>
            </w:pPr>
            <w:r w:rsidRPr="00AF20AB">
              <w:t>FAB-based RA, RARS, RAEB, CMML, or RAEB-t; IPSS ≥intermediate-1; ECOG 0-1</w:t>
            </w:r>
          </w:p>
        </w:tc>
        <w:tc>
          <w:tcPr>
            <w:tcW w:w="798" w:type="pct"/>
            <w:shd w:val="clear" w:color="auto" w:fill="auto"/>
            <w:vAlign w:val="center"/>
          </w:tcPr>
          <w:p w:rsidR="003F5404" w:rsidRPr="00AF20AB" w:rsidRDefault="00C80163" w:rsidP="00C85EC8">
            <w:pPr>
              <w:pStyle w:val="TableText0"/>
              <w:widowControl w:val="0"/>
            </w:pPr>
            <w:r w:rsidRPr="00AF20AB">
              <w:t>Pharmacokinetic (</w:t>
            </w:r>
            <w:r w:rsidR="003F5404" w:rsidRPr="00AF20AB">
              <w:t>AUC</w:t>
            </w:r>
            <w:r w:rsidRPr="00AF20AB">
              <w:t>)</w:t>
            </w:r>
          </w:p>
        </w:tc>
      </w:tr>
      <w:tr w:rsidR="003F5404" w:rsidRPr="00AF20AB" w:rsidTr="00D45D70">
        <w:trPr>
          <w:cantSplit/>
        </w:trPr>
        <w:tc>
          <w:tcPr>
            <w:tcW w:w="723" w:type="pct"/>
            <w:shd w:val="clear" w:color="auto" w:fill="auto"/>
            <w:vAlign w:val="center"/>
          </w:tcPr>
          <w:p w:rsidR="003F5404" w:rsidRPr="00AF20AB" w:rsidRDefault="003F5404" w:rsidP="00C85EC8">
            <w:pPr>
              <w:pStyle w:val="TableText0"/>
              <w:widowControl w:val="0"/>
            </w:pPr>
            <w:r w:rsidRPr="00AF20AB">
              <w:t>ASTX727-01-B</w:t>
            </w:r>
          </w:p>
        </w:tc>
        <w:tc>
          <w:tcPr>
            <w:tcW w:w="711" w:type="pct"/>
            <w:shd w:val="clear" w:color="auto" w:fill="auto"/>
            <w:vAlign w:val="center"/>
          </w:tcPr>
          <w:p w:rsidR="003F5404" w:rsidRPr="00AF20AB" w:rsidRDefault="003F5404" w:rsidP="00C85EC8">
            <w:pPr>
              <w:pStyle w:val="TableText0"/>
              <w:widowControl w:val="0"/>
            </w:pPr>
            <w:r w:rsidRPr="00AF20AB">
              <w:t>Dose confirm:52</w:t>
            </w:r>
          </w:p>
          <w:p w:rsidR="003F5404" w:rsidRPr="00AF20AB" w:rsidRDefault="003F5404" w:rsidP="00C85EC8">
            <w:pPr>
              <w:pStyle w:val="TableText0"/>
              <w:widowControl w:val="0"/>
            </w:pPr>
            <w:r w:rsidRPr="00AF20AB">
              <w:t>FDC: 34</w:t>
            </w:r>
          </w:p>
        </w:tc>
        <w:tc>
          <w:tcPr>
            <w:tcW w:w="554" w:type="pct"/>
            <w:shd w:val="clear" w:color="auto" w:fill="auto"/>
            <w:vAlign w:val="center"/>
          </w:tcPr>
          <w:p w:rsidR="003F5404" w:rsidRPr="00AF20AB" w:rsidRDefault="003F5404" w:rsidP="00C85EC8">
            <w:pPr>
              <w:pStyle w:val="TableText0"/>
              <w:widowControl w:val="0"/>
            </w:pPr>
            <w:r w:rsidRPr="00AF20AB">
              <w:t>R, OL, MC, CO</w:t>
            </w:r>
          </w:p>
        </w:tc>
        <w:tc>
          <w:tcPr>
            <w:tcW w:w="622" w:type="pct"/>
            <w:shd w:val="clear" w:color="auto" w:fill="auto"/>
            <w:vAlign w:val="center"/>
          </w:tcPr>
          <w:p w:rsidR="003F5404" w:rsidRPr="00AF20AB" w:rsidRDefault="003F5404" w:rsidP="00C85EC8">
            <w:pPr>
              <w:pStyle w:val="TableText0"/>
              <w:widowControl w:val="0"/>
              <w:jc w:val="center"/>
            </w:pPr>
            <w:r w:rsidRPr="00AF20AB">
              <w:t>High</w:t>
            </w:r>
          </w:p>
        </w:tc>
        <w:tc>
          <w:tcPr>
            <w:tcW w:w="1592" w:type="pct"/>
            <w:shd w:val="clear" w:color="auto" w:fill="auto"/>
            <w:vAlign w:val="center"/>
          </w:tcPr>
          <w:p w:rsidR="003F5404" w:rsidRPr="00AF20AB" w:rsidRDefault="003F5404" w:rsidP="00C85EC8">
            <w:pPr>
              <w:pStyle w:val="TableText0"/>
              <w:widowControl w:val="0"/>
            </w:pPr>
            <w:r w:rsidRPr="00AF20AB">
              <w:t>Peripheral blasts &lt;20%; IPSS ≥ intermediate-1; ECOG 0-2</w:t>
            </w:r>
          </w:p>
        </w:tc>
        <w:tc>
          <w:tcPr>
            <w:tcW w:w="798" w:type="pct"/>
            <w:shd w:val="clear" w:color="auto" w:fill="auto"/>
            <w:vAlign w:val="center"/>
          </w:tcPr>
          <w:p w:rsidR="003F5404" w:rsidRPr="00AF20AB" w:rsidRDefault="00C80163" w:rsidP="00C85EC8">
            <w:pPr>
              <w:pStyle w:val="TableText0"/>
              <w:widowControl w:val="0"/>
            </w:pPr>
            <w:r w:rsidRPr="00AF20AB">
              <w:t>Pharmacokinetic (</w:t>
            </w:r>
            <w:r w:rsidR="003F5404" w:rsidRPr="00AF20AB">
              <w:t>AUC</w:t>
            </w:r>
            <w:r w:rsidRPr="00AF20AB">
              <w:t>)</w:t>
            </w:r>
          </w:p>
        </w:tc>
      </w:tr>
    </w:tbl>
    <w:p w:rsidR="003F5404" w:rsidRPr="00AF20AB" w:rsidRDefault="003F5404" w:rsidP="003F5404">
      <w:pPr>
        <w:pStyle w:val="TableFigureFooter"/>
      </w:pPr>
      <w:r w:rsidRPr="00AF20AB">
        <w:t>Source: Table 2.5, p64 of the submission.</w:t>
      </w:r>
    </w:p>
    <w:p w:rsidR="00620C25" w:rsidRPr="00AF20AB" w:rsidRDefault="003F5404" w:rsidP="003F5404">
      <w:pPr>
        <w:pStyle w:val="TableFigureFooter"/>
        <w:rPr>
          <w:sz w:val="20"/>
        </w:rPr>
      </w:pPr>
      <w:r w:rsidRPr="00AF20AB">
        <w:t>AML=acute myeloid leukaemia; AUC=area under the curve; Aza=azacitidine; BSC=best supportive care; CO=cross-over; Dec=decitabine; ECOG=Eastern Cooperative Oncology Group; FAB=French-American-British; FDC=fixed dose combination; IPSS=International Prognostic Scoring System; MC=multicentre; MDS=myelodysplastic syndrome; OL=open label; ORR=overall response rate; OS=overall survival; R=randomised; RA=refractory anaemia; RAEB=refractory anaemia with excess blasts; RAEB-t=refractory anaemia with excess blasts in transformation; RARS=refractory anaemia with ringed sideroblasts.</w:t>
      </w:r>
    </w:p>
    <w:p w:rsidR="000B53CC" w:rsidRPr="00AF20AB" w:rsidRDefault="000B53CC" w:rsidP="00EC5836">
      <w:pPr>
        <w:pStyle w:val="3-BodyText"/>
      </w:pPr>
      <w:r w:rsidRPr="00AF20AB">
        <w:t>The submission stated (p66) that the risk of bias ranged from unclear to high across the trials</w:t>
      </w:r>
      <w:r w:rsidR="00AF20AB">
        <w:t xml:space="preserve">. </w:t>
      </w:r>
      <w:r w:rsidRPr="00AF20AB">
        <w:rPr>
          <w:iCs/>
        </w:rPr>
        <w:t xml:space="preserve">All trials were open label and while some outcomes were objective, there remained potential for bias given </w:t>
      </w:r>
      <w:r w:rsidR="00E7438D" w:rsidRPr="00AF20AB">
        <w:rPr>
          <w:iCs/>
        </w:rPr>
        <w:t>un</w:t>
      </w:r>
      <w:r w:rsidRPr="00AF20AB">
        <w:rPr>
          <w:iCs/>
        </w:rPr>
        <w:t>blinded outcome assessment</w:t>
      </w:r>
      <w:r w:rsidR="00E7438D" w:rsidRPr="00AF20AB">
        <w:rPr>
          <w:iCs/>
        </w:rPr>
        <w:t xml:space="preserve"> or lack of information regarding outcome assessment</w:t>
      </w:r>
      <w:r w:rsidR="00AF20AB">
        <w:rPr>
          <w:iCs/>
        </w:rPr>
        <w:t xml:space="preserve">. </w:t>
      </w:r>
      <w:r w:rsidR="00E7438D" w:rsidRPr="00AF20AB">
        <w:rPr>
          <w:iCs/>
        </w:rPr>
        <w:t>It would be reasonable to conclude that the risk of bias was high across all of the trials.</w:t>
      </w:r>
    </w:p>
    <w:p w:rsidR="00E81C84" w:rsidRPr="00AF20AB" w:rsidRDefault="00E81C84" w:rsidP="00EC5836">
      <w:pPr>
        <w:pStyle w:val="3-BodyText"/>
      </w:pPr>
      <w:r w:rsidRPr="00AF20AB">
        <w:rPr>
          <w:iCs/>
        </w:rPr>
        <w:t>The ESC noted that</w:t>
      </w:r>
      <w:r w:rsidR="002172D2" w:rsidRPr="00AF20AB">
        <w:rPr>
          <w:iCs/>
        </w:rPr>
        <w:t xml:space="preserve"> the</w:t>
      </w:r>
      <w:r w:rsidRPr="00AF20AB">
        <w:rPr>
          <w:iCs/>
        </w:rPr>
        <w:t xml:space="preserve"> only</w:t>
      </w:r>
      <w:r w:rsidR="002172D2" w:rsidRPr="00AF20AB">
        <w:rPr>
          <w:iCs/>
        </w:rPr>
        <w:t xml:space="preserve"> trial which included a patient population entirely consistent with the</w:t>
      </w:r>
      <w:r w:rsidRPr="00AF20AB">
        <w:rPr>
          <w:iCs/>
        </w:rPr>
        <w:t xml:space="preserve"> </w:t>
      </w:r>
      <w:r w:rsidR="002172D2" w:rsidRPr="00AF20AB">
        <w:rPr>
          <w:iCs/>
        </w:rPr>
        <w:t>proposed PB</w:t>
      </w:r>
      <w:r w:rsidR="00C80163" w:rsidRPr="00AF20AB">
        <w:rPr>
          <w:iCs/>
        </w:rPr>
        <w:t>S</w:t>
      </w:r>
      <w:r w:rsidR="002172D2" w:rsidRPr="00AF20AB">
        <w:rPr>
          <w:iCs/>
        </w:rPr>
        <w:t xml:space="preserve"> population, was </w:t>
      </w:r>
      <w:r w:rsidRPr="00AF20AB">
        <w:rPr>
          <w:iCs/>
        </w:rPr>
        <w:t>the</w:t>
      </w:r>
      <w:r w:rsidR="00290A91" w:rsidRPr="00AF20AB">
        <w:rPr>
          <w:iCs/>
        </w:rPr>
        <w:t xml:space="preserve"> </w:t>
      </w:r>
      <w:r w:rsidRPr="00AF20AB">
        <w:rPr>
          <w:iCs/>
        </w:rPr>
        <w:t xml:space="preserve">Fenaux et al., 2009 </w:t>
      </w:r>
      <w:r w:rsidR="002172D2" w:rsidRPr="00AF20AB">
        <w:rPr>
          <w:iCs/>
        </w:rPr>
        <w:t>trial</w:t>
      </w:r>
      <w:r w:rsidR="00C80163" w:rsidRPr="00AF20AB">
        <w:rPr>
          <w:iCs/>
        </w:rPr>
        <w:t xml:space="preserve"> which compared azacitidine and BSC</w:t>
      </w:r>
      <w:r w:rsidR="002172D2" w:rsidRPr="00AF20AB">
        <w:rPr>
          <w:iCs/>
        </w:rPr>
        <w:t>. Th</w:t>
      </w:r>
      <w:r w:rsidR="00D922D2" w:rsidRPr="00AF20AB">
        <w:rPr>
          <w:iCs/>
        </w:rPr>
        <w:t xml:space="preserve">e ESC noted that </w:t>
      </w:r>
      <w:r w:rsidR="00C80163" w:rsidRPr="00AF20AB">
        <w:rPr>
          <w:iCs/>
        </w:rPr>
        <w:t xml:space="preserve">the </w:t>
      </w:r>
      <w:r w:rsidR="00D922D2" w:rsidRPr="00AF20AB">
        <w:rPr>
          <w:iCs/>
        </w:rPr>
        <w:t>other trials</w:t>
      </w:r>
      <w:r w:rsidR="000F468A" w:rsidRPr="00AF20AB">
        <w:rPr>
          <w:iCs/>
        </w:rPr>
        <w:t xml:space="preserve"> also</w:t>
      </w:r>
      <w:r w:rsidR="00D922D2" w:rsidRPr="00AF20AB">
        <w:rPr>
          <w:iCs/>
        </w:rPr>
        <w:t xml:space="preserve"> included lower risk MDS patients with an IPSS of intermediate-1. The ESC considered that </w:t>
      </w:r>
      <w:r w:rsidR="000F468A" w:rsidRPr="00AF20AB">
        <w:rPr>
          <w:iCs/>
        </w:rPr>
        <w:t xml:space="preserve">the inclusion of lower risk patients would likely </w:t>
      </w:r>
      <w:r w:rsidR="00FC71A8" w:rsidRPr="00AF20AB">
        <w:rPr>
          <w:iCs/>
        </w:rPr>
        <w:t>have impacted</w:t>
      </w:r>
      <w:r w:rsidR="000F468A" w:rsidRPr="00AF20AB">
        <w:rPr>
          <w:iCs/>
        </w:rPr>
        <w:t xml:space="preserve"> the efficacy results as patients with a risk category of intermedi</w:t>
      </w:r>
      <w:r w:rsidR="00DA37B8" w:rsidRPr="00AF20AB">
        <w:rPr>
          <w:iCs/>
        </w:rPr>
        <w:t xml:space="preserve">ate-2 </w:t>
      </w:r>
      <w:r w:rsidR="000F468A" w:rsidRPr="00AF20AB">
        <w:rPr>
          <w:iCs/>
        </w:rPr>
        <w:t>generally have</w:t>
      </w:r>
      <w:r w:rsidR="00DA37B8" w:rsidRPr="00AF20AB">
        <w:rPr>
          <w:iCs/>
        </w:rPr>
        <w:t xml:space="preserve"> a distinctively worse prognosis compared to intermediate-1 patients, characterised by</w:t>
      </w:r>
      <w:r w:rsidR="000F468A" w:rsidRPr="00AF20AB">
        <w:rPr>
          <w:iCs/>
        </w:rPr>
        <w:t xml:space="preserve"> shorter survival and </w:t>
      </w:r>
      <w:r w:rsidR="00DA37B8" w:rsidRPr="00AF20AB">
        <w:rPr>
          <w:iCs/>
        </w:rPr>
        <w:t xml:space="preserve">shorter </w:t>
      </w:r>
      <w:r w:rsidR="000F468A" w:rsidRPr="00AF20AB">
        <w:rPr>
          <w:iCs/>
        </w:rPr>
        <w:t>time to AML evolution</w:t>
      </w:r>
      <w:r w:rsidR="00DA37B8" w:rsidRPr="00AF20AB">
        <w:rPr>
          <w:iCs/>
        </w:rPr>
        <w:t>.</w:t>
      </w:r>
      <w:r w:rsidR="00E648D8" w:rsidRPr="00AF20AB">
        <w:rPr>
          <w:iCs/>
        </w:rPr>
        <w:t xml:space="preserve"> </w:t>
      </w:r>
      <w:r w:rsidR="00FC71A8" w:rsidRPr="00AF20AB">
        <w:rPr>
          <w:iCs/>
        </w:rPr>
        <w:t xml:space="preserve">The ESC noted that subgroup analyses by IPSS risk category </w:t>
      </w:r>
      <w:r w:rsidR="00C80163" w:rsidRPr="00AF20AB">
        <w:rPr>
          <w:iCs/>
        </w:rPr>
        <w:t xml:space="preserve">were </w:t>
      </w:r>
      <w:r w:rsidR="00FC71A8" w:rsidRPr="00AF20AB">
        <w:rPr>
          <w:iCs/>
        </w:rPr>
        <w:t xml:space="preserve">not available for all trials. </w:t>
      </w:r>
    </w:p>
    <w:p w:rsidR="00247EA4" w:rsidRPr="00AF20AB" w:rsidRDefault="00C14848" w:rsidP="009C4E3C">
      <w:pPr>
        <w:pStyle w:val="3-BodyText"/>
      </w:pPr>
      <w:r w:rsidRPr="00AF20AB">
        <w:t>In regard to dosing, the decitabine+cedazuridine pharmacokinetic trials used 5-day dosing in each 28-day cycle, while in the indirect comparison, the IV decitabine trials used 3-day dosing and the azacitidine trials used 7-day dosing</w:t>
      </w:r>
      <w:r w:rsidR="00AF20AB">
        <w:t xml:space="preserve">. </w:t>
      </w:r>
      <w:r w:rsidR="005C3C61" w:rsidRPr="00AF20AB">
        <w:rPr>
          <w:iCs/>
        </w:rPr>
        <w:t>T</w:t>
      </w:r>
      <w:r w:rsidR="00247EA4" w:rsidRPr="00AF20AB">
        <w:rPr>
          <w:iCs/>
        </w:rPr>
        <w:t>he decitabine trials used in the indirect comparison (Kan</w:t>
      </w:r>
      <w:r w:rsidR="00C93E07" w:rsidRPr="00AF20AB">
        <w:rPr>
          <w:iCs/>
        </w:rPr>
        <w:t>tarjian 2006; Lubbert 2011) had</w:t>
      </w:r>
      <w:r w:rsidR="00247EA4" w:rsidRPr="00AF20AB">
        <w:rPr>
          <w:iCs/>
        </w:rPr>
        <w:t xml:space="preserve"> a 42 day treatment cycle, i.e. patients received 3 days of treatment every 6 weeks or 42 days, instead of the 28-day cycles used in all other trials</w:t>
      </w:r>
      <w:r w:rsidR="00AF20AB">
        <w:rPr>
          <w:iCs/>
        </w:rPr>
        <w:t xml:space="preserve">. </w:t>
      </w:r>
      <w:r w:rsidR="00247EA4" w:rsidRPr="00AF20AB">
        <w:t>The submission provided</w:t>
      </w:r>
      <w:r w:rsidR="009C4E3C" w:rsidRPr="00AF20AB">
        <w:t xml:space="preserve"> one randomised controlled trial (We et al., 2015)</w:t>
      </w:r>
      <w:r w:rsidR="00517499" w:rsidRPr="00AF20AB">
        <w:rPr>
          <w:rStyle w:val="FootnoteReference"/>
        </w:rPr>
        <w:footnoteReference w:id="2"/>
      </w:r>
      <w:r w:rsidR="009C4E3C" w:rsidRPr="00AF20AB">
        <w:t xml:space="preserve"> and</w:t>
      </w:r>
      <w:r w:rsidR="00247EA4" w:rsidRPr="00AF20AB">
        <w:t xml:space="preserve"> naïve comparisons of trials using 5-day dosing to claim similar results with 3-day dosing</w:t>
      </w:r>
      <w:r w:rsidR="00AF20AB">
        <w:t xml:space="preserve">. </w:t>
      </w:r>
      <w:r w:rsidR="008B117A" w:rsidRPr="00AF20AB">
        <w:t xml:space="preserve">The ESC noted that the results from Wu et al., 2015, a randomised controlled trial which compared 3-day and 5-day dosing regimens for decitabine </w:t>
      </w:r>
      <w:r w:rsidR="009C4E3C" w:rsidRPr="00AF20AB">
        <w:t>IV concluded that the two dosing regimens for decitabine were equally efficacious and safe.</w:t>
      </w:r>
      <w:r w:rsidR="008B117A" w:rsidRPr="00AF20AB">
        <w:t xml:space="preserve"> </w:t>
      </w:r>
      <w:r w:rsidR="00897808" w:rsidRPr="00AF20AB">
        <w:t>The ESC considered there was some support that 5-day and 3-day dosing for decitabine would produce similar results.</w:t>
      </w:r>
    </w:p>
    <w:p w:rsidR="00B5227B" w:rsidRPr="00AF20AB" w:rsidRDefault="00B5227B" w:rsidP="0090351D">
      <w:pPr>
        <w:pStyle w:val="3-BodyText"/>
      </w:pPr>
      <w:r w:rsidRPr="00AF20AB">
        <w:rPr>
          <w:iCs/>
        </w:rPr>
        <w:t>The number of treatment cycles</w:t>
      </w:r>
      <w:r w:rsidR="00C14848" w:rsidRPr="00AF20AB">
        <w:rPr>
          <w:iCs/>
        </w:rPr>
        <w:t xml:space="preserve"> (28 days)</w:t>
      </w:r>
      <w:r w:rsidRPr="00AF20AB">
        <w:rPr>
          <w:iCs/>
        </w:rPr>
        <w:t xml:space="preserve"> varied across the trials presented by the submission</w:t>
      </w:r>
      <w:r w:rsidR="00AF20AB">
        <w:rPr>
          <w:iCs/>
        </w:rPr>
        <w:t xml:space="preserve">. </w:t>
      </w:r>
      <w:r w:rsidRPr="00AF20AB">
        <w:rPr>
          <w:iCs/>
        </w:rPr>
        <w:t>In the decitabine+cedazuridine trials, a median of 4 treatment cycles were received in ASCERTAIN, and a median of 7 treatment cycles were received</w:t>
      </w:r>
      <w:r w:rsidR="00175405" w:rsidRPr="00AF20AB">
        <w:rPr>
          <w:iCs/>
        </w:rPr>
        <w:t xml:space="preserve"> in ASTX727-01-B</w:t>
      </w:r>
      <w:r w:rsidR="00AF20AB">
        <w:rPr>
          <w:iCs/>
        </w:rPr>
        <w:t xml:space="preserve">. </w:t>
      </w:r>
      <w:r w:rsidR="00C14848" w:rsidRPr="00AF20AB">
        <w:rPr>
          <w:iCs/>
        </w:rPr>
        <w:t xml:space="preserve">In the IV decitabine trials, a median of 3 cycles were </w:t>
      </w:r>
      <w:r w:rsidR="00175405" w:rsidRPr="00AF20AB">
        <w:rPr>
          <w:iCs/>
        </w:rPr>
        <w:t xml:space="preserve">received </w:t>
      </w:r>
      <w:r w:rsidR="00C14848" w:rsidRPr="00AF20AB">
        <w:rPr>
          <w:iCs/>
        </w:rPr>
        <w:t>in the Kantarjian (2006) trial and 4 cycles</w:t>
      </w:r>
      <w:r w:rsidR="000E7561" w:rsidRPr="00AF20AB">
        <w:rPr>
          <w:iCs/>
        </w:rPr>
        <w:t xml:space="preserve"> </w:t>
      </w:r>
      <w:r w:rsidR="00C14848" w:rsidRPr="00AF20AB">
        <w:rPr>
          <w:iCs/>
        </w:rPr>
        <w:t>in the Lubbert (2011) trial</w:t>
      </w:r>
      <w:r w:rsidR="00AF20AB">
        <w:rPr>
          <w:iCs/>
        </w:rPr>
        <w:t xml:space="preserve">. </w:t>
      </w:r>
      <w:r w:rsidRPr="00AF20AB">
        <w:rPr>
          <w:iCs/>
        </w:rPr>
        <w:t>In the azacitidine trials, the Fenaux (2009) trial reported that azacitidine was given for a median of 9 cycles, while Silverman (2002) reported median time to exit from azacitidine treatment was 9.1 months</w:t>
      </w:r>
      <w:r w:rsidR="00AF20AB">
        <w:rPr>
          <w:iCs/>
        </w:rPr>
        <w:t xml:space="preserve">. </w:t>
      </w:r>
      <w:r w:rsidRPr="00AF20AB">
        <w:rPr>
          <w:iCs/>
        </w:rPr>
        <w:t xml:space="preserve">In addition to the trial evidence, the azacitidine </w:t>
      </w:r>
      <w:r w:rsidR="00715A3C" w:rsidRPr="00AF20AB">
        <w:rPr>
          <w:iCs/>
        </w:rPr>
        <w:t>Product Information (</w:t>
      </w:r>
      <w:r w:rsidRPr="00AF20AB">
        <w:rPr>
          <w:iCs/>
        </w:rPr>
        <w:t>PI</w:t>
      </w:r>
      <w:r w:rsidR="00715A3C" w:rsidRPr="00AF20AB">
        <w:rPr>
          <w:iCs/>
        </w:rPr>
        <w:t>)</w:t>
      </w:r>
      <w:r w:rsidR="00E7672A" w:rsidRPr="00AF20AB">
        <w:rPr>
          <w:iCs/>
        </w:rPr>
        <w:t xml:space="preserve"> </w:t>
      </w:r>
      <w:r w:rsidRPr="00AF20AB">
        <w:rPr>
          <w:iCs/>
        </w:rPr>
        <w:t>recommends a minimum of 6 cycles of treatment, while the decitabine+cedazuridine PI recommends a minimum of 4 cycles of treatment.</w:t>
      </w:r>
      <w:r w:rsidR="00EF02B0" w:rsidRPr="00AF20AB">
        <w:rPr>
          <w:iCs/>
        </w:rPr>
        <w:t xml:space="preserve"> The PSCR noted that the recommended number of cycles in the azacitidine</w:t>
      </w:r>
      <w:r w:rsidR="00606DF0" w:rsidRPr="00AF20AB">
        <w:rPr>
          <w:iCs/>
        </w:rPr>
        <w:t xml:space="preserve"> (6</w:t>
      </w:r>
      <w:r w:rsidR="008A477A" w:rsidRPr="00AF20AB">
        <w:rPr>
          <w:iCs/>
        </w:rPr>
        <w:t>)</w:t>
      </w:r>
      <w:r w:rsidR="00EF02B0" w:rsidRPr="00AF20AB">
        <w:rPr>
          <w:iCs/>
        </w:rPr>
        <w:t xml:space="preserve"> and decitabine+cedazuridine</w:t>
      </w:r>
      <w:r w:rsidR="00606DF0" w:rsidRPr="00AF20AB">
        <w:rPr>
          <w:iCs/>
        </w:rPr>
        <w:t xml:space="preserve"> (4</w:t>
      </w:r>
      <w:r w:rsidR="008A477A" w:rsidRPr="00AF20AB">
        <w:rPr>
          <w:iCs/>
        </w:rPr>
        <w:t>)</w:t>
      </w:r>
      <w:r w:rsidR="00EF02B0" w:rsidRPr="00AF20AB">
        <w:rPr>
          <w:iCs/>
        </w:rPr>
        <w:t xml:space="preserve"> PIs are based on the reporting in the pivotal trials upon which the TGA registration</w:t>
      </w:r>
      <w:r w:rsidR="008A477A" w:rsidRPr="00AF20AB">
        <w:rPr>
          <w:iCs/>
        </w:rPr>
        <w:t>s are</w:t>
      </w:r>
      <w:r w:rsidR="00EF02B0" w:rsidRPr="00AF20AB">
        <w:rPr>
          <w:iCs/>
        </w:rPr>
        <w:t xml:space="preserve"> based. The PSCR </w:t>
      </w:r>
      <w:r w:rsidR="00F6540B" w:rsidRPr="00AF20AB">
        <w:rPr>
          <w:iCs/>
        </w:rPr>
        <w:t>noted that</w:t>
      </w:r>
      <w:r w:rsidR="008A477A" w:rsidRPr="00AF20AB">
        <w:rPr>
          <w:iCs/>
        </w:rPr>
        <w:t xml:space="preserve"> while</w:t>
      </w:r>
      <w:r w:rsidR="00F6540B" w:rsidRPr="00AF20AB">
        <w:rPr>
          <w:iCs/>
        </w:rPr>
        <w:t xml:space="preserve"> patients in Fenaux et al., 2009 were evaluated for response every 6 months</w:t>
      </w:r>
      <w:r w:rsidR="0090351D" w:rsidRPr="00AF20AB">
        <w:rPr>
          <w:iCs/>
        </w:rPr>
        <w:t>,</w:t>
      </w:r>
      <w:r w:rsidR="00F6540B" w:rsidRPr="00AF20AB">
        <w:rPr>
          <w:iCs/>
        </w:rPr>
        <w:t xml:space="preserve"> patients in Lubbert et al., 2011 were evaluated at the end of 4 cycles.</w:t>
      </w:r>
      <w:r w:rsidR="008A477A" w:rsidRPr="00AF20AB">
        <w:rPr>
          <w:iCs/>
        </w:rPr>
        <w:t xml:space="preserve"> However</w:t>
      </w:r>
      <w:r w:rsidR="00972660" w:rsidRPr="00AF20AB">
        <w:rPr>
          <w:iCs/>
        </w:rPr>
        <w:t>,</w:t>
      </w:r>
      <w:r w:rsidR="008A477A" w:rsidRPr="00AF20AB">
        <w:rPr>
          <w:iCs/>
        </w:rPr>
        <w:t xml:space="preserve"> </w:t>
      </w:r>
      <w:r w:rsidR="0090351D" w:rsidRPr="00AF20AB">
        <w:rPr>
          <w:iCs/>
        </w:rPr>
        <w:t xml:space="preserve">the PSCR claimed that both studies show that the median best response for </w:t>
      </w:r>
      <w:r w:rsidR="00342EEC" w:rsidRPr="00AF20AB">
        <w:rPr>
          <w:iCs/>
        </w:rPr>
        <w:t>azacitidine</w:t>
      </w:r>
      <w:r w:rsidR="0090351D" w:rsidRPr="00AF20AB">
        <w:rPr>
          <w:iCs/>
        </w:rPr>
        <w:t xml:space="preserve"> and decitabine is usually by 3-4 months. The PSCR claimed that the treatments should have similar duration of treatment and that the within-trial difference in median treatment cycle is attributable to differences in study protocols.</w:t>
      </w:r>
      <w:r w:rsidR="00BA646C" w:rsidRPr="00AF20AB">
        <w:rPr>
          <w:iCs/>
        </w:rPr>
        <w:t xml:space="preserve"> </w:t>
      </w:r>
      <w:r w:rsidR="001C67AD" w:rsidRPr="00AF20AB">
        <w:rPr>
          <w:iCs/>
        </w:rPr>
        <w:t xml:space="preserve">Overall, the ESC considered that the average number of cycles that would be used in clinical practice was uncertain. The ESC noted that the number of cycles used would also depend on the OS benefit in the real world setting and it was uncertain </w:t>
      </w:r>
      <w:r w:rsidR="00A42D18" w:rsidRPr="00AF20AB">
        <w:rPr>
          <w:iCs/>
        </w:rPr>
        <w:t>how applicable the trial data was to the Australian setting.</w:t>
      </w:r>
      <w:r w:rsidR="001C67AD" w:rsidRPr="00AF20AB">
        <w:rPr>
          <w:iCs/>
        </w:rPr>
        <w:t xml:space="preserve"> </w:t>
      </w:r>
    </w:p>
    <w:p w:rsidR="00E7438D" w:rsidRPr="00AF20AB" w:rsidRDefault="000B53CC" w:rsidP="00457CD4">
      <w:pPr>
        <w:pStyle w:val="3-BodyText"/>
        <w:rPr>
          <w:rStyle w:val="CommentReference"/>
          <w:rFonts w:asciiTheme="minorHAnsi" w:hAnsiTheme="minorHAnsi"/>
          <w:b w:val="0"/>
          <w:sz w:val="24"/>
          <w:szCs w:val="24"/>
        </w:rPr>
      </w:pPr>
      <w:r w:rsidRPr="00AF20AB">
        <w:t xml:space="preserve">While there were no randomised trials comparing decitabine and azacitidine identified in the submission’s literature search, there were four retrospective reviews available, of which two provide direct comparisons of decitabine and azacitidine (Lee </w:t>
      </w:r>
      <w:r w:rsidR="00457CD4" w:rsidRPr="00457CD4">
        <w:rPr>
          <w:iCs/>
        </w:rPr>
        <w:t xml:space="preserve">et al., </w:t>
      </w:r>
      <w:r w:rsidRPr="00AF20AB">
        <w:t>2013; Lee</w:t>
      </w:r>
      <w:r w:rsidR="00457CD4">
        <w:t xml:space="preserve"> et al., </w:t>
      </w:r>
      <w:r w:rsidRPr="00AF20AB">
        <w:t>2013a</w:t>
      </w:r>
      <w:r w:rsidRPr="00AF20AB">
        <w:rPr>
          <w:rStyle w:val="FootnoteReference"/>
          <w:iCs/>
        </w:rPr>
        <w:footnoteReference w:id="3"/>
      </w:r>
      <w:r w:rsidRPr="00AF20AB">
        <w:t>)</w:t>
      </w:r>
      <w:r w:rsidR="00AF20AB">
        <w:t xml:space="preserve">. </w:t>
      </w:r>
      <w:r w:rsidR="00457CD4">
        <w:t>The Lee et al., 2013</w:t>
      </w:r>
      <w:r w:rsidRPr="00AF20AB">
        <w:t xml:space="preserve"> publication was cited by the submission (p111) in its discussion of the </w:t>
      </w:r>
      <w:r w:rsidR="00175405" w:rsidRPr="00AF20AB">
        <w:t xml:space="preserve">decitabine </w:t>
      </w:r>
      <w:r w:rsidRPr="00AF20AB">
        <w:t>treatment regimen, but no further information on the comparison provided in this paper was provided. The second publication (Lee</w:t>
      </w:r>
      <w:r w:rsidR="00457CD4">
        <w:t xml:space="preserve"> et al., </w:t>
      </w:r>
      <w:r w:rsidRPr="00AF20AB">
        <w:t>2013a) reported a retrospective review of registry data, and provided statistical comparisons of 300 patients treated with azacitidine and 97 treated with decitabine. While only approximately half of the patient population in the two comparisons corresponded to the proposed PBS population (IPSS intermediate-2 or high risk; remainder were intermediate-1 or low-risk) it would have been informative had the results of these comparisons been provided</w:t>
      </w:r>
      <w:r w:rsidR="00AF20AB">
        <w:t xml:space="preserve">. </w:t>
      </w:r>
      <w:r w:rsidRPr="00AF20AB">
        <w:t>A summary of the characteristics and results of these studies is provided in the table below.</w:t>
      </w:r>
    </w:p>
    <w:p w:rsidR="00E7438D" w:rsidRPr="00AF20AB" w:rsidRDefault="007F1017" w:rsidP="00E7438D">
      <w:pPr>
        <w:pStyle w:val="TableFigureHeading"/>
        <w:rPr>
          <w:rStyle w:val="CommentReference"/>
          <w:b/>
          <w:szCs w:val="24"/>
        </w:rPr>
      </w:pPr>
      <w:r w:rsidRPr="00AF20AB">
        <w:rPr>
          <w:rStyle w:val="CommentReference"/>
          <w:b/>
          <w:szCs w:val="24"/>
        </w:rPr>
        <w:t xml:space="preserve">Table </w:t>
      </w:r>
      <w:r w:rsidR="00CF1BE4" w:rsidRPr="00AF20AB">
        <w:rPr>
          <w:rStyle w:val="CommentReference"/>
          <w:b/>
          <w:szCs w:val="24"/>
        </w:rPr>
        <w:t>5</w:t>
      </w:r>
      <w:r w:rsidRPr="00AF20AB">
        <w:rPr>
          <w:rStyle w:val="CommentReference"/>
          <w:b/>
          <w:szCs w:val="24"/>
        </w:rPr>
        <w:t xml:space="preserve">: </w:t>
      </w:r>
      <w:r w:rsidR="00E7438D" w:rsidRPr="00AF20AB">
        <w:rPr>
          <w:rStyle w:val="CommentReference"/>
          <w:b/>
          <w:iCs/>
          <w:szCs w:val="24"/>
        </w:rPr>
        <w:t>Summary of comparative studies: decitabine vs. azacitidine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402"/>
        <w:gridCol w:w="4394"/>
      </w:tblGrid>
      <w:tr w:rsidR="00E7438D" w:rsidRPr="00AF20AB" w:rsidTr="00D45D70">
        <w:trPr>
          <w:tblHeader/>
        </w:trPr>
        <w:tc>
          <w:tcPr>
            <w:tcW w:w="1271" w:type="dxa"/>
            <w:vAlign w:val="center"/>
          </w:tcPr>
          <w:p w:rsidR="00E7438D" w:rsidRPr="00AF20AB" w:rsidRDefault="00E7438D" w:rsidP="00D45D70">
            <w:pPr>
              <w:pStyle w:val="In-tableHeading"/>
              <w:keepNext w:val="0"/>
              <w:widowControl w:val="0"/>
              <w:rPr>
                <w:iCs/>
                <w:lang w:val="en-AU"/>
              </w:rPr>
            </w:pPr>
            <w:r w:rsidRPr="00AF20AB">
              <w:rPr>
                <w:iCs/>
                <w:lang w:val="en-AU"/>
              </w:rPr>
              <w:t>Publication</w:t>
            </w:r>
          </w:p>
        </w:tc>
        <w:tc>
          <w:tcPr>
            <w:tcW w:w="3402" w:type="dxa"/>
            <w:vAlign w:val="center"/>
          </w:tcPr>
          <w:p w:rsidR="00E7438D" w:rsidRPr="00AF20AB" w:rsidRDefault="00E7438D" w:rsidP="00D45D70">
            <w:pPr>
              <w:pStyle w:val="In-tableHeading"/>
              <w:keepNext w:val="0"/>
              <w:widowControl w:val="0"/>
              <w:jc w:val="center"/>
              <w:rPr>
                <w:iCs/>
                <w:lang w:val="en-AU"/>
              </w:rPr>
            </w:pPr>
            <w:r w:rsidRPr="00AF20AB">
              <w:rPr>
                <w:iCs/>
                <w:lang w:val="en-AU"/>
              </w:rPr>
              <w:t>Study characteristics</w:t>
            </w:r>
          </w:p>
        </w:tc>
        <w:tc>
          <w:tcPr>
            <w:tcW w:w="4394" w:type="dxa"/>
            <w:vAlign w:val="center"/>
          </w:tcPr>
          <w:p w:rsidR="00E7438D" w:rsidRPr="00AF20AB" w:rsidRDefault="00E7438D" w:rsidP="00D45D70">
            <w:pPr>
              <w:pStyle w:val="In-tableHeading"/>
              <w:keepNext w:val="0"/>
              <w:widowControl w:val="0"/>
              <w:jc w:val="center"/>
              <w:rPr>
                <w:iCs/>
                <w:lang w:val="en-AU"/>
              </w:rPr>
            </w:pPr>
            <w:r w:rsidRPr="00AF20AB">
              <w:rPr>
                <w:iCs/>
                <w:lang w:val="en-AU"/>
              </w:rPr>
              <w:t xml:space="preserve">Key results </w:t>
            </w:r>
          </w:p>
        </w:tc>
      </w:tr>
      <w:tr w:rsidR="00E7438D" w:rsidRPr="00AF20AB" w:rsidTr="00D45D70">
        <w:tc>
          <w:tcPr>
            <w:tcW w:w="1271" w:type="dxa"/>
            <w:tcBorders>
              <w:bottom w:val="single" w:sz="4" w:space="0" w:color="auto"/>
            </w:tcBorders>
            <w:vAlign w:val="center"/>
          </w:tcPr>
          <w:p w:rsidR="00E7438D" w:rsidRPr="00AF20AB" w:rsidRDefault="00E7438D" w:rsidP="00D45D70">
            <w:pPr>
              <w:pStyle w:val="TableText0"/>
              <w:keepNext w:val="0"/>
              <w:widowControl w:val="0"/>
              <w:rPr>
                <w:iCs/>
              </w:rPr>
            </w:pPr>
            <w:r w:rsidRPr="00AF20AB">
              <w:rPr>
                <w:iCs/>
              </w:rPr>
              <w:t>Lee 2013</w:t>
            </w:r>
          </w:p>
        </w:tc>
        <w:tc>
          <w:tcPr>
            <w:tcW w:w="3402" w:type="dxa"/>
            <w:tcBorders>
              <w:bottom w:val="single" w:sz="4" w:space="0" w:color="auto"/>
            </w:tcBorders>
            <w:vAlign w:val="center"/>
          </w:tcPr>
          <w:p w:rsidR="00E7438D" w:rsidRPr="00AF20AB" w:rsidRDefault="00E7438D" w:rsidP="00D45D70">
            <w:pPr>
              <w:pStyle w:val="TableText0"/>
              <w:keepNext w:val="0"/>
              <w:widowControl w:val="0"/>
              <w:rPr>
                <w:iCs/>
              </w:rPr>
            </w:pPr>
            <w:r w:rsidRPr="00AF20AB">
              <w:rPr>
                <w:iCs/>
                <w:u w:val="single"/>
              </w:rPr>
              <w:t>Design</w:t>
            </w:r>
            <w:r w:rsidRPr="00AF20AB">
              <w:rPr>
                <w:iCs/>
              </w:rPr>
              <w:t>: retrospective analysis</w:t>
            </w:r>
          </w:p>
          <w:p w:rsidR="00E7438D" w:rsidRPr="00AF20AB" w:rsidRDefault="00E7438D" w:rsidP="00D45D70">
            <w:pPr>
              <w:pStyle w:val="TableText0"/>
              <w:keepNext w:val="0"/>
              <w:widowControl w:val="0"/>
              <w:rPr>
                <w:iCs/>
              </w:rPr>
            </w:pPr>
            <w:r w:rsidRPr="00AF20AB">
              <w:rPr>
                <w:iCs/>
                <w:u w:val="single"/>
              </w:rPr>
              <w:t>Patient population</w:t>
            </w:r>
            <w:r w:rsidRPr="00AF20AB">
              <w:rPr>
                <w:iCs/>
              </w:rPr>
              <w:t>: MDS or CMML patients at three Korean institutes treated with azacitidine (N=75) or decitabine (N=74)</w:t>
            </w:r>
          </w:p>
          <w:p w:rsidR="00E7438D" w:rsidRPr="00AF20AB" w:rsidRDefault="00E7438D" w:rsidP="00D45D70">
            <w:pPr>
              <w:pStyle w:val="TableText0"/>
              <w:keepNext w:val="0"/>
              <w:widowControl w:val="0"/>
              <w:rPr>
                <w:iCs/>
              </w:rPr>
            </w:pPr>
            <w:r w:rsidRPr="00AF20AB">
              <w:rPr>
                <w:iCs/>
                <w:u w:val="single"/>
              </w:rPr>
              <w:t>Treatment</w:t>
            </w:r>
            <w:r w:rsidRPr="00AF20AB">
              <w:rPr>
                <w:iCs/>
              </w:rPr>
              <w:t xml:space="preserve">: azacitidine vs. decitabine </w:t>
            </w:r>
          </w:p>
          <w:p w:rsidR="00E7438D" w:rsidRPr="00AF20AB" w:rsidRDefault="00E7438D" w:rsidP="00D45D70">
            <w:pPr>
              <w:pStyle w:val="TableText0"/>
              <w:keepNext w:val="0"/>
              <w:widowControl w:val="0"/>
              <w:rPr>
                <w:iCs/>
              </w:rPr>
            </w:pPr>
            <w:r w:rsidRPr="00AF20AB">
              <w:rPr>
                <w:iCs/>
                <w:u w:val="single"/>
              </w:rPr>
              <w:t>Outcomes</w:t>
            </w:r>
            <w:r w:rsidRPr="00AF20AB">
              <w:rPr>
                <w:iCs/>
              </w:rPr>
              <w:t>: ORR, CR, PR, OS</w:t>
            </w:r>
          </w:p>
        </w:tc>
        <w:tc>
          <w:tcPr>
            <w:tcW w:w="4394" w:type="dxa"/>
            <w:tcBorders>
              <w:bottom w:val="single" w:sz="4" w:space="0" w:color="auto"/>
            </w:tcBorders>
            <w:vAlign w:val="center"/>
          </w:tcPr>
          <w:p w:rsidR="00E7438D" w:rsidRPr="00AF20AB" w:rsidRDefault="00E7438D" w:rsidP="00D45D70">
            <w:pPr>
              <w:pStyle w:val="TableText0"/>
              <w:keepNext w:val="0"/>
              <w:widowControl w:val="0"/>
              <w:rPr>
                <w:iCs/>
              </w:rPr>
            </w:pPr>
            <w:r w:rsidRPr="00AF20AB">
              <w:rPr>
                <w:iCs/>
              </w:rPr>
              <w:t>There was no significant difference between azacitidine and decitabine for ORR</w:t>
            </w:r>
            <w:r w:rsidR="00AF20AB">
              <w:rPr>
                <w:iCs/>
              </w:rPr>
              <w:t xml:space="preserve">. </w:t>
            </w:r>
            <w:r w:rsidRPr="00AF20AB">
              <w:rPr>
                <w:iCs/>
              </w:rPr>
              <w:t>In higher risk MDS, median OS was 16.8 months with azacitidine and 14.6 months with decitabine (no significant difference)</w:t>
            </w:r>
            <w:r w:rsidR="00AF20AB">
              <w:rPr>
                <w:iCs/>
              </w:rPr>
              <w:t xml:space="preserve">. </w:t>
            </w:r>
            <w:r w:rsidRPr="00AF20AB">
              <w:rPr>
                <w:iCs/>
              </w:rPr>
              <w:t>Subgroup analyses showed that azacitidine tended to be superior to decitabine in patients with MDS duration &gt;1 year, and was superior in patients with ECOG score of 2-3 (HR=3.520; 95% CI: 1.322, 9.367)</w:t>
            </w:r>
            <w:r w:rsidR="00AF20AB">
              <w:rPr>
                <w:iCs/>
              </w:rPr>
              <w:t xml:space="preserve">. </w:t>
            </w:r>
            <w:r w:rsidRPr="00AF20AB">
              <w:rPr>
                <w:iCs/>
              </w:rPr>
              <w:t>Decitabine was associated with more frequent Grade ≥3 neutropenia than azacitidine (p=0.040).</w:t>
            </w:r>
          </w:p>
        </w:tc>
      </w:tr>
      <w:tr w:rsidR="00E7438D" w:rsidRPr="00AF20AB" w:rsidTr="00D45D70">
        <w:tc>
          <w:tcPr>
            <w:tcW w:w="1271" w:type="dxa"/>
            <w:vAlign w:val="center"/>
          </w:tcPr>
          <w:p w:rsidR="00E7438D" w:rsidRPr="00AF20AB" w:rsidRDefault="00E7438D" w:rsidP="00D45D70">
            <w:pPr>
              <w:pStyle w:val="TableText0"/>
              <w:keepNext w:val="0"/>
              <w:widowControl w:val="0"/>
              <w:rPr>
                <w:iCs/>
              </w:rPr>
            </w:pPr>
            <w:r w:rsidRPr="00AF20AB">
              <w:rPr>
                <w:iCs/>
              </w:rPr>
              <w:t>Lee 2013a</w:t>
            </w:r>
          </w:p>
        </w:tc>
        <w:tc>
          <w:tcPr>
            <w:tcW w:w="3402" w:type="dxa"/>
            <w:vAlign w:val="center"/>
          </w:tcPr>
          <w:p w:rsidR="00E7438D" w:rsidRPr="00AF20AB" w:rsidRDefault="00E7438D" w:rsidP="00D45D70">
            <w:pPr>
              <w:pStyle w:val="TableText0"/>
              <w:keepNext w:val="0"/>
              <w:widowControl w:val="0"/>
              <w:rPr>
                <w:iCs/>
              </w:rPr>
            </w:pPr>
            <w:r w:rsidRPr="00AF20AB">
              <w:rPr>
                <w:iCs/>
                <w:u w:val="single"/>
              </w:rPr>
              <w:t>Design</w:t>
            </w:r>
            <w:r w:rsidRPr="00AF20AB">
              <w:rPr>
                <w:iCs/>
              </w:rPr>
              <w:t>: retrospective analysis</w:t>
            </w:r>
          </w:p>
          <w:p w:rsidR="00E7438D" w:rsidRPr="00AF20AB" w:rsidRDefault="00E7438D" w:rsidP="00D45D70">
            <w:pPr>
              <w:pStyle w:val="TableText0"/>
              <w:keepNext w:val="0"/>
              <w:widowControl w:val="0"/>
              <w:rPr>
                <w:iCs/>
              </w:rPr>
            </w:pPr>
            <w:r w:rsidRPr="00AF20AB">
              <w:rPr>
                <w:iCs/>
                <w:u w:val="single"/>
              </w:rPr>
              <w:t>Patient popula</w:t>
            </w:r>
            <w:r w:rsidRPr="00AF20AB">
              <w:rPr>
                <w:iCs/>
              </w:rPr>
              <w:t>tion: MDS patients sourced from the Korean MDS registry treated with azacitidine (N=203) or decitabine (N=97)</w:t>
            </w:r>
            <w:r w:rsidR="00AF20AB">
              <w:rPr>
                <w:iCs/>
              </w:rPr>
              <w:t xml:space="preserve">. </w:t>
            </w:r>
            <w:r w:rsidRPr="00AF20AB">
              <w:rPr>
                <w:iCs/>
              </w:rPr>
              <w:t>Propensity-matched cohort of 97 patients in each group.</w:t>
            </w:r>
          </w:p>
          <w:p w:rsidR="00E7438D" w:rsidRPr="00AF20AB" w:rsidRDefault="00E7438D" w:rsidP="00D45D70">
            <w:pPr>
              <w:pStyle w:val="TableText0"/>
              <w:keepNext w:val="0"/>
              <w:widowControl w:val="0"/>
              <w:rPr>
                <w:iCs/>
              </w:rPr>
            </w:pPr>
            <w:r w:rsidRPr="00AF20AB">
              <w:rPr>
                <w:iCs/>
                <w:u w:val="single"/>
              </w:rPr>
              <w:t>Treatment</w:t>
            </w:r>
            <w:r w:rsidRPr="00AF20AB">
              <w:rPr>
                <w:iCs/>
              </w:rPr>
              <w:t>: azacitidine vs. decitabine</w:t>
            </w:r>
          </w:p>
          <w:p w:rsidR="00E7438D" w:rsidRPr="00AF20AB" w:rsidRDefault="00E7438D" w:rsidP="00D45D70">
            <w:pPr>
              <w:pStyle w:val="TableText0"/>
              <w:keepNext w:val="0"/>
              <w:widowControl w:val="0"/>
              <w:rPr>
                <w:iCs/>
              </w:rPr>
            </w:pPr>
            <w:r w:rsidRPr="00AF20AB">
              <w:rPr>
                <w:iCs/>
                <w:u w:val="single"/>
              </w:rPr>
              <w:t>Outcomes</w:t>
            </w:r>
            <w:r w:rsidRPr="00AF20AB">
              <w:rPr>
                <w:iCs/>
              </w:rPr>
              <w:t>: OS, ORR, CR, PR, time to AML transformation</w:t>
            </w:r>
          </w:p>
        </w:tc>
        <w:tc>
          <w:tcPr>
            <w:tcW w:w="4394" w:type="dxa"/>
            <w:vAlign w:val="center"/>
          </w:tcPr>
          <w:p w:rsidR="00E7438D" w:rsidRPr="00AF20AB" w:rsidRDefault="00E7438D" w:rsidP="00D45D70">
            <w:pPr>
              <w:pStyle w:val="TableText0"/>
              <w:keepNext w:val="0"/>
              <w:widowControl w:val="0"/>
              <w:rPr>
                <w:iCs/>
              </w:rPr>
            </w:pPr>
            <w:r w:rsidRPr="00AF20AB">
              <w:rPr>
                <w:iCs/>
              </w:rPr>
              <w:t xml:space="preserve">No significant difference in ORR between azacitidine and decitabine in the overall cohort and the propensity-matched </w:t>
            </w:r>
            <w:r w:rsidR="00176B0B" w:rsidRPr="00AF20AB">
              <w:rPr>
                <w:iCs/>
              </w:rPr>
              <w:t>cohort</w:t>
            </w:r>
            <w:r w:rsidR="00FB0AD5" w:rsidRPr="00AF20AB">
              <w:rPr>
                <w:iCs/>
              </w:rPr>
              <w:t>.</w:t>
            </w:r>
            <w:r w:rsidR="00176B0B" w:rsidRPr="00AF20AB">
              <w:rPr>
                <w:iCs/>
              </w:rPr>
              <w:t xml:space="preserve"> The</w:t>
            </w:r>
            <w:r w:rsidRPr="00AF20AB">
              <w:rPr>
                <w:iCs/>
              </w:rPr>
              <w:t xml:space="preserve"> proportion of patients with marrow complete response was greater for decitabine than azacitidine (p=0.006). There was no significant difference in OS between azacitidine and decitabine (HR=1.0; 95% CI: 0.71, 1.43), and also no difference in OS for the propensity-matched cohort.</w:t>
            </w:r>
          </w:p>
          <w:p w:rsidR="00E7438D" w:rsidRPr="00AF20AB" w:rsidRDefault="00E7438D" w:rsidP="00FB0AD5">
            <w:pPr>
              <w:pStyle w:val="TableText0"/>
              <w:keepNext w:val="0"/>
              <w:widowControl w:val="0"/>
              <w:rPr>
                <w:iCs/>
              </w:rPr>
            </w:pPr>
            <w:r w:rsidRPr="00AF20AB">
              <w:rPr>
                <w:iCs/>
              </w:rPr>
              <w:t>Grade 3 or 4 neutropenia was more common in the decitabine group (87%) than the azacitidine group (67%) and higher incidence was unchanged in the propensity-matched cohort. The number of infectious episodes treated with intravenous antimicrobials was significantly lower in the azacitidine group (RR=0.75; 95% CI: 0.58, 0.96).</w:t>
            </w:r>
          </w:p>
        </w:tc>
      </w:tr>
    </w:tbl>
    <w:p w:rsidR="00E7438D" w:rsidRPr="00AF20AB" w:rsidRDefault="00E7438D" w:rsidP="00E7438D">
      <w:pPr>
        <w:pStyle w:val="TableFigureFooter"/>
        <w:rPr>
          <w:iCs/>
        </w:rPr>
      </w:pPr>
      <w:r w:rsidRPr="00AF20AB">
        <w:rPr>
          <w:iCs/>
        </w:rPr>
        <w:t>Source: Lee 2013; Lee 2013a</w:t>
      </w:r>
    </w:p>
    <w:p w:rsidR="00620C25" w:rsidRPr="00AF20AB" w:rsidRDefault="00E7438D" w:rsidP="00E7438D">
      <w:pPr>
        <w:pStyle w:val="TableFigureFooter"/>
      </w:pPr>
      <w:r w:rsidRPr="00AF20AB">
        <w:rPr>
          <w:iCs/>
        </w:rPr>
        <w:t>AML=acute myeloid leukaemia; CMML=chronic myelomonocytic leukaemia; CR=complete response; HMA=-hypomethylating agent; HSCT=haematopoietic stem cell transplantation; MDS=myelodysplastic syndrome; ORR=overall response rate</w:t>
      </w:r>
      <w:r w:rsidR="00176B0B" w:rsidRPr="00AF20AB">
        <w:rPr>
          <w:iCs/>
        </w:rPr>
        <w:t>; OS</w:t>
      </w:r>
      <w:r w:rsidRPr="00AF20AB">
        <w:rPr>
          <w:iCs/>
        </w:rPr>
        <w:t>=overall survival; PR=partial response</w:t>
      </w:r>
    </w:p>
    <w:p w:rsidR="00E7438D" w:rsidRPr="00AF20AB" w:rsidRDefault="00C23FC7" w:rsidP="00457CD4">
      <w:pPr>
        <w:pStyle w:val="3-BodyText"/>
      </w:pPr>
      <w:r w:rsidRPr="00AF20AB">
        <w:t xml:space="preserve">The Lee </w:t>
      </w:r>
      <w:r w:rsidR="00457CD4">
        <w:t xml:space="preserve">et al., </w:t>
      </w:r>
      <w:r w:rsidRPr="00AF20AB">
        <w:t xml:space="preserve">2013 comparison was based on patients at three Korean institutes treated between </w:t>
      </w:r>
      <w:r w:rsidR="00457CD4">
        <w:t>2006 and 2010, while the Lee et al., 2013a</w:t>
      </w:r>
      <w:r w:rsidR="00486F45" w:rsidRPr="00AF20AB">
        <w:t xml:space="preserve"> comparison was based on patients in the Korean MDS registry who were treated between 2004 and 2011</w:t>
      </w:r>
      <w:r w:rsidR="00AF20AB">
        <w:t xml:space="preserve">. </w:t>
      </w:r>
      <w:r w:rsidR="00486F45" w:rsidRPr="00AF20AB">
        <w:t>While there could be some overlap between the patient populations, th</w:t>
      </w:r>
      <w:r w:rsidR="00E870D0" w:rsidRPr="00AF20AB">
        <w:t>e degree of this overlap</w:t>
      </w:r>
      <w:r w:rsidR="00486F45" w:rsidRPr="00AF20AB">
        <w:t xml:space="preserve"> c</w:t>
      </w:r>
      <w:r w:rsidR="00FB0AD5" w:rsidRPr="00AF20AB">
        <w:t xml:space="preserve">ould </w:t>
      </w:r>
      <w:r w:rsidR="00486F45" w:rsidRPr="00AF20AB">
        <w:t xml:space="preserve">not be determined. </w:t>
      </w:r>
      <w:r w:rsidR="00E7438D" w:rsidRPr="00AF20AB">
        <w:t>The results of both studies showed there was no significant difference between decitabine and azacitidine for overall response rate (ORR).</w:t>
      </w:r>
      <w:r w:rsidR="00457CD4">
        <w:t xml:space="preserve"> In Lee </w:t>
      </w:r>
      <w:r w:rsidR="00457CD4" w:rsidRPr="00457CD4">
        <w:t xml:space="preserve">et al., </w:t>
      </w:r>
      <w:r w:rsidR="00457CD4">
        <w:t>2013</w:t>
      </w:r>
      <w:r w:rsidR="00781F30" w:rsidRPr="00AF20AB">
        <w:t xml:space="preserve"> </w:t>
      </w:r>
      <w:r w:rsidR="00FB0AD5" w:rsidRPr="00AF20AB">
        <w:t xml:space="preserve">the </w:t>
      </w:r>
      <w:r w:rsidR="00781F30" w:rsidRPr="00AF20AB">
        <w:t>subgroup analyses for overall survival (OS) showed that azacitidine tended to be superior to decitabine in patients with MDS duration &gt;1 year, and was superior in patients with ECOG score of 2-3 (HR=3.520; 95% CI: 1.322, 9.367)</w:t>
      </w:r>
      <w:r w:rsidR="00AF20AB">
        <w:t xml:space="preserve">. </w:t>
      </w:r>
      <w:r w:rsidR="00781F30" w:rsidRPr="00AF20AB">
        <w:t>Both studies showed significantly greater occurrence of Grade ≥3 neutropenia and other adverse events (AEs) with decitabine. The results are consistent with the submission’s indirect comparisons, where significant advantages were observed for azacitidine (see ‘Comparative effectiveness</w:t>
      </w:r>
      <w:r w:rsidR="00FF4F38" w:rsidRPr="00AF20AB">
        <w:t>’</w:t>
      </w:r>
      <w:r w:rsidR="00781F30" w:rsidRPr="00AF20AB">
        <w:t xml:space="preserve"> below). </w:t>
      </w:r>
      <w:r w:rsidR="00E91F8F" w:rsidRPr="00AF20AB">
        <w:t xml:space="preserve">The pre-PBAC Response considered that patients with ECOG 2-3 would </w:t>
      </w:r>
      <w:r w:rsidR="00E45A7E" w:rsidRPr="00AF20AB">
        <w:t xml:space="preserve">likely represent a small proportion of patients who would be eligible for decitabine+cedazuridine. The pre-PBAC further noted that </w:t>
      </w:r>
      <w:r w:rsidR="00AE2BA0" w:rsidRPr="00AF20AB">
        <w:t xml:space="preserve">there was no difference in terms of OS between therapies for the </w:t>
      </w:r>
      <w:r w:rsidR="00AE2BA0" w:rsidRPr="00AF20AB">
        <w:rPr>
          <w:iCs/>
        </w:rPr>
        <w:t>IPSS intermediate-2</w:t>
      </w:r>
      <w:r w:rsidR="00457CD4">
        <w:rPr>
          <w:iCs/>
        </w:rPr>
        <w:t xml:space="preserve"> and high risk subgroup in Lee et al., 2013</w:t>
      </w:r>
      <w:r w:rsidR="00AE2BA0" w:rsidRPr="00AF20AB">
        <w:rPr>
          <w:iCs/>
        </w:rPr>
        <w:t xml:space="preserve">. </w:t>
      </w:r>
    </w:p>
    <w:p w:rsidR="00B60939" w:rsidRPr="00AF20AB" w:rsidRDefault="00B60939" w:rsidP="00EC5836">
      <w:pPr>
        <w:pStyle w:val="4-SubsectionHeading"/>
      </w:pPr>
      <w:bookmarkStart w:id="11" w:name="_Toc22897641"/>
      <w:bookmarkStart w:id="12" w:name="_Toc62045608"/>
      <w:r w:rsidRPr="00AF20AB">
        <w:t>Comparative effectiveness</w:t>
      </w:r>
      <w:bookmarkEnd w:id="11"/>
      <w:bookmarkEnd w:id="12"/>
    </w:p>
    <w:p w:rsidR="002C2775" w:rsidRPr="00AF20AB" w:rsidRDefault="00BB44D3" w:rsidP="00BB44D3">
      <w:pPr>
        <w:pStyle w:val="3-BodyText"/>
        <w:numPr>
          <w:ilvl w:val="0"/>
          <w:numId w:val="0"/>
        </w:numPr>
        <w:rPr>
          <w:u w:val="single"/>
        </w:rPr>
      </w:pPr>
      <w:r w:rsidRPr="00AF20AB">
        <w:rPr>
          <w:u w:val="single"/>
        </w:rPr>
        <w:t>Indirect comparison – IV decitabine vs. azacitidine</w:t>
      </w:r>
    </w:p>
    <w:p w:rsidR="00BB44D3" w:rsidRPr="00AF20AB" w:rsidRDefault="0023201A" w:rsidP="00EC5836">
      <w:pPr>
        <w:pStyle w:val="3-BodyText"/>
      </w:pPr>
      <w:r w:rsidRPr="00AF20AB">
        <w:t xml:space="preserve">The table below provides results for the indirect comparison of </w:t>
      </w:r>
      <w:r w:rsidR="00085125" w:rsidRPr="00AF20AB">
        <w:t>I</w:t>
      </w:r>
      <w:r w:rsidRPr="00AF20AB">
        <w:t>V decitabine and azacitidine for survival outcomes</w:t>
      </w:r>
      <w:r w:rsidR="00FF4F38" w:rsidRPr="00AF20AB">
        <w:t>, including subgroup analyses of OS</w:t>
      </w:r>
      <w:r w:rsidRPr="00AF20AB">
        <w:t>.</w:t>
      </w:r>
    </w:p>
    <w:p w:rsidR="00C85EC8" w:rsidRPr="00AF20AB" w:rsidRDefault="00C85EC8">
      <w:pPr>
        <w:jc w:val="left"/>
        <w:rPr>
          <w:rStyle w:val="CommentReference"/>
          <w:bCs/>
          <w:snapToGrid w:val="0"/>
          <w:szCs w:val="24"/>
        </w:rPr>
      </w:pPr>
      <w:r w:rsidRPr="00AF20AB">
        <w:rPr>
          <w:rStyle w:val="CommentReference"/>
          <w:bCs/>
          <w:szCs w:val="24"/>
        </w:rPr>
        <w:br w:type="page"/>
      </w:r>
    </w:p>
    <w:p w:rsidR="0023201A" w:rsidRPr="00AF20AB" w:rsidRDefault="00085125" w:rsidP="00D616D5">
      <w:pPr>
        <w:pStyle w:val="3-BodyText"/>
        <w:numPr>
          <w:ilvl w:val="0"/>
          <w:numId w:val="0"/>
        </w:numPr>
        <w:spacing w:after="0"/>
      </w:pPr>
      <w:r w:rsidRPr="00AF20AB">
        <w:rPr>
          <w:rStyle w:val="CommentReference"/>
          <w:bCs/>
          <w:szCs w:val="24"/>
        </w:rPr>
        <w:t xml:space="preserve">Table </w:t>
      </w:r>
      <w:r w:rsidR="00CF1BE4" w:rsidRPr="00AF20AB">
        <w:rPr>
          <w:rStyle w:val="CommentReference"/>
          <w:bCs/>
          <w:szCs w:val="24"/>
        </w:rPr>
        <w:t>6</w:t>
      </w:r>
      <w:r w:rsidRPr="00AF20AB">
        <w:rPr>
          <w:rStyle w:val="CommentReference"/>
          <w:bCs/>
          <w:szCs w:val="24"/>
        </w:rPr>
        <w:t>:</w:t>
      </w:r>
      <w:r w:rsidRPr="00AF20AB">
        <w:rPr>
          <w:rStyle w:val="CommentReference"/>
          <w:b w:val="0"/>
          <w:szCs w:val="24"/>
        </w:rPr>
        <w:t xml:space="preserve"> </w:t>
      </w:r>
      <w:r w:rsidRPr="00AF20AB">
        <w:rPr>
          <w:rFonts w:ascii="Arial Narrow" w:hAnsi="Arial Narrow"/>
          <w:b/>
          <w:bCs/>
          <w:sz w:val="20"/>
          <w:szCs w:val="20"/>
        </w:rPr>
        <w:t>Results of the indirect comparison of decitabine IV and azacitidine for OS</w:t>
      </w:r>
      <w:r w:rsidR="00F21D18" w:rsidRPr="00AF20AB">
        <w:rPr>
          <w:rFonts w:ascii="Arial Narrow" w:hAnsi="Arial Narrow"/>
          <w:b/>
          <w:bCs/>
          <w:sz w:val="20"/>
          <w:szCs w:val="20"/>
        </w:rPr>
        <w:t xml:space="preserve"> and time to AML</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427"/>
        <w:gridCol w:w="1844"/>
        <w:gridCol w:w="1516"/>
        <w:gridCol w:w="2028"/>
      </w:tblGrid>
      <w:tr w:rsidR="00D616D5" w:rsidRPr="00AF20AB" w:rsidTr="00597925">
        <w:trPr>
          <w:tblHeader/>
        </w:trPr>
        <w:tc>
          <w:tcPr>
            <w:tcW w:w="1183" w:type="pct"/>
            <w:vMerge w:val="restart"/>
            <w:vAlign w:val="center"/>
          </w:tcPr>
          <w:p w:rsidR="00D616D5" w:rsidRPr="00AF20AB" w:rsidRDefault="00D616D5" w:rsidP="00FF4F38">
            <w:pPr>
              <w:pStyle w:val="In-tableHeading"/>
              <w:keepNext w:val="0"/>
              <w:widowControl w:val="0"/>
              <w:rPr>
                <w:bCs/>
                <w:lang w:val="en-AU"/>
              </w:rPr>
            </w:pPr>
          </w:p>
        </w:tc>
        <w:tc>
          <w:tcPr>
            <w:tcW w:w="2681" w:type="pct"/>
            <w:gridSpan w:val="3"/>
            <w:vAlign w:val="center"/>
          </w:tcPr>
          <w:p w:rsidR="00D616D5" w:rsidRPr="00AF20AB" w:rsidRDefault="00D616D5" w:rsidP="00FF4F38">
            <w:pPr>
              <w:pStyle w:val="In-tableHeading"/>
              <w:keepNext w:val="0"/>
              <w:widowControl w:val="0"/>
              <w:jc w:val="center"/>
              <w:rPr>
                <w:szCs w:val="20"/>
                <w:lang w:val="en-AU"/>
              </w:rPr>
            </w:pPr>
            <w:r w:rsidRPr="00AF20AB">
              <w:rPr>
                <w:szCs w:val="20"/>
                <w:lang w:val="en-AU"/>
              </w:rPr>
              <w:t>Overall survival - median months (95% CI)</w:t>
            </w:r>
          </w:p>
        </w:tc>
        <w:tc>
          <w:tcPr>
            <w:tcW w:w="1136" w:type="pct"/>
            <w:vMerge w:val="restart"/>
            <w:vAlign w:val="center"/>
          </w:tcPr>
          <w:p w:rsidR="00D616D5" w:rsidRPr="00AF20AB" w:rsidRDefault="00D616D5" w:rsidP="00FF4F38">
            <w:pPr>
              <w:pStyle w:val="In-tableHeading"/>
              <w:widowControl w:val="0"/>
              <w:jc w:val="center"/>
              <w:rPr>
                <w:szCs w:val="20"/>
                <w:lang w:val="en-AU"/>
              </w:rPr>
            </w:pPr>
            <w:r w:rsidRPr="00AF20AB">
              <w:rPr>
                <w:szCs w:val="20"/>
                <w:lang w:val="en-AU"/>
              </w:rPr>
              <w:t>HR (95% CI)</w:t>
            </w:r>
          </w:p>
        </w:tc>
      </w:tr>
      <w:tr w:rsidR="00D616D5" w:rsidRPr="00AF20AB" w:rsidTr="00597925">
        <w:trPr>
          <w:tblHeader/>
        </w:trPr>
        <w:tc>
          <w:tcPr>
            <w:tcW w:w="1183" w:type="pct"/>
            <w:vMerge/>
            <w:vAlign w:val="center"/>
          </w:tcPr>
          <w:p w:rsidR="00D616D5" w:rsidRPr="00AF20AB" w:rsidRDefault="00D616D5" w:rsidP="00FF4F38">
            <w:pPr>
              <w:pStyle w:val="In-tableHeading"/>
              <w:keepNext w:val="0"/>
              <w:widowControl w:val="0"/>
              <w:rPr>
                <w:bCs/>
                <w:lang w:val="en-AU"/>
              </w:rPr>
            </w:pPr>
          </w:p>
        </w:tc>
        <w:tc>
          <w:tcPr>
            <w:tcW w:w="799" w:type="pct"/>
            <w:vAlign w:val="center"/>
          </w:tcPr>
          <w:p w:rsidR="00D616D5" w:rsidRPr="00AF20AB" w:rsidRDefault="00D616D5" w:rsidP="00FF4F38">
            <w:pPr>
              <w:pStyle w:val="In-tableHeading"/>
              <w:keepNext w:val="0"/>
              <w:widowControl w:val="0"/>
              <w:jc w:val="center"/>
              <w:rPr>
                <w:bCs/>
                <w:lang w:val="en-AU"/>
              </w:rPr>
            </w:pPr>
            <w:r w:rsidRPr="00AF20AB">
              <w:rPr>
                <w:bCs/>
                <w:szCs w:val="20"/>
                <w:lang w:val="en-AU"/>
              </w:rPr>
              <w:t>Decitabine IV</w:t>
            </w:r>
          </w:p>
        </w:tc>
        <w:tc>
          <w:tcPr>
            <w:tcW w:w="1033" w:type="pct"/>
            <w:vAlign w:val="center"/>
          </w:tcPr>
          <w:p w:rsidR="00D616D5" w:rsidRPr="00AF20AB" w:rsidRDefault="00D616D5" w:rsidP="00FF4F38">
            <w:pPr>
              <w:pStyle w:val="V50Instructions"/>
              <w:widowControl w:val="0"/>
              <w:spacing w:before="0" w:after="0"/>
              <w:jc w:val="center"/>
              <w:rPr>
                <w:rFonts w:ascii="Arial Narrow" w:hAnsi="Arial Narrow"/>
                <w:b/>
                <w:bCs/>
                <w:color w:val="auto"/>
                <w:sz w:val="20"/>
                <w:szCs w:val="20"/>
              </w:rPr>
            </w:pPr>
            <w:r w:rsidRPr="00AF20AB">
              <w:rPr>
                <w:rFonts w:ascii="Arial Narrow" w:hAnsi="Arial Narrow"/>
                <w:b/>
                <w:bCs/>
                <w:color w:val="auto"/>
                <w:sz w:val="20"/>
                <w:szCs w:val="20"/>
              </w:rPr>
              <w:t xml:space="preserve">Common reference </w:t>
            </w:r>
          </w:p>
          <w:p w:rsidR="00D616D5" w:rsidRPr="00AF20AB" w:rsidRDefault="00D616D5" w:rsidP="00FF4F38">
            <w:pPr>
              <w:pStyle w:val="In-tableHeading"/>
              <w:keepNext w:val="0"/>
              <w:widowControl w:val="0"/>
              <w:jc w:val="center"/>
              <w:rPr>
                <w:bCs/>
                <w:lang w:val="en-AU"/>
              </w:rPr>
            </w:pPr>
            <w:r w:rsidRPr="00AF20AB">
              <w:rPr>
                <w:bCs/>
                <w:szCs w:val="20"/>
                <w:lang w:val="en-AU"/>
              </w:rPr>
              <w:t>BSC</w:t>
            </w:r>
          </w:p>
        </w:tc>
        <w:tc>
          <w:tcPr>
            <w:tcW w:w="849" w:type="pct"/>
            <w:vAlign w:val="center"/>
          </w:tcPr>
          <w:p w:rsidR="00D616D5" w:rsidRPr="00AF20AB" w:rsidRDefault="00D616D5" w:rsidP="00FF4F38">
            <w:pPr>
              <w:pStyle w:val="In-tableHeading"/>
              <w:keepNext w:val="0"/>
              <w:widowControl w:val="0"/>
              <w:jc w:val="center"/>
              <w:rPr>
                <w:bCs/>
                <w:lang w:val="en-AU"/>
              </w:rPr>
            </w:pPr>
            <w:r w:rsidRPr="00AF20AB">
              <w:rPr>
                <w:bCs/>
                <w:szCs w:val="20"/>
                <w:lang w:val="en-AU"/>
              </w:rPr>
              <w:t>Azacitidine</w:t>
            </w:r>
          </w:p>
        </w:tc>
        <w:tc>
          <w:tcPr>
            <w:tcW w:w="1136" w:type="pct"/>
            <w:vMerge/>
            <w:vAlign w:val="center"/>
          </w:tcPr>
          <w:p w:rsidR="00D616D5" w:rsidRPr="00AF20AB" w:rsidRDefault="00D616D5" w:rsidP="00FF4F38">
            <w:pPr>
              <w:pStyle w:val="In-tableHeading"/>
              <w:keepNext w:val="0"/>
              <w:widowControl w:val="0"/>
              <w:jc w:val="center"/>
              <w:rPr>
                <w:lang w:val="en-AU"/>
              </w:rPr>
            </w:pPr>
          </w:p>
        </w:tc>
      </w:tr>
      <w:tr w:rsidR="00D616D5" w:rsidRPr="00AF20AB" w:rsidTr="00597925">
        <w:tc>
          <w:tcPr>
            <w:tcW w:w="5000" w:type="pct"/>
            <w:gridSpan w:val="5"/>
            <w:vAlign w:val="center"/>
          </w:tcPr>
          <w:p w:rsidR="00D616D5" w:rsidRPr="00AF20AB" w:rsidRDefault="00D616D5" w:rsidP="00FF4F38">
            <w:pPr>
              <w:pStyle w:val="TableText0"/>
              <w:keepNext w:val="0"/>
              <w:widowControl w:val="0"/>
              <w:rPr>
                <w:b/>
                <w:szCs w:val="20"/>
              </w:rPr>
            </w:pPr>
            <w:r w:rsidRPr="00AF20AB">
              <w:rPr>
                <w:b/>
                <w:szCs w:val="20"/>
              </w:rPr>
              <w:t>Base case</w:t>
            </w:r>
            <w:r w:rsidR="00A309B0" w:rsidRPr="00AF20AB">
              <w:rPr>
                <w:b/>
                <w:szCs w:val="20"/>
              </w:rPr>
              <w:t xml:space="preserve"> - OS</w:t>
            </w:r>
          </w:p>
        </w:tc>
      </w:tr>
      <w:tr w:rsidR="00D616D5" w:rsidRPr="00AF20AB" w:rsidTr="00597925">
        <w:tc>
          <w:tcPr>
            <w:tcW w:w="1183" w:type="pct"/>
            <w:vAlign w:val="center"/>
          </w:tcPr>
          <w:p w:rsidR="00D616D5" w:rsidRPr="00AF20AB" w:rsidRDefault="00D616D5" w:rsidP="00FF4F38">
            <w:pPr>
              <w:pStyle w:val="TableText0"/>
              <w:keepNext w:val="0"/>
              <w:widowControl w:val="0"/>
            </w:pPr>
            <w:r w:rsidRPr="00AF20AB">
              <w:rPr>
                <w:szCs w:val="20"/>
              </w:rPr>
              <w:t xml:space="preserve">Kantarjian 2006 </w:t>
            </w:r>
          </w:p>
        </w:tc>
        <w:tc>
          <w:tcPr>
            <w:tcW w:w="799" w:type="pct"/>
            <w:vAlign w:val="center"/>
          </w:tcPr>
          <w:p w:rsidR="00D616D5" w:rsidRPr="00AF20AB" w:rsidRDefault="00D616D5" w:rsidP="00FF4F38">
            <w:pPr>
              <w:pStyle w:val="V50Instructions"/>
              <w:widowControl w:val="0"/>
              <w:spacing w:before="0" w:after="0"/>
              <w:jc w:val="center"/>
              <w:rPr>
                <w:rFonts w:ascii="Arial Narrow" w:hAnsi="Arial Narrow"/>
                <w:color w:val="auto"/>
                <w:sz w:val="20"/>
                <w:szCs w:val="20"/>
              </w:rPr>
            </w:pPr>
            <w:r w:rsidRPr="00AF20AB">
              <w:rPr>
                <w:rFonts w:ascii="Arial Narrow" w:hAnsi="Arial Narrow"/>
                <w:color w:val="auto"/>
                <w:sz w:val="20"/>
                <w:szCs w:val="20"/>
              </w:rPr>
              <w:t xml:space="preserve">N=89 </w:t>
            </w:r>
          </w:p>
          <w:p w:rsidR="00D616D5" w:rsidRPr="00AF20AB" w:rsidRDefault="00D616D5" w:rsidP="00FF4F38">
            <w:pPr>
              <w:pStyle w:val="TableText0"/>
              <w:keepNext w:val="0"/>
              <w:widowControl w:val="0"/>
              <w:jc w:val="center"/>
            </w:pPr>
            <w:r w:rsidRPr="00AF20AB">
              <w:rPr>
                <w:szCs w:val="20"/>
              </w:rPr>
              <w:t>14</w:t>
            </w:r>
          </w:p>
        </w:tc>
        <w:tc>
          <w:tcPr>
            <w:tcW w:w="1033" w:type="pct"/>
            <w:vAlign w:val="center"/>
          </w:tcPr>
          <w:p w:rsidR="00D616D5" w:rsidRPr="00AF20AB" w:rsidRDefault="00D616D5" w:rsidP="00FF4F38">
            <w:pPr>
              <w:pStyle w:val="V50Instructions"/>
              <w:widowControl w:val="0"/>
              <w:spacing w:before="0" w:after="0"/>
              <w:jc w:val="center"/>
              <w:rPr>
                <w:rFonts w:ascii="Arial Narrow" w:hAnsi="Arial Narrow"/>
                <w:color w:val="auto"/>
                <w:sz w:val="20"/>
                <w:szCs w:val="20"/>
              </w:rPr>
            </w:pPr>
            <w:r w:rsidRPr="00AF20AB">
              <w:rPr>
                <w:rFonts w:ascii="Arial Narrow" w:hAnsi="Arial Narrow"/>
                <w:color w:val="auto"/>
                <w:sz w:val="20"/>
                <w:szCs w:val="20"/>
              </w:rPr>
              <w:t>N=81</w:t>
            </w:r>
          </w:p>
          <w:p w:rsidR="00D616D5" w:rsidRPr="00AF20AB" w:rsidRDefault="00D616D5" w:rsidP="00FF4F38">
            <w:pPr>
              <w:pStyle w:val="TableText0"/>
              <w:keepNext w:val="0"/>
              <w:widowControl w:val="0"/>
              <w:jc w:val="center"/>
            </w:pPr>
            <w:r w:rsidRPr="00AF20AB">
              <w:rPr>
                <w:szCs w:val="20"/>
              </w:rPr>
              <w:t>14.9</w:t>
            </w:r>
          </w:p>
        </w:tc>
        <w:tc>
          <w:tcPr>
            <w:tcW w:w="849" w:type="pct"/>
            <w:vAlign w:val="center"/>
          </w:tcPr>
          <w:p w:rsidR="00D616D5" w:rsidRPr="00AF20AB" w:rsidRDefault="00D616D5" w:rsidP="00FF4F38">
            <w:pPr>
              <w:pStyle w:val="TableText0"/>
              <w:keepNext w:val="0"/>
              <w:widowControl w:val="0"/>
              <w:jc w:val="center"/>
            </w:pPr>
            <w:r w:rsidRPr="00AF20AB">
              <w:rPr>
                <w:szCs w:val="20"/>
              </w:rPr>
              <w:t>-</w:t>
            </w:r>
          </w:p>
        </w:tc>
        <w:tc>
          <w:tcPr>
            <w:tcW w:w="1136" w:type="pct"/>
            <w:vAlign w:val="center"/>
          </w:tcPr>
          <w:p w:rsidR="00D616D5" w:rsidRPr="00AF20AB" w:rsidRDefault="00D616D5" w:rsidP="00FF4F38">
            <w:pPr>
              <w:pStyle w:val="TableText0"/>
              <w:keepNext w:val="0"/>
              <w:widowControl w:val="0"/>
              <w:jc w:val="center"/>
            </w:pPr>
            <w:r w:rsidRPr="00AF20AB">
              <w:rPr>
                <w:bCs w:val="0"/>
                <w:szCs w:val="20"/>
              </w:rPr>
              <w:t>1.19 (0.83, 1.69)</w:t>
            </w:r>
          </w:p>
        </w:tc>
      </w:tr>
      <w:tr w:rsidR="00D616D5" w:rsidRPr="00AF20AB" w:rsidTr="00597925">
        <w:tc>
          <w:tcPr>
            <w:tcW w:w="1183" w:type="pct"/>
            <w:vAlign w:val="center"/>
          </w:tcPr>
          <w:p w:rsidR="00D616D5" w:rsidRPr="00AF20AB" w:rsidRDefault="00D616D5" w:rsidP="00FF4F38">
            <w:pPr>
              <w:pStyle w:val="TableText0"/>
              <w:keepNext w:val="0"/>
              <w:widowControl w:val="0"/>
            </w:pPr>
            <w:r w:rsidRPr="00AF20AB">
              <w:rPr>
                <w:szCs w:val="20"/>
              </w:rPr>
              <w:t xml:space="preserve">Lubbert 2011 </w:t>
            </w:r>
          </w:p>
        </w:tc>
        <w:tc>
          <w:tcPr>
            <w:tcW w:w="799" w:type="pct"/>
            <w:vAlign w:val="center"/>
          </w:tcPr>
          <w:p w:rsidR="00D616D5" w:rsidRPr="00AF20AB" w:rsidRDefault="00D616D5" w:rsidP="00FF4F38">
            <w:pPr>
              <w:pStyle w:val="V50Instructions"/>
              <w:widowControl w:val="0"/>
              <w:spacing w:before="0" w:after="0"/>
              <w:jc w:val="center"/>
              <w:rPr>
                <w:rFonts w:ascii="Arial Narrow" w:hAnsi="Arial Narrow"/>
                <w:color w:val="auto"/>
                <w:sz w:val="20"/>
                <w:szCs w:val="20"/>
              </w:rPr>
            </w:pPr>
            <w:r w:rsidRPr="00AF20AB">
              <w:rPr>
                <w:rFonts w:ascii="Arial Narrow" w:hAnsi="Arial Narrow"/>
                <w:color w:val="auto"/>
                <w:sz w:val="20"/>
                <w:szCs w:val="20"/>
              </w:rPr>
              <w:t>N=119</w:t>
            </w:r>
          </w:p>
          <w:p w:rsidR="00D616D5" w:rsidRPr="00AF20AB" w:rsidRDefault="00D616D5" w:rsidP="00FF4F38">
            <w:pPr>
              <w:pStyle w:val="TableText0"/>
              <w:keepNext w:val="0"/>
              <w:widowControl w:val="0"/>
              <w:jc w:val="center"/>
            </w:pPr>
            <w:r w:rsidRPr="00AF20AB">
              <w:rPr>
                <w:szCs w:val="20"/>
              </w:rPr>
              <w:t>10.1</w:t>
            </w:r>
          </w:p>
        </w:tc>
        <w:tc>
          <w:tcPr>
            <w:tcW w:w="1033" w:type="pct"/>
            <w:vAlign w:val="center"/>
          </w:tcPr>
          <w:p w:rsidR="00D616D5" w:rsidRPr="00AF20AB" w:rsidRDefault="00D616D5" w:rsidP="00FF4F38">
            <w:pPr>
              <w:pStyle w:val="V50Instructions"/>
              <w:widowControl w:val="0"/>
              <w:spacing w:before="0" w:after="0"/>
              <w:jc w:val="center"/>
              <w:rPr>
                <w:rFonts w:ascii="Arial Narrow" w:hAnsi="Arial Narrow"/>
                <w:color w:val="auto"/>
                <w:sz w:val="20"/>
                <w:szCs w:val="20"/>
              </w:rPr>
            </w:pPr>
            <w:r w:rsidRPr="00AF20AB">
              <w:rPr>
                <w:rFonts w:ascii="Arial Narrow" w:hAnsi="Arial Narrow"/>
                <w:color w:val="auto"/>
                <w:sz w:val="20"/>
                <w:szCs w:val="20"/>
              </w:rPr>
              <w:t>N=114</w:t>
            </w:r>
          </w:p>
          <w:p w:rsidR="00D616D5" w:rsidRPr="00AF20AB" w:rsidRDefault="00D616D5" w:rsidP="00FF4F38">
            <w:pPr>
              <w:pStyle w:val="TableText0"/>
              <w:keepNext w:val="0"/>
              <w:widowControl w:val="0"/>
              <w:jc w:val="center"/>
            </w:pPr>
            <w:r w:rsidRPr="00AF20AB">
              <w:rPr>
                <w:szCs w:val="20"/>
              </w:rPr>
              <w:t>8.5</w:t>
            </w:r>
          </w:p>
        </w:tc>
        <w:tc>
          <w:tcPr>
            <w:tcW w:w="849" w:type="pct"/>
            <w:vAlign w:val="center"/>
          </w:tcPr>
          <w:p w:rsidR="00D616D5" w:rsidRPr="00AF20AB" w:rsidRDefault="00D616D5" w:rsidP="00FF4F38">
            <w:pPr>
              <w:pStyle w:val="TableText0"/>
              <w:keepNext w:val="0"/>
              <w:widowControl w:val="0"/>
              <w:jc w:val="center"/>
            </w:pPr>
            <w:r w:rsidRPr="00AF20AB">
              <w:rPr>
                <w:szCs w:val="20"/>
              </w:rPr>
              <w:t>-</w:t>
            </w:r>
          </w:p>
        </w:tc>
        <w:tc>
          <w:tcPr>
            <w:tcW w:w="1136" w:type="pct"/>
            <w:vAlign w:val="center"/>
          </w:tcPr>
          <w:p w:rsidR="00D616D5" w:rsidRPr="00AF20AB" w:rsidRDefault="00D616D5" w:rsidP="00FF4F38">
            <w:pPr>
              <w:pStyle w:val="TableText0"/>
              <w:keepNext w:val="0"/>
              <w:widowControl w:val="0"/>
              <w:jc w:val="center"/>
            </w:pPr>
            <w:r w:rsidRPr="00AF20AB">
              <w:rPr>
                <w:bCs w:val="0"/>
                <w:szCs w:val="20"/>
              </w:rPr>
              <w:t>0.88 (0.66, 1.17)</w:t>
            </w:r>
          </w:p>
        </w:tc>
      </w:tr>
      <w:tr w:rsidR="00D616D5" w:rsidRPr="00AF20AB" w:rsidTr="00597925">
        <w:tc>
          <w:tcPr>
            <w:tcW w:w="3864" w:type="pct"/>
            <w:gridSpan w:val="4"/>
            <w:vAlign w:val="center"/>
          </w:tcPr>
          <w:p w:rsidR="00D616D5" w:rsidRPr="00AF20AB" w:rsidRDefault="00D616D5" w:rsidP="00FF4F38">
            <w:pPr>
              <w:pStyle w:val="TableText0"/>
              <w:keepNext w:val="0"/>
              <w:widowControl w:val="0"/>
              <w:jc w:val="right"/>
              <w:rPr>
                <w:szCs w:val="20"/>
              </w:rPr>
            </w:pPr>
            <w:r w:rsidRPr="00AF20AB">
              <w:rPr>
                <w:szCs w:val="20"/>
              </w:rPr>
              <w:t>pooled decitabine IV</w:t>
            </w:r>
            <w:r w:rsidRPr="00AF20AB">
              <w:rPr>
                <w:szCs w:val="20"/>
                <w:vertAlign w:val="superscript"/>
              </w:rPr>
              <w:t xml:space="preserve"> </w:t>
            </w:r>
            <w:r w:rsidRPr="00AF20AB">
              <w:rPr>
                <w:szCs w:val="20"/>
              </w:rPr>
              <w:t>fixed effects (1</w:t>
            </w:r>
            <w:r w:rsidRPr="00AF20AB">
              <w:rPr>
                <w:szCs w:val="20"/>
                <w:vertAlign w:val="superscript"/>
              </w:rPr>
              <w:t>2</w:t>
            </w:r>
            <w:r w:rsidRPr="00AF20AB">
              <w:rPr>
                <w:szCs w:val="20"/>
              </w:rPr>
              <w:t>=41%; p=0.95)</w:t>
            </w:r>
          </w:p>
        </w:tc>
        <w:tc>
          <w:tcPr>
            <w:tcW w:w="1136" w:type="pct"/>
            <w:vAlign w:val="center"/>
          </w:tcPr>
          <w:p w:rsidR="00D616D5" w:rsidRPr="00AF20AB" w:rsidRDefault="00D616D5" w:rsidP="00FF4F38">
            <w:pPr>
              <w:pStyle w:val="TableText0"/>
              <w:keepNext w:val="0"/>
              <w:widowControl w:val="0"/>
              <w:jc w:val="center"/>
              <w:rPr>
                <w:bCs w:val="0"/>
                <w:szCs w:val="20"/>
              </w:rPr>
            </w:pPr>
            <w:r w:rsidRPr="00AF20AB">
              <w:rPr>
                <w:bCs w:val="0"/>
                <w:szCs w:val="20"/>
              </w:rPr>
              <w:t>0.99 (0.80, 1.24)</w:t>
            </w:r>
          </w:p>
        </w:tc>
      </w:tr>
      <w:tr w:rsidR="00D616D5" w:rsidRPr="00AF20AB" w:rsidTr="00597925">
        <w:tc>
          <w:tcPr>
            <w:tcW w:w="1183" w:type="pct"/>
            <w:vAlign w:val="center"/>
          </w:tcPr>
          <w:p w:rsidR="00D616D5" w:rsidRPr="00AF20AB" w:rsidRDefault="00D616D5" w:rsidP="00FF4F38">
            <w:pPr>
              <w:pStyle w:val="TableText0"/>
              <w:keepNext w:val="0"/>
              <w:widowControl w:val="0"/>
              <w:rPr>
                <w:szCs w:val="20"/>
              </w:rPr>
            </w:pPr>
            <w:r w:rsidRPr="00AF20AB">
              <w:rPr>
                <w:szCs w:val="20"/>
              </w:rPr>
              <w:t xml:space="preserve">Fenaux 2009 </w:t>
            </w:r>
          </w:p>
        </w:tc>
        <w:tc>
          <w:tcPr>
            <w:tcW w:w="799" w:type="pct"/>
            <w:vAlign w:val="center"/>
          </w:tcPr>
          <w:p w:rsidR="00D616D5" w:rsidRPr="00AF20AB" w:rsidRDefault="00D616D5" w:rsidP="00FF4F38">
            <w:pPr>
              <w:pStyle w:val="V50Instructions"/>
              <w:widowControl w:val="0"/>
              <w:spacing w:before="0" w:after="0"/>
              <w:jc w:val="center"/>
              <w:rPr>
                <w:rFonts w:ascii="Arial Narrow" w:hAnsi="Arial Narrow"/>
                <w:color w:val="auto"/>
                <w:sz w:val="20"/>
                <w:szCs w:val="20"/>
              </w:rPr>
            </w:pPr>
            <w:r w:rsidRPr="00AF20AB">
              <w:rPr>
                <w:rFonts w:ascii="Arial Narrow" w:hAnsi="Arial Narrow"/>
                <w:color w:val="auto"/>
                <w:sz w:val="20"/>
                <w:szCs w:val="20"/>
              </w:rPr>
              <w:t>-</w:t>
            </w:r>
          </w:p>
        </w:tc>
        <w:tc>
          <w:tcPr>
            <w:tcW w:w="1033"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N=105</w:t>
            </w:r>
          </w:p>
          <w:p w:rsidR="00D616D5" w:rsidRPr="00AF20AB" w:rsidRDefault="00D616D5" w:rsidP="00FF4F38">
            <w:pPr>
              <w:pStyle w:val="V50Instructions"/>
              <w:widowControl w:val="0"/>
              <w:spacing w:before="0" w:after="0"/>
              <w:jc w:val="center"/>
              <w:rPr>
                <w:rFonts w:ascii="Arial Narrow" w:hAnsi="Arial Narrow"/>
                <w:color w:val="auto"/>
                <w:sz w:val="20"/>
                <w:szCs w:val="20"/>
              </w:rPr>
            </w:pPr>
            <w:r w:rsidRPr="00AF20AB">
              <w:rPr>
                <w:rFonts w:ascii="Arial Narrow" w:hAnsi="Arial Narrow"/>
                <w:color w:val="auto"/>
                <w:sz w:val="20"/>
                <w:szCs w:val="20"/>
              </w:rPr>
              <w:t>11.5 (5.7, NR)</w:t>
            </w:r>
          </w:p>
        </w:tc>
        <w:tc>
          <w:tcPr>
            <w:tcW w:w="849"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N=117</w:t>
            </w:r>
          </w:p>
          <w:p w:rsidR="00D616D5" w:rsidRPr="00AF20AB" w:rsidRDefault="00D616D5" w:rsidP="00FF4F38">
            <w:pPr>
              <w:pStyle w:val="TableText0"/>
              <w:keepNext w:val="0"/>
              <w:widowControl w:val="0"/>
              <w:jc w:val="center"/>
              <w:rPr>
                <w:szCs w:val="20"/>
              </w:rPr>
            </w:pPr>
            <w:r w:rsidRPr="00AF20AB">
              <w:rPr>
                <w:szCs w:val="20"/>
              </w:rPr>
              <w:t>21.1 (10.5, NR)</w:t>
            </w:r>
          </w:p>
        </w:tc>
        <w:tc>
          <w:tcPr>
            <w:tcW w:w="1136" w:type="pct"/>
            <w:vAlign w:val="center"/>
          </w:tcPr>
          <w:p w:rsidR="00D616D5" w:rsidRPr="00AF20AB" w:rsidRDefault="00D616D5" w:rsidP="00FF4F38">
            <w:pPr>
              <w:pStyle w:val="TableText0"/>
              <w:keepNext w:val="0"/>
              <w:widowControl w:val="0"/>
              <w:jc w:val="center"/>
              <w:rPr>
                <w:bCs w:val="0"/>
                <w:szCs w:val="20"/>
              </w:rPr>
            </w:pPr>
            <w:r w:rsidRPr="00AF20AB">
              <w:rPr>
                <w:b/>
                <w:bCs w:val="0"/>
                <w:szCs w:val="20"/>
              </w:rPr>
              <w:t>0.58 (0.40, 0.84)</w:t>
            </w:r>
          </w:p>
        </w:tc>
      </w:tr>
      <w:tr w:rsidR="00D616D5" w:rsidRPr="00AF20AB" w:rsidTr="00597925">
        <w:tc>
          <w:tcPr>
            <w:tcW w:w="1183" w:type="pct"/>
            <w:vAlign w:val="center"/>
          </w:tcPr>
          <w:p w:rsidR="00D616D5" w:rsidRPr="00AF20AB" w:rsidRDefault="00D616D5" w:rsidP="00FF4F38">
            <w:pPr>
              <w:pStyle w:val="TableText0"/>
              <w:keepNext w:val="0"/>
              <w:widowControl w:val="0"/>
            </w:pPr>
            <w:r w:rsidRPr="00AF20AB">
              <w:rPr>
                <w:szCs w:val="20"/>
              </w:rPr>
              <w:t xml:space="preserve">Silverman 2002 </w:t>
            </w:r>
          </w:p>
        </w:tc>
        <w:tc>
          <w:tcPr>
            <w:tcW w:w="799" w:type="pct"/>
            <w:vAlign w:val="center"/>
          </w:tcPr>
          <w:p w:rsidR="00D616D5" w:rsidRPr="00AF20AB" w:rsidRDefault="00D616D5" w:rsidP="00FF4F38">
            <w:pPr>
              <w:pStyle w:val="TableText0"/>
              <w:keepNext w:val="0"/>
              <w:widowControl w:val="0"/>
              <w:jc w:val="center"/>
            </w:pPr>
            <w:r w:rsidRPr="00AF20AB">
              <w:rPr>
                <w:szCs w:val="20"/>
              </w:rPr>
              <w:t>-</w:t>
            </w:r>
          </w:p>
        </w:tc>
        <w:tc>
          <w:tcPr>
            <w:tcW w:w="1033"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N=92</w:t>
            </w:r>
          </w:p>
          <w:p w:rsidR="00D616D5" w:rsidRPr="00AF20AB" w:rsidRDefault="00D616D5" w:rsidP="00FF4F38">
            <w:pPr>
              <w:pStyle w:val="TableText0"/>
              <w:keepNext w:val="0"/>
              <w:widowControl w:val="0"/>
              <w:jc w:val="center"/>
            </w:pPr>
            <w:r w:rsidRPr="00AF20AB">
              <w:rPr>
                <w:szCs w:val="20"/>
              </w:rPr>
              <w:t>14 (12, 14)</w:t>
            </w:r>
          </w:p>
        </w:tc>
        <w:tc>
          <w:tcPr>
            <w:tcW w:w="849"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N=99</w:t>
            </w:r>
          </w:p>
          <w:p w:rsidR="00D616D5" w:rsidRPr="00AF20AB" w:rsidRDefault="00D616D5" w:rsidP="00FF4F38">
            <w:pPr>
              <w:pStyle w:val="TableText0"/>
              <w:keepNext w:val="0"/>
              <w:widowControl w:val="0"/>
              <w:jc w:val="center"/>
            </w:pPr>
            <w:r w:rsidRPr="00AF20AB">
              <w:rPr>
                <w:szCs w:val="20"/>
              </w:rPr>
              <w:t>20 (16, 26)</w:t>
            </w:r>
          </w:p>
        </w:tc>
        <w:tc>
          <w:tcPr>
            <w:tcW w:w="1136" w:type="pct"/>
            <w:vAlign w:val="center"/>
          </w:tcPr>
          <w:p w:rsidR="00D616D5" w:rsidRPr="00AF20AB" w:rsidRDefault="00D616D5" w:rsidP="00FF4F38">
            <w:pPr>
              <w:pStyle w:val="TableText0"/>
              <w:keepNext w:val="0"/>
              <w:widowControl w:val="0"/>
              <w:jc w:val="center"/>
            </w:pPr>
            <w:r w:rsidRPr="00AF20AB">
              <w:rPr>
                <w:szCs w:val="20"/>
              </w:rPr>
              <w:t>0.79 (0.57, 1.08)</w:t>
            </w:r>
          </w:p>
        </w:tc>
      </w:tr>
      <w:tr w:rsidR="00D616D5" w:rsidRPr="00AF20AB" w:rsidTr="00597925">
        <w:tc>
          <w:tcPr>
            <w:tcW w:w="3864" w:type="pct"/>
            <w:gridSpan w:val="4"/>
            <w:vAlign w:val="center"/>
          </w:tcPr>
          <w:p w:rsidR="00D616D5" w:rsidRPr="00AF20AB" w:rsidRDefault="00D616D5" w:rsidP="00FF4F38">
            <w:pPr>
              <w:pStyle w:val="V50Instructions"/>
              <w:keepNext/>
              <w:spacing w:before="0" w:after="0"/>
              <w:jc w:val="right"/>
              <w:rPr>
                <w:rFonts w:ascii="Arial Narrow" w:hAnsi="Arial Narrow"/>
                <w:color w:val="auto"/>
                <w:sz w:val="20"/>
                <w:szCs w:val="20"/>
              </w:rPr>
            </w:pPr>
            <w:r w:rsidRPr="00AF20AB">
              <w:rPr>
                <w:rFonts w:ascii="Arial Narrow" w:hAnsi="Arial Narrow"/>
                <w:color w:val="auto"/>
                <w:sz w:val="20"/>
                <w:szCs w:val="20"/>
              </w:rPr>
              <w:t>pooled azacitidine</w:t>
            </w:r>
            <w:r w:rsidRPr="00AF20AB">
              <w:rPr>
                <w:rFonts w:ascii="Arial Narrow" w:hAnsi="Arial Narrow"/>
                <w:color w:val="auto"/>
                <w:sz w:val="20"/>
                <w:szCs w:val="20"/>
                <w:vertAlign w:val="superscript"/>
              </w:rPr>
              <w:t xml:space="preserve"> </w:t>
            </w:r>
            <w:r w:rsidRPr="00AF20AB">
              <w:rPr>
                <w:rFonts w:ascii="Arial Narrow" w:hAnsi="Arial Narrow"/>
                <w:color w:val="auto"/>
                <w:sz w:val="20"/>
                <w:szCs w:val="20"/>
              </w:rPr>
              <w:t>fixed effects (I</w:t>
            </w:r>
            <w:r w:rsidRPr="00AF20AB">
              <w:rPr>
                <w:rFonts w:ascii="Arial Narrow" w:hAnsi="Arial Narrow"/>
                <w:color w:val="auto"/>
                <w:sz w:val="20"/>
                <w:szCs w:val="20"/>
                <w:vertAlign w:val="superscript"/>
              </w:rPr>
              <w:t>2</w:t>
            </w:r>
            <w:r w:rsidRPr="00AF20AB">
              <w:rPr>
                <w:rFonts w:ascii="Arial Narrow" w:hAnsi="Arial Narrow"/>
                <w:color w:val="auto"/>
                <w:sz w:val="20"/>
                <w:szCs w:val="20"/>
              </w:rPr>
              <w:t>=32%; p=0.006)</w:t>
            </w:r>
          </w:p>
        </w:tc>
        <w:tc>
          <w:tcPr>
            <w:tcW w:w="1136" w:type="pct"/>
            <w:vAlign w:val="center"/>
          </w:tcPr>
          <w:p w:rsidR="00D616D5" w:rsidRPr="00AF20AB" w:rsidRDefault="00D616D5" w:rsidP="00FF4F38">
            <w:pPr>
              <w:pStyle w:val="TableText0"/>
              <w:keepNext w:val="0"/>
              <w:widowControl w:val="0"/>
              <w:jc w:val="center"/>
              <w:rPr>
                <w:szCs w:val="20"/>
              </w:rPr>
            </w:pPr>
            <w:r w:rsidRPr="00AF20AB">
              <w:rPr>
                <w:b/>
                <w:bCs w:val="0"/>
                <w:szCs w:val="20"/>
              </w:rPr>
              <w:t>0.69 (0.54, 0.88)</w:t>
            </w:r>
          </w:p>
        </w:tc>
      </w:tr>
      <w:tr w:rsidR="00D616D5" w:rsidRPr="00AF20AB" w:rsidTr="00597925">
        <w:trPr>
          <w:trHeight w:val="337"/>
        </w:trPr>
        <w:tc>
          <w:tcPr>
            <w:tcW w:w="3864" w:type="pct"/>
            <w:gridSpan w:val="4"/>
            <w:vAlign w:val="center"/>
          </w:tcPr>
          <w:p w:rsidR="00D616D5" w:rsidRPr="00AF20AB" w:rsidRDefault="00D616D5" w:rsidP="00FF4F38">
            <w:pPr>
              <w:pStyle w:val="V50Instructions"/>
              <w:keepNext/>
              <w:spacing w:before="0" w:after="0"/>
              <w:jc w:val="right"/>
              <w:rPr>
                <w:rFonts w:ascii="Arial Narrow" w:hAnsi="Arial Narrow"/>
                <w:color w:val="auto"/>
                <w:sz w:val="20"/>
                <w:szCs w:val="20"/>
              </w:rPr>
            </w:pPr>
            <w:r w:rsidRPr="00AF20AB">
              <w:rPr>
                <w:rFonts w:ascii="Arial Narrow" w:hAnsi="Arial Narrow"/>
                <w:bCs/>
                <w:color w:val="auto"/>
                <w:sz w:val="20"/>
                <w:szCs w:val="20"/>
              </w:rPr>
              <w:t>Indirect pooled decitabine IV vs. pooled azacitidine (95% CI)</w:t>
            </w:r>
          </w:p>
        </w:tc>
        <w:tc>
          <w:tcPr>
            <w:tcW w:w="1136" w:type="pct"/>
            <w:vAlign w:val="center"/>
          </w:tcPr>
          <w:p w:rsidR="00D616D5" w:rsidRPr="00AF20AB" w:rsidRDefault="00D616D5" w:rsidP="00FF4F38">
            <w:pPr>
              <w:pStyle w:val="TableText0"/>
              <w:keepNext w:val="0"/>
              <w:widowControl w:val="0"/>
              <w:jc w:val="center"/>
              <w:rPr>
                <w:szCs w:val="20"/>
              </w:rPr>
            </w:pPr>
            <w:r w:rsidRPr="00AF20AB">
              <w:rPr>
                <w:b/>
                <w:szCs w:val="20"/>
              </w:rPr>
              <w:t>1.43 (1.03, 1.99)</w:t>
            </w:r>
          </w:p>
        </w:tc>
      </w:tr>
      <w:tr w:rsidR="00D616D5" w:rsidRPr="00AF20AB" w:rsidTr="00597925">
        <w:tc>
          <w:tcPr>
            <w:tcW w:w="5000" w:type="pct"/>
            <w:gridSpan w:val="5"/>
            <w:vAlign w:val="center"/>
          </w:tcPr>
          <w:p w:rsidR="00D616D5" w:rsidRPr="00AF20AB" w:rsidRDefault="00D616D5" w:rsidP="00FF4F38">
            <w:pPr>
              <w:pStyle w:val="TableText0"/>
              <w:keepNext w:val="0"/>
              <w:widowControl w:val="0"/>
              <w:rPr>
                <w:b/>
                <w:bCs w:val="0"/>
                <w:szCs w:val="20"/>
              </w:rPr>
            </w:pPr>
            <w:r w:rsidRPr="00AF20AB">
              <w:rPr>
                <w:b/>
                <w:szCs w:val="20"/>
              </w:rPr>
              <w:t>IPSS intermediate-2 and high risk subgroup</w:t>
            </w:r>
          </w:p>
        </w:tc>
      </w:tr>
      <w:tr w:rsidR="00D616D5" w:rsidRPr="00AF20AB" w:rsidTr="00597925">
        <w:tc>
          <w:tcPr>
            <w:tcW w:w="1183" w:type="pct"/>
            <w:vAlign w:val="center"/>
          </w:tcPr>
          <w:p w:rsidR="00D616D5" w:rsidRPr="00AF20AB" w:rsidRDefault="00D616D5" w:rsidP="00FF4F38">
            <w:pPr>
              <w:pStyle w:val="TableText0"/>
              <w:keepNext w:val="0"/>
              <w:widowControl w:val="0"/>
              <w:rPr>
                <w:szCs w:val="20"/>
              </w:rPr>
            </w:pPr>
            <w:r w:rsidRPr="00AF20AB">
              <w:rPr>
                <w:szCs w:val="20"/>
              </w:rPr>
              <w:t>Lubbert 2011</w:t>
            </w:r>
          </w:p>
        </w:tc>
        <w:tc>
          <w:tcPr>
            <w:tcW w:w="799" w:type="pct"/>
            <w:vAlign w:val="center"/>
          </w:tcPr>
          <w:p w:rsidR="00D616D5" w:rsidRPr="00AF20AB" w:rsidRDefault="00D616D5" w:rsidP="00FF4F38">
            <w:pPr>
              <w:pStyle w:val="TableText0"/>
              <w:keepNext w:val="0"/>
              <w:widowControl w:val="0"/>
              <w:jc w:val="center"/>
              <w:rPr>
                <w:szCs w:val="20"/>
              </w:rPr>
            </w:pPr>
            <w:r w:rsidRPr="00AF20AB">
              <w:rPr>
                <w:szCs w:val="20"/>
              </w:rPr>
              <w:t>NR</w:t>
            </w:r>
          </w:p>
        </w:tc>
        <w:tc>
          <w:tcPr>
            <w:tcW w:w="1033"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NR</w:t>
            </w:r>
          </w:p>
        </w:tc>
        <w:tc>
          <w:tcPr>
            <w:tcW w:w="849"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w:t>
            </w:r>
          </w:p>
        </w:tc>
        <w:tc>
          <w:tcPr>
            <w:tcW w:w="1136" w:type="pct"/>
            <w:vAlign w:val="center"/>
          </w:tcPr>
          <w:p w:rsidR="00D616D5" w:rsidRPr="00AF20AB" w:rsidRDefault="00D616D5" w:rsidP="00FF4F38">
            <w:pPr>
              <w:pStyle w:val="TableText0"/>
              <w:keepNext w:val="0"/>
              <w:widowControl w:val="0"/>
              <w:jc w:val="center"/>
              <w:rPr>
                <w:szCs w:val="20"/>
              </w:rPr>
            </w:pPr>
            <w:r w:rsidRPr="00AF20AB">
              <w:rPr>
                <w:bCs w:val="0"/>
                <w:szCs w:val="20"/>
              </w:rPr>
              <w:t>0.91 (0.62, 1.32)</w:t>
            </w:r>
          </w:p>
        </w:tc>
      </w:tr>
      <w:tr w:rsidR="00D616D5" w:rsidRPr="00AF20AB" w:rsidTr="00597925">
        <w:tc>
          <w:tcPr>
            <w:tcW w:w="1183" w:type="pct"/>
            <w:vAlign w:val="center"/>
          </w:tcPr>
          <w:p w:rsidR="00D616D5" w:rsidRPr="00AF20AB" w:rsidRDefault="00D616D5" w:rsidP="00FF4F38">
            <w:pPr>
              <w:pStyle w:val="TableText0"/>
              <w:keepNext w:val="0"/>
              <w:widowControl w:val="0"/>
              <w:rPr>
                <w:szCs w:val="20"/>
              </w:rPr>
            </w:pPr>
            <w:r w:rsidRPr="00AF20AB">
              <w:rPr>
                <w:szCs w:val="20"/>
              </w:rPr>
              <w:t>Fenaux 2009</w:t>
            </w:r>
          </w:p>
        </w:tc>
        <w:tc>
          <w:tcPr>
            <w:tcW w:w="799" w:type="pct"/>
            <w:vAlign w:val="center"/>
          </w:tcPr>
          <w:p w:rsidR="00D616D5" w:rsidRPr="00AF20AB" w:rsidRDefault="00D616D5" w:rsidP="00FF4F38">
            <w:pPr>
              <w:pStyle w:val="TableText0"/>
              <w:keepNext w:val="0"/>
              <w:widowControl w:val="0"/>
              <w:jc w:val="center"/>
              <w:rPr>
                <w:szCs w:val="20"/>
              </w:rPr>
            </w:pPr>
            <w:r w:rsidRPr="00AF20AB">
              <w:rPr>
                <w:szCs w:val="20"/>
              </w:rPr>
              <w:t>-</w:t>
            </w:r>
          </w:p>
        </w:tc>
        <w:tc>
          <w:tcPr>
            <w:tcW w:w="1033"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NR</w:t>
            </w:r>
          </w:p>
        </w:tc>
        <w:tc>
          <w:tcPr>
            <w:tcW w:w="849"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NR</w:t>
            </w:r>
          </w:p>
        </w:tc>
        <w:tc>
          <w:tcPr>
            <w:tcW w:w="1136" w:type="pct"/>
            <w:vAlign w:val="center"/>
          </w:tcPr>
          <w:p w:rsidR="00D616D5" w:rsidRPr="00AF20AB" w:rsidRDefault="00D616D5" w:rsidP="00FF4F38">
            <w:pPr>
              <w:pStyle w:val="TableText0"/>
              <w:keepNext w:val="0"/>
              <w:widowControl w:val="0"/>
              <w:jc w:val="center"/>
              <w:rPr>
                <w:szCs w:val="20"/>
              </w:rPr>
            </w:pPr>
            <w:r w:rsidRPr="00AF20AB">
              <w:rPr>
                <w:b/>
                <w:szCs w:val="20"/>
              </w:rPr>
              <w:t>0.49 (0.35, 0.68)</w:t>
            </w:r>
          </w:p>
        </w:tc>
      </w:tr>
      <w:tr w:rsidR="00D616D5" w:rsidRPr="00AF20AB" w:rsidTr="00597925">
        <w:tc>
          <w:tcPr>
            <w:tcW w:w="3864" w:type="pct"/>
            <w:gridSpan w:val="4"/>
            <w:vAlign w:val="center"/>
          </w:tcPr>
          <w:p w:rsidR="00D616D5" w:rsidRPr="00AF20AB" w:rsidRDefault="00D616D5" w:rsidP="00FF4F38">
            <w:pPr>
              <w:pStyle w:val="V50Instructions"/>
              <w:keepNext/>
              <w:spacing w:before="0" w:after="0"/>
              <w:jc w:val="right"/>
              <w:rPr>
                <w:rFonts w:ascii="Arial Narrow" w:hAnsi="Arial Narrow"/>
                <w:color w:val="auto"/>
                <w:sz w:val="20"/>
                <w:szCs w:val="20"/>
              </w:rPr>
            </w:pPr>
            <w:r w:rsidRPr="00AF20AB">
              <w:rPr>
                <w:rFonts w:ascii="Arial Narrow" w:hAnsi="Arial Narrow"/>
                <w:bCs/>
                <w:color w:val="auto"/>
                <w:sz w:val="20"/>
                <w:szCs w:val="20"/>
              </w:rPr>
              <w:t>Indirect decitabine IV vs. azacitidine (95% CI)</w:t>
            </w:r>
          </w:p>
        </w:tc>
        <w:tc>
          <w:tcPr>
            <w:tcW w:w="1136" w:type="pct"/>
            <w:vAlign w:val="center"/>
          </w:tcPr>
          <w:p w:rsidR="00D616D5" w:rsidRPr="00AF20AB" w:rsidRDefault="00D616D5" w:rsidP="00FF4F38">
            <w:pPr>
              <w:pStyle w:val="TableText0"/>
              <w:keepNext w:val="0"/>
              <w:widowControl w:val="0"/>
              <w:jc w:val="center"/>
              <w:rPr>
                <w:szCs w:val="20"/>
              </w:rPr>
            </w:pPr>
            <w:r w:rsidRPr="00AF20AB">
              <w:rPr>
                <w:b/>
                <w:szCs w:val="20"/>
              </w:rPr>
              <w:t>1.86 (1.12, 3.07)</w:t>
            </w:r>
          </w:p>
        </w:tc>
      </w:tr>
      <w:tr w:rsidR="00D616D5" w:rsidRPr="00AF20AB" w:rsidTr="00597925">
        <w:tc>
          <w:tcPr>
            <w:tcW w:w="5000" w:type="pct"/>
            <w:gridSpan w:val="5"/>
            <w:vAlign w:val="center"/>
          </w:tcPr>
          <w:p w:rsidR="00D616D5" w:rsidRPr="00AF20AB" w:rsidRDefault="00D616D5" w:rsidP="00FF4F38">
            <w:pPr>
              <w:pStyle w:val="TableText0"/>
              <w:keepNext w:val="0"/>
              <w:widowControl w:val="0"/>
              <w:rPr>
                <w:b/>
                <w:bCs w:val="0"/>
                <w:szCs w:val="20"/>
              </w:rPr>
            </w:pPr>
            <w:r w:rsidRPr="00AF20AB">
              <w:rPr>
                <w:b/>
                <w:bCs w:val="0"/>
                <w:szCs w:val="20"/>
              </w:rPr>
              <w:t>ECOG 0-1 subgroup</w:t>
            </w:r>
          </w:p>
        </w:tc>
      </w:tr>
      <w:tr w:rsidR="00D616D5" w:rsidRPr="00AF20AB" w:rsidTr="00597925">
        <w:tc>
          <w:tcPr>
            <w:tcW w:w="1183" w:type="pct"/>
            <w:vAlign w:val="center"/>
          </w:tcPr>
          <w:p w:rsidR="00D616D5" w:rsidRPr="00AF20AB" w:rsidRDefault="00D616D5" w:rsidP="00FF4F38">
            <w:pPr>
              <w:pStyle w:val="TableText0"/>
              <w:keepNext w:val="0"/>
              <w:widowControl w:val="0"/>
              <w:rPr>
                <w:szCs w:val="20"/>
              </w:rPr>
            </w:pPr>
            <w:r w:rsidRPr="00AF20AB">
              <w:rPr>
                <w:szCs w:val="20"/>
              </w:rPr>
              <w:t>Lubbert 2011</w:t>
            </w:r>
          </w:p>
        </w:tc>
        <w:tc>
          <w:tcPr>
            <w:tcW w:w="799" w:type="pct"/>
            <w:vAlign w:val="center"/>
          </w:tcPr>
          <w:p w:rsidR="00D616D5" w:rsidRPr="00AF20AB" w:rsidRDefault="00D616D5" w:rsidP="00FF4F38">
            <w:pPr>
              <w:pStyle w:val="TableText0"/>
              <w:keepNext w:val="0"/>
              <w:widowControl w:val="0"/>
              <w:jc w:val="center"/>
              <w:rPr>
                <w:szCs w:val="20"/>
              </w:rPr>
            </w:pPr>
            <w:r w:rsidRPr="00AF20AB">
              <w:rPr>
                <w:szCs w:val="20"/>
              </w:rPr>
              <w:t>NR</w:t>
            </w:r>
          </w:p>
        </w:tc>
        <w:tc>
          <w:tcPr>
            <w:tcW w:w="1033"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NR</w:t>
            </w:r>
          </w:p>
        </w:tc>
        <w:tc>
          <w:tcPr>
            <w:tcW w:w="849"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w:t>
            </w:r>
          </w:p>
        </w:tc>
        <w:tc>
          <w:tcPr>
            <w:tcW w:w="1136" w:type="pct"/>
            <w:vAlign w:val="center"/>
          </w:tcPr>
          <w:p w:rsidR="00D616D5" w:rsidRPr="00AF20AB" w:rsidRDefault="00D616D5" w:rsidP="00FF4F38">
            <w:pPr>
              <w:pStyle w:val="TableText0"/>
              <w:keepNext w:val="0"/>
              <w:widowControl w:val="0"/>
              <w:jc w:val="center"/>
              <w:rPr>
                <w:szCs w:val="20"/>
              </w:rPr>
            </w:pPr>
            <w:r w:rsidRPr="00AF20AB">
              <w:rPr>
                <w:szCs w:val="20"/>
              </w:rPr>
              <w:t>0.81 (0.55, 1.21)</w:t>
            </w:r>
          </w:p>
        </w:tc>
      </w:tr>
      <w:tr w:rsidR="00D616D5" w:rsidRPr="00AF20AB" w:rsidTr="00597925">
        <w:tc>
          <w:tcPr>
            <w:tcW w:w="1183" w:type="pct"/>
            <w:vAlign w:val="center"/>
          </w:tcPr>
          <w:p w:rsidR="00D616D5" w:rsidRPr="00AF20AB" w:rsidRDefault="00D616D5" w:rsidP="00FF4F38">
            <w:pPr>
              <w:pStyle w:val="TableText0"/>
              <w:keepNext w:val="0"/>
              <w:widowControl w:val="0"/>
              <w:rPr>
                <w:szCs w:val="20"/>
              </w:rPr>
            </w:pPr>
            <w:r w:rsidRPr="00AF20AB">
              <w:rPr>
                <w:szCs w:val="20"/>
              </w:rPr>
              <w:t>Fenaux 2009</w:t>
            </w:r>
          </w:p>
        </w:tc>
        <w:tc>
          <w:tcPr>
            <w:tcW w:w="799" w:type="pct"/>
            <w:vAlign w:val="center"/>
          </w:tcPr>
          <w:p w:rsidR="00D616D5" w:rsidRPr="00AF20AB" w:rsidRDefault="00D616D5" w:rsidP="00FF4F38">
            <w:pPr>
              <w:pStyle w:val="TableText0"/>
              <w:keepNext w:val="0"/>
              <w:widowControl w:val="0"/>
              <w:jc w:val="center"/>
              <w:rPr>
                <w:szCs w:val="20"/>
              </w:rPr>
            </w:pPr>
            <w:r w:rsidRPr="00AF20AB">
              <w:rPr>
                <w:szCs w:val="20"/>
              </w:rPr>
              <w:t>-</w:t>
            </w:r>
          </w:p>
        </w:tc>
        <w:tc>
          <w:tcPr>
            <w:tcW w:w="1033"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NR</w:t>
            </w:r>
          </w:p>
        </w:tc>
        <w:tc>
          <w:tcPr>
            <w:tcW w:w="849"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NR</w:t>
            </w:r>
          </w:p>
        </w:tc>
        <w:tc>
          <w:tcPr>
            <w:tcW w:w="1136" w:type="pct"/>
            <w:vAlign w:val="center"/>
          </w:tcPr>
          <w:p w:rsidR="00D616D5" w:rsidRPr="00AF20AB" w:rsidRDefault="00D616D5" w:rsidP="00FF4F38">
            <w:pPr>
              <w:pStyle w:val="TableText0"/>
              <w:keepNext w:val="0"/>
              <w:widowControl w:val="0"/>
              <w:jc w:val="center"/>
              <w:rPr>
                <w:b/>
                <w:bCs w:val="0"/>
                <w:szCs w:val="20"/>
              </w:rPr>
            </w:pPr>
            <w:r w:rsidRPr="00AF20AB">
              <w:rPr>
                <w:b/>
                <w:bCs w:val="0"/>
                <w:szCs w:val="20"/>
              </w:rPr>
              <w:t>0.51 (0.29, 0.88)</w:t>
            </w:r>
          </w:p>
        </w:tc>
      </w:tr>
      <w:tr w:rsidR="00D616D5" w:rsidRPr="00AF20AB" w:rsidTr="00597925">
        <w:tc>
          <w:tcPr>
            <w:tcW w:w="3864" w:type="pct"/>
            <w:gridSpan w:val="4"/>
            <w:vAlign w:val="center"/>
          </w:tcPr>
          <w:p w:rsidR="00D616D5" w:rsidRPr="00AF20AB" w:rsidRDefault="00D616D5" w:rsidP="00FF4F38">
            <w:pPr>
              <w:pStyle w:val="V50Instructions"/>
              <w:keepNext/>
              <w:spacing w:before="0" w:after="0"/>
              <w:jc w:val="right"/>
              <w:rPr>
                <w:rFonts w:ascii="Arial Narrow" w:hAnsi="Arial Narrow"/>
                <w:color w:val="auto"/>
                <w:sz w:val="20"/>
                <w:szCs w:val="20"/>
              </w:rPr>
            </w:pPr>
            <w:r w:rsidRPr="00AF20AB">
              <w:rPr>
                <w:rFonts w:ascii="Arial Narrow" w:hAnsi="Arial Narrow"/>
                <w:bCs/>
                <w:color w:val="auto"/>
                <w:sz w:val="20"/>
                <w:szCs w:val="20"/>
              </w:rPr>
              <w:t>Indirect decitabine IV vs. azacitidine (95% CI)</w:t>
            </w:r>
          </w:p>
        </w:tc>
        <w:tc>
          <w:tcPr>
            <w:tcW w:w="1136" w:type="pct"/>
            <w:vAlign w:val="center"/>
          </w:tcPr>
          <w:p w:rsidR="00D616D5" w:rsidRPr="00AF20AB" w:rsidRDefault="00D616D5" w:rsidP="00FF4F38">
            <w:pPr>
              <w:pStyle w:val="TableText0"/>
              <w:keepNext w:val="0"/>
              <w:widowControl w:val="0"/>
              <w:jc w:val="center"/>
              <w:rPr>
                <w:szCs w:val="20"/>
              </w:rPr>
            </w:pPr>
            <w:r w:rsidRPr="00AF20AB">
              <w:rPr>
                <w:szCs w:val="20"/>
              </w:rPr>
              <w:t>1.59 (0.8, 3.14)</w:t>
            </w:r>
          </w:p>
        </w:tc>
      </w:tr>
      <w:tr w:rsidR="00D616D5" w:rsidRPr="00AF20AB" w:rsidTr="00597925">
        <w:tc>
          <w:tcPr>
            <w:tcW w:w="5000" w:type="pct"/>
            <w:gridSpan w:val="5"/>
            <w:vAlign w:val="center"/>
          </w:tcPr>
          <w:p w:rsidR="00D616D5" w:rsidRPr="00AF20AB" w:rsidRDefault="00D616D5" w:rsidP="00FF4F38">
            <w:pPr>
              <w:pStyle w:val="TableText0"/>
              <w:keepNext w:val="0"/>
              <w:widowControl w:val="0"/>
              <w:rPr>
                <w:b/>
                <w:bCs w:val="0"/>
                <w:szCs w:val="20"/>
              </w:rPr>
            </w:pPr>
            <w:r w:rsidRPr="00AF20AB">
              <w:rPr>
                <w:b/>
                <w:bCs w:val="0"/>
                <w:szCs w:val="20"/>
              </w:rPr>
              <w:t>Disease duration &gt;3 months subgroup</w:t>
            </w:r>
          </w:p>
        </w:tc>
      </w:tr>
      <w:tr w:rsidR="00D616D5" w:rsidRPr="00AF20AB" w:rsidTr="00597925">
        <w:tc>
          <w:tcPr>
            <w:tcW w:w="1183" w:type="pct"/>
            <w:vAlign w:val="center"/>
          </w:tcPr>
          <w:p w:rsidR="00D616D5" w:rsidRPr="00AF20AB" w:rsidRDefault="00D616D5" w:rsidP="00FF4F38">
            <w:pPr>
              <w:pStyle w:val="TableText0"/>
              <w:keepNext w:val="0"/>
              <w:widowControl w:val="0"/>
              <w:rPr>
                <w:szCs w:val="20"/>
              </w:rPr>
            </w:pPr>
            <w:r w:rsidRPr="00AF20AB">
              <w:rPr>
                <w:szCs w:val="20"/>
              </w:rPr>
              <w:t>Lubbert 2011</w:t>
            </w:r>
          </w:p>
        </w:tc>
        <w:tc>
          <w:tcPr>
            <w:tcW w:w="799" w:type="pct"/>
            <w:vAlign w:val="center"/>
          </w:tcPr>
          <w:p w:rsidR="00D616D5" w:rsidRPr="00AF20AB" w:rsidRDefault="00D616D5" w:rsidP="00FF4F38">
            <w:pPr>
              <w:pStyle w:val="TableText0"/>
              <w:keepNext w:val="0"/>
              <w:widowControl w:val="0"/>
              <w:jc w:val="center"/>
              <w:rPr>
                <w:szCs w:val="20"/>
              </w:rPr>
            </w:pPr>
            <w:r w:rsidRPr="00AF20AB">
              <w:rPr>
                <w:szCs w:val="20"/>
              </w:rPr>
              <w:t>NR</w:t>
            </w:r>
          </w:p>
        </w:tc>
        <w:tc>
          <w:tcPr>
            <w:tcW w:w="1033"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NR</w:t>
            </w:r>
          </w:p>
        </w:tc>
        <w:tc>
          <w:tcPr>
            <w:tcW w:w="849"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w:t>
            </w:r>
          </w:p>
        </w:tc>
        <w:tc>
          <w:tcPr>
            <w:tcW w:w="1136" w:type="pct"/>
            <w:vAlign w:val="center"/>
          </w:tcPr>
          <w:p w:rsidR="00D616D5" w:rsidRPr="00AF20AB" w:rsidRDefault="00D616D5" w:rsidP="00FF4F38">
            <w:pPr>
              <w:pStyle w:val="TableText0"/>
              <w:keepNext w:val="0"/>
              <w:widowControl w:val="0"/>
              <w:jc w:val="center"/>
              <w:rPr>
                <w:szCs w:val="20"/>
              </w:rPr>
            </w:pPr>
            <w:r w:rsidRPr="00AF20AB">
              <w:rPr>
                <w:szCs w:val="20"/>
              </w:rPr>
              <w:t>0.68 (0.4, 1.16)</w:t>
            </w:r>
          </w:p>
        </w:tc>
      </w:tr>
      <w:tr w:rsidR="00D616D5" w:rsidRPr="00AF20AB" w:rsidTr="00597925">
        <w:tc>
          <w:tcPr>
            <w:tcW w:w="1183" w:type="pct"/>
            <w:vAlign w:val="center"/>
          </w:tcPr>
          <w:p w:rsidR="00D616D5" w:rsidRPr="00AF20AB" w:rsidRDefault="00D616D5" w:rsidP="00FF4F38">
            <w:pPr>
              <w:pStyle w:val="TableText0"/>
              <w:keepNext w:val="0"/>
              <w:widowControl w:val="0"/>
              <w:rPr>
                <w:szCs w:val="20"/>
              </w:rPr>
            </w:pPr>
            <w:r w:rsidRPr="00AF20AB">
              <w:rPr>
                <w:szCs w:val="20"/>
              </w:rPr>
              <w:t>Fenaux 2009</w:t>
            </w:r>
          </w:p>
        </w:tc>
        <w:tc>
          <w:tcPr>
            <w:tcW w:w="799" w:type="pct"/>
            <w:vAlign w:val="center"/>
          </w:tcPr>
          <w:p w:rsidR="00D616D5" w:rsidRPr="00AF20AB" w:rsidRDefault="00D616D5" w:rsidP="00FF4F38">
            <w:pPr>
              <w:pStyle w:val="TableText0"/>
              <w:keepNext w:val="0"/>
              <w:widowControl w:val="0"/>
              <w:jc w:val="center"/>
              <w:rPr>
                <w:szCs w:val="20"/>
              </w:rPr>
            </w:pPr>
            <w:r w:rsidRPr="00AF20AB">
              <w:rPr>
                <w:szCs w:val="20"/>
              </w:rPr>
              <w:t>-</w:t>
            </w:r>
          </w:p>
        </w:tc>
        <w:tc>
          <w:tcPr>
            <w:tcW w:w="1033"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NR</w:t>
            </w:r>
          </w:p>
        </w:tc>
        <w:tc>
          <w:tcPr>
            <w:tcW w:w="849" w:type="pct"/>
            <w:vAlign w:val="center"/>
          </w:tcPr>
          <w:p w:rsidR="00D616D5" w:rsidRPr="00AF20AB" w:rsidRDefault="00D616D5"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NR</w:t>
            </w:r>
          </w:p>
        </w:tc>
        <w:tc>
          <w:tcPr>
            <w:tcW w:w="1136" w:type="pct"/>
            <w:vAlign w:val="center"/>
          </w:tcPr>
          <w:p w:rsidR="00D616D5" w:rsidRPr="00AF20AB" w:rsidRDefault="00D616D5" w:rsidP="00FF4F38">
            <w:pPr>
              <w:pStyle w:val="TableText0"/>
              <w:keepNext w:val="0"/>
              <w:widowControl w:val="0"/>
              <w:jc w:val="center"/>
              <w:rPr>
                <w:b/>
                <w:bCs w:val="0"/>
                <w:szCs w:val="20"/>
              </w:rPr>
            </w:pPr>
            <w:r w:rsidRPr="00AF20AB">
              <w:rPr>
                <w:b/>
                <w:bCs w:val="0"/>
                <w:szCs w:val="20"/>
              </w:rPr>
              <w:t>0.58 (0.4, 0.84)</w:t>
            </w:r>
          </w:p>
        </w:tc>
      </w:tr>
      <w:tr w:rsidR="00D616D5" w:rsidRPr="00AF20AB" w:rsidTr="00597925">
        <w:tc>
          <w:tcPr>
            <w:tcW w:w="3864" w:type="pct"/>
            <w:gridSpan w:val="4"/>
            <w:vAlign w:val="center"/>
          </w:tcPr>
          <w:p w:rsidR="00D616D5" w:rsidRPr="00AF20AB" w:rsidRDefault="00D616D5" w:rsidP="00FF4F38">
            <w:pPr>
              <w:pStyle w:val="V50Instructions"/>
              <w:keepNext/>
              <w:spacing w:before="0" w:after="0"/>
              <w:jc w:val="right"/>
              <w:rPr>
                <w:rFonts w:ascii="Arial Narrow" w:hAnsi="Arial Narrow"/>
                <w:color w:val="auto"/>
                <w:sz w:val="20"/>
                <w:szCs w:val="20"/>
              </w:rPr>
            </w:pPr>
            <w:r w:rsidRPr="00AF20AB">
              <w:rPr>
                <w:rFonts w:ascii="Arial Narrow" w:hAnsi="Arial Narrow"/>
                <w:bCs/>
                <w:color w:val="auto"/>
                <w:sz w:val="20"/>
                <w:szCs w:val="20"/>
              </w:rPr>
              <w:t>Indirect decitabine IV vs. azacitidine (95% CI)</w:t>
            </w:r>
          </w:p>
        </w:tc>
        <w:tc>
          <w:tcPr>
            <w:tcW w:w="1136" w:type="pct"/>
            <w:vAlign w:val="center"/>
          </w:tcPr>
          <w:p w:rsidR="00D616D5" w:rsidRPr="00AF20AB" w:rsidRDefault="00D616D5" w:rsidP="00FF4F38">
            <w:pPr>
              <w:pStyle w:val="TableText0"/>
              <w:keepNext w:val="0"/>
              <w:widowControl w:val="0"/>
              <w:jc w:val="center"/>
              <w:rPr>
                <w:szCs w:val="20"/>
              </w:rPr>
            </w:pPr>
            <w:r w:rsidRPr="00AF20AB">
              <w:rPr>
                <w:szCs w:val="20"/>
              </w:rPr>
              <w:t>1.17 (0.61, 2.24)</w:t>
            </w:r>
          </w:p>
        </w:tc>
      </w:tr>
      <w:tr w:rsidR="00FF4F38" w:rsidRPr="00AF20AB" w:rsidTr="00597925">
        <w:tc>
          <w:tcPr>
            <w:tcW w:w="1183" w:type="pct"/>
            <w:vAlign w:val="center"/>
          </w:tcPr>
          <w:p w:rsidR="00FF4F38" w:rsidRPr="00AF20AB" w:rsidRDefault="00FF4F38" w:rsidP="00FF4F38">
            <w:pPr>
              <w:pStyle w:val="TableText0"/>
              <w:keepNext w:val="0"/>
              <w:widowControl w:val="0"/>
              <w:rPr>
                <w:szCs w:val="20"/>
              </w:rPr>
            </w:pPr>
          </w:p>
        </w:tc>
        <w:tc>
          <w:tcPr>
            <w:tcW w:w="2681" w:type="pct"/>
            <w:gridSpan w:val="3"/>
            <w:vAlign w:val="center"/>
          </w:tcPr>
          <w:p w:rsidR="00FF4F38" w:rsidRPr="00AF20AB" w:rsidRDefault="00FF4F38" w:rsidP="00FF4F38">
            <w:pPr>
              <w:pStyle w:val="V50Instructions"/>
              <w:keepNext/>
              <w:spacing w:before="0" w:after="0"/>
              <w:jc w:val="center"/>
              <w:rPr>
                <w:rFonts w:ascii="Arial Narrow" w:hAnsi="Arial Narrow"/>
                <w:b/>
                <w:bCs/>
                <w:color w:val="auto"/>
                <w:sz w:val="20"/>
                <w:szCs w:val="20"/>
              </w:rPr>
            </w:pPr>
            <w:r w:rsidRPr="00AF20AB">
              <w:rPr>
                <w:rFonts w:ascii="Arial Narrow" w:hAnsi="Arial Narrow"/>
                <w:b/>
                <w:bCs/>
                <w:color w:val="auto"/>
                <w:sz w:val="20"/>
                <w:szCs w:val="20"/>
              </w:rPr>
              <w:t>Time to AML – median months</w:t>
            </w:r>
          </w:p>
        </w:tc>
        <w:tc>
          <w:tcPr>
            <w:tcW w:w="1136" w:type="pct"/>
            <w:vAlign w:val="center"/>
          </w:tcPr>
          <w:p w:rsidR="00FF4F38" w:rsidRPr="00AF20AB" w:rsidRDefault="00FF4F38" w:rsidP="00FF4F38">
            <w:pPr>
              <w:pStyle w:val="TableText0"/>
              <w:keepNext w:val="0"/>
              <w:widowControl w:val="0"/>
              <w:jc w:val="center"/>
              <w:rPr>
                <w:szCs w:val="20"/>
              </w:rPr>
            </w:pPr>
          </w:p>
        </w:tc>
      </w:tr>
      <w:tr w:rsidR="00FF4F38" w:rsidRPr="00AF20AB" w:rsidTr="00597925">
        <w:tc>
          <w:tcPr>
            <w:tcW w:w="1183" w:type="pct"/>
            <w:vAlign w:val="center"/>
          </w:tcPr>
          <w:p w:rsidR="00FF4F38" w:rsidRPr="00AF20AB" w:rsidRDefault="00FF4F38" w:rsidP="00FF4F38">
            <w:pPr>
              <w:pStyle w:val="TableText0"/>
              <w:keepNext w:val="0"/>
              <w:widowControl w:val="0"/>
              <w:rPr>
                <w:szCs w:val="20"/>
              </w:rPr>
            </w:pPr>
          </w:p>
        </w:tc>
        <w:tc>
          <w:tcPr>
            <w:tcW w:w="799" w:type="pct"/>
            <w:vAlign w:val="center"/>
          </w:tcPr>
          <w:p w:rsidR="00FF4F38" w:rsidRPr="00AF20AB" w:rsidRDefault="00FF4F38" w:rsidP="00FF4F38">
            <w:pPr>
              <w:pStyle w:val="TableText0"/>
              <w:keepNext w:val="0"/>
              <w:widowControl w:val="0"/>
              <w:jc w:val="center"/>
              <w:rPr>
                <w:b/>
                <w:szCs w:val="20"/>
              </w:rPr>
            </w:pPr>
            <w:r w:rsidRPr="00AF20AB">
              <w:rPr>
                <w:b/>
                <w:szCs w:val="20"/>
              </w:rPr>
              <w:t>Decitabine IV</w:t>
            </w:r>
          </w:p>
        </w:tc>
        <w:tc>
          <w:tcPr>
            <w:tcW w:w="1033" w:type="pct"/>
            <w:vAlign w:val="center"/>
          </w:tcPr>
          <w:p w:rsidR="00FF4F38" w:rsidRPr="00AF20AB" w:rsidRDefault="00FF4F38" w:rsidP="00FF4F38">
            <w:pPr>
              <w:pStyle w:val="V50Instructions"/>
              <w:widowControl w:val="0"/>
              <w:spacing w:before="0" w:after="0"/>
              <w:jc w:val="center"/>
              <w:rPr>
                <w:rFonts w:ascii="Arial Narrow" w:hAnsi="Arial Narrow"/>
                <w:b/>
                <w:bCs/>
                <w:color w:val="auto"/>
                <w:sz w:val="20"/>
                <w:szCs w:val="20"/>
              </w:rPr>
            </w:pPr>
            <w:r w:rsidRPr="00AF20AB">
              <w:rPr>
                <w:rFonts w:ascii="Arial Narrow" w:hAnsi="Arial Narrow"/>
                <w:b/>
                <w:bCs/>
                <w:color w:val="auto"/>
                <w:sz w:val="20"/>
                <w:szCs w:val="20"/>
              </w:rPr>
              <w:t xml:space="preserve">Common reference </w:t>
            </w:r>
          </w:p>
          <w:p w:rsidR="00FF4F38" w:rsidRPr="00AF20AB" w:rsidRDefault="00FF4F38" w:rsidP="00FF4F38">
            <w:pPr>
              <w:pStyle w:val="V50Instructions"/>
              <w:keepNext/>
              <w:spacing w:before="0" w:after="0"/>
              <w:jc w:val="center"/>
              <w:rPr>
                <w:rFonts w:ascii="Arial Narrow" w:hAnsi="Arial Narrow"/>
                <w:b/>
                <w:bCs/>
                <w:color w:val="auto"/>
                <w:sz w:val="20"/>
                <w:szCs w:val="20"/>
              </w:rPr>
            </w:pPr>
            <w:r w:rsidRPr="00AF20AB">
              <w:rPr>
                <w:rFonts w:ascii="Arial Narrow" w:hAnsi="Arial Narrow"/>
                <w:b/>
                <w:bCs/>
                <w:color w:val="auto"/>
                <w:sz w:val="20"/>
                <w:szCs w:val="20"/>
              </w:rPr>
              <w:t>BSC</w:t>
            </w:r>
          </w:p>
        </w:tc>
        <w:tc>
          <w:tcPr>
            <w:tcW w:w="849" w:type="pct"/>
            <w:vAlign w:val="center"/>
          </w:tcPr>
          <w:p w:rsidR="00FF4F38" w:rsidRPr="00AF20AB" w:rsidRDefault="00FF4F38" w:rsidP="00FF4F38">
            <w:pPr>
              <w:pStyle w:val="V50Instructions"/>
              <w:keepNext/>
              <w:spacing w:before="0" w:after="0"/>
              <w:jc w:val="center"/>
              <w:rPr>
                <w:rFonts w:ascii="Arial Narrow" w:hAnsi="Arial Narrow"/>
                <w:b/>
                <w:bCs/>
                <w:color w:val="auto"/>
                <w:sz w:val="20"/>
                <w:szCs w:val="20"/>
              </w:rPr>
            </w:pPr>
            <w:r w:rsidRPr="00AF20AB">
              <w:rPr>
                <w:rFonts w:ascii="Arial Narrow" w:hAnsi="Arial Narrow"/>
                <w:b/>
                <w:bCs/>
                <w:color w:val="auto"/>
                <w:sz w:val="20"/>
                <w:szCs w:val="20"/>
              </w:rPr>
              <w:t>Azacitidine</w:t>
            </w:r>
          </w:p>
        </w:tc>
        <w:tc>
          <w:tcPr>
            <w:tcW w:w="1136" w:type="pct"/>
            <w:vAlign w:val="center"/>
          </w:tcPr>
          <w:p w:rsidR="00FF4F38" w:rsidRPr="00AF20AB" w:rsidRDefault="00FF4F38" w:rsidP="00FF4F38">
            <w:pPr>
              <w:pStyle w:val="TableText0"/>
              <w:keepNext w:val="0"/>
              <w:widowControl w:val="0"/>
              <w:jc w:val="center"/>
              <w:rPr>
                <w:b/>
                <w:bCs w:val="0"/>
                <w:szCs w:val="20"/>
              </w:rPr>
            </w:pPr>
            <w:r w:rsidRPr="00AF20AB">
              <w:rPr>
                <w:b/>
                <w:bCs w:val="0"/>
                <w:szCs w:val="20"/>
              </w:rPr>
              <w:t>HR (95% CI)</w:t>
            </w:r>
          </w:p>
        </w:tc>
      </w:tr>
      <w:tr w:rsidR="00FF4F38" w:rsidRPr="00AF20AB" w:rsidTr="00597925">
        <w:tc>
          <w:tcPr>
            <w:tcW w:w="1183" w:type="pct"/>
            <w:vAlign w:val="center"/>
          </w:tcPr>
          <w:p w:rsidR="00FF4F38" w:rsidRPr="00AF20AB" w:rsidRDefault="00FF4F38" w:rsidP="00FF4F38">
            <w:pPr>
              <w:pStyle w:val="TableText0"/>
              <w:keepNext w:val="0"/>
              <w:widowControl w:val="0"/>
              <w:rPr>
                <w:bCs w:val="0"/>
                <w:szCs w:val="20"/>
              </w:rPr>
            </w:pPr>
            <w:r w:rsidRPr="00AF20AB">
              <w:rPr>
                <w:bCs w:val="0"/>
                <w:szCs w:val="20"/>
              </w:rPr>
              <w:t xml:space="preserve">Kantarjian 2006 </w:t>
            </w:r>
          </w:p>
        </w:tc>
        <w:tc>
          <w:tcPr>
            <w:tcW w:w="799" w:type="pct"/>
            <w:vAlign w:val="center"/>
          </w:tcPr>
          <w:p w:rsidR="00FF4F38" w:rsidRPr="00AF20AB" w:rsidRDefault="00FF4F38" w:rsidP="00FF4F38">
            <w:pPr>
              <w:pStyle w:val="V50Instructions"/>
              <w:widowControl w:val="0"/>
              <w:spacing w:before="0" w:after="0"/>
              <w:jc w:val="center"/>
              <w:rPr>
                <w:rFonts w:ascii="Arial Narrow" w:hAnsi="Arial Narrow"/>
                <w:color w:val="auto"/>
                <w:sz w:val="20"/>
                <w:szCs w:val="20"/>
              </w:rPr>
            </w:pPr>
            <w:r w:rsidRPr="00AF20AB">
              <w:rPr>
                <w:rFonts w:ascii="Arial Narrow" w:hAnsi="Arial Narrow"/>
                <w:color w:val="auto"/>
                <w:sz w:val="20"/>
                <w:szCs w:val="20"/>
              </w:rPr>
              <w:t xml:space="preserve">N=89 </w:t>
            </w:r>
          </w:p>
          <w:p w:rsidR="00FF4F38" w:rsidRPr="00AF20AB" w:rsidRDefault="00FF4F38" w:rsidP="00FF4F38">
            <w:pPr>
              <w:pStyle w:val="TableText0"/>
              <w:keepNext w:val="0"/>
              <w:widowControl w:val="0"/>
              <w:jc w:val="center"/>
              <w:rPr>
                <w:bCs w:val="0"/>
                <w:szCs w:val="20"/>
              </w:rPr>
            </w:pPr>
            <w:r w:rsidRPr="00AF20AB">
              <w:rPr>
                <w:bCs w:val="0"/>
                <w:szCs w:val="20"/>
              </w:rPr>
              <w:t>12.1</w:t>
            </w:r>
          </w:p>
        </w:tc>
        <w:tc>
          <w:tcPr>
            <w:tcW w:w="1033" w:type="pct"/>
            <w:vAlign w:val="center"/>
          </w:tcPr>
          <w:p w:rsidR="00FF4F38" w:rsidRPr="00AF20AB" w:rsidRDefault="00FF4F38" w:rsidP="00FF4F38">
            <w:pPr>
              <w:pStyle w:val="V50Instructions"/>
              <w:widowControl w:val="0"/>
              <w:spacing w:before="0" w:after="0"/>
              <w:jc w:val="center"/>
              <w:rPr>
                <w:rFonts w:ascii="Arial Narrow" w:hAnsi="Arial Narrow"/>
                <w:color w:val="auto"/>
                <w:sz w:val="20"/>
                <w:szCs w:val="20"/>
              </w:rPr>
            </w:pPr>
            <w:r w:rsidRPr="00AF20AB">
              <w:rPr>
                <w:rFonts w:ascii="Arial Narrow" w:hAnsi="Arial Narrow"/>
                <w:color w:val="auto"/>
                <w:sz w:val="20"/>
                <w:szCs w:val="20"/>
              </w:rPr>
              <w:t>N=81</w:t>
            </w:r>
          </w:p>
          <w:p w:rsidR="00FF4F38" w:rsidRPr="00AF20AB" w:rsidRDefault="00FF4F38"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7.8</w:t>
            </w:r>
          </w:p>
        </w:tc>
        <w:tc>
          <w:tcPr>
            <w:tcW w:w="849" w:type="pct"/>
            <w:vAlign w:val="center"/>
          </w:tcPr>
          <w:p w:rsidR="00FF4F38" w:rsidRPr="00AF20AB" w:rsidRDefault="00FF4F38"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w:t>
            </w:r>
          </w:p>
        </w:tc>
        <w:tc>
          <w:tcPr>
            <w:tcW w:w="1136" w:type="pct"/>
            <w:vAlign w:val="center"/>
          </w:tcPr>
          <w:p w:rsidR="00FF4F38" w:rsidRPr="00AF20AB" w:rsidRDefault="00FF4F38" w:rsidP="00FF4F38">
            <w:pPr>
              <w:pStyle w:val="TableText0"/>
              <w:keepNext w:val="0"/>
              <w:widowControl w:val="0"/>
              <w:jc w:val="center"/>
              <w:rPr>
                <w:bCs w:val="0"/>
                <w:szCs w:val="20"/>
              </w:rPr>
            </w:pPr>
            <w:r w:rsidRPr="00AF20AB">
              <w:rPr>
                <w:bCs w:val="0"/>
                <w:szCs w:val="20"/>
              </w:rPr>
              <w:t>0.99 (0.62, 1.59)</w:t>
            </w:r>
          </w:p>
        </w:tc>
      </w:tr>
      <w:tr w:rsidR="00FF4F38" w:rsidRPr="00AF20AB" w:rsidTr="00597925">
        <w:tc>
          <w:tcPr>
            <w:tcW w:w="1183" w:type="pct"/>
            <w:vAlign w:val="center"/>
          </w:tcPr>
          <w:p w:rsidR="00FF4F38" w:rsidRPr="00AF20AB" w:rsidRDefault="00FF4F38" w:rsidP="00FF4F38">
            <w:pPr>
              <w:pStyle w:val="TableText0"/>
              <w:keepNext w:val="0"/>
              <w:widowControl w:val="0"/>
              <w:rPr>
                <w:bCs w:val="0"/>
                <w:szCs w:val="20"/>
              </w:rPr>
            </w:pPr>
            <w:r w:rsidRPr="00AF20AB">
              <w:rPr>
                <w:bCs w:val="0"/>
                <w:szCs w:val="20"/>
              </w:rPr>
              <w:t xml:space="preserve">Lubbert 2011 </w:t>
            </w:r>
          </w:p>
        </w:tc>
        <w:tc>
          <w:tcPr>
            <w:tcW w:w="799" w:type="pct"/>
            <w:vAlign w:val="center"/>
          </w:tcPr>
          <w:p w:rsidR="00FF4F38" w:rsidRPr="00AF20AB" w:rsidRDefault="00FF4F38" w:rsidP="00FF4F38">
            <w:pPr>
              <w:pStyle w:val="V50Instructions"/>
              <w:widowControl w:val="0"/>
              <w:spacing w:before="0" w:after="0"/>
              <w:jc w:val="center"/>
              <w:rPr>
                <w:rFonts w:ascii="Arial Narrow" w:hAnsi="Arial Narrow"/>
                <w:color w:val="auto"/>
                <w:sz w:val="20"/>
                <w:szCs w:val="20"/>
              </w:rPr>
            </w:pPr>
            <w:r w:rsidRPr="00AF20AB">
              <w:rPr>
                <w:rFonts w:ascii="Arial Narrow" w:hAnsi="Arial Narrow"/>
                <w:color w:val="auto"/>
                <w:sz w:val="20"/>
                <w:szCs w:val="20"/>
              </w:rPr>
              <w:t>N=119</w:t>
            </w:r>
          </w:p>
          <w:p w:rsidR="00FF4F38" w:rsidRPr="00AF20AB" w:rsidRDefault="00FF4F38" w:rsidP="00FF4F38">
            <w:pPr>
              <w:pStyle w:val="TableText0"/>
              <w:keepNext w:val="0"/>
              <w:widowControl w:val="0"/>
              <w:jc w:val="center"/>
              <w:rPr>
                <w:bCs w:val="0"/>
                <w:szCs w:val="20"/>
              </w:rPr>
            </w:pPr>
            <w:r w:rsidRPr="00AF20AB">
              <w:rPr>
                <w:bCs w:val="0"/>
                <w:szCs w:val="20"/>
              </w:rPr>
              <w:t>8.8</w:t>
            </w:r>
          </w:p>
        </w:tc>
        <w:tc>
          <w:tcPr>
            <w:tcW w:w="1033" w:type="pct"/>
            <w:vAlign w:val="center"/>
          </w:tcPr>
          <w:p w:rsidR="00FF4F38" w:rsidRPr="00AF20AB" w:rsidRDefault="00FF4F38" w:rsidP="00FF4F38">
            <w:pPr>
              <w:pStyle w:val="V50Instructions"/>
              <w:widowControl w:val="0"/>
              <w:spacing w:before="0" w:after="0"/>
              <w:jc w:val="center"/>
              <w:rPr>
                <w:rFonts w:ascii="Arial Narrow" w:hAnsi="Arial Narrow"/>
                <w:color w:val="auto"/>
                <w:sz w:val="20"/>
                <w:szCs w:val="20"/>
              </w:rPr>
            </w:pPr>
            <w:r w:rsidRPr="00AF20AB">
              <w:rPr>
                <w:rFonts w:ascii="Arial Narrow" w:hAnsi="Arial Narrow"/>
                <w:color w:val="auto"/>
                <w:sz w:val="20"/>
                <w:szCs w:val="20"/>
              </w:rPr>
              <w:t>N=114</w:t>
            </w:r>
          </w:p>
          <w:p w:rsidR="00FF4F38" w:rsidRPr="00AF20AB" w:rsidRDefault="00FF4F38"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6.1</w:t>
            </w:r>
          </w:p>
        </w:tc>
        <w:tc>
          <w:tcPr>
            <w:tcW w:w="849" w:type="pct"/>
            <w:vAlign w:val="center"/>
          </w:tcPr>
          <w:p w:rsidR="00FF4F38" w:rsidRPr="00AF20AB" w:rsidRDefault="00FF4F38"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w:t>
            </w:r>
          </w:p>
        </w:tc>
        <w:tc>
          <w:tcPr>
            <w:tcW w:w="1136" w:type="pct"/>
            <w:vAlign w:val="center"/>
          </w:tcPr>
          <w:p w:rsidR="00FF4F38" w:rsidRPr="00AF20AB" w:rsidRDefault="00FF4F38" w:rsidP="00FF4F38">
            <w:pPr>
              <w:pStyle w:val="TableText0"/>
              <w:keepNext w:val="0"/>
              <w:widowControl w:val="0"/>
              <w:jc w:val="center"/>
              <w:rPr>
                <w:bCs w:val="0"/>
                <w:szCs w:val="20"/>
              </w:rPr>
            </w:pPr>
            <w:r w:rsidRPr="00AF20AB">
              <w:rPr>
                <w:bCs w:val="0"/>
                <w:szCs w:val="20"/>
              </w:rPr>
              <w:t>0.85 (0.64, 1.13)</w:t>
            </w:r>
          </w:p>
        </w:tc>
      </w:tr>
      <w:tr w:rsidR="00FF4F38" w:rsidRPr="00AF20AB" w:rsidTr="00597925">
        <w:tc>
          <w:tcPr>
            <w:tcW w:w="3864" w:type="pct"/>
            <w:gridSpan w:val="4"/>
            <w:vAlign w:val="center"/>
          </w:tcPr>
          <w:p w:rsidR="00FF4F38" w:rsidRPr="00AF20AB" w:rsidRDefault="00FF4F38" w:rsidP="00FF4F38">
            <w:pPr>
              <w:pStyle w:val="V50Instructions"/>
              <w:keepNext/>
              <w:spacing w:before="0" w:after="0"/>
              <w:jc w:val="right"/>
              <w:rPr>
                <w:rFonts w:ascii="Arial Narrow" w:hAnsi="Arial Narrow"/>
                <w:color w:val="auto"/>
                <w:sz w:val="20"/>
                <w:szCs w:val="20"/>
              </w:rPr>
            </w:pPr>
            <w:r w:rsidRPr="00AF20AB">
              <w:rPr>
                <w:rFonts w:ascii="Arial Narrow" w:hAnsi="Arial Narrow"/>
                <w:color w:val="auto"/>
                <w:sz w:val="20"/>
                <w:szCs w:val="20"/>
              </w:rPr>
              <w:t>pooled decitabine IV</w:t>
            </w:r>
            <w:r w:rsidRPr="00AF20AB">
              <w:rPr>
                <w:rFonts w:ascii="Arial Narrow" w:hAnsi="Arial Narrow"/>
                <w:color w:val="auto"/>
                <w:sz w:val="20"/>
                <w:szCs w:val="20"/>
                <w:vertAlign w:val="superscript"/>
              </w:rPr>
              <w:t xml:space="preserve"> </w:t>
            </w:r>
            <w:r w:rsidRPr="00AF20AB">
              <w:rPr>
                <w:rFonts w:ascii="Arial Narrow" w:hAnsi="Arial Narrow"/>
                <w:color w:val="auto"/>
                <w:sz w:val="20"/>
                <w:szCs w:val="20"/>
              </w:rPr>
              <w:t>random effects (1</w:t>
            </w:r>
            <w:r w:rsidRPr="00AF20AB">
              <w:rPr>
                <w:rFonts w:ascii="Arial Narrow" w:hAnsi="Arial Narrow"/>
                <w:color w:val="auto"/>
                <w:sz w:val="20"/>
                <w:szCs w:val="20"/>
                <w:vertAlign w:val="superscript"/>
              </w:rPr>
              <w:t>2</w:t>
            </w:r>
            <w:r w:rsidRPr="00AF20AB">
              <w:rPr>
                <w:rFonts w:ascii="Arial Narrow" w:hAnsi="Arial Narrow"/>
                <w:color w:val="auto"/>
                <w:sz w:val="20"/>
                <w:szCs w:val="20"/>
              </w:rPr>
              <w:t>=0%; p=0.33)</w:t>
            </w:r>
          </w:p>
        </w:tc>
        <w:tc>
          <w:tcPr>
            <w:tcW w:w="1136" w:type="pct"/>
            <w:vAlign w:val="center"/>
          </w:tcPr>
          <w:p w:rsidR="00FF4F38" w:rsidRPr="00AF20AB" w:rsidRDefault="00FF4F38" w:rsidP="00FF4F38">
            <w:pPr>
              <w:pStyle w:val="TableText0"/>
              <w:keepNext w:val="0"/>
              <w:widowControl w:val="0"/>
              <w:jc w:val="center"/>
              <w:rPr>
                <w:szCs w:val="20"/>
              </w:rPr>
            </w:pPr>
            <w:r w:rsidRPr="00AF20AB">
              <w:rPr>
                <w:bCs w:val="0"/>
                <w:szCs w:val="20"/>
              </w:rPr>
              <w:t>0.89 (0.70, 1.13)</w:t>
            </w:r>
            <w:r w:rsidRPr="00AF20AB">
              <w:rPr>
                <w:bCs w:val="0"/>
                <w:szCs w:val="20"/>
                <w:vertAlign w:val="superscript"/>
              </w:rPr>
              <w:t>a</w:t>
            </w:r>
          </w:p>
        </w:tc>
      </w:tr>
      <w:tr w:rsidR="00FF4F38" w:rsidRPr="00AF20AB" w:rsidTr="00597925">
        <w:tc>
          <w:tcPr>
            <w:tcW w:w="1183" w:type="pct"/>
            <w:vAlign w:val="center"/>
          </w:tcPr>
          <w:p w:rsidR="00FF4F38" w:rsidRPr="00AF20AB" w:rsidRDefault="00FF4F38" w:rsidP="00FF4F38">
            <w:pPr>
              <w:pStyle w:val="TableText0"/>
              <w:keepNext w:val="0"/>
              <w:widowControl w:val="0"/>
              <w:rPr>
                <w:szCs w:val="20"/>
              </w:rPr>
            </w:pPr>
            <w:r w:rsidRPr="00AF20AB">
              <w:rPr>
                <w:szCs w:val="20"/>
              </w:rPr>
              <w:t xml:space="preserve">Fenaux 2009 </w:t>
            </w:r>
          </w:p>
        </w:tc>
        <w:tc>
          <w:tcPr>
            <w:tcW w:w="799" w:type="pct"/>
            <w:vAlign w:val="center"/>
          </w:tcPr>
          <w:p w:rsidR="00FF4F38" w:rsidRPr="00AF20AB" w:rsidRDefault="00FF4F38" w:rsidP="00FF4F38">
            <w:pPr>
              <w:pStyle w:val="TableText0"/>
              <w:keepNext w:val="0"/>
              <w:widowControl w:val="0"/>
              <w:jc w:val="center"/>
              <w:rPr>
                <w:szCs w:val="20"/>
              </w:rPr>
            </w:pPr>
            <w:r w:rsidRPr="00AF20AB">
              <w:rPr>
                <w:szCs w:val="20"/>
              </w:rPr>
              <w:t>-</w:t>
            </w:r>
          </w:p>
        </w:tc>
        <w:tc>
          <w:tcPr>
            <w:tcW w:w="1033" w:type="pct"/>
            <w:vAlign w:val="center"/>
          </w:tcPr>
          <w:p w:rsidR="00FF4F38" w:rsidRPr="00AF20AB" w:rsidRDefault="00FF4F38"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N=105</w:t>
            </w:r>
          </w:p>
          <w:p w:rsidR="00FF4F38" w:rsidRPr="00AF20AB" w:rsidRDefault="00FF4F38"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10.1</w:t>
            </w:r>
          </w:p>
        </w:tc>
        <w:tc>
          <w:tcPr>
            <w:tcW w:w="849" w:type="pct"/>
            <w:vAlign w:val="center"/>
          </w:tcPr>
          <w:p w:rsidR="00FF4F38" w:rsidRPr="00AF20AB" w:rsidRDefault="00FF4F38"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N=117</w:t>
            </w:r>
          </w:p>
          <w:p w:rsidR="00FF4F38" w:rsidRPr="00AF20AB" w:rsidRDefault="00FF4F38"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15.0</w:t>
            </w:r>
          </w:p>
        </w:tc>
        <w:tc>
          <w:tcPr>
            <w:tcW w:w="1136" w:type="pct"/>
            <w:vAlign w:val="center"/>
          </w:tcPr>
          <w:p w:rsidR="00FF4F38" w:rsidRPr="00AF20AB" w:rsidRDefault="00FF4F38" w:rsidP="00FF4F38">
            <w:pPr>
              <w:pStyle w:val="TableText0"/>
              <w:keepNext w:val="0"/>
              <w:widowControl w:val="0"/>
              <w:jc w:val="center"/>
              <w:rPr>
                <w:szCs w:val="20"/>
              </w:rPr>
            </w:pPr>
            <w:r w:rsidRPr="00AF20AB">
              <w:rPr>
                <w:b/>
                <w:bCs w:val="0"/>
                <w:szCs w:val="20"/>
              </w:rPr>
              <w:t>0.41 (0.27, 0.62)</w:t>
            </w:r>
          </w:p>
        </w:tc>
      </w:tr>
      <w:tr w:rsidR="00FF4F38" w:rsidRPr="00AF20AB" w:rsidTr="00597925">
        <w:tc>
          <w:tcPr>
            <w:tcW w:w="1183" w:type="pct"/>
            <w:vAlign w:val="center"/>
          </w:tcPr>
          <w:p w:rsidR="00FF4F38" w:rsidRPr="00AF20AB" w:rsidRDefault="00FF4F38" w:rsidP="00FF4F38">
            <w:pPr>
              <w:pStyle w:val="TableText0"/>
              <w:keepNext w:val="0"/>
              <w:widowControl w:val="0"/>
              <w:rPr>
                <w:szCs w:val="20"/>
              </w:rPr>
            </w:pPr>
            <w:r w:rsidRPr="00AF20AB">
              <w:rPr>
                <w:szCs w:val="20"/>
              </w:rPr>
              <w:t xml:space="preserve">Silverman 2002 </w:t>
            </w:r>
          </w:p>
        </w:tc>
        <w:tc>
          <w:tcPr>
            <w:tcW w:w="799" w:type="pct"/>
            <w:vAlign w:val="center"/>
          </w:tcPr>
          <w:p w:rsidR="00FF4F38" w:rsidRPr="00AF20AB" w:rsidRDefault="00FF4F38" w:rsidP="00FF4F38">
            <w:pPr>
              <w:pStyle w:val="TableText0"/>
              <w:keepNext w:val="0"/>
              <w:widowControl w:val="0"/>
              <w:jc w:val="center"/>
              <w:rPr>
                <w:szCs w:val="20"/>
              </w:rPr>
            </w:pPr>
            <w:r w:rsidRPr="00AF20AB">
              <w:rPr>
                <w:szCs w:val="20"/>
              </w:rPr>
              <w:t>-</w:t>
            </w:r>
          </w:p>
        </w:tc>
        <w:tc>
          <w:tcPr>
            <w:tcW w:w="1033" w:type="pct"/>
            <w:vAlign w:val="center"/>
          </w:tcPr>
          <w:p w:rsidR="00FF4F38" w:rsidRPr="00AF20AB" w:rsidRDefault="00FF4F38"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N=92</w:t>
            </w:r>
          </w:p>
          <w:p w:rsidR="00FF4F38" w:rsidRPr="00AF20AB" w:rsidRDefault="00FF4F38"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12 (8, 15)</w:t>
            </w:r>
          </w:p>
        </w:tc>
        <w:tc>
          <w:tcPr>
            <w:tcW w:w="849" w:type="pct"/>
            <w:vAlign w:val="center"/>
          </w:tcPr>
          <w:p w:rsidR="00FF4F38" w:rsidRPr="00AF20AB" w:rsidRDefault="00FF4F38"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N=99</w:t>
            </w:r>
          </w:p>
          <w:p w:rsidR="00FF4F38" w:rsidRPr="00AF20AB" w:rsidRDefault="00FF4F38" w:rsidP="00FF4F38">
            <w:pPr>
              <w:pStyle w:val="V50Instructions"/>
              <w:keepNext/>
              <w:spacing w:before="0" w:after="0"/>
              <w:jc w:val="center"/>
              <w:rPr>
                <w:rFonts w:ascii="Arial Narrow" w:hAnsi="Arial Narrow"/>
                <w:color w:val="auto"/>
                <w:sz w:val="20"/>
                <w:szCs w:val="20"/>
              </w:rPr>
            </w:pPr>
            <w:r w:rsidRPr="00AF20AB">
              <w:rPr>
                <w:rFonts w:ascii="Arial Narrow" w:hAnsi="Arial Narrow"/>
                <w:color w:val="auto"/>
                <w:sz w:val="20"/>
                <w:szCs w:val="20"/>
              </w:rPr>
              <w:t>21 (16, 27)</w:t>
            </w:r>
          </w:p>
        </w:tc>
        <w:tc>
          <w:tcPr>
            <w:tcW w:w="1136" w:type="pct"/>
            <w:vAlign w:val="center"/>
          </w:tcPr>
          <w:p w:rsidR="00FF4F38" w:rsidRPr="00AF20AB" w:rsidRDefault="00FF4F38" w:rsidP="00FF4F38">
            <w:pPr>
              <w:pStyle w:val="TableText0"/>
              <w:keepNext w:val="0"/>
              <w:widowControl w:val="0"/>
              <w:jc w:val="center"/>
              <w:rPr>
                <w:szCs w:val="20"/>
              </w:rPr>
            </w:pPr>
            <w:r w:rsidRPr="00AF20AB">
              <w:rPr>
                <w:b/>
                <w:bCs w:val="0"/>
                <w:szCs w:val="20"/>
              </w:rPr>
              <w:t>0.60 (0.44, 0.82)</w:t>
            </w:r>
          </w:p>
        </w:tc>
      </w:tr>
      <w:tr w:rsidR="00FF4F38" w:rsidRPr="00AF20AB" w:rsidTr="00597925">
        <w:tc>
          <w:tcPr>
            <w:tcW w:w="3864" w:type="pct"/>
            <w:gridSpan w:val="4"/>
            <w:vAlign w:val="center"/>
          </w:tcPr>
          <w:p w:rsidR="00FF4F38" w:rsidRPr="00AF20AB" w:rsidRDefault="00FF4F38" w:rsidP="00FF4F38">
            <w:pPr>
              <w:pStyle w:val="V50Instructions"/>
              <w:keepNext/>
              <w:spacing w:before="0" w:after="0"/>
              <w:jc w:val="right"/>
              <w:rPr>
                <w:rFonts w:ascii="Arial Narrow" w:hAnsi="Arial Narrow"/>
                <w:color w:val="auto"/>
                <w:sz w:val="20"/>
                <w:szCs w:val="20"/>
              </w:rPr>
            </w:pPr>
            <w:r w:rsidRPr="00AF20AB">
              <w:rPr>
                <w:rFonts w:ascii="Arial Narrow" w:hAnsi="Arial Narrow"/>
                <w:color w:val="auto"/>
                <w:sz w:val="20"/>
                <w:szCs w:val="20"/>
              </w:rPr>
              <w:t>pooled azacitidine</w:t>
            </w:r>
            <w:r w:rsidRPr="00AF20AB">
              <w:rPr>
                <w:rFonts w:ascii="Arial Narrow" w:hAnsi="Arial Narrow"/>
                <w:color w:val="auto"/>
                <w:sz w:val="20"/>
                <w:szCs w:val="20"/>
                <w:vertAlign w:val="superscript"/>
              </w:rPr>
              <w:t xml:space="preserve"> </w:t>
            </w:r>
            <w:r w:rsidRPr="00AF20AB">
              <w:rPr>
                <w:rFonts w:ascii="Arial Narrow" w:hAnsi="Arial Narrow"/>
                <w:color w:val="auto"/>
                <w:sz w:val="20"/>
                <w:szCs w:val="20"/>
              </w:rPr>
              <w:t>random effects (I</w:t>
            </w:r>
            <w:r w:rsidRPr="00AF20AB">
              <w:rPr>
                <w:rFonts w:ascii="Arial Narrow" w:hAnsi="Arial Narrow"/>
                <w:color w:val="auto"/>
                <w:sz w:val="20"/>
                <w:szCs w:val="20"/>
                <w:vertAlign w:val="superscript"/>
              </w:rPr>
              <w:t>2</w:t>
            </w:r>
            <w:r w:rsidRPr="00AF20AB">
              <w:rPr>
                <w:rFonts w:ascii="Arial Narrow" w:hAnsi="Arial Narrow"/>
                <w:color w:val="auto"/>
                <w:sz w:val="20"/>
                <w:szCs w:val="20"/>
              </w:rPr>
              <w:t>=51%; p=0.0003)</w:t>
            </w:r>
          </w:p>
        </w:tc>
        <w:tc>
          <w:tcPr>
            <w:tcW w:w="1136" w:type="pct"/>
            <w:vAlign w:val="center"/>
          </w:tcPr>
          <w:p w:rsidR="00FF4F38" w:rsidRPr="00AF20AB" w:rsidRDefault="00FF4F38" w:rsidP="00FF4F38">
            <w:pPr>
              <w:pStyle w:val="TableText0"/>
              <w:keepNext w:val="0"/>
              <w:widowControl w:val="0"/>
              <w:jc w:val="center"/>
              <w:rPr>
                <w:szCs w:val="20"/>
              </w:rPr>
            </w:pPr>
            <w:r w:rsidRPr="00AF20AB">
              <w:rPr>
                <w:b/>
                <w:bCs w:val="0"/>
                <w:szCs w:val="20"/>
              </w:rPr>
              <w:t>0.51 (0.35, 0.74)</w:t>
            </w:r>
          </w:p>
        </w:tc>
      </w:tr>
      <w:tr w:rsidR="00FF4F38" w:rsidRPr="00AF20AB" w:rsidTr="00597925">
        <w:tc>
          <w:tcPr>
            <w:tcW w:w="3864" w:type="pct"/>
            <w:gridSpan w:val="4"/>
            <w:vAlign w:val="center"/>
          </w:tcPr>
          <w:p w:rsidR="00FF4F38" w:rsidRPr="00AF20AB" w:rsidRDefault="00FF4F38" w:rsidP="00FF4F38">
            <w:pPr>
              <w:pStyle w:val="V50Instructions"/>
              <w:keepNext/>
              <w:spacing w:before="0" w:after="0"/>
              <w:jc w:val="right"/>
              <w:rPr>
                <w:rFonts w:ascii="Arial Narrow" w:hAnsi="Arial Narrow"/>
                <w:color w:val="auto"/>
                <w:sz w:val="20"/>
                <w:szCs w:val="20"/>
              </w:rPr>
            </w:pPr>
            <w:r w:rsidRPr="00AF20AB">
              <w:rPr>
                <w:rFonts w:ascii="Arial Narrow" w:hAnsi="Arial Narrow"/>
                <w:bCs/>
                <w:color w:val="auto"/>
                <w:sz w:val="20"/>
                <w:szCs w:val="20"/>
              </w:rPr>
              <w:t>Indirect pooled decitabine IV vs. pooled azacitidine (95% CI)</w:t>
            </w:r>
          </w:p>
        </w:tc>
        <w:tc>
          <w:tcPr>
            <w:tcW w:w="1136" w:type="pct"/>
            <w:vAlign w:val="center"/>
          </w:tcPr>
          <w:p w:rsidR="00FF4F38" w:rsidRPr="00AF20AB" w:rsidRDefault="00FF4F38" w:rsidP="00FF4F38">
            <w:pPr>
              <w:pStyle w:val="TableText0"/>
              <w:keepNext w:val="0"/>
              <w:widowControl w:val="0"/>
              <w:jc w:val="center"/>
              <w:rPr>
                <w:szCs w:val="20"/>
              </w:rPr>
            </w:pPr>
            <w:r w:rsidRPr="00AF20AB">
              <w:rPr>
                <w:b/>
                <w:szCs w:val="20"/>
              </w:rPr>
              <w:t>1.75 (1.12, 2.72)</w:t>
            </w:r>
          </w:p>
        </w:tc>
      </w:tr>
    </w:tbl>
    <w:p w:rsidR="00FF4F38" w:rsidRPr="00AF20AB" w:rsidRDefault="00FF4F38" w:rsidP="00FF4F38">
      <w:pPr>
        <w:pStyle w:val="TableFigureFooter"/>
        <w:spacing w:after="0"/>
        <w:rPr>
          <w:sz w:val="20"/>
        </w:rPr>
      </w:pPr>
      <w:r w:rsidRPr="00AF20AB">
        <w:t xml:space="preserve">Source: </w:t>
      </w:r>
      <w:r w:rsidR="00A309B0" w:rsidRPr="00AF20AB">
        <w:t>Table 2.16, p88; Table 2.17, p92; Table 2.24</w:t>
      </w:r>
      <w:r w:rsidRPr="00AF20AB">
        <w:t>, p104-105 of the submission.</w:t>
      </w:r>
    </w:p>
    <w:p w:rsidR="00085125" w:rsidRPr="00AF20AB" w:rsidRDefault="00FF4F38" w:rsidP="00085125">
      <w:pPr>
        <w:pStyle w:val="3-BodyText"/>
        <w:numPr>
          <w:ilvl w:val="0"/>
          <w:numId w:val="0"/>
        </w:numPr>
        <w:rPr>
          <w:rFonts w:ascii="Arial Narrow" w:hAnsi="Arial Narrow"/>
          <w:sz w:val="20"/>
          <w:szCs w:val="20"/>
        </w:rPr>
      </w:pPr>
      <w:r w:rsidRPr="00AF20AB">
        <w:rPr>
          <w:rFonts w:ascii="Arial Narrow" w:eastAsia="Calibri" w:hAnsi="Arial Narrow"/>
          <w:sz w:val="20"/>
          <w:szCs w:val="20"/>
        </w:rPr>
        <w:t>BSC=best supportive care; CI=confidence interval; HR=hazard ratio;</w:t>
      </w:r>
      <w:r w:rsidR="00A309B0" w:rsidRPr="00AF20AB">
        <w:rPr>
          <w:rFonts w:ascii="Arial Narrow" w:eastAsia="Calibri" w:hAnsi="Arial Narrow"/>
          <w:sz w:val="20"/>
          <w:szCs w:val="20"/>
        </w:rPr>
        <w:t xml:space="preserve"> IV=intravenous;</w:t>
      </w:r>
      <w:r w:rsidRPr="00AF20AB">
        <w:rPr>
          <w:rFonts w:ascii="Arial Narrow" w:eastAsia="Calibri" w:hAnsi="Arial Narrow"/>
          <w:sz w:val="20"/>
          <w:szCs w:val="20"/>
        </w:rPr>
        <w:t xml:space="preserve"> NR=not reported;</w:t>
      </w:r>
      <w:r w:rsidR="00A309B0" w:rsidRPr="00AF20AB">
        <w:rPr>
          <w:rFonts w:ascii="Arial Narrow" w:eastAsia="Calibri" w:hAnsi="Arial Narrow"/>
          <w:sz w:val="20"/>
          <w:szCs w:val="20"/>
        </w:rPr>
        <w:t xml:space="preserve"> OS=overall survival;</w:t>
      </w:r>
      <w:r w:rsidRPr="00AF20AB">
        <w:rPr>
          <w:rFonts w:ascii="Arial Narrow" w:eastAsia="Calibri" w:hAnsi="Arial Narrow"/>
          <w:sz w:val="20"/>
          <w:szCs w:val="20"/>
        </w:rPr>
        <w:t xml:space="preserve"> </w:t>
      </w:r>
      <w:r w:rsidRPr="00AF20AB">
        <w:rPr>
          <w:rFonts w:ascii="Arial Narrow" w:eastAsia="Calibri" w:hAnsi="Arial Narrow"/>
          <w:b/>
          <w:bCs/>
          <w:sz w:val="20"/>
          <w:szCs w:val="20"/>
        </w:rPr>
        <w:t>bold</w:t>
      </w:r>
      <w:r w:rsidRPr="00AF20AB">
        <w:rPr>
          <w:rFonts w:ascii="Arial Narrow" w:eastAsia="Calibri" w:hAnsi="Arial Narrow"/>
          <w:sz w:val="20"/>
          <w:szCs w:val="20"/>
        </w:rPr>
        <w:t>=statistically significant</w:t>
      </w:r>
    </w:p>
    <w:p w:rsidR="002A5299" w:rsidRPr="00AF20AB" w:rsidRDefault="002A5299" w:rsidP="002A5299">
      <w:pPr>
        <w:pStyle w:val="3-BodyText"/>
      </w:pPr>
      <w:r w:rsidRPr="00AF20AB">
        <w:t>The pre-PBAC Response acknowledged the limitations associated with the indirect comparison of survival data between azacitidine and decitabine+cedazuridine. The pre-PBAC Response indicated that in the absence of more reliable survival data, comparative efficacy could be informed by additional data sources such as indirect analyses of other outcomes, retrospective studies, and real-world evidence.</w:t>
      </w:r>
    </w:p>
    <w:p w:rsidR="00CF1CD0" w:rsidRPr="00AF20AB" w:rsidRDefault="00A309B0" w:rsidP="001B5EFA">
      <w:pPr>
        <w:pStyle w:val="3-BodyText"/>
      </w:pPr>
      <w:r w:rsidRPr="00AF20AB">
        <w:t xml:space="preserve">There was a statistically significant advantage for azacitidine compared to decitabine IV for OS (HR=1.43; 95% CI: 1.03, 1.99), </w:t>
      </w:r>
      <w:r w:rsidRPr="00AF20AB">
        <w:rPr>
          <w:iCs/>
        </w:rPr>
        <w:t>and this advantage was also observed for the IPSS intermediate-2 and high-risk subgroup. However</w:t>
      </w:r>
      <w:r w:rsidR="00D8192F" w:rsidRPr="00AF20AB">
        <w:rPr>
          <w:iCs/>
        </w:rPr>
        <w:t>,</w:t>
      </w:r>
      <w:r w:rsidRPr="00AF20AB">
        <w:rPr>
          <w:iCs/>
        </w:rPr>
        <w:t xml:space="preserve"> the comparison in the subgroup was difficult to interpret, with no estimates of median survival available</w:t>
      </w:r>
      <w:r w:rsidR="00AF739A" w:rsidRPr="00AF20AB">
        <w:rPr>
          <w:iCs/>
        </w:rPr>
        <w:t xml:space="preserve"> and number of patients not provided</w:t>
      </w:r>
      <w:r w:rsidR="00AF20AB">
        <w:rPr>
          <w:iCs/>
        </w:rPr>
        <w:t xml:space="preserve">. </w:t>
      </w:r>
      <w:r w:rsidR="00CF1CD0" w:rsidRPr="00AF20AB">
        <w:t>The overall comparison had a moderately high level of heterogeneity, between 30% and 40%, which was acknowledged by the submission</w:t>
      </w:r>
      <w:r w:rsidR="00AF20AB">
        <w:t xml:space="preserve">. </w:t>
      </w:r>
      <w:r w:rsidR="00CF1CD0" w:rsidRPr="00AF20AB">
        <w:rPr>
          <w:iCs/>
        </w:rPr>
        <w:t>A similar level of heterogeneity was observed in the analysis of time to AML (51%), which also showed an advantage for azacitidine</w:t>
      </w:r>
      <w:r w:rsidR="00AF20AB">
        <w:rPr>
          <w:iCs/>
        </w:rPr>
        <w:t xml:space="preserve">. </w:t>
      </w:r>
      <w:r w:rsidR="00CF1CD0" w:rsidRPr="00AF20AB">
        <w:t xml:space="preserve">The submission also noted the varying levels of OS in the BSC arms, ranging from 8.5 to 14 months. </w:t>
      </w:r>
      <w:r w:rsidR="000F6A0E" w:rsidRPr="00AF20AB">
        <w:t xml:space="preserve">While the ESC </w:t>
      </w:r>
      <w:r w:rsidR="00166CD4" w:rsidRPr="00AF20AB">
        <w:t>acknowledged</w:t>
      </w:r>
      <w:r w:rsidR="008D5E88" w:rsidRPr="00AF20AB">
        <w:t xml:space="preserve"> the uncertainty associated with the indirect comparison of OS, the ESC noted that the OS advantage for azacitidine compared with decitabine is consistent with the results from Lee et al., 2013 (see paragraph 6.8).</w:t>
      </w:r>
      <w:r w:rsidR="00D23128" w:rsidRPr="00AF20AB">
        <w:t xml:space="preserve"> The pre-PBAC Response noted that an analysis of the </w:t>
      </w:r>
      <w:r w:rsidR="001B5EFA" w:rsidRPr="00AF20AB">
        <w:t xml:space="preserve">Surveillance, Epidemiology, and End Results (SEER) </w:t>
      </w:r>
      <w:r w:rsidR="00D23128" w:rsidRPr="00AF20AB">
        <w:t>database found no difference in survival</w:t>
      </w:r>
      <w:r w:rsidR="00434823" w:rsidRPr="00AF20AB">
        <w:t xml:space="preserve"> (median OS of 15 months)</w:t>
      </w:r>
      <w:r w:rsidR="00D23128" w:rsidRPr="00AF20AB">
        <w:t xml:space="preserve"> in 2025 MDS patients based on the HMA received (Zeidan et al., 2016)</w:t>
      </w:r>
      <w:r w:rsidR="00933A97" w:rsidRPr="00AF20AB">
        <w:t>.</w:t>
      </w:r>
    </w:p>
    <w:p w:rsidR="000579B5" w:rsidRPr="00AF20AB" w:rsidRDefault="00A309B0" w:rsidP="00457CD4">
      <w:pPr>
        <w:pStyle w:val="3-BodyText"/>
      </w:pPr>
      <w:r w:rsidRPr="00AF20AB">
        <w:t xml:space="preserve">The submission stated that the OS </w:t>
      </w:r>
      <w:r w:rsidR="00BB1F89" w:rsidRPr="00AF20AB">
        <w:t>comparison</w:t>
      </w:r>
      <w:r w:rsidR="00BE0106" w:rsidRPr="00AF20AB">
        <w:t>s</w:t>
      </w:r>
      <w:r w:rsidRPr="00AF20AB">
        <w:t xml:space="preserve"> were </w:t>
      </w:r>
      <w:r w:rsidR="00BB1F89" w:rsidRPr="00AF20AB">
        <w:t xml:space="preserve">potentially </w:t>
      </w:r>
      <w:r w:rsidRPr="00AF20AB">
        <w:t>influenced by the results of Fenaux (2009)</w:t>
      </w:r>
      <w:r w:rsidR="00CF1CD0" w:rsidRPr="00AF20AB">
        <w:t>, where there are disparities between the survival rates and those expected in clinical practice</w:t>
      </w:r>
      <w:r w:rsidR="000579B5" w:rsidRPr="00AF20AB">
        <w:t xml:space="preserve"> and it is likely this trial overestimated</w:t>
      </w:r>
      <w:r w:rsidR="00FB0AD5" w:rsidRPr="00AF20AB">
        <w:t xml:space="preserve"> the</w:t>
      </w:r>
      <w:r w:rsidR="000579B5" w:rsidRPr="00AF20AB">
        <w:t xml:space="preserve"> survival benefit</w:t>
      </w:r>
      <w:r w:rsidR="00FB0AD5" w:rsidRPr="00AF20AB">
        <w:t xml:space="preserve"> for azacitidine</w:t>
      </w:r>
      <w:r w:rsidR="00CF1CD0" w:rsidRPr="00AF20AB">
        <w:t xml:space="preserve">. </w:t>
      </w:r>
      <w:r w:rsidR="00CF1CD0" w:rsidRPr="00AF20AB">
        <w:rPr>
          <w:iCs/>
        </w:rPr>
        <w:t xml:space="preserve">While median survival </w:t>
      </w:r>
      <w:r w:rsidR="00FB0AD5" w:rsidRPr="00AF20AB">
        <w:rPr>
          <w:iCs/>
        </w:rPr>
        <w:t xml:space="preserve">for azacitidine </w:t>
      </w:r>
      <w:r w:rsidR="00CF1CD0" w:rsidRPr="00AF20AB">
        <w:rPr>
          <w:iCs/>
        </w:rPr>
        <w:t xml:space="preserve">in the overall </w:t>
      </w:r>
      <w:r w:rsidR="00FB0AD5" w:rsidRPr="00AF20AB">
        <w:rPr>
          <w:iCs/>
        </w:rPr>
        <w:t xml:space="preserve">population </w:t>
      </w:r>
      <w:r w:rsidR="00880CE5" w:rsidRPr="00AF20AB">
        <w:rPr>
          <w:iCs/>
        </w:rPr>
        <w:t xml:space="preserve">for the </w:t>
      </w:r>
      <w:r w:rsidR="00CF1CD0" w:rsidRPr="00AF20AB">
        <w:rPr>
          <w:iCs/>
        </w:rPr>
        <w:t xml:space="preserve">Fenaux (2009) trial was </w:t>
      </w:r>
      <w:r w:rsidR="00880CE5" w:rsidRPr="00AF20AB">
        <w:rPr>
          <w:iCs/>
        </w:rPr>
        <w:t xml:space="preserve">relatively long </w:t>
      </w:r>
      <w:r w:rsidR="00CF1CD0" w:rsidRPr="00AF20AB">
        <w:rPr>
          <w:iCs/>
        </w:rPr>
        <w:t xml:space="preserve">(21.1 months), </w:t>
      </w:r>
      <w:r w:rsidR="00880CE5" w:rsidRPr="00AF20AB">
        <w:rPr>
          <w:iCs/>
        </w:rPr>
        <w:t xml:space="preserve">an estimate of median OS was not provided for </w:t>
      </w:r>
      <w:r w:rsidR="00CF1CD0" w:rsidRPr="00AF20AB">
        <w:rPr>
          <w:iCs/>
        </w:rPr>
        <w:t>the subgroup analysis</w:t>
      </w:r>
      <w:r w:rsidR="00880CE5" w:rsidRPr="00AF20AB">
        <w:rPr>
          <w:iCs/>
        </w:rPr>
        <w:t xml:space="preserve">, </w:t>
      </w:r>
      <w:r w:rsidR="00CF1CD0" w:rsidRPr="00AF20AB">
        <w:rPr>
          <w:iCs/>
        </w:rPr>
        <w:t xml:space="preserve">and </w:t>
      </w:r>
      <w:r w:rsidR="00880CE5" w:rsidRPr="00AF20AB">
        <w:rPr>
          <w:iCs/>
        </w:rPr>
        <w:t xml:space="preserve">it </w:t>
      </w:r>
      <w:r w:rsidR="00CF1CD0" w:rsidRPr="00AF20AB">
        <w:rPr>
          <w:iCs/>
        </w:rPr>
        <w:t>c</w:t>
      </w:r>
      <w:r w:rsidR="00FB0AD5" w:rsidRPr="00AF20AB">
        <w:rPr>
          <w:iCs/>
        </w:rPr>
        <w:t xml:space="preserve">ould </w:t>
      </w:r>
      <w:r w:rsidR="00CF1CD0" w:rsidRPr="00AF20AB">
        <w:rPr>
          <w:iCs/>
        </w:rPr>
        <w:t>not be determined</w:t>
      </w:r>
      <w:r w:rsidR="00880CE5" w:rsidRPr="00AF20AB">
        <w:rPr>
          <w:iCs/>
        </w:rPr>
        <w:t xml:space="preserve"> how survival in the subgroup compared with that expected in clinical practice</w:t>
      </w:r>
      <w:r w:rsidR="00CF1CD0" w:rsidRPr="00AF20AB">
        <w:rPr>
          <w:iCs/>
        </w:rPr>
        <w:t>.</w:t>
      </w:r>
      <w:r w:rsidR="00E23188" w:rsidRPr="00AF20AB">
        <w:rPr>
          <w:iCs/>
        </w:rPr>
        <w:t xml:space="preserve"> The pre-PBAC Response</w:t>
      </w:r>
      <w:r w:rsidR="001E348F" w:rsidRPr="00AF20AB">
        <w:rPr>
          <w:iCs/>
        </w:rPr>
        <w:t xml:space="preserve"> stated that based on a 10% sample of PBS data, the median survival in patients treated with azacitidine is 13-14 months. </w:t>
      </w:r>
      <w:r w:rsidR="003668AD" w:rsidRPr="00AF20AB">
        <w:rPr>
          <w:iCs/>
        </w:rPr>
        <w:t xml:space="preserve">The pre-PBAC Response noted this is similar to median OS reported in Lee </w:t>
      </w:r>
      <w:r w:rsidR="00457CD4" w:rsidRPr="00457CD4">
        <w:rPr>
          <w:iCs/>
        </w:rPr>
        <w:t xml:space="preserve">et al., </w:t>
      </w:r>
      <w:r w:rsidR="00457CD4">
        <w:rPr>
          <w:iCs/>
        </w:rPr>
        <w:t>2013</w:t>
      </w:r>
      <w:r w:rsidR="003668AD" w:rsidRPr="00AF20AB">
        <w:rPr>
          <w:iCs/>
        </w:rPr>
        <w:t xml:space="preserve"> for the IPSS intermediate-2 and high risk subgroup (16 months) and </w:t>
      </w:r>
      <w:r w:rsidR="00434823" w:rsidRPr="00AF20AB">
        <w:rPr>
          <w:iCs/>
        </w:rPr>
        <w:t>the</w:t>
      </w:r>
      <w:r w:rsidR="003668AD" w:rsidRPr="00AF20AB">
        <w:rPr>
          <w:iCs/>
        </w:rPr>
        <w:t xml:space="preserve"> analysis of the SEER database (Zeidan et al., 2016) of HMA-treated patients. </w:t>
      </w:r>
      <w:r w:rsidR="00183E12" w:rsidRPr="00AF20AB">
        <w:rPr>
          <w:iCs/>
        </w:rPr>
        <w:t xml:space="preserve">The PBAC noted that a later study using the same database (Zeidan et al., 2020) </w:t>
      </w:r>
      <w:r w:rsidR="00185B7E" w:rsidRPr="00AF20AB">
        <w:rPr>
          <w:iCs/>
        </w:rPr>
        <w:t xml:space="preserve">showed that MDS patients had a median OS of 10 months. </w:t>
      </w:r>
    </w:p>
    <w:p w:rsidR="0089639B" w:rsidRPr="00AF20AB" w:rsidRDefault="00D73D9B" w:rsidP="00FA1276">
      <w:pPr>
        <w:pStyle w:val="3-BodyText"/>
      </w:pPr>
      <w:r w:rsidRPr="00AF20AB">
        <w:rPr>
          <w:iCs/>
        </w:rPr>
        <w:t xml:space="preserve">Given the above, </w:t>
      </w:r>
      <w:r w:rsidR="00880CE5" w:rsidRPr="00AF20AB">
        <w:rPr>
          <w:iCs/>
        </w:rPr>
        <w:t xml:space="preserve">the ESC considered </w:t>
      </w:r>
      <w:r w:rsidR="000579B5" w:rsidRPr="00AF20AB">
        <w:rPr>
          <w:iCs/>
        </w:rPr>
        <w:t xml:space="preserve">the results of the indirect comparison for survival outcomes </w:t>
      </w:r>
      <w:r w:rsidR="00880CE5" w:rsidRPr="00AF20AB">
        <w:rPr>
          <w:iCs/>
        </w:rPr>
        <w:t xml:space="preserve">should be interpreted </w:t>
      </w:r>
      <w:r w:rsidR="000579B5" w:rsidRPr="00AF20AB">
        <w:rPr>
          <w:iCs/>
        </w:rPr>
        <w:t>with caution.</w:t>
      </w:r>
      <w:r w:rsidR="000579B5" w:rsidRPr="00AF20AB">
        <w:t xml:space="preserve"> </w:t>
      </w:r>
    </w:p>
    <w:p w:rsidR="00085125" w:rsidRPr="00AF20AB" w:rsidRDefault="000579B5" w:rsidP="00EC5836">
      <w:pPr>
        <w:pStyle w:val="3-BodyText"/>
      </w:pPr>
      <w:r w:rsidRPr="00AF20AB">
        <w:t>Results for response outcomes are provided in the table below.</w:t>
      </w:r>
      <w:r w:rsidR="00A309B0" w:rsidRPr="00AF20AB">
        <w:t xml:space="preserve"> </w:t>
      </w:r>
    </w:p>
    <w:p w:rsidR="00C85EC8" w:rsidRPr="00AF20AB" w:rsidRDefault="00C85EC8">
      <w:pPr>
        <w:jc w:val="left"/>
        <w:rPr>
          <w:rStyle w:val="CommentReference"/>
          <w:bCs/>
          <w:snapToGrid w:val="0"/>
          <w:szCs w:val="24"/>
        </w:rPr>
      </w:pPr>
    </w:p>
    <w:p w:rsidR="00085125" w:rsidRPr="00AF20AB" w:rsidRDefault="000579B5" w:rsidP="001B5943">
      <w:pPr>
        <w:pStyle w:val="3-BodyText"/>
        <w:keepNext/>
        <w:keepLines/>
        <w:numPr>
          <w:ilvl w:val="0"/>
          <w:numId w:val="0"/>
        </w:numPr>
        <w:spacing w:after="0"/>
      </w:pPr>
      <w:r w:rsidRPr="00AF20AB">
        <w:rPr>
          <w:rStyle w:val="CommentReference"/>
          <w:bCs/>
          <w:szCs w:val="24"/>
        </w:rPr>
        <w:t xml:space="preserve">Table </w:t>
      </w:r>
      <w:r w:rsidR="00CF1BE4" w:rsidRPr="00AF20AB">
        <w:rPr>
          <w:rStyle w:val="CommentReference"/>
          <w:bCs/>
          <w:szCs w:val="24"/>
        </w:rPr>
        <w:t>7</w:t>
      </w:r>
      <w:r w:rsidR="000B2CFA" w:rsidRPr="00AF20AB">
        <w:rPr>
          <w:rStyle w:val="CommentReference"/>
          <w:bCs/>
          <w:szCs w:val="24"/>
        </w:rPr>
        <w:t>:</w:t>
      </w:r>
      <w:r w:rsidRPr="00AF20AB">
        <w:rPr>
          <w:rStyle w:val="CommentReference"/>
          <w:b w:val="0"/>
          <w:szCs w:val="24"/>
        </w:rPr>
        <w:t xml:space="preserve"> </w:t>
      </w:r>
      <w:r w:rsidR="000B2CFA" w:rsidRPr="00AF20AB">
        <w:rPr>
          <w:rStyle w:val="CommentReference"/>
          <w:b w:val="0"/>
          <w:szCs w:val="24"/>
        </w:rPr>
        <w:t xml:space="preserve"> </w:t>
      </w:r>
      <w:r w:rsidRPr="00AF20AB">
        <w:rPr>
          <w:rFonts w:ascii="Arial Narrow" w:hAnsi="Arial Narrow"/>
          <w:b/>
          <w:bCs/>
          <w:sz w:val="20"/>
          <w:szCs w:val="20"/>
        </w:rPr>
        <w:t xml:space="preserve">Results of the indirect comparison of decitabine IV and azacitidine for </w:t>
      </w:r>
      <w:r w:rsidR="00F21D18" w:rsidRPr="00AF20AB">
        <w:rPr>
          <w:rFonts w:ascii="Arial Narrow" w:hAnsi="Arial Narrow"/>
          <w:b/>
          <w:bCs/>
          <w:sz w:val="20"/>
          <w:szCs w:val="20"/>
        </w:rPr>
        <w:t>response outcomes</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1"/>
        <w:gridCol w:w="1403"/>
        <w:gridCol w:w="1998"/>
        <w:gridCol w:w="1513"/>
        <w:gridCol w:w="1931"/>
      </w:tblGrid>
      <w:tr w:rsidR="000579B5" w:rsidRPr="00AF20AB" w:rsidTr="00597925">
        <w:tc>
          <w:tcPr>
            <w:tcW w:w="1122" w:type="pct"/>
            <w:vAlign w:val="center"/>
          </w:tcPr>
          <w:p w:rsidR="000579B5" w:rsidRPr="00AF20AB" w:rsidRDefault="000579B5" w:rsidP="001B5943">
            <w:pPr>
              <w:pStyle w:val="TableText0"/>
              <w:keepLines/>
              <w:widowControl w:val="0"/>
              <w:rPr>
                <w:b/>
                <w:bCs w:val="0"/>
                <w:szCs w:val="20"/>
              </w:rPr>
            </w:pPr>
            <w:r w:rsidRPr="00AF20AB">
              <w:rPr>
                <w:b/>
                <w:bCs w:val="0"/>
                <w:szCs w:val="20"/>
              </w:rPr>
              <w:t>Overall response rate</w:t>
            </w:r>
          </w:p>
        </w:tc>
        <w:tc>
          <w:tcPr>
            <w:tcW w:w="795" w:type="pct"/>
            <w:vAlign w:val="center"/>
          </w:tcPr>
          <w:p w:rsidR="000579B5" w:rsidRPr="00AF20AB" w:rsidRDefault="000579B5" w:rsidP="001B5943">
            <w:pPr>
              <w:pStyle w:val="TableText0"/>
              <w:keepLines/>
              <w:widowControl w:val="0"/>
              <w:jc w:val="center"/>
              <w:rPr>
                <w:b/>
                <w:bCs w:val="0"/>
                <w:szCs w:val="20"/>
              </w:rPr>
            </w:pPr>
            <w:r w:rsidRPr="00AF20AB">
              <w:rPr>
                <w:b/>
                <w:bCs w:val="0"/>
                <w:szCs w:val="20"/>
              </w:rPr>
              <w:t>Decitabine IV</w:t>
            </w:r>
          </w:p>
          <w:p w:rsidR="000579B5" w:rsidRPr="00AF20AB" w:rsidRDefault="000579B5" w:rsidP="001B5943">
            <w:pPr>
              <w:pStyle w:val="TableText0"/>
              <w:keepLines/>
              <w:widowControl w:val="0"/>
              <w:jc w:val="center"/>
              <w:rPr>
                <w:szCs w:val="20"/>
              </w:rPr>
            </w:pPr>
            <w:r w:rsidRPr="00AF20AB">
              <w:rPr>
                <w:b/>
                <w:szCs w:val="20"/>
              </w:rPr>
              <w:t>n/N (%)</w:t>
            </w:r>
          </w:p>
        </w:tc>
        <w:tc>
          <w:tcPr>
            <w:tcW w:w="1132" w:type="pct"/>
            <w:vAlign w:val="center"/>
          </w:tcPr>
          <w:p w:rsidR="000579B5" w:rsidRPr="00AF20AB" w:rsidRDefault="000579B5" w:rsidP="001B5943">
            <w:pPr>
              <w:pStyle w:val="V50Instructions"/>
              <w:keepNext/>
              <w:keepLines/>
              <w:widowControl w:val="0"/>
              <w:spacing w:before="0" w:after="0"/>
              <w:jc w:val="center"/>
              <w:rPr>
                <w:rFonts w:ascii="Arial Narrow" w:hAnsi="Arial Narrow"/>
                <w:b/>
                <w:bCs/>
                <w:color w:val="auto"/>
                <w:sz w:val="20"/>
                <w:szCs w:val="20"/>
              </w:rPr>
            </w:pPr>
            <w:r w:rsidRPr="00AF20AB">
              <w:rPr>
                <w:rFonts w:ascii="Arial Narrow" w:hAnsi="Arial Narrow"/>
                <w:b/>
                <w:bCs/>
                <w:color w:val="auto"/>
                <w:sz w:val="20"/>
                <w:szCs w:val="20"/>
              </w:rPr>
              <w:t>Common reference: BSC</w:t>
            </w:r>
          </w:p>
          <w:p w:rsidR="000579B5" w:rsidRPr="00AF20AB" w:rsidRDefault="000579B5" w:rsidP="001B5943">
            <w:pPr>
              <w:pStyle w:val="V50Instructions"/>
              <w:keepNext/>
              <w:keepLines/>
              <w:widowControl w:val="0"/>
              <w:spacing w:before="0" w:after="0"/>
              <w:jc w:val="center"/>
              <w:rPr>
                <w:rFonts w:ascii="Arial Narrow" w:hAnsi="Arial Narrow"/>
                <w:b/>
                <w:bCs/>
                <w:color w:val="auto"/>
                <w:sz w:val="20"/>
                <w:szCs w:val="20"/>
              </w:rPr>
            </w:pPr>
            <w:r w:rsidRPr="00AF20AB">
              <w:rPr>
                <w:rFonts w:ascii="Arial Narrow" w:hAnsi="Arial Narrow"/>
                <w:b/>
                <w:bCs/>
                <w:color w:val="auto"/>
                <w:sz w:val="20"/>
                <w:szCs w:val="20"/>
              </w:rPr>
              <w:t>n/N (%)</w:t>
            </w:r>
          </w:p>
        </w:tc>
        <w:tc>
          <w:tcPr>
            <w:tcW w:w="857" w:type="pct"/>
            <w:vAlign w:val="center"/>
          </w:tcPr>
          <w:p w:rsidR="000579B5" w:rsidRPr="00AF20AB" w:rsidRDefault="000579B5" w:rsidP="001B5943">
            <w:pPr>
              <w:pStyle w:val="V50Instructions"/>
              <w:keepNext/>
              <w:keepLines/>
              <w:spacing w:before="0" w:after="0"/>
              <w:jc w:val="center"/>
              <w:rPr>
                <w:rFonts w:ascii="Arial Narrow" w:hAnsi="Arial Narrow"/>
                <w:b/>
                <w:bCs/>
                <w:color w:val="auto"/>
                <w:sz w:val="20"/>
                <w:szCs w:val="20"/>
              </w:rPr>
            </w:pPr>
            <w:r w:rsidRPr="00AF20AB">
              <w:rPr>
                <w:rFonts w:ascii="Arial Narrow" w:hAnsi="Arial Narrow"/>
                <w:b/>
                <w:bCs/>
                <w:color w:val="auto"/>
                <w:sz w:val="20"/>
                <w:szCs w:val="20"/>
              </w:rPr>
              <w:t xml:space="preserve">Azacitidine </w:t>
            </w:r>
          </w:p>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b/>
                <w:bCs/>
                <w:color w:val="auto"/>
                <w:sz w:val="20"/>
                <w:szCs w:val="20"/>
              </w:rPr>
              <w:t>n/N (%)</w:t>
            </w:r>
          </w:p>
        </w:tc>
        <w:tc>
          <w:tcPr>
            <w:tcW w:w="1094" w:type="pct"/>
            <w:vAlign w:val="center"/>
          </w:tcPr>
          <w:p w:rsidR="000579B5" w:rsidRPr="00AF20AB" w:rsidRDefault="000579B5" w:rsidP="001B5943">
            <w:pPr>
              <w:pStyle w:val="TableText0"/>
              <w:keepLines/>
              <w:widowControl w:val="0"/>
              <w:jc w:val="center"/>
              <w:rPr>
                <w:b/>
                <w:szCs w:val="20"/>
              </w:rPr>
            </w:pPr>
            <w:r w:rsidRPr="00AF20AB">
              <w:rPr>
                <w:b/>
                <w:szCs w:val="20"/>
              </w:rPr>
              <w:t>RR (95% CI)</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Kantarjian 2006 </w:t>
            </w:r>
          </w:p>
        </w:tc>
        <w:tc>
          <w:tcPr>
            <w:tcW w:w="795" w:type="pct"/>
          </w:tcPr>
          <w:p w:rsidR="000579B5" w:rsidRPr="00AF20AB" w:rsidRDefault="000579B5" w:rsidP="001B5943">
            <w:pPr>
              <w:pStyle w:val="TableText0"/>
              <w:keepLines/>
              <w:widowControl w:val="0"/>
              <w:jc w:val="center"/>
              <w:rPr>
                <w:szCs w:val="20"/>
              </w:rPr>
            </w:pPr>
            <w:r w:rsidRPr="00AF20AB">
              <w:t>15/89 (16.9%)</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0/81 (0.0%)</w:t>
            </w:r>
          </w:p>
        </w:tc>
        <w:tc>
          <w:tcPr>
            <w:tcW w:w="857" w:type="pct"/>
            <w:vAlign w:val="center"/>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28.24 (1.72, 464.57)</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Lubbert 2011 </w:t>
            </w:r>
          </w:p>
        </w:tc>
        <w:tc>
          <w:tcPr>
            <w:tcW w:w="795" w:type="pct"/>
          </w:tcPr>
          <w:p w:rsidR="000579B5" w:rsidRPr="00AF20AB" w:rsidRDefault="000579B5" w:rsidP="001B5943">
            <w:pPr>
              <w:pStyle w:val="TableText0"/>
              <w:keepLines/>
              <w:widowControl w:val="0"/>
              <w:jc w:val="center"/>
              <w:rPr>
                <w:szCs w:val="20"/>
              </w:rPr>
            </w:pPr>
            <w:r w:rsidRPr="00AF20AB">
              <w:t>23/119 (19.3%)</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0/114 (0.0%)</w:t>
            </w:r>
          </w:p>
        </w:tc>
        <w:tc>
          <w:tcPr>
            <w:tcW w:w="857" w:type="pct"/>
            <w:vAlign w:val="center"/>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Cs w:val="20"/>
              </w:rPr>
              <w:t>-</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45.04 (2.77, 732.91)</w:t>
            </w:r>
          </w:p>
        </w:tc>
      </w:tr>
      <w:tr w:rsidR="000579B5" w:rsidRPr="00AF20AB" w:rsidTr="00F543D8">
        <w:tc>
          <w:tcPr>
            <w:tcW w:w="3906" w:type="pct"/>
            <w:gridSpan w:val="4"/>
            <w:vAlign w:val="center"/>
          </w:tcPr>
          <w:p w:rsidR="000579B5" w:rsidRPr="00AF20AB" w:rsidRDefault="000579B5" w:rsidP="001B5943">
            <w:pPr>
              <w:pStyle w:val="V50Instructions"/>
              <w:keepNext/>
              <w:keepLines/>
              <w:spacing w:before="0" w:after="0"/>
              <w:jc w:val="right"/>
              <w:rPr>
                <w:rFonts w:ascii="Arial Narrow" w:hAnsi="Arial Narrow"/>
                <w:color w:val="auto"/>
                <w:sz w:val="20"/>
                <w:szCs w:val="20"/>
              </w:rPr>
            </w:pPr>
            <w:r w:rsidRPr="00AF20AB">
              <w:rPr>
                <w:rFonts w:ascii="Arial Narrow" w:hAnsi="Arial Narrow"/>
                <w:color w:val="auto"/>
                <w:sz w:val="20"/>
                <w:szCs w:val="20"/>
              </w:rPr>
              <w:t>pooled decitabine IV</w:t>
            </w:r>
            <w:r w:rsidRPr="00AF20AB">
              <w:rPr>
                <w:rFonts w:ascii="Arial Narrow" w:hAnsi="Arial Narrow"/>
                <w:color w:val="auto"/>
                <w:sz w:val="20"/>
                <w:szCs w:val="20"/>
                <w:vertAlign w:val="superscript"/>
              </w:rPr>
              <w:t xml:space="preserve"> </w:t>
            </w:r>
            <w:r w:rsidRPr="00AF20AB">
              <w:rPr>
                <w:rFonts w:ascii="Arial Narrow" w:hAnsi="Arial Narrow"/>
                <w:color w:val="auto"/>
                <w:sz w:val="20"/>
                <w:szCs w:val="20"/>
              </w:rPr>
              <w:t>random effects (</w:t>
            </w:r>
            <w:r w:rsidR="00BE0106" w:rsidRPr="00AF20AB">
              <w:rPr>
                <w:rFonts w:ascii="Arial Narrow" w:hAnsi="Arial Narrow"/>
                <w:color w:val="auto"/>
                <w:sz w:val="20"/>
                <w:szCs w:val="20"/>
              </w:rPr>
              <w:t>I</w:t>
            </w:r>
            <w:r w:rsidRPr="00AF20AB">
              <w:rPr>
                <w:rFonts w:ascii="Arial Narrow" w:hAnsi="Arial Narrow"/>
                <w:color w:val="auto"/>
                <w:sz w:val="20"/>
                <w:szCs w:val="20"/>
                <w:vertAlign w:val="superscript"/>
              </w:rPr>
              <w:t>2</w:t>
            </w:r>
            <w:r w:rsidRPr="00AF20AB">
              <w:rPr>
                <w:rFonts w:ascii="Arial Narrow" w:hAnsi="Arial Narrow"/>
                <w:color w:val="auto"/>
                <w:sz w:val="20"/>
                <w:szCs w:val="20"/>
              </w:rPr>
              <w:t>=0%; p=0.0004)</w:t>
            </w:r>
          </w:p>
        </w:tc>
        <w:tc>
          <w:tcPr>
            <w:tcW w:w="1094" w:type="pct"/>
            <w:vAlign w:val="center"/>
          </w:tcPr>
          <w:p w:rsidR="000579B5" w:rsidRPr="00AF20AB" w:rsidRDefault="000579B5" w:rsidP="001B5943">
            <w:pPr>
              <w:pStyle w:val="TableText0"/>
              <w:keepLines/>
              <w:widowControl w:val="0"/>
              <w:jc w:val="center"/>
              <w:rPr>
                <w:b/>
                <w:szCs w:val="20"/>
              </w:rPr>
            </w:pPr>
            <w:r w:rsidRPr="00AF20AB">
              <w:rPr>
                <w:b/>
                <w:szCs w:val="20"/>
              </w:rPr>
              <w:t>35.70 (4.95, 257.59)</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Fenaux 2009 </w:t>
            </w:r>
          </w:p>
        </w:tc>
        <w:tc>
          <w:tcPr>
            <w:tcW w:w="795" w:type="pct"/>
            <w:vAlign w:val="center"/>
          </w:tcPr>
          <w:p w:rsidR="000579B5" w:rsidRPr="00AF20AB" w:rsidRDefault="000579B5" w:rsidP="001B5943">
            <w:pPr>
              <w:pStyle w:val="TableText0"/>
              <w:keepLines/>
              <w:widowControl w:val="0"/>
              <w:jc w:val="center"/>
              <w:rPr>
                <w:szCs w:val="20"/>
              </w:rPr>
            </w:pPr>
            <w:r w:rsidRPr="00AF20AB">
              <w:rPr>
                <w:szCs w:val="20"/>
              </w:rPr>
              <w:t>-</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5/105 (4.8%)</w:t>
            </w:r>
          </w:p>
        </w:tc>
        <w:tc>
          <w:tcPr>
            <w:tcW w:w="857"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32/117 (27.4%)</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5.74 [2.32, 14.20]</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Silverman 2002 </w:t>
            </w:r>
          </w:p>
        </w:tc>
        <w:tc>
          <w:tcPr>
            <w:tcW w:w="795" w:type="pct"/>
            <w:vAlign w:val="center"/>
          </w:tcPr>
          <w:p w:rsidR="000579B5" w:rsidRPr="00AF20AB" w:rsidRDefault="000579B5" w:rsidP="001B5943">
            <w:pPr>
              <w:pStyle w:val="TableText0"/>
              <w:keepLines/>
              <w:widowControl w:val="0"/>
              <w:jc w:val="center"/>
              <w:rPr>
                <w:szCs w:val="20"/>
              </w:rPr>
            </w:pPr>
            <w:r w:rsidRPr="00AF20AB">
              <w:rPr>
                <w:szCs w:val="20"/>
              </w:rPr>
              <w:t>-</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0/92 (0.00%)</w:t>
            </w:r>
          </w:p>
        </w:tc>
        <w:tc>
          <w:tcPr>
            <w:tcW w:w="857"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23/99 (23.23%)</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2.43 (1.53, 3.86)</w:t>
            </w:r>
          </w:p>
        </w:tc>
      </w:tr>
      <w:tr w:rsidR="000579B5" w:rsidRPr="00AF20AB" w:rsidTr="00F543D8">
        <w:tc>
          <w:tcPr>
            <w:tcW w:w="3906" w:type="pct"/>
            <w:gridSpan w:val="4"/>
            <w:vAlign w:val="center"/>
          </w:tcPr>
          <w:p w:rsidR="000579B5" w:rsidRPr="00AF20AB" w:rsidRDefault="000579B5" w:rsidP="001B5943">
            <w:pPr>
              <w:pStyle w:val="V50Instructions"/>
              <w:keepNext/>
              <w:keepLines/>
              <w:spacing w:before="0" w:after="0"/>
              <w:jc w:val="right"/>
              <w:rPr>
                <w:rFonts w:ascii="Arial Narrow" w:hAnsi="Arial Narrow"/>
                <w:color w:val="auto"/>
                <w:sz w:val="20"/>
                <w:szCs w:val="20"/>
              </w:rPr>
            </w:pPr>
            <w:r w:rsidRPr="00AF20AB">
              <w:rPr>
                <w:rFonts w:ascii="Arial Narrow" w:hAnsi="Arial Narrow"/>
                <w:color w:val="auto"/>
                <w:sz w:val="20"/>
                <w:szCs w:val="20"/>
              </w:rPr>
              <w:t>pooled azacitidine</w:t>
            </w:r>
            <w:r w:rsidRPr="00AF20AB">
              <w:rPr>
                <w:rFonts w:ascii="Arial Narrow" w:hAnsi="Arial Narrow"/>
                <w:color w:val="auto"/>
                <w:sz w:val="20"/>
                <w:szCs w:val="20"/>
                <w:vertAlign w:val="superscript"/>
              </w:rPr>
              <w:t xml:space="preserve"> </w:t>
            </w:r>
            <w:r w:rsidRPr="00AF20AB">
              <w:rPr>
                <w:rFonts w:ascii="Arial Narrow" w:hAnsi="Arial Narrow"/>
                <w:color w:val="auto"/>
                <w:sz w:val="20"/>
                <w:szCs w:val="20"/>
              </w:rPr>
              <w:t>random effects (</w:t>
            </w:r>
            <w:r w:rsidR="00BE0106" w:rsidRPr="00AF20AB">
              <w:rPr>
                <w:rFonts w:ascii="Arial Narrow" w:hAnsi="Arial Narrow"/>
                <w:color w:val="auto"/>
                <w:sz w:val="20"/>
                <w:szCs w:val="20"/>
              </w:rPr>
              <w:t>I</w:t>
            </w:r>
            <w:r w:rsidRPr="00AF20AB">
              <w:rPr>
                <w:rFonts w:ascii="Arial Narrow" w:hAnsi="Arial Narrow"/>
                <w:color w:val="auto"/>
                <w:sz w:val="20"/>
                <w:szCs w:val="20"/>
                <w:vertAlign w:val="superscript"/>
              </w:rPr>
              <w:t>2</w:t>
            </w:r>
            <w:r w:rsidRPr="00AF20AB">
              <w:rPr>
                <w:rFonts w:ascii="Arial Narrow" w:hAnsi="Arial Narrow"/>
                <w:color w:val="auto"/>
                <w:sz w:val="20"/>
                <w:szCs w:val="20"/>
              </w:rPr>
              <w:t>=55%; p=0.02</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10.95 (1.43, 83.84)</w:t>
            </w:r>
          </w:p>
        </w:tc>
      </w:tr>
      <w:tr w:rsidR="000579B5" w:rsidRPr="00AF20AB" w:rsidTr="00F543D8">
        <w:tc>
          <w:tcPr>
            <w:tcW w:w="3906" w:type="pct"/>
            <w:gridSpan w:val="4"/>
            <w:vAlign w:val="center"/>
          </w:tcPr>
          <w:p w:rsidR="000579B5" w:rsidRPr="00AF20AB" w:rsidRDefault="000579B5" w:rsidP="001B5943">
            <w:pPr>
              <w:pStyle w:val="V50Instructions"/>
              <w:keepNext/>
              <w:keepLines/>
              <w:spacing w:before="0" w:after="0"/>
              <w:jc w:val="right"/>
              <w:rPr>
                <w:rFonts w:ascii="Arial Narrow" w:hAnsi="Arial Narrow"/>
                <w:bCs/>
                <w:color w:val="auto"/>
                <w:sz w:val="20"/>
                <w:szCs w:val="20"/>
              </w:rPr>
            </w:pPr>
            <w:r w:rsidRPr="00AF20AB">
              <w:rPr>
                <w:rFonts w:ascii="Arial Narrow" w:hAnsi="Arial Narrow"/>
                <w:bCs/>
                <w:color w:val="auto"/>
                <w:sz w:val="20"/>
                <w:szCs w:val="20"/>
              </w:rPr>
              <w:t>Indirect pooled decitabine IV vs. pooled azacitidine (95% CI)</w:t>
            </w:r>
          </w:p>
        </w:tc>
        <w:tc>
          <w:tcPr>
            <w:tcW w:w="1094" w:type="pct"/>
            <w:vAlign w:val="center"/>
          </w:tcPr>
          <w:p w:rsidR="000579B5" w:rsidRPr="00AF20AB" w:rsidRDefault="000579B5" w:rsidP="001B5943">
            <w:pPr>
              <w:pStyle w:val="TableText0"/>
              <w:keepLines/>
              <w:widowControl w:val="0"/>
              <w:jc w:val="center"/>
              <w:rPr>
                <w:bCs w:val="0"/>
                <w:szCs w:val="20"/>
              </w:rPr>
            </w:pPr>
            <w:r w:rsidRPr="00AF20AB">
              <w:rPr>
                <w:bCs w:val="0"/>
                <w:szCs w:val="20"/>
              </w:rPr>
              <w:t>3.26 (0.19, 55.63)</w:t>
            </w:r>
          </w:p>
        </w:tc>
      </w:tr>
      <w:tr w:rsidR="000579B5" w:rsidRPr="00AF20AB" w:rsidTr="00F543D8">
        <w:tc>
          <w:tcPr>
            <w:tcW w:w="5000" w:type="pct"/>
            <w:gridSpan w:val="5"/>
            <w:vAlign w:val="center"/>
          </w:tcPr>
          <w:p w:rsidR="000579B5" w:rsidRPr="00AF20AB" w:rsidRDefault="000579B5" w:rsidP="001B5943">
            <w:pPr>
              <w:pStyle w:val="TableText0"/>
              <w:keepLines/>
              <w:widowControl w:val="0"/>
              <w:rPr>
                <w:b/>
                <w:bCs w:val="0"/>
                <w:szCs w:val="20"/>
              </w:rPr>
            </w:pPr>
            <w:r w:rsidRPr="00AF20AB">
              <w:rPr>
                <w:b/>
                <w:bCs w:val="0"/>
                <w:szCs w:val="20"/>
              </w:rPr>
              <w:t>Complete response</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Kantarjian 2006 </w:t>
            </w:r>
          </w:p>
        </w:tc>
        <w:tc>
          <w:tcPr>
            <w:tcW w:w="795" w:type="pct"/>
          </w:tcPr>
          <w:p w:rsidR="000579B5" w:rsidRPr="00AF20AB" w:rsidRDefault="000579B5" w:rsidP="001B5943">
            <w:pPr>
              <w:pStyle w:val="TableText0"/>
              <w:keepLines/>
              <w:widowControl w:val="0"/>
              <w:jc w:val="center"/>
              <w:rPr>
                <w:bCs w:val="0"/>
                <w:szCs w:val="20"/>
              </w:rPr>
            </w:pPr>
            <w:r w:rsidRPr="00AF20AB">
              <w:rPr>
                <w:bCs w:val="0"/>
                <w:szCs w:val="20"/>
              </w:rPr>
              <w:t>8/89 (9.0%)</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0/81 (0.0%)</w:t>
            </w:r>
          </w:p>
        </w:tc>
        <w:tc>
          <w:tcPr>
            <w:tcW w:w="857" w:type="pct"/>
            <w:vAlign w:val="center"/>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w:t>
            </w:r>
          </w:p>
        </w:tc>
        <w:tc>
          <w:tcPr>
            <w:tcW w:w="1094" w:type="pct"/>
            <w:vAlign w:val="center"/>
          </w:tcPr>
          <w:p w:rsidR="000579B5" w:rsidRPr="00AF20AB" w:rsidRDefault="000579B5" w:rsidP="001B5943">
            <w:pPr>
              <w:pStyle w:val="TableText0"/>
              <w:keepLines/>
              <w:widowControl w:val="0"/>
              <w:jc w:val="center"/>
              <w:rPr>
                <w:szCs w:val="20"/>
              </w:rPr>
            </w:pPr>
            <w:r w:rsidRPr="00AF20AB">
              <w:t>15.49 (0.91, 264.16)</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Lubbert 2011 </w:t>
            </w:r>
          </w:p>
        </w:tc>
        <w:tc>
          <w:tcPr>
            <w:tcW w:w="795" w:type="pct"/>
          </w:tcPr>
          <w:p w:rsidR="000579B5" w:rsidRPr="00AF20AB" w:rsidRDefault="000579B5" w:rsidP="001B5943">
            <w:pPr>
              <w:pStyle w:val="TableText0"/>
              <w:keepLines/>
              <w:widowControl w:val="0"/>
              <w:jc w:val="center"/>
              <w:rPr>
                <w:bCs w:val="0"/>
                <w:szCs w:val="20"/>
              </w:rPr>
            </w:pPr>
            <w:r w:rsidRPr="00AF20AB">
              <w:rPr>
                <w:bCs w:val="0"/>
                <w:szCs w:val="20"/>
              </w:rPr>
              <w:t>16/119 (13.5%)</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0/114 (0.0</w:t>
            </w:r>
            <w:r w:rsidR="00553B25" w:rsidRPr="00AF20AB">
              <w:rPr>
                <w:rFonts w:ascii="Arial Narrow" w:hAnsi="Arial Narrow"/>
                <w:color w:val="auto"/>
                <w:sz w:val="20"/>
                <w:szCs w:val="20"/>
              </w:rPr>
              <w:t>%</w:t>
            </w:r>
            <w:r w:rsidRPr="00AF20AB">
              <w:rPr>
                <w:rFonts w:ascii="Arial Narrow" w:hAnsi="Arial Narrow"/>
                <w:color w:val="auto"/>
                <w:sz w:val="20"/>
                <w:szCs w:val="20"/>
              </w:rPr>
              <w:t>)</w:t>
            </w:r>
          </w:p>
        </w:tc>
        <w:tc>
          <w:tcPr>
            <w:tcW w:w="857" w:type="pct"/>
            <w:vAlign w:val="center"/>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Cs w:val="20"/>
              </w:rPr>
              <w:t>-</w:t>
            </w:r>
          </w:p>
        </w:tc>
        <w:tc>
          <w:tcPr>
            <w:tcW w:w="1094" w:type="pct"/>
            <w:vAlign w:val="center"/>
          </w:tcPr>
          <w:p w:rsidR="000579B5" w:rsidRPr="00AF20AB" w:rsidRDefault="000579B5" w:rsidP="001B5943">
            <w:pPr>
              <w:pStyle w:val="TableText0"/>
              <w:keepLines/>
              <w:widowControl w:val="0"/>
              <w:jc w:val="center"/>
              <w:rPr>
                <w:b/>
                <w:bCs w:val="0"/>
                <w:szCs w:val="20"/>
              </w:rPr>
            </w:pPr>
            <w:r w:rsidRPr="00AF20AB">
              <w:t>14.38 (0.83, 248.83)</w:t>
            </w:r>
          </w:p>
        </w:tc>
      </w:tr>
      <w:tr w:rsidR="000579B5" w:rsidRPr="00AF20AB" w:rsidTr="00F543D8">
        <w:tc>
          <w:tcPr>
            <w:tcW w:w="3906" w:type="pct"/>
            <w:gridSpan w:val="4"/>
            <w:vAlign w:val="center"/>
          </w:tcPr>
          <w:p w:rsidR="000579B5" w:rsidRPr="00AF20AB" w:rsidRDefault="000579B5" w:rsidP="001B5943">
            <w:pPr>
              <w:pStyle w:val="V50Instructions"/>
              <w:keepNext/>
              <w:keepLines/>
              <w:spacing w:before="0" w:after="0"/>
              <w:jc w:val="right"/>
              <w:rPr>
                <w:rFonts w:ascii="Arial Narrow" w:hAnsi="Arial Narrow"/>
                <w:color w:val="auto"/>
                <w:sz w:val="20"/>
                <w:szCs w:val="20"/>
              </w:rPr>
            </w:pPr>
            <w:r w:rsidRPr="00AF20AB">
              <w:rPr>
                <w:rFonts w:ascii="Arial Narrow" w:hAnsi="Arial Narrow"/>
                <w:color w:val="auto"/>
                <w:sz w:val="20"/>
                <w:szCs w:val="20"/>
              </w:rPr>
              <w:t>pooled decitabine IV</w:t>
            </w:r>
            <w:r w:rsidRPr="00AF20AB">
              <w:rPr>
                <w:rFonts w:ascii="Arial Narrow" w:hAnsi="Arial Narrow"/>
                <w:color w:val="auto"/>
                <w:sz w:val="20"/>
                <w:szCs w:val="20"/>
                <w:vertAlign w:val="superscript"/>
              </w:rPr>
              <w:t xml:space="preserve"> </w:t>
            </w:r>
            <w:r w:rsidRPr="00AF20AB">
              <w:rPr>
                <w:rFonts w:ascii="Arial Narrow" w:hAnsi="Arial Narrow"/>
                <w:color w:val="auto"/>
                <w:sz w:val="20"/>
                <w:szCs w:val="20"/>
              </w:rPr>
              <w:t>random effects (</w:t>
            </w:r>
            <w:r w:rsidR="00BE0106" w:rsidRPr="00AF20AB">
              <w:rPr>
                <w:rFonts w:ascii="Arial Narrow" w:hAnsi="Arial Narrow"/>
                <w:color w:val="auto"/>
                <w:sz w:val="20"/>
                <w:szCs w:val="20"/>
              </w:rPr>
              <w:t>I</w:t>
            </w:r>
            <w:r w:rsidRPr="00AF20AB">
              <w:rPr>
                <w:rFonts w:ascii="Arial Narrow" w:hAnsi="Arial Narrow"/>
                <w:color w:val="auto"/>
                <w:sz w:val="20"/>
                <w:szCs w:val="20"/>
                <w:vertAlign w:val="superscript"/>
              </w:rPr>
              <w:t>2</w:t>
            </w:r>
            <w:r w:rsidRPr="00AF20AB">
              <w:rPr>
                <w:rFonts w:ascii="Arial Narrow" w:hAnsi="Arial Narrow"/>
                <w:color w:val="auto"/>
                <w:sz w:val="20"/>
                <w:szCs w:val="20"/>
              </w:rPr>
              <w:t>=0%; p=0.008)</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14.92 (2.00, 111.48)</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Fenaux 2009 </w:t>
            </w:r>
          </w:p>
        </w:tc>
        <w:tc>
          <w:tcPr>
            <w:tcW w:w="795" w:type="pct"/>
            <w:vAlign w:val="center"/>
          </w:tcPr>
          <w:p w:rsidR="000579B5" w:rsidRPr="00AF20AB" w:rsidRDefault="000579B5" w:rsidP="001B5943">
            <w:pPr>
              <w:pStyle w:val="TableText0"/>
              <w:keepLines/>
              <w:widowControl w:val="0"/>
              <w:jc w:val="center"/>
              <w:rPr>
                <w:szCs w:val="20"/>
              </w:rPr>
            </w:pPr>
            <w:r w:rsidRPr="00AF20AB">
              <w:rPr>
                <w:szCs w:val="20"/>
              </w:rPr>
              <w:t>-</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1/105 (1.0%)</w:t>
            </w:r>
          </w:p>
        </w:tc>
        <w:tc>
          <w:tcPr>
            <w:tcW w:w="857"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14/117 (25.5%)</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12.56 (1.68, 93.92)</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Silverman 2002 </w:t>
            </w:r>
          </w:p>
        </w:tc>
        <w:tc>
          <w:tcPr>
            <w:tcW w:w="795" w:type="pct"/>
            <w:vAlign w:val="center"/>
          </w:tcPr>
          <w:p w:rsidR="000579B5" w:rsidRPr="00AF20AB" w:rsidRDefault="000579B5" w:rsidP="001B5943">
            <w:pPr>
              <w:pStyle w:val="TableText0"/>
              <w:keepLines/>
              <w:widowControl w:val="0"/>
              <w:jc w:val="center"/>
              <w:rPr>
                <w:szCs w:val="20"/>
              </w:rPr>
            </w:pPr>
            <w:r w:rsidRPr="00AF20AB">
              <w:rPr>
                <w:szCs w:val="20"/>
              </w:rPr>
              <w:t>-</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0/92 (0.0%)</w:t>
            </w:r>
          </w:p>
        </w:tc>
        <w:tc>
          <w:tcPr>
            <w:tcW w:w="857"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7/99 (7.1%)</w:t>
            </w:r>
          </w:p>
        </w:tc>
        <w:tc>
          <w:tcPr>
            <w:tcW w:w="1094" w:type="pct"/>
            <w:vAlign w:val="center"/>
          </w:tcPr>
          <w:p w:rsidR="000579B5" w:rsidRPr="00AF20AB" w:rsidRDefault="000579B5" w:rsidP="001B5943">
            <w:pPr>
              <w:pStyle w:val="TableText0"/>
              <w:keepLines/>
              <w:widowControl w:val="0"/>
              <w:jc w:val="center"/>
              <w:rPr>
                <w:b/>
                <w:bCs w:val="0"/>
                <w:szCs w:val="20"/>
              </w:rPr>
            </w:pPr>
            <w:r w:rsidRPr="00AF20AB">
              <w:t>13.95 (0.81, 240.86)</w:t>
            </w:r>
          </w:p>
        </w:tc>
      </w:tr>
      <w:tr w:rsidR="000579B5" w:rsidRPr="00AF20AB" w:rsidTr="00F543D8">
        <w:tc>
          <w:tcPr>
            <w:tcW w:w="3906" w:type="pct"/>
            <w:gridSpan w:val="4"/>
            <w:vAlign w:val="center"/>
          </w:tcPr>
          <w:p w:rsidR="000579B5" w:rsidRPr="00AF20AB" w:rsidRDefault="000579B5" w:rsidP="001B5943">
            <w:pPr>
              <w:pStyle w:val="V50Instructions"/>
              <w:keepNext/>
              <w:keepLines/>
              <w:spacing w:before="0" w:after="0"/>
              <w:jc w:val="right"/>
              <w:rPr>
                <w:rFonts w:ascii="Arial Narrow" w:hAnsi="Arial Narrow"/>
                <w:color w:val="auto"/>
                <w:sz w:val="20"/>
                <w:szCs w:val="20"/>
              </w:rPr>
            </w:pPr>
            <w:r w:rsidRPr="00AF20AB">
              <w:rPr>
                <w:rFonts w:ascii="Arial Narrow" w:hAnsi="Arial Narrow"/>
                <w:color w:val="auto"/>
                <w:sz w:val="20"/>
                <w:szCs w:val="20"/>
              </w:rPr>
              <w:t>pooled azacitidine</w:t>
            </w:r>
            <w:r w:rsidRPr="00AF20AB">
              <w:rPr>
                <w:rFonts w:ascii="Arial Narrow" w:hAnsi="Arial Narrow"/>
                <w:color w:val="auto"/>
                <w:sz w:val="20"/>
                <w:szCs w:val="20"/>
                <w:vertAlign w:val="superscript"/>
              </w:rPr>
              <w:t xml:space="preserve"> </w:t>
            </w:r>
            <w:r w:rsidRPr="00AF20AB">
              <w:rPr>
                <w:rFonts w:ascii="Arial Narrow" w:hAnsi="Arial Narrow"/>
                <w:color w:val="auto"/>
                <w:sz w:val="20"/>
                <w:szCs w:val="20"/>
              </w:rPr>
              <w:t>random effects (I</w:t>
            </w:r>
            <w:r w:rsidRPr="00AF20AB">
              <w:rPr>
                <w:rFonts w:ascii="Arial Narrow" w:hAnsi="Arial Narrow"/>
                <w:color w:val="auto"/>
                <w:sz w:val="20"/>
                <w:szCs w:val="20"/>
                <w:vertAlign w:val="superscript"/>
              </w:rPr>
              <w:t>2</w:t>
            </w:r>
            <w:r w:rsidRPr="00AF20AB">
              <w:rPr>
                <w:rFonts w:ascii="Arial Narrow" w:hAnsi="Arial Narrow"/>
                <w:color w:val="auto"/>
                <w:sz w:val="20"/>
                <w:szCs w:val="20"/>
              </w:rPr>
              <w:t>=0%; p=0.002)</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13.01 (2.52, 67.28)</w:t>
            </w:r>
          </w:p>
        </w:tc>
      </w:tr>
      <w:tr w:rsidR="000579B5" w:rsidRPr="00AF20AB" w:rsidTr="00F543D8">
        <w:tc>
          <w:tcPr>
            <w:tcW w:w="3906" w:type="pct"/>
            <w:gridSpan w:val="4"/>
            <w:vAlign w:val="center"/>
          </w:tcPr>
          <w:p w:rsidR="000579B5" w:rsidRPr="00AF20AB" w:rsidRDefault="000579B5" w:rsidP="001B5943">
            <w:pPr>
              <w:pStyle w:val="V50Instructions"/>
              <w:keepNext/>
              <w:keepLines/>
              <w:spacing w:before="0" w:after="0"/>
              <w:jc w:val="right"/>
              <w:rPr>
                <w:rFonts w:ascii="Arial Narrow" w:hAnsi="Arial Narrow"/>
                <w:bCs/>
                <w:color w:val="auto"/>
                <w:sz w:val="20"/>
                <w:szCs w:val="20"/>
              </w:rPr>
            </w:pPr>
            <w:r w:rsidRPr="00AF20AB">
              <w:rPr>
                <w:rFonts w:ascii="Arial Narrow" w:hAnsi="Arial Narrow"/>
                <w:bCs/>
                <w:color w:val="auto"/>
                <w:sz w:val="20"/>
                <w:szCs w:val="20"/>
              </w:rPr>
              <w:t>Indirect pooled decitabine IV vs. pooled azacitidine (95% CI)</w:t>
            </w:r>
          </w:p>
        </w:tc>
        <w:tc>
          <w:tcPr>
            <w:tcW w:w="1094" w:type="pct"/>
            <w:vAlign w:val="center"/>
          </w:tcPr>
          <w:p w:rsidR="000579B5" w:rsidRPr="00AF20AB" w:rsidRDefault="000579B5" w:rsidP="001B5943">
            <w:pPr>
              <w:pStyle w:val="TableText0"/>
              <w:keepLines/>
              <w:widowControl w:val="0"/>
              <w:jc w:val="center"/>
              <w:rPr>
                <w:szCs w:val="20"/>
              </w:rPr>
            </w:pPr>
            <w:r w:rsidRPr="00AF20AB">
              <w:rPr>
                <w:szCs w:val="20"/>
              </w:rPr>
              <w:t>1.15 (0.09, 15.38)</w:t>
            </w:r>
          </w:p>
        </w:tc>
      </w:tr>
      <w:tr w:rsidR="000579B5" w:rsidRPr="00AF20AB" w:rsidTr="00F543D8">
        <w:tc>
          <w:tcPr>
            <w:tcW w:w="5000" w:type="pct"/>
            <w:gridSpan w:val="5"/>
            <w:vAlign w:val="center"/>
          </w:tcPr>
          <w:p w:rsidR="000579B5" w:rsidRPr="00AF20AB" w:rsidRDefault="000579B5" w:rsidP="001B5943">
            <w:pPr>
              <w:pStyle w:val="TableText0"/>
              <w:keepLines/>
              <w:widowControl w:val="0"/>
              <w:rPr>
                <w:b/>
                <w:bCs w:val="0"/>
                <w:szCs w:val="20"/>
              </w:rPr>
            </w:pPr>
            <w:r w:rsidRPr="00AF20AB">
              <w:rPr>
                <w:b/>
                <w:bCs w:val="0"/>
                <w:szCs w:val="20"/>
              </w:rPr>
              <w:t>Partial response</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Kantarjian 2006 </w:t>
            </w:r>
          </w:p>
        </w:tc>
        <w:tc>
          <w:tcPr>
            <w:tcW w:w="795" w:type="pct"/>
          </w:tcPr>
          <w:p w:rsidR="000579B5" w:rsidRPr="00AF20AB" w:rsidRDefault="000579B5" w:rsidP="001B5943">
            <w:pPr>
              <w:pStyle w:val="TableText0"/>
              <w:keepLines/>
              <w:widowControl w:val="0"/>
              <w:jc w:val="center"/>
              <w:rPr>
                <w:bCs w:val="0"/>
                <w:szCs w:val="20"/>
              </w:rPr>
            </w:pPr>
            <w:r w:rsidRPr="00AF20AB">
              <w:rPr>
                <w:bCs w:val="0"/>
                <w:szCs w:val="20"/>
              </w:rPr>
              <w:t>7/89 (7.9%)</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0/81 (0.0%)</w:t>
            </w:r>
          </w:p>
        </w:tc>
        <w:tc>
          <w:tcPr>
            <w:tcW w:w="857" w:type="pct"/>
            <w:vAlign w:val="center"/>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w:t>
            </w:r>
          </w:p>
        </w:tc>
        <w:tc>
          <w:tcPr>
            <w:tcW w:w="1094" w:type="pct"/>
            <w:vAlign w:val="center"/>
          </w:tcPr>
          <w:p w:rsidR="000579B5" w:rsidRPr="00AF20AB" w:rsidRDefault="000579B5" w:rsidP="001B5943">
            <w:pPr>
              <w:pStyle w:val="TableText0"/>
              <w:keepLines/>
              <w:widowControl w:val="0"/>
              <w:jc w:val="center"/>
              <w:rPr>
                <w:szCs w:val="20"/>
              </w:rPr>
            </w:pPr>
            <w:r w:rsidRPr="00AF20AB">
              <w:t>13.67 (0.79, 235.57)</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Lubbert 2011 </w:t>
            </w:r>
          </w:p>
        </w:tc>
        <w:tc>
          <w:tcPr>
            <w:tcW w:w="795" w:type="pct"/>
          </w:tcPr>
          <w:p w:rsidR="000579B5" w:rsidRPr="00AF20AB" w:rsidRDefault="000579B5" w:rsidP="001B5943">
            <w:pPr>
              <w:pStyle w:val="TableText0"/>
              <w:keepLines/>
              <w:widowControl w:val="0"/>
              <w:jc w:val="center"/>
              <w:rPr>
                <w:bCs w:val="0"/>
                <w:szCs w:val="20"/>
              </w:rPr>
            </w:pPr>
            <w:r w:rsidRPr="00AF20AB">
              <w:rPr>
                <w:bCs w:val="0"/>
                <w:szCs w:val="20"/>
              </w:rPr>
              <w:t>7/119 (5.9%)</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0/114 (0.0%)</w:t>
            </w:r>
          </w:p>
        </w:tc>
        <w:tc>
          <w:tcPr>
            <w:tcW w:w="857" w:type="pct"/>
            <w:vAlign w:val="center"/>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Cs w:val="20"/>
              </w:rPr>
              <w:t>-</w:t>
            </w:r>
          </w:p>
        </w:tc>
        <w:tc>
          <w:tcPr>
            <w:tcW w:w="1094" w:type="pct"/>
            <w:vAlign w:val="center"/>
          </w:tcPr>
          <w:p w:rsidR="000579B5" w:rsidRPr="00AF20AB" w:rsidRDefault="000579B5" w:rsidP="001B5943">
            <w:pPr>
              <w:pStyle w:val="TableText0"/>
              <w:keepLines/>
              <w:widowControl w:val="0"/>
              <w:jc w:val="center"/>
              <w:rPr>
                <w:szCs w:val="20"/>
              </w:rPr>
            </w:pPr>
            <w:r w:rsidRPr="00AF20AB">
              <w:t>14.38 (0.83, 248.83)</w:t>
            </w:r>
          </w:p>
        </w:tc>
      </w:tr>
      <w:tr w:rsidR="000579B5" w:rsidRPr="00AF20AB" w:rsidTr="00F543D8">
        <w:tc>
          <w:tcPr>
            <w:tcW w:w="3906" w:type="pct"/>
            <w:gridSpan w:val="4"/>
            <w:vAlign w:val="center"/>
          </w:tcPr>
          <w:p w:rsidR="000579B5" w:rsidRPr="00AF20AB" w:rsidRDefault="000579B5" w:rsidP="001B5943">
            <w:pPr>
              <w:pStyle w:val="V50Instructions"/>
              <w:keepNext/>
              <w:keepLines/>
              <w:spacing w:before="0" w:after="0"/>
              <w:jc w:val="right"/>
              <w:rPr>
                <w:rFonts w:ascii="Arial Narrow" w:hAnsi="Arial Narrow"/>
                <w:color w:val="auto"/>
                <w:sz w:val="20"/>
                <w:szCs w:val="20"/>
              </w:rPr>
            </w:pPr>
            <w:r w:rsidRPr="00AF20AB">
              <w:rPr>
                <w:rFonts w:ascii="Arial Narrow" w:hAnsi="Arial Narrow"/>
                <w:color w:val="auto"/>
                <w:sz w:val="20"/>
                <w:szCs w:val="20"/>
              </w:rPr>
              <w:t>pooled decitabine IV</w:t>
            </w:r>
            <w:r w:rsidRPr="00AF20AB">
              <w:rPr>
                <w:rFonts w:ascii="Arial Narrow" w:hAnsi="Arial Narrow"/>
                <w:color w:val="auto"/>
                <w:sz w:val="20"/>
                <w:szCs w:val="20"/>
                <w:vertAlign w:val="superscript"/>
              </w:rPr>
              <w:t xml:space="preserve"> </w:t>
            </w:r>
            <w:r w:rsidRPr="00AF20AB">
              <w:rPr>
                <w:rFonts w:ascii="Arial Narrow" w:hAnsi="Arial Narrow"/>
                <w:color w:val="auto"/>
                <w:sz w:val="20"/>
                <w:szCs w:val="20"/>
              </w:rPr>
              <w:t>random effects (</w:t>
            </w:r>
            <w:r w:rsidR="00BE0106" w:rsidRPr="00AF20AB">
              <w:rPr>
                <w:rFonts w:ascii="Arial Narrow" w:hAnsi="Arial Narrow"/>
                <w:color w:val="auto"/>
                <w:sz w:val="20"/>
                <w:szCs w:val="20"/>
              </w:rPr>
              <w:t>I</w:t>
            </w:r>
            <w:r w:rsidRPr="00AF20AB">
              <w:rPr>
                <w:rFonts w:ascii="Arial Narrow" w:hAnsi="Arial Narrow"/>
                <w:color w:val="auto"/>
                <w:sz w:val="20"/>
                <w:szCs w:val="20"/>
                <w:vertAlign w:val="superscript"/>
              </w:rPr>
              <w:t>2</w:t>
            </w:r>
            <w:r w:rsidRPr="00AF20AB">
              <w:rPr>
                <w:rFonts w:ascii="Arial Narrow" w:hAnsi="Arial Narrow"/>
                <w:color w:val="auto"/>
                <w:sz w:val="20"/>
                <w:szCs w:val="20"/>
              </w:rPr>
              <w:t>=0%; p=0.01)</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14.02 (1.87, 105.09)</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Fenaux 2009 </w:t>
            </w:r>
          </w:p>
        </w:tc>
        <w:tc>
          <w:tcPr>
            <w:tcW w:w="795" w:type="pct"/>
            <w:vAlign w:val="center"/>
          </w:tcPr>
          <w:p w:rsidR="000579B5" w:rsidRPr="00AF20AB" w:rsidRDefault="000579B5" w:rsidP="001B5943">
            <w:pPr>
              <w:pStyle w:val="TableText0"/>
              <w:keepLines/>
              <w:widowControl w:val="0"/>
              <w:jc w:val="center"/>
              <w:rPr>
                <w:szCs w:val="20"/>
              </w:rPr>
            </w:pPr>
            <w:r w:rsidRPr="00AF20AB">
              <w:rPr>
                <w:szCs w:val="20"/>
              </w:rPr>
              <w:t>-</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4/105 (3.8%)</w:t>
            </w:r>
          </w:p>
        </w:tc>
        <w:tc>
          <w:tcPr>
            <w:tcW w:w="857"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18/117 (15.4%)</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4.04 (1.41, 11.55)</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Silverman 2002 </w:t>
            </w:r>
          </w:p>
        </w:tc>
        <w:tc>
          <w:tcPr>
            <w:tcW w:w="795" w:type="pct"/>
            <w:vAlign w:val="center"/>
          </w:tcPr>
          <w:p w:rsidR="000579B5" w:rsidRPr="00AF20AB" w:rsidRDefault="000579B5" w:rsidP="001B5943">
            <w:pPr>
              <w:pStyle w:val="TableText0"/>
              <w:keepLines/>
              <w:widowControl w:val="0"/>
              <w:jc w:val="center"/>
              <w:rPr>
                <w:szCs w:val="20"/>
              </w:rPr>
            </w:pPr>
            <w:r w:rsidRPr="00AF20AB">
              <w:rPr>
                <w:szCs w:val="20"/>
              </w:rPr>
              <w:t>-</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0/92 (0.0%)</w:t>
            </w:r>
          </w:p>
        </w:tc>
        <w:tc>
          <w:tcPr>
            <w:tcW w:w="857"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16/99 (16.2%)</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30.69 (1.87, 504.33)</w:t>
            </w:r>
          </w:p>
        </w:tc>
      </w:tr>
      <w:tr w:rsidR="000579B5" w:rsidRPr="00AF20AB" w:rsidTr="00F543D8">
        <w:tc>
          <w:tcPr>
            <w:tcW w:w="3906" w:type="pct"/>
            <w:gridSpan w:val="4"/>
            <w:vAlign w:val="center"/>
          </w:tcPr>
          <w:p w:rsidR="000579B5" w:rsidRPr="00AF20AB" w:rsidRDefault="000579B5" w:rsidP="001B5943">
            <w:pPr>
              <w:pStyle w:val="V50Instructions"/>
              <w:keepNext/>
              <w:keepLines/>
              <w:spacing w:before="0" w:after="0"/>
              <w:jc w:val="right"/>
              <w:rPr>
                <w:rFonts w:ascii="Arial Narrow" w:hAnsi="Arial Narrow"/>
                <w:color w:val="auto"/>
                <w:sz w:val="20"/>
                <w:szCs w:val="20"/>
              </w:rPr>
            </w:pPr>
            <w:r w:rsidRPr="00AF20AB">
              <w:rPr>
                <w:rFonts w:ascii="Arial Narrow" w:hAnsi="Arial Narrow"/>
                <w:color w:val="auto"/>
                <w:sz w:val="20"/>
                <w:szCs w:val="20"/>
              </w:rPr>
              <w:t>pooled azacitidine</w:t>
            </w:r>
            <w:r w:rsidRPr="00AF20AB">
              <w:rPr>
                <w:rFonts w:ascii="Arial Narrow" w:hAnsi="Arial Narrow"/>
                <w:color w:val="auto"/>
                <w:sz w:val="20"/>
                <w:szCs w:val="20"/>
                <w:vertAlign w:val="superscript"/>
              </w:rPr>
              <w:t xml:space="preserve"> </w:t>
            </w:r>
            <w:r w:rsidRPr="00AF20AB">
              <w:rPr>
                <w:rFonts w:ascii="Arial Narrow" w:hAnsi="Arial Narrow"/>
                <w:color w:val="auto"/>
                <w:sz w:val="20"/>
                <w:szCs w:val="20"/>
              </w:rPr>
              <w:t>random effects (I</w:t>
            </w:r>
            <w:r w:rsidRPr="00AF20AB">
              <w:rPr>
                <w:rFonts w:ascii="Arial Narrow" w:hAnsi="Arial Narrow"/>
                <w:color w:val="auto"/>
                <w:sz w:val="20"/>
                <w:szCs w:val="20"/>
                <w:vertAlign w:val="superscript"/>
              </w:rPr>
              <w:t>2</w:t>
            </w:r>
            <w:r w:rsidRPr="00AF20AB">
              <w:rPr>
                <w:rFonts w:ascii="Arial Narrow" w:hAnsi="Arial Narrow"/>
                <w:color w:val="auto"/>
                <w:sz w:val="20"/>
                <w:szCs w:val="20"/>
              </w:rPr>
              <w:t>=53%; p=0.05)</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7.75 (1.02, 58.87)</w:t>
            </w:r>
          </w:p>
        </w:tc>
      </w:tr>
      <w:tr w:rsidR="000579B5" w:rsidRPr="00AF20AB" w:rsidTr="00F543D8">
        <w:tc>
          <w:tcPr>
            <w:tcW w:w="3906" w:type="pct"/>
            <w:gridSpan w:val="4"/>
            <w:vAlign w:val="center"/>
          </w:tcPr>
          <w:p w:rsidR="000579B5" w:rsidRPr="00AF20AB" w:rsidRDefault="000579B5" w:rsidP="001B5943">
            <w:pPr>
              <w:pStyle w:val="V50Instructions"/>
              <w:keepNext/>
              <w:keepLines/>
              <w:spacing w:before="0" w:after="0"/>
              <w:jc w:val="right"/>
              <w:rPr>
                <w:rFonts w:ascii="Arial Narrow" w:hAnsi="Arial Narrow"/>
                <w:color w:val="auto"/>
                <w:sz w:val="20"/>
                <w:szCs w:val="20"/>
              </w:rPr>
            </w:pPr>
            <w:r w:rsidRPr="00AF20AB">
              <w:rPr>
                <w:rFonts w:ascii="Arial Narrow" w:hAnsi="Arial Narrow"/>
                <w:bCs/>
                <w:color w:val="auto"/>
                <w:sz w:val="20"/>
                <w:szCs w:val="20"/>
              </w:rPr>
              <w:t>Indirect pooled decitabine IV vs. pooled azacitidine (95% CI)</w:t>
            </w:r>
          </w:p>
        </w:tc>
        <w:tc>
          <w:tcPr>
            <w:tcW w:w="1094" w:type="pct"/>
            <w:vAlign w:val="center"/>
          </w:tcPr>
          <w:p w:rsidR="000579B5" w:rsidRPr="00AF20AB" w:rsidRDefault="000579B5" w:rsidP="001B5943">
            <w:pPr>
              <w:pStyle w:val="TableText0"/>
              <w:keepLines/>
              <w:widowControl w:val="0"/>
              <w:jc w:val="center"/>
              <w:rPr>
                <w:szCs w:val="20"/>
              </w:rPr>
            </w:pPr>
            <w:r w:rsidRPr="00AF20AB">
              <w:rPr>
                <w:szCs w:val="20"/>
              </w:rPr>
              <w:t>1.81 (0.1, 31.53)</w:t>
            </w:r>
          </w:p>
        </w:tc>
      </w:tr>
      <w:tr w:rsidR="000579B5" w:rsidRPr="00AF20AB" w:rsidTr="00F543D8">
        <w:tc>
          <w:tcPr>
            <w:tcW w:w="5000" w:type="pct"/>
            <w:gridSpan w:val="5"/>
            <w:vAlign w:val="center"/>
          </w:tcPr>
          <w:p w:rsidR="000579B5" w:rsidRPr="00AF20AB" w:rsidRDefault="000579B5" w:rsidP="001B5943">
            <w:pPr>
              <w:pStyle w:val="TableText0"/>
              <w:keepLines/>
              <w:widowControl w:val="0"/>
              <w:rPr>
                <w:b/>
                <w:bCs w:val="0"/>
                <w:szCs w:val="20"/>
              </w:rPr>
            </w:pPr>
            <w:r w:rsidRPr="00AF20AB">
              <w:rPr>
                <w:b/>
                <w:bCs w:val="0"/>
                <w:szCs w:val="20"/>
              </w:rPr>
              <w:t>Haematological improvement</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Kantarjian 2006 </w:t>
            </w:r>
          </w:p>
        </w:tc>
        <w:tc>
          <w:tcPr>
            <w:tcW w:w="795" w:type="pct"/>
          </w:tcPr>
          <w:p w:rsidR="000579B5" w:rsidRPr="00AF20AB" w:rsidRDefault="000579B5" w:rsidP="001B5943">
            <w:pPr>
              <w:pStyle w:val="TableText0"/>
              <w:keepLines/>
              <w:widowControl w:val="0"/>
              <w:jc w:val="center"/>
              <w:rPr>
                <w:szCs w:val="20"/>
              </w:rPr>
            </w:pPr>
            <w:r w:rsidRPr="00AF20AB">
              <w:t>12/89 (13.5%)</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6/81 (7.4%)</w:t>
            </w:r>
          </w:p>
        </w:tc>
        <w:tc>
          <w:tcPr>
            <w:tcW w:w="857" w:type="pct"/>
            <w:vAlign w:val="center"/>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w:t>
            </w:r>
          </w:p>
        </w:tc>
        <w:tc>
          <w:tcPr>
            <w:tcW w:w="1094" w:type="pct"/>
            <w:vAlign w:val="center"/>
          </w:tcPr>
          <w:p w:rsidR="000579B5" w:rsidRPr="00AF20AB" w:rsidRDefault="000579B5" w:rsidP="001B5943">
            <w:pPr>
              <w:pStyle w:val="TableText0"/>
              <w:keepLines/>
              <w:widowControl w:val="0"/>
              <w:jc w:val="center"/>
              <w:rPr>
                <w:szCs w:val="20"/>
              </w:rPr>
            </w:pPr>
            <w:r w:rsidRPr="00AF20AB">
              <w:t>1.82 (0.72, 4.63)</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Lubbert 2011 </w:t>
            </w:r>
          </w:p>
        </w:tc>
        <w:tc>
          <w:tcPr>
            <w:tcW w:w="795" w:type="pct"/>
          </w:tcPr>
          <w:p w:rsidR="000579B5" w:rsidRPr="00AF20AB" w:rsidRDefault="000579B5" w:rsidP="001B5943">
            <w:pPr>
              <w:pStyle w:val="TableText0"/>
              <w:keepLines/>
              <w:widowControl w:val="0"/>
              <w:jc w:val="center"/>
              <w:rPr>
                <w:szCs w:val="20"/>
              </w:rPr>
            </w:pPr>
            <w:r w:rsidRPr="00AF20AB">
              <w:t>18/119 (15.1%)</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2/114 (1.8%)</w:t>
            </w:r>
          </w:p>
        </w:tc>
        <w:tc>
          <w:tcPr>
            <w:tcW w:w="857" w:type="pct"/>
            <w:vAlign w:val="center"/>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Cs w:val="20"/>
              </w:rPr>
              <w:t>-</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8.62 (2.05, 36.32)</w:t>
            </w:r>
          </w:p>
        </w:tc>
      </w:tr>
      <w:tr w:rsidR="000579B5" w:rsidRPr="00AF20AB" w:rsidTr="00F543D8">
        <w:tc>
          <w:tcPr>
            <w:tcW w:w="3906" w:type="pct"/>
            <w:gridSpan w:val="4"/>
            <w:vAlign w:val="center"/>
          </w:tcPr>
          <w:p w:rsidR="000579B5" w:rsidRPr="00AF20AB" w:rsidRDefault="000579B5" w:rsidP="001B5943">
            <w:pPr>
              <w:pStyle w:val="V50Instructions"/>
              <w:keepNext/>
              <w:keepLines/>
              <w:spacing w:before="0" w:after="0"/>
              <w:jc w:val="right"/>
              <w:rPr>
                <w:rFonts w:ascii="Arial Narrow" w:hAnsi="Arial Narrow"/>
                <w:color w:val="auto"/>
                <w:sz w:val="20"/>
                <w:szCs w:val="20"/>
              </w:rPr>
            </w:pPr>
            <w:r w:rsidRPr="00AF20AB">
              <w:rPr>
                <w:rFonts w:ascii="Arial Narrow" w:hAnsi="Arial Narrow"/>
                <w:color w:val="auto"/>
                <w:sz w:val="20"/>
                <w:szCs w:val="20"/>
              </w:rPr>
              <w:t>pooled decitabine IV</w:t>
            </w:r>
            <w:r w:rsidRPr="00AF20AB">
              <w:rPr>
                <w:rFonts w:ascii="Arial Narrow" w:hAnsi="Arial Narrow"/>
                <w:color w:val="auto"/>
                <w:sz w:val="20"/>
                <w:szCs w:val="20"/>
                <w:vertAlign w:val="superscript"/>
              </w:rPr>
              <w:t xml:space="preserve"> </w:t>
            </w:r>
            <w:r w:rsidRPr="00AF20AB">
              <w:rPr>
                <w:rFonts w:ascii="Arial Narrow" w:hAnsi="Arial Narrow"/>
                <w:color w:val="auto"/>
                <w:sz w:val="20"/>
                <w:szCs w:val="20"/>
              </w:rPr>
              <w:t>random effects (</w:t>
            </w:r>
            <w:r w:rsidR="00BE0106" w:rsidRPr="00AF20AB">
              <w:rPr>
                <w:rFonts w:ascii="Arial Narrow" w:hAnsi="Arial Narrow"/>
                <w:color w:val="auto"/>
                <w:sz w:val="20"/>
                <w:szCs w:val="20"/>
              </w:rPr>
              <w:t>I</w:t>
            </w:r>
            <w:r w:rsidRPr="00AF20AB">
              <w:rPr>
                <w:rFonts w:ascii="Arial Narrow" w:hAnsi="Arial Narrow"/>
                <w:color w:val="auto"/>
                <w:sz w:val="20"/>
                <w:szCs w:val="20"/>
                <w:vertAlign w:val="superscript"/>
              </w:rPr>
              <w:t>2</w:t>
            </w:r>
            <w:r w:rsidRPr="00AF20AB">
              <w:rPr>
                <w:rFonts w:ascii="Arial Narrow" w:hAnsi="Arial Narrow"/>
                <w:color w:val="auto"/>
                <w:sz w:val="20"/>
                <w:szCs w:val="20"/>
              </w:rPr>
              <w:t>=71%; p=0.11)</w:t>
            </w:r>
          </w:p>
        </w:tc>
        <w:tc>
          <w:tcPr>
            <w:tcW w:w="1094" w:type="pct"/>
            <w:vAlign w:val="center"/>
          </w:tcPr>
          <w:p w:rsidR="000579B5" w:rsidRPr="00AF20AB" w:rsidRDefault="000579B5" w:rsidP="001B5943">
            <w:pPr>
              <w:pStyle w:val="TableText0"/>
              <w:keepLines/>
              <w:widowControl w:val="0"/>
              <w:jc w:val="center"/>
              <w:rPr>
                <w:szCs w:val="20"/>
              </w:rPr>
            </w:pPr>
            <w:r w:rsidRPr="00AF20AB">
              <w:t>3.61 (0.75, 17.28)</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Fenaux 2009 </w:t>
            </w:r>
          </w:p>
        </w:tc>
        <w:tc>
          <w:tcPr>
            <w:tcW w:w="795" w:type="pct"/>
            <w:vAlign w:val="center"/>
          </w:tcPr>
          <w:p w:rsidR="000579B5" w:rsidRPr="00AF20AB" w:rsidRDefault="000579B5" w:rsidP="001B5943">
            <w:pPr>
              <w:pStyle w:val="TableText0"/>
              <w:keepLines/>
              <w:widowControl w:val="0"/>
              <w:jc w:val="center"/>
              <w:rPr>
                <w:szCs w:val="20"/>
              </w:rPr>
            </w:pPr>
            <w:r w:rsidRPr="00AF20AB">
              <w:rPr>
                <w:szCs w:val="20"/>
              </w:rPr>
              <w:t>-</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32/105 (30.5%)</w:t>
            </w:r>
          </w:p>
        </w:tc>
        <w:tc>
          <w:tcPr>
            <w:tcW w:w="857"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57/117 (48.7%))</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1.60 (1.13, 2.25)</w:t>
            </w:r>
          </w:p>
        </w:tc>
      </w:tr>
      <w:tr w:rsidR="000579B5" w:rsidRPr="00AF20AB" w:rsidTr="00597925">
        <w:tc>
          <w:tcPr>
            <w:tcW w:w="1122" w:type="pct"/>
            <w:vAlign w:val="center"/>
          </w:tcPr>
          <w:p w:rsidR="000579B5" w:rsidRPr="00AF20AB" w:rsidRDefault="000579B5" w:rsidP="001B5943">
            <w:pPr>
              <w:pStyle w:val="TableText0"/>
              <w:keepLines/>
              <w:widowControl w:val="0"/>
              <w:rPr>
                <w:szCs w:val="20"/>
              </w:rPr>
            </w:pPr>
            <w:r w:rsidRPr="00AF20AB">
              <w:rPr>
                <w:szCs w:val="20"/>
              </w:rPr>
              <w:t xml:space="preserve">Silverman 2002 </w:t>
            </w:r>
          </w:p>
        </w:tc>
        <w:tc>
          <w:tcPr>
            <w:tcW w:w="795" w:type="pct"/>
            <w:vAlign w:val="center"/>
          </w:tcPr>
          <w:p w:rsidR="000579B5" w:rsidRPr="00AF20AB" w:rsidRDefault="000579B5" w:rsidP="001B5943">
            <w:pPr>
              <w:pStyle w:val="TableText0"/>
              <w:keepLines/>
              <w:widowControl w:val="0"/>
              <w:jc w:val="center"/>
              <w:rPr>
                <w:szCs w:val="20"/>
              </w:rPr>
            </w:pPr>
            <w:r w:rsidRPr="00AF20AB">
              <w:rPr>
                <w:szCs w:val="20"/>
              </w:rPr>
              <w:t>-</w:t>
            </w:r>
          </w:p>
        </w:tc>
        <w:tc>
          <w:tcPr>
            <w:tcW w:w="1132"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5/92 (5.4%)</w:t>
            </w:r>
          </w:p>
        </w:tc>
        <w:tc>
          <w:tcPr>
            <w:tcW w:w="857" w:type="pct"/>
          </w:tcPr>
          <w:p w:rsidR="000579B5" w:rsidRPr="00AF20AB" w:rsidRDefault="000579B5" w:rsidP="001B5943">
            <w:pPr>
              <w:pStyle w:val="V50Instructions"/>
              <w:keepNext/>
              <w:keepLines/>
              <w:spacing w:before="0" w:after="0"/>
              <w:jc w:val="center"/>
              <w:rPr>
                <w:rFonts w:ascii="Arial Narrow" w:hAnsi="Arial Narrow"/>
                <w:color w:val="auto"/>
                <w:sz w:val="20"/>
                <w:szCs w:val="20"/>
              </w:rPr>
            </w:pPr>
            <w:r w:rsidRPr="00AF20AB">
              <w:rPr>
                <w:rFonts w:ascii="Arial Narrow" w:hAnsi="Arial Narrow"/>
                <w:color w:val="auto"/>
                <w:sz w:val="20"/>
                <w:szCs w:val="20"/>
              </w:rPr>
              <w:t>37/99 (37.4%)</w:t>
            </w:r>
          </w:p>
        </w:tc>
        <w:tc>
          <w:tcPr>
            <w:tcW w:w="1094" w:type="pct"/>
            <w:vAlign w:val="center"/>
          </w:tcPr>
          <w:p w:rsidR="000579B5" w:rsidRPr="00AF20AB" w:rsidRDefault="000579B5" w:rsidP="001B5943">
            <w:pPr>
              <w:pStyle w:val="TableText0"/>
              <w:keepLines/>
              <w:widowControl w:val="0"/>
              <w:jc w:val="center"/>
              <w:rPr>
                <w:b/>
                <w:bCs w:val="0"/>
                <w:szCs w:val="20"/>
              </w:rPr>
            </w:pPr>
            <w:r w:rsidRPr="00AF20AB">
              <w:rPr>
                <w:b/>
                <w:bCs w:val="0"/>
              </w:rPr>
              <w:t>6.88 (2.82, 16.74)</w:t>
            </w:r>
          </w:p>
        </w:tc>
      </w:tr>
      <w:tr w:rsidR="000579B5" w:rsidRPr="00AF20AB" w:rsidTr="00F543D8">
        <w:tc>
          <w:tcPr>
            <w:tcW w:w="3906" w:type="pct"/>
            <w:gridSpan w:val="4"/>
            <w:vAlign w:val="center"/>
          </w:tcPr>
          <w:p w:rsidR="000579B5" w:rsidRPr="00AF20AB" w:rsidRDefault="000579B5" w:rsidP="001B5943">
            <w:pPr>
              <w:pStyle w:val="V50Instructions"/>
              <w:keepNext/>
              <w:keepLines/>
              <w:spacing w:before="0" w:after="0"/>
              <w:jc w:val="right"/>
              <w:rPr>
                <w:rFonts w:ascii="Arial Narrow" w:hAnsi="Arial Narrow"/>
                <w:color w:val="auto"/>
                <w:sz w:val="20"/>
                <w:szCs w:val="20"/>
              </w:rPr>
            </w:pPr>
            <w:r w:rsidRPr="00AF20AB">
              <w:rPr>
                <w:rFonts w:ascii="Arial Narrow" w:hAnsi="Arial Narrow"/>
                <w:color w:val="auto"/>
                <w:sz w:val="20"/>
                <w:szCs w:val="20"/>
              </w:rPr>
              <w:t>pooled azacitidine</w:t>
            </w:r>
            <w:r w:rsidRPr="00AF20AB">
              <w:rPr>
                <w:rFonts w:ascii="Arial Narrow" w:hAnsi="Arial Narrow"/>
                <w:color w:val="auto"/>
                <w:sz w:val="20"/>
                <w:szCs w:val="20"/>
                <w:vertAlign w:val="superscript"/>
              </w:rPr>
              <w:t xml:space="preserve"> </w:t>
            </w:r>
            <w:r w:rsidRPr="00AF20AB">
              <w:rPr>
                <w:rFonts w:ascii="Arial Narrow" w:hAnsi="Arial Narrow"/>
                <w:color w:val="auto"/>
                <w:sz w:val="20"/>
                <w:szCs w:val="20"/>
              </w:rPr>
              <w:t>random effects (I</w:t>
            </w:r>
            <w:r w:rsidRPr="00AF20AB">
              <w:rPr>
                <w:rFonts w:ascii="Arial Narrow" w:hAnsi="Arial Narrow"/>
                <w:color w:val="auto"/>
                <w:sz w:val="20"/>
                <w:szCs w:val="20"/>
                <w:vertAlign w:val="superscript"/>
              </w:rPr>
              <w:t>2</w:t>
            </w:r>
            <w:r w:rsidRPr="00AF20AB">
              <w:rPr>
                <w:rFonts w:ascii="Arial Narrow" w:hAnsi="Arial Narrow"/>
                <w:color w:val="auto"/>
                <w:sz w:val="20"/>
                <w:szCs w:val="20"/>
              </w:rPr>
              <w:t>=90%; p=0.14)</w:t>
            </w:r>
          </w:p>
        </w:tc>
        <w:tc>
          <w:tcPr>
            <w:tcW w:w="1094" w:type="pct"/>
            <w:vAlign w:val="center"/>
          </w:tcPr>
          <w:p w:rsidR="000579B5" w:rsidRPr="00AF20AB" w:rsidRDefault="000579B5" w:rsidP="001B5943">
            <w:pPr>
              <w:pStyle w:val="TableText0"/>
              <w:keepLines/>
              <w:widowControl w:val="0"/>
              <w:jc w:val="center"/>
              <w:rPr>
                <w:szCs w:val="20"/>
              </w:rPr>
            </w:pPr>
            <w:r w:rsidRPr="00AF20AB">
              <w:t>3.14 (0.69, 14.29)</w:t>
            </w:r>
          </w:p>
        </w:tc>
      </w:tr>
      <w:tr w:rsidR="000579B5" w:rsidRPr="00AF20AB" w:rsidTr="00F543D8">
        <w:tc>
          <w:tcPr>
            <w:tcW w:w="3906" w:type="pct"/>
            <w:gridSpan w:val="4"/>
            <w:vAlign w:val="center"/>
          </w:tcPr>
          <w:p w:rsidR="000579B5" w:rsidRPr="00AF20AB" w:rsidRDefault="000579B5" w:rsidP="001B5943">
            <w:pPr>
              <w:pStyle w:val="V50Instructions"/>
              <w:keepNext/>
              <w:keepLines/>
              <w:spacing w:before="0" w:after="0"/>
              <w:jc w:val="right"/>
              <w:rPr>
                <w:rFonts w:ascii="Arial Narrow" w:hAnsi="Arial Narrow"/>
                <w:color w:val="auto"/>
                <w:sz w:val="20"/>
                <w:szCs w:val="20"/>
              </w:rPr>
            </w:pPr>
            <w:r w:rsidRPr="00AF20AB">
              <w:rPr>
                <w:rFonts w:ascii="Arial Narrow" w:hAnsi="Arial Narrow"/>
                <w:bCs/>
                <w:color w:val="auto"/>
                <w:sz w:val="20"/>
                <w:szCs w:val="20"/>
              </w:rPr>
              <w:t>Indirect pooled decitabine IV vs. pooled azacitidine (95% CI)</w:t>
            </w:r>
          </w:p>
        </w:tc>
        <w:tc>
          <w:tcPr>
            <w:tcW w:w="1094" w:type="pct"/>
            <w:vAlign w:val="center"/>
          </w:tcPr>
          <w:p w:rsidR="000579B5" w:rsidRPr="00AF20AB" w:rsidRDefault="000579B5" w:rsidP="001B5943">
            <w:pPr>
              <w:pStyle w:val="TableText0"/>
              <w:keepLines/>
              <w:widowControl w:val="0"/>
              <w:jc w:val="center"/>
              <w:rPr>
                <w:szCs w:val="20"/>
              </w:rPr>
            </w:pPr>
            <w:r w:rsidRPr="00AF20AB">
              <w:rPr>
                <w:szCs w:val="20"/>
              </w:rPr>
              <w:t>1.15 (0.13, 10.18)</w:t>
            </w:r>
          </w:p>
        </w:tc>
      </w:tr>
    </w:tbl>
    <w:p w:rsidR="000579B5" w:rsidRPr="00AF20AB" w:rsidRDefault="000579B5" w:rsidP="001B5943">
      <w:pPr>
        <w:pStyle w:val="TableFigureFooter"/>
        <w:keepNext/>
        <w:keepLines/>
        <w:spacing w:after="0"/>
        <w:rPr>
          <w:sz w:val="20"/>
        </w:rPr>
      </w:pPr>
      <w:r w:rsidRPr="00AF20AB">
        <w:t>Source: Table 2.17, p92; Table 2.24, p104-105 of the submission.</w:t>
      </w:r>
    </w:p>
    <w:p w:rsidR="000579B5" w:rsidRPr="00AF20AB" w:rsidRDefault="000579B5" w:rsidP="001B5943">
      <w:pPr>
        <w:pStyle w:val="TableFooter"/>
        <w:keepNext/>
        <w:keepLines/>
        <w:rPr>
          <w:rFonts w:eastAsia="Calibri"/>
          <w:szCs w:val="18"/>
        </w:rPr>
      </w:pPr>
      <w:r w:rsidRPr="00AF20AB">
        <w:rPr>
          <w:rFonts w:eastAsia="Calibri"/>
        </w:rPr>
        <w:t xml:space="preserve">BSC=best supportive care; CI=confidence interval; HR=hazard ratio; NR=not reported; </w:t>
      </w:r>
      <w:r w:rsidRPr="00AF20AB">
        <w:rPr>
          <w:rFonts w:eastAsia="Calibri"/>
          <w:b/>
          <w:bCs/>
          <w:szCs w:val="18"/>
        </w:rPr>
        <w:t>bold</w:t>
      </w:r>
      <w:r w:rsidRPr="00AF20AB">
        <w:rPr>
          <w:rFonts w:eastAsia="Calibri"/>
          <w:szCs w:val="18"/>
        </w:rPr>
        <w:t>=statistically significant</w:t>
      </w:r>
    </w:p>
    <w:p w:rsidR="000579B5" w:rsidRPr="00AF20AB" w:rsidRDefault="000579B5" w:rsidP="001B5943">
      <w:pPr>
        <w:pStyle w:val="3-BodyText"/>
        <w:keepNext/>
        <w:keepLines/>
        <w:numPr>
          <w:ilvl w:val="0"/>
          <w:numId w:val="0"/>
        </w:numPr>
        <w:tabs>
          <w:tab w:val="left" w:pos="142"/>
        </w:tabs>
        <w:ind w:left="142" w:hanging="142"/>
      </w:pPr>
      <w:r w:rsidRPr="00AF20AB">
        <w:rPr>
          <w:rFonts w:ascii="Arial Narrow" w:eastAsia="Calibri" w:hAnsi="Arial Narrow"/>
          <w:sz w:val="18"/>
          <w:szCs w:val="18"/>
          <w:vertAlign w:val="superscript"/>
        </w:rPr>
        <w:t>a</w:t>
      </w:r>
      <w:r w:rsidRPr="00AF20AB">
        <w:rPr>
          <w:rFonts w:eastAsia="Calibri"/>
          <w:szCs w:val="18"/>
        </w:rPr>
        <w:tab/>
      </w:r>
      <w:r w:rsidRPr="00AF20AB">
        <w:rPr>
          <w:rFonts w:ascii="Arial Narrow" w:eastAsia="Calibri" w:hAnsi="Arial Narrow"/>
          <w:iCs/>
          <w:sz w:val="18"/>
          <w:szCs w:val="18"/>
        </w:rPr>
        <w:t>Table 2.17 reported this result as 0.84 (0.66, 1.08) however that appeared to be a typographical error and the value reported in Table 2.25 and Table 2.33 and Figure 2.10 of the submission  is reported here</w:t>
      </w:r>
    </w:p>
    <w:p w:rsidR="005920E5" w:rsidRPr="00AF20AB" w:rsidRDefault="000579B5" w:rsidP="00EC5836">
      <w:pPr>
        <w:pStyle w:val="3-BodyText"/>
      </w:pPr>
      <w:r w:rsidRPr="00AF20AB">
        <w:t>The</w:t>
      </w:r>
      <w:r w:rsidR="00553B25" w:rsidRPr="00AF20AB">
        <w:t xml:space="preserve"> above</w:t>
      </w:r>
      <w:r w:rsidRPr="00AF20AB">
        <w:t xml:space="preserve"> comparisons showed no statistically significant differences between IV decitabine and azacitidine for response</w:t>
      </w:r>
      <w:r w:rsidR="000E24E5" w:rsidRPr="00AF20AB">
        <w:t>-based</w:t>
      </w:r>
      <w:r w:rsidRPr="00AF20AB">
        <w:t xml:space="preserve"> outcomes. The submission stated (p106) that it was unclear why the results </w:t>
      </w:r>
      <w:r w:rsidR="00F46BD5" w:rsidRPr="00AF20AB">
        <w:t xml:space="preserve">of the indirect comparisons </w:t>
      </w:r>
      <w:r w:rsidRPr="00AF20AB">
        <w:t xml:space="preserve">for survival outcomes differ </w:t>
      </w:r>
      <w:r w:rsidR="0000305D">
        <w:t>from</w:t>
      </w:r>
      <w:r w:rsidR="0000305D" w:rsidRPr="00AF20AB">
        <w:t xml:space="preserve"> </w:t>
      </w:r>
      <w:r w:rsidRPr="00AF20AB">
        <w:t>those for response-based outcomes. The submission suggested the survival benefit of azacitidine in Fenaux (2009) overestimated the true effect size, and while there was not an advantage for decitabine in terms of response, the ability of IV decitabine to induce a high response rate is clinically significant.</w:t>
      </w:r>
      <w:r w:rsidR="00E7348B" w:rsidRPr="00AF20AB">
        <w:t xml:space="preserve"> </w:t>
      </w:r>
      <w:r w:rsidR="00E7348B" w:rsidRPr="00AF20AB">
        <w:rPr>
          <w:iCs/>
        </w:rPr>
        <w:t>There was also high heterogeneity across all comparisons, ranging from</w:t>
      </w:r>
      <w:r w:rsidR="00A8192A" w:rsidRPr="00AF20AB">
        <w:rPr>
          <w:iCs/>
        </w:rPr>
        <w:t xml:space="preserve"> an</w:t>
      </w:r>
      <w:r w:rsidR="00E7348B" w:rsidRPr="00AF20AB">
        <w:rPr>
          <w:iCs/>
        </w:rPr>
        <w:t xml:space="preserve"> I</w:t>
      </w:r>
      <w:r w:rsidR="00E7348B" w:rsidRPr="00AF20AB">
        <w:rPr>
          <w:iCs/>
          <w:vertAlign w:val="superscript"/>
        </w:rPr>
        <w:t>2</w:t>
      </w:r>
      <w:r w:rsidR="00E7348B" w:rsidRPr="00AF20AB">
        <w:rPr>
          <w:iCs/>
        </w:rPr>
        <w:t xml:space="preserve"> of approximately 50% to 90%, except for complete response, where</w:t>
      </w:r>
      <w:r w:rsidR="00F21D18" w:rsidRPr="00AF20AB">
        <w:rPr>
          <w:iCs/>
        </w:rPr>
        <w:t xml:space="preserve"> the</w:t>
      </w:r>
      <w:r w:rsidR="00E7348B" w:rsidRPr="00AF20AB">
        <w:rPr>
          <w:iCs/>
        </w:rPr>
        <w:t xml:space="preserve"> I</w:t>
      </w:r>
      <w:r w:rsidR="00E7348B" w:rsidRPr="00AF20AB">
        <w:rPr>
          <w:iCs/>
          <w:vertAlign w:val="superscript"/>
        </w:rPr>
        <w:t>2</w:t>
      </w:r>
      <w:r w:rsidR="00E7348B" w:rsidRPr="00AF20AB">
        <w:rPr>
          <w:iCs/>
        </w:rPr>
        <w:t xml:space="preserve"> </w:t>
      </w:r>
      <w:r w:rsidR="00F21D18" w:rsidRPr="00AF20AB">
        <w:rPr>
          <w:iCs/>
        </w:rPr>
        <w:t xml:space="preserve">value </w:t>
      </w:r>
      <w:r w:rsidR="00E7348B" w:rsidRPr="00AF20AB">
        <w:rPr>
          <w:iCs/>
        </w:rPr>
        <w:t>was 0%</w:t>
      </w:r>
      <w:r w:rsidR="00AF20AB">
        <w:rPr>
          <w:iCs/>
        </w:rPr>
        <w:t xml:space="preserve">. </w:t>
      </w:r>
      <w:r w:rsidR="00E7348B" w:rsidRPr="00AF20AB">
        <w:rPr>
          <w:iCs/>
        </w:rPr>
        <w:t>The</w:t>
      </w:r>
      <w:r w:rsidR="003B3CA9" w:rsidRPr="00AF20AB">
        <w:rPr>
          <w:iCs/>
        </w:rPr>
        <w:t xml:space="preserve"> </w:t>
      </w:r>
      <w:r w:rsidR="00E7348B" w:rsidRPr="00AF20AB">
        <w:rPr>
          <w:iCs/>
        </w:rPr>
        <w:t>confidence intervals</w:t>
      </w:r>
      <w:r w:rsidR="003B3CA9" w:rsidRPr="00AF20AB">
        <w:rPr>
          <w:iCs/>
        </w:rPr>
        <w:t xml:space="preserve"> were also wide</w:t>
      </w:r>
      <w:r w:rsidR="00E7348B" w:rsidRPr="00AF20AB">
        <w:rPr>
          <w:iCs/>
        </w:rPr>
        <w:t xml:space="preserve"> across many of the comparisons.</w:t>
      </w:r>
      <w:r w:rsidR="00E7348B" w:rsidRPr="00AF20AB">
        <w:t xml:space="preserve"> </w:t>
      </w:r>
      <w:r w:rsidR="002C316F" w:rsidRPr="00AF20AB">
        <w:t>The ESC cons</w:t>
      </w:r>
      <w:r w:rsidR="001022B3" w:rsidRPr="00AF20AB">
        <w:t>idered that inferiority of decitabine vs</w:t>
      </w:r>
      <w:r w:rsidR="002C316F" w:rsidRPr="00AF20AB">
        <w:t xml:space="preserve"> </w:t>
      </w:r>
      <w:r w:rsidR="001022B3" w:rsidRPr="00AF20AB">
        <w:t xml:space="preserve">azacitidine in terms of ORR cannot be fully excluded given the wide confidence intervals. </w:t>
      </w:r>
    </w:p>
    <w:p w:rsidR="00BB44D3" w:rsidRPr="00AF20AB" w:rsidRDefault="00BB44D3" w:rsidP="00BB44D3">
      <w:pPr>
        <w:pStyle w:val="3-BodyText"/>
        <w:numPr>
          <w:ilvl w:val="0"/>
          <w:numId w:val="0"/>
        </w:numPr>
        <w:rPr>
          <w:u w:val="single"/>
        </w:rPr>
      </w:pPr>
      <w:r w:rsidRPr="00AF20AB">
        <w:rPr>
          <w:u w:val="single"/>
        </w:rPr>
        <w:t>Pharmacokinetic comparison of decitabine+cedazuridine and IV decitabine</w:t>
      </w:r>
    </w:p>
    <w:p w:rsidR="00F21D18" w:rsidRPr="00AF20AB" w:rsidRDefault="00F21D18" w:rsidP="00BB44D3">
      <w:pPr>
        <w:pStyle w:val="3-BodyText"/>
      </w:pPr>
      <w:r w:rsidRPr="00AF20AB">
        <w:t xml:space="preserve">For both the ASCERTAIN and ASTX727-01-B trials, </w:t>
      </w:r>
      <w:r w:rsidR="002F57D7" w:rsidRPr="00AF20AB">
        <w:t>patients received decitabine+cedazuridine or IV decitabine in the first treatment cycle, then crossed over to the alternate treatment in the second treatment cycle</w:t>
      </w:r>
      <w:r w:rsidR="00AF20AB">
        <w:t xml:space="preserve">. </w:t>
      </w:r>
      <w:r w:rsidR="002F57D7" w:rsidRPr="00AF20AB">
        <w:t>In the third and ongoing treatment cycles, decitabine+cedazur</w:t>
      </w:r>
      <w:r w:rsidR="004D7AD9" w:rsidRPr="00AF20AB">
        <w:t>i</w:t>
      </w:r>
      <w:r w:rsidR="002F57D7" w:rsidRPr="00AF20AB">
        <w:t>dine was administered.</w:t>
      </w:r>
    </w:p>
    <w:p w:rsidR="00BB44D3" w:rsidRPr="00AF20AB" w:rsidRDefault="00F21D18" w:rsidP="00BB44D3">
      <w:pPr>
        <w:pStyle w:val="3-BodyText"/>
      </w:pPr>
      <w:r w:rsidRPr="00AF20AB">
        <w:t>The following table provides the key results of the ASCERTAIN trial.</w:t>
      </w:r>
    </w:p>
    <w:p w:rsidR="00BB44D3" w:rsidRPr="00AF20AB" w:rsidRDefault="00F21D18" w:rsidP="00F21D18">
      <w:pPr>
        <w:pStyle w:val="3-BodyText"/>
        <w:numPr>
          <w:ilvl w:val="0"/>
          <w:numId w:val="0"/>
        </w:numPr>
        <w:spacing w:after="0"/>
      </w:pPr>
      <w:r w:rsidRPr="00AF20AB">
        <w:rPr>
          <w:rStyle w:val="CommentReference"/>
          <w:bCs/>
          <w:szCs w:val="24"/>
        </w:rPr>
        <w:t xml:space="preserve">Table </w:t>
      </w:r>
      <w:r w:rsidR="00CF1BE4" w:rsidRPr="00AF20AB">
        <w:rPr>
          <w:rStyle w:val="CommentReference"/>
          <w:bCs/>
          <w:szCs w:val="24"/>
        </w:rPr>
        <w:t>8</w:t>
      </w:r>
      <w:r w:rsidRPr="00AF20AB">
        <w:rPr>
          <w:rStyle w:val="CommentReference"/>
          <w:bCs/>
          <w:szCs w:val="24"/>
        </w:rPr>
        <w:t>:</w:t>
      </w:r>
      <w:r w:rsidRPr="00AF20AB">
        <w:rPr>
          <w:rStyle w:val="CommentReference"/>
          <w:b w:val="0"/>
          <w:szCs w:val="24"/>
        </w:rPr>
        <w:t xml:space="preserve"> </w:t>
      </w:r>
      <w:r w:rsidRPr="00AF20AB">
        <w:rPr>
          <w:rStyle w:val="CommentReference"/>
          <w:bCs/>
          <w:szCs w:val="24"/>
        </w:rPr>
        <w:t>Key results of the ASCERTAIN trial</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3"/>
        <w:gridCol w:w="1554"/>
        <w:gridCol w:w="586"/>
        <w:gridCol w:w="968"/>
        <w:gridCol w:w="995"/>
        <w:gridCol w:w="429"/>
        <w:gridCol w:w="1425"/>
      </w:tblGrid>
      <w:tr w:rsidR="00F21D18" w:rsidRPr="00AF20AB" w:rsidTr="003B4B44">
        <w:tc>
          <w:tcPr>
            <w:tcW w:w="1665" w:type="pct"/>
            <w:vAlign w:val="center"/>
          </w:tcPr>
          <w:p w:rsidR="00F21D18" w:rsidRPr="00AF20AB" w:rsidRDefault="00F21D18" w:rsidP="00F543D8">
            <w:pPr>
              <w:pStyle w:val="In-tableHeading"/>
              <w:keepNext w:val="0"/>
              <w:widowControl w:val="0"/>
              <w:tabs>
                <w:tab w:val="left" w:pos="164"/>
              </w:tabs>
              <w:rPr>
                <w:lang w:val="en-AU"/>
              </w:rPr>
            </w:pPr>
          </w:p>
        </w:tc>
        <w:tc>
          <w:tcPr>
            <w:tcW w:w="1198" w:type="pct"/>
            <w:gridSpan w:val="2"/>
            <w:vAlign w:val="center"/>
          </w:tcPr>
          <w:p w:rsidR="00F21D18" w:rsidRPr="00AF20AB" w:rsidRDefault="00F21D18" w:rsidP="00F543D8">
            <w:pPr>
              <w:pStyle w:val="In-tableHeading"/>
              <w:keepNext w:val="0"/>
              <w:widowControl w:val="0"/>
              <w:jc w:val="center"/>
              <w:rPr>
                <w:lang w:val="en-AU"/>
              </w:rPr>
            </w:pPr>
            <w:r w:rsidRPr="00AF20AB">
              <w:rPr>
                <w:lang w:val="en-AU"/>
              </w:rPr>
              <w:t>Decitabine+cedazuridine (N=123)</w:t>
            </w:r>
          </w:p>
        </w:tc>
        <w:tc>
          <w:tcPr>
            <w:tcW w:w="1099" w:type="pct"/>
            <w:gridSpan w:val="2"/>
            <w:vAlign w:val="center"/>
          </w:tcPr>
          <w:p w:rsidR="00F21D18" w:rsidRPr="00AF20AB" w:rsidRDefault="00F21D18" w:rsidP="00F543D8">
            <w:pPr>
              <w:pStyle w:val="In-tableHeading"/>
              <w:keepNext w:val="0"/>
              <w:widowControl w:val="0"/>
              <w:jc w:val="center"/>
              <w:rPr>
                <w:lang w:val="en-AU"/>
              </w:rPr>
            </w:pPr>
            <w:r w:rsidRPr="00AF20AB">
              <w:rPr>
                <w:lang w:val="en-AU"/>
              </w:rPr>
              <w:t>IV decitabine</w:t>
            </w:r>
          </w:p>
          <w:p w:rsidR="00F21D18" w:rsidRPr="00AF20AB" w:rsidRDefault="00F21D18" w:rsidP="00F543D8">
            <w:pPr>
              <w:pStyle w:val="In-tableHeading"/>
              <w:keepNext w:val="0"/>
              <w:widowControl w:val="0"/>
              <w:jc w:val="center"/>
              <w:rPr>
                <w:lang w:val="en-AU"/>
              </w:rPr>
            </w:pPr>
            <w:r w:rsidRPr="00AF20AB">
              <w:rPr>
                <w:lang w:val="en-AU"/>
              </w:rPr>
              <w:t>(N=123)</w:t>
            </w:r>
          </w:p>
        </w:tc>
        <w:tc>
          <w:tcPr>
            <w:tcW w:w="1038" w:type="pct"/>
            <w:gridSpan w:val="2"/>
            <w:vAlign w:val="center"/>
          </w:tcPr>
          <w:p w:rsidR="00F21D18" w:rsidRPr="00AF20AB" w:rsidRDefault="00F21D18" w:rsidP="00F543D8">
            <w:pPr>
              <w:pStyle w:val="In-tableHeading"/>
              <w:keepNext w:val="0"/>
              <w:widowControl w:val="0"/>
              <w:jc w:val="center"/>
              <w:rPr>
                <w:lang w:val="en-AU"/>
              </w:rPr>
            </w:pPr>
            <w:r w:rsidRPr="00AF20AB">
              <w:rPr>
                <w:lang w:val="en-AU"/>
              </w:rPr>
              <w:t xml:space="preserve">Ratio Geometric LSM </w:t>
            </w:r>
          </w:p>
          <w:p w:rsidR="00F21D18" w:rsidRPr="00AF20AB" w:rsidRDefault="00F21D18" w:rsidP="00F543D8">
            <w:pPr>
              <w:pStyle w:val="In-tableHeading"/>
              <w:keepNext w:val="0"/>
              <w:widowControl w:val="0"/>
              <w:jc w:val="center"/>
              <w:rPr>
                <w:lang w:val="en-AU"/>
              </w:rPr>
            </w:pPr>
            <w:r w:rsidRPr="00AF20AB">
              <w:rPr>
                <w:lang w:val="en-AU"/>
              </w:rPr>
              <w:t>(90% CI)</w:t>
            </w:r>
          </w:p>
        </w:tc>
      </w:tr>
      <w:tr w:rsidR="00F21D18" w:rsidRPr="00AF20AB" w:rsidTr="00F543D8">
        <w:tc>
          <w:tcPr>
            <w:tcW w:w="5000" w:type="pct"/>
            <w:gridSpan w:val="7"/>
            <w:vAlign w:val="center"/>
          </w:tcPr>
          <w:p w:rsidR="00F21D18" w:rsidRPr="00AF20AB" w:rsidRDefault="00F21D18" w:rsidP="00F543D8">
            <w:pPr>
              <w:pStyle w:val="TableText0"/>
              <w:keepNext w:val="0"/>
              <w:widowControl w:val="0"/>
              <w:rPr>
                <w:b/>
                <w:bCs w:val="0"/>
              </w:rPr>
            </w:pPr>
            <w:r w:rsidRPr="00AF20AB">
              <w:rPr>
                <w:b/>
                <w:bCs w:val="0"/>
              </w:rPr>
              <w:t>Pharmacokinetic and pharmacodynamic outcomes</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5-day AUC</w:t>
            </w:r>
            <w:r w:rsidRPr="00AF20AB">
              <w:rPr>
                <w:vertAlign w:val="subscript"/>
              </w:rPr>
              <w:t>0-24</w:t>
            </w:r>
          </w:p>
        </w:tc>
        <w:tc>
          <w:tcPr>
            <w:tcW w:w="1198" w:type="pct"/>
            <w:gridSpan w:val="2"/>
            <w:vAlign w:val="center"/>
          </w:tcPr>
          <w:p w:rsidR="00F21D18" w:rsidRPr="00AF20AB" w:rsidRDefault="00F21D18" w:rsidP="00F543D8">
            <w:pPr>
              <w:pStyle w:val="TableText0"/>
              <w:keepNext w:val="0"/>
              <w:widowControl w:val="0"/>
              <w:jc w:val="center"/>
            </w:pPr>
            <w:r w:rsidRPr="00AF20AB">
              <w:t>855.69</w:t>
            </w:r>
          </w:p>
        </w:tc>
        <w:tc>
          <w:tcPr>
            <w:tcW w:w="1099" w:type="pct"/>
            <w:gridSpan w:val="2"/>
            <w:vAlign w:val="center"/>
          </w:tcPr>
          <w:p w:rsidR="00F21D18" w:rsidRPr="00AF20AB" w:rsidRDefault="00F21D18" w:rsidP="00F543D8">
            <w:pPr>
              <w:pStyle w:val="TableText0"/>
              <w:keepNext w:val="0"/>
              <w:widowControl w:val="0"/>
              <w:jc w:val="center"/>
            </w:pPr>
            <w:r w:rsidRPr="00AF20AB">
              <w:t>864.94</w:t>
            </w:r>
          </w:p>
        </w:tc>
        <w:tc>
          <w:tcPr>
            <w:tcW w:w="1038" w:type="pct"/>
            <w:gridSpan w:val="2"/>
            <w:vAlign w:val="center"/>
          </w:tcPr>
          <w:p w:rsidR="00F21D18" w:rsidRPr="00AF20AB" w:rsidRDefault="00F21D18" w:rsidP="00F543D8">
            <w:pPr>
              <w:pStyle w:val="TableText0"/>
              <w:keepNext w:val="0"/>
              <w:widowControl w:val="0"/>
              <w:jc w:val="center"/>
            </w:pPr>
            <w:r w:rsidRPr="00AF20AB">
              <w:t>98.93 (92.66, 105.6)</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Maximum %line-1 demethylation</w:t>
            </w:r>
          </w:p>
        </w:tc>
        <w:tc>
          <w:tcPr>
            <w:tcW w:w="1198" w:type="pct"/>
            <w:gridSpan w:val="2"/>
            <w:vAlign w:val="center"/>
          </w:tcPr>
          <w:p w:rsidR="00F21D18" w:rsidRPr="00AF20AB" w:rsidRDefault="00F21D18" w:rsidP="00F543D8">
            <w:pPr>
              <w:pStyle w:val="TableText0"/>
              <w:keepNext w:val="0"/>
              <w:widowControl w:val="0"/>
              <w:jc w:val="center"/>
              <w:rPr>
                <w:b/>
                <w:bCs w:val="0"/>
              </w:rPr>
            </w:pPr>
            <w:r w:rsidRPr="00AF20AB">
              <w:rPr>
                <w:b/>
                <w:bCs w:val="0"/>
              </w:rPr>
              <w:t>Decitabine+cedazuridine</w:t>
            </w:r>
          </w:p>
          <w:p w:rsidR="00F21D18" w:rsidRPr="00AF20AB" w:rsidRDefault="00F21D18" w:rsidP="00F543D8">
            <w:pPr>
              <w:pStyle w:val="TableText0"/>
              <w:keepNext w:val="0"/>
              <w:widowControl w:val="0"/>
              <w:jc w:val="center"/>
              <w:rPr>
                <w:b/>
                <w:bCs w:val="0"/>
              </w:rPr>
            </w:pPr>
            <w:r w:rsidRPr="00AF20AB">
              <w:rPr>
                <w:b/>
                <w:bCs w:val="0"/>
              </w:rPr>
              <w:t>LSM (95% CI)</w:t>
            </w:r>
          </w:p>
        </w:tc>
        <w:tc>
          <w:tcPr>
            <w:tcW w:w="1099" w:type="pct"/>
            <w:gridSpan w:val="2"/>
            <w:vAlign w:val="center"/>
          </w:tcPr>
          <w:p w:rsidR="00F21D18" w:rsidRPr="00AF20AB" w:rsidRDefault="00F21D18" w:rsidP="00F543D8">
            <w:pPr>
              <w:pStyle w:val="In-tableHeading"/>
              <w:keepNext w:val="0"/>
              <w:widowControl w:val="0"/>
              <w:jc w:val="center"/>
              <w:rPr>
                <w:lang w:val="en-AU"/>
              </w:rPr>
            </w:pPr>
            <w:r w:rsidRPr="00AF20AB">
              <w:rPr>
                <w:lang w:val="en-AU"/>
              </w:rPr>
              <w:t>IV decitabine</w:t>
            </w:r>
          </w:p>
          <w:p w:rsidR="00F21D18" w:rsidRPr="00AF20AB" w:rsidRDefault="00F21D18" w:rsidP="00F543D8">
            <w:pPr>
              <w:pStyle w:val="In-tableHeading"/>
              <w:keepNext w:val="0"/>
              <w:widowControl w:val="0"/>
              <w:jc w:val="center"/>
              <w:rPr>
                <w:lang w:val="en-AU"/>
              </w:rPr>
            </w:pPr>
            <w:r w:rsidRPr="00AF20AB">
              <w:rPr>
                <w:lang w:val="en-AU"/>
              </w:rPr>
              <w:t>LSM (95% CI)</w:t>
            </w:r>
          </w:p>
        </w:tc>
        <w:tc>
          <w:tcPr>
            <w:tcW w:w="1038" w:type="pct"/>
            <w:gridSpan w:val="2"/>
            <w:vAlign w:val="center"/>
          </w:tcPr>
          <w:p w:rsidR="00F21D18" w:rsidRPr="00AF20AB" w:rsidRDefault="00F21D18" w:rsidP="00F543D8">
            <w:pPr>
              <w:pStyle w:val="TableText0"/>
              <w:keepNext w:val="0"/>
              <w:widowControl w:val="0"/>
              <w:jc w:val="center"/>
              <w:rPr>
                <w:b/>
                <w:bCs w:val="0"/>
              </w:rPr>
            </w:pPr>
            <w:r w:rsidRPr="00AF20AB">
              <w:rPr>
                <w:b/>
                <w:bCs w:val="0"/>
              </w:rPr>
              <w:t>Difference (95% CI)</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ab/>
              <w:t>Cycle 1</w:t>
            </w:r>
          </w:p>
        </w:tc>
        <w:tc>
          <w:tcPr>
            <w:tcW w:w="1198" w:type="pct"/>
            <w:gridSpan w:val="2"/>
            <w:vAlign w:val="center"/>
          </w:tcPr>
          <w:p w:rsidR="00F21D18" w:rsidRPr="00AF20AB" w:rsidRDefault="00F21D18" w:rsidP="00F543D8">
            <w:pPr>
              <w:pStyle w:val="TableText0"/>
              <w:keepNext w:val="0"/>
              <w:widowControl w:val="0"/>
              <w:jc w:val="center"/>
            </w:pPr>
            <w:r w:rsidRPr="00AF20AB">
              <w:t>13.289 (11.798, 14.780)</w:t>
            </w:r>
          </w:p>
        </w:tc>
        <w:tc>
          <w:tcPr>
            <w:tcW w:w="1099" w:type="pct"/>
            <w:gridSpan w:val="2"/>
            <w:vAlign w:val="center"/>
          </w:tcPr>
          <w:p w:rsidR="00F21D18" w:rsidRPr="00AF20AB" w:rsidRDefault="00F21D18" w:rsidP="00F543D8">
            <w:pPr>
              <w:pStyle w:val="TableText0"/>
              <w:keepNext w:val="0"/>
              <w:widowControl w:val="0"/>
              <w:jc w:val="center"/>
            </w:pPr>
            <w:r w:rsidRPr="00AF20AB">
              <w:t>14.019 (12.528, 15.510)</w:t>
            </w:r>
          </w:p>
        </w:tc>
        <w:tc>
          <w:tcPr>
            <w:tcW w:w="1038" w:type="pct"/>
            <w:gridSpan w:val="2"/>
            <w:vAlign w:val="center"/>
          </w:tcPr>
          <w:p w:rsidR="00F21D18" w:rsidRPr="00AF20AB" w:rsidRDefault="00F21D18" w:rsidP="00F543D8">
            <w:pPr>
              <w:pStyle w:val="TableText0"/>
              <w:keepNext w:val="0"/>
              <w:widowControl w:val="0"/>
              <w:jc w:val="center"/>
            </w:pPr>
            <w:r w:rsidRPr="00AF20AB">
              <w:t>-0.730 (-2.838, 1.378)</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ab/>
              <w:t>Cycle 2</w:t>
            </w:r>
          </w:p>
        </w:tc>
        <w:tc>
          <w:tcPr>
            <w:tcW w:w="1198" w:type="pct"/>
            <w:gridSpan w:val="2"/>
            <w:vAlign w:val="center"/>
          </w:tcPr>
          <w:p w:rsidR="00F21D18" w:rsidRPr="00AF20AB" w:rsidRDefault="00F21D18" w:rsidP="00F543D8">
            <w:pPr>
              <w:pStyle w:val="TableText0"/>
              <w:keepNext w:val="0"/>
              <w:widowControl w:val="0"/>
              <w:jc w:val="center"/>
            </w:pPr>
            <w:r w:rsidRPr="00AF20AB">
              <w:t>11.151 (9.685, 12.616)</w:t>
            </w:r>
          </w:p>
        </w:tc>
        <w:tc>
          <w:tcPr>
            <w:tcW w:w="1099" w:type="pct"/>
            <w:gridSpan w:val="2"/>
            <w:vAlign w:val="center"/>
          </w:tcPr>
          <w:p w:rsidR="00F21D18" w:rsidRPr="00AF20AB" w:rsidRDefault="00F21D18" w:rsidP="00F543D8">
            <w:pPr>
              <w:pStyle w:val="TableText0"/>
              <w:keepNext w:val="0"/>
              <w:widowControl w:val="0"/>
              <w:jc w:val="center"/>
            </w:pPr>
            <w:r w:rsidRPr="00AF20AB">
              <w:t>11.968 (10.503,</w:t>
            </w:r>
            <w:r w:rsidRPr="00AF20AB">
              <w:rPr>
                <w:spacing w:val="-4"/>
              </w:rPr>
              <w:t xml:space="preserve"> </w:t>
            </w:r>
            <w:r w:rsidRPr="00AF20AB">
              <w:t>13.434)</w:t>
            </w:r>
          </w:p>
        </w:tc>
        <w:tc>
          <w:tcPr>
            <w:tcW w:w="1038" w:type="pct"/>
            <w:gridSpan w:val="2"/>
            <w:vAlign w:val="center"/>
          </w:tcPr>
          <w:p w:rsidR="00F21D18" w:rsidRPr="00AF20AB" w:rsidRDefault="00F21D18" w:rsidP="00F543D8">
            <w:pPr>
              <w:pStyle w:val="TableText0"/>
              <w:keepNext w:val="0"/>
              <w:widowControl w:val="0"/>
              <w:jc w:val="center"/>
            </w:pPr>
            <w:r w:rsidRPr="00AF20AB">
              <w:t>-0.818 (-2.890, 1.255)</w:t>
            </w:r>
          </w:p>
        </w:tc>
      </w:tr>
      <w:tr w:rsidR="00F21D18" w:rsidRPr="00AF20AB" w:rsidTr="00F543D8">
        <w:tc>
          <w:tcPr>
            <w:tcW w:w="5000" w:type="pct"/>
            <w:gridSpan w:val="7"/>
            <w:vAlign w:val="center"/>
          </w:tcPr>
          <w:p w:rsidR="00F21D18" w:rsidRPr="00AF20AB" w:rsidRDefault="00F21D18" w:rsidP="00F543D8">
            <w:pPr>
              <w:pStyle w:val="TableText0"/>
              <w:keepNext w:val="0"/>
              <w:widowControl w:val="0"/>
              <w:rPr>
                <w:b/>
                <w:bCs w:val="0"/>
              </w:rPr>
            </w:pPr>
            <w:r w:rsidRPr="00AF20AB">
              <w:rPr>
                <w:b/>
                <w:bCs w:val="0"/>
              </w:rPr>
              <w:t>Clinical response</w:t>
            </w:r>
          </w:p>
        </w:tc>
      </w:tr>
      <w:tr w:rsidR="00F21D18" w:rsidRPr="00AF20AB" w:rsidTr="00F543D8">
        <w:tc>
          <w:tcPr>
            <w:tcW w:w="1665" w:type="pct"/>
            <w:vMerge w:val="restart"/>
            <w:vAlign w:val="center"/>
          </w:tcPr>
          <w:p w:rsidR="00F21D18" w:rsidRPr="00AF20AB" w:rsidRDefault="00F21D18" w:rsidP="00F543D8">
            <w:pPr>
              <w:pStyle w:val="TableText0"/>
              <w:keepNext w:val="0"/>
              <w:widowControl w:val="0"/>
              <w:tabs>
                <w:tab w:val="left" w:pos="164"/>
              </w:tabs>
            </w:pPr>
          </w:p>
        </w:tc>
        <w:tc>
          <w:tcPr>
            <w:tcW w:w="3335" w:type="pct"/>
            <w:gridSpan w:val="6"/>
            <w:tcBorders>
              <w:bottom w:val="nil"/>
            </w:tcBorders>
            <w:vAlign w:val="center"/>
          </w:tcPr>
          <w:p w:rsidR="00F21D18" w:rsidRPr="00AF20AB" w:rsidRDefault="00F21D18" w:rsidP="00F543D8">
            <w:pPr>
              <w:pStyle w:val="TableText0"/>
              <w:keepNext w:val="0"/>
              <w:widowControl w:val="0"/>
              <w:jc w:val="center"/>
              <w:rPr>
                <w:b/>
                <w:bCs w:val="0"/>
              </w:rPr>
            </w:pPr>
            <w:r w:rsidRPr="00AF20AB">
              <w:rPr>
                <w:b/>
                <w:bCs w:val="0"/>
              </w:rPr>
              <w:t>All patients (N=133)</w:t>
            </w:r>
          </w:p>
        </w:tc>
      </w:tr>
      <w:tr w:rsidR="00F21D18" w:rsidRPr="00AF20AB" w:rsidTr="00F543D8">
        <w:tc>
          <w:tcPr>
            <w:tcW w:w="1665" w:type="pct"/>
            <w:vMerge/>
            <w:vAlign w:val="center"/>
          </w:tcPr>
          <w:p w:rsidR="00F21D18" w:rsidRPr="00AF20AB" w:rsidRDefault="00F21D18" w:rsidP="00F543D8">
            <w:pPr>
              <w:pStyle w:val="TableText0"/>
              <w:keepNext w:val="0"/>
              <w:widowControl w:val="0"/>
              <w:tabs>
                <w:tab w:val="left" w:pos="164"/>
              </w:tabs>
            </w:pPr>
          </w:p>
        </w:tc>
        <w:tc>
          <w:tcPr>
            <w:tcW w:w="1740" w:type="pct"/>
            <w:gridSpan w:val="3"/>
            <w:tcBorders>
              <w:bottom w:val="nil"/>
            </w:tcBorders>
            <w:vAlign w:val="center"/>
          </w:tcPr>
          <w:p w:rsidR="00F21D18" w:rsidRPr="00AF20AB" w:rsidRDefault="00F21D18" w:rsidP="00F543D8">
            <w:pPr>
              <w:pStyle w:val="TableText0"/>
              <w:keepNext w:val="0"/>
              <w:widowControl w:val="0"/>
              <w:jc w:val="center"/>
              <w:rPr>
                <w:b/>
                <w:bCs w:val="0"/>
              </w:rPr>
            </w:pPr>
            <w:r w:rsidRPr="00AF20AB">
              <w:rPr>
                <w:b/>
                <w:bCs w:val="0"/>
              </w:rPr>
              <w:t xml:space="preserve">March 2019 data cut </w:t>
            </w:r>
          </w:p>
        </w:tc>
        <w:tc>
          <w:tcPr>
            <w:tcW w:w="1595" w:type="pct"/>
            <w:gridSpan w:val="3"/>
            <w:tcBorders>
              <w:bottom w:val="nil"/>
            </w:tcBorders>
            <w:vAlign w:val="center"/>
          </w:tcPr>
          <w:p w:rsidR="00F21D18" w:rsidRPr="00AF20AB" w:rsidRDefault="00F21D18" w:rsidP="00F543D8">
            <w:pPr>
              <w:pStyle w:val="TableText0"/>
              <w:keepNext w:val="0"/>
              <w:widowControl w:val="0"/>
              <w:jc w:val="center"/>
              <w:rPr>
                <w:b/>
                <w:bCs w:val="0"/>
              </w:rPr>
            </w:pPr>
            <w:r w:rsidRPr="00AF20AB">
              <w:rPr>
                <w:b/>
                <w:bCs w:val="0"/>
              </w:rPr>
              <w:t>November 2019 data cut</w:t>
            </w:r>
          </w:p>
        </w:tc>
      </w:tr>
      <w:tr w:rsidR="00F21D18" w:rsidRPr="00AF20AB" w:rsidTr="00F543D8">
        <w:tc>
          <w:tcPr>
            <w:tcW w:w="1665" w:type="pct"/>
            <w:vMerge/>
            <w:vAlign w:val="center"/>
          </w:tcPr>
          <w:p w:rsidR="00F21D18" w:rsidRPr="00AF20AB" w:rsidRDefault="00F21D18" w:rsidP="00F543D8">
            <w:pPr>
              <w:pStyle w:val="TableText0"/>
              <w:keepNext w:val="0"/>
              <w:widowControl w:val="0"/>
              <w:tabs>
                <w:tab w:val="left" w:pos="164"/>
              </w:tabs>
            </w:pPr>
          </w:p>
        </w:tc>
        <w:tc>
          <w:tcPr>
            <w:tcW w:w="870" w:type="pct"/>
            <w:tcBorders>
              <w:top w:val="nil"/>
            </w:tcBorders>
            <w:vAlign w:val="center"/>
          </w:tcPr>
          <w:p w:rsidR="00F21D18" w:rsidRPr="00AF20AB" w:rsidRDefault="00F21D18" w:rsidP="00F543D8">
            <w:pPr>
              <w:pStyle w:val="TableText0"/>
              <w:keepNext w:val="0"/>
              <w:widowControl w:val="0"/>
              <w:jc w:val="center"/>
            </w:pPr>
            <w:r w:rsidRPr="00AF20AB">
              <w:rPr>
                <w:b/>
                <w:bCs w:val="0"/>
              </w:rPr>
              <w:t>n (%)</w:t>
            </w:r>
          </w:p>
        </w:tc>
        <w:tc>
          <w:tcPr>
            <w:tcW w:w="870" w:type="pct"/>
            <w:gridSpan w:val="2"/>
            <w:tcBorders>
              <w:top w:val="nil"/>
            </w:tcBorders>
            <w:vAlign w:val="center"/>
          </w:tcPr>
          <w:p w:rsidR="00F21D18" w:rsidRPr="00AF20AB" w:rsidRDefault="00F21D18" w:rsidP="00F543D8">
            <w:pPr>
              <w:pStyle w:val="TableText0"/>
              <w:keepNext w:val="0"/>
              <w:widowControl w:val="0"/>
              <w:jc w:val="center"/>
              <w:rPr>
                <w:b/>
                <w:bCs w:val="0"/>
              </w:rPr>
            </w:pPr>
            <w:r w:rsidRPr="00AF20AB">
              <w:rPr>
                <w:b/>
                <w:bCs w:val="0"/>
              </w:rPr>
              <w:t>95% CI</w:t>
            </w:r>
          </w:p>
        </w:tc>
        <w:tc>
          <w:tcPr>
            <w:tcW w:w="797" w:type="pct"/>
            <w:gridSpan w:val="2"/>
            <w:tcBorders>
              <w:top w:val="nil"/>
            </w:tcBorders>
            <w:vAlign w:val="center"/>
          </w:tcPr>
          <w:p w:rsidR="00F21D18" w:rsidRPr="00AF20AB" w:rsidRDefault="00F21D18" w:rsidP="00F543D8">
            <w:pPr>
              <w:pStyle w:val="TableText0"/>
              <w:keepNext w:val="0"/>
              <w:widowControl w:val="0"/>
              <w:jc w:val="center"/>
            </w:pPr>
            <w:r w:rsidRPr="00AF20AB">
              <w:rPr>
                <w:b/>
                <w:bCs w:val="0"/>
              </w:rPr>
              <w:t>n (%)</w:t>
            </w:r>
          </w:p>
        </w:tc>
        <w:tc>
          <w:tcPr>
            <w:tcW w:w="798" w:type="pct"/>
            <w:tcBorders>
              <w:top w:val="nil"/>
            </w:tcBorders>
            <w:vAlign w:val="center"/>
          </w:tcPr>
          <w:p w:rsidR="00F21D18" w:rsidRPr="00AF20AB" w:rsidRDefault="00F21D18" w:rsidP="00F543D8">
            <w:pPr>
              <w:pStyle w:val="TableText0"/>
              <w:keepNext w:val="0"/>
              <w:widowControl w:val="0"/>
              <w:jc w:val="center"/>
            </w:pPr>
            <w:r w:rsidRPr="00AF20AB">
              <w:rPr>
                <w:b/>
                <w:bCs w:val="0"/>
              </w:rPr>
              <w:t>95% CI</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Complete response (CR)</w:t>
            </w:r>
          </w:p>
        </w:tc>
        <w:tc>
          <w:tcPr>
            <w:tcW w:w="870" w:type="pct"/>
            <w:vAlign w:val="center"/>
          </w:tcPr>
          <w:p w:rsidR="00F21D18" w:rsidRPr="00AF20AB" w:rsidRDefault="00F21D18" w:rsidP="00F543D8">
            <w:pPr>
              <w:pStyle w:val="TableText0"/>
              <w:keepNext w:val="0"/>
              <w:widowControl w:val="0"/>
              <w:jc w:val="center"/>
            </w:pPr>
            <w:r w:rsidRPr="00AF20AB">
              <w:t xml:space="preserve">12 (9.0%) </w:t>
            </w:r>
          </w:p>
        </w:tc>
        <w:tc>
          <w:tcPr>
            <w:tcW w:w="870" w:type="pct"/>
            <w:gridSpan w:val="2"/>
            <w:vAlign w:val="center"/>
          </w:tcPr>
          <w:p w:rsidR="00F21D18" w:rsidRPr="00AF20AB" w:rsidRDefault="00F21D18" w:rsidP="00F543D8">
            <w:pPr>
              <w:pStyle w:val="TableText0"/>
              <w:keepNext w:val="0"/>
              <w:widowControl w:val="0"/>
              <w:jc w:val="center"/>
            </w:pPr>
            <w:r w:rsidRPr="00AF20AB">
              <w:t>(4.7, 15.2)</w:t>
            </w:r>
          </w:p>
        </w:tc>
        <w:tc>
          <w:tcPr>
            <w:tcW w:w="797" w:type="pct"/>
            <w:gridSpan w:val="2"/>
            <w:vAlign w:val="center"/>
          </w:tcPr>
          <w:p w:rsidR="00F21D18" w:rsidRPr="00AF20AB" w:rsidRDefault="00F21D18" w:rsidP="00F543D8">
            <w:pPr>
              <w:pStyle w:val="TableText0"/>
              <w:keepNext w:val="0"/>
              <w:widowControl w:val="0"/>
              <w:jc w:val="center"/>
            </w:pPr>
            <w:r w:rsidRPr="00AF20AB">
              <w:t xml:space="preserve">28 (21.1%) </w:t>
            </w:r>
          </w:p>
        </w:tc>
        <w:tc>
          <w:tcPr>
            <w:tcW w:w="798" w:type="pct"/>
            <w:vAlign w:val="center"/>
          </w:tcPr>
          <w:p w:rsidR="00F21D18" w:rsidRPr="00AF20AB" w:rsidRDefault="00F21D18" w:rsidP="00F543D8">
            <w:pPr>
              <w:pStyle w:val="TableText0"/>
              <w:keepNext w:val="0"/>
              <w:widowControl w:val="0"/>
              <w:jc w:val="center"/>
            </w:pPr>
            <w:r w:rsidRPr="00AF20AB">
              <w:t>(14.5, 29.0)</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Partial response (PR)</w:t>
            </w:r>
          </w:p>
        </w:tc>
        <w:tc>
          <w:tcPr>
            <w:tcW w:w="870" w:type="pct"/>
            <w:vAlign w:val="center"/>
          </w:tcPr>
          <w:p w:rsidR="00F21D18" w:rsidRPr="00AF20AB" w:rsidRDefault="00F21D18" w:rsidP="00F543D8">
            <w:pPr>
              <w:pStyle w:val="TableText0"/>
              <w:keepNext w:val="0"/>
              <w:widowControl w:val="0"/>
              <w:jc w:val="center"/>
            </w:pPr>
            <w:r w:rsidRPr="00AF20AB">
              <w:t xml:space="preserve">0 </w:t>
            </w:r>
          </w:p>
        </w:tc>
        <w:tc>
          <w:tcPr>
            <w:tcW w:w="870" w:type="pct"/>
            <w:gridSpan w:val="2"/>
            <w:vAlign w:val="center"/>
          </w:tcPr>
          <w:p w:rsidR="00F21D18" w:rsidRPr="00AF20AB" w:rsidRDefault="00F21D18" w:rsidP="00F543D8">
            <w:pPr>
              <w:pStyle w:val="TableText0"/>
              <w:keepNext w:val="0"/>
              <w:widowControl w:val="0"/>
              <w:jc w:val="center"/>
            </w:pPr>
            <w:r w:rsidRPr="00AF20AB">
              <w:t>-</w:t>
            </w:r>
          </w:p>
        </w:tc>
        <w:tc>
          <w:tcPr>
            <w:tcW w:w="797" w:type="pct"/>
            <w:gridSpan w:val="2"/>
            <w:vAlign w:val="center"/>
          </w:tcPr>
          <w:p w:rsidR="00F21D18" w:rsidRPr="00AF20AB" w:rsidRDefault="00F21D18" w:rsidP="00F543D8">
            <w:pPr>
              <w:pStyle w:val="TableText0"/>
              <w:keepNext w:val="0"/>
              <w:widowControl w:val="0"/>
              <w:jc w:val="center"/>
            </w:pPr>
            <w:r w:rsidRPr="00AF20AB">
              <w:t xml:space="preserve">0 </w:t>
            </w:r>
          </w:p>
        </w:tc>
        <w:tc>
          <w:tcPr>
            <w:tcW w:w="798" w:type="pct"/>
            <w:vAlign w:val="center"/>
          </w:tcPr>
          <w:p w:rsidR="00F21D18" w:rsidRPr="00AF20AB" w:rsidRDefault="00F21D18" w:rsidP="00F543D8">
            <w:pPr>
              <w:pStyle w:val="TableText0"/>
              <w:keepNext w:val="0"/>
              <w:widowControl w:val="0"/>
              <w:jc w:val="center"/>
            </w:pPr>
            <w:r w:rsidRPr="00AF20AB">
              <w:t>-</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Marrow CR (mCR)</w:t>
            </w:r>
          </w:p>
        </w:tc>
        <w:tc>
          <w:tcPr>
            <w:tcW w:w="870" w:type="pct"/>
            <w:vAlign w:val="center"/>
          </w:tcPr>
          <w:p w:rsidR="00F21D18" w:rsidRPr="00AF20AB" w:rsidRDefault="00F21D18" w:rsidP="00F543D8">
            <w:pPr>
              <w:pStyle w:val="TableText0"/>
              <w:keepNext w:val="0"/>
              <w:widowControl w:val="0"/>
              <w:jc w:val="center"/>
            </w:pPr>
            <w:r w:rsidRPr="00AF20AB">
              <w:t xml:space="preserve">46 (34.6%) </w:t>
            </w:r>
          </w:p>
        </w:tc>
        <w:tc>
          <w:tcPr>
            <w:tcW w:w="870" w:type="pct"/>
            <w:gridSpan w:val="2"/>
            <w:vAlign w:val="center"/>
          </w:tcPr>
          <w:p w:rsidR="00F21D18" w:rsidRPr="00AF20AB" w:rsidRDefault="00F21D18" w:rsidP="00F543D8">
            <w:pPr>
              <w:pStyle w:val="TableText0"/>
              <w:keepNext w:val="0"/>
              <w:widowControl w:val="0"/>
              <w:jc w:val="center"/>
            </w:pPr>
            <w:r w:rsidRPr="00AF20AB">
              <w:t>(26.6, 43.3)</w:t>
            </w:r>
          </w:p>
        </w:tc>
        <w:tc>
          <w:tcPr>
            <w:tcW w:w="797" w:type="pct"/>
            <w:gridSpan w:val="2"/>
          </w:tcPr>
          <w:p w:rsidR="00F21D18" w:rsidRPr="00AF20AB" w:rsidRDefault="00F21D18" w:rsidP="00F543D8">
            <w:pPr>
              <w:pStyle w:val="TableText0"/>
              <w:keepNext w:val="0"/>
              <w:widowControl w:val="0"/>
              <w:jc w:val="center"/>
            </w:pPr>
            <w:r w:rsidRPr="00AF20AB">
              <w:t xml:space="preserve">43 (32.3%) </w:t>
            </w:r>
          </w:p>
        </w:tc>
        <w:tc>
          <w:tcPr>
            <w:tcW w:w="798" w:type="pct"/>
          </w:tcPr>
          <w:p w:rsidR="00F21D18" w:rsidRPr="00AF20AB" w:rsidRDefault="00F21D18" w:rsidP="00F543D8">
            <w:pPr>
              <w:pStyle w:val="TableText0"/>
              <w:keepNext w:val="0"/>
              <w:widowControl w:val="0"/>
              <w:jc w:val="center"/>
            </w:pPr>
            <w:r w:rsidRPr="00AF20AB">
              <w:t>(24.5, 41.0)</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mCR with HI</w:t>
            </w:r>
          </w:p>
        </w:tc>
        <w:tc>
          <w:tcPr>
            <w:tcW w:w="870" w:type="pct"/>
            <w:vAlign w:val="center"/>
          </w:tcPr>
          <w:p w:rsidR="00F21D18" w:rsidRPr="00AF20AB" w:rsidRDefault="00F21D18" w:rsidP="00F543D8">
            <w:pPr>
              <w:pStyle w:val="TableText0"/>
              <w:keepNext w:val="0"/>
              <w:widowControl w:val="0"/>
              <w:jc w:val="center"/>
            </w:pPr>
            <w:r w:rsidRPr="00AF20AB">
              <w:t xml:space="preserve">14 (10.5%) </w:t>
            </w:r>
          </w:p>
        </w:tc>
        <w:tc>
          <w:tcPr>
            <w:tcW w:w="870" w:type="pct"/>
            <w:gridSpan w:val="2"/>
            <w:vAlign w:val="center"/>
          </w:tcPr>
          <w:p w:rsidR="00F21D18" w:rsidRPr="00AF20AB" w:rsidRDefault="00F21D18" w:rsidP="00F543D8">
            <w:pPr>
              <w:pStyle w:val="TableText0"/>
              <w:keepNext w:val="0"/>
              <w:widowControl w:val="0"/>
              <w:jc w:val="center"/>
            </w:pPr>
            <w:r w:rsidRPr="00AF20AB">
              <w:t>(5.9, 17.0)</w:t>
            </w:r>
          </w:p>
        </w:tc>
        <w:tc>
          <w:tcPr>
            <w:tcW w:w="797" w:type="pct"/>
            <w:gridSpan w:val="2"/>
          </w:tcPr>
          <w:p w:rsidR="00F21D18" w:rsidRPr="00AF20AB" w:rsidRDefault="00F21D18" w:rsidP="00F543D8">
            <w:pPr>
              <w:pStyle w:val="TableText0"/>
              <w:keepNext w:val="0"/>
              <w:widowControl w:val="0"/>
              <w:jc w:val="center"/>
            </w:pPr>
            <w:r w:rsidRPr="00AF20AB">
              <w:t xml:space="preserve">20 (15.0%) </w:t>
            </w:r>
          </w:p>
        </w:tc>
        <w:tc>
          <w:tcPr>
            <w:tcW w:w="798" w:type="pct"/>
          </w:tcPr>
          <w:p w:rsidR="00F21D18" w:rsidRPr="00AF20AB" w:rsidRDefault="00F21D18" w:rsidP="00F543D8">
            <w:pPr>
              <w:pStyle w:val="TableText0"/>
              <w:keepNext w:val="0"/>
              <w:widowControl w:val="0"/>
              <w:jc w:val="center"/>
            </w:pPr>
            <w:r w:rsidRPr="00AF20AB">
              <w:t>(9.4, 22.3)</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Haematological improvement (HI)</w:t>
            </w:r>
          </w:p>
        </w:tc>
        <w:tc>
          <w:tcPr>
            <w:tcW w:w="870" w:type="pct"/>
            <w:vAlign w:val="center"/>
          </w:tcPr>
          <w:p w:rsidR="00F21D18" w:rsidRPr="00AF20AB" w:rsidRDefault="00F21D18" w:rsidP="00F543D8">
            <w:pPr>
              <w:pStyle w:val="TableText0"/>
              <w:keepNext w:val="0"/>
              <w:widowControl w:val="0"/>
              <w:jc w:val="center"/>
            </w:pPr>
            <w:r w:rsidRPr="00AF20AB">
              <w:t xml:space="preserve">7 (5.3%) </w:t>
            </w:r>
          </w:p>
        </w:tc>
        <w:tc>
          <w:tcPr>
            <w:tcW w:w="870" w:type="pct"/>
            <w:gridSpan w:val="2"/>
            <w:vAlign w:val="center"/>
          </w:tcPr>
          <w:p w:rsidR="00F21D18" w:rsidRPr="00AF20AB" w:rsidRDefault="00F21D18" w:rsidP="00F543D8">
            <w:pPr>
              <w:pStyle w:val="TableText0"/>
              <w:keepNext w:val="0"/>
              <w:widowControl w:val="0"/>
              <w:jc w:val="center"/>
            </w:pPr>
            <w:r w:rsidRPr="00AF20AB">
              <w:t>(2.1, 10.5)</w:t>
            </w:r>
          </w:p>
        </w:tc>
        <w:tc>
          <w:tcPr>
            <w:tcW w:w="797" w:type="pct"/>
            <w:gridSpan w:val="2"/>
          </w:tcPr>
          <w:p w:rsidR="00F21D18" w:rsidRPr="00AF20AB" w:rsidRDefault="00F21D18" w:rsidP="00F543D8">
            <w:pPr>
              <w:pStyle w:val="TableText0"/>
              <w:keepNext w:val="0"/>
              <w:widowControl w:val="0"/>
              <w:jc w:val="center"/>
            </w:pPr>
            <w:r w:rsidRPr="00AF20AB">
              <w:t xml:space="preserve">10 (7.5%) </w:t>
            </w:r>
          </w:p>
        </w:tc>
        <w:tc>
          <w:tcPr>
            <w:tcW w:w="798" w:type="pct"/>
          </w:tcPr>
          <w:p w:rsidR="00F21D18" w:rsidRPr="00AF20AB" w:rsidRDefault="00F21D18" w:rsidP="00F543D8">
            <w:pPr>
              <w:pStyle w:val="TableText0"/>
              <w:keepNext w:val="0"/>
              <w:widowControl w:val="0"/>
              <w:jc w:val="center"/>
            </w:pPr>
            <w:r w:rsidRPr="00AF20AB">
              <w:t>(3.7, 13.4)</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Overall response (CR+PR+mCR+HI)</w:t>
            </w:r>
          </w:p>
        </w:tc>
        <w:tc>
          <w:tcPr>
            <w:tcW w:w="870" w:type="pct"/>
            <w:vAlign w:val="center"/>
          </w:tcPr>
          <w:p w:rsidR="00F21D18" w:rsidRPr="00AF20AB" w:rsidRDefault="00F21D18" w:rsidP="00F543D8">
            <w:pPr>
              <w:pStyle w:val="TableText0"/>
              <w:keepNext w:val="0"/>
              <w:widowControl w:val="0"/>
              <w:jc w:val="center"/>
            </w:pPr>
            <w:r w:rsidRPr="00AF20AB">
              <w:t xml:space="preserve">65 (48.9%) </w:t>
            </w:r>
          </w:p>
        </w:tc>
        <w:tc>
          <w:tcPr>
            <w:tcW w:w="870" w:type="pct"/>
            <w:gridSpan w:val="2"/>
            <w:vAlign w:val="center"/>
          </w:tcPr>
          <w:p w:rsidR="00F21D18" w:rsidRPr="00AF20AB" w:rsidRDefault="00F21D18" w:rsidP="00F543D8">
            <w:pPr>
              <w:pStyle w:val="TableText0"/>
              <w:keepNext w:val="0"/>
              <w:widowControl w:val="0"/>
              <w:jc w:val="center"/>
            </w:pPr>
            <w:r w:rsidRPr="00AF20AB">
              <w:t>(40.1, 57.7)</w:t>
            </w:r>
          </w:p>
        </w:tc>
        <w:tc>
          <w:tcPr>
            <w:tcW w:w="797" w:type="pct"/>
            <w:gridSpan w:val="2"/>
          </w:tcPr>
          <w:p w:rsidR="00F21D18" w:rsidRPr="00AF20AB" w:rsidRDefault="00F21D18" w:rsidP="00F543D8">
            <w:pPr>
              <w:pStyle w:val="TableText0"/>
              <w:keepNext w:val="0"/>
              <w:widowControl w:val="0"/>
              <w:jc w:val="center"/>
            </w:pPr>
            <w:r w:rsidRPr="00AF20AB">
              <w:t xml:space="preserve">81 (60.9%) </w:t>
            </w:r>
          </w:p>
        </w:tc>
        <w:tc>
          <w:tcPr>
            <w:tcW w:w="798" w:type="pct"/>
          </w:tcPr>
          <w:p w:rsidR="00F21D18" w:rsidRPr="00AF20AB" w:rsidRDefault="00F21D18" w:rsidP="00F543D8">
            <w:pPr>
              <w:pStyle w:val="TableText0"/>
              <w:keepNext w:val="0"/>
              <w:widowControl w:val="0"/>
              <w:jc w:val="center"/>
            </w:pPr>
            <w:r w:rsidRPr="00AF20AB">
              <w:t>(52.1, 69.2)</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Stable disease</w:t>
            </w:r>
          </w:p>
        </w:tc>
        <w:tc>
          <w:tcPr>
            <w:tcW w:w="870" w:type="pct"/>
          </w:tcPr>
          <w:p w:rsidR="00F21D18" w:rsidRPr="00AF20AB" w:rsidRDefault="00F21D18" w:rsidP="00F543D8">
            <w:pPr>
              <w:pStyle w:val="TableText0"/>
              <w:keepNext w:val="0"/>
              <w:widowControl w:val="0"/>
              <w:jc w:val="center"/>
            </w:pPr>
            <w:r w:rsidRPr="00AF20AB">
              <w:t xml:space="preserve">28 (21.1%) </w:t>
            </w:r>
          </w:p>
        </w:tc>
        <w:tc>
          <w:tcPr>
            <w:tcW w:w="870" w:type="pct"/>
            <w:gridSpan w:val="2"/>
          </w:tcPr>
          <w:p w:rsidR="00F21D18" w:rsidRPr="00AF20AB" w:rsidRDefault="00F21D18" w:rsidP="00F543D8">
            <w:pPr>
              <w:pStyle w:val="TableText0"/>
              <w:keepNext w:val="0"/>
              <w:widowControl w:val="0"/>
              <w:jc w:val="center"/>
            </w:pPr>
            <w:r w:rsidRPr="00AF20AB">
              <w:t>(14.5, 29.0)</w:t>
            </w:r>
          </w:p>
        </w:tc>
        <w:tc>
          <w:tcPr>
            <w:tcW w:w="797" w:type="pct"/>
            <w:gridSpan w:val="2"/>
          </w:tcPr>
          <w:p w:rsidR="00F21D18" w:rsidRPr="00AF20AB" w:rsidRDefault="00F21D18" w:rsidP="00F543D8">
            <w:pPr>
              <w:pStyle w:val="TableText0"/>
              <w:keepNext w:val="0"/>
              <w:widowControl w:val="0"/>
              <w:jc w:val="center"/>
            </w:pPr>
            <w:r w:rsidRPr="00AF20AB">
              <w:t>0</w:t>
            </w:r>
          </w:p>
        </w:tc>
        <w:tc>
          <w:tcPr>
            <w:tcW w:w="798" w:type="pct"/>
          </w:tcPr>
          <w:p w:rsidR="00F21D18" w:rsidRPr="00AF20AB" w:rsidRDefault="00F21D18" w:rsidP="00F543D8">
            <w:pPr>
              <w:pStyle w:val="TableText0"/>
              <w:keepNext w:val="0"/>
              <w:widowControl w:val="0"/>
              <w:jc w:val="center"/>
            </w:pPr>
            <w:r w:rsidRPr="00AF20AB">
              <w:t>-</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Progressive disease</w:t>
            </w:r>
          </w:p>
        </w:tc>
        <w:tc>
          <w:tcPr>
            <w:tcW w:w="870" w:type="pct"/>
          </w:tcPr>
          <w:p w:rsidR="00F21D18" w:rsidRPr="00AF20AB" w:rsidRDefault="00F21D18" w:rsidP="00F543D8">
            <w:pPr>
              <w:pStyle w:val="TableText0"/>
              <w:keepNext w:val="0"/>
              <w:widowControl w:val="0"/>
              <w:jc w:val="center"/>
            </w:pPr>
            <w:r w:rsidRPr="00AF20AB">
              <w:t xml:space="preserve">8 (6.0%) </w:t>
            </w:r>
          </w:p>
        </w:tc>
        <w:tc>
          <w:tcPr>
            <w:tcW w:w="870" w:type="pct"/>
            <w:gridSpan w:val="2"/>
          </w:tcPr>
          <w:p w:rsidR="00F21D18" w:rsidRPr="00AF20AB" w:rsidRDefault="00F21D18" w:rsidP="00F543D8">
            <w:pPr>
              <w:pStyle w:val="TableText0"/>
              <w:keepNext w:val="0"/>
              <w:widowControl w:val="0"/>
              <w:jc w:val="center"/>
            </w:pPr>
            <w:r w:rsidRPr="00AF20AB">
              <w:t>(2.6, 11.5)</w:t>
            </w:r>
          </w:p>
        </w:tc>
        <w:tc>
          <w:tcPr>
            <w:tcW w:w="797" w:type="pct"/>
            <w:gridSpan w:val="2"/>
          </w:tcPr>
          <w:p w:rsidR="00F21D18" w:rsidRPr="00AF20AB" w:rsidRDefault="00F21D18" w:rsidP="00F543D8">
            <w:pPr>
              <w:pStyle w:val="TableText0"/>
              <w:keepNext w:val="0"/>
              <w:widowControl w:val="0"/>
              <w:jc w:val="center"/>
            </w:pPr>
            <w:r w:rsidRPr="00AF20AB">
              <w:t xml:space="preserve">6 (4.5%) </w:t>
            </w:r>
          </w:p>
        </w:tc>
        <w:tc>
          <w:tcPr>
            <w:tcW w:w="798" w:type="pct"/>
          </w:tcPr>
          <w:p w:rsidR="00F21D18" w:rsidRPr="00AF20AB" w:rsidRDefault="00F21D18" w:rsidP="00F543D8">
            <w:pPr>
              <w:pStyle w:val="TableText0"/>
              <w:keepNext w:val="0"/>
              <w:widowControl w:val="0"/>
              <w:jc w:val="center"/>
            </w:pPr>
            <w:r w:rsidRPr="00AF20AB">
              <w:t>(1.7, 9.6)</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Not evaluable</w:t>
            </w:r>
          </w:p>
        </w:tc>
        <w:tc>
          <w:tcPr>
            <w:tcW w:w="870" w:type="pct"/>
          </w:tcPr>
          <w:p w:rsidR="00F21D18" w:rsidRPr="00AF20AB" w:rsidRDefault="00F21D18" w:rsidP="00F543D8">
            <w:pPr>
              <w:pStyle w:val="TableText0"/>
              <w:keepNext w:val="0"/>
              <w:widowControl w:val="0"/>
              <w:jc w:val="center"/>
            </w:pPr>
            <w:r w:rsidRPr="00AF20AB">
              <w:t xml:space="preserve">32 (24.1%) </w:t>
            </w:r>
          </w:p>
        </w:tc>
        <w:tc>
          <w:tcPr>
            <w:tcW w:w="870" w:type="pct"/>
            <w:gridSpan w:val="2"/>
          </w:tcPr>
          <w:p w:rsidR="00F21D18" w:rsidRPr="00AF20AB" w:rsidRDefault="00F21D18" w:rsidP="00F543D8">
            <w:pPr>
              <w:pStyle w:val="TableText0"/>
              <w:keepNext w:val="0"/>
              <w:widowControl w:val="0"/>
              <w:jc w:val="center"/>
            </w:pPr>
            <w:r w:rsidRPr="00AF20AB">
              <w:t>(17.1, 32.2)</w:t>
            </w:r>
          </w:p>
        </w:tc>
        <w:tc>
          <w:tcPr>
            <w:tcW w:w="797" w:type="pct"/>
            <w:gridSpan w:val="2"/>
          </w:tcPr>
          <w:p w:rsidR="00F21D18" w:rsidRPr="00AF20AB" w:rsidRDefault="00F21D18" w:rsidP="00F543D8">
            <w:pPr>
              <w:pStyle w:val="TableText0"/>
              <w:keepNext w:val="0"/>
              <w:widowControl w:val="0"/>
              <w:jc w:val="center"/>
            </w:pPr>
            <w:r w:rsidRPr="00AF20AB">
              <w:t xml:space="preserve">17 (12.8%) </w:t>
            </w:r>
          </w:p>
        </w:tc>
        <w:tc>
          <w:tcPr>
            <w:tcW w:w="798" w:type="pct"/>
          </w:tcPr>
          <w:p w:rsidR="00F21D18" w:rsidRPr="00AF20AB" w:rsidRDefault="00F21D18" w:rsidP="00F543D8">
            <w:pPr>
              <w:pStyle w:val="TableText0"/>
              <w:keepNext w:val="0"/>
              <w:widowControl w:val="0"/>
              <w:jc w:val="center"/>
            </w:pPr>
            <w:r w:rsidRPr="00AF20AB">
              <w:t>(7.6, 19.7)</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p>
        </w:tc>
        <w:tc>
          <w:tcPr>
            <w:tcW w:w="1740" w:type="pct"/>
            <w:gridSpan w:val="3"/>
          </w:tcPr>
          <w:p w:rsidR="00F21D18" w:rsidRPr="00AF20AB" w:rsidRDefault="00F21D18" w:rsidP="00F543D8">
            <w:pPr>
              <w:pStyle w:val="TableText0"/>
              <w:keepNext w:val="0"/>
              <w:widowControl w:val="0"/>
              <w:jc w:val="center"/>
            </w:pPr>
            <w:r w:rsidRPr="00AF20AB">
              <w:rPr>
                <w:b/>
                <w:bCs w:val="0"/>
              </w:rPr>
              <w:t>Median days (95% CI)</w:t>
            </w:r>
          </w:p>
        </w:tc>
        <w:tc>
          <w:tcPr>
            <w:tcW w:w="1595" w:type="pct"/>
            <w:gridSpan w:val="3"/>
            <w:vMerge w:val="restart"/>
            <w:vAlign w:val="center"/>
          </w:tcPr>
          <w:p w:rsidR="00F21D18" w:rsidRPr="00AF20AB" w:rsidRDefault="00F21D18" w:rsidP="00F543D8">
            <w:pPr>
              <w:pStyle w:val="TableText0"/>
              <w:keepNext w:val="0"/>
              <w:widowControl w:val="0"/>
              <w:jc w:val="center"/>
            </w:pPr>
            <w:r w:rsidRPr="00AF20AB">
              <w:t>NR</w:t>
            </w: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OS</w:t>
            </w:r>
          </w:p>
        </w:tc>
        <w:tc>
          <w:tcPr>
            <w:tcW w:w="1740" w:type="pct"/>
            <w:gridSpan w:val="3"/>
          </w:tcPr>
          <w:p w:rsidR="00F21D18" w:rsidRPr="00AF20AB" w:rsidRDefault="00F21D18" w:rsidP="00F543D8">
            <w:pPr>
              <w:pStyle w:val="TableText0"/>
              <w:keepNext w:val="0"/>
              <w:widowControl w:val="0"/>
              <w:jc w:val="center"/>
            </w:pPr>
            <w:r w:rsidRPr="00AF20AB">
              <w:t>NE (500, NE)</w:t>
            </w:r>
          </w:p>
        </w:tc>
        <w:tc>
          <w:tcPr>
            <w:tcW w:w="1595" w:type="pct"/>
            <w:gridSpan w:val="3"/>
            <w:vMerge/>
          </w:tcPr>
          <w:p w:rsidR="00F21D18" w:rsidRPr="00AF20AB" w:rsidRDefault="00F21D18" w:rsidP="00F543D8">
            <w:pPr>
              <w:pStyle w:val="TableText0"/>
              <w:keepNext w:val="0"/>
              <w:widowControl w:val="0"/>
              <w:jc w:val="center"/>
            </w:pPr>
          </w:p>
        </w:tc>
      </w:tr>
      <w:tr w:rsidR="00F21D18" w:rsidRPr="00AF20AB" w:rsidTr="00F543D8">
        <w:tc>
          <w:tcPr>
            <w:tcW w:w="1665" w:type="pct"/>
            <w:vAlign w:val="center"/>
          </w:tcPr>
          <w:p w:rsidR="00F21D18" w:rsidRPr="00AF20AB" w:rsidRDefault="00F21D18" w:rsidP="00F543D8">
            <w:pPr>
              <w:pStyle w:val="TableText0"/>
              <w:keepNext w:val="0"/>
              <w:widowControl w:val="0"/>
              <w:tabs>
                <w:tab w:val="left" w:pos="164"/>
              </w:tabs>
            </w:pPr>
            <w:r w:rsidRPr="00AF20AB">
              <w:t>Leukaemia-free survival</w:t>
            </w:r>
          </w:p>
        </w:tc>
        <w:tc>
          <w:tcPr>
            <w:tcW w:w="1740" w:type="pct"/>
            <w:gridSpan w:val="3"/>
          </w:tcPr>
          <w:p w:rsidR="00F21D18" w:rsidRPr="00AF20AB" w:rsidRDefault="00F21D18" w:rsidP="00F543D8">
            <w:pPr>
              <w:pStyle w:val="TableText0"/>
              <w:keepNext w:val="0"/>
              <w:widowControl w:val="0"/>
              <w:jc w:val="center"/>
            </w:pPr>
            <w:r w:rsidRPr="00AF20AB">
              <w:t>NE (NE, NE)</w:t>
            </w:r>
          </w:p>
        </w:tc>
        <w:tc>
          <w:tcPr>
            <w:tcW w:w="1595" w:type="pct"/>
            <w:gridSpan w:val="3"/>
            <w:vMerge/>
          </w:tcPr>
          <w:p w:rsidR="00F21D18" w:rsidRPr="00AF20AB" w:rsidRDefault="00F21D18" w:rsidP="00F543D8">
            <w:pPr>
              <w:pStyle w:val="TableText0"/>
              <w:keepNext w:val="0"/>
              <w:widowControl w:val="0"/>
              <w:jc w:val="center"/>
            </w:pPr>
          </w:p>
        </w:tc>
      </w:tr>
    </w:tbl>
    <w:p w:rsidR="00F21D18" w:rsidRPr="00AF20AB" w:rsidRDefault="00F21D18" w:rsidP="00F21D18">
      <w:pPr>
        <w:pStyle w:val="TableFigureFooter"/>
        <w:spacing w:after="0"/>
        <w:rPr>
          <w:sz w:val="20"/>
        </w:rPr>
      </w:pPr>
      <w:r w:rsidRPr="00AF20AB">
        <w:t>Source: Table 2.27, p113; Table 2.28, p114; Table 2.29, p114-115 of the submission; Table 6, p9; Table 7, p11 of the efficacy update CSR.</w:t>
      </w:r>
    </w:p>
    <w:p w:rsidR="00F21D18" w:rsidRPr="00AF20AB" w:rsidRDefault="00F21D18" w:rsidP="00F21D18">
      <w:pPr>
        <w:pStyle w:val="3-BodyText"/>
        <w:numPr>
          <w:ilvl w:val="0"/>
          <w:numId w:val="0"/>
        </w:numPr>
        <w:rPr>
          <w:rFonts w:ascii="Arial Narrow" w:hAnsi="Arial Narrow"/>
          <w:sz w:val="18"/>
          <w:szCs w:val="18"/>
        </w:rPr>
      </w:pPr>
      <w:r w:rsidRPr="00AF20AB">
        <w:rPr>
          <w:rFonts w:ascii="Arial Narrow" w:eastAsia="Calibri" w:hAnsi="Arial Narrow"/>
          <w:sz w:val="18"/>
          <w:szCs w:val="18"/>
        </w:rPr>
        <w:t>CI=confidence interval; IV=intravenous; LSM=least square means; NE=not evaluable; NR=not reported; OS=overall survival</w:t>
      </w:r>
    </w:p>
    <w:p w:rsidR="00BB44D3" w:rsidRPr="00AF20AB" w:rsidRDefault="00BE0106" w:rsidP="00EC5836">
      <w:pPr>
        <w:pStyle w:val="3-BodyText"/>
      </w:pPr>
      <w:r w:rsidRPr="00AF20AB">
        <w:t>In t</w:t>
      </w:r>
      <w:r w:rsidR="00644ACE" w:rsidRPr="00AF20AB">
        <w:t>he</w:t>
      </w:r>
      <w:r w:rsidR="0076219D" w:rsidRPr="00AF20AB">
        <w:t xml:space="preserve"> ASCERTAIN</w:t>
      </w:r>
      <w:r w:rsidR="00644ACE" w:rsidRPr="00AF20AB">
        <w:t xml:space="preserve"> trial decitabine+cedazuridine showed </w:t>
      </w:r>
      <w:r w:rsidR="00553B25" w:rsidRPr="00AF20AB">
        <w:t xml:space="preserve">bioavailability </w:t>
      </w:r>
      <w:r w:rsidR="00644ACE" w:rsidRPr="00AF20AB">
        <w:t>equivalent to IV decitabine</w:t>
      </w:r>
      <w:r w:rsidR="00AF20AB">
        <w:t xml:space="preserve">. </w:t>
      </w:r>
      <w:r w:rsidR="00644ACE" w:rsidRPr="00AF20AB">
        <w:t>The 5-day AUC</w:t>
      </w:r>
      <w:r w:rsidR="00644ACE" w:rsidRPr="00AF20AB">
        <w:rPr>
          <w:vertAlign w:val="subscript"/>
        </w:rPr>
        <w:t>0-24</w:t>
      </w:r>
      <w:r w:rsidR="00644ACE" w:rsidRPr="00AF20AB">
        <w:t xml:space="preserve"> ratio (oral/IV) of geometric least square means (LSM) was 98.93% (90% CI: 92.66, 105.6), and the 90% CI was within the pre-specified range of 80% to 125%. Pharmacodynamic results (%line-1 demethylation</w:t>
      </w:r>
      <w:r w:rsidR="0076219D" w:rsidRPr="00AF20AB">
        <w:t>)</w:t>
      </w:r>
      <w:r w:rsidR="00644ACE" w:rsidRPr="00AF20AB">
        <w:t xml:space="preserve"> showed similar effects for decitabine+cedazuridine and IV decitabine, with </w:t>
      </w:r>
      <w:r w:rsidR="00907A02" w:rsidRPr="00AF20AB">
        <w:t xml:space="preserve">non-significant </w:t>
      </w:r>
      <w:r w:rsidR="00644ACE" w:rsidRPr="00AF20AB">
        <w:t>differences in both Cycle 1 and Cycle 2.</w:t>
      </w:r>
      <w:r w:rsidR="008722C8" w:rsidRPr="00AF20AB">
        <w:t xml:space="preserve"> The TGA Delegate’s Overview</w:t>
      </w:r>
      <w:r w:rsidR="00F54D99" w:rsidRPr="00AF20AB">
        <w:t xml:space="preserve"> (p14)</w:t>
      </w:r>
      <w:r w:rsidR="008722C8" w:rsidRPr="00AF20AB">
        <w:t xml:space="preserve"> </w:t>
      </w:r>
      <w:r w:rsidR="007819A9" w:rsidRPr="00AF20AB">
        <w:t>states</w:t>
      </w:r>
      <w:r w:rsidR="00F54D99" w:rsidRPr="00AF20AB">
        <w:t xml:space="preserve"> that</w:t>
      </w:r>
      <w:r w:rsidR="008722C8" w:rsidRPr="00AF20AB">
        <w:t xml:space="preserve"> the </w:t>
      </w:r>
      <w:r w:rsidR="00256E9D" w:rsidRPr="00AF20AB">
        <w:t xml:space="preserve">pharmacodynamic </w:t>
      </w:r>
      <w:r w:rsidR="008722C8" w:rsidRPr="00AF20AB">
        <w:t>data suggests that the demethylation effect (on LINE-1) is equivalent between the two dosage forms, and exposure to decitabine is bioequivalent.</w:t>
      </w:r>
    </w:p>
    <w:p w:rsidR="00644ACE" w:rsidRPr="00AF20AB" w:rsidRDefault="00644ACE" w:rsidP="008722C8">
      <w:pPr>
        <w:pStyle w:val="3-BodyText"/>
      </w:pPr>
      <w:r w:rsidRPr="00AF20AB">
        <w:t>Complete response was higher at the November 2019 data cut (21.1%) than the March 2019 data cut (9.0%)</w:t>
      </w:r>
      <w:r w:rsidR="00AF20AB">
        <w:t xml:space="preserve">. </w:t>
      </w:r>
      <w:r w:rsidRPr="00AF20AB">
        <w:t>Overall response was 60.9% at the November 2019 data cut and 48.9% at the earlier March 2019 data cut</w:t>
      </w:r>
      <w:r w:rsidR="00AF20AB">
        <w:t xml:space="preserve">. </w:t>
      </w:r>
      <w:r w:rsidRPr="00AF20AB">
        <w:t xml:space="preserve">The CSR noted (p96) that the results suggest a clinical profile for decitabine+cedazuridine consistent with the established clinical profile of IV decitabine from published data. </w:t>
      </w:r>
      <w:r w:rsidR="00176B0B" w:rsidRPr="00AF20AB">
        <w:t>Neither median OS nor</w:t>
      </w:r>
      <w:r w:rsidRPr="00AF20AB">
        <w:t xml:space="preserve"> median leukaemia-free survival was reached.</w:t>
      </w:r>
      <w:r w:rsidR="008722C8" w:rsidRPr="00AF20AB">
        <w:t xml:space="preserve"> </w:t>
      </w:r>
    </w:p>
    <w:p w:rsidR="003C007E" w:rsidRPr="00AF20AB" w:rsidRDefault="003C007E" w:rsidP="00EC5836">
      <w:pPr>
        <w:pStyle w:val="3-BodyText"/>
      </w:pPr>
      <w:r w:rsidRPr="00AF20AB">
        <w:t>The ASTX727-01-B trial was a similar design to ASCERTAIN, with two initial cross-over cycles, although in this trial there was a dose confirmation stage when patients were administered decitabine and cedazuridine in separate capsules, and  a fixed dose combination (FDC) stage, where the two drugs were administered in a combined tablet.</w:t>
      </w:r>
    </w:p>
    <w:p w:rsidR="00644ACE" w:rsidRPr="00AF20AB" w:rsidRDefault="00CC6D41" w:rsidP="00EC5836">
      <w:pPr>
        <w:pStyle w:val="3-BodyText"/>
      </w:pPr>
      <w:r w:rsidRPr="00AF20AB">
        <w:t>T</w:t>
      </w:r>
      <w:r w:rsidR="003C007E" w:rsidRPr="00AF20AB">
        <w:t>he pharmacokinetic results</w:t>
      </w:r>
      <w:r w:rsidR="00400182" w:rsidRPr="00AF20AB">
        <w:t xml:space="preserve"> from ASTX727-01-</w:t>
      </w:r>
      <w:r w:rsidRPr="00AF20AB">
        <w:t>B</w:t>
      </w:r>
      <w:r w:rsidR="003C007E" w:rsidRPr="00AF20AB">
        <w:t xml:space="preserve"> showed equivalent </w:t>
      </w:r>
      <w:r w:rsidR="00256E9D" w:rsidRPr="00AF20AB">
        <w:t xml:space="preserve">bioavailability </w:t>
      </w:r>
      <w:r w:rsidR="003C007E" w:rsidRPr="00AF20AB">
        <w:t>for decitabine+cedazuridine and I</w:t>
      </w:r>
      <w:r w:rsidR="009C44D4" w:rsidRPr="00AF20AB">
        <w:t>V</w:t>
      </w:r>
      <w:r w:rsidR="003C007E" w:rsidRPr="00AF20AB">
        <w:t xml:space="preserve"> decitabine in the dose confirmation and FDC stages of the trial</w:t>
      </w:r>
      <w:r w:rsidR="00AF20AB">
        <w:t xml:space="preserve">. </w:t>
      </w:r>
      <w:r w:rsidR="003C007E" w:rsidRPr="00AF20AB">
        <w:t xml:space="preserve">The difference in maximum %line-1 demethylation was </w:t>
      </w:r>
      <w:r w:rsidR="009713CB" w:rsidRPr="00AF20AB">
        <w:t>small</w:t>
      </w:r>
      <w:r w:rsidR="003C007E" w:rsidRPr="00AF20AB">
        <w:t xml:space="preserve"> in the dose confirmation</w:t>
      </w:r>
      <w:r w:rsidR="009713CB" w:rsidRPr="00AF20AB">
        <w:t xml:space="preserve"> and FDC</w:t>
      </w:r>
      <w:r w:rsidR="003C007E" w:rsidRPr="00AF20AB">
        <w:t xml:space="preserve"> stage</w:t>
      </w:r>
      <w:r w:rsidR="009713CB" w:rsidRPr="00AF20AB">
        <w:t>s</w:t>
      </w:r>
      <w:r w:rsidR="003C007E" w:rsidRPr="00AF20AB">
        <w:t xml:space="preserve">. The TGA Delegate’s </w:t>
      </w:r>
      <w:r w:rsidR="003B4B44" w:rsidRPr="00AF20AB">
        <w:t>Overview</w:t>
      </w:r>
      <w:r w:rsidRPr="00AF20AB">
        <w:t xml:space="preserve"> (p9)</w:t>
      </w:r>
      <w:r w:rsidR="003B4B44" w:rsidRPr="00AF20AB">
        <w:t xml:space="preserve"> </w:t>
      </w:r>
      <w:r w:rsidR="003C007E" w:rsidRPr="00AF20AB">
        <w:t>noted these results indicated a similar target effect of the oral and IV products.</w:t>
      </w:r>
      <w:r w:rsidR="00400182" w:rsidRPr="00AF20AB">
        <w:t xml:space="preserve"> The TGA Delegate’s </w:t>
      </w:r>
      <w:r w:rsidR="00511120" w:rsidRPr="00AF20AB">
        <w:t>O</w:t>
      </w:r>
      <w:r w:rsidR="003C007E" w:rsidRPr="00AF20AB">
        <w:t>verview also indicated that this trial was the same design as ASCERTAIN but had</w:t>
      </w:r>
      <w:r w:rsidR="009C44D4" w:rsidRPr="00AF20AB">
        <w:t xml:space="preserve"> a</w:t>
      </w:r>
      <w:r w:rsidR="003C007E" w:rsidRPr="00AF20AB">
        <w:t xml:space="preserve"> longer duration of follow-up</w:t>
      </w:r>
      <w:r w:rsidR="00AF20AB">
        <w:t xml:space="preserve">. </w:t>
      </w:r>
      <w:r w:rsidR="003C007E" w:rsidRPr="00AF20AB">
        <w:t>Median OS was 549 days (18 months), and median time to AML or death was 364 days (12 months)</w:t>
      </w:r>
      <w:r w:rsidR="00AF20AB">
        <w:t xml:space="preserve">. </w:t>
      </w:r>
      <w:r w:rsidR="00644ACE" w:rsidRPr="00AF20AB">
        <w:t xml:space="preserve"> </w:t>
      </w:r>
    </w:p>
    <w:p w:rsidR="00B60939" w:rsidRPr="00AF20AB" w:rsidRDefault="00B60939" w:rsidP="00D86231">
      <w:pPr>
        <w:pStyle w:val="4-SubsectionHeading"/>
      </w:pPr>
      <w:bookmarkStart w:id="13" w:name="_Toc22897642"/>
      <w:bookmarkStart w:id="14" w:name="_Toc62045609"/>
      <w:r w:rsidRPr="00AF20AB">
        <w:t>Comparative harms</w:t>
      </w:r>
      <w:bookmarkEnd w:id="13"/>
      <w:bookmarkEnd w:id="14"/>
    </w:p>
    <w:p w:rsidR="003C007E" w:rsidRPr="00AF20AB" w:rsidRDefault="009E1F7A" w:rsidP="00D86231">
      <w:pPr>
        <w:pStyle w:val="3-BodyText"/>
      </w:pPr>
      <w:r w:rsidRPr="00AF20AB">
        <w:t xml:space="preserve">The submission provided </w:t>
      </w:r>
      <w:r w:rsidR="00DD74CC" w:rsidRPr="00AF20AB">
        <w:t xml:space="preserve">tabulated </w:t>
      </w:r>
      <w:r w:rsidRPr="00AF20AB">
        <w:t xml:space="preserve">safety data </w:t>
      </w:r>
      <w:r w:rsidR="00256E9D" w:rsidRPr="00AF20AB">
        <w:t xml:space="preserve">for </w:t>
      </w:r>
      <w:r w:rsidRPr="00AF20AB">
        <w:t>the occurrence of Grade 3-4 adverse events (AEs) in the four decitabine IV or azacitidine vs. BSC trials</w:t>
      </w:r>
      <w:r w:rsidR="00AF20AB">
        <w:t xml:space="preserve">. </w:t>
      </w:r>
      <w:r w:rsidRPr="00AF20AB">
        <w:t>The following table includes the most common Grade 3-4 AEs identified by the submission.</w:t>
      </w:r>
    </w:p>
    <w:p w:rsidR="00C85EC8" w:rsidRPr="00AF20AB" w:rsidRDefault="00C85EC8">
      <w:pPr>
        <w:jc w:val="left"/>
        <w:rPr>
          <w:rStyle w:val="CommentReference"/>
          <w:bCs/>
          <w:snapToGrid w:val="0"/>
          <w:szCs w:val="24"/>
        </w:rPr>
      </w:pPr>
      <w:r w:rsidRPr="00AF20AB">
        <w:rPr>
          <w:rStyle w:val="CommentReference"/>
          <w:bCs/>
          <w:szCs w:val="24"/>
        </w:rPr>
        <w:br w:type="page"/>
      </w:r>
    </w:p>
    <w:p w:rsidR="009E1F7A" w:rsidRPr="00AF20AB" w:rsidRDefault="009E1F7A" w:rsidP="009E1F7A">
      <w:pPr>
        <w:pStyle w:val="3-BodyText"/>
        <w:numPr>
          <w:ilvl w:val="0"/>
          <w:numId w:val="0"/>
        </w:numPr>
        <w:spacing w:after="0"/>
      </w:pPr>
      <w:r w:rsidRPr="00AF20AB">
        <w:rPr>
          <w:rStyle w:val="CommentReference"/>
          <w:bCs/>
          <w:szCs w:val="24"/>
        </w:rPr>
        <w:t xml:space="preserve">Table </w:t>
      </w:r>
      <w:r w:rsidR="00CF1BE4" w:rsidRPr="00AF20AB">
        <w:rPr>
          <w:rStyle w:val="CommentReference"/>
          <w:bCs/>
          <w:szCs w:val="24"/>
        </w:rPr>
        <w:t>9</w:t>
      </w:r>
      <w:r w:rsidRPr="00AF20AB">
        <w:rPr>
          <w:rStyle w:val="CommentReference"/>
          <w:bCs/>
          <w:szCs w:val="24"/>
        </w:rPr>
        <w:t>:</w:t>
      </w:r>
      <w:r w:rsidRPr="00AF20AB">
        <w:rPr>
          <w:rStyle w:val="CommentReference"/>
          <w:b w:val="0"/>
          <w:szCs w:val="24"/>
        </w:rPr>
        <w:t xml:space="preserve"> </w:t>
      </w:r>
      <w:r w:rsidRPr="00AF20AB">
        <w:rPr>
          <w:rFonts w:ascii="Arial Narrow" w:hAnsi="Arial Narrow"/>
          <w:b/>
          <w:bCs/>
          <w:sz w:val="20"/>
          <w:szCs w:val="20"/>
        </w:rPr>
        <w:t>Summary of key adverse events in the randomised trials used in the indirect comparison of decitabine IV and azacitidine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6"/>
        <w:gridCol w:w="1018"/>
        <w:gridCol w:w="837"/>
        <w:gridCol w:w="1018"/>
        <w:gridCol w:w="863"/>
        <w:gridCol w:w="1143"/>
        <w:gridCol w:w="809"/>
        <w:gridCol w:w="971"/>
        <w:gridCol w:w="992"/>
      </w:tblGrid>
      <w:tr w:rsidR="009E1F7A" w:rsidRPr="00AF20AB" w:rsidTr="00C85EC8">
        <w:trPr>
          <w:trHeight w:val="67"/>
        </w:trPr>
        <w:tc>
          <w:tcPr>
            <w:tcW w:w="1416" w:type="dxa"/>
            <w:vMerge w:val="restart"/>
            <w:vAlign w:val="center"/>
          </w:tcPr>
          <w:p w:rsidR="009E1F7A" w:rsidRPr="00AF20AB" w:rsidRDefault="009E1F7A" w:rsidP="00F543D8">
            <w:pPr>
              <w:pStyle w:val="In-tableHeading"/>
              <w:keepNext w:val="0"/>
              <w:widowControl w:val="0"/>
              <w:rPr>
                <w:lang w:val="en-AU"/>
              </w:rPr>
            </w:pPr>
            <w:r w:rsidRPr="00AF20AB">
              <w:rPr>
                <w:lang w:val="en-AU"/>
              </w:rPr>
              <w:t>AE</w:t>
            </w:r>
          </w:p>
        </w:tc>
        <w:tc>
          <w:tcPr>
            <w:tcW w:w="1855" w:type="dxa"/>
            <w:gridSpan w:val="2"/>
            <w:vAlign w:val="center"/>
          </w:tcPr>
          <w:p w:rsidR="009E1F7A" w:rsidRPr="00AF20AB" w:rsidRDefault="009E1F7A" w:rsidP="00F543D8">
            <w:pPr>
              <w:pStyle w:val="In-tableHeading"/>
              <w:keepNext w:val="0"/>
              <w:widowControl w:val="0"/>
              <w:jc w:val="center"/>
              <w:rPr>
                <w:lang w:val="en-AU"/>
              </w:rPr>
            </w:pPr>
            <w:r w:rsidRPr="00AF20AB">
              <w:rPr>
                <w:lang w:val="en-AU"/>
              </w:rPr>
              <w:t>Kantarjian 2006</w:t>
            </w:r>
          </w:p>
        </w:tc>
        <w:tc>
          <w:tcPr>
            <w:tcW w:w="1881" w:type="dxa"/>
            <w:gridSpan w:val="2"/>
            <w:vAlign w:val="center"/>
          </w:tcPr>
          <w:p w:rsidR="009E1F7A" w:rsidRPr="00AF20AB" w:rsidRDefault="009E1F7A" w:rsidP="00F543D8">
            <w:pPr>
              <w:pStyle w:val="In-tableHeading"/>
              <w:keepNext w:val="0"/>
              <w:widowControl w:val="0"/>
              <w:jc w:val="center"/>
              <w:rPr>
                <w:lang w:val="en-AU"/>
              </w:rPr>
            </w:pPr>
            <w:r w:rsidRPr="00AF20AB">
              <w:rPr>
                <w:lang w:val="en-AU"/>
              </w:rPr>
              <w:t>Lubbert 2011</w:t>
            </w:r>
          </w:p>
        </w:tc>
        <w:tc>
          <w:tcPr>
            <w:tcW w:w="1143" w:type="dxa"/>
            <w:vMerge w:val="restart"/>
            <w:vAlign w:val="center"/>
          </w:tcPr>
          <w:p w:rsidR="009E1F7A" w:rsidRPr="00AF20AB" w:rsidRDefault="009E1F7A" w:rsidP="00F543D8">
            <w:pPr>
              <w:pStyle w:val="In-tableHeading"/>
              <w:keepNext w:val="0"/>
              <w:widowControl w:val="0"/>
              <w:jc w:val="center"/>
              <w:rPr>
                <w:lang w:val="en-AU"/>
              </w:rPr>
            </w:pPr>
            <w:r w:rsidRPr="00AF20AB">
              <w:rPr>
                <w:lang w:val="en-AU"/>
              </w:rPr>
              <w:t>Total decitabine IV</w:t>
            </w:r>
          </w:p>
        </w:tc>
        <w:tc>
          <w:tcPr>
            <w:tcW w:w="809" w:type="dxa"/>
            <w:vMerge w:val="restart"/>
            <w:vAlign w:val="center"/>
          </w:tcPr>
          <w:p w:rsidR="009E1F7A" w:rsidRPr="00AF20AB" w:rsidRDefault="009E1F7A" w:rsidP="00F543D8">
            <w:pPr>
              <w:pStyle w:val="In-tableHeading"/>
              <w:keepNext w:val="0"/>
              <w:widowControl w:val="0"/>
              <w:jc w:val="center"/>
              <w:rPr>
                <w:lang w:val="en-AU"/>
              </w:rPr>
            </w:pPr>
            <w:r w:rsidRPr="00AF20AB">
              <w:rPr>
                <w:lang w:val="en-AU"/>
              </w:rPr>
              <w:t xml:space="preserve">Total </w:t>
            </w:r>
          </w:p>
          <w:p w:rsidR="009E1F7A" w:rsidRPr="00AF20AB" w:rsidRDefault="009E1F7A" w:rsidP="00F543D8">
            <w:pPr>
              <w:pStyle w:val="In-tableHeading"/>
              <w:keepNext w:val="0"/>
              <w:widowControl w:val="0"/>
              <w:jc w:val="center"/>
              <w:rPr>
                <w:lang w:val="en-AU"/>
              </w:rPr>
            </w:pPr>
            <w:r w:rsidRPr="00AF20AB">
              <w:rPr>
                <w:lang w:val="en-AU"/>
              </w:rPr>
              <w:t>BSC</w:t>
            </w:r>
          </w:p>
        </w:tc>
        <w:tc>
          <w:tcPr>
            <w:tcW w:w="971" w:type="dxa"/>
            <w:vMerge w:val="restart"/>
            <w:vAlign w:val="center"/>
          </w:tcPr>
          <w:p w:rsidR="009E1F7A" w:rsidRPr="00AF20AB" w:rsidRDefault="009E1F7A" w:rsidP="00F543D8">
            <w:pPr>
              <w:pStyle w:val="In-tableHeading"/>
              <w:keepNext w:val="0"/>
              <w:widowControl w:val="0"/>
              <w:jc w:val="center"/>
              <w:rPr>
                <w:lang w:val="en-AU"/>
              </w:rPr>
            </w:pPr>
            <w:r w:rsidRPr="00AF20AB">
              <w:rPr>
                <w:lang w:val="en-AU"/>
              </w:rPr>
              <w:t xml:space="preserve">RR </w:t>
            </w:r>
          </w:p>
          <w:p w:rsidR="009E1F7A" w:rsidRPr="00AF20AB" w:rsidRDefault="009E1F7A" w:rsidP="00F543D8">
            <w:pPr>
              <w:pStyle w:val="In-tableHeading"/>
              <w:keepNext w:val="0"/>
              <w:widowControl w:val="0"/>
              <w:jc w:val="center"/>
              <w:rPr>
                <w:lang w:val="en-AU"/>
              </w:rPr>
            </w:pPr>
            <w:r w:rsidRPr="00AF20AB">
              <w:rPr>
                <w:lang w:val="en-AU"/>
              </w:rPr>
              <w:t>(95% CI)</w:t>
            </w:r>
          </w:p>
        </w:tc>
        <w:tc>
          <w:tcPr>
            <w:tcW w:w="992" w:type="dxa"/>
            <w:vMerge w:val="restart"/>
            <w:vAlign w:val="center"/>
          </w:tcPr>
          <w:p w:rsidR="009E1F7A" w:rsidRPr="00AF20AB" w:rsidRDefault="009E1F7A" w:rsidP="00F543D8">
            <w:pPr>
              <w:pStyle w:val="In-tableHeading"/>
              <w:keepNext w:val="0"/>
              <w:widowControl w:val="0"/>
              <w:jc w:val="center"/>
              <w:rPr>
                <w:lang w:val="en-AU"/>
              </w:rPr>
            </w:pPr>
            <w:r w:rsidRPr="00AF20AB">
              <w:rPr>
                <w:lang w:val="en-AU"/>
              </w:rPr>
              <w:t xml:space="preserve">RD </w:t>
            </w:r>
          </w:p>
          <w:p w:rsidR="009E1F7A" w:rsidRPr="00AF20AB" w:rsidRDefault="009E1F7A" w:rsidP="00F543D8">
            <w:pPr>
              <w:pStyle w:val="In-tableHeading"/>
              <w:keepNext w:val="0"/>
              <w:widowControl w:val="0"/>
              <w:jc w:val="center"/>
              <w:rPr>
                <w:lang w:val="en-AU"/>
              </w:rPr>
            </w:pPr>
            <w:r w:rsidRPr="00AF20AB">
              <w:rPr>
                <w:lang w:val="en-AU"/>
              </w:rPr>
              <w:t>(95% CI)</w:t>
            </w:r>
          </w:p>
        </w:tc>
      </w:tr>
      <w:tr w:rsidR="009E1F7A" w:rsidRPr="00AF20AB" w:rsidTr="00F543D8">
        <w:tc>
          <w:tcPr>
            <w:tcW w:w="1416" w:type="dxa"/>
            <w:vMerge/>
            <w:vAlign w:val="center"/>
          </w:tcPr>
          <w:p w:rsidR="009E1F7A" w:rsidRPr="00AF20AB" w:rsidRDefault="009E1F7A" w:rsidP="00F543D8">
            <w:pPr>
              <w:pStyle w:val="In-tableHeading"/>
              <w:keepNext w:val="0"/>
              <w:widowControl w:val="0"/>
              <w:rPr>
                <w:lang w:val="en-AU"/>
              </w:rPr>
            </w:pPr>
          </w:p>
        </w:tc>
        <w:tc>
          <w:tcPr>
            <w:tcW w:w="1018" w:type="dxa"/>
            <w:vAlign w:val="center"/>
          </w:tcPr>
          <w:p w:rsidR="009E1F7A" w:rsidRPr="00AF20AB" w:rsidRDefault="009E1F7A" w:rsidP="00F543D8">
            <w:pPr>
              <w:pStyle w:val="In-tableHeading"/>
              <w:keepNext w:val="0"/>
              <w:widowControl w:val="0"/>
              <w:jc w:val="center"/>
              <w:rPr>
                <w:lang w:val="en-AU"/>
              </w:rPr>
            </w:pPr>
            <w:r w:rsidRPr="00AF20AB">
              <w:rPr>
                <w:lang w:val="en-AU"/>
              </w:rPr>
              <w:t>Decitabine IV</w:t>
            </w:r>
          </w:p>
        </w:tc>
        <w:tc>
          <w:tcPr>
            <w:tcW w:w="837" w:type="dxa"/>
            <w:vAlign w:val="center"/>
          </w:tcPr>
          <w:p w:rsidR="009E1F7A" w:rsidRPr="00AF20AB" w:rsidRDefault="009E1F7A" w:rsidP="00F543D8">
            <w:pPr>
              <w:pStyle w:val="In-tableHeading"/>
              <w:keepNext w:val="0"/>
              <w:widowControl w:val="0"/>
              <w:jc w:val="center"/>
              <w:rPr>
                <w:lang w:val="en-AU"/>
              </w:rPr>
            </w:pPr>
            <w:r w:rsidRPr="00AF20AB">
              <w:rPr>
                <w:lang w:val="en-AU"/>
              </w:rPr>
              <w:t>BSC</w:t>
            </w:r>
          </w:p>
        </w:tc>
        <w:tc>
          <w:tcPr>
            <w:tcW w:w="1018" w:type="dxa"/>
            <w:vAlign w:val="center"/>
          </w:tcPr>
          <w:p w:rsidR="009E1F7A" w:rsidRPr="00AF20AB" w:rsidRDefault="009E1F7A" w:rsidP="00F543D8">
            <w:pPr>
              <w:pStyle w:val="In-tableHeading"/>
              <w:keepNext w:val="0"/>
              <w:widowControl w:val="0"/>
              <w:jc w:val="center"/>
              <w:rPr>
                <w:lang w:val="en-AU"/>
              </w:rPr>
            </w:pPr>
            <w:r w:rsidRPr="00AF20AB">
              <w:rPr>
                <w:lang w:val="en-AU"/>
              </w:rPr>
              <w:t>Decitabine IV</w:t>
            </w:r>
          </w:p>
        </w:tc>
        <w:tc>
          <w:tcPr>
            <w:tcW w:w="863" w:type="dxa"/>
            <w:vAlign w:val="center"/>
          </w:tcPr>
          <w:p w:rsidR="009E1F7A" w:rsidRPr="00AF20AB" w:rsidRDefault="009E1F7A" w:rsidP="00F543D8">
            <w:pPr>
              <w:pStyle w:val="In-tableHeading"/>
              <w:keepNext w:val="0"/>
              <w:widowControl w:val="0"/>
              <w:jc w:val="center"/>
              <w:rPr>
                <w:lang w:val="en-AU"/>
              </w:rPr>
            </w:pPr>
            <w:r w:rsidRPr="00AF20AB">
              <w:rPr>
                <w:lang w:val="en-AU"/>
              </w:rPr>
              <w:t>BSC</w:t>
            </w:r>
          </w:p>
        </w:tc>
        <w:tc>
          <w:tcPr>
            <w:tcW w:w="1143" w:type="dxa"/>
            <w:vMerge/>
            <w:vAlign w:val="center"/>
          </w:tcPr>
          <w:p w:rsidR="009E1F7A" w:rsidRPr="00AF20AB" w:rsidRDefault="009E1F7A" w:rsidP="00F543D8">
            <w:pPr>
              <w:pStyle w:val="In-tableHeading"/>
              <w:keepNext w:val="0"/>
              <w:widowControl w:val="0"/>
              <w:jc w:val="center"/>
              <w:rPr>
                <w:lang w:val="en-AU"/>
              </w:rPr>
            </w:pPr>
          </w:p>
        </w:tc>
        <w:tc>
          <w:tcPr>
            <w:tcW w:w="809" w:type="dxa"/>
            <w:vMerge/>
            <w:vAlign w:val="center"/>
          </w:tcPr>
          <w:p w:rsidR="009E1F7A" w:rsidRPr="00AF20AB" w:rsidRDefault="009E1F7A" w:rsidP="00F543D8">
            <w:pPr>
              <w:pStyle w:val="In-tableHeading"/>
              <w:keepNext w:val="0"/>
              <w:widowControl w:val="0"/>
              <w:jc w:val="center"/>
              <w:rPr>
                <w:lang w:val="en-AU"/>
              </w:rPr>
            </w:pPr>
          </w:p>
        </w:tc>
        <w:tc>
          <w:tcPr>
            <w:tcW w:w="971" w:type="dxa"/>
            <w:vMerge/>
            <w:vAlign w:val="center"/>
          </w:tcPr>
          <w:p w:rsidR="009E1F7A" w:rsidRPr="00AF20AB" w:rsidRDefault="009E1F7A" w:rsidP="00F543D8">
            <w:pPr>
              <w:pStyle w:val="In-tableHeading"/>
              <w:keepNext w:val="0"/>
              <w:widowControl w:val="0"/>
              <w:jc w:val="center"/>
              <w:rPr>
                <w:lang w:val="en-AU"/>
              </w:rPr>
            </w:pPr>
          </w:p>
        </w:tc>
        <w:tc>
          <w:tcPr>
            <w:tcW w:w="992" w:type="dxa"/>
            <w:vMerge/>
            <w:vAlign w:val="center"/>
          </w:tcPr>
          <w:p w:rsidR="009E1F7A" w:rsidRPr="00AF20AB" w:rsidRDefault="009E1F7A" w:rsidP="00F543D8">
            <w:pPr>
              <w:pStyle w:val="In-tableHeading"/>
              <w:keepNext w:val="0"/>
              <w:widowControl w:val="0"/>
              <w:jc w:val="center"/>
              <w:rPr>
                <w:lang w:val="en-AU"/>
              </w:rPr>
            </w:pPr>
          </w:p>
        </w:tc>
      </w:tr>
      <w:tr w:rsidR="009E1F7A" w:rsidRPr="00AF20AB" w:rsidTr="00F543D8">
        <w:tc>
          <w:tcPr>
            <w:tcW w:w="1416" w:type="dxa"/>
            <w:vAlign w:val="center"/>
          </w:tcPr>
          <w:p w:rsidR="009E1F7A" w:rsidRPr="00AF20AB" w:rsidRDefault="009E1F7A" w:rsidP="00F543D8">
            <w:pPr>
              <w:pStyle w:val="TableText0"/>
              <w:keepNext w:val="0"/>
              <w:widowControl w:val="0"/>
            </w:pPr>
            <w:r w:rsidRPr="00AF20AB">
              <w:t>Febrile neutropenia</w:t>
            </w:r>
          </w:p>
        </w:tc>
        <w:tc>
          <w:tcPr>
            <w:tcW w:w="1018" w:type="dxa"/>
            <w:vAlign w:val="center"/>
          </w:tcPr>
          <w:p w:rsidR="009E1F7A" w:rsidRPr="00AF20AB" w:rsidRDefault="009E1F7A" w:rsidP="00F543D8">
            <w:pPr>
              <w:pStyle w:val="TableText0"/>
              <w:keepNext w:val="0"/>
              <w:widowControl w:val="0"/>
              <w:jc w:val="center"/>
            </w:pPr>
            <w:r w:rsidRPr="00AF20AB">
              <w:t>23%</w:t>
            </w:r>
          </w:p>
        </w:tc>
        <w:tc>
          <w:tcPr>
            <w:tcW w:w="837" w:type="dxa"/>
            <w:vAlign w:val="center"/>
          </w:tcPr>
          <w:p w:rsidR="009E1F7A" w:rsidRPr="00AF20AB" w:rsidRDefault="009E1F7A" w:rsidP="00F543D8">
            <w:pPr>
              <w:pStyle w:val="TableText0"/>
              <w:keepNext w:val="0"/>
              <w:widowControl w:val="0"/>
              <w:jc w:val="center"/>
            </w:pPr>
            <w:r w:rsidRPr="00AF20AB">
              <w:t>4%</w:t>
            </w:r>
          </w:p>
        </w:tc>
        <w:tc>
          <w:tcPr>
            <w:tcW w:w="1018" w:type="dxa"/>
            <w:vAlign w:val="center"/>
          </w:tcPr>
          <w:p w:rsidR="009E1F7A" w:rsidRPr="00AF20AB" w:rsidRDefault="009E1F7A" w:rsidP="00F543D8">
            <w:pPr>
              <w:pStyle w:val="TableText0"/>
              <w:keepNext w:val="0"/>
              <w:widowControl w:val="0"/>
              <w:jc w:val="center"/>
            </w:pPr>
            <w:r w:rsidRPr="00AF20AB">
              <w:t>NR</w:t>
            </w:r>
          </w:p>
        </w:tc>
        <w:tc>
          <w:tcPr>
            <w:tcW w:w="863" w:type="dxa"/>
            <w:vAlign w:val="center"/>
          </w:tcPr>
          <w:p w:rsidR="009E1F7A" w:rsidRPr="00AF20AB" w:rsidRDefault="009E1F7A" w:rsidP="00F543D8">
            <w:pPr>
              <w:pStyle w:val="TableText0"/>
              <w:keepNext w:val="0"/>
              <w:widowControl w:val="0"/>
              <w:jc w:val="center"/>
            </w:pPr>
            <w:r w:rsidRPr="00AF20AB">
              <w:t>NR</w:t>
            </w:r>
          </w:p>
        </w:tc>
        <w:tc>
          <w:tcPr>
            <w:tcW w:w="1143" w:type="dxa"/>
            <w:vAlign w:val="center"/>
          </w:tcPr>
          <w:p w:rsidR="009E1F7A" w:rsidRPr="00AF20AB" w:rsidRDefault="009E1F7A" w:rsidP="00F543D8">
            <w:pPr>
              <w:pStyle w:val="TableText0"/>
              <w:keepNext w:val="0"/>
              <w:widowControl w:val="0"/>
              <w:jc w:val="center"/>
            </w:pPr>
            <w:r w:rsidRPr="00AF20AB">
              <w:t xml:space="preserve">19/83 </w:t>
            </w:r>
          </w:p>
          <w:p w:rsidR="009E1F7A" w:rsidRPr="00AF20AB" w:rsidRDefault="009E1F7A" w:rsidP="00F543D8">
            <w:pPr>
              <w:pStyle w:val="TableText0"/>
              <w:keepNext w:val="0"/>
              <w:widowControl w:val="0"/>
              <w:jc w:val="center"/>
            </w:pPr>
            <w:r w:rsidRPr="00AF20AB">
              <w:t>(22.9%)</w:t>
            </w:r>
          </w:p>
        </w:tc>
        <w:tc>
          <w:tcPr>
            <w:tcW w:w="809" w:type="dxa"/>
            <w:vAlign w:val="center"/>
          </w:tcPr>
          <w:p w:rsidR="009E1F7A" w:rsidRPr="00AF20AB" w:rsidRDefault="009E1F7A" w:rsidP="00F543D8">
            <w:pPr>
              <w:pStyle w:val="TableText0"/>
              <w:keepNext w:val="0"/>
              <w:widowControl w:val="0"/>
              <w:jc w:val="center"/>
            </w:pPr>
            <w:r w:rsidRPr="00AF20AB">
              <w:t>3/81 (3.7%)</w:t>
            </w:r>
          </w:p>
        </w:tc>
        <w:tc>
          <w:tcPr>
            <w:tcW w:w="971" w:type="dxa"/>
            <w:vAlign w:val="center"/>
          </w:tcPr>
          <w:p w:rsidR="009E1F7A" w:rsidRPr="00AF20AB" w:rsidRDefault="009E1F7A" w:rsidP="00F543D8">
            <w:pPr>
              <w:pStyle w:val="TableText0"/>
              <w:keepNext w:val="0"/>
              <w:widowControl w:val="0"/>
              <w:jc w:val="center"/>
              <w:rPr>
                <w:b/>
                <w:bCs w:val="0"/>
              </w:rPr>
            </w:pPr>
            <w:r w:rsidRPr="00AF20AB">
              <w:rPr>
                <w:b/>
                <w:bCs w:val="0"/>
              </w:rPr>
              <w:t xml:space="preserve">6.18 </w:t>
            </w:r>
          </w:p>
          <w:p w:rsidR="009E1F7A" w:rsidRPr="00AF20AB" w:rsidRDefault="009E1F7A" w:rsidP="00F543D8">
            <w:pPr>
              <w:pStyle w:val="TableText0"/>
              <w:keepNext w:val="0"/>
              <w:widowControl w:val="0"/>
              <w:jc w:val="center"/>
              <w:rPr>
                <w:b/>
                <w:bCs w:val="0"/>
              </w:rPr>
            </w:pPr>
            <w:r w:rsidRPr="00AF20AB">
              <w:rPr>
                <w:b/>
                <w:bCs w:val="0"/>
              </w:rPr>
              <w:t>(1.90,20.09)</w:t>
            </w:r>
          </w:p>
        </w:tc>
        <w:tc>
          <w:tcPr>
            <w:tcW w:w="992" w:type="dxa"/>
            <w:vAlign w:val="center"/>
          </w:tcPr>
          <w:p w:rsidR="009E1F7A" w:rsidRPr="00AF20AB" w:rsidRDefault="009E1F7A" w:rsidP="00F543D8">
            <w:pPr>
              <w:pStyle w:val="TableText0"/>
              <w:keepNext w:val="0"/>
              <w:widowControl w:val="0"/>
              <w:jc w:val="center"/>
              <w:rPr>
                <w:b/>
                <w:bCs w:val="0"/>
              </w:rPr>
            </w:pPr>
            <w:r w:rsidRPr="00AF20AB">
              <w:rPr>
                <w:b/>
                <w:bCs w:val="0"/>
              </w:rPr>
              <w:t xml:space="preserve">0.19 </w:t>
            </w:r>
          </w:p>
          <w:p w:rsidR="009E1F7A" w:rsidRPr="00AF20AB" w:rsidRDefault="009E1F7A" w:rsidP="00F543D8">
            <w:pPr>
              <w:pStyle w:val="TableText0"/>
              <w:keepNext w:val="0"/>
              <w:widowControl w:val="0"/>
              <w:jc w:val="center"/>
              <w:rPr>
                <w:b/>
                <w:bCs w:val="0"/>
              </w:rPr>
            </w:pPr>
            <w:r w:rsidRPr="00AF20AB">
              <w:rPr>
                <w:b/>
                <w:bCs w:val="0"/>
              </w:rPr>
              <w:t>(0.09, 0.30)</w:t>
            </w:r>
          </w:p>
        </w:tc>
      </w:tr>
      <w:tr w:rsidR="009E1F7A" w:rsidRPr="00AF20AB" w:rsidTr="00F543D8">
        <w:tc>
          <w:tcPr>
            <w:tcW w:w="1416" w:type="dxa"/>
            <w:vAlign w:val="center"/>
          </w:tcPr>
          <w:p w:rsidR="009E1F7A" w:rsidRPr="00AF20AB" w:rsidRDefault="009E1F7A" w:rsidP="00F543D8">
            <w:pPr>
              <w:pStyle w:val="TableText0"/>
              <w:keepNext w:val="0"/>
              <w:widowControl w:val="0"/>
            </w:pPr>
            <w:r w:rsidRPr="00AF20AB">
              <w:t>Neutropenia</w:t>
            </w:r>
          </w:p>
        </w:tc>
        <w:tc>
          <w:tcPr>
            <w:tcW w:w="1018" w:type="dxa"/>
            <w:vAlign w:val="center"/>
          </w:tcPr>
          <w:p w:rsidR="009E1F7A" w:rsidRPr="00AF20AB" w:rsidRDefault="009E1F7A" w:rsidP="00F543D8">
            <w:pPr>
              <w:pStyle w:val="TableText0"/>
              <w:keepNext w:val="0"/>
              <w:widowControl w:val="0"/>
              <w:jc w:val="center"/>
            </w:pPr>
            <w:r w:rsidRPr="00AF20AB">
              <w:t>87%</w:t>
            </w:r>
          </w:p>
        </w:tc>
        <w:tc>
          <w:tcPr>
            <w:tcW w:w="837" w:type="dxa"/>
            <w:vAlign w:val="center"/>
          </w:tcPr>
          <w:p w:rsidR="009E1F7A" w:rsidRPr="00AF20AB" w:rsidRDefault="009E1F7A" w:rsidP="00F543D8">
            <w:pPr>
              <w:pStyle w:val="TableText0"/>
              <w:keepNext w:val="0"/>
              <w:widowControl w:val="0"/>
              <w:jc w:val="center"/>
            </w:pPr>
            <w:r w:rsidRPr="00AF20AB">
              <w:t>50%</w:t>
            </w:r>
          </w:p>
        </w:tc>
        <w:tc>
          <w:tcPr>
            <w:tcW w:w="1018" w:type="dxa"/>
            <w:vAlign w:val="center"/>
          </w:tcPr>
          <w:p w:rsidR="009E1F7A" w:rsidRPr="00AF20AB" w:rsidRDefault="009E1F7A" w:rsidP="00F543D8">
            <w:pPr>
              <w:pStyle w:val="TableText0"/>
              <w:keepNext w:val="0"/>
              <w:widowControl w:val="0"/>
              <w:jc w:val="center"/>
            </w:pPr>
            <w:r w:rsidRPr="00AF20AB">
              <w:t>54/114 (47.4%)</w:t>
            </w:r>
          </w:p>
        </w:tc>
        <w:tc>
          <w:tcPr>
            <w:tcW w:w="863" w:type="dxa"/>
            <w:vAlign w:val="center"/>
          </w:tcPr>
          <w:p w:rsidR="009E1F7A" w:rsidRPr="00AF20AB" w:rsidRDefault="009E1F7A" w:rsidP="00F543D8">
            <w:pPr>
              <w:pStyle w:val="TableText0"/>
              <w:keepNext w:val="0"/>
              <w:widowControl w:val="0"/>
              <w:jc w:val="center"/>
            </w:pPr>
            <w:r w:rsidRPr="00AF20AB">
              <w:t>40/114 (35.1%)</w:t>
            </w:r>
          </w:p>
        </w:tc>
        <w:tc>
          <w:tcPr>
            <w:tcW w:w="1143" w:type="dxa"/>
            <w:vAlign w:val="center"/>
          </w:tcPr>
          <w:p w:rsidR="009E1F7A" w:rsidRPr="00AF20AB" w:rsidRDefault="009E1F7A" w:rsidP="00F543D8">
            <w:pPr>
              <w:pStyle w:val="TableText0"/>
              <w:keepNext w:val="0"/>
              <w:widowControl w:val="0"/>
              <w:jc w:val="center"/>
            </w:pPr>
            <w:r w:rsidRPr="00AF20AB">
              <w:t>126/202 (62.4%)</w:t>
            </w:r>
          </w:p>
        </w:tc>
        <w:tc>
          <w:tcPr>
            <w:tcW w:w="809" w:type="dxa"/>
            <w:vAlign w:val="center"/>
          </w:tcPr>
          <w:p w:rsidR="009E1F7A" w:rsidRPr="00AF20AB" w:rsidRDefault="009E1F7A" w:rsidP="00F543D8">
            <w:pPr>
              <w:pStyle w:val="TableText0"/>
              <w:keepNext w:val="0"/>
              <w:widowControl w:val="0"/>
              <w:jc w:val="center"/>
            </w:pPr>
            <w:r w:rsidRPr="00AF20AB">
              <w:t>81/195 (41.5%)</w:t>
            </w:r>
          </w:p>
        </w:tc>
        <w:tc>
          <w:tcPr>
            <w:tcW w:w="971" w:type="dxa"/>
            <w:vAlign w:val="center"/>
          </w:tcPr>
          <w:p w:rsidR="009E1F7A" w:rsidRPr="00AF20AB" w:rsidRDefault="009E1F7A" w:rsidP="00F543D8">
            <w:pPr>
              <w:pStyle w:val="TableText0"/>
              <w:keepNext w:val="0"/>
              <w:widowControl w:val="0"/>
              <w:jc w:val="center"/>
              <w:rPr>
                <w:b/>
                <w:bCs w:val="0"/>
              </w:rPr>
            </w:pPr>
            <w:r w:rsidRPr="00AF20AB">
              <w:rPr>
                <w:b/>
                <w:bCs w:val="0"/>
              </w:rPr>
              <w:t xml:space="preserve">1.50 </w:t>
            </w:r>
          </w:p>
          <w:p w:rsidR="009E1F7A" w:rsidRPr="00AF20AB" w:rsidRDefault="009E1F7A" w:rsidP="00F543D8">
            <w:pPr>
              <w:pStyle w:val="TableText0"/>
              <w:keepNext w:val="0"/>
              <w:widowControl w:val="0"/>
              <w:jc w:val="center"/>
              <w:rPr>
                <w:b/>
                <w:bCs w:val="0"/>
              </w:rPr>
            </w:pPr>
            <w:r w:rsidRPr="00AF20AB">
              <w:rPr>
                <w:b/>
                <w:bCs w:val="0"/>
              </w:rPr>
              <w:t>(1.23, 1.83)</w:t>
            </w:r>
          </w:p>
        </w:tc>
        <w:tc>
          <w:tcPr>
            <w:tcW w:w="992" w:type="dxa"/>
            <w:vAlign w:val="center"/>
          </w:tcPr>
          <w:p w:rsidR="009E1F7A" w:rsidRPr="00AF20AB" w:rsidRDefault="009E1F7A" w:rsidP="00F543D8">
            <w:pPr>
              <w:pStyle w:val="TableText0"/>
              <w:keepNext w:val="0"/>
              <w:widowControl w:val="0"/>
              <w:jc w:val="center"/>
              <w:rPr>
                <w:b/>
                <w:bCs w:val="0"/>
              </w:rPr>
            </w:pPr>
            <w:r w:rsidRPr="00AF20AB">
              <w:rPr>
                <w:b/>
                <w:bCs w:val="0"/>
              </w:rPr>
              <w:t xml:space="preserve">0.21 </w:t>
            </w:r>
          </w:p>
          <w:p w:rsidR="009E1F7A" w:rsidRPr="00AF20AB" w:rsidRDefault="009E1F7A" w:rsidP="00F543D8">
            <w:pPr>
              <w:pStyle w:val="TableText0"/>
              <w:keepNext w:val="0"/>
              <w:widowControl w:val="0"/>
              <w:jc w:val="center"/>
              <w:rPr>
                <w:b/>
                <w:bCs w:val="0"/>
              </w:rPr>
            </w:pPr>
            <w:r w:rsidRPr="00AF20AB">
              <w:rPr>
                <w:b/>
                <w:bCs w:val="0"/>
              </w:rPr>
              <w:t>(0.11, 0.31)</w:t>
            </w:r>
          </w:p>
        </w:tc>
      </w:tr>
      <w:tr w:rsidR="009E1F7A" w:rsidRPr="00AF20AB" w:rsidTr="00F543D8">
        <w:tc>
          <w:tcPr>
            <w:tcW w:w="1416" w:type="dxa"/>
            <w:tcBorders>
              <w:bottom w:val="single" w:sz="4" w:space="0" w:color="auto"/>
            </w:tcBorders>
            <w:vAlign w:val="center"/>
          </w:tcPr>
          <w:p w:rsidR="009E1F7A" w:rsidRPr="00AF20AB" w:rsidRDefault="009E1F7A" w:rsidP="00F543D8">
            <w:pPr>
              <w:pStyle w:val="TableText0"/>
              <w:keepNext w:val="0"/>
              <w:widowControl w:val="0"/>
            </w:pPr>
            <w:r w:rsidRPr="00AF20AB">
              <w:t>Thrombocytopenia</w:t>
            </w:r>
          </w:p>
        </w:tc>
        <w:tc>
          <w:tcPr>
            <w:tcW w:w="1018" w:type="dxa"/>
            <w:tcBorders>
              <w:bottom w:val="single" w:sz="4" w:space="0" w:color="auto"/>
            </w:tcBorders>
            <w:vAlign w:val="center"/>
          </w:tcPr>
          <w:p w:rsidR="009E1F7A" w:rsidRPr="00AF20AB" w:rsidRDefault="009E1F7A" w:rsidP="00F543D8">
            <w:pPr>
              <w:pStyle w:val="TableText0"/>
              <w:keepNext w:val="0"/>
              <w:widowControl w:val="0"/>
              <w:jc w:val="center"/>
            </w:pPr>
            <w:r w:rsidRPr="00AF20AB">
              <w:t>85%</w:t>
            </w:r>
          </w:p>
        </w:tc>
        <w:tc>
          <w:tcPr>
            <w:tcW w:w="837" w:type="dxa"/>
            <w:tcBorders>
              <w:bottom w:val="single" w:sz="4" w:space="0" w:color="auto"/>
            </w:tcBorders>
            <w:vAlign w:val="center"/>
          </w:tcPr>
          <w:p w:rsidR="009E1F7A" w:rsidRPr="00AF20AB" w:rsidRDefault="009E1F7A" w:rsidP="00F543D8">
            <w:pPr>
              <w:pStyle w:val="TableText0"/>
              <w:keepNext w:val="0"/>
              <w:widowControl w:val="0"/>
              <w:jc w:val="center"/>
            </w:pPr>
            <w:r w:rsidRPr="00AF20AB">
              <w:t>43%</w:t>
            </w:r>
          </w:p>
        </w:tc>
        <w:tc>
          <w:tcPr>
            <w:tcW w:w="1018" w:type="dxa"/>
            <w:tcBorders>
              <w:bottom w:val="single" w:sz="4" w:space="0" w:color="auto"/>
            </w:tcBorders>
            <w:vAlign w:val="center"/>
          </w:tcPr>
          <w:p w:rsidR="009E1F7A" w:rsidRPr="00AF20AB" w:rsidRDefault="009E1F7A" w:rsidP="00F543D8">
            <w:pPr>
              <w:pStyle w:val="TableText0"/>
              <w:keepNext w:val="0"/>
              <w:widowControl w:val="0"/>
              <w:jc w:val="center"/>
            </w:pPr>
            <w:r w:rsidRPr="00AF20AB">
              <w:t>NR</w:t>
            </w:r>
          </w:p>
        </w:tc>
        <w:tc>
          <w:tcPr>
            <w:tcW w:w="863" w:type="dxa"/>
            <w:tcBorders>
              <w:bottom w:val="single" w:sz="4" w:space="0" w:color="auto"/>
            </w:tcBorders>
            <w:vAlign w:val="center"/>
          </w:tcPr>
          <w:p w:rsidR="009E1F7A" w:rsidRPr="00AF20AB" w:rsidRDefault="009E1F7A" w:rsidP="00F543D8">
            <w:pPr>
              <w:pStyle w:val="TableText0"/>
              <w:keepNext w:val="0"/>
              <w:widowControl w:val="0"/>
              <w:jc w:val="center"/>
            </w:pPr>
            <w:r w:rsidRPr="00AF20AB">
              <w:t>NR</w:t>
            </w:r>
          </w:p>
        </w:tc>
        <w:tc>
          <w:tcPr>
            <w:tcW w:w="1143" w:type="dxa"/>
            <w:tcBorders>
              <w:bottom w:val="single" w:sz="4" w:space="0" w:color="auto"/>
            </w:tcBorders>
            <w:vAlign w:val="center"/>
          </w:tcPr>
          <w:p w:rsidR="009E1F7A" w:rsidRPr="00AF20AB" w:rsidRDefault="009E1F7A" w:rsidP="00F543D8">
            <w:pPr>
              <w:pStyle w:val="TableText0"/>
              <w:keepNext w:val="0"/>
              <w:widowControl w:val="0"/>
              <w:jc w:val="center"/>
            </w:pPr>
            <w:r w:rsidRPr="00AF20AB">
              <w:t xml:space="preserve">71/83 </w:t>
            </w:r>
          </w:p>
          <w:p w:rsidR="009E1F7A" w:rsidRPr="00AF20AB" w:rsidRDefault="009E1F7A" w:rsidP="00F543D8">
            <w:pPr>
              <w:pStyle w:val="TableText0"/>
              <w:keepNext w:val="0"/>
              <w:widowControl w:val="0"/>
              <w:jc w:val="center"/>
            </w:pPr>
            <w:r w:rsidRPr="00AF20AB">
              <w:t>(85.5%)</w:t>
            </w:r>
          </w:p>
        </w:tc>
        <w:tc>
          <w:tcPr>
            <w:tcW w:w="809" w:type="dxa"/>
            <w:tcBorders>
              <w:bottom w:val="single" w:sz="4" w:space="0" w:color="auto"/>
            </w:tcBorders>
            <w:vAlign w:val="center"/>
          </w:tcPr>
          <w:p w:rsidR="009E1F7A" w:rsidRPr="00AF20AB" w:rsidRDefault="009E1F7A" w:rsidP="00F543D8">
            <w:pPr>
              <w:pStyle w:val="TableText0"/>
              <w:keepNext w:val="0"/>
              <w:widowControl w:val="0"/>
              <w:jc w:val="center"/>
            </w:pPr>
            <w:r w:rsidRPr="00AF20AB">
              <w:t>35/81 (43.2%)</w:t>
            </w:r>
          </w:p>
        </w:tc>
        <w:tc>
          <w:tcPr>
            <w:tcW w:w="971" w:type="dxa"/>
            <w:tcBorders>
              <w:bottom w:val="single" w:sz="4" w:space="0" w:color="auto"/>
            </w:tcBorders>
            <w:vAlign w:val="center"/>
          </w:tcPr>
          <w:p w:rsidR="009E1F7A" w:rsidRPr="00AF20AB" w:rsidRDefault="009E1F7A" w:rsidP="00F543D8">
            <w:pPr>
              <w:pStyle w:val="TableText0"/>
              <w:keepNext w:val="0"/>
              <w:widowControl w:val="0"/>
              <w:jc w:val="center"/>
              <w:rPr>
                <w:b/>
                <w:bCs w:val="0"/>
              </w:rPr>
            </w:pPr>
            <w:r w:rsidRPr="00AF20AB">
              <w:rPr>
                <w:b/>
                <w:bCs w:val="0"/>
              </w:rPr>
              <w:t xml:space="preserve">1.98 </w:t>
            </w:r>
          </w:p>
          <w:p w:rsidR="009E1F7A" w:rsidRPr="00AF20AB" w:rsidRDefault="009E1F7A" w:rsidP="00F543D8">
            <w:pPr>
              <w:pStyle w:val="TableText0"/>
              <w:keepNext w:val="0"/>
              <w:widowControl w:val="0"/>
              <w:jc w:val="center"/>
              <w:rPr>
                <w:b/>
                <w:bCs w:val="0"/>
              </w:rPr>
            </w:pPr>
            <w:r w:rsidRPr="00AF20AB">
              <w:rPr>
                <w:b/>
                <w:bCs w:val="0"/>
              </w:rPr>
              <w:t>(1.52, 2.58)</w:t>
            </w:r>
          </w:p>
        </w:tc>
        <w:tc>
          <w:tcPr>
            <w:tcW w:w="992" w:type="dxa"/>
            <w:tcBorders>
              <w:bottom w:val="single" w:sz="4" w:space="0" w:color="auto"/>
            </w:tcBorders>
            <w:vAlign w:val="center"/>
          </w:tcPr>
          <w:p w:rsidR="009E1F7A" w:rsidRPr="00AF20AB" w:rsidRDefault="009E1F7A" w:rsidP="00F543D8">
            <w:pPr>
              <w:pStyle w:val="TableText0"/>
              <w:keepNext w:val="0"/>
              <w:widowControl w:val="0"/>
              <w:jc w:val="center"/>
              <w:rPr>
                <w:b/>
                <w:bCs w:val="0"/>
              </w:rPr>
            </w:pPr>
            <w:r w:rsidRPr="00AF20AB">
              <w:rPr>
                <w:b/>
                <w:bCs w:val="0"/>
              </w:rPr>
              <w:t xml:space="preserve">0.42 </w:t>
            </w:r>
          </w:p>
          <w:p w:rsidR="009E1F7A" w:rsidRPr="00AF20AB" w:rsidRDefault="009E1F7A" w:rsidP="00F543D8">
            <w:pPr>
              <w:pStyle w:val="TableText0"/>
              <w:keepNext w:val="0"/>
              <w:widowControl w:val="0"/>
              <w:jc w:val="center"/>
              <w:rPr>
                <w:b/>
                <w:bCs w:val="0"/>
              </w:rPr>
            </w:pPr>
            <w:r w:rsidRPr="00AF20AB">
              <w:rPr>
                <w:b/>
                <w:bCs w:val="0"/>
              </w:rPr>
              <w:t>(0.28, 0.57)</w:t>
            </w:r>
          </w:p>
        </w:tc>
      </w:tr>
      <w:tr w:rsidR="009E1F7A" w:rsidRPr="00AF20AB" w:rsidTr="00F543D8">
        <w:tc>
          <w:tcPr>
            <w:tcW w:w="1416" w:type="dxa"/>
            <w:vMerge w:val="restart"/>
            <w:tcBorders>
              <w:top w:val="double" w:sz="4" w:space="0" w:color="auto"/>
            </w:tcBorders>
            <w:vAlign w:val="center"/>
          </w:tcPr>
          <w:p w:rsidR="009E1F7A" w:rsidRPr="00AF20AB" w:rsidRDefault="009E1F7A" w:rsidP="00F543D8">
            <w:pPr>
              <w:pStyle w:val="TableText0"/>
              <w:keepNext w:val="0"/>
              <w:widowControl w:val="0"/>
            </w:pPr>
          </w:p>
        </w:tc>
        <w:tc>
          <w:tcPr>
            <w:tcW w:w="1855" w:type="dxa"/>
            <w:gridSpan w:val="2"/>
            <w:tcBorders>
              <w:top w:val="double" w:sz="4" w:space="0" w:color="auto"/>
            </w:tcBorders>
            <w:vAlign w:val="center"/>
          </w:tcPr>
          <w:p w:rsidR="009E1F7A" w:rsidRPr="00AF20AB" w:rsidRDefault="009E1F7A" w:rsidP="00F543D8">
            <w:pPr>
              <w:pStyle w:val="TableText0"/>
              <w:keepNext w:val="0"/>
              <w:widowControl w:val="0"/>
              <w:jc w:val="center"/>
              <w:rPr>
                <w:b/>
                <w:bCs w:val="0"/>
              </w:rPr>
            </w:pPr>
            <w:r w:rsidRPr="00AF20AB">
              <w:rPr>
                <w:b/>
                <w:bCs w:val="0"/>
              </w:rPr>
              <w:t>Fenaux 2009</w:t>
            </w:r>
          </w:p>
        </w:tc>
        <w:tc>
          <w:tcPr>
            <w:tcW w:w="1881" w:type="dxa"/>
            <w:gridSpan w:val="2"/>
            <w:tcBorders>
              <w:top w:val="double" w:sz="4" w:space="0" w:color="auto"/>
            </w:tcBorders>
            <w:vAlign w:val="center"/>
          </w:tcPr>
          <w:p w:rsidR="009E1F7A" w:rsidRPr="00AF20AB" w:rsidRDefault="009E1F7A" w:rsidP="00F543D8">
            <w:pPr>
              <w:pStyle w:val="TableText0"/>
              <w:keepNext w:val="0"/>
              <w:widowControl w:val="0"/>
              <w:jc w:val="center"/>
              <w:rPr>
                <w:b/>
                <w:bCs w:val="0"/>
              </w:rPr>
            </w:pPr>
            <w:r w:rsidRPr="00AF20AB">
              <w:rPr>
                <w:b/>
                <w:bCs w:val="0"/>
              </w:rPr>
              <w:t>Silverman 2002</w:t>
            </w:r>
          </w:p>
        </w:tc>
        <w:tc>
          <w:tcPr>
            <w:tcW w:w="1143" w:type="dxa"/>
            <w:vMerge w:val="restart"/>
            <w:tcBorders>
              <w:top w:val="double" w:sz="4" w:space="0" w:color="auto"/>
            </w:tcBorders>
            <w:vAlign w:val="center"/>
          </w:tcPr>
          <w:p w:rsidR="009E1F7A" w:rsidRPr="00AF20AB" w:rsidRDefault="009E1F7A" w:rsidP="00F543D8">
            <w:pPr>
              <w:pStyle w:val="TableText0"/>
              <w:keepNext w:val="0"/>
              <w:widowControl w:val="0"/>
              <w:jc w:val="center"/>
              <w:rPr>
                <w:b/>
                <w:bCs w:val="0"/>
              </w:rPr>
            </w:pPr>
            <w:r w:rsidRPr="00AF20AB">
              <w:rPr>
                <w:b/>
                <w:bCs w:val="0"/>
              </w:rPr>
              <w:t>Total azacitidine</w:t>
            </w:r>
          </w:p>
        </w:tc>
        <w:tc>
          <w:tcPr>
            <w:tcW w:w="809" w:type="dxa"/>
            <w:vMerge w:val="restart"/>
            <w:tcBorders>
              <w:top w:val="double" w:sz="4" w:space="0" w:color="auto"/>
            </w:tcBorders>
            <w:vAlign w:val="center"/>
          </w:tcPr>
          <w:p w:rsidR="009E1F7A" w:rsidRPr="00AF20AB" w:rsidRDefault="009E1F7A" w:rsidP="00F543D8">
            <w:pPr>
              <w:pStyle w:val="TableText0"/>
              <w:keepNext w:val="0"/>
              <w:widowControl w:val="0"/>
              <w:jc w:val="center"/>
              <w:rPr>
                <w:b/>
                <w:bCs w:val="0"/>
                <w:vertAlign w:val="superscript"/>
              </w:rPr>
            </w:pPr>
            <w:r w:rsidRPr="00AF20AB">
              <w:rPr>
                <w:b/>
                <w:bCs w:val="0"/>
              </w:rPr>
              <w:t>Total BSC</w:t>
            </w:r>
            <w:r w:rsidR="005B2194" w:rsidRPr="00AF20AB">
              <w:rPr>
                <w:b/>
                <w:bCs w:val="0"/>
                <w:vertAlign w:val="superscript"/>
              </w:rPr>
              <w:t>a</w:t>
            </w:r>
          </w:p>
        </w:tc>
        <w:tc>
          <w:tcPr>
            <w:tcW w:w="971" w:type="dxa"/>
            <w:vMerge w:val="restart"/>
            <w:tcBorders>
              <w:top w:val="double" w:sz="4" w:space="0" w:color="auto"/>
            </w:tcBorders>
            <w:vAlign w:val="center"/>
          </w:tcPr>
          <w:p w:rsidR="009E1F7A" w:rsidRPr="00AF20AB" w:rsidRDefault="009E1F7A" w:rsidP="00F543D8">
            <w:pPr>
              <w:pStyle w:val="In-tableHeading"/>
              <w:keepNext w:val="0"/>
              <w:widowControl w:val="0"/>
              <w:jc w:val="center"/>
              <w:rPr>
                <w:lang w:val="en-AU"/>
              </w:rPr>
            </w:pPr>
            <w:r w:rsidRPr="00AF20AB">
              <w:rPr>
                <w:lang w:val="en-AU"/>
              </w:rPr>
              <w:t xml:space="preserve">RR </w:t>
            </w:r>
          </w:p>
          <w:p w:rsidR="009E1F7A" w:rsidRPr="00AF20AB" w:rsidRDefault="009E1F7A" w:rsidP="00F543D8">
            <w:pPr>
              <w:pStyle w:val="TableText0"/>
              <w:keepNext w:val="0"/>
              <w:widowControl w:val="0"/>
              <w:jc w:val="center"/>
              <w:rPr>
                <w:vertAlign w:val="superscript"/>
              </w:rPr>
            </w:pPr>
            <w:r w:rsidRPr="00AF20AB">
              <w:rPr>
                <w:b/>
                <w:bCs w:val="0"/>
              </w:rPr>
              <w:t>(95% CI)</w:t>
            </w:r>
            <w:r w:rsidR="005B2194" w:rsidRPr="00AF20AB">
              <w:rPr>
                <w:b/>
                <w:bCs w:val="0"/>
                <w:vertAlign w:val="superscript"/>
              </w:rPr>
              <w:t>a</w:t>
            </w:r>
          </w:p>
        </w:tc>
        <w:tc>
          <w:tcPr>
            <w:tcW w:w="992" w:type="dxa"/>
            <w:vMerge w:val="restart"/>
            <w:tcBorders>
              <w:top w:val="double" w:sz="4" w:space="0" w:color="auto"/>
            </w:tcBorders>
            <w:vAlign w:val="center"/>
          </w:tcPr>
          <w:p w:rsidR="009E1F7A" w:rsidRPr="00AF20AB" w:rsidRDefault="009E1F7A" w:rsidP="00F543D8">
            <w:pPr>
              <w:pStyle w:val="In-tableHeading"/>
              <w:keepNext w:val="0"/>
              <w:widowControl w:val="0"/>
              <w:jc w:val="center"/>
              <w:rPr>
                <w:lang w:val="en-AU"/>
              </w:rPr>
            </w:pPr>
            <w:r w:rsidRPr="00AF20AB">
              <w:rPr>
                <w:lang w:val="en-AU"/>
              </w:rPr>
              <w:t xml:space="preserve">RD </w:t>
            </w:r>
          </w:p>
          <w:p w:rsidR="009E1F7A" w:rsidRPr="00AF20AB" w:rsidRDefault="009E1F7A" w:rsidP="00F543D8">
            <w:pPr>
              <w:pStyle w:val="TableText0"/>
              <w:keepNext w:val="0"/>
              <w:widowControl w:val="0"/>
              <w:jc w:val="center"/>
              <w:rPr>
                <w:vertAlign w:val="superscript"/>
              </w:rPr>
            </w:pPr>
            <w:r w:rsidRPr="00AF20AB">
              <w:rPr>
                <w:b/>
                <w:bCs w:val="0"/>
              </w:rPr>
              <w:t>(95% CI)</w:t>
            </w:r>
            <w:r w:rsidR="005B2194" w:rsidRPr="00AF20AB">
              <w:rPr>
                <w:b/>
                <w:bCs w:val="0"/>
                <w:vertAlign w:val="superscript"/>
              </w:rPr>
              <w:t>a</w:t>
            </w:r>
          </w:p>
        </w:tc>
      </w:tr>
      <w:tr w:rsidR="009E1F7A" w:rsidRPr="00AF20AB" w:rsidTr="00F543D8">
        <w:tc>
          <w:tcPr>
            <w:tcW w:w="1416" w:type="dxa"/>
            <w:vMerge/>
            <w:vAlign w:val="center"/>
          </w:tcPr>
          <w:p w:rsidR="009E1F7A" w:rsidRPr="00AF20AB" w:rsidRDefault="009E1F7A" w:rsidP="00F543D8">
            <w:pPr>
              <w:pStyle w:val="TableText0"/>
              <w:keepNext w:val="0"/>
              <w:widowControl w:val="0"/>
            </w:pPr>
          </w:p>
        </w:tc>
        <w:tc>
          <w:tcPr>
            <w:tcW w:w="1018" w:type="dxa"/>
            <w:vAlign w:val="center"/>
          </w:tcPr>
          <w:p w:rsidR="009E1F7A" w:rsidRPr="00AF20AB" w:rsidRDefault="009E1F7A" w:rsidP="00F543D8">
            <w:pPr>
              <w:pStyle w:val="TableText0"/>
              <w:keepNext w:val="0"/>
              <w:widowControl w:val="0"/>
              <w:jc w:val="center"/>
              <w:rPr>
                <w:b/>
                <w:bCs w:val="0"/>
              </w:rPr>
            </w:pPr>
            <w:r w:rsidRPr="00AF20AB">
              <w:rPr>
                <w:b/>
                <w:bCs w:val="0"/>
              </w:rPr>
              <w:t>Azacitidine</w:t>
            </w:r>
          </w:p>
        </w:tc>
        <w:tc>
          <w:tcPr>
            <w:tcW w:w="837" w:type="dxa"/>
            <w:vAlign w:val="center"/>
          </w:tcPr>
          <w:p w:rsidR="009E1F7A" w:rsidRPr="00AF20AB" w:rsidRDefault="009E1F7A" w:rsidP="00F543D8">
            <w:pPr>
              <w:pStyle w:val="TableText0"/>
              <w:keepNext w:val="0"/>
              <w:widowControl w:val="0"/>
              <w:jc w:val="center"/>
              <w:rPr>
                <w:b/>
                <w:bCs w:val="0"/>
                <w:vertAlign w:val="superscript"/>
              </w:rPr>
            </w:pPr>
            <w:r w:rsidRPr="00AF20AB">
              <w:rPr>
                <w:b/>
                <w:bCs w:val="0"/>
              </w:rPr>
              <w:t>BSC</w:t>
            </w:r>
            <w:r w:rsidR="005B2194" w:rsidRPr="00AF20AB">
              <w:rPr>
                <w:b/>
                <w:bCs w:val="0"/>
                <w:vertAlign w:val="superscript"/>
              </w:rPr>
              <w:t>a</w:t>
            </w:r>
          </w:p>
        </w:tc>
        <w:tc>
          <w:tcPr>
            <w:tcW w:w="1018" w:type="dxa"/>
            <w:vAlign w:val="center"/>
          </w:tcPr>
          <w:p w:rsidR="009E1F7A" w:rsidRPr="00AF20AB" w:rsidRDefault="009E1F7A" w:rsidP="00F543D8">
            <w:pPr>
              <w:pStyle w:val="TableText0"/>
              <w:keepNext w:val="0"/>
              <w:widowControl w:val="0"/>
              <w:jc w:val="center"/>
              <w:rPr>
                <w:b/>
                <w:bCs w:val="0"/>
              </w:rPr>
            </w:pPr>
            <w:r w:rsidRPr="00AF20AB">
              <w:rPr>
                <w:b/>
                <w:bCs w:val="0"/>
              </w:rPr>
              <w:t>Azacitidine</w:t>
            </w:r>
          </w:p>
        </w:tc>
        <w:tc>
          <w:tcPr>
            <w:tcW w:w="863" w:type="dxa"/>
            <w:vAlign w:val="center"/>
          </w:tcPr>
          <w:p w:rsidR="009E1F7A" w:rsidRPr="00AF20AB" w:rsidRDefault="009E1F7A" w:rsidP="00F543D8">
            <w:pPr>
              <w:pStyle w:val="TableText0"/>
              <w:keepNext w:val="0"/>
              <w:widowControl w:val="0"/>
              <w:jc w:val="center"/>
              <w:rPr>
                <w:b/>
                <w:bCs w:val="0"/>
              </w:rPr>
            </w:pPr>
            <w:r w:rsidRPr="00AF20AB">
              <w:rPr>
                <w:b/>
                <w:bCs w:val="0"/>
              </w:rPr>
              <w:t>BSC</w:t>
            </w:r>
          </w:p>
        </w:tc>
        <w:tc>
          <w:tcPr>
            <w:tcW w:w="1143" w:type="dxa"/>
            <w:vMerge/>
            <w:vAlign w:val="center"/>
          </w:tcPr>
          <w:p w:rsidR="009E1F7A" w:rsidRPr="00AF20AB" w:rsidRDefault="009E1F7A" w:rsidP="00F543D8">
            <w:pPr>
              <w:pStyle w:val="TableText0"/>
              <w:keepNext w:val="0"/>
              <w:widowControl w:val="0"/>
              <w:jc w:val="center"/>
              <w:rPr>
                <w:b/>
                <w:bCs w:val="0"/>
              </w:rPr>
            </w:pPr>
          </w:p>
        </w:tc>
        <w:tc>
          <w:tcPr>
            <w:tcW w:w="809" w:type="dxa"/>
            <w:vMerge/>
            <w:vAlign w:val="center"/>
          </w:tcPr>
          <w:p w:rsidR="009E1F7A" w:rsidRPr="00AF20AB" w:rsidRDefault="009E1F7A" w:rsidP="00F543D8">
            <w:pPr>
              <w:pStyle w:val="TableText0"/>
              <w:keepNext w:val="0"/>
              <w:widowControl w:val="0"/>
              <w:jc w:val="center"/>
              <w:rPr>
                <w:b/>
                <w:bCs w:val="0"/>
              </w:rPr>
            </w:pPr>
          </w:p>
        </w:tc>
        <w:tc>
          <w:tcPr>
            <w:tcW w:w="971" w:type="dxa"/>
            <w:vMerge/>
            <w:vAlign w:val="center"/>
          </w:tcPr>
          <w:p w:rsidR="009E1F7A" w:rsidRPr="00AF20AB" w:rsidRDefault="009E1F7A" w:rsidP="00F543D8">
            <w:pPr>
              <w:pStyle w:val="TableText0"/>
              <w:keepNext w:val="0"/>
              <w:widowControl w:val="0"/>
              <w:jc w:val="center"/>
              <w:rPr>
                <w:b/>
                <w:bCs w:val="0"/>
              </w:rPr>
            </w:pPr>
          </w:p>
        </w:tc>
        <w:tc>
          <w:tcPr>
            <w:tcW w:w="992" w:type="dxa"/>
            <w:vMerge/>
            <w:vAlign w:val="center"/>
          </w:tcPr>
          <w:p w:rsidR="009E1F7A" w:rsidRPr="00AF20AB" w:rsidRDefault="009E1F7A" w:rsidP="00F543D8">
            <w:pPr>
              <w:pStyle w:val="TableText0"/>
              <w:keepNext w:val="0"/>
              <w:widowControl w:val="0"/>
              <w:jc w:val="center"/>
              <w:rPr>
                <w:b/>
                <w:bCs w:val="0"/>
              </w:rPr>
            </w:pPr>
          </w:p>
        </w:tc>
      </w:tr>
      <w:tr w:rsidR="009E1F7A" w:rsidRPr="00AF20AB" w:rsidTr="00F543D8">
        <w:tc>
          <w:tcPr>
            <w:tcW w:w="1416" w:type="dxa"/>
            <w:vAlign w:val="center"/>
          </w:tcPr>
          <w:p w:rsidR="009E1F7A" w:rsidRPr="00AF20AB" w:rsidRDefault="009E1F7A" w:rsidP="00F543D8">
            <w:pPr>
              <w:pStyle w:val="TableText0"/>
              <w:keepNext w:val="0"/>
              <w:widowControl w:val="0"/>
            </w:pPr>
            <w:r w:rsidRPr="00AF20AB">
              <w:t>Febrile neutropenia</w:t>
            </w:r>
          </w:p>
        </w:tc>
        <w:tc>
          <w:tcPr>
            <w:tcW w:w="1018" w:type="dxa"/>
            <w:vAlign w:val="center"/>
          </w:tcPr>
          <w:p w:rsidR="009E1F7A" w:rsidRPr="00AF20AB" w:rsidRDefault="009E1F7A" w:rsidP="00F543D8">
            <w:pPr>
              <w:pStyle w:val="TableText0"/>
              <w:keepNext w:val="0"/>
              <w:widowControl w:val="0"/>
              <w:jc w:val="center"/>
            </w:pPr>
            <w:r w:rsidRPr="00AF20AB">
              <w:t>NR</w:t>
            </w:r>
          </w:p>
        </w:tc>
        <w:tc>
          <w:tcPr>
            <w:tcW w:w="837" w:type="dxa"/>
            <w:vAlign w:val="center"/>
          </w:tcPr>
          <w:p w:rsidR="009E1F7A" w:rsidRPr="00AF20AB" w:rsidRDefault="009E1F7A" w:rsidP="00F543D8">
            <w:pPr>
              <w:pStyle w:val="TableText0"/>
              <w:keepNext w:val="0"/>
              <w:widowControl w:val="0"/>
              <w:jc w:val="center"/>
            </w:pPr>
            <w:r w:rsidRPr="00AF20AB">
              <w:t>NR</w:t>
            </w:r>
          </w:p>
        </w:tc>
        <w:tc>
          <w:tcPr>
            <w:tcW w:w="1018" w:type="dxa"/>
            <w:vAlign w:val="center"/>
          </w:tcPr>
          <w:p w:rsidR="009E1F7A" w:rsidRPr="00AF20AB" w:rsidRDefault="009E1F7A" w:rsidP="00F543D8">
            <w:pPr>
              <w:pStyle w:val="TableText0"/>
              <w:keepNext w:val="0"/>
              <w:widowControl w:val="0"/>
              <w:jc w:val="center"/>
            </w:pPr>
            <w:r w:rsidRPr="00AF20AB">
              <w:t>NR</w:t>
            </w:r>
          </w:p>
        </w:tc>
        <w:tc>
          <w:tcPr>
            <w:tcW w:w="863" w:type="dxa"/>
            <w:vAlign w:val="center"/>
          </w:tcPr>
          <w:p w:rsidR="009E1F7A" w:rsidRPr="00AF20AB" w:rsidRDefault="009E1F7A" w:rsidP="00F543D8">
            <w:pPr>
              <w:pStyle w:val="TableText0"/>
              <w:keepNext w:val="0"/>
              <w:widowControl w:val="0"/>
              <w:jc w:val="center"/>
            </w:pPr>
            <w:r w:rsidRPr="00AF20AB">
              <w:t>NR</w:t>
            </w:r>
          </w:p>
        </w:tc>
        <w:tc>
          <w:tcPr>
            <w:tcW w:w="1143" w:type="dxa"/>
            <w:vAlign w:val="center"/>
          </w:tcPr>
          <w:p w:rsidR="009E1F7A" w:rsidRPr="00AF20AB" w:rsidRDefault="009E1F7A" w:rsidP="00F543D8">
            <w:pPr>
              <w:pStyle w:val="TableText0"/>
              <w:keepNext w:val="0"/>
              <w:widowControl w:val="0"/>
              <w:jc w:val="center"/>
            </w:pPr>
            <w:r w:rsidRPr="00AF20AB">
              <w:t>NR</w:t>
            </w:r>
          </w:p>
        </w:tc>
        <w:tc>
          <w:tcPr>
            <w:tcW w:w="809" w:type="dxa"/>
            <w:vAlign w:val="center"/>
          </w:tcPr>
          <w:p w:rsidR="009E1F7A" w:rsidRPr="00AF20AB" w:rsidRDefault="009E1F7A" w:rsidP="00F543D8">
            <w:pPr>
              <w:pStyle w:val="TableText0"/>
              <w:keepNext w:val="0"/>
              <w:widowControl w:val="0"/>
              <w:jc w:val="center"/>
            </w:pPr>
            <w:r w:rsidRPr="00AF20AB">
              <w:t>NR</w:t>
            </w:r>
          </w:p>
        </w:tc>
        <w:tc>
          <w:tcPr>
            <w:tcW w:w="971" w:type="dxa"/>
            <w:vAlign w:val="center"/>
          </w:tcPr>
          <w:p w:rsidR="009E1F7A" w:rsidRPr="00AF20AB" w:rsidRDefault="009E1F7A" w:rsidP="00F543D8">
            <w:pPr>
              <w:pStyle w:val="TableText0"/>
              <w:keepNext w:val="0"/>
              <w:widowControl w:val="0"/>
              <w:jc w:val="center"/>
            </w:pPr>
            <w:r w:rsidRPr="00AF20AB">
              <w:t>NR</w:t>
            </w:r>
          </w:p>
        </w:tc>
        <w:tc>
          <w:tcPr>
            <w:tcW w:w="992" w:type="dxa"/>
            <w:vAlign w:val="center"/>
          </w:tcPr>
          <w:p w:rsidR="009E1F7A" w:rsidRPr="00AF20AB" w:rsidRDefault="009E1F7A" w:rsidP="00F543D8">
            <w:pPr>
              <w:pStyle w:val="TableText0"/>
              <w:keepNext w:val="0"/>
              <w:widowControl w:val="0"/>
              <w:jc w:val="center"/>
            </w:pPr>
            <w:r w:rsidRPr="00AF20AB">
              <w:t>NR</w:t>
            </w:r>
          </w:p>
        </w:tc>
      </w:tr>
      <w:tr w:rsidR="009E1F7A" w:rsidRPr="00AF20AB" w:rsidTr="00F543D8">
        <w:tc>
          <w:tcPr>
            <w:tcW w:w="1416" w:type="dxa"/>
            <w:vAlign w:val="center"/>
          </w:tcPr>
          <w:p w:rsidR="009E1F7A" w:rsidRPr="00AF20AB" w:rsidRDefault="009E1F7A" w:rsidP="00F543D8">
            <w:pPr>
              <w:pStyle w:val="TableText0"/>
              <w:keepNext w:val="0"/>
              <w:widowControl w:val="0"/>
            </w:pPr>
            <w:r w:rsidRPr="00AF20AB">
              <w:t>Neutropenia</w:t>
            </w:r>
          </w:p>
        </w:tc>
        <w:tc>
          <w:tcPr>
            <w:tcW w:w="1018" w:type="dxa"/>
            <w:vAlign w:val="center"/>
          </w:tcPr>
          <w:p w:rsidR="009E1F7A" w:rsidRPr="00AF20AB" w:rsidRDefault="009E1F7A" w:rsidP="00F543D8">
            <w:pPr>
              <w:pStyle w:val="TableText0"/>
              <w:keepNext w:val="0"/>
              <w:widowControl w:val="0"/>
              <w:jc w:val="center"/>
            </w:pPr>
            <w:r w:rsidRPr="00AF20AB">
              <w:t>104/114 (91.2%)</w:t>
            </w:r>
          </w:p>
        </w:tc>
        <w:tc>
          <w:tcPr>
            <w:tcW w:w="837" w:type="dxa"/>
            <w:vAlign w:val="center"/>
          </w:tcPr>
          <w:p w:rsidR="009E1F7A" w:rsidRPr="00AF20AB" w:rsidRDefault="009E1F7A" w:rsidP="00F543D8">
            <w:pPr>
              <w:pStyle w:val="TableText0"/>
              <w:keepNext w:val="0"/>
              <w:widowControl w:val="0"/>
              <w:jc w:val="center"/>
            </w:pPr>
            <w:r w:rsidRPr="00AF20AB">
              <w:t>70/1</w:t>
            </w:r>
            <w:r w:rsidR="006E5C2C" w:rsidRPr="00AF20AB">
              <w:t>02</w:t>
            </w:r>
            <w:r w:rsidRPr="00AF20AB">
              <w:t xml:space="preserve"> (6</w:t>
            </w:r>
            <w:r w:rsidR="006E5C2C" w:rsidRPr="00AF20AB">
              <w:t>8</w:t>
            </w:r>
            <w:r w:rsidRPr="00AF20AB">
              <w:t>.</w:t>
            </w:r>
            <w:r w:rsidR="006E5C2C" w:rsidRPr="00AF20AB">
              <w:t>6</w:t>
            </w:r>
            <w:r w:rsidRPr="00AF20AB">
              <w:t>%)</w:t>
            </w:r>
          </w:p>
        </w:tc>
        <w:tc>
          <w:tcPr>
            <w:tcW w:w="1018" w:type="dxa"/>
            <w:vAlign w:val="center"/>
          </w:tcPr>
          <w:p w:rsidR="009E1F7A" w:rsidRPr="00AF20AB" w:rsidRDefault="009E1F7A" w:rsidP="00F543D8">
            <w:pPr>
              <w:pStyle w:val="TableText0"/>
              <w:keepNext w:val="0"/>
              <w:widowControl w:val="0"/>
              <w:jc w:val="center"/>
            </w:pPr>
            <w:r w:rsidRPr="00AF20AB">
              <w:t>NR</w:t>
            </w:r>
          </w:p>
        </w:tc>
        <w:tc>
          <w:tcPr>
            <w:tcW w:w="863" w:type="dxa"/>
            <w:vAlign w:val="center"/>
          </w:tcPr>
          <w:p w:rsidR="009E1F7A" w:rsidRPr="00AF20AB" w:rsidRDefault="009E1F7A" w:rsidP="00F543D8">
            <w:pPr>
              <w:pStyle w:val="TableText0"/>
              <w:keepNext w:val="0"/>
              <w:widowControl w:val="0"/>
              <w:jc w:val="center"/>
            </w:pPr>
            <w:r w:rsidRPr="00AF20AB">
              <w:t>NR</w:t>
            </w:r>
          </w:p>
        </w:tc>
        <w:tc>
          <w:tcPr>
            <w:tcW w:w="1143" w:type="dxa"/>
            <w:vAlign w:val="center"/>
          </w:tcPr>
          <w:p w:rsidR="009E1F7A" w:rsidRPr="00AF20AB" w:rsidRDefault="009E1F7A" w:rsidP="00F543D8">
            <w:pPr>
              <w:pStyle w:val="TableText0"/>
              <w:keepNext w:val="0"/>
              <w:widowControl w:val="0"/>
              <w:jc w:val="center"/>
            </w:pPr>
            <w:r w:rsidRPr="00AF20AB">
              <w:t>104/114 (91.2%)</w:t>
            </w:r>
          </w:p>
        </w:tc>
        <w:tc>
          <w:tcPr>
            <w:tcW w:w="809" w:type="dxa"/>
            <w:vAlign w:val="center"/>
          </w:tcPr>
          <w:p w:rsidR="009E1F7A" w:rsidRPr="00AF20AB" w:rsidRDefault="005B2194" w:rsidP="00F543D8">
            <w:pPr>
              <w:pStyle w:val="TableText0"/>
              <w:keepNext w:val="0"/>
              <w:widowControl w:val="0"/>
              <w:jc w:val="center"/>
            </w:pPr>
            <w:r w:rsidRPr="00AF20AB">
              <w:t>70/102 (68.6%)</w:t>
            </w:r>
          </w:p>
        </w:tc>
        <w:tc>
          <w:tcPr>
            <w:tcW w:w="971" w:type="dxa"/>
            <w:vAlign w:val="center"/>
          </w:tcPr>
          <w:p w:rsidR="009E1F7A" w:rsidRPr="00AF20AB" w:rsidRDefault="005B2194" w:rsidP="00F543D8">
            <w:pPr>
              <w:pStyle w:val="TableText0"/>
              <w:keepNext w:val="0"/>
              <w:widowControl w:val="0"/>
              <w:jc w:val="center"/>
              <w:rPr>
                <w:b/>
                <w:bCs w:val="0"/>
              </w:rPr>
            </w:pPr>
            <w:r w:rsidRPr="00AF20AB">
              <w:rPr>
                <w:b/>
                <w:bCs w:val="0"/>
              </w:rPr>
              <w:t>1.33 [1.15, 1.53]</w:t>
            </w:r>
          </w:p>
        </w:tc>
        <w:tc>
          <w:tcPr>
            <w:tcW w:w="992" w:type="dxa"/>
            <w:vAlign w:val="center"/>
          </w:tcPr>
          <w:p w:rsidR="009E1F7A" w:rsidRPr="00AF20AB" w:rsidRDefault="005B2194" w:rsidP="00F543D8">
            <w:pPr>
              <w:pStyle w:val="TableText0"/>
              <w:keepNext w:val="0"/>
              <w:widowControl w:val="0"/>
              <w:jc w:val="center"/>
              <w:rPr>
                <w:b/>
                <w:bCs w:val="0"/>
              </w:rPr>
            </w:pPr>
            <w:r w:rsidRPr="00AF20AB">
              <w:rPr>
                <w:b/>
                <w:bCs w:val="0"/>
              </w:rPr>
              <w:t>0.23 [0.12, 0.33]</w:t>
            </w:r>
          </w:p>
        </w:tc>
      </w:tr>
      <w:tr w:rsidR="009E1F7A" w:rsidRPr="00AF20AB" w:rsidTr="00F543D8">
        <w:tc>
          <w:tcPr>
            <w:tcW w:w="1416" w:type="dxa"/>
            <w:vAlign w:val="center"/>
          </w:tcPr>
          <w:p w:rsidR="009E1F7A" w:rsidRPr="00AF20AB" w:rsidRDefault="009E1F7A" w:rsidP="00F543D8">
            <w:pPr>
              <w:pStyle w:val="TableText0"/>
              <w:keepNext w:val="0"/>
              <w:widowControl w:val="0"/>
            </w:pPr>
            <w:r w:rsidRPr="00AF20AB">
              <w:t>Thrombocytopenia</w:t>
            </w:r>
          </w:p>
        </w:tc>
        <w:tc>
          <w:tcPr>
            <w:tcW w:w="1018" w:type="dxa"/>
            <w:vAlign w:val="center"/>
          </w:tcPr>
          <w:p w:rsidR="009E1F7A" w:rsidRPr="00AF20AB" w:rsidRDefault="009E1F7A" w:rsidP="00F543D8">
            <w:pPr>
              <w:pStyle w:val="TableText0"/>
              <w:keepNext w:val="0"/>
              <w:widowControl w:val="0"/>
              <w:jc w:val="center"/>
            </w:pPr>
            <w:r w:rsidRPr="00AF20AB">
              <w:t>93/114 (81.6%)</w:t>
            </w:r>
          </w:p>
        </w:tc>
        <w:tc>
          <w:tcPr>
            <w:tcW w:w="837" w:type="dxa"/>
            <w:vAlign w:val="center"/>
          </w:tcPr>
          <w:p w:rsidR="005B2194" w:rsidRPr="00AF20AB" w:rsidRDefault="009E1F7A" w:rsidP="00F543D8">
            <w:pPr>
              <w:pStyle w:val="TableText0"/>
              <w:keepNext w:val="0"/>
              <w:widowControl w:val="0"/>
              <w:jc w:val="center"/>
            </w:pPr>
            <w:r w:rsidRPr="00AF20AB">
              <w:t>72/1</w:t>
            </w:r>
            <w:r w:rsidR="005B2194" w:rsidRPr="00AF20AB">
              <w:t>02</w:t>
            </w:r>
          </w:p>
          <w:p w:rsidR="009E1F7A" w:rsidRPr="00AF20AB" w:rsidRDefault="009E1F7A" w:rsidP="00F543D8">
            <w:pPr>
              <w:pStyle w:val="TableText0"/>
              <w:keepNext w:val="0"/>
              <w:widowControl w:val="0"/>
              <w:jc w:val="center"/>
            </w:pPr>
            <w:r w:rsidRPr="00AF20AB">
              <w:t>(</w:t>
            </w:r>
            <w:r w:rsidR="005B2194" w:rsidRPr="00AF20AB">
              <w:t>70</w:t>
            </w:r>
            <w:r w:rsidRPr="00AF20AB">
              <w:t>.</w:t>
            </w:r>
            <w:r w:rsidR="005B2194" w:rsidRPr="00AF20AB">
              <w:t>6</w:t>
            </w:r>
            <w:r w:rsidRPr="00AF20AB">
              <w:t>%)</w:t>
            </w:r>
          </w:p>
        </w:tc>
        <w:tc>
          <w:tcPr>
            <w:tcW w:w="1018" w:type="dxa"/>
            <w:vAlign w:val="center"/>
          </w:tcPr>
          <w:p w:rsidR="009E1F7A" w:rsidRPr="00AF20AB" w:rsidRDefault="009E1F7A" w:rsidP="00F543D8">
            <w:pPr>
              <w:pStyle w:val="TableText0"/>
              <w:keepNext w:val="0"/>
              <w:widowControl w:val="0"/>
              <w:jc w:val="center"/>
            </w:pPr>
            <w:r w:rsidRPr="00AF20AB">
              <w:t>70.0%</w:t>
            </w:r>
          </w:p>
        </w:tc>
        <w:tc>
          <w:tcPr>
            <w:tcW w:w="863" w:type="dxa"/>
            <w:vAlign w:val="center"/>
          </w:tcPr>
          <w:p w:rsidR="009E1F7A" w:rsidRPr="00AF20AB" w:rsidRDefault="009E1F7A" w:rsidP="00F543D8">
            <w:pPr>
              <w:pStyle w:val="TableText0"/>
              <w:keepNext w:val="0"/>
              <w:widowControl w:val="0"/>
              <w:jc w:val="center"/>
            </w:pPr>
            <w:r w:rsidRPr="00AF20AB">
              <w:t>NR</w:t>
            </w:r>
          </w:p>
        </w:tc>
        <w:tc>
          <w:tcPr>
            <w:tcW w:w="1143" w:type="dxa"/>
            <w:vAlign w:val="center"/>
          </w:tcPr>
          <w:p w:rsidR="009E1F7A" w:rsidRPr="00AF20AB" w:rsidRDefault="009E1F7A" w:rsidP="00F543D8">
            <w:pPr>
              <w:pStyle w:val="TableText0"/>
              <w:keepNext w:val="0"/>
              <w:widowControl w:val="0"/>
              <w:jc w:val="center"/>
            </w:pPr>
            <w:r w:rsidRPr="00AF20AB">
              <w:t>162/213 (76.1%)</w:t>
            </w:r>
          </w:p>
        </w:tc>
        <w:tc>
          <w:tcPr>
            <w:tcW w:w="809" w:type="dxa"/>
            <w:vAlign w:val="center"/>
          </w:tcPr>
          <w:p w:rsidR="005B2194" w:rsidRPr="00AF20AB" w:rsidRDefault="005B2194" w:rsidP="005B2194">
            <w:pPr>
              <w:pStyle w:val="TableText0"/>
              <w:keepNext w:val="0"/>
              <w:widowControl w:val="0"/>
              <w:jc w:val="center"/>
            </w:pPr>
            <w:r w:rsidRPr="00AF20AB">
              <w:t>72/102</w:t>
            </w:r>
          </w:p>
          <w:p w:rsidR="009E1F7A" w:rsidRPr="00AF20AB" w:rsidRDefault="005B2194" w:rsidP="005B2194">
            <w:pPr>
              <w:pStyle w:val="TableText0"/>
              <w:keepNext w:val="0"/>
              <w:widowControl w:val="0"/>
              <w:jc w:val="center"/>
            </w:pPr>
            <w:r w:rsidRPr="00AF20AB">
              <w:t>(70.6%)</w:t>
            </w:r>
          </w:p>
        </w:tc>
        <w:tc>
          <w:tcPr>
            <w:tcW w:w="971" w:type="dxa"/>
            <w:vAlign w:val="center"/>
          </w:tcPr>
          <w:p w:rsidR="009E1F7A" w:rsidRPr="00AF20AB" w:rsidRDefault="005B2194" w:rsidP="005B2194">
            <w:pPr>
              <w:pStyle w:val="TableText0"/>
              <w:keepNext w:val="0"/>
              <w:widowControl w:val="0"/>
              <w:jc w:val="center"/>
              <w:rPr>
                <w:b/>
                <w:bCs w:val="0"/>
              </w:rPr>
            </w:pPr>
            <w:r w:rsidRPr="00AF20AB">
              <w:rPr>
                <w:b/>
                <w:bCs w:val="0"/>
              </w:rPr>
              <w:t xml:space="preserve"> 1.08 [0.93, 1.25]</w:t>
            </w:r>
          </w:p>
        </w:tc>
        <w:tc>
          <w:tcPr>
            <w:tcW w:w="992" w:type="dxa"/>
            <w:vAlign w:val="center"/>
          </w:tcPr>
          <w:p w:rsidR="009E1F7A" w:rsidRPr="00AF20AB" w:rsidRDefault="005B2194" w:rsidP="005B2194">
            <w:pPr>
              <w:pStyle w:val="TableText0"/>
              <w:keepNext w:val="0"/>
              <w:widowControl w:val="0"/>
              <w:jc w:val="center"/>
              <w:rPr>
                <w:b/>
                <w:bCs w:val="0"/>
              </w:rPr>
            </w:pPr>
            <w:r w:rsidRPr="00AF20AB">
              <w:rPr>
                <w:b/>
                <w:bCs w:val="0"/>
              </w:rPr>
              <w:t xml:space="preserve"> 0.05 [-0.05, 0.16]</w:t>
            </w:r>
            <w:r w:rsidRPr="00AF20AB">
              <w:t xml:space="preserve"> </w:t>
            </w:r>
          </w:p>
        </w:tc>
      </w:tr>
    </w:tbl>
    <w:p w:rsidR="009E1F7A" w:rsidRPr="00AF20AB" w:rsidRDefault="009E1F7A" w:rsidP="009E1F7A">
      <w:pPr>
        <w:pStyle w:val="TableFigureFooter"/>
        <w:spacing w:after="0"/>
        <w:rPr>
          <w:sz w:val="20"/>
        </w:rPr>
      </w:pPr>
      <w:r w:rsidRPr="00AF20AB">
        <w:t>Source: Table 2.22, p97; Table 2.23, p98 of the submission.</w:t>
      </w:r>
    </w:p>
    <w:p w:rsidR="009E1F7A" w:rsidRPr="00AF20AB" w:rsidRDefault="009E1F7A" w:rsidP="005B2194">
      <w:pPr>
        <w:pStyle w:val="3-BodyText"/>
        <w:numPr>
          <w:ilvl w:val="0"/>
          <w:numId w:val="0"/>
        </w:numPr>
        <w:spacing w:after="0"/>
        <w:rPr>
          <w:rFonts w:ascii="Arial Narrow" w:eastAsia="Calibri" w:hAnsi="Arial Narrow"/>
          <w:sz w:val="18"/>
          <w:szCs w:val="18"/>
        </w:rPr>
      </w:pPr>
      <w:r w:rsidRPr="00AF20AB">
        <w:rPr>
          <w:rFonts w:ascii="Arial Narrow" w:eastAsia="Calibri" w:hAnsi="Arial Narrow"/>
          <w:sz w:val="18"/>
          <w:szCs w:val="18"/>
        </w:rPr>
        <w:t>BSC=best supportive care; CI=confidence interval; IV=intravenous; RD=risk difference; RR=relative risk; bold=statistically significant</w:t>
      </w:r>
    </w:p>
    <w:p w:rsidR="005B2194" w:rsidRPr="00AF20AB" w:rsidRDefault="005B2194" w:rsidP="00D736D4">
      <w:pPr>
        <w:pStyle w:val="3-BodyText"/>
        <w:numPr>
          <w:ilvl w:val="0"/>
          <w:numId w:val="0"/>
        </w:numPr>
        <w:rPr>
          <w:rFonts w:ascii="Arial Narrow" w:hAnsi="Arial Narrow"/>
          <w:sz w:val="18"/>
          <w:szCs w:val="18"/>
        </w:rPr>
      </w:pPr>
      <w:r w:rsidRPr="00AF20AB">
        <w:rPr>
          <w:rFonts w:ascii="Arial Narrow" w:hAnsi="Arial Narrow"/>
          <w:sz w:val="18"/>
          <w:szCs w:val="18"/>
          <w:vertAlign w:val="superscript"/>
        </w:rPr>
        <w:t>a</w:t>
      </w:r>
      <w:r w:rsidRPr="00AF20AB">
        <w:rPr>
          <w:rFonts w:ascii="Arial Narrow" w:hAnsi="Arial Narrow"/>
          <w:sz w:val="18"/>
          <w:szCs w:val="18"/>
        </w:rPr>
        <w:t xml:space="preserve"> </w:t>
      </w:r>
      <w:r w:rsidR="005D7310" w:rsidRPr="00AF20AB">
        <w:rPr>
          <w:rFonts w:ascii="Arial Narrow" w:hAnsi="Arial Narrow"/>
          <w:sz w:val="18"/>
          <w:szCs w:val="18"/>
        </w:rPr>
        <w:t xml:space="preserve">Values have been corrected to account for the correct number of patients in the BSC group of 102. </w:t>
      </w:r>
    </w:p>
    <w:p w:rsidR="009E1F7A" w:rsidRPr="00AF20AB" w:rsidRDefault="009E1F7A" w:rsidP="00D86231">
      <w:pPr>
        <w:pStyle w:val="3-BodyText"/>
      </w:pPr>
      <w:r w:rsidRPr="00AF20AB">
        <w:t>The submission stated that the most common serious AEs caused by treatment with decitabine were thrombocytopenia, neutropenia and febrile neutropenia, and for azacitidine, thrombocytopenia and neutropenia</w:t>
      </w:r>
      <w:r w:rsidR="00AF20AB">
        <w:t xml:space="preserve">. </w:t>
      </w:r>
      <w:r w:rsidRPr="00AF20AB">
        <w:rPr>
          <w:iCs/>
        </w:rPr>
        <w:t>The significant differences in the table above indicated greater occurrence of AEs for both decitabine IV and azacitidine compared to BSC.</w:t>
      </w:r>
      <w:r w:rsidR="00762ED3" w:rsidRPr="00AF20AB">
        <w:rPr>
          <w:iCs/>
        </w:rPr>
        <w:t xml:space="preserve"> The available retrospective reviews (Lee</w:t>
      </w:r>
      <w:r w:rsidR="00457CD4" w:rsidRPr="00457CD4">
        <w:t xml:space="preserve"> </w:t>
      </w:r>
      <w:r w:rsidR="00457CD4">
        <w:t xml:space="preserve">et al., </w:t>
      </w:r>
      <w:r w:rsidR="00762ED3" w:rsidRPr="00AF20AB">
        <w:rPr>
          <w:iCs/>
        </w:rPr>
        <w:t>2013; Lee</w:t>
      </w:r>
      <w:r w:rsidR="00457CD4">
        <w:rPr>
          <w:iCs/>
        </w:rPr>
        <w:t xml:space="preserve"> </w:t>
      </w:r>
      <w:r w:rsidR="00457CD4" w:rsidRPr="00AF20AB">
        <w:t xml:space="preserve">et al., </w:t>
      </w:r>
      <w:r w:rsidR="00457CD4" w:rsidRPr="00AF20AB">
        <w:rPr>
          <w:iCs/>
        </w:rPr>
        <w:t>2013a</w:t>
      </w:r>
      <w:r w:rsidR="00762ED3" w:rsidRPr="00AF20AB">
        <w:rPr>
          <w:iCs/>
        </w:rPr>
        <w:t xml:space="preserve">) </w:t>
      </w:r>
      <w:r w:rsidR="009713CB" w:rsidRPr="00AF20AB">
        <w:rPr>
          <w:iCs/>
        </w:rPr>
        <w:t xml:space="preserve">suggested </w:t>
      </w:r>
      <w:r w:rsidR="00762ED3" w:rsidRPr="00AF20AB">
        <w:rPr>
          <w:iCs/>
        </w:rPr>
        <w:t>that decitabine was associated with significantly more neutropenia and infectious episodes than azacitidine (</w:t>
      </w:r>
      <w:r w:rsidR="00CC6D41" w:rsidRPr="00AF20AB">
        <w:rPr>
          <w:iCs/>
        </w:rPr>
        <w:t xml:space="preserve">see </w:t>
      </w:r>
      <w:r w:rsidR="00762ED3" w:rsidRPr="00AF20AB">
        <w:rPr>
          <w:iCs/>
        </w:rPr>
        <w:t xml:space="preserve">Table </w:t>
      </w:r>
      <w:r w:rsidR="00A51716" w:rsidRPr="00AF20AB">
        <w:rPr>
          <w:iCs/>
        </w:rPr>
        <w:t>5</w:t>
      </w:r>
      <w:r w:rsidR="00762ED3" w:rsidRPr="00AF20AB">
        <w:rPr>
          <w:iCs/>
        </w:rPr>
        <w:t xml:space="preserve">). </w:t>
      </w:r>
    </w:p>
    <w:p w:rsidR="00C814DC" w:rsidRPr="00AF20AB" w:rsidRDefault="00500693" w:rsidP="00D86231">
      <w:pPr>
        <w:pStyle w:val="3-BodyText"/>
      </w:pPr>
      <w:r w:rsidRPr="00AF20AB">
        <w:rPr>
          <w:iCs/>
        </w:rPr>
        <w:t>T</w:t>
      </w:r>
      <w:r w:rsidR="00C814DC" w:rsidRPr="00AF20AB">
        <w:rPr>
          <w:iCs/>
        </w:rPr>
        <w:t>he submission claim</w:t>
      </w:r>
      <w:r w:rsidRPr="00AF20AB">
        <w:rPr>
          <w:iCs/>
        </w:rPr>
        <w:t>ed</w:t>
      </w:r>
      <w:r w:rsidR="00C814DC" w:rsidRPr="00AF20AB">
        <w:rPr>
          <w:iCs/>
        </w:rPr>
        <w:t xml:space="preserve"> non-inferior safety of decitabine IV compared to azacitidine</w:t>
      </w:r>
      <w:r w:rsidR="00AF20AB">
        <w:rPr>
          <w:iCs/>
        </w:rPr>
        <w:t xml:space="preserve">. </w:t>
      </w:r>
      <w:r w:rsidR="005126F6" w:rsidRPr="00AF20AB">
        <w:rPr>
          <w:iCs/>
        </w:rPr>
        <w:t xml:space="preserve">The ESC noted it would be difficult to draw conclusions on the safety of decitabine and azacitidine from the available trial data as the rates of key adverse events in the BSC arms across the trials varied greatly. </w:t>
      </w:r>
    </w:p>
    <w:p w:rsidR="001C5713" w:rsidRPr="00AF20AB" w:rsidRDefault="00C41225" w:rsidP="00C41225">
      <w:pPr>
        <w:pStyle w:val="3-BodyText"/>
        <w:rPr>
          <w:iCs/>
        </w:rPr>
      </w:pPr>
      <w:r w:rsidRPr="00AF20AB">
        <w:t xml:space="preserve">The pre-PBAC Response </w:t>
      </w:r>
      <w:r w:rsidR="008F6576" w:rsidRPr="00AF20AB">
        <w:t>stated that an indirect trial comparison</w:t>
      </w:r>
      <w:r w:rsidRPr="00AF20AB">
        <w:t xml:space="preserve"> of</w:t>
      </w:r>
      <w:r w:rsidR="008C459A" w:rsidRPr="00AF20AB">
        <w:t xml:space="preserve"> safety data was</w:t>
      </w:r>
      <w:r w:rsidRPr="00AF20AB">
        <w:t xml:space="preserve"> not originally provided in the submission in part due to some outcomes (i.e. febrile neutropenia) not being reported in the azacitidine studies. However, the pre-PBAC noted that rates</w:t>
      </w:r>
      <w:r w:rsidRPr="00AF20AB">
        <w:rPr>
          <w:iCs/>
        </w:rPr>
        <w:t xml:space="preserve"> of Grade 3/4 febrile neutropenia are provided in the TGA-approved PI for Vidaza.</w:t>
      </w:r>
      <w:r w:rsidRPr="00AF20AB">
        <w:t xml:space="preserve"> </w:t>
      </w:r>
      <w:r w:rsidRPr="00AF20AB">
        <w:rPr>
          <w:iCs/>
        </w:rPr>
        <w:t>The pre-PBAC Response</w:t>
      </w:r>
      <w:r w:rsidR="008F6576" w:rsidRPr="00AF20AB">
        <w:rPr>
          <w:iCs/>
        </w:rPr>
        <w:t xml:space="preserve"> provided an indirect comparison</w:t>
      </w:r>
      <w:r w:rsidRPr="00AF20AB">
        <w:rPr>
          <w:iCs/>
        </w:rPr>
        <w:t xml:space="preserve"> based on the AEs reported in the Product Information for Vidaza (see table below). The pre-PBAC Response noted there appeared to be a discrepancy between the rates of other AEs reported in the PI and the rates reported in the publication by Fenaux (2009) from which the safety data were originally sourced</w:t>
      </w:r>
      <w:r w:rsidR="008F6576" w:rsidRPr="00AF20AB">
        <w:rPr>
          <w:iCs/>
        </w:rPr>
        <w:t>.</w:t>
      </w:r>
    </w:p>
    <w:p w:rsidR="003F6493" w:rsidRDefault="003F6493">
      <w:pPr>
        <w:jc w:val="left"/>
        <w:rPr>
          <w:rStyle w:val="CommentReference"/>
          <w:bCs/>
          <w:snapToGrid w:val="0"/>
          <w:szCs w:val="24"/>
        </w:rPr>
      </w:pPr>
      <w:r>
        <w:rPr>
          <w:rStyle w:val="CommentReference"/>
          <w:bCs/>
          <w:szCs w:val="24"/>
        </w:rPr>
        <w:br w:type="page"/>
      </w:r>
    </w:p>
    <w:p w:rsidR="009D4032" w:rsidRPr="00AF20AB" w:rsidRDefault="009D4032" w:rsidP="009D4032">
      <w:pPr>
        <w:pStyle w:val="3-BodyText"/>
        <w:numPr>
          <w:ilvl w:val="0"/>
          <w:numId w:val="0"/>
        </w:numPr>
        <w:spacing w:after="0"/>
      </w:pPr>
      <w:r w:rsidRPr="00AF20AB">
        <w:rPr>
          <w:rStyle w:val="CommentReference"/>
          <w:bCs/>
          <w:szCs w:val="24"/>
        </w:rPr>
        <w:t>Table 10:</w:t>
      </w:r>
      <w:r w:rsidRPr="00AF20AB">
        <w:rPr>
          <w:rStyle w:val="CommentReference"/>
          <w:b w:val="0"/>
          <w:szCs w:val="24"/>
        </w:rPr>
        <w:t xml:space="preserve"> </w:t>
      </w:r>
      <w:r w:rsidRPr="00AF20AB">
        <w:rPr>
          <w:rFonts w:ascii="Arial Narrow" w:hAnsi="Arial Narrow"/>
          <w:b/>
          <w:bCs/>
          <w:sz w:val="20"/>
          <w:szCs w:val="20"/>
        </w:rPr>
        <w:t>Indirect trial comparison of safety data from decitabine trials (Kantarjian 2006 and Lubbert 2011) and Fenaux 2009 or Vidizia PI</w:t>
      </w:r>
    </w:p>
    <w:tbl>
      <w:tblPr>
        <w:tblStyle w:val="TableGrid"/>
        <w:tblW w:w="0" w:type="auto"/>
        <w:tblLook w:val="04A0" w:firstRow="1" w:lastRow="0" w:firstColumn="1" w:lastColumn="0" w:noHBand="0" w:noVBand="1"/>
        <w:tblCaption w:val="Table 10: Indirect trial comparison of safety data from decitabine trials (Kantarjian 2006 and Lubbert 2011) and Fenaux 2009 or Vidizia PI"/>
      </w:tblPr>
      <w:tblGrid>
        <w:gridCol w:w="2200"/>
        <w:gridCol w:w="1392"/>
        <w:gridCol w:w="1247"/>
        <w:gridCol w:w="1174"/>
        <w:gridCol w:w="1158"/>
        <w:gridCol w:w="1846"/>
      </w:tblGrid>
      <w:tr w:rsidR="004A1042" w:rsidRPr="00AF20AB" w:rsidTr="00C86C32">
        <w:trPr>
          <w:trHeight w:val="518"/>
          <w:tblHeader/>
        </w:trPr>
        <w:tc>
          <w:tcPr>
            <w:tcW w:w="0" w:type="auto"/>
          </w:tcPr>
          <w:p w:rsidR="001C5713" w:rsidRPr="00AF20AB" w:rsidRDefault="001C5713" w:rsidP="00F619BB">
            <w:pPr>
              <w:pStyle w:val="3-BodyText"/>
              <w:numPr>
                <w:ilvl w:val="0"/>
                <w:numId w:val="0"/>
              </w:numPr>
              <w:spacing w:after="0"/>
              <w:jc w:val="center"/>
              <w:rPr>
                <w:rFonts w:ascii="Arial Narrow" w:hAnsi="Arial Narrow"/>
                <w:b/>
                <w:sz w:val="20"/>
              </w:rPr>
            </w:pPr>
            <w:r w:rsidRPr="00AF20AB">
              <w:rPr>
                <w:rFonts w:ascii="Arial Narrow" w:hAnsi="Arial Narrow"/>
                <w:b/>
                <w:sz w:val="20"/>
              </w:rPr>
              <w:t>AE</w:t>
            </w:r>
          </w:p>
        </w:tc>
        <w:tc>
          <w:tcPr>
            <w:tcW w:w="0" w:type="auto"/>
          </w:tcPr>
          <w:p w:rsidR="001C5713" w:rsidRPr="00AF20AB" w:rsidRDefault="001C5713" w:rsidP="00F619BB">
            <w:pPr>
              <w:pStyle w:val="3-BodyText"/>
              <w:numPr>
                <w:ilvl w:val="0"/>
                <w:numId w:val="0"/>
              </w:numPr>
              <w:spacing w:after="0"/>
              <w:jc w:val="center"/>
              <w:rPr>
                <w:rFonts w:ascii="Arial Narrow" w:hAnsi="Arial Narrow"/>
                <w:b/>
                <w:sz w:val="20"/>
              </w:rPr>
            </w:pPr>
            <w:r w:rsidRPr="00AF20AB">
              <w:rPr>
                <w:rFonts w:ascii="Arial Narrow" w:hAnsi="Arial Narrow"/>
                <w:b/>
                <w:sz w:val="20"/>
              </w:rPr>
              <w:t>Azacitidine</w:t>
            </w:r>
          </w:p>
        </w:tc>
        <w:tc>
          <w:tcPr>
            <w:tcW w:w="0" w:type="auto"/>
          </w:tcPr>
          <w:p w:rsidR="001C5713" w:rsidRPr="00AF20AB" w:rsidRDefault="001C5713" w:rsidP="00F619BB">
            <w:pPr>
              <w:pStyle w:val="3-BodyText"/>
              <w:numPr>
                <w:ilvl w:val="0"/>
                <w:numId w:val="0"/>
              </w:numPr>
              <w:spacing w:after="0"/>
              <w:jc w:val="center"/>
              <w:rPr>
                <w:rFonts w:ascii="Arial Narrow" w:hAnsi="Arial Narrow"/>
                <w:b/>
                <w:sz w:val="20"/>
              </w:rPr>
            </w:pPr>
            <w:r w:rsidRPr="00AF20AB">
              <w:rPr>
                <w:rFonts w:ascii="Arial Narrow" w:hAnsi="Arial Narrow"/>
                <w:b/>
                <w:sz w:val="20"/>
              </w:rPr>
              <w:t>BSC</w:t>
            </w:r>
          </w:p>
        </w:tc>
        <w:tc>
          <w:tcPr>
            <w:tcW w:w="0" w:type="auto"/>
          </w:tcPr>
          <w:p w:rsidR="001C5713" w:rsidRPr="00AF20AB" w:rsidRDefault="001C5713" w:rsidP="00F619BB">
            <w:pPr>
              <w:autoSpaceDE w:val="0"/>
              <w:autoSpaceDN w:val="0"/>
              <w:adjustRightInd w:val="0"/>
              <w:jc w:val="center"/>
              <w:rPr>
                <w:rFonts w:ascii="Arial Narrow" w:hAnsi="Arial Narrow" w:cs="CIDFont+F7"/>
                <w:b/>
                <w:sz w:val="18"/>
                <w:szCs w:val="18"/>
              </w:rPr>
            </w:pPr>
            <w:r w:rsidRPr="00AF20AB">
              <w:rPr>
                <w:rFonts w:ascii="Arial Narrow" w:hAnsi="Arial Narrow" w:cs="CIDFont+F7"/>
                <w:b/>
                <w:sz w:val="18"/>
                <w:szCs w:val="18"/>
              </w:rPr>
              <w:t>RR (95% CI)</w:t>
            </w:r>
          </w:p>
          <w:p w:rsidR="001C5713" w:rsidRPr="00AF20AB" w:rsidRDefault="001C5713" w:rsidP="00F619BB">
            <w:pPr>
              <w:pStyle w:val="3-BodyText"/>
              <w:numPr>
                <w:ilvl w:val="0"/>
                <w:numId w:val="0"/>
              </w:numPr>
              <w:spacing w:after="0"/>
              <w:jc w:val="center"/>
              <w:rPr>
                <w:rFonts w:ascii="Arial Narrow" w:hAnsi="Arial Narrow"/>
                <w:b/>
                <w:sz w:val="20"/>
              </w:rPr>
            </w:pPr>
            <w:r w:rsidRPr="00AF20AB">
              <w:rPr>
                <w:rFonts w:ascii="Arial Narrow" w:hAnsi="Arial Narrow" w:cs="CIDFont+F7"/>
                <w:b/>
                <w:sz w:val="18"/>
                <w:szCs w:val="18"/>
              </w:rPr>
              <w:t>DEC vs BSC</w:t>
            </w:r>
          </w:p>
        </w:tc>
        <w:tc>
          <w:tcPr>
            <w:tcW w:w="0" w:type="auto"/>
          </w:tcPr>
          <w:p w:rsidR="001C5713" w:rsidRPr="00AF20AB" w:rsidRDefault="001C5713" w:rsidP="00F619BB">
            <w:pPr>
              <w:autoSpaceDE w:val="0"/>
              <w:autoSpaceDN w:val="0"/>
              <w:adjustRightInd w:val="0"/>
              <w:jc w:val="center"/>
              <w:rPr>
                <w:rFonts w:ascii="Arial Narrow" w:hAnsi="Arial Narrow" w:cs="CIDFont+F7"/>
                <w:b/>
                <w:sz w:val="18"/>
                <w:szCs w:val="18"/>
              </w:rPr>
            </w:pPr>
            <w:r w:rsidRPr="00AF20AB">
              <w:rPr>
                <w:rFonts w:ascii="Arial Narrow" w:hAnsi="Arial Narrow" w:cs="CIDFont+F7"/>
                <w:b/>
                <w:sz w:val="18"/>
                <w:szCs w:val="18"/>
              </w:rPr>
              <w:t>RR (95% CI)</w:t>
            </w:r>
          </w:p>
          <w:p w:rsidR="001C5713" w:rsidRPr="00AF20AB" w:rsidRDefault="001C5713" w:rsidP="00F619BB">
            <w:pPr>
              <w:pStyle w:val="3-BodyText"/>
              <w:numPr>
                <w:ilvl w:val="0"/>
                <w:numId w:val="0"/>
              </w:numPr>
              <w:spacing w:after="0"/>
              <w:jc w:val="center"/>
              <w:rPr>
                <w:rFonts w:ascii="Arial Narrow" w:hAnsi="Arial Narrow"/>
                <w:b/>
                <w:sz w:val="20"/>
              </w:rPr>
            </w:pPr>
            <w:r w:rsidRPr="00AF20AB">
              <w:rPr>
                <w:rFonts w:ascii="Arial Narrow" w:hAnsi="Arial Narrow" w:cs="CIDFont+F7"/>
                <w:b/>
                <w:sz w:val="18"/>
                <w:szCs w:val="18"/>
              </w:rPr>
              <w:t>AZA vs BSC</w:t>
            </w:r>
          </w:p>
        </w:tc>
        <w:tc>
          <w:tcPr>
            <w:tcW w:w="0" w:type="auto"/>
          </w:tcPr>
          <w:p w:rsidR="001C5713" w:rsidRPr="00AF20AB" w:rsidRDefault="001C5713" w:rsidP="00F619BB">
            <w:pPr>
              <w:autoSpaceDE w:val="0"/>
              <w:autoSpaceDN w:val="0"/>
              <w:adjustRightInd w:val="0"/>
              <w:jc w:val="center"/>
              <w:rPr>
                <w:rFonts w:ascii="Arial Narrow" w:hAnsi="Arial Narrow" w:cs="CIDFont+F7"/>
                <w:b/>
                <w:sz w:val="18"/>
                <w:szCs w:val="18"/>
              </w:rPr>
            </w:pPr>
            <w:r w:rsidRPr="00AF20AB">
              <w:rPr>
                <w:rFonts w:ascii="Arial Narrow" w:hAnsi="Arial Narrow" w:cs="CIDFont+F7"/>
                <w:b/>
                <w:sz w:val="18"/>
                <w:szCs w:val="18"/>
              </w:rPr>
              <w:t>RR (95% CI)</w:t>
            </w:r>
          </w:p>
          <w:p w:rsidR="001C5713" w:rsidRPr="00AF20AB" w:rsidRDefault="001C5713" w:rsidP="00F619BB">
            <w:pPr>
              <w:pStyle w:val="3-BodyText"/>
              <w:numPr>
                <w:ilvl w:val="0"/>
                <w:numId w:val="0"/>
              </w:numPr>
              <w:spacing w:after="0"/>
              <w:jc w:val="center"/>
              <w:rPr>
                <w:rFonts w:ascii="Arial Narrow" w:hAnsi="Arial Narrow"/>
                <w:b/>
                <w:sz w:val="20"/>
              </w:rPr>
            </w:pPr>
            <w:r w:rsidRPr="00AF20AB">
              <w:rPr>
                <w:rFonts w:ascii="Arial Narrow" w:hAnsi="Arial Narrow" w:cs="CIDFont+F7"/>
                <w:b/>
                <w:sz w:val="18"/>
                <w:szCs w:val="18"/>
              </w:rPr>
              <w:t>DEC vs AZA</w:t>
            </w:r>
          </w:p>
        </w:tc>
      </w:tr>
      <w:tr w:rsidR="00F619BB" w:rsidRPr="00AF20AB" w:rsidTr="00F619BB">
        <w:tc>
          <w:tcPr>
            <w:tcW w:w="0" w:type="auto"/>
            <w:gridSpan w:val="6"/>
          </w:tcPr>
          <w:p w:rsidR="00F619BB" w:rsidRPr="00AF20AB" w:rsidRDefault="00F619BB" w:rsidP="00F619BB">
            <w:pPr>
              <w:autoSpaceDE w:val="0"/>
              <w:autoSpaceDN w:val="0"/>
              <w:adjustRightInd w:val="0"/>
              <w:jc w:val="left"/>
              <w:rPr>
                <w:rFonts w:ascii="Arial Narrow" w:hAnsi="Arial Narrow" w:cs="CIDFont+F7"/>
                <w:b/>
                <w:sz w:val="20"/>
                <w:szCs w:val="18"/>
              </w:rPr>
            </w:pPr>
            <w:bookmarkStart w:id="15" w:name="_GoBack" w:colFirst="0" w:colLast="0"/>
            <w:r w:rsidRPr="00AF20AB">
              <w:rPr>
                <w:rFonts w:ascii="Arial Narrow" w:hAnsi="Arial Narrow" w:cs="CIDFont+F7"/>
                <w:b/>
                <w:sz w:val="20"/>
                <w:szCs w:val="18"/>
              </w:rPr>
              <w:t>Based on Vidizia PI</w:t>
            </w:r>
          </w:p>
        </w:tc>
      </w:tr>
      <w:bookmarkEnd w:id="15"/>
      <w:tr w:rsidR="004A1042" w:rsidRPr="00AF20AB" w:rsidTr="00F619BB">
        <w:tc>
          <w:tcPr>
            <w:tcW w:w="0" w:type="auto"/>
          </w:tcPr>
          <w:p w:rsidR="001C5713" w:rsidRPr="00AF20AB" w:rsidRDefault="001C5713" w:rsidP="0098232E">
            <w:pPr>
              <w:pStyle w:val="3-BodyText"/>
              <w:numPr>
                <w:ilvl w:val="0"/>
                <w:numId w:val="0"/>
              </w:numPr>
              <w:spacing w:after="0"/>
              <w:jc w:val="left"/>
              <w:rPr>
                <w:rFonts w:ascii="Arial Narrow" w:hAnsi="Arial Narrow"/>
                <w:sz w:val="20"/>
              </w:rPr>
            </w:pPr>
            <w:r w:rsidRPr="00AF20AB">
              <w:rPr>
                <w:rFonts w:ascii="Arial Narrow" w:hAnsi="Arial Narrow"/>
                <w:sz w:val="20"/>
              </w:rPr>
              <w:t>Neutropenia (Grade 3/4)</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22/175 (12.6%)</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CIDFont+F8" w:hAnsi="CIDFont+F8" w:cs="CIDFont+F8"/>
                <w:sz w:val="18"/>
                <w:szCs w:val="18"/>
              </w:rPr>
              <w:t>7/102 (6.0%)</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1.5 (1.23, 1.83)</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2.83 (1.92, 4.18)</w:t>
            </w:r>
          </w:p>
        </w:tc>
        <w:tc>
          <w:tcPr>
            <w:tcW w:w="0" w:type="auto"/>
          </w:tcPr>
          <w:p w:rsidR="001C5713" w:rsidRPr="00AF20AB" w:rsidRDefault="004A1042" w:rsidP="0098232E">
            <w:pPr>
              <w:pStyle w:val="3-BodyText"/>
              <w:numPr>
                <w:ilvl w:val="0"/>
                <w:numId w:val="0"/>
              </w:numPr>
              <w:spacing w:after="0"/>
              <w:jc w:val="center"/>
              <w:rPr>
                <w:rFonts w:ascii="Arial Narrow" w:hAnsi="Arial Narrow"/>
                <w:b/>
                <w:sz w:val="20"/>
              </w:rPr>
            </w:pPr>
            <w:r w:rsidRPr="00AF20AB">
              <w:rPr>
                <w:rFonts w:ascii="Arial Narrow" w:hAnsi="Arial Narrow"/>
                <w:b/>
                <w:sz w:val="20"/>
              </w:rPr>
              <w:t>0.53 (0.34, 0.82); P=0.0044</w:t>
            </w:r>
          </w:p>
        </w:tc>
      </w:tr>
      <w:tr w:rsidR="004A1042" w:rsidRPr="00AF20AB" w:rsidTr="00F619BB">
        <w:tc>
          <w:tcPr>
            <w:tcW w:w="0" w:type="auto"/>
          </w:tcPr>
          <w:p w:rsidR="001C5713" w:rsidRPr="00AF20AB" w:rsidRDefault="004A1042" w:rsidP="0098232E">
            <w:pPr>
              <w:pStyle w:val="3-BodyText"/>
              <w:numPr>
                <w:ilvl w:val="0"/>
                <w:numId w:val="0"/>
              </w:numPr>
              <w:spacing w:after="0"/>
              <w:jc w:val="left"/>
              <w:rPr>
                <w:rFonts w:ascii="Arial Narrow" w:hAnsi="Arial Narrow"/>
                <w:sz w:val="20"/>
              </w:rPr>
            </w:pPr>
            <w:r w:rsidRPr="00AF20AB">
              <w:rPr>
                <w:rFonts w:ascii="Arial Narrow" w:hAnsi="Arial Narrow"/>
                <w:sz w:val="20"/>
              </w:rPr>
              <w:t>Thrombocytopenia (Grade 3/4)</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107/175 (61.1%)</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22/102 (21.6%)</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1.98 (1.52, 2.58)</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2.05 (1.47, 2.86)</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0.97 (0.63, 1.48); P=0.8727</w:t>
            </w:r>
          </w:p>
        </w:tc>
      </w:tr>
      <w:tr w:rsidR="004A1042" w:rsidRPr="00AF20AB" w:rsidTr="00F619BB">
        <w:tc>
          <w:tcPr>
            <w:tcW w:w="0" w:type="auto"/>
          </w:tcPr>
          <w:p w:rsidR="001C5713" w:rsidRPr="00AF20AB" w:rsidRDefault="004A1042" w:rsidP="0098232E">
            <w:pPr>
              <w:pStyle w:val="3-BodyText"/>
              <w:numPr>
                <w:ilvl w:val="0"/>
                <w:numId w:val="0"/>
              </w:numPr>
              <w:spacing w:after="0"/>
              <w:jc w:val="left"/>
              <w:rPr>
                <w:rFonts w:ascii="Arial Narrow" w:hAnsi="Arial Narrow"/>
                <w:sz w:val="20"/>
              </w:rPr>
            </w:pPr>
            <w:r w:rsidRPr="00AF20AB">
              <w:rPr>
                <w:rFonts w:ascii="Arial Narrow" w:hAnsi="Arial Narrow"/>
                <w:sz w:val="20"/>
              </w:rPr>
              <w:t>Febrile neutropenia (Grade 3/4)</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102/175 (58.3%)</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29/102 (28.4%)</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6.18 (1.9, 20.09)</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1.83 (0.81, 4.14)</w:t>
            </w:r>
          </w:p>
        </w:tc>
        <w:tc>
          <w:tcPr>
            <w:tcW w:w="0" w:type="auto"/>
          </w:tcPr>
          <w:p w:rsidR="001C5713" w:rsidRPr="00AF20AB" w:rsidRDefault="004A1042" w:rsidP="0098232E">
            <w:pPr>
              <w:pStyle w:val="3-BodyText"/>
              <w:numPr>
                <w:ilvl w:val="0"/>
                <w:numId w:val="0"/>
              </w:numPr>
              <w:spacing w:after="0"/>
              <w:jc w:val="center"/>
              <w:rPr>
                <w:rFonts w:ascii="Arial Narrow" w:hAnsi="Arial Narrow"/>
                <w:sz w:val="20"/>
              </w:rPr>
            </w:pPr>
            <w:r w:rsidRPr="00AF20AB">
              <w:rPr>
                <w:rFonts w:ascii="Arial Narrow" w:hAnsi="Arial Narrow"/>
                <w:sz w:val="20"/>
              </w:rPr>
              <w:t>3.38 (0.81, 14.17); P=0.0962</w:t>
            </w:r>
          </w:p>
        </w:tc>
      </w:tr>
      <w:tr w:rsidR="00F619BB" w:rsidRPr="00AF20AB" w:rsidTr="00F619BB">
        <w:tc>
          <w:tcPr>
            <w:tcW w:w="0" w:type="auto"/>
            <w:gridSpan w:val="6"/>
          </w:tcPr>
          <w:p w:rsidR="00F619BB" w:rsidRPr="00AF20AB" w:rsidRDefault="00F619BB" w:rsidP="0098232E">
            <w:pPr>
              <w:pStyle w:val="3-BodyText"/>
              <w:numPr>
                <w:ilvl w:val="0"/>
                <w:numId w:val="0"/>
              </w:numPr>
              <w:spacing w:after="0"/>
              <w:jc w:val="left"/>
              <w:rPr>
                <w:rFonts w:ascii="Arial Narrow" w:hAnsi="Arial Narrow"/>
                <w:b/>
                <w:sz w:val="20"/>
              </w:rPr>
            </w:pPr>
            <w:r w:rsidRPr="00AF20AB">
              <w:rPr>
                <w:rFonts w:ascii="Arial Narrow" w:hAnsi="Arial Narrow"/>
                <w:b/>
                <w:sz w:val="20"/>
              </w:rPr>
              <w:t>Based on Fenaux (2009)</w:t>
            </w:r>
          </w:p>
        </w:tc>
      </w:tr>
      <w:tr w:rsidR="0098232E" w:rsidRPr="00AF20AB" w:rsidTr="00F619BB">
        <w:tc>
          <w:tcPr>
            <w:tcW w:w="0" w:type="auto"/>
          </w:tcPr>
          <w:p w:rsidR="0098232E" w:rsidRPr="00AF20AB" w:rsidRDefault="0098232E" w:rsidP="0098232E">
            <w:pPr>
              <w:pStyle w:val="3-BodyText"/>
              <w:numPr>
                <w:ilvl w:val="0"/>
                <w:numId w:val="0"/>
              </w:numPr>
              <w:spacing w:after="0"/>
              <w:jc w:val="left"/>
              <w:rPr>
                <w:rFonts w:ascii="Arial Narrow" w:hAnsi="Arial Narrow"/>
                <w:sz w:val="20"/>
              </w:rPr>
            </w:pPr>
            <w:r w:rsidRPr="00AF20AB">
              <w:rPr>
                <w:rFonts w:ascii="Arial Narrow" w:hAnsi="Arial Narrow"/>
                <w:sz w:val="20"/>
              </w:rPr>
              <w:t>Neutropenia (Grade 3/4)</w:t>
            </w:r>
          </w:p>
        </w:tc>
        <w:tc>
          <w:tcPr>
            <w:tcW w:w="0" w:type="auto"/>
          </w:tcPr>
          <w:p w:rsidR="0098232E" w:rsidRPr="00AF20AB" w:rsidRDefault="0098232E" w:rsidP="0098232E">
            <w:pPr>
              <w:pStyle w:val="3-BodyText"/>
              <w:numPr>
                <w:ilvl w:val="0"/>
                <w:numId w:val="0"/>
              </w:numPr>
              <w:spacing w:after="0"/>
              <w:jc w:val="center"/>
              <w:rPr>
                <w:rFonts w:ascii="Arial Narrow" w:hAnsi="Arial Narrow"/>
                <w:sz w:val="20"/>
              </w:rPr>
            </w:pPr>
            <w:r w:rsidRPr="00AF20AB">
              <w:rPr>
                <w:rFonts w:ascii="CIDFont+F8" w:hAnsi="CIDFont+F8" w:cs="CIDFont+F8"/>
                <w:sz w:val="18"/>
                <w:szCs w:val="18"/>
              </w:rPr>
              <w:t>104/114 (91.2%)</w:t>
            </w:r>
          </w:p>
        </w:tc>
        <w:tc>
          <w:tcPr>
            <w:tcW w:w="0" w:type="auto"/>
          </w:tcPr>
          <w:p w:rsidR="0098232E" w:rsidRPr="00AF20AB" w:rsidRDefault="0098232E" w:rsidP="0098232E">
            <w:pPr>
              <w:pStyle w:val="3-BodyText"/>
              <w:numPr>
                <w:ilvl w:val="0"/>
                <w:numId w:val="0"/>
              </w:numPr>
              <w:spacing w:after="0"/>
              <w:jc w:val="center"/>
              <w:rPr>
                <w:rFonts w:ascii="Arial Narrow" w:hAnsi="Arial Narrow"/>
                <w:sz w:val="20"/>
              </w:rPr>
            </w:pPr>
            <w:r w:rsidRPr="00AF20AB">
              <w:rPr>
                <w:rFonts w:ascii="CIDFont+F8" w:hAnsi="CIDFont+F8" w:cs="CIDFont+F8"/>
                <w:sz w:val="18"/>
                <w:szCs w:val="18"/>
              </w:rPr>
              <w:t>70/102 (68.6%)</w:t>
            </w:r>
          </w:p>
        </w:tc>
        <w:tc>
          <w:tcPr>
            <w:tcW w:w="0" w:type="auto"/>
          </w:tcPr>
          <w:p w:rsidR="0098232E" w:rsidRPr="00AF20AB" w:rsidRDefault="0098232E" w:rsidP="0098232E">
            <w:pPr>
              <w:pStyle w:val="3-BodyText"/>
              <w:numPr>
                <w:ilvl w:val="0"/>
                <w:numId w:val="0"/>
              </w:numPr>
              <w:spacing w:after="0"/>
              <w:jc w:val="center"/>
              <w:rPr>
                <w:rFonts w:ascii="Arial Narrow" w:hAnsi="Arial Narrow"/>
                <w:sz w:val="20"/>
              </w:rPr>
            </w:pPr>
            <w:r w:rsidRPr="00AF20AB">
              <w:rPr>
                <w:rFonts w:ascii="Arial Narrow" w:hAnsi="Arial Narrow"/>
                <w:sz w:val="20"/>
              </w:rPr>
              <w:t>1.5 (1.23, 1.83)</w:t>
            </w:r>
          </w:p>
        </w:tc>
        <w:tc>
          <w:tcPr>
            <w:tcW w:w="0" w:type="auto"/>
          </w:tcPr>
          <w:p w:rsidR="0098232E" w:rsidRPr="00AF20AB" w:rsidRDefault="0098232E" w:rsidP="0098232E">
            <w:pPr>
              <w:pStyle w:val="3-BodyText"/>
              <w:numPr>
                <w:ilvl w:val="0"/>
                <w:numId w:val="0"/>
              </w:numPr>
              <w:spacing w:after="0"/>
              <w:jc w:val="center"/>
              <w:rPr>
                <w:rFonts w:ascii="Arial Narrow" w:hAnsi="Arial Narrow"/>
                <w:sz w:val="20"/>
              </w:rPr>
            </w:pPr>
            <w:r w:rsidRPr="00AF20AB">
              <w:rPr>
                <w:rFonts w:ascii="Arial Narrow" w:hAnsi="Arial Narrow"/>
                <w:sz w:val="20"/>
              </w:rPr>
              <w:t>1.33 (1.15, 1.53)</w:t>
            </w:r>
          </w:p>
        </w:tc>
        <w:tc>
          <w:tcPr>
            <w:tcW w:w="0" w:type="auto"/>
          </w:tcPr>
          <w:p w:rsidR="0098232E" w:rsidRPr="00AF20AB" w:rsidRDefault="0098232E" w:rsidP="0098232E">
            <w:pPr>
              <w:pStyle w:val="3-BodyText"/>
              <w:numPr>
                <w:ilvl w:val="0"/>
                <w:numId w:val="0"/>
              </w:numPr>
              <w:spacing w:after="0"/>
              <w:jc w:val="center"/>
              <w:rPr>
                <w:rFonts w:ascii="Arial Narrow" w:hAnsi="Arial Narrow"/>
                <w:sz w:val="20"/>
              </w:rPr>
            </w:pPr>
            <w:r w:rsidRPr="00AF20AB">
              <w:rPr>
                <w:rFonts w:ascii="Arial Narrow" w:hAnsi="Arial Narrow"/>
                <w:sz w:val="20"/>
              </w:rPr>
              <w:t>1.13 (0.88, 1.44); P=0.3352</w:t>
            </w:r>
          </w:p>
        </w:tc>
      </w:tr>
      <w:tr w:rsidR="0098232E" w:rsidRPr="00AF20AB" w:rsidTr="00F619BB">
        <w:tc>
          <w:tcPr>
            <w:tcW w:w="0" w:type="auto"/>
          </w:tcPr>
          <w:p w:rsidR="0098232E" w:rsidRPr="00AF20AB" w:rsidRDefault="0098232E" w:rsidP="0098232E">
            <w:pPr>
              <w:pStyle w:val="3-BodyText"/>
              <w:numPr>
                <w:ilvl w:val="0"/>
                <w:numId w:val="0"/>
              </w:numPr>
              <w:spacing w:after="0"/>
              <w:jc w:val="left"/>
              <w:rPr>
                <w:rFonts w:ascii="Arial Narrow" w:hAnsi="Arial Narrow"/>
                <w:sz w:val="20"/>
              </w:rPr>
            </w:pPr>
            <w:r w:rsidRPr="00AF20AB">
              <w:rPr>
                <w:rFonts w:ascii="Arial Narrow" w:hAnsi="Arial Narrow"/>
                <w:sz w:val="20"/>
              </w:rPr>
              <w:t>Thrombocytopenia (Grade 3/4)</w:t>
            </w:r>
          </w:p>
        </w:tc>
        <w:tc>
          <w:tcPr>
            <w:tcW w:w="0" w:type="auto"/>
          </w:tcPr>
          <w:p w:rsidR="0098232E" w:rsidRPr="00AF20AB" w:rsidRDefault="0098232E" w:rsidP="0098232E">
            <w:pPr>
              <w:pStyle w:val="3-BodyText"/>
              <w:numPr>
                <w:ilvl w:val="0"/>
                <w:numId w:val="0"/>
              </w:numPr>
              <w:spacing w:after="0"/>
              <w:jc w:val="center"/>
              <w:rPr>
                <w:rFonts w:ascii="Arial Narrow" w:hAnsi="Arial Narrow"/>
                <w:sz w:val="20"/>
              </w:rPr>
            </w:pPr>
            <w:r w:rsidRPr="00AF20AB">
              <w:rPr>
                <w:rFonts w:ascii="CIDFont+F8" w:hAnsi="CIDFont+F8" w:cs="CIDFont+F8"/>
                <w:sz w:val="18"/>
                <w:szCs w:val="18"/>
              </w:rPr>
              <w:t>93/114 (81.6%)</w:t>
            </w:r>
          </w:p>
        </w:tc>
        <w:tc>
          <w:tcPr>
            <w:tcW w:w="0" w:type="auto"/>
          </w:tcPr>
          <w:p w:rsidR="0098232E" w:rsidRPr="00AF20AB" w:rsidRDefault="0098232E" w:rsidP="0098232E">
            <w:pPr>
              <w:pStyle w:val="3-BodyText"/>
              <w:numPr>
                <w:ilvl w:val="0"/>
                <w:numId w:val="0"/>
              </w:numPr>
              <w:spacing w:after="0"/>
              <w:jc w:val="center"/>
              <w:rPr>
                <w:rFonts w:ascii="Arial Narrow" w:hAnsi="Arial Narrow"/>
                <w:sz w:val="20"/>
              </w:rPr>
            </w:pPr>
            <w:r w:rsidRPr="00AF20AB">
              <w:rPr>
                <w:rFonts w:ascii="Arial Narrow" w:hAnsi="Arial Narrow"/>
                <w:sz w:val="20"/>
              </w:rPr>
              <w:t>72/102 (70.6%)</w:t>
            </w:r>
          </w:p>
        </w:tc>
        <w:tc>
          <w:tcPr>
            <w:tcW w:w="0" w:type="auto"/>
          </w:tcPr>
          <w:p w:rsidR="0098232E" w:rsidRPr="00AF20AB" w:rsidRDefault="0098232E" w:rsidP="0098232E">
            <w:pPr>
              <w:pStyle w:val="3-BodyText"/>
              <w:numPr>
                <w:ilvl w:val="0"/>
                <w:numId w:val="0"/>
              </w:numPr>
              <w:spacing w:after="0"/>
              <w:jc w:val="center"/>
              <w:rPr>
                <w:rFonts w:ascii="Arial Narrow" w:hAnsi="Arial Narrow"/>
                <w:sz w:val="20"/>
              </w:rPr>
            </w:pPr>
            <w:r w:rsidRPr="00AF20AB">
              <w:rPr>
                <w:rFonts w:ascii="Arial Narrow" w:hAnsi="Arial Narrow"/>
                <w:sz w:val="20"/>
              </w:rPr>
              <w:t>1.98 (1.52, 2.58)</w:t>
            </w:r>
          </w:p>
        </w:tc>
        <w:tc>
          <w:tcPr>
            <w:tcW w:w="0" w:type="auto"/>
          </w:tcPr>
          <w:p w:rsidR="0098232E" w:rsidRPr="00AF20AB" w:rsidRDefault="0098232E" w:rsidP="0098232E">
            <w:pPr>
              <w:pStyle w:val="3-BodyText"/>
              <w:numPr>
                <w:ilvl w:val="0"/>
                <w:numId w:val="0"/>
              </w:numPr>
              <w:spacing w:after="0"/>
              <w:jc w:val="center"/>
              <w:rPr>
                <w:rFonts w:ascii="Arial Narrow" w:hAnsi="Arial Narrow"/>
                <w:sz w:val="20"/>
              </w:rPr>
            </w:pPr>
            <w:r w:rsidRPr="00AF20AB">
              <w:rPr>
                <w:rFonts w:ascii="Arial Narrow" w:hAnsi="Arial Narrow"/>
                <w:sz w:val="20"/>
              </w:rPr>
              <w:t>1.08 (0.93, 1.25)</w:t>
            </w:r>
          </w:p>
        </w:tc>
        <w:tc>
          <w:tcPr>
            <w:tcW w:w="0" w:type="auto"/>
          </w:tcPr>
          <w:p w:rsidR="0098232E" w:rsidRPr="00AF20AB" w:rsidRDefault="0098232E" w:rsidP="00CC6DE8">
            <w:pPr>
              <w:pStyle w:val="3-BodyText"/>
              <w:numPr>
                <w:ilvl w:val="0"/>
                <w:numId w:val="0"/>
              </w:numPr>
              <w:spacing w:after="0"/>
              <w:jc w:val="center"/>
              <w:rPr>
                <w:rFonts w:ascii="Arial Narrow" w:hAnsi="Arial Narrow"/>
                <w:sz w:val="20"/>
              </w:rPr>
            </w:pPr>
            <w:r w:rsidRPr="00AF20AB">
              <w:rPr>
                <w:rFonts w:ascii="Arial Narrow" w:hAnsi="Arial Narrow"/>
                <w:sz w:val="20"/>
              </w:rPr>
              <w:t>1.83 (1.35, 2.48); P=0.0001</w:t>
            </w:r>
          </w:p>
        </w:tc>
      </w:tr>
      <w:tr w:rsidR="0098232E" w:rsidRPr="00AF20AB" w:rsidTr="00F619BB">
        <w:tc>
          <w:tcPr>
            <w:tcW w:w="0" w:type="auto"/>
          </w:tcPr>
          <w:p w:rsidR="0098232E" w:rsidRPr="00AF20AB" w:rsidRDefault="0098232E" w:rsidP="0098232E">
            <w:pPr>
              <w:pStyle w:val="3-BodyText"/>
              <w:numPr>
                <w:ilvl w:val="0"/>
                <w:numId w:val="0"/>
              </w:numPr>
              <w:spacing w:after="0"/>
              <w:jc w:val="left"/>
              <w:rPr>
                <w:rFonts w:ascii="Arial Narrow" w:hAnsi="Arial Narrow"/>
                <w:sz w:val="20"/>
              </w:rPr>
            </w:pPr>
            <w:r w:rsidRPr="00AF20AB">
              <w:rPr>
                <w:rFonts w:ascii="Arial Narrow" w:hAnsi="Arial Narrow"/>
                <w:sz w:val="20"/>
              </w:rPr>
              <w:t>Febrile neutropenia (Grade 3/4)</w:t>
            </w:r>
          </w:p>
        </w:tc>
        <w:tc>
          <w:tcPr>
            <w:tcW w:w="0" w:type="auto"/>
          </w:tcPr>
          <w:p w:rsidR="0098232E" w:rsidRPr="00AF20AB" w:rsidRDefault="0098232E" w:rsidP="0098232E">
            <w:pPr>
              <w:pStyle w:val="3-BodyText"/>
              <w:numPr>
                <w:ilvl w:val="0"/>
                <w:numId w:val="0"/>
              </w:numPr>
              <w:spacing w:after="0"/>
              <w:jc w:val="center"/>
              <w:rPr>
                <w:rFonts w:ascii="Arial Narrow" w:hAnsi="Arial Narrow"/>
                <w:sz w:val="20"/>
              </w:rPr>
            </w:pPr>
            <w:r w:rsidRPr="00AF20AB">
              <w:rPr>
                <w:rFonts w:ascii="Arial Narrow" w:hAnsi="Arial Narrow"/>
                <w:sz w:val="20"/>
              </w:rPr>
              <w:t>NR</w:t>
            </w:r>
          </w:p>
        </w:tc>
        <w:tc>
          <w:tcPr>
            <w:tcW w:w="0" w:type="auto"/>
          </w:tcPr>
          <w:p w:rsidR="0098232E" w:rsidRPr="00AF20AB" w:rsidRDefault="0098232E" w:rsidP="0098232E">
            <w:pPr>
              <w:pStyle w:val="3-BodyText"/>
              <w:numPr>
                <w:ilvl w:val="0"/>
                <w:numId w:val="0"/>
              </w:numPr>
              <w:spacing w:after="0"/>
              <w:jc w:val="center"/>
              <w:rPr>
                <w:rFonts w:ascii="Arial Narrow" w:hAnsi="Arial Narrow"/>
                <w:sz w:val="20"/>
              </w:rPr>
            </w:pPr>
            <w:r w:rsidRPr="00AF20AB">
              <w:rPr>
                <w:rFonts w:ascii="Arial Narrow" w:hAnsi="Arial Narrow"/>
                <w:sz w:val="20"/>
              </w:rPr>
              <w:t>NR</w:t>
            </w:r>
          </w:p>
        </w:tc>
        <w:tc>
          <w:tcPr>
            <w:tcW w:w="0" w:type="auto"/>
          </w:tcPr>
          <w:p w:rsidR="0098232E" w:rsidRPr="00AF20AB" w:rsidRDefault="0098232E" w:rsidP="0098232E">
            <w:pPr>
              <w:pStyle w:val="3-BodyText"/>
              <w:numPr>
                <w:ilvl w:val="0"/>
                <w:numId w:val="0"/>
              </w:numPr>
              <w:spacing w:after="0"/>
              <w:jc w:val="center"/>
              <w:rPr>
                <w:rFonts w:ascii="Arial Narrow" w:hAnsi="Arial Narrow"/>
                <w:sz w:val="20"/>
              </w:rPr>
            </w:pPr>
            <w:r w:rsidRPr="00AF20AB">
              <w:rPr>
                <w:rFonts w:ascii="Arial Narrow" w:hAnsi="Arial Narrow"/>
                <w:sz w:val="20"/>
              </w:rPr>
              <w:t>6.18 (1.9, 20.09)</w:t>
            </w:r>
          </w:p>
        </w:tc>
        <w:tc>
          <w:tcPr>
            <w:tcW w:w="0" w:type="auto"/>
          </w:tcPr>
          <w:p w:rsidR="0098232E" w:rsidRPr="00AF20AB" w:rsidRDefault="009D4032" w:rsidP="0098232E">
            <w:pPr>
              <w:pStyle w:val="3-BodyText"/>
              <w:numPr>
                <w:ilvl w:val="0"/>
                <w:numId w:val="0"/>
              </w:numPr>
              <w:spacing w:after="0"/>
              <w:jc w:val="center"/>
              <w:rPr>
                <w:rFonts w:ascii="Arial Narrow" w:hAnsi="Arial Narrow"/>
                <w:sz w:val="20"/>
              </w:rPr>
            </w:pPr>
            <w:r w:rsidRPr="00AF20AB">
              <w:rPr>
                <w:rFonts w:ascii="Arial Narrow" w:hAnsi="Arial Narrow"/>
                <w:sz w:val="20"/>
              </w:rPr>
              <w:t>-</w:t>
            </w:r>
          </w:p>
        </w:tc>
        <w:tc>
          <w:tcPr>
            <w:tcW w:w="0" w:type="auto"/>
          </w:tcPr>
          <w:p w:rsidR="0098232E" w:rsidRPr="00AF20AB" w:rsidRDefault="009D4032" w:rsidP="0098232E">
            <w:pPr>
              <w:pStyle w:val="3-BodyText"/>
              <w:numPr>
                <w:ilvl w:val="0"/>
                <w:numId w:val="0"/>
              </w:numPr>
              <w:spacing w:after="0"/>
              <w:jc w:val="center"/>
              <w:rPr>
                <w:rFonts w:ascii="Arial Narrow" w:hAnsi="Arial Narrow"/>
                <w:sz w:val="20"/>
              </w:rPr>
            </w:pPr>
            <w:r w:rsidRPr="00AF20AB">
              <w:rPr>
                <w:rFonts w:ascii="Arial Narrow" w:hAnsi="Arial Narrow"/>
                <w:sz w:val="20"/>
              </w:rPr>
              <w:t>-</w:t>
            </w:r>
          </w:p>
        </w:tc>
      </w:tr>
    </w:tbl>
    <w:p w:rsidR="009D4032" w:rsidRPr="00AF20AB" w:rsidRDefault="009D4032" w:rsidP="009D4032">
      <w:pPr>
        <w:contextualSpacing/>
        <w:rPr>
          <w:rFonts w:ascii="Arial Narrow" w:hAnsi="Arial Narrow"/>
          <w:snapToGrid w:val="0"/>
          <w:sz w:val="18"/>
          <w:szCs w:val="22"/>
        </w:rPr>
      </w:pPr>
      <w:r w:rsidRPr="00AF20AB">
        <w:rPr>
          <w:rFonts w:ascii="Arial Narrow" w:hAnsi="Arial Narrow"/>
          <w:snapToGrid w:val="0"/>
          <w:sz w:val="18"/>
          <w:szCs w:val="22"/>
        </w:rPr>
        <w:t xml:space="preserve">Source: Table 2 of the pre-PBAC Response </w:t>
      </w:r>
    </w:p>
    <w:p w:rsidR="009D4032" w:rsidRPr="00AF20AB" w:rsidRDefault="009D4032" w:rsidP="009D4032">
      <w:pPr>
        <w:pStyle w:val="3-BodyText"/>
        <w:numPr>
          <w:ilvl w:val="0"/>
          <w:numId w:val="0"/>
        </w:numPr>
        <w:spacing w:after="0"/>
        <w:rPr>
          <w:rFonts w:ascii="Arial Narrow" w:eastAsia="Calibri" w:hAnsi="Arial Narrow"/>
          <w:sz w:val="18"/>
          <w:szCs w:val="18"/>
        </w:rPr>
      </w:pPr>
      <w:r w:rsidRPr="00AF20AB">
        <w:rPr>
          <w:rFonts w:ascii="Arial Narrow" w:eastAsia="Calibri" w:hAnsi="Arial Narrow"/>
          <w:sz w:val="18"/>
          <w:szCs w:val="18"/>
        </w:rPr>
        <w:t xml:space="preserve">BSC=best supportive care; CI=confidence interval; IV=intravenous; </w:t>
      </w:r>
      <w:r w:rsidR="00C41225" w:rsidRPr="00AF20AB">
        <w:rPr>
          <w:rFonts w:ascii="Arial Narrow" w:eastAsia="Calibri" w:hAnsi="Arial Narrow"/>
          <w:sz w:val="18"/>
          <w:szCs w:val="18"/>
        </w:rPr>
        <w:t xml:space="preserve">PI=product information; </w:t>
      </w:r>
      <w:r w:rsidRPr="00AF20AB">
        <w:rPr>
          <w:rFonts w:ascii="Arial Narrow" w:eastAsia="Calibri" w:hAnsi="Arial Narrow"/>
          <w:sz w:val="18"/>
          <w:szCs w:val="18"/>
        </w:rPr>
        <w:t>RD=risk difference; RR=relative risk; bold=statistically significant</w:t>
      </w:r>
    </w:p>
    <w:p w:rsidR="009D4032" w:rsidRPr="00AF20AB" w:rsidRDefault="009D4032" w:rsidP="009D4032">
      <w:pPr>
        <w:contextualSpacing/>
        <w:rPr>
          <w:rFonts w:ascii="Arial Narrow" w:hAnsi="Arial Narrow"/>
          <w:snapToGrid w:val="0"/>
          <w:sz w:val="20"/>
          <w:szCs w:val="22"/>
        </w:rPr>
      </w:pPr>
    </w:p>
    <w:p w:rsidR="001C5713" w:rsidRPr="00AF20AB" w:rsidRDefault="008F6576" w:rsidP="009D6533">
      <w:pPr>
        <w:pStyle w:val="3-BodyText"/>
      </w:pPr>
      <w:r w:rsidRPr="00AF20AB">
        <w:t>The pre-PBAC Response noted that the results of show a statistically sign</w:t>
      </w:r>
      <w:r w:rsidR="004554AA" w:rsidRPr="00AF20AB">
        <w:t>ificant benefit in favour of decitabine</w:t>
      </w:r>
      <w:r w:rsidRPr="00AF20AB">
        <w:t xml:space="preserve"> relative to AZA in terms of neutropenia</w:t>
      </w:r>
      <w:r w:rsidR="009D6533" w:rsidRPr="00AF20AB">
        <w:t>.</w:t>
      </w:r>
      <w:r w:rsidR="00A97DEB" w:rsidRPr="00AF20AB">
        <w:t xml:space="preserve"> The PBAC considered that the interpretation of these results are uncertain given the heterogeneity between trials included in the submission and the </w:t>
      </w:r>
      <w:r w:rsidR="00864584" w:rsidRPr="00AF20AB">
        <w:t xml:space="preserve">uncertain applicability of the trials to the eligible PBS population. </w:t>
      </w:r>
    </w:p>
    <w:p w:rsidR="001B4B4E" w:rsidRPr="00AF20AB" w:rsidRDefault="00E44AAB" w:rsidP="00D86231">
      <w:pPr>
        <w:pStyle w:val="3-BodyText"/>
      </w:pPr>
      <w:r w:rsidRPr="00AF20AB">
        <w:rPr>
          <w:iCs/>
        </w:rPr>
        <w:t>T</w:t>
      </w:r>
      <w:r w:rsidR="001B4B4E" w:rsidRPr="00AF20AB">
        <w:rPr>
          <w:iCs/>
        </w:rPr>
        <w:t>he ASCERTAIN CSR stated (p103) that the treatment-related AEs of Grade ≥3 with the highest incidence were neutropenia, thrombocytopenia, anaemia, leukopenia and febrile neutropenia. A summary of these treatment-related AEs are provided in the table below, for both ASCERTAIN and ASX727-01-B.</w:t>
      </w:r>
    </w:p>
    <w:p w:rsidR="001B4B4E" w:rsidRPr="00AF20AB" w:rsidRDefault="001B4B4E" w:rsidP="001B5943">
      <w:pPr>
        <w:pStyle w:val="3-BodyText"/>
        <w:keepNext/>
        <w:keepLines/>
        <w:numPr>
          <w:ilvl w:val="0"/>
          <w:numId w:val="0"/>
        </w:numPr>
        <w:spacing w:after="0"/>
      </w:pPr>
      <w:r w:rsidRPr="00AF20AB">
        <w:rPr>
          <w:rStyle w:val="CommentReference"/>
          <w:bCs/>
          <w:szCs w:val="24"/>
        </w:rPr>
        <w:t xml:space="preserve">Table </w:t>
      </w:r>
      <w:r w:rsidR="00CF1BE4" w:rsidRPr="00AF20AB">
        <w:rPr>
          <w:rStyle w:val="CommentReference"/>
          <w:bCs/>
          <w:szCs w:val="24"/>
        </w:rPr>
        <w:t>1</w:t>
      </w:r>
      <w:r w:rsidR="0046096F" w:rsidRPr="00AF20AB">
        <w:rPr>
          <w:rStyle w:val="CommentReference"/>
          <w:bCs/>
          <w:szCs w:val="24"/>
        </w:rPr>
        <w:t>1</w:t>
      </w:r>
      <w:r w:rsidRPr="00AF20AB">
        <w:rPr>
          <w:rStyle w:val="CommentReference"/>
          <w:bCs/>
          <w:szCs w:val="24"/>
        </w:rPr>
        <w:t>:</w:t>
      </w:r>
      <w:r w:rsidRPr="00AF20AB">
        <w:rPr>
          <w:rStyle w:val="CommentReference"/>
          <w:b w:val="0"/>
          <w:szCs w:val="24"/>
        </w:rPr>
        <w:t xml:space="preserve"> </w:t>
      </w:r>
      <w:r w:rsidRPr="00AF20AB">
        <w:rPr>
          <w:rFonts w:ascii="Arial Narrow" w:hAnsi="Arial Narrow"/>
          <w:b/>
          <w:bCs/>
          <w:sz w:val="20"/>
          <w:szCs w:val="20"/>
        </w:rPr>
        <w:t>Summary of key treatment-related adverse events in the decitabine+cedazuridine pharmacokinetic trials</w:t>
      </w:r>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5"/>
        <w:gridCol w:w="1701"/>
        <w:gridCol w:w="1702"/>
        <w:gridCol w:w="1559"/>
        <w:gridCol w:w="1557"/>
      </w:tblGrid>
      <w:tr w:rsidR="001B4B4E" w:rsidRPr="00AF20AB" w:rsidTr="00F543D8">
        <w:trPr>
          <w:trHeight w:val="229"/>
        </w:trPr>
        <w:tc>
          <w:tcPr>
            <w:tcW w:w="2405" w:type="dxa"/>
            <w:vMerge w:val="restart"/>
            <w:vAlign w:val="center"/>
          </w:tcPr>
          <w:p w:rsidR="001B4B4E" w:rsidRPr="00AF20AB" w:rsidRDefault="001B4B4E" w:rsidP="001B5943">
            <w:pPr>
              <w:pStyle w:val="In-tableHeading"/>
              <w:keepLines/>
              <w:widowControl w:val="0"/>
              <w:rPr>
                <w:iCs/>
                <w:lang w:val="en-AU"/>
              </w:rPr>
            </w:pPr>
            <w:r w:rsidRPr="00AF20AB">
              <w:rPr>
                <w:iCs/>
                <w:lang w:val="en-AU"/>
              </w:rPr>
              <w:t>AE</w:t>
            </w:r>
          </w:p>
        </w:tc>
        <w:tc>
          <w:tcPr>
            <w:tcW w:w="1701" w:type="dxa"/>
            <w:vMerge w:val="restart"/>
            <w:vAlign w:val="center"/>
          </w:tcPr>
          <w:p w:rsidR="001B4B4E" w:rsidRPr="00AF20AB" w:rsidRDefault="001B4B4E" w:rsidP="001B5943">
            <w:pPr>
              <w:pStyle w:val="In-tableHeading"/>
              <w:keepLines/>
              <w:widowControl w:val="0"/>
              <w:jc w:val="center"/>
              <w:rPr>
                <w:iCs/>
                <w:lang w:val="en-AU"/>
              </w:rPr>
            </w:pPr>
            <w:r w:rsidRPr="00AF20AB">
              <w:rPr>
                <w:iCs/>
                <w:lang w:val="en-AU"/>
              </w:rPr>
              <w:t xml:space="preserve">IV decitabine </w:t>
            </w:r>
          </w:p>
          <w:p w:rsidR="001B4B4E" w:rsidRPr="00AF20AB" w:rsidRDefault="001B4B4E" w:rsidP="001B5943">
            <w:pPr>
              <w:pStyle w:val="In-tableHeading"/>
              <w:keepLines/>
              <w:widowControl w:val="0"/>
              <w:jc w:val="center"/>
              <w:rPr>
                <w:iCs/>
                <w:lang w:val="en-AU"/>
              </w:rPr>
            </w:pPr>
            <w:r w:rsidRPr="00AF20AB">
              <w:rPr>
                <w:iCs/>
                <w:lang w:val="en-AU"/>
              </w:rPr>
              <w:t>cycle 1 or 2 (N=132)</w:t>
            </w:r>
          </w:p>
        </w:tc>
        <w:tc>
          <w:tcPr>
            <w:tcW w:w="1702" w:type="dxa"/>
            <w:vMerge w:val="restart"/>
            <w:vAlign w:val="center"/>
          </w:tcPr>
          <w:p w:rsidR="001B4B4E" w:rsidRPr="00AF20AB" w:rsidRDefault="001B4B4E" w:rsidP="001B5943">
            <w:pPr>
              <w:pStyle w:val="In-tableHeading"/>
              <w:keepLines/>
              <w:widowControl w:val="0"/>
              <w:jc w:val="center"/>
              <w:rPr>
                <w:iCs/>
                <w:lang w:val="en-AU"/>
              </w:rPr>
            </w:pPr>
            <w:r w:rsidRPr="00AF20AB">
              <w:rPr>
                <w:iCs/>
                <w:lang w:val="en-AU"/>
              </w:rPr>
              <w:t>Decit+ced</w:t>
            </w:r>
          </w:p>
          <w:p w:rsidR="001B4B4E" w:rsidRPr="00AF20AB" w:rsidRDefault="001B4B4E" w:rsidP="001B5943">
            <w:pPr>
              <w:pStyle w:val="In-tableHeading"/>
              <w:keepLines/>
              <w:widowControl w:val="0"/>
              <w:jc w:val="center"/>
              <w:rPr>
                <w:iCs/>
                <w:lang w:val="en-AU"/>
              </w:rPr>
            </w:pPr>
            <w:r w:rsidRPr="00AF20AB">
              <w:rPr>
                <w:iCs/>
                <w:lang w:val="en-AU"/>
              </w:rPr>
              <w:t>cycle 1 or 2 (N=130)</w:t>
            </w:r>
          </w:p>
        </w:tc>
        <w:tc>
          <w:tcPr>
            <w:tcW w:w="1559" w:type="dxa"/>
            <w:vMerge w:val="restart"/>
            <w:vAlign w:val="center"/>
          </w:tcPr>
          <w:p w:rsidR="001B4B4E" w:rsidRPr="00AF20AB" w:rsidRDefault="001B4B4E" w:rsidP="001B5943">
            <w:pPr>
              <w:pStyle w:val="In-tableHeading"/>
              <w:keepLines/>
              <w:widowControl w:val="0"/>
              <w:jc w:val="center"/>
              <w:rPr>
                <w:iCs/>
                <w:lang w:val="en-AU"/>
              </w:rPr>
            </w:pPr>
            <w:r w:rsidRPr="00AF20AB">
              <w:rPr>
                <w:iCs/>
                <w:lang w:val="en-AU"/>
              </w:rPr>
              <w:t>Decit+ced</w:t>
            </w:r>
          </w:p>
          <w:p w:rsidR="001B4B4E" w:rsidRPr="00AF20AB" w:rsidRDefault="001B4B4E" w:rsidP="001B5943">
            <w:pPr>
              <w:pStyle w:val="In-tableHeading"/>
              <w:keepLines/>
              <w:widowControl w:val="0"/>
              <w:jc w:val="center"/>
              <w:rPr>
                <w:iCs/>
                <w:lang w:val="en-AU"/>
              </w:rPr>
            </w:pPr>
            <w:r w:rsidRPr="00AF20AB">
              <w:rPr>
                <w:iCs/>
                <w:lang w:val="en-AU"/>
              </w:rPr>
              <w:t>cycle ≥3 (N=119)</w:t>
            </w:r>
          </w:p>
        </w:tc>
        <w:tc>
          <w:tcPr>
            <w:tcW w:w="1557" w:type="dxa"/>
            <w:vMerge w:val="restart"/>
            <w:vAlign w:val="center"/>
          </w:tcPr>
          <w:p w:rsidR="001B4B4E" w:rsidRPr="00AF20AB" w:rsidRDefault="001B4B4E" w:rsidP="001B5943">
            <w:pPr>
              <w:pStyle w:val="In-tableHeading"/>
              <w:keepLines/>
              <w:widowControl w:val="0"/>
              <w:jc w:val="center"/>
              <w:rPr>
                <w:iCs/>
                <w:lang w:val="en-AU"/>
              </w:rPr>
            </w:pPr>
            <w:r w:rsidRPr="00AF20AB">
              <w:rPr>
                <w:iCs/>
                <w:lang w:val="en-AU"/>
              </w:rPr>
              <w:t>Decit+ced</w:t>
            </w:r>
          </w:p>
          <w:p w:rsidR="001B4B4E" w:rsidRPr="00AF20AB" w:rsidRDefault="001B4B4E" w:rsidP="001B5943">
            <w:pPr>
              <w:pStyle w:val="In-tableHeading"/>
              <w:keepLines/>
              <w:widowControl w:val="0"/>
              <w:jc w:val="center"/>
              <w:rPr>
                <w:iCs/>
                <w:lang w:val="en-AU"/>
              </w:rPr>
            </w:pPr>
            <w:r w:rsidRPr="00AF20AB">
              <w:rPr>
                <w:iCs/>
                <w:lang w:val="en-AU"/>
              </w:rPr>
              <w:t>Total (N=130)</w:t>
            </w:r>
          </w:p>
        </w:tc>
      </w:tr>
      <w:tr w:rsidR="001B4B4E" w:rsidRPr="00AF20AB" w:rsidTr="00F543D8">
        <w:trPr>
          <w:trHeight w:val="229"/>
        </w:trPr>
        <w:tc>
          <w:tcPr>
            <w:tcW w:w="2405" w:type="dxa"/>
            <w:vMerge/>
            <w:vAlign w:val="center"/>
          </w:tcPr>
          <w:p w:rsidR="001B4B4E" w:rsidRPr="00AF20AB" w:rsidRDefault="001B4B4E" w:rsidP="001B5943">
            <w:pPr>
              <w:pStyle w:val="In-tableHeading"/>
              <w:keepLines/>
              <w:widowControl w:val="0"/>
              <w:rPr>
                <w:iCs/>
                <w:lang w:val="en-AU"/>
              </w:rPr>
            </w:pPr>
          </w:p>
        </w:tc>
        <w:tc>
          <w:tcPr>
            <w:tcW w:w="1701" w:type="dxa"/>
            <w:vMerge/>
            <w:vAlign w:val="center"/>
          </w:tcPr>
          <w:p w:rsidR="001B4B4E" w:rsidRPr="00AF20AB" w:rsidRDefault="001B4B4E" w:rsidP="001B5943">
            <w:pPr>
              <w:pStyle w:val="In-tableHeading"/>
              <w:keepLines/>
              <w:widowControl w:val="0"/>
              <w:jc w:val="center"/>
              <w:rPr>
                <w:iCs/>
                <w:lang w:val="en-AU"/>
              </w:rPr>
            </w:pPr>
          </w:p>
        </w:tc>
        <w:tc>
          <w:tcPr>
            <w:tcW w:w="1702" w:type="dxa"/>
            <w:vMerge/>
            <w:vAlign w:val="center"/>
          </w:tcPr>
          <w:p w:rsidR="001B4B4E" w:rsidRPr="00AF20AB" w:rsidRDefault="001B4B4E" w:rsidP="001B5943">
            <w:pPr>
              <w:pStyle w:val="In-tableHeading"/>
              <w:keepLines/>
              <w:widowControl w:val="0"/>
              <w:jc w:val="center"/>
              <w:rPr>
                <w:iCs/>
                <w:lang w:val="en-AU"/>
              </w:rPr>
            </w:pPr>
          </w:p>
        </w:tc>
        <w:tc>
          <w:tcPr>
            <w:tcW w:w="1559" w:type="dxa"/>
            <w:vMerge/>
            <w:vAlign w:val="center"/>
          </w:tcPr>
          <w:p w:rsidR="001B4B4E" w:rsidRPr="00AF20AB" w:rsidRDefault="001B4B4E" w:rsidP="001B5943">
            <w:pPr>
              <w:pStyle w:val="In-tableHeading"/>
              <w:keepLines/>
              <w:widowControl w:val="0"/>
              <w:jc w:val="center"/>
              <w:rPr>
                <w:iCs/>
                <w:lang w:val="en-AU"/>
              </w:rPr>
            </w:pPr>
          </w:p>
        </w:tc>
        <w:tc>
          <w:tcPr>
            <w:tcW w:w="1557" w:type="dxa"/>
            <w:vMerge/>
            <w:vAlign w:val="center"/>
          </w:tcPr>
          <w:p w:rsidR="001B4B4E" w:rsidRPr="00AF20AB" w:rsidRDefault="001B4B4E" w:rsidP="001B5943">
            <w:pPr>
              <w:pStyle w:val="In-tableHeading"/>
              <w:keepLines/>
              <w:widowControl w:val="0"/>
              <w:jc w:val="center"/>
              <w:rPr>
                <w:iCs/>
                <w:lang w:val="en-AU"/>
              </w:rPr>
            </w:pPr>
          </w:p>
        </w:tc>
      </w:tr>
      <w:tr w:rsidR="001B4B4E" w:rsidRPr="00AF20AB" w:rsidTr="00F543D8">
        <w:tc>
          <w:tcPr>
            <w:tcW w:w="8924" w:type="dxa"/>
            <w:gridSpan w:val="5"/>
            <w:vAlign w:val="center"/>
          </w:tcPr>
          <w:p w:rsidR="001B4B4E" w:rsidRPr="00AF20AB" w:rsidRDefault="001B4B4E" w:rsidP="001B5943">
            <w:pPr>
              <w:pStyle w:val="TableText0"/>
              <w:keepLines/>
              <w:widowControl w:val="0"/>
              <w:rPr>
                <w:b/>
                <w:bCs w:val="0"/>
                <w:iCs/>
              </w:rPr>
            </w:pPr>
            <w:r w:rsidRPr="00AF20AB">
              <w:rPr>
                <w:b/>
                <w:bCs w:val="0"/>
                <w:iCs/>
              </w:rPr>
              <w:t>ASCERTAIN</w:t>
            </w:r>
          </w:p>
        </w:tc>
      </w:tr>
      <w:tr w:rsidR="001B4B4E" w:rsidRPr="00AF20AB" w:rsidTr="00F543D8">
        <w:tc>
          <w:tcPr>
            <w:tcW w:w="2405" w:type="dxa"/>
            <w:vAlign w:val="center"/>
          </w:tcPr>
          <w:p w:rsidR="001B4B4E" w:rsidRPr="00AF20AB" w:rsidRDefault="001B4B4E" w:rsidP="001B5943">
            <w:pPr>
              <w:pStyle w:val="TableText0"/>
              <w:keepLines/>
              <w:widowControl w:val="0"/>
              <w:rPr>
                <w:iCs/>
              </w:rPr>
            </w:pPr>
            <w:r w:rsidRPr="00AF20AB">
              <w:rPr>
                <w:iCs/>
              </w:rPr>
              <w:t>Number with at least one treatment-related AE Grade ≥3</w:t>
            </w:r>
          </w:p>
        </w:tc>
        <w:tc>
          <w:tcPr>
            <w:tcW w:w="1701" w:type="dxa"/>
            <w:vAlign w:val="center"/>
          </w:tcPr>
          <w:p w:rsidR="001B4B4E" w:rsidRPr="00AF20AB" w:rsidRDefault="001B4B4E" w:rsidP="001B5943">
            <w:pPr>
              <w:pStyle w:val="TableText0"/>
              <w:keepLines/>
              <w:widowControl w:val="0"/>
              <w:jc w:val="center"/>
              <w:rPr>
                <w:iCs/>
              </w:rPr>
            </w:pPr>
            <w:r w:rsidRPr="00AF20AB">
              <w:rPr>
                <w:iCs/>
              </w:rPr>
              <w:t>51 (38.6%)</w:t>
            </w:r>
          </w:p>
        </w:tc>
        <w:tc>
          <w:tcPr>
            <w:tcW w:w="1702" w:type="dxa"/>
            <w:vAlign w:val="center"/>
          </w:tcPr>
          <w:p w:rsidR="001B4B4E" w:rsidRPr="00AF20AB" w:rsidRDefault="001B4B4E" w:rsidP="001B5943">
            <w:pPr>
              <w:pStyle w:val="TableText0"/>
              <w:keepLines/>
              <w:widowControl w:val="0"/>
              <w:jc w:val="center"/>
              <w:rPr>
                <w:iCs/>
              </w:rPr>
            </w:pPr>
            <w:r w:rsidRPr="00AF20AB">
              <w:rPr>
                <w:iCs/>
              </w:rPr>
              <w:t>55 (42.3%)</w:t>
            </w:r>
          </w:p>
        </w:tc>
        <w:tc>
          <w:tcPr>
            <w:tcW w:w="1559" w:type="dxa"/>
            <w:vAlign w:val="center"/>
          </w:tcPr>
          <w:p w:rsidR="001B4B4E" w:rsidRPr="00AF20AB" w:rsidRDefault="001B4B4E" w:rsidP="001B5943">
            <w:pPr>
              <w:pStyle w:val="TableText0"/>
              <w:keepLines/>
              <w:widowControl w:val="0"/>
              <w:jc w:val="center"/>
              <w:rPr>
                <w:iCs/>
              </w:rPr>
            </w:pPr>
            <w:r w:rsidRPr="00AF20AB">
              <w:rPr>
                <w:iCs/>
              </w:rPr>
              <w:t>33 (27.7%)</w:t>
            </w:r>
          </w:p>
        </w:tc>
        <w:tc>
          <w:tcPr>
            <w:tcW w:w="1557" w:type="dxa"/>
            <w:vAlign w:val="center"/>
          </w:tcPr>
          <w:p w:rsidR="001B4B4E" w:rsidRPr="00AF20AB" w:rsidRDefault="001B4B4E" w:rsidP="001B5943">
            <w:pPr>
              <w:pStyle w:val="TableText0"/>
              <w:keepLines/>
              <w:widowControl w:val="0"/>
              <w:jc w:val="center"/>
              <w:rPr>
                <w:iCs/>
              </w:rPr>
            </w:pPr>
            <w:r w:rsidRPr="00AF20AB">
              <w:rPr>
                <w:iCs/>
              </w:rPr>
              <w:t>62 (47.7%)</w:t>
            </w:r>
          </w:p>
        </w:tc>
      </w:tr>
      <w:tr w:rsidR="001B4B4E" w:rsidRPr="00AF20AB" w:rsidTr="00F543D8">
        <w:tc>
          <w:tcPr>
            <w:tcW w:w="2405" w:type="dxa"/>
            <w:vAlign w:val="center"/>
          </w:tcPr>
          <w:p w:rsidR="001B4B4E" w:rsidRPr="00AF20AB" w:rsidRDefault="001B4B4E" w:rsidP="001B5943">
            <w:pPr>
              <w:pStyle w:val="TableText0"/>
              <w:keepLines/>
              <w:widowControl w:val="0"/>
              <w:rPr>
                <w:iCs/>
              </w:rPr>
            </w:pPr>
            <w:r w:rsidRPr="00AF20AB">
              <w:rPr>
                <w:iCs/>
              </w:rPr>
              <w:t>Neutropenia</w:t>
            </w:r>
          </w:p>
        </w:tc>
        <w:tc>
          <w:tcPr>
            <w:tcW w:w="1701" w:type="dxa"/>
            <w:vAlign w:val="center"/>
          </w:tcPr>
          <w:p w:rsidR="001B4B4E" w:rsidRPr="00AF20AB" w:rsidRDefault="001B4B4E" w:rsidP="001B5943">
            <w:pPr>
              <w:pStyle w:val="TableText0"/>
              <w:keepLines/>
              <w:widowControl w:val="0"/>
              <w:jc w:val="center"/>
              <w:rPr>
                <w:iCs/>
              </w:rPr>
            </w:pPr>
            <w:r w:rsidRPr="00AF20AB">
              <w:rPr>
                <w:iCs/>
              </w:rPr>
              <w:t>24 (18.2%)</w:t>
            </w:r>
          </w:p>
        </w:tc>
        <w:tc>
          <w:tcPr>
            <w:tcW w:w="1702" w:type="dxa"/>
            <w:vAlign w:val="center"/>
          </w:tcPr>
          <w:p w:rsidR="001B4B4E" w:rsidRPr="00AF20AB" w:rsidRDefault="001B4B4E" w:rsidP="001B5943">
            <w:pPr>
              <w:pStyle w:val="TableText0"/>
              <w:keepLines/>
              <w:widowControl w:val="0"/>
              <w:jc w:val="center"/>
              <w:rPr>
                <w:iCs/>
              </w:rPr>
            </w:pPr>
            <w:r w:rsidRPr="00AF20AB">
              <w:rPr>
                <w:iCs/>
              </w:rPr>
              <w:t>31 (23.8%)</w:t>
            </w:r>
          </w:p>
        </w:tc>
        <w:tc>
          <w:tcPr>
            <w:tcW w:w="1559" w:type="dxa"/>
            <w:vAlign w:val="center"/>
          </w:tcPr>
          <w:p w:rsidR="001B4B4E" w:rsidRPr="00AF20AB" w:rsidRDefault="001B4B4E" w:rsidP="001B5943">
            <w:pPr>
              <w:pStyle w:val="TableText0"/>
              <w:keepLines/>
              <w:widowControl w:val="0"/>
              <w:jc w:val="center"/>
              <w:rPr>
                <w:iCs/>
              </w:rPr>
            </w:pPr>
            <w:r w:rsidRPr="00AF20AB">
              <w:rPr>
                <w:iCs/>
              </w:rPr>
              <w:t>`15 (12.6%)</w:t>
            </w:r>
          </w:p>
        </w:tc>
        <w:tc>
          <w:tcPr>
            <w:tcW w:w="1557" w:type="dxa"/>
            <w:vAlign w:val="center"/>
          </w:tcPr>
          <w:p w:rsidR="001B4B4E" w:rsidRPr="00AF20AB" w:rsidRDefault="001B4B4E" w:rsidP="001B5943">
            <w:pPr>
              <w:pStyle w:val="TableText0"/>
              <w:keepLines/>
              <w:widowControl w:val="0"/>
              <w:jc w:val="center"/>
              <w:rPr>
                <w:iCs/>
              </w:rPr>
            </w:pPr>
            <w:r w:rsidRPr="00AF20AB">
              <w:rPr>
                <w:iCs/>
              </w:rPr>
              <w:t>36 (27.7%)</w:t>
            </w:r>
          </w:p>
        </w:tc>
      </w:tr>
      <w:tr w:rsidR="001B4B4E" w:rsidRPr="00AF20AB" w:rsidTr="00F543D8">
        <w:tc>
          <w:tcPr>
            <w:tcW w:w="2405" w:type="dxa"/>
            <w:tcBorders>
              <w:bottom w:val="single" w:sz="4" w:space="0" w:color="auto"/>
            </w:tcBorders>
            <w:vAlign w:val="center"/>
          </w:tcPr>
          <w:p w:rsidR="001B4B4E" w:rsidRPr="00AF20AB" w:rsidRDefault="001B4B4E" w:rsidP="001B5943">
            <w:pPr>
              <w:pStyle w:val="TableText0"/>
              <w:keepLines/>
              <w:widowControl w:val="0"/>
              <w:rPr>
                <w:iCs/>
              </w:rPr>
            </w:pPr>
            <w:r w:rsidRPr="00AF20AB">
              <w:rPr>
                <w:iCs/>
              </w:rPr>
              <w:t>Thrombocytopenia</w:t>
            </w:r>
          </w:p>
        </w:tc>
        <w:tc>
          <w:tcPr>
            <w:tcW w:w="1701" w:type="dxa"/>
            <w:tcBorders>
              <w:bottom w:val="single" w:sz="4" w:space="0" w:color="auto"/>
            </w:tcBorders>
            <w:vAlign w:val="center"/>
          </w:tcPr>
          <w:p w:rsidR="001B4B4E" w:rsidRPr="00AF20AB" w:rsidRDefault="001B4B4E" w:rsidP="001B5943">
            <w:pPr>
              <w:pStyle w:val="TableText0"/>
              <w:keepLines/>
              <w:widowControl w:val="0"/>
              <w:jc w:val="center"/>
              <w:rPr>
                <w:iCs/>
              </w:rPr>
            </w:pPr>
            <w:r w:rsidRPr="00AF20AB">
              <w:rPr>
                <w:iCs/>
              </w:rPr>
              <w:t>26 (19.7%)</w:t>
            </w:r>
          </w:p>
        </w:tc>
        <w:tc>
          <w:tcPr>
            <w:tcW w:w="1702" w:type="dxa"/>
            <w:tcBorders>
              <w:bottom w:val="single" w:sz="4" w:space="0" w:color="auto"/>
            </w:tcBorders>
            <w:vAlign w:val="center"/>
          </w:tcPr>
          <w:p w:rsidR="001B4B4E" w:rsidRPr="00AF20AB" w:rsidRDefault="001B4B4E" w:rsidP="001B5943">
            <w:pPr>
              <w:pStyle w:val="TableText0"/>
              <w:keepLines/>
              <w:widowControl w:val="0"/>
              <w:jc w:val="center"/>
              <w:rPr>
                <w:iCs/>
              </w:rPr>
            </w:pPr>
            <w:r w:rsidRPr="00AF20AB">
              <w:rPr>
                <w:iCs/>
              </w:rPr>
              <w:t>27 (20.8%)</w:t>
            </w:r>
          </w:p>
        </w:tc>
        <w:tc>
          <w:tcPr>
            <w:tcW w:w="1559" w:type="dxa"/>
            <w:tcBorders>
              <w:bottom w:val="single" w:sz="4" w:space="0" w:color="auto"/>
            </w:tcBorders>
            <w:vAlign w:val="center"/>
          </w:tcPr>
          <w:p w:rsidR="001B4B4E" w:rsidRPr="00AF20AB" w:rsidRDefault="001B4B4E" w:rsidP="001B5943">
            <w:pPr>
              <w:pStyle w:val="TableText0"/>
              <w:keepLines/>
              <w:widowControl w:val="0"/>
              <w:jc w:val="center"/>
              <w:rPr>
                <w:iCs/>
              </w:rPr>
            </w:pPr>
            <w:r w:rsidRPr="00AF20AB">
              <w:rPr>
                <w:iCs/>
              </w:rPr>
              <w:t>13 (10.9%)</w:t>
            </w:r>
          </w:p>
        </w:tc>
        <w:tc>
          <w:tcPr>
            <w:tcW w:w="1557" w:type="dxa"/>
            <w:tcBorders>
              <w:bottom w:val="single" w:sz="4" w:space="0" w:color="auto"/>
            </w:tcBorders>
            <w:vAlign w:val="center"/>
          </w:tcPr>
          <w:p w:rsidR="001B4B4E" w:rsidRPr="00AF20AB" w:rsidRDefault="001B4B4E" w:rsidP="001B5943">
            <w:pPr>
              <w:pStyle w:val="TableText0"/>
              <w:keepLines/>
              <w:widowControl w:val="0"/>
              <w:jc w:val="center"/>
              <w:rPr>
                <w:iCs/>
              </w:rPr>
            </w:pPr>
            <w:r w:rsidRPr="00AF20AB">
              <w:rPr>
                <w:iCs/>
              </w:rPr>
              <w:t>36 (27.7%)</w:t>
            </w:r>
          </w:p>
        </w:tc>
      </w:tr>
      <w:tr w:rsidR="001B4B4E" w:rsidRPr="00AF20AB" w:rsidTr="00F543D8">
        <w:tc>
          <w:tcPr>
            <w:tcW w:w="2405" w:type="dxa"/>
            <w:tcBorders>
              <w:bottom w:val="single" w:sz="4" w:space="0" w:color="auto"/>
            </w:tcBorders>
            <w:vAlign w:val="center"/>
          </w:tcPr>
          <w:p w:rsidR="001B4B4E" w:rsidRPr="00AF20AB" w:rsidRDefault="001B4B4E" w:rsidP="001B5943">
            <w:pPr>
              <w:pStyle w:val="TableText0"/>
              <w:keepLines/>
              <w:widowControl w:val="0"/>
              <w:rPr>
                <w:iCs/>
              </w:rPr>
            </w:pPr>
            <w:r w:rsidRPr="00AF20AB">
              <w:rPr>
                <w:iCs/>
              </w:rPr>
              <w:t>Anaemia</w:t>
            </w:r>
          </w:p>
        </w:tc>
        <w:tc>
          <w:tcPr>
            <w:tcW w:w="1701" w:type="dxa"/>
            <w:tcBorders>
              <w:bottom w:val="single" w:sz="4" w:space="0" w:color="auto"/>
            </w:tcBorders>
            <w:vAlign w:val="center"/>
          </w:tcPr>
          <w:p w:rsidR="001B4B4E" w:rsidRPr="00AF20AB" w:rsidRDefault="001B4B4E" w:rsidP="001B5943">
            <w:pPr>
              <w:pStyle w:val="TableText0"/>
              <w:keepLines/>
              <w:widowControl w:val="0"/>
              <w:jc w:val="center"/>
              <w:rPr>
                <w:iCs/>
              </w:rPr>
            </w:pPr>
            <w:r w:rsidRPr="00AF20AB">
              <w:rPr>
                <w:iCs/>
              </w:rPr>
              <w:t>19 (14.4%)</w:t>
            </w:r>
          </w:p>
        </w:tc>
        <w:tc>
          <w:tcPr>
            <w:tcW w:w="1702" w:type="dxa"/>
            <w:tcBorders>
              <w:bottom w:val="single" w:sz="4" w:space="0" w:color="auto"/>
            </w:tcBorders>
            <w:vAlign w:val="center"/>
          </w:tcPr>
          <w:p w:rsidR="001B4B4E" w:rsidRPr="00AF20AB" w:rsidRDefault="001B4B4E" w:rsidP="001B5943">
            <w:pPr>
              <w:pStyle w:val="TableText0"/>
              <w:keepLines/>
              <w:widowControl w:val="0"/>
              <w:jc w:val="center"/>
              <w:rPr>
                <w:iCs/>
              </w:rPr>
            </w:pPr>
            <w:r w:rsidRPr="00AF20AB">
              <w:rPr>
                <w:iCs/>
              </w:rPr>
              <w:t>19 (14.6%)</w:t>
            </w:r>
          </w:p>
        </w:tc>
        <w:tc>
          <w:tcPr>
            <w:tcW w:w="1559" w:type="dxa"/>
            <w:tcBorders>
              <w:bottom w:val="single" w:sz="4" w:space="0" w:color="auto"/>
            </w:tcBorders>
            <w:vAlign w:val="center"/>
          </w:tcPr>
          <w:p w:rsidR="001B4B4E" w:rsidRPr="00AF20AB" w:rsidRDefault="001B4B4E" w:rsidP="001B5943">
            <w:pPr>
              <w:pStyle w:val="TableText0"/>
              <w:keepLines/>
              <w:widowControl w:val="0"/>
              <w:jc w:val="center"/>
              <w:rPr>
                <w:iCs/>
              </w:rPr>
            </w:pPr>
            <w:r w:rsidRPr="00AF20AB">
              <w:rPr>
                <w:iCs/>
              </w:rPr>
              <w:t>6 (5.0%)</w:t>
            </w:r>
          </w:p>
        </w:tc>
        <w:tc>
          <w:tcPr>
            <w:tcW w:w="1557" w:type="dxa"/>
            <w:tcBorders>
              <w:bottom w:val="single" w:sz="4" w:space="0" w:color="auto"/>
            </w:tcBorders>
            <w:vAlign w:val="center"/>
          </w:tcPr>
          <w:p w:rsidR="001B4B4E" w:rsidRPr="00AF20AB" w:rsidRDefault="001B4B4E" w:rsidP="001B5943">
            <w:pPr>
              <w:pStyle w:val="TableText0"/>
              <w:keepLines/>
              <w:widowControl w:val="0"/>
              <w:jc w:val="center"/>
              <w:rPr>
                <w:iCs/>
              </w:rPr>
            </w:pPr>
            <w:r w:rsidRPr="00AF20AB">
              <w:rPr>
                <w:iCs/>
              </w:rPr>
              <w:t>21 (16.2%)</w:t>
            </w:r>
          </w:p>
        </w:tc>
      </w:tr>
      <w:tr w:rsidR="001B4B4E" w:rsidRPr="00AF20AB" w:rsidTr="00F543D8">
        <w:trPr>
          <w:trHeight w:val="229"/>
        </w:trPr>
        <w:tc>
          <w:tcPr>
            <w:tcW w:w="2405" w:type="dxa"/>
            <w:vAlign w:val="center"/>
          </w:tcPr>
          <w:p w:rsidR="001B4B4E" w:rsidRPr="00AF20AB" w:rsidRDefault="001B4B4E" w:rsidP="001B5943">
            <w:pPr>
              <w:pStyle w:val="TableText0"/>
              <w:keepLines/>
              <w:widowControl w:val="0"/>
              <w:rPr>
                <w:iCs/>
              </w:rPr>
            </w:pPr>
            <w:r w:rsidRPr="00AF20AB">
              <w:rPr>
                <w:iCs/>
              </w:rPr>
              <w:t>Leukopenia</w:t>
            </w:r>
          </w:p>
        </w:tc>
        <w:tc>
          <w:tcPr>
            <w:tcW w:w="1701" w:type="dxa"/>
            <w:vAlign w:val="center"/>
          </w:tcPr>
          <w:p w:rsidR="001B4B4E" w:rsidRPr="00AF20AB" w:rsidRDefault="001B4B4E" w:rsidP="001B5943">
            <w:pPr>
              <w:pStyle w:val="TableText0"/>
              <w:keepLines/>
              <w:widowControl w:val="0"/>
              <w:jc w:val="center"/>
              <w:rPr>
                <w:iCs/>
              </w:rPr>
            </w:pPr>
            <w:r w:rsidRPr="00AF20AB">
              <w:rPr>
                <w:iCs/>
              </w:rPr>
              <w:t>12 (9.1%)</w:t>
            </w:r>
          </w:p>
        </w:tc>
        <w:tc>
          <w:tcPr>
            <w:tcW w:w="1702" w:type="dxa"/>
            <w:vAlign w:val="center"/>
          </w:tcPr>
          <w:p w:rsidR="001B4B4E" w:rsidRPr="00AF20AB" w:rsidRDefault="001B4B4E" w:rsidP="001B5943">
            <w:pPr>
              <w:pStyle w:val="TableText0"/>
              <w:keepLines/>
              <w:widowControl w:val="0"/>
              <w:jc w:val="center"/>
              <w:rPr>
                <w:iCs/>
              </w:rPr>
            </w:pPr>
            <w:r w:rsidRPr="00AF20AB">
              <w:rPr>
                <w:iCs/>
              </w:rPr>
              <w:t>17 (13.1%)</w:t>
            </w:r>
          </w:p>
        </w:tc>
        <w:tc>
          <w:tcPr>
            <w:tcW w:w="1559" w:type="dxa"/>
            <w:vAlign w:val="center"/>
          </w:tcPr>
          <w:p w:rsidR="001B4B4E" w:rsidRPr="00AF20AB" w:rsidRDefault="001B4B4E" w:rsidP="001B5943">
            <w:pPr>
              <w:pStyle w:val="TableText0"/>
              <w:keepLines/>
              <w:widowControl w:val="0"/>
              <w:jc w:val="center"/>
              <w:rPr>
                <w:iCs/>
              </w:rPr>
            </w:pPr>
            <w:r w:rsidRPr="00AF20AB">
              <w:rPr>
                <w:iCs/>
              </w:rPr>
              <w:t>10 (8.4%)</w:t>
            </w:r>
          </w:p>
        </w:tc>
        <w:tc>
          <w:tcPr>
            <w:tcW w:w="1557" w:type="dxa"/>
            <w:vAlign w:val="center"/>
          </w:tcPr>
          <w:p w:rsidR="001B4B4E" w:rsidRPr="00AF20AB" w:rsidRDefault="001B4B4E" w:rsidP="001B5943">
            <w:pPr>
              <w:pStyle w:val="TableText0"/>
              <w:keepLines/>
              <w:widowControl w:val="0"/>
              <w:jc w:val="center"/>
              <w:rPr>
                <w:iCs/>
              </w:rPr>
            </w:pPr>
            <w:r w:rsidRPr="00AF20AB">
              <w:rPr>
                <w:iCs/>
              </w:rPr>
              <w:t>21 (16.2%)</w:t>
            </w:r>
          </w:p>
        </w:tc>
      </w:tr>
      <w:tr w:rsidR="001B4B4E" w:rsidRPr="00AF20AB" w:rsidTr="00F543D8">
        <w:tc>
          <w:tcPr>
            <w:tcW w:w="2405" w:type="dxa"/>
            <w:vAlign w:val="center"/>
          </w:tcPr>
          <w:p w:rsidR="001B4B4E" w:rsidRPr="00AF20AB" w:rsidRDefault="001B4B4E" w:rsidP="001B5943">
            <w:pPr>
              <w:pStyle w:val="TableText0"/>
              <w:keepLines/>
              <w:widowControl w:val="0"/>
              <w:rPr>
                <w:iCs/>
              </w:rPr>
            </w:pPr>
            <w:r w:rsidRPr="00AF20AB">
              <w:rPr>
                <w:iCs/>
              </w:rPr>
              <w:t>Febrile neutropenia</w:t>
            </w:r>
          </w:p>
        </w:tc>
        <w:tc>
          <w:tcPr>
            <w:tcW w:w="1701" w:type="dxa"/>
            <w:vAlign w:val="center"/>
          </w:tcPr>
          <w:p w:rsidR="001B4B4E" w:rsidRPr="00AF20AB" w:rsidRDefault="001B4B4E" w:rsidP="001B5943">
            <w:pPr>
              <w:pStyle w:val="TableText0"/>
              <w:keepLines/>
              <w:widowControl w:val="0"/>
              <w:jc w:val="center"/>
              <w:rPr>
                <w:iCs/>
              </w:rPr>
            </w:pPr>
            <w:r w:rsidRPr="00AF20AB">
              <w:rPr>
                <w:iCs/>
              </w:rPr>
              <w:t>3 (2.3%)</w:t>
            </w:r>
          </w:p>
        </w:tc>
        <w:tc>
          <w:tcPr>
            <w:tcW w:w="1702" w:type="dxa"/>
            <w:vAlign w:val="center"/>
          </w:tcPr>
          <w:p w:rsidR="001B4B4E" w:rsidRPr="00AF20AB" w:rsidRDefault="001B4B4E" w:rsidP="001B5943">
            <w:pPr>
              <w:pStyle w:val="TableText0"/>
              <w:keepLines/>
              <w:widowControl w:val="0"/>
              <w:jc w:val="center"/>
              <w:rPr>
                <w:iCs/>
              </w:rPr>
            </w:pPr>
            <w:r w:rsidRPr="00AF20AB">
              <w:rPr>
                <w:iCs/>
              </w:rPr>
              <w:t>8 (6.2%)</w:t>
            </w:r>
          </w:p>
        </w:tc>
        <w:tc>
          <w:tcPr>
            <w:tcW w:w="1559" w:type="dxa"/>
            <w:vAlign w:val="center"/>
          </w:tcPr>
          <w:p w:rsidR="001B4B4E" w:rsidRPr="00AF20AB" w:rsidRDefault="001B4B4E" w:rsidP="001B5943">
            <w:pPr>
              <w:pStyle w:val="TableText0"/>
              <w:keepLines/>
              <w:widowControl w:val="0"/>
              <w:jc w:val="center"/>
              <w:rPr>
                <w:iCs/>
              </w:rPr>
            </w:pPr>
            <w:r w:rsidRPr="00AF20AB">
              <w:rPr>
                <w:iCs/>
              </w:rPr>
              <w:t>3 (2.5%)</w:t>
            </w:r>
          </w:p>
        </w:tc>
        <w:tc>
          <w:tcPr>
            <w:tcW w:w="1557" w:type="dxa"/>
            <w:vAlign w:val="center"/>
          </w:tcPr>
          <w:p w:rsidR="001B4B4E" w:rsidRPr="00AF20AB" w:rsidRDefault="001B4B4E" w:rsidP="001B5943">
            <w:pPr>
              <w:pStyle w:val="TableText0"/>
              <w:keepLines/>
              <w:widowControl w:val="0"/>
              <w:jc w:val="center"/>
              <w:rPr>
                <w:iCs/>
              </w:rPr>
            </w:pPr>
            <w:r w:rsidRPr="00AF20AB">
              <w:rPr>
                <w:iCs/>
              </w:rPr>
              <w:t>10 (7.7%)</w:t>
            </w:r>
          </w:p>
        </w:tc>
      </w:tr>
      <w:tr w:rsidR="001B4B4E" w:rsidRPr="00AF20AB" w:rsidTr="00F543D8">
        <w:tc>
          <w:tcPr>
            <w:tcW w:w="8924" w:type="dxa"/>
            <w:gridSpan w:val="5"/>
            <w:vAlign w:val="center"/>
          </w:tcPr>
          <w:p w:rsidR="001B4B4E" w:rsidRPr="00AF20AB" w:rsidRDefault="001B4B4E" w:rsidP="001B5943">
            <w:pPr>
              <w:pStyle w:val="TableText0"/>
              <w:keepLines/>
              <w:widowControl w:val="0"/>
              <w:rPr>
                <w:b/>
                <w:bCs w:val="0"/>
                <w:iCs/>
              </w:rPr>
            </w:pPr>
            <w:r w:rsidRPr="00AF20AB">
              <w:rPr>
                <w:b/>
                <w:bCs w:val="0"/>
                <w:iCs/>
              </w:rPr>
              <w:t>ASTX727-01-B</w:t>
            </w:r>
          </w:p>
        </w:tc>
      </w:tr>
      <w:tr w:rsidR="001B4B4E" w:rsidRPr="00AF20AB" w:rsidTr="00F543D8">
        <w:tc>
          <w:tcPr>
            <w:tcW w:w="2405" w:type="dxa"/>
            <w:vAlign w:val="center"/>
          </w:tcPr>
          <w:p w:rsidR="001B4B4E" w:rsidRPr="00AF20AB" w:rsidRDefault="001B4B4E" w:rsidP="001B5943">
            <w:pPr>
              <w:pStyle w:val="TableText0"/>
              <w:keepLines/>
              <w:widowControl w:val="0"/>
              <w:rPr>
                <w:iCs/>
              </w:rPr>
            </w:pPr>
          </w:p>
        </w:tc>
        <w:tc>
          <w:tcPr>
            <w:tcW w:w="1701" w:type="dxa"/>
            <w:vAlign w:val="center"/>
          </w:tcPr>
          <w:p w:rsidR="001B4B4E" w:rsidRPr="00AF20AB" w:rsidRDefault="001B4B4E" w:rsidP="001B5943">
            <w:pPr>
              <w:pStyle w:val="In-tableHeading"/>
              <w:keepLines/>
              <w:widowControl w:val="0"/>
              <w:jc w:val="center"/>
              <w:rPr>
                <w:iCs/>
                <w:lang w:val="en-AU"/>
              </w:rPr>
            </w:pPr>
            <w:r w:rsidRPr="00AF20AB">
              <w:rPr>
                <w:iCs/>
                <w:lang w:val="en-AU"/>
              </w:rPr>
              <w:t xml:space="preserve">IV decitabine </w:t>
            </w:r>
          </w:p>
          <w:p w:rsidR="001B4B4E" w:rsidRPr="00AF20AB" w:rsidRDefault="001B4B4E" w:rsidP="001B5943">
            <w:pPr>
              <w:pStyle w:val="TableText0"/>
              <w:keepLines/>
              <w:widowControl w:val="0"/>
              <w:jc w:val="center"/>
              <w:rPr>
                <w:b/>
                <w:bCs w:val="0"/>
                <w:iCs/>
              </w:rPr>
            </w:pPr>
            <w:r w:rsidRPr="00AF20AB">
              <w:rPr>
                <w:b/>
                <w:bCs w:val="0"/>
                <w:iCs/>
              </w:rPr>
              <w:t>course 1 or 2 (N=75)</w:t>
            </w:r>
          </w:p>
        </w:tc>
        <w:tc>
          <w:tcPr>
            <w:tcW w:w="1702" w:type="dxa"/>
            <w:vAlign w:val="center"/>
          </w:tcPr>
          <w:p w:rsidR="001B4B4E" w:rsidRPr="00AF20AB" w:rsidRDefault="001B4B4E" w:rsidP="001B5943">
            <w:pPr>
              <w:pStyle w:val="In-tableHeading"/>
              <w:keepLines/>
              <w:widowControl w:val="0"/>
              <w:jc w:val="center"/>
              <w:rPr>
                <w:iCs/>
                <w:lang w:val="en-AU"/>
              </w:rPr>
            </w:pPr>
            <w:r w:rsidRPr="00AF20AB">
              <w:rPr>
                <w:iCs/>
                <w:lang w:val="en-AU"/>
              </w:rPr>
              <w:t>Decit+ced</w:t>
            </w:r>
          </w:p>
          <w:p w:rsidR="001B4B4E" w:rsidRPr="00AF20AB" w:rsidRDefault="001B4B4E" w:rsidP="001B5943">
            <w:pPr>
              <w:pStyle w:val="TableText0"/>
              <w:keepLines/>
              <w:widowControl w:val="0"/>
              <w:jc w:val="center"/>
              <w:rPr>
                <w:b/>
                <w:bCs w:val="0"/>
                <w:iCs/>
              </w:rPr>
            </w:pPr>
            <w:r w:rsidRPr="00AF20AB">
              <w:rPr>
                <w:b/>
                <w:bCs w:val="0"/>
                <w:iCs/>
              </w:rPr>
              <w:t>course 1 or 2 (N=78)</w:t>
            </w:r>
          </w:p>
        </w:tc>
        <w:tc>
          <w:tcPr>
            <w:tcW w:w="1559" w:type="dxa"/>
            <w:vMerge w:val="restart"/>
            <w:vAlign w:val="center"/>
          </w:tcPr>
          <w:p w:rsidR="001B4B4E" w:rsidRPr="00AF20AB" w:rsidRDefault="001B4B4E" w:rsidP="001B5943">
            <w:pPr>
              <w:pStyle w:val="TableText0"/>
              <w:keepLines/>
              <w:widowControl w:val="0"/>
              <w:jc w:val="center"/>
              <w:rPr>
                <w:iCs/>
              </w:rPr>
            </w:pPr>
          </w:p>
        </w:tc>
        <w:tc>
          <w:tcPr>
            <w:tcW w:w="1557" w:type="dxa"/>
            <w:vAlign w:val="center"/>
          </w:tcPr>
          <w:p w:rsidR="001B4B4E" w:rsidRPr="00AF20AB" w:rsidRDefault="001B4B4E" w:rsidP="001B5943">
            <w:pPr>
              <w:pStyle w:val="In-tableHeading"/>
              <w:keepLines/>
              <w:widowControl w:val="0"/>
              <w:jc w:val="center"/>
              <w:rPr>
                <w:iCs/>
                <w:lang w:val="en-AU"/>
              </w:rPr>
            </w:pPr>
            <w:r w:rsidRPr="00AF20AB">
              <w:rPr>
                <w:iCs/>
                <w:lang w:val="en-AU"/>
              </w:rPr>
              <w:t>Decit+ced</w:t>
            </w:r>
          </w:p>
          <w:p w:rsidR="001B4B4E" w:rsidRPr="00AF20AB" w:rsidRDefault="001B4B4E" w:rsidP="001B5943">
            <w:pPr>
              <w:pStyle w:val="TableText0"/>
              <w:keepLines/>
              <w:widowControl w:val="0"/>
              <w:jc w:val="center"/>
              <w:rPr>
                <w:iCs/>
              </w:rPr>
            </w:pPr>
            <w:r w:rsidRPr="00AF20AB">
              <w:rPr>
                <w:b/>
                <w:bCs w:val="0"/>
                <w:iCs/>
              </w:rPr>
              <w:t>Total (N=78)</w:t>
            </w:r>
          </w:p>
        </w:tc>
      </w:tr>
      <w:tr w:rsidR="001B4B4E" w:rsidRPr="00AF20AB" w:rsidTr="00F543D8">
        <w:tc>
          <w:tcPr>
            <w:tcW w:w="2405" w:type="dxa"/>
            <w:vAlign w:val="center"/>
          </w:tcPr>
          <w:p w:rsidR="001B4B4E" w:rsidRPr="00AF20AB" w:rsidRDefault="001B4B4E" w:rsidP="001B5943">
            <w:pPr>
              <w:pStyle w:val="TableText0"/>
              <w:keepLines/>
              <w:widowControl w:val="0"/>
              <w:rPr>
                <w:iCs/>
              </w:rPr>
            </w:pPr>
            <w:r w:rsidRPr="00AF20AB">
              <w:rPr>
                <w:iCs/>
              </w:rPr>
              <w:t>Number with at least one treatment-related AE Grade ≥3</w:t>
            </w:r>
          </w:p>
        </w:tc>
        <w:tc>
          <w:tcPr>
            <w:tcW w:w="1701" w:type="dxa"/>
            <w:vAlign w:val="center"/>
          </w:tcPr>
          <w:p w:rsidR="001B4B4E" w:rsidRPr="00AF20AB" w:rsidRDefault="001B4B4E" w:rsidP="001B5943">
            <w:pPr>
              <w:pStyle w:val="TableText0"/>
              <w:keepLines/>
              <w:widowControl w:val="0"/>
              <w:jc w:val="center"/>
              <w:rPr>
                <w:iCs/>
              </w:rPr>
            </w:pPr>
            <w:r w:rsidRPr="00AF20AB">
              <w:rPr>
                <w:iCs/>
              </w:rPr>
              <w:t>24 (32.0%)</w:t>
            </w:r>
          </w:p>
        </w:tc>
        <w:tc>
          <w:tcPr>
            <w:tcW w:w="1702" w:type="dxa"/>
            <w:vAlign w:val="center"/>
          </w:tcPr>
          <w:p w:rsidR="001B4B4E" w:rsidRPr="00AF20AB" w:rsidRDefault="001B4B4E" w:rsidP="001B5943">
            <w:pPr>
              <w:pStyle w:val="TableText0"/>
              <w:keepLines/>
              <w:widowControl w:val="0"/>
              <w:jc w:val="center"/>
              <w:rPr>
                <w:iCs/>
              </w:rPr>
            </w:pPr>
            <w:r w:rsidRPr="00AF20AB">
              <w:rPr>
                <w:iCs/>
              </w:rPr>
              <w:t>21 (26.9%)</w:t>
            </w:r>
          </w:p>
        </w:tc>
        <w:tc>
          <w:tcPr>
            <w:tcW w:w="1559" w:type="dxa"/>
            <w:vMerge/>
            <w:vAlign w:val="center"/>
          </w:tcPr>
          <w:p w:rsidR="001B4B4E" w:rsidRPr="00AF20AB" w:rsidRDefault="001B4B4E" w:rsidP="001B5943">
            <w:pPr>
              <w:pStyle w:val="TableText0"/>
              <w:keepLines/>
              <w:widowControl w:val="0"/>
              <w:jc w:val="center"/>
              <w:rPr>
                <w:iCs/>
              </w:rPr>
            </w:pPr>
          </w:p>
        </w:tc>
        <w:tc>
          <w:tcPr>
            <w:tcW w:w="1557" w:type="dxa"/>
            <w:vAlign w:val="center"/>
          </w:tcPr>
          <w:p w:rsidR="001B4B4E" w:rsidRPr="00AF20AB" w:rsidRDefault="001B4B4E" w:rsidP="001B5943">
            <w:pPr>
              <w:pStyle w:val="TableText0"/>
              <w:keepLines/>
              <w:widowControl w:val="0"/>
              <w:jc w:val="center"/>
              <w:rPr>
                <w:iCs/>
              </w:rPr>
            </w:pPr>
            <w:r w:rsidRPr="00AF20AB">
              <w:rPr>
                <w:iCs/>
              </w:rPr>
              <w:t>37 (47.4%)</w:t>
            </w:r>
          </w:p>
        </w:tc>
      </w:tr>
      <w:tr w:rsidR="001B4B4E" w:rsidRPr="00AF20AB" w:rsidTr="00F543D8">
        <w:tc>
          <w:tcPr>
            <w:tcW w:w="2405" w:type="dxa"/>
            <w:vAlign w:val="center"/>
          </w:tcPr>
          <w:p w:rsidR="001B4B4E" w:rsidRPr="00AF20AB" w:rsidRDefault="001B4B4E" w:rsidP="001B5943">
            <w:pPr>
              <w:pStyle w:val="TableText0"/>
              <w:keepLines/>
              <w:widowControl w:val="0"/>
              <w:rPr>
                <w:iCs/>
              </w:rPr>
            </w:pPr>
            <w:r w:rsidRPr="00AF20AB">
              <w:rPr>
                <w:iCs/>
              </w:rPr>
              <w:t>Neutropenia</w:t>
            </w:r>
          </w:p>
        </w:tc>
        <w:tc>
          <w:tcPr>
            <w:tcW w:w="1701" w:type="dxa"/>
            <w:vAlign w:val="center"/>
          </w:tcPr>
          <w:p w:rsidR="001B4B4E" w:rsidRPr="00AF20AB" w:rsidRDefault="001B4B4E" w:rsidP="001B5943">
            <w:pPr>
              <w:pStyle w:val="TableText0"/>
              <w:keepLines/>
              <w:widowControl w:val="0"/>
              <w:jc w:val="center"/>
              <w:rPr>
                <w:iCs/>
              </w:rPr>
            </w:pPr>
            <w:r w:rsidRPr="00AF20AB">
              <w:rPr>
                <w:iCs/>
              </w:rPr>
              <w:t>16 (21.3%)</w:t>
            </w:r>
          </w:p>
        </w:tc>
        <w:tc>
          <w:tcPr>
            <w:tcW w:w="1702" w:type="dxa"/>
            <w:vAlign w:val="center"/>
          </w:tcPr>
          <w:p w:rsidR="001B4B4E" w:rsidRPr="00AF20AB" w:rsidRDefault="001B4B4E" w:rsidP="001B5943">
            <w:pPr>
              <w:pStyle w:val="TableText0"/>
              <w:keepLines/>
              <w:widowControl w:val="0"/>
              <w:jc w:val="center"/>
              <w:rPr>
                <w:iCs/>
              </w:rPr>
            </w:pPr>
            <w:r w:rsidRPr="00AF20AB">
              <w:rPr>
                <w:iCs/>
              </w:rPr>
              <w:t>11 (14.1%)</w:t>
            </w:r>
          </w:p>
        </w:tc>
        <w:tc>
          <w:tcPr>
            <w:tcW w:w="1559" w:type="dxa"/>
            <w:vMerge/>
            <w:vAlign w:val="center"/>
          </w:tcPr>
          <w:p w:rsidR="001B4B4E" w:rsidRPr="00AF20AB" w:rsidRDefault="001B4B4E" w:rsidP="001B5943">
            <w:pPr>
              <w:pStyle w:val="TableText0"/>
              <w:keepLines/>
              <w:widowControl w:val="0"/>
              <w:jc w:val="center"/>
              <w:rPr>
                <w:iCs/>
              </w:rPr>
            </w:pPr>
          </w:p>
        </w:tc>
        <w:tc>
          <w:tcPr>
            <w:tcW w:w="1557" w:type="dxa"/>
            <w:vAlign w:val="center"/>
          </w:tcPr>
          <w:p w:rsidR="001B4B4E" w:rsidRPr="00AF20AB" w:rsidRDefault="001B4B4E" w:rsidP="001B5943">
            <w:pPr>
              <w:pStyle w:val="TableText0"/>
              <w:keepLines/>
              <w:widowControl w:val="0"/>
              <w:jc w:val="center"/>
              <w:rPr>
                <w:iCs/>
              </w:rPr>
            </w:pPr>
            <w:r w:rsidRPr="00AF20AB">
              <w:rPr>
                <w:iCs/>
              </w:rPr>
              <w:t>26 (33.3%)</w:t>
            </w:r>
          </w:p>
        </w:tc>
      </w:tr>
      <w:tr w:rsidR="001B4B4E" w:rsidRPr="00AF20AB" w:rsidTr="00F543D8">
        <w:tc>
          <w:tcPr>
            <w:tcW w:w="2405" w:type="dxa"/>
            <w:vAlign w:val="center"/>
          </w:tcPr>
          <w:p w:rsidR="001B4B4E" w:rsidRPr="00AF20AB" w:rsidRDefault="001B4B4E" w:rsidP="001B5943">
            <w:pPr>
              <w:pStyle w:val="TableText0"/>
              <w:keepLines/>
              <w:widowControl w:val="0"/>
              <w:rPr>
                <w:iCs/>
              </w:rPr>
            </w:pPr>
            <w:r w:rsidRPr="00AF20AB">
              <w:rPr>
                <w:iCs/>
              </w:rPr>
              <w:t>Thrombocytopenia</w:t>
            </w:r>
          </w:p>
        </w:tc>
        <w:tc>
          <w:tcPr>
            <w:tcW w:w="1701" w:type="dxa"/>
            <w:vAlign w:val="center"/>
          </w:tcPr>
          <w:p w:rsidR="001B4B4E" w:rsidRPr="00AF20AB" w:rsidRDefault="001B4B4E" w:rsidP="001B5943">
            <w:pPr>
              <w:pStyle w:val="TableText0"/>
              <w:keepLines/>
              <w:widowControl w:val="0"/>
              <w:jc w:val="center"/>
              <w:rPr>
                <w:iCs/>
              </w:rPr>
            </w:pPr>
            <w:r w:rsidRPr="00AF20AB">
              <w:rPr>
                <w:iCs/>
              </w:rPr>
              <w:t>11 (14.7%)</w:t>
            </w:r>
          </w:p>
        </w:tc>
        <w:tc>
          <w:tcPr>
            <w:tcW w:w="1702" w:type="dxa"/>
            <w:vAlign w:val="center"/>
          </w:tcPr>
          <w:p w:rsidR="001B4B4E" w:rsidRPr="00AF20AB" w:rsidRDefault="001B4B4E" w:rsidP="001B5943">
            <w:pPr>
              <w:pStyle w:val="TableText0"/>
              <w:keepLines/>
              <w:widowControl w:val="0"/>
              <w:jc w:val="center"/>
              <w:rPr>
                <w:iCs/>
              </w:rPr>
            </w:pPr>
            <w:r w:rsidRPr="00AF20AB">
              <w:rPr>
                <w:iCs/>
              </w:rPr>
              <w:t>9 (11.5%)</w:t>
            </w:r>
          </w:p>
        </w:tc>
        <w:tc>
          <w:tcPr>
            <w:tcW w:w="1559" w:type="dxa"/>
            <w:vMerge/>
            <w:vAlign w:val="center"/>
          </w:tcPr>
          <w:p w:rsidR="001B4B4E" w:rsidRPr="00AF20AB" w:rsidRDefault="001B4B4E" w:rsidP="001B5943">
            <w:pPr>
              <w:pStyle w:val="TableText0"/>
              <w:keepLines/>
              <w:widowControl w:val="0"/>
              <w:jc w:val="center"/>
              <w:rPr>
                <w:iCs/>
              </w:rPr>
            </w:pPr>
          </w:p>
        </w:tc>
        <w:tc>
          <w:tcPr>
            <w:tcW w:w="1557" w:type="dxa"/>
            <w:vAlign w:val="center"/>
          </w:tcPr>
          <w:p w:rsidR="001B4B4E" w:rsidRPr="00AF20AB" w:rsidRDefault="001B4B4E" w:rsidP="001B5943">
            <w:pPr>
              <w:pStyle w:val="TableText0"/>
              <w:keepLines/>
              <w:widowControl w:val="0"/>
              <w:jc w:val="center"/>
              <w:rPr>
                <w:iCs/>
              </w:rPr>
            </w:pPr>
            <w:r w:rsidRPr="00AF20AB">
              <w:rPr>
                <w:iCs/>
              </w:rPr>
              <w:t>19 (24.4%)</w:t>
            </w:r>
          </w:p>
        </w:tc>
      </w:tr>
      <w:tr w:rsidR="001B4B4E" w:rsidRPr="00AF20AB" w:rsidTr="00F543D8">
        <w:tc>
          <w:tcPr>
            <w:tcW w:w="2405" w:type="dxa"/>
            <w:vAlign w:val="center"/>
          </w:tcPr>
          <w:p w:rsidR="001B4B4E" w:rsidRPr="00AF20AB" w:rsidRDefault="001B4B4E" w:rsidP="001B5943">
            <w:pPr>
              <w:pStyle w:val="TableText0"/>
              <w:keepLines/>
              <w:widowControl w:val="0"/>
              <w:rPr>
                <w:iCs/>
              </w:rPr>
            </w:pPr>
            <w:r w:rsidRPr="00AF20AB">
              <w:rPr>
                <w:iCs/>
              </w:rPr>
              <w:t>Leukopenia</w:t>
            </w:r>
          </w:p>
        </w:tc>
        <w:tc>
          <w:tcPr>
            <w:tcW w:w="1701" w:type="dxa"/>
            <w:vAlign w:val="center"/>
          </w:tcPr>
          <w:p w:rsidR="001B4B4E" w:rsidRPr="00AF20AB" w:rsidRDefault="001B4B4E" w:rsidP="001B5943">
            <w:pPr>
              <w:pStyle w:val="TableText0"/>
              <w:keepLines/>
              <w:widowControl w:val="0"/>
              <w:jc w:val="center"/>
              <w:rPr>
                <w:iCs/>
              </w:rPr>
            </w:pPr>
            <w:r w:rsidRPr="00AF20AB">
              <w:rPr>
                <w:iCs/>
              </w:rPr>
              <w:t>6 (8.0%)</w:t>
            </w:r>
          </w:p>
        </w:tc>
        <w:tc>
          <w:tcPr>
            <w:tcW w:w="1702" w:type="dxa"/>
            <w:vAlign w:val="center"/>
          </w:tcPr>
          <w:p w:rsidR="001B4B4E" w:rsidRPr="00AF20AB" w:rsidRDefault="001B4B4E" w:rsidP="001B5943">
            <w:pPr>
              <w:pStyle w:val="TableText0"/>
              <w:keepLines/>
              <w:widowControl w:val="0"/>
              <w:jc w:val="center"/>
              <w:rPr>
                <w:iCs/>
              </w:rPr>
            </w:pPr>
            <w:r w:rsidRPr="00AF20AB">
              <w:rPr>
                <w:iCs/>
              </w:rPr>
              <w:t>6 (7.7%)</w:t>
            </w:r>
          </w:p>
        </w:tc>
        <w:tc>
          <w:tcPr>
            <w:tcW w:w="1559" w:type="dxa"/>
            <w:vMerge/>
            <w:vAlign w:val="center"/>
          </w:tcPr>
          <w:p w:rsidR="001B4B4E" w:rsidRPr="00AF20AB" w:rsidRDefault="001B4B4E" w:rsidP="001B5943">
            <w:pPr>
              <w:pStyle w:val="TableText0"/>
              <w:keepLines/>
              <w:widowControl w:val="0"/>
              <w:jc w:val="center"/>
              <w:rPr>
                <w:iCs/>
              </w:rPr>
            </w:pPr>
          </w:p>
        </w:tc>
        <w:tc>
          <w:tcPr>
            <w:tcW w:w="1557" w:type="dxa"/>
            <w:vAlign w:val="center"/>
          </w:tcPr>
          <w:p w:rsidR="001B4B4E" w:rsidRPr="00AF20AB" w:rsidRDefault="001B4B4E" w:rsidP="001B5943">
            <w:pPr>
              <w:pStyle w:val="TableText0"/>
              <w:keepLines/>
              <w:widowControl w:val="0"/>
              <w:jc w:val="center"/>
              <w:rPr>
                <w:iCs/>
              </w:rPr>
            </w:pPr>
            <w:r w:rsidRPr="00AF20AB">
              <w:rPr>
                <w:iCs/>
              </w:rPr>
              <w:t>16 (20.5%)</w:t>
            </w:r>
          </w:p>
        </w:tc>
      </w:tr>
      <w:tr w:rsidR="001B4B4E" w:rsidRPr="00AF20AB" w:rsidTr="00F543D8">
        <w:tc>
          <w:tcPr>
            <w:tcW w:w="2405" w:type="dxa"/>
            <w:vAlign w:val="center"/>
          </w:tcPr>
          <w:p w:rsidR="001B4B4E" w:rsidRPr="00AF20AB" w:rsidRDefault="001B4B4E" w:rsidP="001B5943">
            <w:pPr>
              <w:pStyle w:val="TableText0"/>
              <w:keepLines/>
              <w:widowControl w:val="0"/>
              <w:rPr>
                <w:iCs/>
              </w:rPr>
            </w:pPr>
            <w:r w:rsidRPr="00AF20AB">
              <w:rPr>
                <w:iCs/>
              </w:rPr>
              <w:t>Anaemia</w:t>
            </w:r>
          </w:p>
        </w:tc>
        <w:tc>
          <w:tcPr>
            <w:tcW w:w="1701" w:type="dxa"/>
            <w:vAlign w:val="center"/>
          </w:tcPr>
          <w:p w:rsidR="001B4B4E" w:rsidRPr="00AF20AB" w:rsidRDefault="001B4B4E" w:rsidP="001B5943">
            <w:pPr>
              <w:pStyle w:val="TableText0"/>
              <w:keepLines/>
              <w:widowControl w:val="0"/>
              <w:jc w:val="center"/>
              <w:rPr>
                <w:iCs/>
              </w:rPr>
            </w:pPr>
            <w:r w:rsidRPr="00AF20AB">
              <w:rPr>
                <w:iCs/>
              </w:rPr>
              <w:t>4 (5.3%)</w:t>
            </w:r>
          </w:p>
        </w:tc>
        <w:tc>
          <w:tcPr>
            <w:tcW w:w="1702" w:type="dxa"/>
            <w:vAlign w:val="center"/>
          </w:tcPr>
          <w:p w:rsidR="001B4B4E" w:rsidRPr="00AF20AB" w:rsidRDefault="001B4B4E" w:rsidP="001B5943">
            <w:pPr>
              <w:pStyle w:val="TableText0"/>
              <w:keepLines/>
              <w:widowControl w:val="0"/>
              <w:jc w:val="center"/>
              <w:rPr>
                <w:iCs/>
              </w:rPr>
            </w:pPr>
            <w:r w:rsidRPr="00AF20AB">
              <w:rPr>
                <w:iCs/>
              </w:rPr>
              <w:t>5 (6.4%)</w:t>
            </w:r>
          </w:p>
        </w:tc>
        <w:tc>
          <w:tcPr>
            <w:tcW w:w="1559" w:type="dxa"/>
            <w:vMerge/>
            <w:vAlign w:val="center"/>
          </w:tcPr>
          <w:p w:rsidR="001B4B4E" w:rsidRPr="00AF20AB" w:rsidRDefault="001B4B4E" w:rsidP="001B5943">
            <w:pPr>
              <w:pStyle w:val="TableText0"/>
              <w:keepLines/>
              <w:widowControl w:val="0"/>
              <w:jc w:val="center"/>
              <w:rPr>
                <w:iCs/>
              </w:rPr>
            </w:pPr>
          </w:p>
        </w:tc>
        <w:tc>
          <w:tcPr>
            <w:tcW w:w="1557" w:type="dxa"/>
            <w:vAlign w:val="center"/>
          </w:tcPr>
          <w:p w:rsidR="001B4B4E" w:rsidRPr="00AF20AB" w:rsidRDefault="001B4B4E" w:rsidP="001B5943">
            <w:pPr>
              <w:pStyle w:val="TableText0"/>
              <w:keepLines/>
              <w:widowControl w:val="0"/>
              <w:jc w:val="center"/>
              <w:rPr>
                <w:iCs/>
              </w:rPr>
            </w:pPr>
            <w:r w:rsidRPr="00AF20AB">
              <w:rPr>
                <w:iCs/>
              </w:rPr>
              <w:t>11 (14.1%)</w:t>
            </w:r>
          </w:p>
        </w:tc>
      </w:tr>
      <w:tr w:rsidR="001B4B4E" w:rsidRPr="00AF20AB" w:rsidTr="00F543D8">
        <w:tc>
          <w:tcPr>
            <w:tcW w:w="2405" w:type="dxa"/>
            <w:vAlign w:val="center"/>
          </w:tcPr>
          <w:p w:rsidR="001B4B4E" w:rsidRPr="00AF20AB" w:rsidRDefault="001B4B4E" w:rsidP="001B5943">
            <w:pPr>
              <w:pStyle w:val="TableText0"/>
              <w:keepLines/>
              <w:widowControl w:val="0"/>
              <w:rPr>
                <w:iCs/>
              </w:rPr>
            </w:pPr>
            <w:r w:rsidRPr="00AF20AB">
              <w:rPr>
                <w:iCs/>
              </w:rPr>
              <w:t>Febrile neutropenia</w:t>
            </w:r>
          </w:p>
        </w:tc>
        <w:tc>
          <w:tcPr>
            <w:tcW w:w="1701" w:type="dxa"/>
            <w:vAlign w:val="center"/>
          </w:tcPr>
          <w:p w:rsidR="001B4B4E" w:rsidRPr="00AF20AB" w:rsidRDefault="001B4B4E" w:rsidP="001B5943">
            <w:pPr>
              <w:pStyle w:val="TableText0"/>
              <w:keepLines/>
              <w:widowControl w:val="0"/>
              <w:jc w:val="center"/>
              <w:rPr>
                <w:iCs/>
              </w:rPr>
            </w:pPr>
            <w:r w:rsidRPr="00AF20AB">
              <w:rPr>
                <w:iCs/>
              </w:rPr>
              <w:t>4 (5.3%)</w:t>
            </w:r>
          </w:p>
        </w:tc>
        <w:tc>
          <w:tcPr>
            <w:tcW w:w="1702" w:type="dxa"/>
            <w:vAlign w:val="center"/>
          </w:tcPr>
          <w:p w:rsidR="001B4B4E" w:rsidRPr="00AF20AB" w:rsidRDefault="001B4B4E" w:rsidP="001B5943">
            <w:pPr>
              <w:pStyle w:val="TableText0"/>
              <w:keepLines/>
              <w:widowControl w:val="0"/>
              <w:jc w:val="center"/>
              <w:rPr>
                <w:iCs/>
              </w:rPr>
            </w:pPr>
            <w:r w:rsidRPr="00AF20AB">
              <w:rPr>
                <w:iCs/>
              </w:rPr>
              <w:t>3 (3.8%)</w:t>
            </w:r>
          </w:p>
        </w:tc>
        <w:tc>
          <w:tcPr>
            <w:tcW w:w="1559" w:type="dxa"/>
            <w:vMerge/>
            <w:vAlign w:val="center"/>
          </w:tcPr>
          <w:p w:rsidR="001B4B4E" w:rsidRPr="00AF20AB" w:rsidRDefault="001B4B4E" w:rsidP="001B5943">
            <w:pPr>
              <w:pStyle w:val="TableText0"/>
              <w:keepLines/>
              <w:widowControl w:val="0"/>
              <w:jc w:val="center"/>
              <w:rPr>
                <w:iCs/>
              </w:rPr>
            </w:pPr>
          </w:p>
        </w:tc>
        <w:tc>
          <w:tcPr>
            <w:tcW w:w="1557" w:type="dxa"/>
            <w:vAlign w:val="center"/>
          </w:tcPr>
          <w:p w:rsidR="001B4B4E" w:rsidRPr="00AF20AB" w:rsidRDefault="001B4B4E" w:rsidP="001B5943">
            <w:pPr>
              <w:pStyle w:val="TableText0"/>
              <w:keepLines/>
              <w:widowControl w:val="0"/>
              <w:jc w:val="center"/>
              <w:rPr>
                <w:iCs/>
              </w:rPr>
            </w:pPr>
            <w:r w:rsidRPr="00AF20AB">
              <w:rPr>
                <w:iCs/>
              </w:rPr>
              <w:t>7 (9.0%)</w:t>
            </w:r>
          </w:p>
        </w:tc>
      </w:tr>
    </w:tbl>
    <w:p w:rsidR="001B4B4E" w:rsidRPr="00AF20AB" w:rsidRDefault="001B4B4E" w:rsidP="001B5943">
      <w:pPr>
        <w:pStyle w:val="TableFigureFooter"/>
        <w:keepNext/>
        <w:keepLines/>
        <w:spacing w:after="0"/>
        <w:rPr>
          <w:iCs/>
          <w:sz w:val="20"/>
        </w:rPr>
      </w:pPr>
      <w:r w:rsidRPr="00AF20AB">
        <w:rPr>
          <w:iCs/>
        </w:rPr>
        <w:t>Source: Table 36, p104 of the ASCERTAIN CSR; Table 48, p116 of the ASTX727-01-B CSR.</w:t>
      </w:r>
    </w:p>
    <w:p w:rsidR="001B4B4E" w:rsidRPr="00AF20AB" w:rsidRDefault="00342EEC" w:rsidP="001B5943">
      <w:pPr>
        <w:pStyle w:val="3-BodyText"/>
        <w:keepNext/>
        <w:keepLines/>
        <w:numPr>
          <w:ilvl w:val="0"/>
          <w:numId w:val="0"/>
        </w:numPr>
        <w:rPr>
          <w:rFonts w:ascii="Arial Narrow" w:hAnsi="Arial Narrow"/>
          <w:sz w:val="18"/>
          <w:szCs w:val="18"/>
        </w:rPr>
      </w:pPr>
      <w:r w:rsidRPr="00AF20AB">
        <w:rPr>
          <w:rFonts w:ascii="Arial Narrow" w:eastAsia="Calibri" w:hAnsi="Arial Narrow"/>
          <w:sz w:val="18"/>
          <w:szCs w:val="18"/>
        </w:rPr>
        <w:t>D</w:t>
      </w:r>
      <w:r w:rsidR="001B4B4E" w:rsidRPr="00AF20AB">
        <w:rPr>
          <w:rFonts w:ascii="Arial Narrow" w:eastAsia="Calibri" w:hAnsi="Arial Narrow"/>
          <w:sz w:val="18"/>
          <w:szCs w:val="18"/>
        </w:rPr>
        <w:t>ecit+</w:t>
      </w:r>
      <w:r w:rsidRPr="00AF20AB">
        <w:rPr>
          <w:rFonts w:ascii="Arial Narrow" w:eastAsia="Calibri" w:hAnsi="Arial Narrow"/>
          <w:sz w:val="18"/>
          <w:szCs w:val="18"/>
        </w:rPr>
        <w:t>ced</w:t>
      </w:r>
      <w:r w:rsidR="00176B0B" w:rsidRPr="00AF20AB">
        <w:rPr>
          <w:rFonts w:ascii="Arial Narrow" w:eastAsia="Calibri" w:hAnsi="Arial Narrow"/>
          <w:sz w:val="18"/>
          <w:szCs w:val="18"/>
        </w:rPr>
        <w:t>=</w:t>
      </w:r>
      <w:r w:rsidR="001B4B4E" w:rsidRPr="00AF20AB">
        <w:rPr>
          <w:rFonts w:ascii="Arial Narrow" w:eastAsia="Calibri" w:hAnsi="Arial Narrow"/>
          <w:sz w:val="18"/>
          <w:szCs w:val="18"/>
        </w:rPr>
        <w:t>decitabine+cedazuridine; IV=intravenous</w:t>
      </w:r>
    </w:p>
    <w:p w:rsidR="005D26B4" w:rsidRPr="00AF20AB" w:rsidRDefault="001B4B4E" w:rsidP="00D86231">
      <w:pPr>
        <w:pStyle w:val="3-BodyText"/>
      </w:pPr>
      <w:r w:rsidRPr="00AF20AB">
        <w:rPr>
          <w:iCs/>
        </w:rPr>
        <w:t>For the ASCERTAIN trial, the CSR noted that the incidence of Grade ≥3 AEs was generally similar or higher with decitabine+cedazuridine in the first two cycles compared to IV decitabine, but then generally similar or lower in cycle 3</w:t>
      </w:r>
      <w:r w:rsidR="00E44AAB" w:rsidRPr="00AF20AB">
        <w:rPr>
          <w:iCs/>
        </w:rPr>
        <w:t xml:space="preserve"> and beyond</w:t>
      </w:r>
      <w:r w:rsidR="00AF20AB">
        <w:rPr>
          <w:iCs/>
        </w:rPr>
        <w:t xml:space="preserve">. </w:t>
      </w:r>
      <w:r w:rsidR="003B4F74" w:rsidRPr="00AF20AB">
        <w:rPr>
          <w:rFonts w:cs="Calibri"/>
        </w:rPr>
        <w:t>The TGA Delegate’s Overview stated (p15) that the safety analysis was consistent with the known cytotoxic effects of decitabine, as well as the underlying manifestations of MDS and CMML</w:t>
      </w:r>
      <w:r w:rsidR="00AF20AB">
        <w:rPr>
          <w:rFonts w:cs="Calibri"/>
        </w:rPr>
        <w:t xml:space="preserve">. </w:t>
      </w:r>
      <w:r w:rsidR="003B4F74" w:rsidRPr="00AF20AB">
        <w:rPr>
          <w:rFonts w:cs="Calibri"/>
        </w:rPr>
        <w:t>The Overview indicated that the safety analysis did not suggest any additional toxicities as a result of the combination of decitabine and cedazuridine, although the Delegate noted that cedazuridine is not a cytotoxic agent itself.</w:t>
      </w:r>
    </w:p>
    <w:p w:rsidR="007F1017" w:rsidRPr="00AF20AB" w:rsidRDefault="007F1017" w:rsidP="00D86231">
      <w:pPr>
        <w:pStyle w:val="4-SubsectionHeading"/>
      </w:pPr>
      <w:bookmarkStart w:id="16" w:name="_Toc22897643"/>
      <w:bookmarkStart w:id="17" w:name="_Toc62045610"/>
      <w:r w:rsidRPr="00AF20AB">
        <w:t>Benefits/harms</w:t>
      </w:r>
      <w:bookmarkEnd w:id="16"/>
      <w:bookmarkEnd w:id="17"/>
    </w:p>
    <w:p w:rsidR="00781F30" w:rsidRPr="00AF20AB" w:rsidRDefault="00781F30" w:rsidP="00D2155B">
      <w:pPr>
        <w:pStyle w:val="3-BodyText"/>
      </w:pPr>
      <w:r w:rsidRPr="00AF20AB">
        <w:t>Based on the non-inferiority results presented in the submission, and the indirect treatment comparison, no benefits and harms table has been compiled</w:t>
      </w:r>
      <w:r w:rsidRPr="00AF20AB">
        <w:rPr>
          <w:iCs/>
        </w:rPr>
        <w:t>.</w:t>
      </w:r>
    </w:p>
    <w:p w:rsidR="00B60939" w:rsidRPr="00AF20AB" w:rsidRDefault="00B60939" w:rsidP="00E9094A">
      <w:pPr>
        <w:pStyle w:val="4-SubsectionHeading"/>
      </w:pPr>
      <w:bookmarkStart w:id="18" w:name="_Toc22897644"/>
      <w:bookmarkStart w:id="19" w:name="_Toc62045611"/>
      <w:r w:rsidRPr="00AF20AB">
        <w:t>Clinical claim</w:t>
      </w:r>
      <w:bookmarkEnd w:id="18"/>
      <w:bookmarkEnd w:id="19"/>
    </w:p>
    <w:p w:rsidR="001064E6" w:rsidRPr="00AF20AB" w:rsidRDefault="001064E6" w:rsidP="00E9094A">
      <w:pPr>
        <w:pStyle w:val="3-BodyText"/>
      </w:pPr>
      <w:r w:rsidRPr="00AF20AB">
        <w:t>The submission described decitabine+cedazuridine as non-inferior in terms of effectiveness compared with azacitidine and non-inferior in terms of safety compared to azacitidine.</w:t>
      </w:r>
    </w:p>
    <w:p w:rsidR="001064E6" w:rsidRPr="00AF20AB" w:rsidRDefault="000D5D81" w:rsidP="005920E5">
      <w:pPr>
        <w:pStyle w:val="3-BodyText"/>
        <w:spacing w:after="0"/>
      </w:pPr>
      <w:r w:rsidRPr="00AF20AB">
        <w:rPr>
          <w:iCs/>
        </w:rPr>
        <w:t>The ESC considered w</w:t>
      </w:r>
      <w:r w:rsidR="001064E6" w:rsidRPr="00AF20AB">
        <w:rPr>
          <w:iCs/>
        </w:rPr>
        <w:t>hile the pharmacokinetic evidence has</w:t>
      </w:r>
      <w:r w:rsidR="00715A3C" w:rsidRPr="00AF20AB">
        <w:rPr>
          <w:iCs/>
        </w:rPr>
        <w:t xml:space="preserve"> </w:t>
      </w:r>
      <w:r w:rsidR="001064E6" w:rsidRPr="00AF20AB">
        <w:rPr>
          <w:iCs/>
        </w:rPr>
        <w:t xml:space="preserve">adequately demonstrated that decitabine+cedazuridine is </w:t>
      </w:r>
      <w:r w:rsidR="00013F52" w:rsidRPr="00AF20AB">
        <w:rPr>
          <w:iCs/>
        </w:rPr>
        <w:t>bioequivalent</w:t>
      </w:r>
      <w:r w:rsidR="001064E6" w:rsidRPr="00AF20AB">
        <w:rPr>
          <w:iCs/>
        </w:rPr>
        <w:t xml:space="preserve"> to IV decitabine, the </w:t>
      </w:r>
      <w:r w:rsidR="00E55655" w:rsidRPr="00AF20AB">
        <w:rPr>
          <w:iCs/>
        </w:rPr>
        <w:t xml:space="preserve">claim of </w:t>
      </w:r>
      <w:r w:rsidR="001064E6" w:rsidRPr="00AF20AB">
        <w:rPr>
          <w:iCs/>
        </w:rPr>
        <w:t>non-inferiority of IV decitabine and azacitidine was not strongly supported by the evidence, for the following reasons:</w:t>
      </w:r>
    </w:p>
    <w:p w:rsidR="001064E6" w:rsidRPr="00AF20AB" w:rsidRDefault="00013F52" w:rsidP="00D96689">
      <w:pPr>
        <w:pStyle w:val="3-BodyText"/>
        <w:numPr>
          <w:ilvl w:val="0"/>
          <w:numId w:val="10"/>
        </w:numPr>
        <w:spacing w:after="0"/>
        <w:ind w:left="992" w:hanging="357"/>
      </w:pPr>
      <w:r w:rsidRPr="00AF20AB">
        <w:rPr>
          <w:iCs/>
        </w:rPr>
        <w:t>T</w:t>
      </w:r>
      <w:r w:rsidR="001064E6" w:rsidRPr="00AF20AB">
        <w:rPr>
          <w:iCs/>
        </w:rPr>
        <w:t xml:space="preserve">here was considerable heterogeneity between the trials included in the indirect comparison, </w:t>
      </w:r>
      <w:r w:rsidRPr="00AF20AB">
        <w:rPr>
          <w:iCs/>
        </w:rPr>
        <w:t>with</w:t>
      </w:r>
      <w:r w:rsidR="001064E6" w:rsidRPr="00AF20AB">
        <w:rPr>
          <w:iCs/>
        </w:rPr>
        <w:t xml:space="preserve"> differences in IPSS risk category, FAB classification, disease duration and ECOG performance score</w:t>
      </w:r>
      <w:r w:rsidR="00AF20AB">
        <w:rPr>
          <w:iCs/>
        </w:rPr>
        <w:t xml:space="preserve">. </w:t>
      </w:r>
      <w:r w:rsidR="001064E6" w:rsidRPr="00AF20AB">
        <w:rPr>
          <w:iCs/>
        </w:rPr>
        <w:t>There was also variation in estimates of OS across the BSC trial arms, ranging from 8.5 months to 14 months</w:t>
      </w:r>
      <w:r w:rsidR="00AF20AB">
        <w:rPr>
          <w:iCs/>
        </w:rPr>
        <w:t xml:space="preserve">. </w:t>
      </w:r>
      <w:r w:rsidR="00595F72" w:rsidRPr="00AF20AB">
        <w:rPr>
          <w:iCs/>
        </w:rPr>
        <w:t>Further, the interpretation of the IPSS intermediate-2 and high-risk subgroup OS analysis was limited by the lack of information on patient numbers and no estimates of median survival being available.</w:t>
      </w:r>
    </w:p>
    <w:p w:rsidR="001064E6" w:rsidRPr="00AF20AB" w:rsidRDefault="001064E6" w:rsidP="00D96689">
      <w:pPr>
        <w:pStyle w:val="3-BodyText"/>
        <w:numPr>
          <w:ilvl w:val="0"/>
          <w:numId w:val="10"/>
        </w:numPr>
        <w:spacing w:after="0"/>
        <w:ind w:left="992" w:hanging="357"/>
      </w:pPr>
      <w:r w:rsidRPr="00AF20AB">
        <w:rPr>
          <w:iCs/>
        </w:rPr>
        <w:t>The</w:t>
      </w:r>
      <w:r w:rsidR="00511120" w:rsidRPr="00AF20AB">
        <w:rPr>
          <w:iCs/>
        </w:rPr>
        <w:t xml:space="preserve"> indirect comparison </w:t>
      </w:r>
      <w:r w:rsidR="00176B0B" w:rsidRPr="00AF20AB">
        <w:rPr>
          <w:iCs/>
        </w:rPr>
        <w:t>of survival</w:t>
      </w:r>
      <w:r w:rsidRPr="00AF20AB">
        <w:rPr>
          <w:iCs/>
        </w:rPr>
        <w:t xml:space="preserve"> outcomes</w:t>
      </w:r>
      <w:r w:rsidR="00511120" w:rsidRPr="00AF20AB">
        <w:rPr>
          <w:iCs/>
        </w:rPr>
        <w:t xml:space="preserve"> favoured azacitidine</w:t>
      </w:r>
      <w:r w:rsidRPr="00AF20AB">
        <w:rPr>
          <w:iCs/>
        </w:rPr>
        <w:t xml:space="preserve">, but for response outcomes there were no </w:t>
      </w:r>
      <w:r w:rsidR="00EF6084" w:rsidRPr="00AF20AB">
        <w:rPr>
          <w:iCs/>
        </w:rPr>
        <w:t xml:space="preserve">statistically significant </w:t>
      </w:r>
      <w:r w:rsidRPr="00AF20AB">
        <w:rPr>
          <w:iCs/>
        </w:rPr>
        <w:t>differences between the two drugs</w:t>
      </w:r>
      <w:r w:rsidR="00AF20AB">
        <w:rPr>
          <w:iCs/>
        </w:rPr>
        <w:t xml:space="preserve">. </w:t>
      </w:r>
      <w:r w:rsidR="00DB11F5" w:rsidRPr="00AF20AB">
        <w:t xml:space="preserve">The PSCR </w:t>
      </w:r>
      <w:r w:rsidR="001C3857" w:rsidRPr="00AF20AB">
        <w:t>noted that while there are a number of uncertainties associated with the indirect comparison of OS data</w:t>
      </w:r>
      <w:r w:rsidR="008A4E23" w:rsidRPr="00AF20AB">
        <w:t>,</w:t>
      </w:r>
      <w:r w:rsidR="001C3857" w:rsidRPr="00AF20AB">
        <w:t xml:space="preserve"> </w:t>
      </w:r>
      <w:r w:rsidR="008A4E23" w:rsidRPr="00AF20AB">
        <w:t xml:space="preserve">results for response-based outcomes consistently demonstrate non-inferiority between decitabine and azacitidine. The PSCR noted that the validity of response-based outcomes as surrogate outcomes for OS was recently confirmed by the MDS Clinical Research Consortium. The ESC considered that response-based outcomes were appropriate surrogate outcomes for OS only in the absence of mature OS data. </w:t>
      </w:r>
    </w:p>
    <w:p w:rsidR="001064E6" w:rsidRPr="00AF20AB" w:rsidRDefault="001064E6" w:rsidP="00D96689">
      <w:pPr>
        <w:pStyle w:val="3-BodyText"/>
        <w:numPr>
          <w:ilvl w:val="0"/>
          <w:numId w:val="10"/>
        </w:numPr>
        <w:spacing w:after="0"/>
        <w:ind w:left="992" w:hanging="357"/>
      </w:pPr>
      <w:r w:rsidRPr="00AF20AB">
        <w:rPr>
          <w:iCs/>
        </w:rPr>
        <w:t>There was high heterogeneity across all comparisons</w:t>
      </w:r>
      <w:r w:rsidR="00181D01" w:rsidRPr="00AF20AB">
        <w:rPr>
          <w:iCs/>
        </w:rPr>
        <w:t xml:space="preserve"> for response-based outcomes</w:t>
      </w:r>
      <w:r w:rsidRPr="00AF20AB">
        <w:rPr>
          <w:iCs/>
        </w:rPr>
        <w:t>, except for complete response</w:t>
      </w:r>
      <w:r w:rsidR="00AF20AB">
        <w:rPr>
          <w:iCs/>
        </w:rPr>
        <w:t xml:space="preserve">. </w:t>
      </w:r>
      <w:r w:rsidRPr="00AF20AB">
        <w:rPr>
          <w:iCs/>
        </w:rPr>
        <w:t>There were also wide confidence intervals across many of the comparisons</w:t>
      </w:r>
      <w:r w:rsidR="00725569" w:rsidRPr="00AF20AB">
        <w:rPr>
          <w:iCs/>
        </w:rPr>
        <w:t xml:space="preserve"> which make the interpretation of these results uncertain</w:t>
      </w:r>
      <w:r w:rsidRPr="00AF20AB">
        <w:rPr>
          <w:iCs/>
        </w:rPr>
        <w:t>.</w:t>
      </w:r>
    </w:p>
    <w:p w:rsidR="00D8192F" w:rsidRPr="00AF20AB" w:rsidRDefault="00D8192F" w:rsidP="00D8192F">
      <w:pPr>
        <w:pStyle w:val="3-BodyText"/>
        <w:numPr>
          <w:ilvl w:val="0"/>
          <w:numId w:val="0"/>
        </w:numPr>
        <w:spacing w:after="0"/>
        <w:ind w:left="992"/>
      </w:pPr>
    </w:p>
    <w:p w:rsidR="001064E6" w:rsidRPr="00AF20AB" w:rsidRDefault="00852869" w:rsidP="001B5EFA">
      <w:pPr>
        <w:pStyle w:val="3-BodyText"/>
        <w:rPr>
          <w:iCs/>
        </w:rPr>
      </w:pPr>
      <w:r w:rsidRPr="00AF20AB">
        <w:rPr>
          <w:iCs/>
        </w:rPr>
        <w:t>Given th</w:t>
      </w:r>
      <w:r w:rsidR="002777F0" w:rsidRPr="00AF20AB">
        <w:rPr>
          <w:iCs/>
        </w:rPr>
        <w:t>e</w:t>
      </w:r>
      <w:r w:rsidRPr="00AF20AB">
        <w:rPr>
          <w:iCs/>
        </w:rPr>
        <w:t xml:space="preserve"> </w:t>
      </w:r>
      <w:r w:rsidR="0046096F" w:rsidRPr="00AF20AB">
        <w:rPr>
          <w:iCs/>
        </w:rPr>
        <w:t>limited support for the submission</w:t>
      </w:r>
      <w:r w:rsidR="00652DC2" w:rsidRPr="00AF20AB">
        <w:rPr>
          <w:iCs/>
        </w:rPr>
        <w:t>’</w:t>
      </w:r>
      <w:r w:rsidR="0046096F" w:rsidRPr="00AF20AB">
        <w:rPr>
          <w:iCs/>
        </w:rPr>
        <w:t>s claim</w:t>
      </w:r>
      <w:r w:rsidR="00652DC2" w:rsidRPr="00AF20AB">
        <w:rPr>
          <w:iCs/>
        </w:rPr>
        <w:t>,</w:t>
      </w:r>
      <w:r w:rsidR="0046096F" w:rsidRPr="00AF20AB">
        <w:rPr>
          <w:iCs/>
        </w:rPr>
        <w:t xml:space="preserve"> and the </w:t>
      </w:r>
      <w:r w:rsidR="00806A84" w:rsidRPr="00AF20AB">
        <w:rPr>
          <w:iCs/>
        </w:rPr>
        <w:t xml:space="preserve">uncertainty around the </w:t>
      </w:r>
      <w:r w:rsidR="005F65A7" w:rsidRPr="00AF20AB">
        <w:rPr>
          <w:iCs/>
        </w:rPr>
        <w:t>average number of cycles of decitabine+cedazuridine that would be used in clinical practice compared to azacitidine</w:t>
      </w:r>
      <w:r w:rsidR="0046096F" w:rsidRPr="00AF20AB">
        <w:rPr>
          <w:iCs/>
        </w:rPr>
        <w:t xml:space="preserve">, </w:t>
      </w:r>
      <w:r w:rsidRPr="00AF20AB">
        <w:rPr>
          <w:iCs/>
        </w:rPr>
        <w:t xml:space="preserve">the equi-effective doses used by the submission in its cost-minimisation analysis </w:t>
      </w:r>
      <w:r w:rsidR="00A42D18" w:rsidRPr="00AF20AB">
        <w:rPr>
          <w:iCs/>
        </w:rPr>
        <w:t>is highly uncertain</w:t>
      </w:r>
      <w:r w:rsidRPr="00AF20AB">
        <w:rPr>
          <w:iCs/>
        </w:rPr>
        <w:t xml:space="preserve">. </w:t>
      </w:r>
      <w:r w:rsidR="00E92851" w:rsidRPr="00AF20AB">
        <w:rPr>
          <w:iCs/>
        </w:rPr>
        <w:t>The pre-PBAC Response noted that the median number of treatment cycles in the ASCERTAIN trial (8 cycles) is roughly consistent with that from a 10% PBS sample where 50% of patients have discontinued therapy after 6 months and 7 scripts</w:t>
      </w:r>
      <w:r w:rsidR="001B5EFA" w:rsidRPr="00AF20AB">
        <w:rPr>
          <w:iCs/>
        </w:rPr>
        <w:t xml:space="preserve">. The pre-PBAC Response further noted that </w:t>
      </w:r>
      <w:r w:rsidR="009D25E6" w:rsidRPr="00AF20AB">
        <w:rPr>
          <w:iCs/>
        </w:rPr>
        <w:t>s</w:t>
      </w:r>
      <w:r w:rsidR="001B5EFA" w:rsidRPr="00AF20AB">
        <w:rPr>
          <w:iCs/>
        </w:rPr>
        <w:t>imilar results were observed in analyses of the SEER database (Zeidan, 2016), which found that 74% and 52% of patients received ≥4 and ≥6 cycles of HMAs, respectively.</w:t>
      </w:r>
      <w:r w:rsidR="005309DF" w:rsidRPr="00AF20AB">
        <w:rPr>
          <w:iCs/>
        </w:rPr>
        <w:t xml:space="preserve"> </w:t>
      </w:r>
    </w:p>
    <w:p w:rsidR="00D64CBD" w:rsidRPr="00AF20AB" w:rsidRDefault="00342AAE" w:rsidP="00342AAE">
      <w:pPr>
        <w:pStyle w:val="3-BodyText"/>
      </w:pPr>
      <w:r w:rsidRPr="00AF20AB">
        <w:t xml:space="preserve">The PBAC considered that the claim of non-inferior comparative effectiveness was </w:t>
      </w:r>
      <w:r w:rsidR="007B2E23" w:rsidRPr="00AF20AB">
        <w:t>uncertain given the issues raised in paragraph 6.3</w:t>
      </w:r>
      <w:r w:rsidR="00FA1276" w:rsidRPr="00AF20AB">
        <w:t>5</w:t>
      </w:r>
      <w:r w:rsidR="007B2E23" w:rsidRPr="00AF20AB">
        <w:t xml:space="preserve">. </w:t>
      </w:r>
    </w:p>
    <w:p w:rsidR="00342AAE" w:rsidRPr="00AF20AB" w:rsidRDefault="007B2E23" w:rsidP="00342AAE">
      <w:pPr>
        <w:pStyle w:val="3-BodyText"/>
      </w:pPr>
      <w:r w:rsidRPr="00AF20AB">
        <w:t>The PBAC</w:t>
      </w:r>
      <w:r w:rsidR="0046096F" w:rsidRPr="00AF20AB">
        <w:t xml:space="preserve"> </w:t>
      </w:r>
      <w:r w:rsidRPr="00AF20AB">
        <w:t xml:space="preserve">considered that the claim of non-inferior comparative safety </w:t>
      </w:r>
      <w:r w:rsidR="00F017F9" w:rsidRPr="00AF20AB">
        <w:t>was u</w:t>
      </w:r>
      <w:r w:rsidR="00404F45" w:rsidRPr="00AF20AB">
        <w:t>ncertain noting it was difficult to compare adverse events between the trials due to heterogeneity</w:t>
      </w:r>
      <w:r w:rsidR="00AF20AB">
        <w:t xml:space="preserve">. </w:t>
      </w:r>
      <w:r w:rsidRPr="00AF20AB">
        <w:t xml:space="preserve"> </w:t>
      </w:r>
    </w:p>
    <w:p w:rsidR="00342AAE" w:rsidRPr="00AF20AB" w:rsidRDefault="00342AAE" w:rsidP="00342AAE">
      <w:pPr>
        <w:pStyle w:val="3-BodyText"/>
        <w:numPr>
          <w:ilvl w:val="0"/>
          <w:numId w:val="0"/>
        </w:numPr>
        <w:ind w:left="720"/>
      </w:pPr>
    </w:p>
    <w:p w:rsidR="00B60939" w:rsidRPr="00AF20AB" w:rsidRDefault="00B60939" w:rsidP="00E9094A">
      <w:pPr>
        <w:pStyle w:val="4-SubsectionHeading"/>
      </w:pPr>
      <w:bookmarkStart w:id="20" w:name="_Toc22897645"/>
      <w:bookmarkStart w:id="21" w:name="_Toc62045612"/>
      <w:r w:rsidRPr="00AF20AB">
        <w:t>Economic analysis</w:t>
      </w:r>
      <w:bookmarkEnd w:id="20"/>
      <w:bookmarkEnd w:id="21"/>
      <w:r w:rsidR="00491B3A" w:rsidRPr="00AF20AB">
        <w:t xml:space="preserve"> </w:t>
      </w:r>
    </w:p>
    <w:p w:rsidR="00620216" w:rsidRPr="00AF20AB" w:rsidRDefault="00620216" w:rsidP="00641FB3">
      <w:pPr>
        <w:pStyle w:val="3-BodyText"/>
        <w:rPr>
          <w:b/>
          <w:bCs/>
        </w:rPr>
      </w:pPr>
      <w:r w:rsidRPr="00AF20AB">
        <w:t>The submission presented a cost-minimisation analysis based on the indirect comparison versus azacitidine and the pharmacokinetic evidence comparing decitabine+cedazuridine and IV decitabine.</w:t>
      </w:r>
      <w:r w:rsidR="002F27D7" w:rsidRPr="00AF20AB">
        <w:rPr>
          <w:rFonts w:ascii="Calibri" w:eastAsia="Calibri" w:hAnsi="Calibri" w:cs="Times New Roman"/>
          <w:snapToGrid/>
          <w:sz w:val="22"/>
          <w:szCs w:val="22"/>
          <w:lang w:eastAsia="en-US"/>
        </w:rPr>
        <w:t xml:space="preserve"> </w:t>
      </w:r>
      <w:r w:rsidR="002F27D7" w:rsidRPr="00AF20AB">
        <w:rPr>
          <w:rFonts w:ascii="Calibri" w:eastAsia="Calibri" w:hAnsi="Calibri" w:cs="Times New Roman"/>
          <w:snapToGrid/>
          <w:szCs w:val="22"/>
          <w:lang w:eastAsia="en-US"/>
        </w:rPr>
        <w:t xml:space="preserve">The ESC advised that this approach is appropriate only if non-inferior comparative </w:t>
      </w:r>
      <w:r w:rsidR="00722323" w:rsidRPr="00AF20AB">
        <w:rPr>
          <w:rFonts w:ascii="Calibri" w:eastAsia="Calibri" w:hAnsi="Calibri" w:cs="Times New Roman"/>
          <w:snapToGrid/>
          <w:szCs w:val="22"/>
          <w:lang w:eastAsia="en-US"/>
        </w:rPr>
        <w:t>effectiveness</w:t>
      </w:r>
      <w:r w:rsidR="00014C93" w:rsidRPr="00AF20AB">
        <w:rPr>
          <w:rFonts w:ascii="Calibri" w:eastAsia="Calibri" w:hAnsi="Calibri" w:cs="Times New Roman"/>
          <w:snapToGrid/>
          <w:szCs w:val="22"/>
          <w:lang w:eastAsia="en-US"/>
        </w:rPr>
        <w:t xml:space="preserve"> between decitabine+</w:t>
      </w:r>
      <w:r w:rsidR="002F27D7" w:rsidRPr="00AF20AB">
        <w:rPr>
          <w:rFonts w:ascii="Calibri" w:eastAsia="Calibri" w:hAnsi="Calibri" w:cs="Times New Roman"/>
          <w:snapToGrid/>
          <w:szCs w:val="22"/>
          <w:lang w:eastAsia="en-US"/>
        </w:rPr>
        <w:t>cedazuridine and azacitidine is accepted</w:t>
      </w:r>
      <w:r w:rsidR="00AF20AB">
        <w:rPr>
          <w:rFonts w:ascii="Calibri" w:eastAsia="Calibri" w:hAnsi="Calibri" w:cs="Times New Roman"/>
          <w:snapToGrid/>
          <w:szCs w:val="22"/>
          <w:lang w:eastAsia="en-US"/>
        </w:rPr>
        <w:t xml:space="preserve">. </w:t>
      </w:r>
    </w:p>
    <w:p w:rsidR="008C5739" w:rsidRPr="00AF20AB" w:rsidRDefault="00620216" w:rsidP="008C5739">
      <w:pPr>
        <w:pStyle w:val="3-BodyText"/>
        <w:rPr>
          <w:color w:val="0066FF"/>
        </w:rPr>
      </w:pPr>
      <w:r w:rsidRPr="00AF20AB">
        <w:t xml:space="preserve">The submission </w:t>
      </w:r>
      <w:r w:rsidR="00F059C8" w:rsidRPr="00AF20AB">
        <w:t>estimated</w:t>
      </w:r>
      <w:r w:rsidRPr="00AF20AB">
        <w:t xml:space="preserve"> equi-effective doses </w:t>
      </w:r>
      <w:r w:rsidR="00F059C8" w:rsidRPr="00AF20AB">
        <w:t xml:space="preserve">based </w:t>
      </w:r>
      <w:r w:rsidRPr="00AF20AB">
        <w:t>on the dosing regimen proposed for decitabine+cedazuridine and the dosing recommended for azacitidine in its PI</w:t>
      </w:r>
      <w:r w:rsidR="00256E9D" w:rsidRPr="00AF20AB">
        <w:t xml:space="preserve"> (see Table 12)</w:t>
      </w:r>
      <w:r w:rsidRPr="00AF20AB">
        <w:t xml:space="preserve">. </w:t>
      </w:r>
    </w:p>
    <w:p w:rsidR="00275C5A" w:rsidRPr="00AF20AB" w:rsidRDefault="00275C5A" w:rsidP="00641FB3">
      <w:pPr>
        <w:pStyle w:val="TableFigureHeading"/>
        <w:rPr>
          <w:rStyle w:val="CommentReference"/>
          <w:b/>
          <w:szCs w:val="24"/>
        </w:rPr>
      </w:pPr>
      <w:r w:rsidRPr="00AF20AB">
        <w:rPr>
          <w:rStyle w:val="CommentReference"/>
          <w:b/>
          <w:szCs w:val="24"/>
        </w:rPr>
        <w:t xml:space="preserve">Table </w:t>
      </w:r>
      <w:r w:rsidR="0046096F" w:rsidRPr="00AF20AB">
        <w:rPr>
          <w:rStyle w:val="CommentReference"/>
          <w:b/>
          <w:szCs w:val="24"/>
        </w:rPr>
        <w:t>12</w:t>
      </w:r>
      <w:r w:rsidRPr="00AF20AB">
        <w:rPr>
          <w:rStyle w:val="CommentReference"/>
          <w:b/>
          <w:szCs w:val="24"/>
        </w:rPr>
        <w:t xml:space="preserve">: </w:t>
      </w:r>
      <w:r w:rsidR="00620216" w:rsidRPr="00AF20AB">
        <w:rPr>
          <w:rStyle w:val="CommentReference"/>
          <w:b/>
          <w:szCs w:val="24"/>
        </w:rPr>
        <w:t>Equi-effective doses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79"/>
        <w:gridCol w:w="3347"/>
        <w:gridCol w:w="3491"/>
      </w:tblGrid>
      <w:tr w:rsidR="00620216" w:rsidRPr="00AF20AB" w:rsidTr="00C85EC8">
        <w:tc>
          <w:tcPr>
            <w:tcW w:w="1208" w:type="pct"/>
            <w:vAlign w:val="center"/>
          </w:tcPr>
          <w:p w:rsidR="00620216" w:rsidRPr="00AF20AB" w:rsidRDefault="00620216" w:rsidP="00D45D70">
            <w:pPr>
              <w:pStyle w:val="In-tableHeading"/>
              <w:rPr>
                <w:lang w:val="en-AU"/>
              </w:rPr>
            </w:pPr>
          </w:p>
        </w:tc>
        <w:tc>
          <w:tcPr>
            <w:tcW w:w="1856" w:type="pct"/>
            <w:vAlign w:val="center"/>
          </w:tcPr>
          <w:p w:rsidR="00620216" w:rsidRPr="00AF20AB" w:rsidRDefault="00620216" w:rsidP="00D45D70">
            <w:pPr>
              <w:pStyle w:val="In-tableHeading"/>
              <w:jc w:val="center"/>
              <w:rPr>
                <w:lang w:val="en-AU"/>
              </w:rPr>
            </w:pPr>
            <w:r w:rsidRPr="00AF20AB">
              <w:rPr>
                <w:lang w:val="en-AU"/>
              </w:rPr>
              <w:t>Decitabine+cedazuridine</w:t>
            </w:r>
          </w:p>
        </w:tc>
        <w:tc>
          <w:tcPr>
            <w:tcW w:w="1936" w:type="pct"/>
            <w:vAlign w:val="center"/>
          </w:tcPr>
          <w:p w:rsidR="00620216" w:rsidRPr="00AF20AB" w:rsidRDefault="00620216" w:rsidP="00D45D70">
            <w:pPr>
              <w:pStyle w:val="In-tableHeading"/>
              <w:jc w:val="center"/>
              <w:rPr>
                <w:lang w:val="en-AU"/>
              </w:rPr>
            </w:pPr>
            <w:r w:rsidRPr="00AF20AB">
              <w:rPr>
                <w:lang w:val="en-AU"/>
              </w:rPr>
              <w:t>Azacitidine</w:t>
            </w:r>
          </w:p>
        </w:tc>
      </w:tr>
      <w:tr w:rsidR="00620216" w:rsidRPr="00AF20AB" w:rsidTr="00C85EC8">
        <w:tc>
          <w:tcPr>
            <w:tcW w:w="1208" w:type="pct"/>
            <w:vAlign w:val="center"/>
          </w:tcPr>
          <w:p w:rsidR="00620216" w:rsidRPr="00AF20AB" w:rsidRDefault="00620216" w:rsidP="00D45D70">
            <w:pPr>
              <w:pStyle w:val="TableText0"/>
            </w:pPr>
            <w:r w:rsidRPr="00AF20AB">
              <w:t>Dosing regimen</w:t>
            </w:r>
          </w:p>
        </w:tc>
        <w:tc>
          <w:tcPr>
            <w:tcW w:w="1856" w:type="pct"/>
            <w:vAlign w:val="center"/>
          </w:tcPr>
          <w:p w:rsidR="00620216" w:rsidRPr="00AF20AB" w:rsidRDefault="00620216" w:rsidP="00D45D70">
            <w:pPr>
              <w:pStyle w:val="TableText0"/>
            </w:pPr>
            <w:r w:rsidRPr="00AF20AB">
              <w:t>One tablet daily on Day 1 to 5 in 28-day cycles</w:t>
            </w:r>
          </w:p>
        </w:tc>
        <w:tc>
          <w:tcPr>
            <w:tcW w:w="1936" w:type="pct"/>
            <w:vAlign w:val="center"/>
          </w:tcPr>
          <w:p w:rsidR="00620216" w:rsidRPr="00AF20AB" w:rsidRDefault="00620216" w:rsidP="00D45D70">
            <w:pPr>
              <w:pStyle w:val="TableText0"/>
            </w:pPr>
            <w:r w:rsidRPr="00AF20AB">
              <w:t>IV or SC daily on Day 1 to 7 at 75mg/m</w:t>
            </w:r>
            <w:r w:rsidRPr="00AF20AB">
              <w:rPr>
                <w:vertAlign w:val="superscript"/>
              </w:rPr>
              <w:t>2</w:t>
            </w:r>
            <w:r w:rsidRPr="00AF20AB">
              <w:t xml:space="preserve"> in 28-day cycles</w:t>
            </w:r>
          </w:p>
        </w:tc>
      </w:tr>
      <w:tr w:rsidR="00620216" w:rsidRPr="00AF20AB" w:rsidTr="00C85EC8">
        <w:tc>
          <w:tcPr>
            <w:tcW w:w="1208" w:type="pct"/>
            <w:vAlign w:val="center"/>
          </w:tcPr>
          <w:p w:rsidR="00620216" w:rsidRPr="00AF20AB" w:rsidRDefault="00620216" w:rsidP="00D45D70">
            <w:pPr>
              <w:pStyle w:val="TableText0"/>
              <w:rPr>
                <w:bCs w:val="0"/>
              </w:rPr>
            </w:pPr>
            <w:r w:rsidRPr="00AF20AB">
              <w:rPr>
                <w:bCs w:val="0"/>
              </w:rPr>
              <w:t>Equi-effective doses</w:t>
            </w:r>
          </w:p>
        </w:tc>
        <w:tc>
          <w:tcPr>
            <w:tcW w:w="3792" w:type="pct"/>
            <w:gridSpan w:val="2"/>
            <w:vAlign w:val="center"/>
          </w:tcPr>
          <w:p w:rsidR="00620216" w:rsidRPr="00AF20AB" w:rsidRDefault="00620216" w:rsidP="00D45D70">
            <w:pPr>
              <w:pStyle w:val="TableText0"/>
              <w:rPr>
                <w:bCs w:val="0"/>
              </w:rPr>
            </w:pPr>
            <w:r w:rsidRPr="00AF20AB">
              <w:rPr>
                <w:bCs w:val="0"/>
              </w:rPr>
              <w:t>decitabine 35mg+cedazuridine100mg tablet daily × 5 days every 28 days =</w:t>
            </w:r>
          </w:p>
          <w:p w:rsidR="00620216" w:rsidRPr="00AF20AB" w:rsidRDefault="00620216" w:rsidP="00D45D70">
            <w:pPr>
              <w:pStyle w:val="TableText0"/>
            </w:pPr>
            <w:r w:rsidRPr="00AF20AB">
              <w:rPr>
                <w:bCs w:val="0"/>
              </w:rPr>
              <w:t>azacitidine 75mg/m</w:t>
            </w:r>
            <w:r w:rsidRPr="00AF20AB">
              <w:rPr>
                <w:bCs w:val="0"/>
                <w:vertAlign w:val="superscript"/>
              </w:rPr>
              <w:t>2</w:t>
            </w:r>
            <w:r w:rsidRPr="00AF20AB">
              <w:rPr>
                <w:bCs w:val="0"/>
              </w:rPr>
              <w:t xml:space="preserve"> IV or SC daily × 7 days every 28 days</w:t>
            </w:r>
            <w:r w:rsidRPr="00AF20AB">
              <w:t xml:space="preserve"> </w:t>
            </w:r>
          </w:p>
          <w:p w:rsidR="00620216" w:rsidRPr="00AF20AB" w:rsidRDefault="00620216" w:rsidP="00D45D70">
            <w:pPr>
              <w:pStyle w:val="TableText0"/>
              <w:jc w:val="center"/>
              <w:rPr>
                <w:bCs w:val="0"/>
              </w:rPr>
            </w:pPr>
          </w:p>
        </w:tc>
      </w:tr>
    </w:tbl>
    <w:p w:rsidR="00620216" w:rsidRPr="00AF20AB" w:rsidRDefault="00620216" w:rsidP="00620216">
      <w:pPr>
        <w:rPr>
          <w:rFonts w:ascii="Arial Narrow" w:hAnsi="Arial Narrow"/>
          <w:sz w:val="18"/>
          <w:szCs w:val="18"/>
        </w:rPr>
      </w:pPr>
      <w:r w:rsidRPr="00AF20AB">
        <w:rPr>
          <w:rFonts w:ascii="Arial Narrow" w:hAnsi="Arial Narrow"/>
          <w:sz w:val="18"/>
          <w:szCs w:val="18"/>
        </w:rPr>
        <w:t>Source: Table 3.7, p130; Section 3.2, p130-131 of the submission.</w:t>
      </w:r>
    </w:p>
    <w:p w:rsidR="003270E4" w:rsidRPr="00AF20AB" w:rsidRDefault="00620216" w:rsidP="00620216">
      <w:pPr>
        <w:pStyle w:val="TableFigureFooter"/>
      </w:pPr>
      <w:r w:rsidRPr="00AF20AB">
        <w:rPr>
          <w:szCs w:val="18"/>
        </w:rPr>
        <w:t>IV=intravenous; SC=subcutaneous</w:t>
      </w:r>
    </w:p>
    <w:p w:rsidR="00490B17" w:rsidRPr="00A02580" w:rsidRDefault="00BD48A8" w:rsidP="002E1071">
      <w:pPr>
        <w:pStyle w:val="3-BodyText"/>
        <w:rPr>
          <w:color w:val="0066FF"/>
        </w:rPr>
      </w:pPr>
      <w:r w:rsidRPr="00AF20AB">
        <w:t>The submission stated  that both treatments continue until disease progression or intolerance, and the cost-minimisation assumed no difference in the number of treatment cycles between the two treatments</w:t>
      </w:r>
      <w:r w:rsidR="00AF20AB">
        <w:t xml:space="preserve">. </w:t>
      </w:r>
      <w:r w:rsidR="002F34A5" w:rsidRPr="00AF20AB">
        <w:t xml:space="preserve">The cost-minimisation calculated the cost for treatment </w:t>
      </w:r>
      <w:r w:rsidR="00C05E19" w:rsidRPr="00AF20AB">
        <w:t xml:space="preserve">over </w:t>
      </w:r>
      <w:r w:rsidR="002F34A5" w:rsidRPr="00A02580">
        <w:t>one cycle (see Table 13 below)</w:t>
      </w:r>
      <w:r w:rsidR="00AF20AB" w:rsidRPr="00A02580">
        <w:t xml:space="preserve">. </w:t>
      </w:r>
      <w:r w:rsidRPr="00A02580">
        <w:t xml:space="preserve">  </w:t>
      </w:r>
    </w:p>
    <w:p w:rsidR="00BD48A8" w:rsidRPr="00AF20AB" w:rsidRDefault="0014060E" w:rsidP="003731A5">
      <w:pPr>
        <w:pStyle w:val="3-BodyText"/>
        <w:rPr>
          <w:color w:val="0066FF"/>
        </w:rPr>
      </w:pPr>
      <w:r w:rsidRPr="00A02580">
        <w:t>Cost offsets were based on administration cost</w:t>
      </w:r>
      <w:r w:rsidR="00C05E19" w:rsidRPr="00A02580">
        <w:t>s</w:t>
      </w:r>
      <w:r w:rsidRPr="00A02580">
        <w:t xml:space="preserve"> for azacitidine as well as anti-nausea medication</w:t>
      </w:r>
      <w:r w:rsidR="009F79A9" w:rsidRPr="00A02580">
        <w:t xml:space="preserve"> (granisetron)</w:t>
      </w:r>
      <w:r w:rsidRPr="00A02580">
        <w:t xml:space="preserve"> costs</w:t>
      </w:r>
      <w:r w:rsidR="00AF20AB" w:rsidRPr="00A02580">
        <w:t xml:space="preserve">. </w:t>
      </w:r>
      <w:r w:rsidR="00BD48A8" w:rsidRPr="00A02580">
        <w:t xml:space="preserve">For </w:t>
      </w:r>
      <w:r w:rsidR="00F059C8" w:rsidRPr="00A02580">
        <w:t xml:space="preserve">the </w:t>
      </w:r>
      <w:r w:rsidR="00BD48A8" w:rsidRPr="00A02580">
        <w:t>administration cost for azacitidine, the submission used MBS item 13915</w:t>
      </w:r>
      <w:r w:rsidR="00BD48A8" w:rsidRPr="00AF20AB">
        <w:t xml:space="preserve">, which was an item number for intravenous administration of chemotherapy. </w:t>
      </w:r>
      <w:r w:rsidR="00C05E19" w:rsidRPr="00AF20AB">
        <w:rPr>
          <w:iCs/>
        </w:rPr>
        <w:t>O</w:t>
      </w:r>
      <w:r w:rsidR="00BD48A8" w:rsidRPr="00AF20AB">
        <w:rPr>
          <w:iCs/>
        </w:rPr>
        <w:t xml:space="preserve">n 1 November 2020 the structure of chemotherapeutic procedures listed on the MBS changed. </w:t>
      </w:r>
      <w:r w:rsidR="00502CCF" w:rsidRPr="00AF20AB">
        <w:rPr>
          <w:iCs/>
        </w:rPr>
        <w:t>E</w:t>
      </w:r>
      <w:r w:rsidR="00BD48A8" w:rsidRPr="00AF20AB">
        <w:rPr>
          <w:iCs/>
        </w:rPr>
        <w:t xml:space="preserve">leven administration items (MBS items 13915 to 13942 and item 13948) </w:t>
      </w:r>
      <w:r w:rsidR="00502CCF" w:rsidRPr="00AF20AB">
        <w:rPr>
          <w:iCs/>
        </w:rPr>
        <w:t>wer</w:t>
      </w:r>
      <w:r w:rsidR="00BD48A8" w:rsidRPr="00AF20AB">
        <w:rPr>
          <w:iCs/>
        </w:rPr>
        <w:t xml:space="preserve">e replaced by a single parenteral administration item (item 13950). Thus, item 13915 used by the submission no longer exists, and has been replaced by item 13950. </w:t>
      </w:r>
      <w:r w:rsidR="00C05E19" w:rsidRPr="00AF20AB">
        <w:rPr>
          <w:iCs/>
        </w:rPr>
        <w:t>The fee for</w:t>
      </w:r>
      <w:r w:rsidR="00BD48A8" w:rsidRPr="00AF20AB">
        <w:rPr>
          <w:iCs/>
        </w:rPr>
        <w:t xml:space="preserve"> item 13915 </w:t>
      </w:r>
      <w:r w:rsidR="00C05E19" w:rsidRPr="00AF20AB">
        <w:rPr>
          <w:iCs/>
        </w:rPr>
        <w:t>was</w:t>
      </w:r>
      <w:r w:rsidR="00BD48A8" w:rsidRPr="00AF20AB">
        <w:rPr>
          <w:iCs/>
        </w:rPr>
        <w:t xml:space="preserve"> $67.10, </w:t>
      </w:r>
      <w:r w:rsidR="00C05E19" w:rsidRPr="00AF20AB">
        <w:rPr>
          <w:iCs/>
        </w:rPr>
        <w:t xml:space="preserve">compared with </w:t>
      </w:r>
      <w:r w:rsidR="00BD48A8" w:rsidRPr="00AF20AB">
        <w:rPr>
          <w:iCs/>
        </w:rPr>
        <w:t>$111.40</w:t>
      </w:r>
      <w:r w:rsidR="00C05E19" w:rsidRPr="00AF20AB">
        <w:rPr>
          <w:iCs/>
        </w:rPr>
        <w:t xml:space="preserve"> for item 13950</w:t>
      </w:r>
      <w:r w:rsidR="00BD48A8" w:rsidRPr="00AF20AB">
        <w:rPr>
          <w:iCs/>
        </w:rPr>
        <w:t xml:space="preserve">. </w:t>
      </w:r>
      <w:r w:rsidR="00BD48A8" w:rsidRPr="00AF20AB">
        <w:t>The following table provides the cost inputs used in the submission’s cost-minimisation analysis</w:t>
      </w:r>
      <w:r w:rsidR="00BD48A8" w:rsidRPr="00A02580">
        <w:t>, as well as the updated cost for the MBS administration item</w:t>
      </w:r>
      <w:r w:rsidRPr="00A02580">
        <w:t xml:space="preserve"> and updated cost for granisetron</w:t>
      </w:r>
      <w:r w:rsidR="00BD48A8" w:rsidRPr="00A02580">
        <w:t>.</w:t>
      </w:r>
      <w:r w:rsidR="002F27D7" w:rsidRPr="00A02580">
        <w:t xml:space="preserve"> </w:t>
      </w:r>
      <w:r w:rsidR="006D17EB" w:rsidRPr="00A02580">
        <w:t>The</w:t>
      </w:r>
      <w:r w:rsidR="006D17EB" w:rsidRPr="00AF20AB">
        <w:t xml:space="preserve"> ESC noted that</w:t>
      </w:r>
      <w:r w:rsidR="00BD7307" w:rsidRPr="00AF20AB">
        <w:t xml:space="preserve"> the supply chain costs (mark-ups</w:t>
      </w:r>
      <w:r w:rsidR="003731A5" w:rsidRPr="00AF20AB">
        <w:t xml:space="preserve"> and fees</w:t>
      </w:r>
      <w:r w:rsidR="00BD7307" w:rsidRPr="00AF20AB">
        <w:t>) for decitabine+</w:t>
      </w:r>
      <w:r w:rsidR="00BD7307" w:rsidRPr="00A02580">
        <w:t>cedazuridine ($1</w:t>
      </w:r>
      <w:r w:rsidR="006F7DA4" w:rsidRPr="00A02580">
        <w:t>61</w:t>
      </w:r>
      <w:r w:rsidR="00BD7307" w:rsidRPr="00A02580">
        <w:t>.</w:t>
      </w:r>
      <w:r w:rsidR="006F7DA4" w:rsidRPr="00A02580">
        <w:t>1</w:t>
      </w:r>
      <w:r w:rsidR="00BD7307" w:rsidRPr="00A02580">
        <w:t>6 per</w:t>
      </w:r>
      <w:r w:rsidR="00BD7307" w:rsidRPr="00AF20AB">
        <w:t xml:space="preserve"> script) are higher than for azacitidine ($</w:t>
      </w:r>
      <w:r w:rsidR="003731A5" w:rsidRPr="00AF20AB">
        <w:t>47.78 per script for S100 Highly Specialised Drugs – Private Hospital and $0 per script for S100 Highly Specialised Drugs – Public Hospital</w:t>
      </w:r>
      <w:r w:rsidR="00BD7307" w:rsidRPr="00AF20AB">
        <w:t xml:space="preserve">) and </w:t>
      </w:r>
      <w:r w:rsidR="00A66F03" w:rsidRPr="00AF20AB">
        <w:t xml:space="preserve">as a consequence, the listing of decitabine+cedazuridine would </w:t>
      </w:r>
      <w:r w:rsidR="00BD7307" w:rsidRPr="00AF20AB">
        <w:t>result</w:t>
      </w:r>
      <w:r w:rsidR="00A66F03" w:rsidRPr="00AF20AB">
        <w:t xml:space="preserve"> </w:t>
      </w:r>
      <w:r w:rsidR="00BD7307" w:rsidRPr="00AF20AB">
        <w:t>in additional government cost.</w:t>
      </w:r>
      <w:r w:rsidR="000E65E4" w:rsidRPr="00AF20AB">
        <w:t xml:space="preserve"> The pre-PBAC response revised the requested price to $</w:t>
      </w:r>
      <w:r w:rsidR="00A02580">
        <w:rPr>
          <w:noProof/>
          <w:color w:val="000000"/>
          <w:highlight w:val="black"/>
        </w:rPr>
        <w:t>''''''''''''''''''</w:t>
      </w:r>
      <w:r w:rsidR="000E65E4" w:rsidRPr="00AF20AB">
        <w:t xml:space="preserve"> (AEMP) on the basis of an analysis </w:t>
      </w:r>
      <w:r w:rsidR="00181D75" w:rsidRPr="00AF20AB">
        <w:t>that</w:t>
      </w:r>
      <w:r w:rsidR="000E65E4" w:rsidRPr="00AF20AB">
        <w:t xml:space="preserve"> included the higher cost offset </w:t>
      </w:r>
      <w:r w:rsidR="00181D75" w:rsidRPr="00AF20AB">
        <w:t>with</w:t>
      </w:r>
      <w:r w:rsidR="000E65E4" w:rsidRPr="00AF20AB">
        <w:t xml:space="preserve"> the updated MBS administration fee and </w:t>
      </w:r>
      <w:r w:rsidR="00181D75" w:rsidRPr="00AF20AB">
        <w:t xml:space="preserve">also </w:t>
      </w:r>
      <w:r w:rsidR="000E65E4" w:rsidRPr="00AF20AB">
        <w:t>accounted for the difference in supply chain costs.</w:t>
      </w:r>
    </w:p>
    <w:p w:rsidR="005D33C8" w:rsidRDefault="005D33C8">
      <w:pPr>
        <w:jc w:val="left"/>
        <w:rPr>
          <w:rStyle w:val="CommentReference"/>
          <w:bCs/>
          <w:szCs w:val="24"/>
        </w:rPr>
      </w:pPr>
      <w:r>
        <w:rPr>
          <w:rStyle w:val="CommentReference"/>
          <w:bCs/>
          <w:szCs w:val="24"/>
        </w:rPr>
        <w:br w:type="page"/>
      </w:r>
    </w:p>
    <w:p w:rsidR="00447DFC" w:rsidRPr="00AF20AB" w:rsidRDefault="007F44FB" w:rsidP="007F44FB">
      <w:pPr>
        <w:rPr>
          <w:rFonts w:ascii="Arial Narrow" w:eastAsia="Calibri" w:hAnsi="Arial Narrow"/>
          <w:bCs/>
        </w:rPr>
      </w:pPr>
      <w:r w:rsidRPr="00AF20AB">
        <w:rPr>
          <w:rStyle w:val="CommentReference"/>
          <w:bCs/>
          <w:szCs w:val="24"/>
        </w:rPr>
        <w:t xml:space="preserve">Table </w:t>
      </w:r>
      <w:r w:rsidR="0046096F" w:rsidRPr="00AF20AB">
        <w:rPr>
          <w:rStyle w:val="CommentReference"/>
          <w:bCs/>
          <w:szCs w:val="24"/>
        </w:rPr>
        <w:t>13</w:t>
      </w:r>
      <w:r w:rsidRPr="00AF20AB">
        <w:rPr>
          <w:rStyle w:val="CommentReference"/>
          <w:bCs/>
          <w:szCs w:val="24"/>
        </w:rPr>
        <w:t>: Cost inputs for the cost-minimisation analysis</w:t>
      </w:r>
      <w:r w:rsidR="008215FB" w:rsidRPr="00AF20AB">
        <w:rPr>
          <w:rFonts w:ascii="Arial Narrow" w:eastAsia="Calibri" w:hAnsi="Arial Narrow"/>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02"/>
        <w:gridCol w:w="1095"/>
        <w:gridCol w:w="4220"/>
      </w:tblGrid>
      <w:tr w:rsidR="007F44FB" w:rsidRPr="00AF20AB" w:rsidTr="00C25B76">
        <w:trPr>
          <w:tblHeader/>
        </w:trPr>
        <w:tc>
          <w:tcPr>
            <w:tcW w:w="2053" w:type="pct"/>
            <w:tcBorders>
              <w:top w:val="single" w:sz="4" w:space="0" w:color="auto"/>
              <w:left w:val="single" w:sz="4" w:space="0" w:color="auto"/>
              <w:bottom w:val="single" w:sz="4" w:space="0" w:color="auto"/>
              <w:right w:val="single" w:sz="4" w:space="0" w:color="auto"/>
            </w:tcBorders>
          </w:tcPr>
          <w:p w:rsidR="007F44FB" w:rsidRPr="00AF20AB" w:rsidRDefault="007F44FB" w:rsidP="00D45D70">
            <w:pPr>
              <w:pStyle w:val="PBACTableText"/>
              <w:widowControl w:val="0"/>
              <w:tabs>
                <w:tab w:val="left" w:pos="142"/>
              </w:tabs>
              <w:spacing w:before="0" w:after="0"/>
              <w:rPr>
                <w:b/>
                <w:bCs/>
              </w:rPr>
            </w:pPr>
            <w:r w:rsidRPr="00AF20AB">
              <w:rPr>
                <w:b/>
                <w:bCs/>
              </w:rPr>
              <w:t>Component</w:t>
            </w:r>
          </w:p>
        </w:tc>
        <w:tc>
          <w:tcPr>
            <w:tcW w:w="607" w:type="pct"/>
            <w:tcBorders>
              <w:top w:val="single" w:sz="4" w:space="0" w:color="auto"/>
              <w:left w:val="single" w:sz="4" w:space="0" w:color="auto"/>
              <w:bottom w:val="single" w:sz="4" w:space="0" w:color="auto"/>
              <w:right w:val="single" w:sz="4" w:space="0" w:color="auto"/>
            </w:tcBorders>
          </w:tcPr>
          <w:p w:rsidR="007F44FB" w:rsidRPr="00AF20AB" w:rsidRDefault="007F44FB" w:rsidP="00D45D70">
            <w:pPr>
              <w:pStyle w:val="PBACTableText"/>
              <w:widowControl w:val="0"/>
              <w:spacing w:before="0" w:after="0"/>
              <w:jc w:val="center"/>
              <w:rPr>
                <w:b/>
              </w:rPr>
            </w:pPr>
            <w:r w:rsidRPr="00AF20AB">
              <w:rPr>
                <w:b/>
              </w:rPr>
              <w:t>Submission</w:t>
            </w:r>
          </w:p>
        </w:tc>
        <w:tc>
          <w:tcPr>
            <w:tcW w:w="2340" w:type="pct"/>
            <w:tcBorders>
              <w:top w:val="single" w:sz="4" w:space="0" w:color="auto"/>
              <w:left w:val="single" w:sz="4" w:space="0" w:color="auto"/>
              <w:bottom w:val="single" w:sz="4" w:space="0" w:color="auto"/>
              <w:right w:val="single" w:sz="4" w:space="0" w:color="auto"/>
            </w:tcBorders>
          </w:tcPr>
          <w:p w:rsidR="007F44FB" w:rsidRPr="00AF20AB" w:rsidRDefault="007F44FB" w:rsidP="00D45D70">
            <w:pPr>
              <w:pStyle w:val="PBACTableText"/>
              <w:widowControl w:val="0"/>
              <w:spacing w:before="0" w:after="0"/>
              <w:jc w:val="center"/>
              <w:rPr>
                <w:b/>
              </w:rPr>
            </w:pPr>
            <w:r w:rsidRPr="00AF20AB">
              <w:rPr>
                <w:b/>
              </w:rPr>
              <w:t>Change and reason</w:t>
            </w:r>
          </w:p>
        </w:tc>
      </w:tr>
      <w:tr w:rsidR="007F44FB" w:rsidRPr="00AF20AB" w:rsidTr="00C25B76">
        <w:tc>
          <w:tcPr>
            <w:tcW w:w="2053" w:type="pct"/>
            <w:tcBorders>
              <w:top w:val="single" w:sz="4" w:space="0" w:color="auto"/>
              <w:left w:val="single" w:sz="4" w:space="0" w:color="auto"/>
              <w:bottom w:val="single" w:sz="4" w:space="0" w:color="auto"/>
              <w:right w:val="single" w:sz="4" w:space="0" w:color="auto"/>
            </w:tcBorders>
            <w:vAlign w:val="center"/>
          </w:tcPr>
          <w:p w:rsidR="007F44FB" w:rsidRPr="00A02580" w:rsidRDefault="007F44FB" w:rsidP="00D45D70">
            <w:pPr>
              <w:pStyle w:val="PBACTableText"/>
              <w:widowControl w:val="0"/>
              <w:tabs>
                <w:tab w:val="left" w:pos="142"/>
              </w:tabs>
              <w:spacing w:before="0" w:after="0"/>
            </w:pPr>
            <w:r w:rsidRPr="00A02580">
              <w:t>Azacitidine: AEMP per vial</w:t>
            </w:r>
          </w:p>
        </w:tc>
        <w:tc>
          <w:tcPr>
            <w:tcW w:w="607" w:type="pct"/>
            <w:tcBorders>
              <w:top w:val="single" w:sz="4" w:space="0" w:color="auto"/>
              <w:left w:val="single" w:sz="4" w:space="0" w:color="auto"/>
              <w:bottom w:val="single" w:sz="4" w:space="0" w:color="auto"/>
              <w:right w:val="single" w:sz="4" w:space="0" w:color="auto"/>
            </w:tcBorders>
            <w:vAlign w:val="center"/>
          </w:tcPr>
          <w:p w:rsidR="007F44FB" w:rsidRPr="00A02580" w:rsidRDefault="007F44FB" w:rsidP="00D45D70">
            <w:pPr>
              <w:pStyle w:val="PBACTableText"/>
              <w:widowControl w:val="0"/>
              <w:spacing w:before="0" w:after="0"/>
              <w:jc w:val="center"/>
            </w:pPr>
            <w:r w:rsidRPr="00A02580">
              <w:t>$156.61</w:t>
            </w:r>
          </w:p>
        </w:tc>
        <w:tc>
          <w:tcPr>
            <w:tcW w:w="2340" w:type="pct"/>
            <w:tcBorders>
              <w:top w:val="single" w:sz="4" w:space="0" w:color="auto"/>
              <w:left w:val="single" w:sz="4" w:space="0" w:color="auto"/>
              <w:bottom w:val="single" w:sz="4" w:space="0" w:color="auto"/>
              <w:right w:val="single" w:sz="4" w:space="0" w:color="auto"/>
            </w:tcBorders>
          </w:tcPr>
          <w:p w:rsidR="007F44FB" w:rsidRPr="00A02580" w:rsidRDefault="007F44FB" w:rsidP="00D45D70">
            <w:pPr>
              <w:pStyle w:val="PBACTableText"/>
              <w:widowControl w:val="0"/>
              <w:spacing w:before="0" w:after="0"/>
              <w:jc w:val="center"/>
            </w:pPr>
            <w:r w:rsidRPr="00A02580">
              <w:t>-</w:t>
            </w:r>
          </w:p>
        </w:tc>
      </w:tr>
      <w:tr w:rsidR="007F44FB" w:rsidRPr="00AF20AB" w:rsidTr="00B37C96">
        <w:trPr>
          <w:trHeight w:val="59"/>
        </w:trPr>
        <w:tc>
          <w:tcPr>
            <w:tcW w:w="2053" w:type="pct"/>
            <w:tcBorders>
              <w:top w:val="single" w:sz="4" w:space="0" w:color="auto"/>
              <w:left w:val="single" w:sz="4" w:space="0" w:color="auto"/>
              <w:bottom w:val="single" w:sz="4" w:space="0" w:color="auto"/>
              <w:right w:val="single" w:sz="4" w:space="0" w:color="auto"/>
            </w:tcBorders>
            <w:vAlign w:val="center"/>
          </w:tcPr>
          <w:p w:rsidR="007F44FB" w:rsidRPr="00A02580" w:rsidRDefault="007F44FB" w:rsidP="00D45D70">
            <w:pPr>
              <w:pStyle w:val="PBACTableText"/>
              <w:widowControl w:val="0"/>
              <w:tabs>
                <w:tab w:val="left" w:pos="142"/>
              </w:tabs>
              <w:spacing w:before="0" w:after="0"/>
            </w:pPr>
            <w:r w:rsidRPr="00A02580">
              <w:t>Granisetron: DPMQ per day of administration</w:t>
            </w:r>
          </w:p>
        </w:tc>
        <w:tc>
          <w:tcPr>
            <w:tcW w:w="607" w:type="pct"/>
            <w:tcBorders>
              <w:top w:val="single" w:sz="4" w:space="0" w:color="auto"/>
              <w:left w:val="single" w:sz="4" w:space="0" w:color="auto"/>
              <w:bottom w:val="single" w:sz="4" w:space="0" w:color="auto"/>
              <w:right w:val="single" w:sz="4" w:space="0" w:color="auto"/>
            </w:tcBorders>
            <w:vAlign w:val="center"/>
          </w:tcPr>
          <w:p w:rsidR="007F44FB" w:rsidRPr="00A02580" w:rsidRDefault="007F44FB" w:rsidP="00D45D70">
            <w:pPr>
              <w:pStyle w:val="PBACTableText"/>
              <w:widowControl w:val="0"/>
              <w:spacing w:before="0" w:after="0"/>
              <w:jc w:val="center"/>
            </w:pPr>
            <w:r w:rsidRPr="00A02580">
              <w:t>$10.63</w:t>
            </w:r>
          </w:p>
        </w:tc>
        <w:tc>
          <w:tcPr>
            <w:tcW w:w="2340" w:type="pct"/>
            <w:tcBorders>
              <w:top w:val="single" w:sz="4" w:space="0" w:color="auto"/>
              <w:left w:val="single" w:sz="4" w:space="0" w:color="auto"/>
              <w:bottom w:val="single" w:sz="4" w:space="0" w:color="auto"/>
              <w:right w:val="single" w:sz="4" w:space="0" w:color="auto"/>
            </w:tcBorders>
          </w:tcPr>
          <w:p w:rsidR="007F44FB" w:rsidRPr="00A02580" w:rsidRDefault="007F44FB" w:rsidP="00D45D70">
            <w:pPr>
              <w:pStyle w:val="PBACTableText"/>
              <w:widowControl w:val="0"/>
              <w:spacing w:before="0" w:after="0"/>
              <w:rPr>
                <w:iCs/>
              </w:rPr>
            </w:pPr>
            <w:r w:rsidRPr="00A02580">
              <w:rPr>
                <w:iCs/>
              </w:rPr>
              <w:t>$8.29 AEMP instead of DPMQ</w:t>
            </w:r>
          </w:p>
        </w:tc>
      </w:tr>
      <w:tr w:rsidR="007F44FB" w:rsidRPr="00AF20AB" w:rsidTr="00C25B76">
        <w:tc>
          <w:tcPr>
            <w:tcW w:w="2053" w:type="pct"/>
            <w:tcBorders>
              <w:top w:val="single" w:sz="4" w:space="0" w:color="auto"/>
              <w:left w:val="single" w:sz="4" w:space="0" w:color="auto"/>
              <w:bottom w:val="single" w:sz="4" w:space="0" w:color="auto"/>
              <w:right w:val="single" w:sz="4" w:space="0" w:color="auto"/>
            </w:tcBorders>
            <w:vAlign w:val="center"/>
          </w:tcPr>
          <w:p w:rsidR="007F44FB" w:rsidRPr="00A02580" w:rsidRDefault="007F44FB" w:rsidP="00D45D70">
            <w:pPr>
              <w:pStyle w:val="PBACTableText"/>
              <w:widowControl w:val="0"/>
              <w:tabs>
                <w:tab w:val="left" w:pos="142"/>
              </w:tabs>
              <w:spacing w:before="0" w:after="0"/>
            </w:pPr>
            <w:r w:rsidRPr="00A02580">
              <w:t>MBS item for administration 13915</w:t>
            </w:r>
          </w:p>
        </w:tc>
        <w:tc>
          <w:tcPr>
            <w:tcW w:w="607" w:type="pct"/>
            <w:tcBorders>
              <w:top w:val="single" w:sz="4" w:space="0" w:color="auto"/>
              <w:left w:val="single" w:sz="4" w:space="0" w:color="auto"/>
              <w:bottom w:val="single" w:sz="4" w:space="0" w:color="auto"/>
              <w:right w:val="single" w:sz="4" w:space="0" w:color="auto"/>
            </w:tcBorders>
            <w:vAlign w:val="center"/>
          </w:tcPr>
          <w:p w:rsidR="007F44FB" w:rsidRPr="00A02580" w:rsidRDefault="007F44FB" w:rsidP="00D45D70">
            <w:pPr>
              <w:pStyle w:val="PBACTableText"/>
              <w:widowControl w:val="0"/>
              <w:spacing w:before="0" w:after="0"/>
              <w:jc w:val="center"/>
            </w:pPr>
            <w:r w:rsidRPr="00A02580">
              <w:t>$67.10</w:t>
            </w:r>
          </w:p>
        </w:tc>
        <w:tc>
          <w:tcPr>
            <w:tcW w:w="2340" w:type="pct"/>
            <w:tcBorders>
              <w:top w:val="single" w:sz="4" w:space="0" w:color="auto"/>
              <w:left w:val="single" w:sz="4" w:space="0" w:color="auto"/>
              <w:bottom w:val="single" w:sz="4" w:space="0" w:color="auto"/>
              <w:right w:val="single" w:sz="4" w:space="0" w:color="auto"/>
            </w:tcBorders>
          </w:tcPr>
          <w:p w:rsidR="007F44FB" w:rsidRPr="00A02580" w:rsidRDefault="007F44FB" w:rsidP="00D45D70">
            <w:pPr>
              <w:pStyle w:val="PBACTableText"/>
              <w:widowControl w:val="0"/>
              <w:spacing w:before="0" w:after="0"/>
              <w:rPr>
                <w:iCs/>
              </w:rPr>
            </w:pPr>
            <w:r w:rsidRPr="00A02580">
              <w:rPr>
                <w:iCs/>
              </w:rPr>
              <w:t>$111.40 MBS item removed and replaced by 13950</w:t>
            </w:r>
          </w:p>
        </w:tc>
      </w:tr>
    </w:tbl>
    <w:p w:rsidR="007F44FB" w:rsidRPr="00AF20AB" w:rsidRDefault="007F44FB" w:rsidP="007F44FB">
      <w:pPr>
        <w:pStyle w:val="TableFigureFooter"/>
        <w:spacing w:after="0"/>
      </w:pPr>
      <w:r w:rsidRPr="00AF20AB">
        <w:t>Source: Worksheet ‘Current PBS prices’ of the</w:t>
      </w:r>
      <w:r w:rsidRPr="00AF20AB">
        <w:rPr>
          <w:szCs w:val="18"/>
        </w:rPr>
        <w:t xml:space="preserve"> Excel workbook ‘Section 3 INQOVI November 2020 PBAC SUBMITTED’</w:t>
      </w:r>
      <w:r w:rsidRPr="00AF20AB">
        <w:t>.</w:t>
      </w:r>
    </w:p>
    <w:p w:rsidR="007F44FB" w:rsidRPr="00AF20AB" w:rsidRDefault="007F44FB" w:rsidP="007F44FB">
      <w:pPr>
        <w:rPr>
          <w:rFonts w:ascii="Arial Narrow" w:eastAsia="Calibri" w:hAnsi="Arial Narrow"/>
          <w:sz w:val="18"/>
          <w:szCs w:val="18"/>
        </w:rPr>
      </w:pPr>
      <w:r w:rsidRPr="00AF20AB">
        <w:rPr>
          <w:rFonts w:ascii="Arial Narrow" w:hAnsi="Arial Narrow"/>
          <w:sz w:val="18"/>
          <w:szCs w:val="18"/>
        </w:rPr>
        <w:t>AEMP=approved ex-manufacturer price; DPMQ=dispensed price for maximum quantity</w:t>
      </w:r>
    </w:p>
    <w:p w:rsidR="00D45D70" w:rsidRPr="00AF20AB" w:rsidRDefault="00D45D70" w:rsidP="00ED5480">
      <w:pPr>
        <w:pStyle w:val="3-BodyText"/>
        <w:numPr>
          <w:ilvl w:val="0"/>
          <w:numId w:val="0"/>
        </w:numPr>
      </w:pPr>
    </w:p>
    <w:p w:rsidR="00D45D70" w:rsidRPr="00A02580" w:rsidRDefault="00D45D70" w:rsidP="00BB732D">
      <w:pPr>
        <w:pStyle w:val="3-BodyText"/>
      </w:pPr>
      <w:r w:rsidRPr="00AF20AB">
        <w:t xml:space="preserve">The results of the cost-minimisation analysis presented by the submission are provided </w:t>
      </w:r>
      <w:r w:rsidRPr="00A02580">
        <w:t>in the table below</w:t>
      </w:r>
      <w:r w:rsidR="00AF20AB" w:rsidRPr="00A02580">
        <w:t xml:space="preserve">. </w:t>
      </w:r>
      <w:r w:rsidRPr="00A02580">
        <w:t>Also provided are results using the updated cost for the MBS item for azacitidine administration, as well as use of ex-manufacturer price for granisetron instead of DPMQ.</w:t>
      </w:r>
      <w:r w:rsidR="00C524B4" w:rsidRPr="00A02580">
        <w:t xml:space="preserve"> The ESC noted the clinical claim of non-inferior effectiveness is highly uncertain and considered that it may be appropriate for this uncertainty to be reflected in the price for decitabine+cedazuridine.</w:t>
      </w:r>
      <w:r w:rsidR="00A66F03" w:rsidRPr="00A02580">
        <w:t xml:space="preserve"> </w:t>
      </w:r>
    </w:p>
    <w:p w:rsidR="00D45D70" w:rsidRPr="00A02580" w:rsidRDefault="00D45D70" w:rsidP="00D45D70">
      <w:pPr>
        <w:pStyle w:val="3-BodyText"/>
        <w:numPr>
          <w:ilvl w:val="0"/>
          <w:numId w:val="0"/>
        </w:numPr>
        <w:spacing w:after="0"/>
      </w:pPr>
      <w:r w:rsidRPr="00A02580">
        <w:rPr>
          <w:rStyle w:val="CommentReference"/>
          <w:bCs/>
          <w:szCs w:val="24"/>
        </w:rPr>
        <w:t xml:space="preserve">Table </w:t>
      </w:r>
      <w:r w:rsidR="0046096F" w:rsidRPr="00A02580">
        <w:rPr>
          <w:rStyle w:val="CommentReference"/>
          <w:bCs/>
          <w:szCs w:val="24"/>
        </w:rPr>
        <w:t>14</w:t>
      </w:r>
      <w:r w:rsidRPr="00A02580">
        <w:rPr>
          <w:rStyle w:val="CommentReference"/>
          <w:bCs/>
          <w:szCs w:val="24"/>
        </w:rPr>
        <w:t>: Results of the cost-minimisation analysis</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98"/>
        <w:gridCol w:w="1613"/>
        <w:gridCol w:w="2410"/>
      </w:tblGrid>
      <w:tr w:rsidR="00D45D70" w:rsidRPr="00A02580" w:rsidTr="00D45D70">
        <w:trPr>
          <w:tblHeader/>
        </w:trPr>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rPr>
                <w:b/>
                <w:bCs/>
              </w:rPr>
            </w:pP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b/>
              </w:rPr>
            </w:pPr>
            <w:r w:rsidRPr="00A02580">
              <w:rPr>
                <w:b/>
              </w:rPr>
              <w:t>Cost per day</w:t>
            </w:r>
          </w:p>
        </w:tc>
        <w:tc>
          <w:tcPr>
            <w:tcW w:w="2410"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b/>
              </w:rPr>
            </w:pPr>
            <w:r w:rsidRPr="00A02580">
              <w:rPr>
                <w:b/>
              </w:rPr>
              <w:t>Cost per treatment cycle</w:t>
            </w:r>
          </w:p>
        </w:tc>
      </w:tr>
      <w:tr w:rsidR="00D45D70" w:rsidRPr="00A02580" w:rsidTr="00D45D70">
        <w:tc>
          <w:tcPr>
            <w:tcW w:w="9121" w:type="dxa"/>
            <w:gridSpan w:val="3"/>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rPr>
                <w:b/>
                <w:bCs/>
              </w:rPr>
            </w:pPr>
            <w:r w:rsidRPr="00A02580">
              <w:rPr>
                <w:b/>
                <w:bCs/>
              </w:rPr>
              <w:t>Azacitidine cost (7 treatment days in each cycle)</w:t>
            </w:r>
          </w:p>
        </w:tc>
      </w:tr>
      <w:tr w:rsidR="00D45D70" w:rsidRPr="00A02580"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pPr>
            <w:r w:rsidRPr="00A02580">
              <w:tab/>
              <w:t>Azacitidine: 2 vials at $156.61 per vial</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r w:rsidRPr="00A02580">
              <w:t>$313.22</w:t>
            </w:r>
          </w:p>
        </w:tc>
        <w:tc>
          <w:tcPr>
            <w:tcW w:w="2410" w:type="dxa"/>
            <w:vMerge w:val="restart"/>
            <w:tcBorders>
              <w:top w:val="single" w:sz="4" w:space="0" w:color="auto"/>
              <w:left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r w:rsidRPr="00A02580">
              <w:t>$2,266.95</w:t>
            </w:r>
          </w:p>
        </w:tc>
      </w:tr>
      <w:tr w:rsidR="00D45D70" w:rsidRPr="00A02580"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pPr>
            <w:r w:rsidRPr="00A02580">
              <w:tab/>
              <w:t>Granisetron: 1 tablet per day</w:t>
            </w:r>
            <w:r w:rsidR="004F05D5" w:rsidRPr="00A02580">
              <w:t xml:space="preserve"> (DPMQ)</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r w:rsidRPr="00A02580">
              <w:t>$10.63</w:t>
            </w:r>
          </w:p>
        </w:tc>
        <w:tc>
          <w:tcPr>
            <w:tcW w:w="2410" w:type="dxa"/>
            <w:vMerge/>
            <w:tcBorders>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iCs/>
              </w:rPr>
            </w:pPr>
          </w:p>
        </w:tc>
      </w:tr>
      <w:tr w:rsidR="00D45D70" w:rsidRPr="00A02580"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pPr>
            <w:r w:rsidRPr="00A02580">
              <w:tab/>
              <w:t>Azacitidine administration: MBS item 13915</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r w:rsidRPr="00A02580">
              <w:t>$67.10</w:t>
            </w:r>
          </w:p>
        </w:tc>
        <w:tc>
          <w:tcPr>
            <w:tcW w:w="2410"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r w:rsidRPr="00A02580">
              <w:t>$469.70</w:t>
            </w:r>
          </w:p>
        </w:tc>
      </w:tr>
      <w:tr w:rsidR="00D45D70" w:rsidRPr="00A02580"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pPr>
            <w:r w:rsidRPr="00A02580">
              <w:tab/>
              <w:t xml:space="preserve">Total cost </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r w:rsidRPr="00A02580">
              <w:t>$390.95</w:t>
            </w:r>
          </w:p>
        </w:tc>
        <w:tc>
          <w:tcPr>
            <w:tcW w:w="2410"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r w:rsidRPr="00A02580">
              <w:t>$2,736.65</w:t>
            </w:r>
          </w:p>
        </w:tc>
      </w:tr>
      <w:tr w:rsidR="00D45D70" w:rsidRPr="00A02580" w:rsidTr="00D45D70">
        <w:tc>
          <w:tcPr>
            <w:tcW w:w="9121" w:type="dxa"/>
            <w:gridSpan w:val="3"/>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rPr>
                <w:b/>
                <w:bCs/>
              </w:rPr>
            </w:pPr>
            <w:r w:rsidRPr="00A02580">
              <w:rPr>
                <w:b/>
                <w:bCs/>
              </w:rPr>
              <w:t>Cost-minimisation</w:t>
            </w:r>
          </w:p>
        </w:tc>
      </w:tr>
      <w:tr w:rsidR="00D45D70" w:rsidRPr="00A02580"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rPr>
                <w:b/>
                <w:bCs/>
              </w:rPr>
            </w:pPr>
            <w:r w:rsidRPr="00A02580">
              <w:rPr>
                <w:b/>
                <w:bCs/>
              </w:rPr>
              <w:t>Per cycle cost of decitabine+cedazuridine to match azacitidine</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b/>
                <w:bCs/>
              </w:rPr>
            </w:pPr>
            <w:r w:rsidRPr="00A02580">
              <w:rPr>
                <w:b/>
                <w:bCs/>
              </w:rPr>
              <w:t>$2,736.65</w:t>
            </w:r>
          </w:p>
        </w:tc>
      </w:tr>
      <w:tr w:rsidR="00D45D70" w:rsidRPr="00A02580"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pPr>
            <w:r w:rsidRPr="00A02580">
              <w:t>Administration days</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r w:rsidRPr="00A02580">
              <w:t>5</w:t>
            </w:r>
          </w:p>
        </w:tc>
        <w:tc>
          <w:tcPr>
            <w:tcW w:w="2410" w:type="dxa"/>
            <w:vMerge w:val="restart"/>
            <w:tcBorders>
              <w:top w:val="single" w:sz="4" w:space="0" w:color="auto"/>
              <w:left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p>
        </w:tc>
      </w:tr>
      <w:tr w:rsidR="00D45D70" w:rsidRPr="00A02580"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pPr>
            <w:r w:rsidRPr="00A02580">
              <w:t>Daily cost at cost neutrality</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r w:rsidRPr="00A02580">
              <w:t>$547.33</w:t>
            </w:r>
          </w:p>
        </w:tc>
        <w:tc>
          <w:tcPr>
            <w:tcW w:w="2410" w:type="dxa"/>
            <w:vMerge/>
            <w:tcBorders>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p>
        </w:tc>
      </w:tr>
      <w:tr w:rsidR="00D45D70" w:rsidRPr="00A02580" w:rsidTr="00D45D70">
        <w:tc>
          <w:tcPr>
            <w:tcW w:w="9121" w:type="dxa"/>
            <w:gridSpan w:val="3"/>
            <w:tcBorders>
              <w:top w:val="single" w:sz="4" w:space="0" w:color="auto"/>
              <w:left w:val="single" w:sz="4" w:space="0" w:color="auto"/>
              <w:bottom w:val="single" w:sz="4" w:space="0" w:color="auto"/>
              <w:right w:val="single" w:sz="4" w:space="0" w:color="auto"/>
            </w:tcBorders>
            <w:vAlign w:val="center"/>
          </w:tcPr>
          <w:p w:rsidR="00D45D70" w:rsidRPr="00A02580" w:rsidRDefault="00D45D70" w:rsidP="00AF20AB">
            <w:pPr>
              <w:pStyle w:val="PBACTableText"/>
              <w:widowControl w:val="0"/>
              <w:spacing w:before="0" w:after="0"/>
              <w:rPr>
                <w:b/>
                <w:bCs/>
              </w:rPr>
            </w:pPr>
            <w:r w:rsidRPr="00A02580">
              <w:rPr>
                <w:b/>
                <w:bCs/>
              </w:rPr>
              <w:t>Alternate cost-minimisation using updated MBS cost and AEMP cost for granisetron</w:t>
            </w:r>
            <w:r w:rsidR="008E0D73" w:rsidRPr="00A02580">
              <w:rPr>
                <w:b/>
                <w:bCs/>
                <w:vertAlign w:val="superscript"/>
              </w:rPr>
              <w:t>a</w:t>
            </w:r>
          </w:p>
        </w:tc>
      </w:tr>
      <w:tr w:rsidR="00D45D70" w:rsidRPr="00A02580"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pPr>
            <w:r w:rsidRPr="00A02580">
              <w:tab/>
              <w:t>Azacitidine: 2 vials at $156.61 per vial</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r w:rsidRPr="00A02580">
              <w:t>$313.22</w:t>
            </w:r>
          </w:p>
        </w:tc>
        <w:tc>
          <w:tcPr>
            <w:tcW w:w="2410" w:type="dxa"/>
            <w:vMerge w:val="restart"/>
            <w:tcBorders>
              <w:top w:val="single" w:sz="4" w:space="0" w:color="auto"/>
              <w:left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iCs/>
              </w:rPr>
            </w:pPr>
            <w:r w:rsidRPr="00A02580">
              <w:rPr>
                <w:iCs/>
              </w:rPr>
              <w:t>$2,250.57</w:t>
            </w:r>
          </w:p>
        </w:tc>
      </w:tr>
      <w:tr w:rsidR="00D45D70" w:rsidRPr="00A02580"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pPr>
            <w:r w:rsidRPr="00A02580">
              <w:tab/>
              <w:t>Granisetron: 1 tablet per day</w:t>
            </w:r>
            <w:r w:rsidR="004F05D5" w:rsidRPr="00A02580">
              <w:t xml:space="preserve"> (AEMP)</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iCs/>
              </w:rPr>
            </w:pPr>
            <w:r w:rsidRPr="00A02580">
              <w:rPr>
                <w:iCs/>
              </w:rPr>
              <w:t>$8.29</w:t>
            </w:r>
          </w:p>
        </w:tc>
        <w:tc>
          <w:tcPr>
            <w:tcW w:w="2410" w:type="dxa"/>
            <w:vMerge/>
            <w:tcBorders>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p>
        </w:tc>
      </w:tr>
      <w:tr w:rsidR="00D45D70" w:rsidRPr="00A02580"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pPr>
            <w:r w:rsidRPr="00A02580">
              <w:tab/>
              <w:t xml:space="preserve">Azacitidine administration: </w:t>
            </w:r>
            <w:r w:rsidRPr="00A02580">
              <w:rPr>
                <w:iCs/>
              </w:rPr>
              <w:t>MBS item 13950</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iCs/>
              </w:rPr>
            </w:pPr>
            <w:r w:rsidRPr="00A02580">
              <w:rPr>
                <w:iCs/>
              </w:rPr>
              <w:t>$111.40</w:t>
            </w:r>
          </w:p>
        </w:tc>
        <w:tc>
          <w:tcPr>
            <w:tcW w:w="2410"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r w:rsidRPr="00A02580">
              <w:t>$779.80</w:t>
            </w:r>
          </w:p>
        </w:tc>
      </w:tr>
      <w:tr w:rsidR="00D45D70" w:rsidRPr="00A02580"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rPr>
                <w:iCs/>
              </w:rPr>
            </w:pPr>
            <w:r w:rsidRPr="00A02580">
              <w:rPr>
                <w:iCs/>
              </w:rPr>
              <w:tab/>
              <w:t xml:space="preserve">Total cost </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iCs/>
              </w:rPr>
            </w:pPr>
            <w:r w:rsidRPr="00A02580">
              <w:rPr>
                <w:iCs/>
              </w:rPr>
              <w:t>$432.91</w:t>
            </w:r>
          </w:p>
        </w:tc>
        <w:tc>
          <w:tcPr>
            <w:tcW w:w="2410"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iCs/>
              </w:rPr>
            </w:pPr>
            <w:r w:rsidRPr="00A02580">
              <w:rPr>
                <w:iCs/>
              </w:rPr>
              <w:t>$3,030.37</w:t>
            </w:r>
          </w:p>
        </w:tc>
      </w:tr>
      <w:tr w:rsidR="00D45D70" w:rsidRPr="00A02580"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rPr>
                <w:b/>
                <w:bCs/>
                <w:iCs/>
              </w:rPr>
            </w:pPr>
            <w:r w:rsidRPr="00A02580">
              <w:rPr>
                <w:b/>
                <w:bCs/>
                <w:iCs/>
              </w:rPr>
              <w:t>Per cycle cost of decitabine+cedazuridine to match azacitidine</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b/>
                <w:bCs/>
              </w:rPr>
            </w:pPr>
            <w:r w:rsidRPr="00A02580">
              <w:rPr>
                <w:b/>
                <w:bCs/>
                <w:iCs/>
              </w:rPr>
              <w:t>$3,030.37</w:t>
            </w:r>
          </w:p>
        </w:tc>
      </w:tr>
      <w:tr w:rsidR="00D45D70" w:rsidRPr="00AF20AB"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pPr>
            <w:r w:rsidRPr="00A02580">
              <w:t>Administration days</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pPr>
            <w:r w:rsidRPr="00A02580">
              <w:t>5</w:t>
            </w:r>
          </w:p>
        </w:tc>
        <w:tc>
          <w:tcPr>
            <w:tcW w:w="2410" w:type="dxa"/>
            <w:vMerge w:val="restart"/>
            <w:tcBorders>
              <w:top w:val="single" w:sz="4" w:space="0" w:color="auto"/>
              <w:left w:val="single" w:sz="4" w:space="0" w:color="auto"/>
              <w:right w:val="single" w:sz="4" w:space="0" w:color="auto"/>
            </w:tcBorders>
            <w:vAlign w:val="center"/>
          </w:tcPr>
          <w:p w:rsidR="00D45D70" w:rsidRPr="00AF20AB" w:rsidRDefault="00D45D70" w:rsidP="00D45D70">
            <w:pPr>
              <w:pStyle w:val="PBACTableText"/>
              <w:widowControl w:val="0"/>
              <w:spacing w:before="0" w:after="0"/>
              <w:jc w:val="center"/>
            </w:pPr>
          </w:p>
        </w:tc>
      </w:tr>
      <w:tr w:rsidR="00D45D70" w:rsidRPr="00AF20AB" w:rsidTr="00D45D70">
        <w:tc>
          <w:tcPr>
            <w:tcW w:w="5098"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tabs>
                <w:tab w:val="left" w:pos="142"/>
              </w:tabs>
              <w:spacing w:before="0" w:after="0"/>
              <w:rPr>
                <w:iCs/>
              </w:rPr>
            </w:pPr>
            <w:r w:rsidRPr="00A02580">
              <w:rPr>
                <w:iCs/>
              </w:rPr>
              <w:t>Daily cost at cost neutrality</w:t>
            </w:r>
          </w:p>
        </w:tc>
        <w:tc>
          <w:tcPr>
            <w:tcW w:w="1613" w:type="dxa"/>
            <w:tcBorders>
              <w:top w:val="single" w:sz="4" w:space="0" w:color="auto"/>
              <w:left w:val="single" w:sz="4" w:space="0" w:color="auto"/>
              <w:bottom w:val="single" w:sz="4" w:space="0" w:color="auto"/>
              <w:right w:val="single" w:sz="4" w:space="0" w:color="auto"/>
            </w:tcBorders>
            <w:vAlign w:val="center"/>
          </w:tcPr>
          <w:p w:rsidR="00D45D70" w:rsidRPr="00A02580" w:rsidRDefault="00D45D70" w:rsidP="00D45D70">
            <w:pPr>
              <w:pStyle w:val="PBACTableText"/>
              <w:widowControl w:val="0"/>
              <w:spacing w:before="0" w:after="0"/>
              <w:jc w:val="center"/>
              <w:rPr>
                <w:iCs/>
              </w:rPr>
            </w:pPr>
            <w:r w:rsidRPr="00A02580">
              <w:rPr>
                <w:iCs/>
              </w:rPr>
              <w:t>$606.07</w:t>
            </w:r>
          </w:p>
        </w:tc>
        <w:tc>
          <w:tcPr>
            <w:tcW w:w="2410" w:type="dxa"/>
            <w:vMerge/>
            <w:tcBorders>
              <w:left w:val="single" w:sz="4" w:space="0" w:color="auto"/>
              <w:bottom w:val="single" w:sz="4" w:space="0" w:color="auto"/>
              <w:right w:val="single" w:sz="4" w:space="0" w:color="auto"/>
            </w:tcBorders>
            <w:vAlign w:val="center"/>
          </w:tcPr>
          <w:p w:rsidR="00D45D70" w:rsidRPr="00AF20AB" w:rsidRDefault="00D45D70" w:rsidP="00D45D70">
            <w:pPr>
              <w:pStyle w:val="PBACTableText"/>
              <w:widowControl w:val="0"/>
              <w:spacing w:before="0" w:after="0"/>
              <w:jc w:val="center"/>
            </w:pPr>
          </w:p>
        </w:tc>
      </w:tr>
    </w:tbl>
    <w:p w:rsidR="00D45D70" w:rsidRPr="00AF20AB" w:rsidRDefault="00D45D70" w:rsidP="00D45D70">
      <w:pPr>
        <w:pStyle w:val="TableFigureFooter"/>
      </w:pPr>
      <w:r w:rsidRPr="00AF20AB">
        <w:t>Source:  Table 3.9, p131 of the submission; Worksheet ‘Current PBS prices’ of the</w:t>
      </w:r>
      <w:r w:rsidRPr="00AF20AB">
        <w:rPr>
          <w:szCs w:val="18"/>
        </w:rPr>
        <w:t xml:space="preserve"> Excel workbook ‘Section 3 INQOVI November 2020 PBAC SUBMITTED’</w:t>
      </w:r>
      <w:r w:rsidRPr="00AF20AB">
        <w:t>.</w:t>
      </w:r>
    </w:p>
    <w:p w:rsidR="00D45D70" w:rsidRPr="00AF20AB" w:rsidRDefault="00D45D70" w:rsidP="00D45D70">
      <w:pPr>
        <w:pStyle w:val="TableFigureFooter"/>
      </w:pPr>
      <w:r w:rsidRPr="00AF20AB">
        <w:t>AEMP=approved ex-manufacturer price</w:t>
      </w:r>
      <w:r w:rsidR="004F05D5" w:rsidRPr="00AF20AB">
        <w:t>; DPMQ=dispensed price maximum quantity</w:t>
      </w:r>
    </w:p>
    <w:p w:rsidR="008E0D73" w:rsidRPr="00AF20AB" w:rsidRDefault="008E0D73" w:rsidP="00D45D70">
      <w:pPr>
        <w:pStyle w:val="TableFigureFooter"/>
      </w:pPr>
      <w:r w:rsidRPr="00AF20AB">
        <w:rPr>
          <w:vertAlign w:val="superscript"/>
        </w:rPr>
        <w:t>a</w:t>
      </w:r>
      <w:r w:rsidRPr="00AF20AB">
        <w:t xml:space="preserve"> Calculated during the evaluation </w:t>
      </w:r>
    </w:p>
    <w:p w:rsidR="00D45D70" w:rsidRPr="00AF20AB" w:rsidRDefault="00D45D70" w:rsidP="00D45D70">
      <w:pPr>
        <w:pStyle w:val="TableFigureFooter"/>
      </w:pPr>
    </w:p>
    <w:p w:rsidR="00C25D9C" w:rsidRPr="00AF20AB" w:rsidRDefault="00C25D9C" w:rsidP="00BB732D">
      <w:pPr>
        <w:pStyle w:val="4-SubsectionHeading"/>
      </w:pPr>
      <w:bookmarkStart w:id="22" w:name="_Toc22897646"/>
      <w:bookmarkStart w:id="23" w:name="_Toc62045613"/>
      <w:r w:rsidRPr="00AF20AB">
        <w:t>Drug</w:t>
      </w:r>
      <w:r w:rsidR="002D7394" w:rsidRPr="00AF20AB">
        <w:t xml:space="preserve"> </w:t>
      </w:r>
      <w:r w:rsidRPr="00AF20AB">
        <w:t>cost/patient/course</w:t>
      </w:r>
      <w:bookmarkEnd w:id="22"/>
      <w:bookmarkEnd w:id="23"/>
    </w:p>
    <w:p w:rsidR="002D7394" w:rsidRPr="00AF20AB" w:rsidRDefault="002D7394" w:rsidP="00F311D5">
      <w:pPr>
        <w:pStyle w:val="3-BodyText"/>
        <w:rPr>
          <w:snapToGrid/>
        </w:rPr>
      </w:pPr>
      <w:r w:rsidRPr="00AF20AB">
        <w:rPr>
          <w:snapToGrid/>
        </w:rPr>
        <w:t>Based on the requested effective price of decitabine+cedazuridine, the drug cost per cycle of treatment would be $</w:t>
      </w:r>
      <w:r w:rsidR="00A02580">
        <w:rPr>
          <w:noProof/>
          <w:snapToGrid/>
          <w:color w:val="000000"/>
          <w:highlight w:val="black"/>
        </w:rPr>
        <w:t>''''''''''''''''</w:t>
      </w:r>
      <w:r w:rsidR="00AF20AB">
        <w:rPr>
          <w:snapToGrid/>
        </w:rPr>
        <w:t xml:space="preserve">. </w:t>
      </w:r>
      <w:r w:rsidRPr="00AF20AB">
        <w:rPr>
          <w:snapToGrid/>
        </w:rPr>
        <w:t xml:space="preserve">When the </w:t>
      </w:r>
      <w:r w:rsidR="0058307A" w:rsidRPr="00AF20AB">
        <w:rPr>
          <w:snapToGrid/>
        </w:rPr>
        <w:t xml:space="preserve">updated administration cost for </w:t>
      </w:r>
      <w:r w:rsidR="006830BF" w:rsidRPr="00AF20AB">
        <w:rPr>
          <w:snapToGrid/>
        </w:rPr>
        <w:t xml:space="preserve">MBS </w:t>
      </w:r>
      <w:r w:rsidR="0058307A" w:rsidRPr="00AF20AB">
        <w:rPr>
          <w:snapToGrid/>
        </w:rPr>
        <w:t>item 13950</w:t>
      </w:r>
      <w:r w:rsidR="00F311D5" w:rsidRPr="00AF20AB">
        <w:rPr>
          <w:snapToGrid/>
        </w:rPr>
        <w:t xml:space="preserve"> (used as a cost offset in the cost-minimisation analysis) and the 1 January 2021 wholesale mark-up ($54.14)</w:t>
      </w:r>
      <w:r w:rsidR="0058307A" w:rsidRPr="00AF20AB">
        <w:rPr>
          <w:snapToGrid/>
        </w:rPr>
        <w:t xml:space="preserve"> </w:t>
      </w:r>
      <w:r w:rsidRPr="00AF20AB">
        <w:rPr>
          <w:snapToGrid/>
        </w:rPr>
        <w:t>is applied, the drug cost per cycle becomes $</w:t>
      </w:r>
      <w:r w:rsidR="00A02580">
        <w:rPr>
          <w:noProof/>
          <w:snapToGrid/>
          <w:color w:val="000000"/>
          <w:highlight w:val="black"/>
        </w:rPr>
        <w:t>'''''''''''''''''</w:t>
      </w:r>
      <w:r w:rsidRPr="00AF20AB">
        <w:rPr>
          <w:snapToGrid/>
        </w:rPr>
        <w:t>.</w:t>
      </w:r>
      <w:r w:rsidR="00386F1D" w:rsidRPr="00AF20AB">
        <w:rPr>
          <w:snapToGrid/>
        </w:rPr>
        <w:t xml:space="preserve"> Based on the revised price for decitabine+cedazuridine in the pre-PBAC response</w:t>
      </w:r>
      <w:r w:rsidR="00551998" w:rsidRPr="00AF20AB">
        <w:rPr>
          <w:snapToGrid/>
        </w:rPr>
        <w:t xml:space="preserve"> </w:t>
      </w:r>
      <w:r w:rsidR="00386F1D" w:rsidRPr="00AF20AB">
        <w:rPr>
          <w:snapToGrid/>
        </w:rPr>
        <w:t>the drug cost per cycle would be $</w:t>
      </w:r>
      <w:r w:rsidR="00A02580">
        <w:rPr>
          <w:noProof/>
          <w:snapToGrid/>
          <w:color w:val="000000"/>
          <w:highlight w:val="black"/>
        </w:rPr>
        <w:t>'''''''''''''''</w:t>
      </w:r>
      <w:r w:rsidR="00386F1D" w:rsidRPr="00AF20AB">
        <w:rPr>
          <w:snapToGrid/>
        </w:rPr>
        <w:t>.</w:t>
      </w:r>
    </w:p>
    <w:p w:rsidR="00B60939" w:rsidRPr="00AF20AB" w:rsidRDefault="00B60939" w:rsidP="002B05A1">
      <w:pPr>
        <w:pStyle w:val="4-SubsectionHeading"/>
      </w:pPr>
      <w:bookmarkStart w:id="24" w:name="_Toc22897647"/>
      <w:bookmarkStart w:id="25" w:name="_Toc62045614"/>
      <w:r w:rsidRPr="00AF20AB">
        <w:t>Estimated PBS usage &amp; financial implications</w:t>
      </w:r>
      <w:bookmarkEnd w:id="24"/>
      <w:bookmarkEnd w:id="25"/>
    </w:p>
    <w:p w:rsidR="00AB08EE" w:rsidRPr="00AF20AB" w:rsidRDefault="00C25D9C" w:rsidP="00AB08EE">
      <w:pPr>
        <w:pStyle w:val="3-BodyText"/>
        <w:rPr>
          <w:color w:val="0066FF"/>
        </w:rPr>
      </w:pPr>
      <w:r w:rsidRPr="00AF20AB">
        <w:t xml:space="preserve">This submission </w:t>
      </w:r>
      <w:r w:rsidR="00C524B4" w:rsidRPr="00AF20AB">
        <w:t xml:space="preserve">was </w:t>
      </w:r>
      <w:r w:rsidRPr="00AF20AB">
        <w:t>not considered by DUSC</w:t>
      </w:r>
      <w:r w:rsidR="00AB08EE" w:rsidRPr="00AF20AB">
        <w:t>.</w:t>
      </w:r>
    </w:p>
    <w:p w:rsidR="00AB08EE" w:rsidRPr="00AF20AB" w:rsidRDefault="00AB08EE" w:rsidP="00AB08EE">
      <w:pPr>
        <w:pStyle w:val="3-BodyText"/>
        <w:rPr>
          <w:rStyle w:val="CommentReference"/>
          <w:rFonts w:asciiTheme="minorHAnsi" w:hAnsiTheme="minorHAnsi"/>
          <w:b w:val="0"/>
          <w:color w:val="0066FF"/>
          <w:sz w:val="24"/>
          <w:szCs w:val="24"/>
        </w:rPr>
      </w:pPr>
      <w:r w:rsidRPr="00AF20AB">
        <w:t>The submission applied a market</w:t>
      </w:r>
      <w:r w:rsidR="000155BE" w:rsidRPr="00AF20AB">
        <w:t xml:space="preserve"> share</w:t>
      </w:r>
      <w:r w:rsidRPr="00AF20AB">
        <w:t xml:space="preserve"> approach to develop the financial estimates</w:t>
      </w:r>
      <w:r w:rsidR="00AF20AB">
        <w:t xml:space="preserve">. </w:t>
      </w:r>
      <w:r w:rsidRPr="00AF20AB">
        <w:t xml:space="preserve">A summary of the sources used and values applied is provided in Table </w:t>
      </w:r>
      <w:r w:rsidR="0000305D">
        <w:t>15</w:t>
      </w:r>
      <w:r w:rsidRPr="00AF20AB">
        <w:t>.</w:t>
      </w:r>
    </w:p>
    <w:p w:rsidR="00E42F73" w:rsidRPr="00AF20AB" w:rsidRDefault="00E42F73" w:rsidP="007925DF">
      <w:pPr>
        <w:pStyle w:val="TableFigureHeading"/>
        <w:rPr>
          <w:rStyle w:val="CommentReference"/>
          <w:b/>
          <w:szCs w:val="24"/>
        </w:rPr>
      </w:pPr>
      <w:r w:rsidRPr="00AF20AB">
        <w:rPr>
          <w:rStyle w:val="CommentReference"/>
          <w:b/>
          <w:szCs w:val="24"/>
        </w:rPr>
        <w:t xml:space="preserve">Table </w:t>
      </w:r>
      <w:r w:rsidR="0046096F" w:rsidRPr="00AF20AB">
        <w:rPr>
          <w:rStyle w:val="CommentReference"/>
          <w:b/>
          <w:szCs w:val="24"/>
        </w:rPr>
        <w:t>15</w:t>
      </w:r>
      <w:r w:rsidRPr="00AF20AB">
        <w:rPr>
          <w:rStyle w:val="CommentReference"/>
          <w:b/>
          <w:szCs w:val="24"/>
        </w:rPr>
        <w:t xml:space="preserve">: </w:t>
      </w:r>
      <w:r w:rsidR="00AB08EE" w:rsidRPr="00AF20AB">
        <w:rPr>
          <w:rStyle w:val="CommentReference"/>
          <w:b/>
          <w:bCs w:val="0"/>
        </w:rPr>
        <w:t>Data sources and parameter values applied in the utilisation and financial estimates</w:t>
      </w:r>
    </w:p>
    <w:tbl>
      <w:tblPr>
        <w:tblStyle w:val="Summarybox2"/>
        <w:tblW w:w="4966" w:type="pct"/>
        <w:tblLook w:val="04A0" w:firstRow="1" w:lastRow="0" w:firstColumn="1" w:lastColumn="0" w:noHBand="0" w:noVBand="1"/>
        <w:tblCaption w:val="Table 15: Data sources and parameter values applied in the utilisation and financial estimates"/>
      </w:tblPr>
      <w:tblGrid>
        <w:gridCol w:w="2366"/>
        <w:gridCol w:w="6590"/>
      </w:tblGrid>
      <w:tr w:rsidR="00AB08EE" w:rsidRPr="00AF20AB" w:rsidTr="00B6791B">
        <w:trPr>
          <w:tblHeader/>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8EE" w:rsidRPr="00AF20AB" w:rsidRDefault="00AB08EE" w:rsidP="00C25B76">
            <w:pPr>
              <w:keepNext/>
              <w:widowControl w:val="0"/>
              <w:jc w:val="left"/>
              <w:rPr>
                <w:rFonts w:ascii="Arial Narrow" w:hAnsi="Arial Narrow"/>
                <w:b/>
                <w:sz w:val="20"/>
                <w:szCs w:val="20"/>
              </w:rPr>
            </w:pPr>
            <w:r w:rsidRPr="00AF20AB">
              <w:rPr>
                <w:rFonts w:ascii="Arial Narrow" w:hAnsi="Arial Narrow"/>
                <w:b/>
                <w:sz w:val="20"/>
                <w:szCs w:val="20"/>
              </w:rPr>
              <w:t>Component</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8EE" w:rsidRPr="00AF20AB" w:rsidRDefault="00AB08EE" w:rsidP="00C25B76">
            <w:pPr>
              <w:keepNext/>
              <w:widowControl w:val="0"/>
              <w:jc w:val="center"/>
              <w:rPr>
                <w:rFonts w:ascii="Arial Narrow" w:hAnsi="Arial Narrow"/>
                <w:b/>
                <w:sz w:val="20"/>
                <w:szCs w:val="20"/>
              </w:rPr>
            </w:pPr>
            <w:r w:rsidRPr="00AF20AB">
              <w:rPr>
                <w:rFonts w:ascii="Arial Narrow" w:hAnsi="Arial Narrow"/>
                <w:b/>
                <w:sz w:val="20"/>
                <w:szCs w:val="20"/>
              </w:rPr>
              <w:t>Data source</w:t>
            </w:r>
          </w:p>
        </w:tc>
      </w:tr>
      <w:tr w:rsidR="00AB08EE" w:rsidRPr="00AF20AB" w:rsidTr="00EE7A8A">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08EE" w:rsidRPr="00AF20AB" w:rsidRDefault="00AB08EE" w:rsidP="00C25B76">
            <w:pPr>
              <w:keepNext/>
              <w:widowControl w:val="0"/>
              <w:jc w:val="left"/>
              <w:rPr>
                <w:rFonts w:ascii="Arial Narrow" w:hAnsi="Arial Narrow"/>
                <w:b/>
                <w:sz w:val="20"/>
                <w:szCs w:val="20"/>
              </w:rPr>
            </w:pPr>
            <w:r w:rsidRPr="00AF20AB">
              <w:rPr>
                <w:rFonts w:ascii="Arial Narrow" w:hAnsi="Arial Narrow"/>
                <w:b/>
                <w:sz w:val="20"/>
                <w:szCs w:val="20"/>
              </w:rPr>
              <w:t>Script numbers</w:t>
            </w:r>
          </w:p>
        </w:tc>
      </w:tr>
      <w:tr w:rsidR="00AB08EE" w:rsidRPr="00AF20AB" w:rsidTr="00B6791B">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Market growth rate</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Based on azacitidine usage over the past 5 years, with linear growth applied</w:t>
            </w:r>
            <w:r w:rsidR="00AF20AB">
              <w:rPr>
                <w:rFonts w:ascii="Arial Narrow" w:hAnsi="Arial Narrow"/>
                <w:sz w:val="20"/>
                <w:szCs w:val="20"/>
              </w:rPr>
              <w:t xml:space="preserve">. </w:t>
            </w:r>
            <w:r w:rsidRPr="00AF20AB">
              <w:rPr>
                <w:rFonts w:ascii="Arial Narrow" w:hAnsi="Arial Narrow"/>
                <w:sz w:val="20"/>
                <w:szCs w:val="20"/>
              </w:rPr>
              <w:t>The annual growth rate applied was 4.24% in Year 1, 4.07% in Year 2, 3.91% in Year 3, 3.76% in Year 4, and 3.63% in Year 5.</w:t>
            </w:r>
          </w:p>
        </w:tc>
      </w:tr>
      <w:tr w:rsidR="00AB08EE" w:rsidRPr="00AF20AB" w:rsidTr="00B6791B">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Initial and continuation</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Based on azacitidine data, with proportion initiating and continuing in Year 1 close to equivalent, and with the initiation proportion decreasing and continuation proportion increasing.</w:t>
            </w:r>
          </w:p>
          <w:tbl>
            <w:tblPr>
              <w:tblStyle w:val="TableGrid"/>
              <w:tblW w:w="0" w:type="auto"/>
              <w:tblLook w:val="04A0" w:firstRow="1" w:lastRow="0" w:firstColumn="1" w:lastColumn="0" w:noHBand="0" w:noVBand="1"/>
              <w:tblCaption w:val="Initial and continuation"/>
            </w:tblPr>
            <w:tblGrid>
              <w:gridCol w:w="1138"/>
              <w:gridCol w:w="871"/>
              <w:gridCol w:w="871"/>
              <w:gridCol w:w="871"/>
              <w:gridCol w:w="871"/>
              <w:gridCol w:w="871"/>
              <w:gridCol w:w="871"/>
            </w:tblGrid>
            <w:tr w:rsidR="00AB08EE" w:rsidRPr="00AF20AB" w:rsidTr="00C86C32">
              <w:trPr>
                <w:tblHeader/>
              </w:trPr>
              <w:tc>
                <w:tcPr>
                  <w:tcW w:w="1137" w:type="dxa"/>
                </w:tcPr>
                <w:p w:rsidR="00AB08EE" w:rsidRPr="00AF20AB" w:rsidRDefault="00AB08EE" w:rsidP="00C25B76">
                  <w:pPr>
                    <w:keepNext/>
                    <w:widowControl w:val="0"/>
                    <w:jc w:val="left"/>
                    <w:rPr>
                      <w:rFonts w:ascii="Arial Narrow" w:hAnsi="Arial Narrow"/>
                      <w:sz w:val="20"/>
                      <w:szCs w:val="20"/>
                    </w:rPr>
                  </w:pPr>
                </w:p>
              </w:tc>
              <w:tc>
                <w:tcPr>
                  <w:tcW w:w="883" w:type="dxa"/>
                </w:tcPr>
                <w:p w:rsidR="00AB08EE" w:rsidRPr="00AF20AB" w:rsidRDefault="00AB08EE" w:rsidP="00C25B76">
                  <w:pPr>
                    <w:keepNext/>
                    <w:widowControl w:val="0"/>
                    <w:jc w:val="center"/>
                    <w:rPr>
                      <w:rFonts w:ascii="Arial Narrow" w:hAnsi="Arial Narrow"/>
                      <w:b/>
                      <w:bCs/>
                      <w:sz w:val="20"/>
                      <w:szCs w:val="20"/>
                    </w:rPr>
                  </w:pPr>
                  <w:r w:rsidRPr="00AF20AB">
                    <w:rPr>
                      <w:rFonts w:ascii="Arial Narrow" w:hAnsi="Arial Narrow"/>
                      <w:b/>
                      <w:bCs/>
                      <w:sz w:val="20"/>
                      <w:szCs w:val="20"/>
                    </w:rPr>
                    <w:t>Year 1</w:t>
                  </w:r>
                </w:p>
              </w:tc>
              <w:tc>
                <w:tcPr>
                  <w:tcW w:w="883" w:type="dxa"/>
                </w:tcPr>
                <w:p w:rsidR="00AB08EE" w:rsidRPr="00AF20AB" w:rsidRDefault="00AB08EE" w:rsidP="00C25B76">
                  <w:pPr>
                    <w:keepNext/>
                    <w:widowControl w:val="0"/>
                    <w:jc w:val="center"/>
                    <w:rPr>
                      <w:rFonts w:ascii="Arial Narrow" w:hAnsi="Arial Narrow"/>
                      <w:b/>
                      <w:bCs/>
                      <w:sz w:val="20"/>
                      <w:szCs w:val="20"/>
                    </w:rPr>
                  </w:pPr>
                  <w:r w:rsidRPr="00AF20AB">
                    <w:rPr>
                      <w:rFonts w:ascii="Arial Narrow" w:hAnsi="Arial Narrow"/>
                      <w:b/>
                      <w:bCs/>
                      <w:sz w:val="20"/>
                      <w:szCs w:val="20"/>
                    </w:rPr>
                    <w:t>Year 2</w:t>
                  </w:r>
                </w:p>
              </w:tc>
              <w:tc>
                <w:tcPr>
                  <w:tcW w:w="884" w:type="dxa"/>
                </w:tcPr>
                <w:p w:rsidR="00AB08EE" w:rsidRPr="00AF20AB" w:rsidRDefault="00AB08EE" w:rsidP="00C25B76">
                  <w:pPr>
                    <w:keepNext/>
                    <w:widowControl w:val="0"/>
                    <w:jc w:val="center"/>
                    <w:rPr>
                      <w:rFonts w:ascii="Arial Narrow" w:hAnsi="Arial Narrow"/>
                      <w:b/>
                      <w:bCs/>
                      <w:sz w:val="20"/>
                      <w:szCs w:val="20"/>
                    </w:rPr>
                  </w:pPr>
                  <w:r w:rsidRPr="00AF20AB">
                    <w:rPr>
                      <w:rFonts w:ascii="Arial Narrow" w:hAnsi="Arial Narrow"/>
                      <w:b/>
                      <w:bCs/>
                      <w:sz w:val="20"/>
                      <w:szCs w:val="20"/>
                    </w:rPr>
                    <w:t>Year 3</w:t>
                  </w:r>
                </w:p>
              </w:tc>
              <w:tc>
                <w:tcPr>
                  <w:tcW w:w="884" w:type="dxa"/>
                </w:tcPr>
                <w:p w:rsidR="00AB08EE" w:rsidRPr="00AF20AB" w:rsidRDefault="00AB08EE" w:rsidP="00C25B76">
                  <w:pPr>
                    <w:keepNext/>
                    <w:widowControl w:val="0"/>
                    <w:jc w:val="center"/>
                    <w:rPr>
                      <w:rFonts w:ascii="Arial Narrow" w:hAnsi="Arial Narrow"/>
                      <w:b/>
                      <w:bCs/>
                      <w:sz w:val="20"/>
                      <w:szCs w:val="20"/>
                    </w:rPr>
                  </w:pPr>
                  <w:r w:rsidRPr="00AF20AB">
                    <w:rPr>
                      <w:rFonts w:ascii="Arial Narrow" w:hAnsi="Arial Narrow"/>
                      <w:b/>
                      <w:bCs/>
                      <w:sz w:val="20"/>
                      <w:szCs w:val="20"/>
                    </w:rPr>
                    <w:t>Year 4</w:t>
                  </w:r>
                </w:p>
              </w:tc>
              <w:tc>
                <w:tcPr>
                  <w:tcW w:w="884" w:type="dxa"/>
                </w:tcPr>
                <w:p w:rsidR="00AB08EE" w:rsidRPr="00AF20AB" w:rsidRDefault="00AB08EE" w:rsidP="00C25B76">
                  <w:pPr>
                    <w:keepNext/>
                    <w:widowControl w:val="0"/>
                    <w:jc w:val="center"/>
                    <w:rPr>
                      <w:rFonts w:ascii="Arial Narrow" w:hAnsi="Arial Narrow"/>
                      <w:b/>
                      <w:bCs/>
                      <w:sz w:val="20"/>
                      <w:szCs w:val="20"/>
                    </w:rPr>
                  </w:pPr>
                  <w:r w:rsidRPr="00AF20AB">
                    <w:rPr>
                      <w:rFonts w:ascii="Arial Narrow" w:hAnsi="Arial Narrow"/>
                      <w:b/>
                      <w:bCs/>
                      <w:sz w:val="20"/>
                      <w:szCs w:val="20"/>
                    </w:rPr>
                    <w:t>Year 5</w:t>
                  </w:r>
                </w:p>
              </w:tc>
              <w:tc>
                <w:tcPr>
                  <w:tcW w:w="884" w:type="dxa"/>
                </w:tcPr>
                <w:p w:rsidR="00AB08EE" w:rsidRPr="00AF20AB" w:rsidRDefault="00AB08EE" w:rsidP="00C25B76">
                  <w:pPr>
                    <w:keepNext/>
                    <w:widowControl w:val="0"/>
                    <w:jc w:val="center"/>
                    <w:rPr>
                      <w:rFonts w:ascii="Arial Narrow" w:hAnsi="Arial Narrow"/>
                      <w:b/>
                      <w:bCs/>
                      <w:sz w:val="20"/>
                      <w:szCs w:val="20"/>
                    </w:rPr>
                  </w:pPr>
                  <w:r w:rsidRPr="00AF20AB">
                    <w:rPr>
                      <w:rFonts w:ascii="Arial Narrow" w:hAnsi="Arial Narrow"/>
                      <w:b/>
                      <w:bCs/>
                      <w:sz w:val="20"/>
                      <w:szCs w:val="20"/>
                    </w:rPr>
                    <w:t>Year 6</w:t>
                  </w:r>
                </w:p>
              </w:tc>
            </w:tr>
            <w:tr w:rsidR="00AB08EE" w:rsidRPr="00AF20AB" w:rsidTr="00EE7A8A">
              <w:tc>
                <w:tcPr>
                  <w:tcW w:w="1137" w:type="dxa"/>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Initiation</w:t>
                  </w:r>
                </w:p>
              </w:tc>
              <w:tc>
                <w:tcPr>
                  <w:tcW w:w="883"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49%</w:t>
                  </w:r>
                </w:p>
              </w:tc>
              <w:tc>
                <w:tcPr>
                  <w:tcW w:w="883"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33%</w:t>
                  </w:r>
                </w:p>
              </w:tc>
              <w:tc>
                <w:tcPr>
                  <w:tcW w:w="884"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27%</w:t>
                  </w:r>
                </w:p>
              </w:tc>
              <w:tc>
                <w:tcPr>
                  <w:tcW w:w="884"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27%</w:t>
                  </w:r>
                </w:p>
              </w:tc>
              <w:tc>
                <w:tcPr>
                  <w:tcW w:w="884"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26%</w:t>
                  </w:r>
                </w:p>
              </w:tc>
              <w:tc>
                <w:tcPr>
                  <w:tcW w:w="884"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26%</w:t>
                  </w:r>
                </w:p>
              </w:tc>
            </w:tr>
            <w:tr w:rsidR="00AB08EE" w:rsidRPr="00AF20AB" w:rsidTr="00EE7A8A">
              <w:tc>
                <w:tcPr>
                  <w:tcW w:w="1137" w:type="dxa"/>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Continuation</w:t>
                  </w:r>
                </w:p>
              </w:tc>
              <w:tc>
                <w:tcPr>
                  <w:tcW w:w="883"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51%</w:t>
                  </w:r>
                </w:p>
              </w:tc>
              <w:tc>
                <w:tcPr>
                  <w:tcW w:w="883"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67%</w:t>
                  </w:r>
                </w:p>
              </w:tc>
              <w:tc>
                <w:tcPr>
                  <w:tcW w:w="884"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73%</w:t>
                  </w:r>
                </w:p>
              </w:tc>
              <w:tc>
                <w:tcPr>
                  <w:tcW w:w="884"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73%</w:t>
                  </w:r>
                </w:p>
              </w:tc>
              <w:tc>
                <w:tcPr>
                  <w:tcW w:w="884"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74%</w:t>
                  </w:r>
                </w:p>
              </w:tc>
              <w:tc>
                <w:tcPr>
                  <w:tcW w:w="884"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74%</w:t>
                  </w:r>
                </w:p>
              </w:tc>
            </w:tr>
          </w:tbl>
          <w:p w:rsidR="00AB08EE" w:rsidRPr="00AF20AB" w:rsidRDefault="00AB08EE" w:rsidP="00C25B76">
            <w:pPr>
              <w:keepNext/>
              <w:widowControl w:val="0"/>
              <w:jc w:val="left"/>
              <w:rPr>
                <w:rFonts w:ascii="Arial Narrow" w:hAnsi="Arial Narrow"/>
                <w:sz w:val="20"/>
                <w:szCs w:val="20"/>
              </w:rPr>
            </w:pPr>
          </w:p>
        </w:tc>
      </w:tr>
      <w:tr w:rsidR="00AB08EE" w:rsidRPr="00AF20AB" w:rsidTr="00EE7A8A">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08EE" w:rsidRPr="00AF20AB" w:rsidRDefault="00AB08EE" w:rsidP="00C25B76">
            <w:pPr>
              <w:keepNext/>
              <w:widowControl w:val="0"/>
              <w:jc w:val="left"/>
              <w:rPr>
                <w:rFonts w:ascii="Arial Narrow" w:hAnsi="Arial Narrow"/>
                <w:b/>
                <w:sz w:val="20"/>
                <w:szCs w:val="20"/>
              </w:rPr>
            </w:pPr>
            <w:r w:rsidRPr="00AF20AB">
              <w:rPr>
                <w:rFonts w:ascii="Arial Narrow" w:hAnsi="Arial Narrow"/>
                <w:b/>
                <w:sz w:val="20"/>
                <w:szCs w:val="20"/>
              </w:rPr>
              <w:t>Utilisation</w:t>
            </w:r>
          </w:p>
        </w:tc>
      </w:tr>
      <w:tr w:rsidR="00AB08EE" w:rsidRPr="00AF20AB" w:rsidTr="00B6791B">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 xml:space="preserve">Uptake rate </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Sponsor assumption: 30% in Year 1 with a 6% increase each year, up to 60% in Year 6.</w:t>
            </w:r>
          </w:p>
          <w:tbl>
            <w:tblPr>
              <w:tblStyle w:val="TableGrid"/>
              <w:tblW w:w="0" w:type="auto"/>
              <w:tblLook w:val="04A0" w:firstRow="1" w:lastRow="0" w:firstColumn="1" w:lastColumn="0" w:noHBand="0" w:noVBand="1"/>
              <w:tblCaption w:val="Uptake rate "/>
            </w:tblPr>
            <w:tblGrid>
              <w:gridCol w:w="912"/>
              <w:gridCol w:w="908"/>
              <w:gridCol w:w="908"/>
              <w:gridCol w:w="909"/>
              <w:gridCol w:w="909"/>
              <w:gridCol w:w="909"/>
              <w:gridCol w:w="909"/>
            </w:tblGrid>
            <w:tr w:rsidR="00AB08EE" w:rsidRPr="00AF20AB" w:rsidTr="00C86C32">
              <w:trPr>
                <w:tblHeader/>
              </w:trPr>
              <w:tc>
                <w:tcPr>
                  <w:tcW w:w="919" w:type="dxa"/>
                </w:tcPr>
                <w:p w:rsidR="00AB08EE" w:rsidRPr="00AF20AB" w:rsidRDefault="00AB08EE" w:rsidP="00C25B76">
                  <w:pPr>
                    <w:keepNext/>
                    <w:widowControl w:val="0"/>
                    <w:jc w:val="left"/>
                    <w:rPr>
                      <w:rFonts w:ascii="Arial Narrow" w:hAnsi="Arial Narrow"/>
                      <w:sz w:val="20"/>
                      <w:szCs w:val="20"/>
                    </w:rPr>
                  </w:pPr>
                </w:p>
              </w:tc>
              <w:tc>
                <w:tcPr>
                  <w:tcW w:w="920"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b/>
                      <w:bCs/>
                      <w:sz w:val="20"/>
                      <w:szCs w:val="20"/>
                    </w:rPr>
                    <w:t>Year 1</w:t>
                  </w:r>
                </w:p>
              </w:tc>
              <w:tc>
                <w:tcPr>
                  <w:tcW w:w="920"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b/>
                      <w:bCs/>
                      <w:sz w:val="20"/>
                      <w:szCs w:val="20"/>
                    </w:rPr>
                    <w:t>Year 2</w:t>
                  </w:r>
                </w:p>
              </w:tc>
              <w:tc>
                <w:tcPr>
                  <w:tcW w:w="920"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b/>
                      <w:bCs/>
                      <w:sz w:val="20"/>
                      <w:szCs w:val="20"/>
                    </w:rPr>
                    <w:t>Year 3</w:t>
                  </w:r>
                </w:p>
              </w:tc>
              <w:tc>
                <w:tcPr>
                  <w:tcW w:w="920"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b/>
                      <w:bCs/>
                      <w:sz w:val="20"/>
                      <w:szCs w:val="20"/>
                    </w:rPr>
                    <w:t>Year 4</w:t>
                  </w:r>
                </w:p>
              </w:tc>
              <w:tc>
                <w:tcPr>
                  <w:tcW w:w="920"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b/>
                      <w:bCs/>
                      <w:sz w:val="20"/>
                      <w:szCs w:val="20"/>
                    </w:rPr>
                    <w:t>Year 5</w:t>
                  </w:r>
                </w:p>
              </w:tc>
              <w:tc>
                <w:tcPr>
                  <w:tcW w:w="920"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b/>
                      <w:bCs/>
                      <w:sz w:val="20"/>
                      <w:szCs w:val="20"/>
                    </w:rPr>
                    <w:t>Year 6</w:t>
                  </w:r>
                </w:p>
              </w:tc>
            </w:tr>
            <w:tr w:rsidR="00AB08EE" w:rsidRPr="00AF20AB" w:rsidTr="00EE7A8A">
              <w:tc>
                <w:tcPr>
                  <w:tcW w:w="919" w:type="dxa"/>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Uptake</w:t>
                  </w:r>
                </w:p>
              </w:tc>
              <w:tc>
                <w:tcPr>
                  <w:tcW w:w="920"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30%</w:t>
                  </w:r>
                </w:p>
              </w:tc>
              <w:tc>
                <w:tcPr>
                  <w:tcW w:w="920"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36%</w:t>
                  </w:r>
                </w:p>
              </w:tc>
              <w:tc>
                <w:tcPr>
                  <w:tcW w:w="920"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42%</w:t>
                  </w:r>
                </w:p>
              </w:tc>
              <w:tc>
                <w:tcPr>
                  <w:tcW w:w="920"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48%</w:t>
                  </w:r>
                </w:p>
              </w:tc>
              <w:tc>
                <w:tcPr>
                  <w:tcW w:w="920"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54%</w:t>
                  </w:r>
                </w:p>
              </w:tc>
              <w:tc>
                <w:tcPr>
                  <w:tcW w:w="920" w:type="dxa"/>
                </w:tcPr>
                <w:p w:rsidR="00AB08EE" w:rsidRPr="00AF20AB" w:rsidRDefault="00AB08EE" w:rsidP="00C25B76">
                  <w:pPr>
                    <w:keepNext/>
                    <w:widowControl w:val="0"/>
                    <w:jc w:val="center"/>
                    <w:rPr>
                      <w:rFonts w:ascii="Arial Narrow" w:hAnsi="Arial Narrow"/>
                      <w:sz w:val="20"/>
                      <w:szCs w:val="20"/>
                    </w:rPr>
                  </w:pPr>
                  <w:r w:rsidRPr="00AF20AB">
                    <w:rPr>
                      <w:rFonts w:ascii="Arial Narrow" w:hAnsi="Arial Narrow"/>
                      <w:sz w:val="20"/>
                      <w:szCs w:val="20"/>
                    </w:rPr>
                    <w:t>60%</w:t>
                  </w:r>
                </w:p>
              </w:tc>
            </w:tr>
          </w:tbl>
          <w:p w:rsidR="00AB08EE" w:rsidRPr="00AF20AB" w:rsidRDefault="00AB08EE" w:rsidP="00C25B76">
            <w:pPr>
              <w:keepNext/>
              <w:widowControl w:val="0"/>
              <w:jc w:val="left"/>
              <w:rPr>
                <w:rFonts w:ascii="Arial Narrow" w:hAnsi="Arial Narrow"/>
                <w:sz w:val="20"/>
                <w:szCs w:val="20"/>
              </w:rPr>
            </w:pPr>
          </w:p>
        </w:tc>
      </w:tr>
      <w:tr w:rsidR="00AB08EE" w:rsidRPr="00AF20AB" w:rsidTr="00EE7A8A">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08EE" w:rsidRPr="00AF20AB" w:rsidRDefault="00AB08EE" w:rsidP="00C25B76">
            <w:pPr>
              <w:keepNext/>
              <w:widowControl w:val="0"/>
              <w:jc w:val="left"/>
              <w:rPr>
                <w:rFonts w:ascii="Arial Narrow" w:hAnsi="Arial Narrow"/>
                <w:b/>
                <w:sz w:val="20"/>
                <w:szCs w:val="20"/>
              </w:rPr>
            </w:pPr>
            <w:r w:rsidRPr="00AF20AB">
              <w:rPr>
                <w:rFonts w:ascii="Arial Narrow" w:hAnsi="Arial Narrow"/>
                <w:b/>
                <w:sz w:val="20"/>
                <w:szCs w:val="20"/>
              </w:rPr>
              <w:t xml:space="preserve">Cost of medicines </w:t>
            </w:r>
          </w:p>
        </w:tc>
      </w:tr>
      <w:tr w:rsidR="00AB08EE" w:rsidRPr="00AF20AB" w:rsidTr="00B6791B">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Decitabine+cedazuridine</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B93357">
            <w:pPr>
              <w:keepNext/>
              <w:widowControl w:val="0"/>
              <w:jc w:val="left"/>
              <w:rPr>
                <w:rFonts w:ascii="Arial Narrow" w:hAnsi="Arial Narrow"/>
                <w:iCs/>
                <w:sz w:val="20"/>
                <w:szCs w:val="20"/>
              </w:rPr>
            </w:pPr>
            <w:r w:rsidRPr="00AF20AB">
              <w:rPr>
                <w:rFonts w:ascii="Arial Narrow" w:hAnsi="Arial Narrow"/>
                <w:sz w:val="20"/>
                <w:szCs w:val="20"/>
              </w:rPr>
              <w:t>$</w:t>
            </w:r>
            <w:r w:rsidR="00A02580">
              <w:rPr>
                <w:rFonts w:ascii="Arial Narrow" w:hAnsi="Arial Narrow"/>
                <w:noProof/>
                <w:color w:val="000000"/>
                <w:sz w:val="20"/>
                <w:szCs w:val="20"/>
                <w:highlight w:val="black"/>
              </w:rPr>
              <w:t>''''''''''''''''''''''</w:t>
            </w:r>
            <w:r w:rsidRPr="00AF20AB">
              <w:rPr>
                <w:rFonts w:ascii="Arial Narrow" w:hAnsi="Arial Narrow"/>
                <w:sz w:val="20"/>
                <w:szCs w:val="20"/>
              </w:rPr>
              <w:t xml:space="preserve"> (requested price)</w:t>
            </w:r>
          </w:p>
        </w:tc>
      </w:tr>
      <w:tr w:rsidR="00AB08EE" w:rsidRPr="00AF20AB" w:rsidTr="00B6791B">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Azacitidine</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$2,240.32 (PBS item 6100C; PBS item 6138C); $2,192.54 (PBS item 9597D; PBS item 9598E)</w:t>
            </w:r>
          </w:p>
        </w:tc>
      </w:tr>
      <w:tr w:rsidR="00AB08EE" w:rsidRPr="00AF20AB" w:rsidTr="00B6791B">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02580" w:rsidRDefault="00AB08EE" w:rsidP="00C25B76">
            <w:pPr>
              <w:keepNext/>
              <w:widowControl w:val="0"/>
              <w:jc w:val="left"/>
              <w:rPr>
                <w:rFonts w:ascii="Arial Narrow" w:hAnsi="Arial Narrow"/>
                <w:sz w:val="20"/>
                <w:szCs w:val="20"/>
              </w:rPr>
            </w:pPr>
            <w:r w:rsidRPr="00A02580">
              <w:rPr>
                <w:rFonts w:ascii="Arial Narrow" w:hAnsi="Arial Narrow"/>
                <w:sz w:val="20"/>
                <w:szCs w:val="20"/>
              </w:rPr>
              <w:t>Granisetron</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02580" w:rsidRDefault="00AB08EE" w:rsidP="00C25B76">
            <w:pPr>
              <w:keepNext/>
              <w:widowControl w:val="0"/>
              <w:jc w:val="left"/>
              <w:rPr>
                <w:rFonts w:ascii="Arial Narrow" w:hAnsi="Arial Narrow"/>
                <w:sz w:val="20"/>
                <w:szCs w:val="20"/>
              </w:rPr>
            </w:pPr>
            <w:r w:rsidRPr="00A02580">
              <w:rPr>
                <w:rFonts w:ascii="Arial Narrow" w:hAnsi="Arial Narrow"/>
                <w:sz w:val="20"/>
                <w:szCs w:val="20"/>
              </w:rPr>
              <w:t>$74.41 (PBS item 8728J)</w:t>
            </w:r>
          </w:p>
        </w:tc>
      </w:tr>
      <w:tr w:rsidR="00AB08EE" w:rsidRPr="00AF20AB" w:rsidTr="00B6791B">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 xml:space="preserve">Patient co-payment </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Based on current usage of azacitidine (average of $15.69 for PBS and $5.96 for RPBS).</w:t>
            </w:r>
          </w:p>
        </w:tc>
      </w:tr>
      <w:tr w:rsidR="00AB08EE" w:rsidRPr="00AF20AB" w:rsidTr="00EE7A8A">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08EE" w:rsidRPr="00AF20AB" w:rsidRDefault="00AB08EE" w:rsidP="00C25B76">
            <w:pPr>
              <w:keepNext/>
              <w:widowControl w:val="0"/>
              <w:jc w:val="left"/>
              <w:rPr>
                <w:rFonts w:ascii="Arial Narrow" w:hAnsi="Arial Narrow"/>
                <w:b/>
                <w:sz w:val="20"/>
                <w:szCs w:val="20"/>
              </w:rPr>
            </w:pPr>
            <w:r w:rsidRPr="00AF20AB">
              <w:rPr>
                <w:rFonts w:ascii="Arial Narrow" w:hAnsi="Arial Narrow"/>
                <w:b/>
                <w:sz w:val="20"/>
                <w:szCs w:val="20"/>
              </w:rPr>
              <w:t>Impact on other medicines</w:t>
            </w:r>
          </w:p>
        </w:tc>
      </w:tr>
      <w:tr w:rsidR="00AB08EE" w:rsidRPr="00AF20AB" w:rsidTr="00B6791B">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cstheme="minorHAnsi"/>
                <w:color w:val="000000"/>
                <w:sz w:val="20"/>
                <w:szCs w:val="20"/>
              </w:rPr>
            </w:pPr>
            <w:r w:rsidRPr="00AF20AB">
              <w:rPr>
                <w:rFonts w:ascii="Arial Narrow" w:hAnsi="Arial Narrow" w:cstheme="minorHAnsi"/>
                <w:color w:val="000000"/>
                <w:sz w:val="20"/>
                <w:szCs w:val="20"/>
              </w:rPr>
              <w:t>Substitution of azacitidine</w:t>
            </w:r>
          </w:p>
        </w:tc>
        <w:tc>
          <w:tcPr>
            <w:tcW w:w="3679" w:type="pct"/>
            <w:tcBorders>
              <w:top w:val="single" w:sz="4" w:space="0" w:color="auto"/>
              <w:left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Azacitidine is the only PBS-listed agent for treatment of MDS/CMML</w:t>
            </w:r>
            <w:r w:rsidR="00AF20AB">
              <w:rPr>
                <w:rFonts w:ascii="Arial Narrow" w:hAnsi="Arial Narrow"/>
                <w:sz w:val="20"/>
                <w:szCs w:val="20"/>
              </w:rPr>
              <w:t xml:space="preserve">. </w:t>
            </w:r>
            <w:r w:rsidRPr="00AF20AB">
              <w:rPr>
                <w:rFonts w:ascii="Arial Narrow" w:hAnsi="Arial Narrow"/>
                <w:sz w:val="20"/>
                <w:szCs w:val="20"/>
              </w:rPr>
              <w:t>Thus it was assumed decitabine+cedazuridine will substitute for azacitidine.</w:t>
            </w:r>
          </w:p>
        </w:tc>
      </w:tr>
      <w:tr w:rsidR="00AB08EE" w:rsidRPr="00AF20AB" w:rsidTr="00B6791B">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cstheme="minorHAnsi"/>
                <w:color w:val="000000"/>
                <w:sz w:val="20"/>
                <w:szCs w:val="20"/>
              </w:rPr>
            </w:pPr>
            <w:r w:rsidRPr="00AF20AB">
              <w:rPr>
                <w:rFonts w:ascii="Arial Narrow" w:hAnsi="Arial Narrow" w:cstheme="minorHAnsi"/>
                <w:color w:val="000000"/>
                <w:sz w:val="20"/>
                <w:szCs w:val="20"/>
              </w:rPr>
              <w:t>Granisetron</w:t>
            </w:r>
          </w:p>
        </w:tc>
        <w:tc>
          <w:tcPr>
            <w:tcW w:w="3679" w:type="pct"/>
            <w:tcBorders>
              <w:top w:val="single" w:sz="4" w:space="0" w:color="auto"/>
              <w:left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 xml:space="preserve">The submission assumed that each substituted script of azacitidine would be associated with a granisetron script (for nausea and vomiting). </w:t>
            </w:r>
          </w:p>
        </w:tc>
      </w:tr>
      <w:tr w:rsidR="00AB08EE" w:rsidRPr="00AF20AB" w:rsidTr="00EE7A8A">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b/>
                <w:sz w:val="20"/>
                <w:szCs w:val="20"/>
              </w:rPr>
            </w:pPr>
            <w:r w:rsidRPr="00AF20AB">
              <w:rPr>
                <w:rFonts w:ascii="Arial Narrow" w:hAnsi="Arial Narrow"/>
                <w:b/>
                <w:sz w:val="20"/>
                <w:szCs w:val="20"/>
              </w:rPr>
              <w:t>MBS usage and costs</w:t>
            </w:r>
          </w:p>
        </w:tc>
      </w:tr>
      <w:tr w:rsidR="00AB08EE" w:rsidRPr="00AF20AB" w:rsidTr="00B6791B">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C25B76">
            <w:pPr>
              <w:keepNext/>
              <w:widowControl w:val="0"/>
              <w:jc w:val="left"/>
              <w:rPr>
                <w:rFonts w:ascii="Arial Narrow" w:hAnsi="Arial Narrow"/>
                <w:sz w:val="20"/>
                <w:szCs w:val="20"/>
              </w:rPr>
            </w:pPr>
            <w:r w:rsidRPr="00AF20AB">
              <w:rPr>
                <w:rFonts w:ascii="Arial Narrow" w:hAnsi="Arial Narrow"/>
                <w:sz w:val="20"/>
                <w:szCs w:val="20"/>
              </w:rPr>
              <w:t>MBS items</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rsidR="00AB08EE" w:rsidRPr="00AF20AB" w:rsidRDefault="00AB08EE" w:rsidP="006A584F">
            <w:pPr>
              <w:keepNext/>
              <w:widowControl w:val="0"/>
              <w:jc w:val="left"/>
              <w:rPr>
                <w:rFonts w:ascii="Arial Narrow" w:hAnsi="Arial Narrow"/>
                <w:sz w:val="20"/>
                <w:szCs w:val="20"/>
              </w:rPr>
            </w:pPr>
            <w:r w:rsidRPr="00A02580">
              <w:rPr>
                <w:rFonts w:ascii="Arial Narrow" w:hAnsi="Arial Narrow"/>
                <w:sz w:val="20"/>
                <w:szCs w:val="20"/>
              </w:rPr>
              <w:t>$67.10 for MBS item 13915 (80%) for administration</w:t>
            </w:r>
            <w:r w:rsidR="00AF20AB" w:rsidRPr="00A02580">
              <w:rPr>
                <w:rFonts w:ascii="Arial Narrow" w:hAnsi="Arial Narrow"/>
                <w:sz w:val="20"/>
                <w:szCs w:val="20"/>
              </w:rPr>
              <w:t xml:space="preserve">. </w:t>
            </w:r>
            <w:r w:rsidR="00654564" w:rsidRPr="00A02580">
              <w:rPr>
                <w:rFonts w:ascii="Arial Narrow" w:hAnsi="Arial Narrow"/>
                <w:iCs/>
                <w:sz w:val="20"/>
                <w:szCs w:val="20"/>
              </w:rPr>
              <w:t>On 1 November 2020 eleven MBS administration items, including item 13915, were replaced by a single parenteral administration item (13950; $111.40)</w:t>
            </w:r>
            <w:r w:rsidR="00AF20AB" w:rsidRPr="00A02580">
              <w:rPr>
                <w:rFonts w:ascii="Arial Narrow" w:hAnsi="Arial Narrow"/>
                <w:iCs/>
                <w:sz w:val="20"/>
                <w:szCs w:val="20"/>
              </w:rPr>
              <w:t xml:space="preserve">. </w:t>
            </w:r>
            <w:r w:rsidR="00272E56" w:rsidRPr="00A02580">
              <w:rPr>
                <w:rFonts w:ascii="Arial Narrow" w:hAnsi="Arial Narrow"/>
                <w:iCs/>
                <w:sz w:val="20"/>
                <w:szCs w:val="20"/>
              </w:rPr>
              <w:t xml:space="preserve"> </w:t>
            </w:r>
          </w:p>
        </w:tc>
      </w:tr>
    </w:tbl>
    <w:p w:rsidR="00AB08EE" w:rsidRPr="00AF20AB" w:rsidRDefault="00AB08EE" w:rsidP="00AB08EE">
      <w:pPr>
        <w:pStyle w:val="TableFooter"/>
      </w:pPr>
      <w:r w:rsidRPr="00AF20AB">
        <w:t>Source: Section 4.1 to Section 4.5, p136-144 of the submission.</w:t>
      </w:r>
    </w:p>
    <w:p w:rsidR="007925DF" w:rsidRPr="00AF20AB" w:rsidRDefault="00AB08EE" w:rsidP="00C5482E">
      <w:pPr>
        <w:pStyle w:val="TableFigureFooter"/>
      </w:pPr>
      <w:r w:rsidRPr="00AF20AB">
        <w:t>MDS=myelodysplastic syndrome; CMML=chronic myelomonocytic leukaemia</w:t>
      </w:r>
      <w:r w:rsidR="00E42F73" w:rsidRPr="00AF20AB">
        <w:t>.</w:t>
      </w:r>
    </w:p>
    <w:p w:rsidR="00C5482E" w:rsidRPr="00AF20AB" w:rsidRDefault="00AB08EE" w:rsidP="009578F7">
      <w:pPr>
        <w:pStyle w:val="3-BodyText"/>
      </w:pPr>
      <w:r w:rsidRPr="00AF20AB">
        <w:t xml:space="preserve">The estimated script numbers and costs for the PBS listing of decitabine+cedazuridine are provided in Table </w:t>
      </w:r>
      <w:r w:rsidR="0000305D">
        <w:t>16</w:t>
      </w:r>
      <w:r w:rsidR="00AF20AB">
        <w:t xml:space="preserve">. </w:t>
      </w:r>
    </w:p>
    <w:p w:rsidR="003F6493" w:rsidRDefault="003F6493">
      <w:pPr>
        <w:jc w:val="left"/>
        <w:rPr>
          <w:rStyle w:val="CommentReference"/>
          <w:rFonts w:eastAsiaTheme="majorEastAsia" w:cstheme="majorBidi"/>
          <w:bCs/>
          <w:szCs w:val="24"/>
        </w:rPr>
      </w:pPr>
      <w:r>
        <w:rPr>
          <w:rStyle w:val="CommentReference"/>
          <w:b w:val="0"/>
          <w:szCs w:val="24"/>
        </w:rPr>
        <w:br w:type="page"/>
      </w:r>
    </w:p>
    <w:p w:rsidR="00C25D9C" w:rsidRPr="00AF20AB" w:rsidRDefault="002A2F50" w:rsidP="00606FBA">
      <w:pPr>
        <w:pStyle w:val="TableFigureHeading"/>
      </w:pPr>
      <w:r w:rsidRPr="00AF20AB">
        <w:rPr>
          <w:rStyle w:val="CommentReference"/>
          <w:b/>
          <w:szCs w:val="24"/>
        </w:rPr>
        <w:t xml:space="preserve">Table </w:t>
      </w:r>
      <w:r w:rsidR="0046096F" w:rsidRPr="00AF20AB">
        <w:rPr>
          <w:rStyle w:val="CommentReference"/>
          <w:b/>
          <w:szCs w:val="24"/>
        </w:rPr>
        <w:t>16</w:t>
      </w:r>
      <w:r w:rsidRPr="00AF20AB">
        <w:rPr>
          <w:rStyle w:val="CommentReference"/>
          <w:b/>
          <w:szCs w:val="24"/>
        </w:rPr>
        <w:t>: Estimated use and financial implications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79"/>
        <w:gridCol w:w="1110"/>
        <w:gridCol w:w="1079"/>
        <w:gridCol w:w="1195"/>
        <w:gridCol w:w="1133"/>
        <w:gridCol w:w="1134"/>
        <w:gridCol w:w="1278"/>
      </w:tblGrid>
      <w:tr w:rsidR="00A02580" w:rsidRPr="00AF20AB" w:rsidTr="00A02580">
        <w:trPr>
          <w:trHeight w:val="226"/>
          <w:tblHeader/>
        </w:trPr>
        <w:tc>
          <w:tcPr>
            <w:tcW w:w="1237" w:type="pct"/>
            <w:shd w:val="clear" w:color="auto" w:fill="auto"/>
            <w:vAlign w:val="center"/>
          </w:tcPr>
          <w:p w:rsidR="00385A9D" w:rsidRPr="00AF20AB" w:rsidRDefault="00385A9D" w:rsidP="000B2CFA">
            <w:pPr>
              <w:pStyle w:val="In-tableHeading"/>
              <w:keepNext w:val="0"/>
              <w:widowControl w:val="0"/>
              <w:jc w:val="center"/>
              <w:rPr>
                <w:lang w:val="en-AU"/>
              </w:rPr>
            </w:pPr>
          </w:p>
        </w:tc>
        <w:tc>
          <w:tcPr>
            <w:tcW w:w="603" w:type="pct"/>
            <w:shd w:val="clear" w:color="auto" w:fill="auto"/>
            <w:vAlign w:val="center"/>
          </w:tcPr>
          <w:p w:rsidR="00385A9D" w:rsidRPr="00AF20AB" w:rsidRDefault="00385A9D" w:rsidP="000B2CFA">
            <w:pPr>
              <w:pStyle w:val="In-tableHeading"/>
              <w:keepNext w:val="0"/>
              <w:widowControl w:val="0"/>
              <w:jc w:val="center"/>
              <w:rPr>
                <w:lang w:val="en-AU"/>
              </w:rPr>
            </w:pPr>
            <w:r w:rsidRPr="00AF20AB">
              <w:rPr>
                <w:lang w:val="en-AU"/>
              </w:rPr>
              <w:t>Year 1</w:t>
            </w:r>
          </w:p>
        </w:tc>
        <w:tc>
          <w:tcPr>
            <w:tcW w:w="586" w:type="pct"/>
            <w:shd w:val="clear" w:color="auto" w:fill="auto"/>
            <w:vAlign w:val="center"/>
          </w:tcPr>
          <w:p w:rsidR="00385A9D" w:rsidRPr="00AF20AB" w:rsidRDefault="00385A9D" w:rsidP="000B2CFA">
            <w:pPr>
              <w:pStyle w:val="In-tableHeading"/>
              <w:keepNext w:val="0"/>
              <w:widowControl w:val="0"/>
              <w:jc w:val="center"/>
              <w:rPr>
                <w:lang w:val="en-AU"/>
              </w:rPr>
            </w:pPr>
            <w:r w:rsidRPr="00AF20AB">
              <w:rPr>
                <w:lang w:val="en-AU"/>
              </w:rPr>
              <w:t>Year 2</w:t>
            </w:r>
          </w:p>
        </w:tc>
        <w:tc>
          <w:tcPr>
            <w:tcW w:w="649" w:type="pct"/>
            <w:shd w:val="clear" w:color="auto" w:fill="auto"/>
            <w:vAlign w:val="center"/>
          </w:tcPr>
          <w:p w:rsidR="00385A9D" w:rsidRPr="00AF20AB" w:rsidRDefault="00385A9D" w:rsidP="000B2CFA">
            <w:pPr>
              <w:pStyle w:val="In-tableHeading"/>
              <w:keepNext w:val="0"/>
              <w:widowControl w:val="0"/>
              <w:jc w:val="center"/>
              <w:rPr>
                <w:lang w:val="en-AU"/>
              </w:rPr>
            </w:pPr>
            <w:r w:rsidRPr="00AF20AB">
              <w:rPr>
                <w:lang w:val="en-AU"/>
              </w:rPr>
              <w:t>Year 3</w:t>
            </w:r>
          </w:p>
        </w:tc>
        <w:tc>
          <w:tcPr>
            <w:tcW w:w="615" w:type="pct"/>
            <w:shd w:val="clear" w:color="auto" w:fill="auto"/>
            <w:vAlign w:val="center"/>
          </w:tcPr>
          <w:p w:rsidR="00385A9D" w:rsidRPr="00AF20AB" w:rsidRDefault="00385A9D" w:rsidP="000B2CFA">
            <w:pPr>
              <w:pStyle w:val="In-tableHeading"/>
              <w:keepNext w:val="0"/>
              <w:widowControl w:val="0"/>
              <w:jc w:val="center"/>
              <w:rPr>
                <w:lang w:val="en-AU"/>
              </w:rPr>
            </w:pPr>
            <w:r w:rsidRPr="00AF20AB">
              <w:rPr>
                <w:lang w:val="en-AU"/>
              </w:rPr>
              <w:t>Year 4</w:t>
            </w:r>
          </w:p>
        </w:tc>
        <w:tc>
          <w:tcPr>
            <w:tcW w:w="616" w:type="pct"/>
            <w:shd w:val="clear" w:color="auto" w:fill="auto"/>
            <w:vAlign w:val="center"/>
          </w:tcPr>
          <w:p w:rsidR="00385A9D" w:rsidRPr="00AF20AB" w:rsidRDefault="00385A9D" w:rsidP="000B2CFA">
            <w:pPr>
              <w:pStyle w:val="In-tableHeading"/>
              <w:keepNext w:val="0"/>
              <w:widowControl w:val="0"/>
              <w:jc w:val="center"/>
              <w:rPr>
                <w:lang w:val="en-AU"/>
              </w:rPr>
            </w:pPr>
            <w:r w:rsidRPr="00AF20AB">
              <w:rPr>
                <w:lang w:val="en-AU"/>
              </w:rPr>
              <w:t>Year 5</w:t>
            </w:r>
          </w:p>
        </w:tc>
        <w:tc>
          <w:tcPr>
            <w:tcW w:w="693" w:type="pct"/>
          </w:tcPr>
          <w:p w:rsidR="00385A9D" w:rsidRPr="00AF20AB" w:rsidRDefault="00385A9D" w:rsidP="000B2CFA">
            <w:pPr>
              <w:pStyle w:val="In-tableHeading"/>
              <w:keepNext w:val="0"/>
              <w:widowControl w:val="0"/>
              <w:jc w:val="center"/>
              <w:rPr>
                <w:lang w:val="en-AU"/>
              </w:rPr>
            </w:pPr>
            <w:r w:rsidRPr="00AF20AB">
              <w:rPr>
                <w:lang w:val="en-AU"/>
              </w:rPr>
              <w:t>Year 6</w:t>
            </w:r>
          </w:p>
        </w:tc>
      </w:tr>
      <w:tr w:rsidR="00787E92" w:rsidRPr="00AF20AB" w:rsidTr="00A02580">
        <w:trPr>
          <w:trHeight w:val="235"/>
        </w:trPr>
        <w:tc>
          <w:tcPr>
            <w:tcW w:w="5000" w:type="pct"/>
            <w:gridSpan w:val="7"/>
            <w:shd w:val="clear" w:color="auto" w:fill="auto"/>
            <w:vAlign w:val="center"/>
          </w:tcPr>
          <w:p w:rsidR="00385A9D" w:rsidRPr="00AF20AB" w:rsidRDefault="00385A9D" w:rsidP="000B2CFA">
            <w:pPr>
              <w:pStyle w:val="In-tableHeading"/>
              <w:keepNext w:val="0"/>
              <w:widowControl w:val="0"/>
              <w:rPr>
                <w:bCs/>
                <w:color w:val="000000"/>
                <w:lang w:val="en-AU"/>
              </w:rPr>
            </w:pPr>
            <w:r w:rsidRPr="00AF20AB">
              <w:rPr>
                <w:bCs/>
                <w:color w:val="000000"/>
                <w:lang w:val="en-AU"/>
              </w:rPr>
              <w:t>Estimated extent of use</w:t>
            </w:r>
          </w:p>
        </w:tc>
      </w:tr>
      <w:tr w:rsidR="00A02580" w:rsidRPr="00AF20AB" w:rsidTr="00A02580">
        <w:trPr>
          <w:trHeight w:val="226"/>
        </w:trPr>
        <w:tc>
          <w:tcPr>
            <w:tcW w:w="1237" w:type="pct"/>
            <w:shd w:val="clear" w:color="auto" w:fill="auto"/>
            <w:vAlign w:val="center"/>
          </w:tcPr>
          <w:p w:rsidR="00D46201" w:rsidRPr="00AF20AB" w:rsidRDefault="00D46201" w:rsidP="000B2CFA">
            <w:pPr>
              <w:pStyle w:val="TableText0"/>
              <w:keepNext w:val="0"/>
              <w:widowControl w:val="0"/>
            </w:pPr>
            <w:r w:rsidRPr="00AF20AB">
              <w:t>Number of scripts dispensed</w:t>
            </w:r>
          </w:p>
        </w:tc>
        <w:tc>
          <w:tcPr>
            <w:tcW w:w="603" w:type="pct"/>
            <w:shd w:val="clear" w:color="auto" w:fill="auto"/>
          </w:tcPr>
          <w:p w:rsidR="00D46201" w:rsidRPr="00A02580" w:rsidRDefault="00A02580" w:rsidP="000B2CFA">
            <w:pPr>
              <w:pStyle w:val="TableText0"/>
              <w:keepNext w:val="0"/>
              <w:widowControl w:val="0"/>
              <w:jc w:val="center"/>
              <w:rPr>
                <w:color w:val="000000"/>
              </w:rPr>
            </w:pPr>
            <w:r>
              <w:rPr>
                <w:noProof/>
                <w:color w:val="000000"/>
                <w:highlight w:val="black"/>
              </w:rPr>
              <w:t xml:space="preserve"> '''''''''''' </w:t>
            </w:r>
            <w:r w:rsidR="00191556">
              <w:rPr>
                <w:iCs/>
                <w:vertAlign w:val="superscript"/>
              </w:rPr>
              <w:t>1</w:t>
            </w:r>
          </w:p>
        </w:tc>
        <w:tc>
          <w:tcPr>
            <w:tcW w:w="586" w:type="pct"/>
            <w:shd w:val="clear" w:color="auto" w:fill="auto"/>
          </w:tcPr>
          <w:p w:rsidR="00D46201" w:rsidRPr="00A02580" w:rsidRDefault="00A02580" w:rsidP="000B2CFA">
            <w:pPr>
              <w:pStyle w:val="TableText0"/>
              <w:keepNext w:val="0"/>
              <w:widowControl w:val="0"/>
              <w:jc w:val="center"/>
              <w:rPr>
                <w:color w:val="000000"/>
              </w:rPr>
            </w:pPr>
            <w:r>
              <w:rPr>
                <w:noProof/>
                <w:color w:val="000000"/>
                <w:highlight w:val="black"/>
              </w:rPr>
              <w:t xml:space="preserve"> '''''''''''''' </w:t>
            </w:r>
            <w:r w:rsidR="00191556">
              <w:rPr>
                <w:iCs/>
                <w:vertAlign w:val="superscript"/>
              </w:rPr>
              <w:t>1</w:t>
            </w:r>
          </w:p>
        </w:tc>
        <w:tc>
          <w:tcPr>
            <w:tcW w:w="649" w:type="pct"/>
            <w:shd w:val="clear" w:color="auto" w:fill="auto"/>
          </w:tcPr>
          <w:p w:rsidR="00D46201" w:rsidRPr="00A02580" w:rsidRDefault="00A02580" w:rsidP="000B2CFA">
            <w:pPr>
              <w:pStyle w:val="TableText0"/>
              <w:keepNext w:val="0"/>
              <w:widowControl w:val="0"/>
              <w:jc w:val="center"/>
              <w:rPr>
                <w:color w:val="000000"/>
              </w:rPr>
            </w:pPr>
            <w:r>
              <w:rPr>
                <w:noProof/>
                <w:color w:val="000000"/>
                <w:highlight w:val="black"/>
              </w:rPr>
              <w:t xml:space="preserve"> ''''''''''''' </w:t>
            </w:r>
            <w:r w:rsidR="00191556">
              <w:rPr>
                <w:iCs/>
                <w:vertAlign w:val="superscript"/>
              </w:rPr>
              <w:t>1</w:t>
            </w:r>
          </w:p>
        </w:tc>
        <w:tc>
          <w:tcPr>
            <w:tcW w:w="615" w:type="pct"/>
            <w:shd w:val="clear" w:color="auto" w:fill="auto"/>
          </w:tcPr>
          <w:p w:rsidR="00D46201" w:rsidRPr="00A02580" w:rsidRDefault="00A02580" w:rsidP="000B2CFA">
            <w:pPr>
              <w:pStyle w:val="TableText0"/>
              <w:keepNext w:val="0"/>
              <w:widowControl w:val="0"/>
              <w:jc w:val="center"/>
              <w:rPr>
                <w:color w:val="000000"/>
              </w:rPr>
            </w:pPr>
            <w:r>
              <w:rPr>
                <w:noProof/>
                <w:color w:val="000000"/>
                <w:highlight w:val="black"/>
              </w:rPr>
              <w:t xml:space="preserve"> '''''''''''''' </w:t>
            </w:r>
            <w:r w:rsidR="00191556">
              <w:rPr>
                <w:iCs/>
                <w:vertAlign w:val="superscript"/>
              </w:rPr>
              <w:t>1</w:t>
            </w:r>
          </w:p>
        </w:tc>
        <w:tc>
          <w:tcPr>
            <w:tcW w:w="616" w:type="pct"/>
            <w:shd w:val="clear" w:color="auto" w:fill="auto"/>
          </w:tcPr>
          <w:p w:rsidR="00D46201" w:rsidRPr="00A02580" w:rsidRDefault="00A02580" w:rsidP="000B2CFA">
            <w:pPr>
              <w:pStyle w:val="TableText0"/>
              <w:keepNext w:val="0"/>
              <w:widowControl w:val="0"/>
              <w:jc w:val="center"/>
              <w:rPr>
                <w:color w:val="000000"/>
              </w:rPr>
            </w:pPr>
            <w:r>
              <w:rPr>
                <w:noProof/>
                <w:color w:val="000000"/>
                <w:highlight w:val="black"/>
              </w:rPr>
              <w:t xml:space="preserve"> '''''''''''' </w:t>
            </w:r>
            <w:r w:rsidR="00191556">
              <w:rPr>
                <w:iCs/>
                <w:vertAlign w:val="superscript"/>
              </w:rPr>
              <w:t>2</w:t>
            </w:r>
          </w:p>
        </w:tc>
        <w:tc>
          <w:tcPr>
            <w:tcW w:w="693" w:type="pct"/>
          </w:tcPr>
          <w:p w:rsidR="00D46201" w:rsidRPr="00A02580" w:rsidRDefault="00A02580" w:rsidP="000B2CFA">
            <w:pPr>
              <w:pStyle w:val="TableText0"/>
              <w:keepNext w:val="0"/>
              <w:widowControl w:val="0"/>
              <w:jc w:val="center"/>
              <w:rPr>
                <w:color w:val="000000"/>
              </w:rPr>
            </w:pPr>
            <w:r>
              <w:rPr>
                <w:noProof/>
                <w:color w:val="000000"/>
                <w:highlight w:val="black"/>
              </w:rPr>
              <w:t xml:space="preserve"> '''''''''''''' </w:t>
            </w:r>
            <w:r w:rsidR="00191556">
              <w:rPr>
                <w:iCs/>
                <w:vertAlign w:val="superscript"/>
              </w:rPr>
              <w:t>2</w:t>
            </w:r>
          </w:p>
        </w:tc>
      </w:tr>
      <w:tr w:rsidR="00A02580" w:rsidRPr="00AF20AB" w:rsidTr="00A02580">
        <w:trPr>
          <w:trHeight w:val="226"/>
        </w:trPr>
        <w:tc>
          <w:tcPr>
            <w:tcW w:w="1237" w:type="pct"/>
            <w:shd w:val="clear" w:color="auto" w:fill="auto"/>
          </w:tcPr>
          <w:p w:rsidR="00D46201" w:rsidRPr="00AF20AB" w:rsidRDefault="00D46201" w:rsidP="000B2CFA">
            <w:pPr>
              <w:pStyle w:val="TableText0"/>
              <w:keepNext w:val="0"/>
              <w:widowControl w:val="0"/>
              <w:tabs>
                <w:tab w:val="left" w:pos="102"/>
              </w:tabs>
            </w:pPr>
            <w:r w:rsidRPr="00AF20AB">
              <w:tab/>
              <w:t>Initiation scripts</w:t>
            </w:r>
          </w:p>
        </w:tc>
        <w:tc>
          <w:tcPr>
            <w:tcW w:w="603" w:type="pct"/>
            <w:shd w:val="clear" w:color="auto" w:fill="auto"/>
          </w:tcPr>
          <w:p w:rsidR="00D46201" w:rsidRPr="00A02580" w:rsidRDefault="00A02580" w:rsidP="000B2CFA">
            <w:pPr>
              <w:pStyle w:val="TableText0"/>
              <w:keepNext w:val="0"/>
              <w:widowControl w:val="0"/>
              <w:jc w:val="center"/>
            </w:pPr>
            <w:r>
              <w:rPr>
                <w:noProof/>
                <w:color w:val="000000"/>
                <w:highlight w:val="black"/>
              </w:rPr>
              <w:t xml:space="preserve"> ''''''''''''''</w:t>
            </w:r>
            <w:r w:rsidR="00191556">
              <w:rPr>
                <w:iCs/>
                <w:vertAlign w:val="superscript"/>
              </w:rPr>
              <w:t>1</w:t>
            </w:r>
            <w:r>
              <w:rPr>
                <w:noProof/>
                <w:color w:val="000000"/>
                <w:highlight w:val="black"/>
              </w:rPr>
              <w:t xml:space="preserve"> </w:t>
            </w:r>
          </w:p>
        </w:tc>
        <w:tc>
          <w:tcPr>
            <w:tcW w:w="586" w:type="pct"/>
            <w:shd w:val="clear" w:color="auto" w:fill="auto"/>
          </w:tcPr>
          <w:p w:rsidR="00D46201" w:rsidRPr="00A02580" w:rsidRDefault="00A02580" w:rsidP="000B2CFA">
            <w:pPr>
              <w:pStyle w:val="TableText0"/>
              <w:keepNext w:val="0"/>
              <w:widowControl w:val="0"/>
              <w:jc w:val="center"/>
            </w:pPr>
            <w:r>
              <w:rPr>
                <w:noProof/>
                <w:color w:val="000000"/>
                <w:highlight w:val="black"/>
              </w:rPr>
              <w:t xml:space="preserve"> '''''''''' </w:t>
            </w:r>
            <w:r w:rsidR="00191556">
              <w:rPr>
                <w:iCs/>
                <w:vertAlign w:val="superscript"/>
              </w:rPr>
              <w:t>1</w:t>
            </w:r>
          </w:p>
        </w:tc>
        <w:tc>
          <w:tcPr>
            <w:tcW w:w="649" w:type="pct"/>
            <w:shd w:val="clear" w:color="auto" w:fill="auto"/>
          </w:tcPr>
          <w:p w:rsidR="00D46201" w:rsidRPr="00A02580" w:rsidRDefault="00A02580" w:rsidP="000B2CFA">
            <w:pPr>
              <w:pStyle w:val="TableText0"/>
              <w:keepNext w:val="0"/>
              <w:widowControl w:val="0"/>
              <w:jc w:val="center"/>
            </w:pPr>
            <w:r>
              <w:rPr>
                <w:noProof/>
                <w:color w:val="000000"/>
                <w:highlight w:val="black"/>
              </w:rPr>
              <w:t xml:space="preserve"> ''''''''</w:t>
            </w:r>
            <w:r w:rsidR="00191556">
              <w:rPr>
                <w:iCs/>
                <w:vertAlign w:val="superscript"/>
              </w:rPr>
              <w:t>1</w:t>
            </w:r>
            <w:r>
              <w:rPr>
                <w:noProof/>
                <w:color w:val="000000"/>
                <w:highlight w:val="black"/>
              </w:rPr>
              <w:t xml:space="preserve"> </w:t>
            </w:r>
          </w:p>
        </w:tc>
        <w:tc>
          <w:tcPr>
            <w:tcW w:w="615" w:type="pct"/>
            <w:shd w:val="clear" w:color="auto" w:fill="auto"/>
          </w:tcPr>
          <w:p w:rsidR="00D46201" w:rsidRPr="00A02580" w:rsidRDefault="00A02580" w:rsidP="000B2CFA">
            <w:pPr>
              <w:pStyle w:val="TableText0"/>
              <w:keepNext w:val="0"/>
              <w:widowControl w:val="0"/>
              <w:jc w:val="center"/>
            </w:pPr>
            <w:r>
              <w:rPr>
                <w:noProof/>
                <w:color w:val="000000"/>
                <w:highlight w:val="black"/>
              </w:rPr>
              <w:t xml:space="preserve"> ''''''''''''''</w:t>
            </w:r>
            <w:r w:rsidR="00191556">
              <w:rPr>
                <w:iCs/>
                <w:vertAlign w:val="superscript"/>
              </w:rPr>
              <w:t>1</w:t>
            </w:r>
            <w:r>
              <w:rPr>
                <w:noProof/>
                <w:color w:val="000000"/>
                <w:highlight w:val="black"/>
              </w:rPr>
              <w:t xml:space="preserve"> </w:t>
            </w:r>
          </w:p>
        </w:tc>
        <w:tc>
          <w:tcPr>
            <w:tcW w:w="616" w:type="pct"/>
            <w:shd w:val="clear" w:color="auto" w:fill="auto"/>
          </w:tcPr>
          <w:p w:rsidR="00D46201" w:rsidRPr="00A02580" w:rsidRDefault="00A02580" w:rsidP="000B2CFA">
            <w:pPr>
              <w:pStyle w:val="TableText0"/>
              <w:keepNext w:val="0"/>
              <w:widowControl w:val="0"/>
              <w:jc w:val="center"/>
            </w:pPr>
            <w:r>
              <w:rPr>
                <w:noProof/>
                <w:color w:val="000000"/>
                <w:highlight w:val="black"/>
              </w:rPr>
              <w:t xml:space="preserve"> '''''''''''' </w:t>
            </w:r>
            <w:r w:rsidR="00191556">
              <w:rPr>
                <w:iCs/>
                <w:vertAlign w:val="superscript"/>
              </w:rPr>
              <w:t>1</w:t>
            </w:r>
          </w:p>
        </w:tc>
        <w:tc>
          <w:tcPr>
            <w:tcW w:w="693" w:type="pct"/>
          </w:tcPr>
          <w:p w:rsidR="00D46201" w:rsidRPr="00A02580" w:rsidRDefault="00A02580" w:rsidP="000B2CFA">
            <w:pPr>
              <w:pStyle w:val="TableText0"/>
              <w:keepNext w:val="0"/>
              <w:widowControl w:val="0"/>
              <w:jc w:val="center"/>
            </w:pPr>
            <w:r>
              <w:rPr>
                <w:noProof/>
                <w:color w:val="000000"/>
                <w:highlight w:val="black"/>
              </w:rPr>
              <w:t xml:space="preserve"> ''''''''''''' </w:t>
            </w:r>
            <w:r w:rsidR="00191556">
              <w:rPr>
                <w:iCs/>
                <w:vertAlign w:val="superscript"/>
              </w:rPr>
              <w:t>1</w:t>
            </w:r>
          </w:p>
        </w:tc>
      </w:tr>
      <w:tr w:rsidR="00A02580" w:rsidRPr="00AF20AB" w:rsidTr="00A02580">
        <w:trPr>
          <w:trHeight w:val="226"/>
        </w:trPr>
        <w:tc>
          <w:tcPr>
            <w:tcW w:w="1237" w:type="pct"/>
            <w:shd w:val="clear" w:color="auto" w:fill="auto"/>
          </w:tcPr>
          <w:p w:rsidR="00D46201" w:rsidRPr="00AF20AB" w:rsidRDefault="00D46201" w:rsidP="000B2CFA">
            <w:pPr>
              <w:pStyle w:val="TableText0"/>
              <w:keepNext w:val="0"/>
              <w:widowControl w:val="0"/>
              <w:tabs>
                <w:tab w:val="left" w:pos="102"/>
              </w:tabs>
            </w:pPr>
            <w:r w:rsidRPr="00AF20AB">
              <w:tab/>
              <w:t>Continuation scripts</w:t>
            </w:r>
          </w:p>
        </w:tc>
        <w:tc>
          <w:tcPr>
            <w:tcW w:w="603" w:type="pct"/>
            <w:shd w:val="clear" w:color="auto" w:fill="auto"/>
          </w:tcPr>
          <w:p w:rsidR="00D46201" w:rsidRPr="00A02580" w:rsidRDefault="00A02580" w:rsidP="000B2CFA">
            <w:pPr>
              <w:pStyle w:val="TableText0"/>
              <w:keepNext w:val="0"/>
              <w:widowControl w:val="0"/>
              <w:jc w:val="center"/>
            </w:pPr>
            <w:r>
              <w:rPr>
                <w:noProof/>
                <w:color w:val="000000"/>
                <w:highlight w:val="black"/>
              </w:rPr>
              <w:t xml:space="preserve"> ''''''''''''''</w:t>
            </w:r>
            <w:r w:rsidR="00191556">
              <w:rPr>
                <w:iCs/>
                <w:vertAlign w:val="superscript"/>
              </w:rPr>
              <w:t>1</w:t>
            </w:r>
            <w:r>
              <w:rPr>
                <w:noProof/>
                <w:color w:val="000000"/>
                <w:highlight w:val="black"/>
              </w:rPr>
              <w:t xml:space="preserve"> </w:t>
            </w:r>
          </w:p>
        </w:tc>
        <w:tc>
          <w:tcPr>
            <w:tcW w:w="586" w:type="pct"/>
            <w:shd w:val="clear" w:color="auto" w:fill="auto"/>
          </w:tcPr>
          <w:p w:rsidR="00D46201" w:rsidRPr="00A02580" w:rsidRDefault="00A02580" w:rsidP="000B2CFA">
            <w:pPr>
              <w:pStyle w:val="TableText0"/>
              <w:keepNext w:val="0"/>
              <w:widowControl w:val="0"/>
              <w:jc w:val="center"/>
            </w:pPr>
            <w:r>
              <w:rPr>
                <w:noProof/>
                <w:color w:val="000000"/>
                <w:highlight w:val="black"/>
              </w:rPr>
              <w:t xml:space="preserve"> ''''''''''''''</w:t>
            </w:r>
            <w:r w:rsidR="00191556">
              <w:rPr>
                <w:iCs/>
                <w:vertAlign w:val="superscript"/>
              </w:rPr>
              <w:t>1</w:t>
            </w:r>
            <w:r>
              <w:rPr>
                <w:noProof/>
                <w:color w:val="000000"/>
                <w:highlight w:val="black"/>
              </w:rPr>
              <w:t xml:space="preserve"> </w:t>
            </w:r>
          </w:p>
        </w:tc>
        <w:tc>
          <w:tcPr>
            <w:tcW w:w="649" w:type="pct"/>
            <w:shd w:val="clear" w:color="auto" w:fill="auto"/>
          </w:tcPr>
          <w:p w:rsidR="00D46201" w:rsidRPr="00A02580" w:rsidRDefault="00A02580" w:rsidP="000B2CFA">
            <w:pPr>
              <w:pStyle w:val="TableText0"/>
              <w:keepNext w:val="0"/>
              <w:widowControl w:val="0"/>
              <w:jc w:val="center"/>
            </w:pPr>
            <w:r>
              <w:rPr>
                <w:noProof/>
                <w:color w:val="000000"/>
                <w:highlight w:val="black"/>
              </w:rPr>
              <w:t xml:space="preserve"> '''''''''''''</w:t>
            </w:r>
            <w:r w:rsidR="00191556">
              <w:rPr>
                <w:iCs/>
                <w:vertAlign w:val="superscript"/>
              </w:rPr>
              <w:t>1</w:t>
            </w:r>
            <w:r>
              <w:rPr>
                <w:noProof/>
                <w:color w:val="000000"/>
                <w:highlight w:val="black"/>
              </w:rPr>
              <w:t xml:space="preserve"> </w:t>
            </w:r>
          </w:p>
        </w:tc>
        <w:tc>
          <w:tcPr>
            <w:tcW w:w="615" w:type="pct"/>
            <w:shd w:val="clear" w:color="auto" w:fill="auto"/>
          </w:tcPr>
          <w:p w:rsidR="00D46201" w:rsidRPr="00A02580" w:rsidRDefault="00A02580" w:rsidP="000B2CFA">
            <w:pPr>
              <w:pStyle w:val="TableText0"/>
              <w:keepNext w:val="0"/>
              <w:widowControl w:val="0"/>
              <w:jc w:val="center"/>
            </w:pPr>
            <w:r>
              <w:rPr>
                <w:noProof/>
                <w:color w:val="000000"/>
                <w:highlight w:val="black"/>
              </w:rPr>
              <w:t xml:space="preserve"> ''''''''''''''</w:t>
            </w:r>
            <w:r w:rsidR="00191556">
              <w:rPr>
                <w:iCs/>
                <w:vertAlign w:val="superscript"/>
              </w:rPr>
              <w:t>1</w:t>
            </w:r>
            <w:r>
              <w:rPr>
                <w:noProof/>
                <w:color w:val="000000"/>
                <w:highlight w:val="black"/>
              </w:rPr>
              <w:t xml:space="preserve"> </w:t>
            </w:r>
          </w:p>
        </w:tc>
        <w:tc>
          <w:tcPr>
            <w:tcW w:w="616" w:type="pct"/>
            <w:shd w:val="clear" w:color="auto" w:fill="auto"/>
          </w:tcPr>
          <w:p w:rsidR="00D46201" w:rsidRPr="00A02580" w:rsidRDefault="00A02580" w:rsidP="000B2CFA">
            <w:pPr>
              <w:pStyle w:val="TableText0"/>
              <w:keepNext w:val="0"/>
              <w:widowControl w:val="0"/>
              <w:jc w:val="center"/>
            </w:pPr>
            <w:r>
              <w:rPr>
                <w:noProof/>
                <w:color w:val="000000"/>
                <w:highlight w:val="black"/>
              </w:rPr>
              <w:t xml:space="preserve"> '''''''''''''' </w:t>
            </w:r>
            <w:r w:rsidR="00191556">
              <w:rPr>
                <w:iCs/>
                <w:vertAlign w:val="superscript"/>
              </w:rPr>
              <w:t>1</w:t>
            </w:r>
          </w:p>
        </w:tc>
        <w:tc>
          <w:tcPr>
            <w:tcW w:w="693" w:type="pct"/>
          </w:tcPr>
          <w:p w:rsidR="00D46201" w:rsidRPr="00A02580" w:rsidRDefault="00A02580" w:rsidP="000B2CFA">
            <w:pPr>
              <w:pStyle w:val="TableText0"/>
              <w:keepNext w:val="0"/>
              <w:widowControl w:val="0"/>
              <w:jc w:val="center"/>
            </w:pPr>
            <w:r>
              <w:rPr>
                <w:noProof/>
                <w:color w:val="000000"/>
                <w:highlight w:val="black"/>
              </w:rPr>
              <w:t xml:space="preserve"> ''''''''''''</w:t>
            </w:r>
            <w:r w:rsidR="00191556">
              <w:rPr>
                <w:iCs/>
                <w:vertAlign w:val="superscript"/>
              </w:rPr>
              <w:t>1</w:t>
            </w:r>
            <w:r>
              <w:rPr>
                <w:noProof/>
                <w:color w:val="000000"/>
                <w:highlight w:val="black"/>
              </w:rPr>
              <w:t xml:space="preserve"> </w:t>
            </w:r>
          </w:p>
        </w:tc>
      </w:tr>
      <w:tr w:rsidR="00787E92" w:rsidRPr="00AF20AB" w:rsidTr="00A02580">
        <w:trPr>
          <w:trHeight w:val="235"/>
        </w:trPr>
        <w:tc>
          <w:tcPr>
            <w:tcW w:w="5000" w:type="pct"/>
            <w:gridSpan w:val="7"/>
            <w:shd w:val="clear" w:color="auto" w:fill="auto"/>
            <w:vAlign w:val="center"/>
          </w:tcPr>
          <w:p w:rsidR="00D46201" w:rsidRPr="00AF20AB" w:rsidRDefault="00D46201" w:rsidP="000B2CFA">
            <w:pPr>
              <w:pStyle w:val="In-tableHeading"/>
              <w:keepNext w:val="0"/>
              <w:widowControl w:val="0"/>
              <w:rPr>
                <w:lang w:val="en-AU"/>
              </w:rPr>
            </w:pPr>
            <w:r w:rsidRPr="00AF20AB">
              <w:rPr>
                <w:lang w:val="en-AU"/>
              </w:rPr>
              <w:t xml:space="preserve">Estimated financial implications of </w:t>
            </w:r>
            <w:r w:rsidR="00787E92" w:rsidRPr="00AF20AB">
              <w:rPr>
                <w:lang w:val="en-AU"/>
              </w:rPr>
              <w:t>decitabine+cedazuridine</w:t>
            </w:r>
          </w:p>
        </w:tc>
      </w:tr>
      <w:tr w:rsidR="00A02580" w:rsidRPr="00AF20AB" w:rsidTr="00A02580">
        <w:trPr>
          <w:trHeight w:val="452"/>
        </w:trPr>
        <w:tc>
          <w:tcPr>
            <w:tcW w:w="1237" w:type="pct"/>
            <w:shd w:val="clear" w:color="auto" w:fill="auto"/>
            <w:vAlign w:val="center"/>
          </w:tcPr>
          <w:p w:rsidR="00787E92" w:rsidRPr="00AF20AB" w:rsidRDefault="00787E92" w:rsidP="000B2CFA">
            <w:pPr>
              <w:pStyle w:val="TableText0"/>
              <w:keepNext w:val="0"/>
              <w:widowControl w:val="0"/>
              <w:rPr>
                <w:sz w:val="19"/>
                <w:szCs w:val="19"/>
              </w:rPr>
            </w:pPr>
            <w:r w:rsidRPr="00AF20AB">
              <w:rPr>
                <w:sz w:val="19"/>
                <w:szCs w:val="19"/>
              </w:rPr>
              <w:t>Cost to PBS/RPBS less copayments</w:t>
            </w:r>
          </w:p>
        </w:tc>
        <w:tc>
          <w:tcPr>
            <w:tcW w:w="603" w:type="pct"/>
            <w:shd w:val="clear" w:color="auto" w:fill="auto"/>
            <w:vAlign w:val="center"/>
          </w:tcPr>
          <w:p w:rsidR="00787E92" w:rsidRPr="00AF20AB" w:rsidRDefault="00787E92" w:rsidP="000B2CFA">
            <w:pPr>
              <w:pStyle w:val="TableText0"/>
              <w:keepNext w:val="0"/>
              <w:widowControl w:val="0"/>
              <w:jc w:val="center"/>
            </w:pPr>
            <w:r w:rsidRPr="00AF20AB">
              <w:rPr>
                <w:rFonts w:cs="Arial"/>
                <w:color w:val="000000"/>
              </w:rPr>
              <w:t>$</w:t>
            </w:r>
            <w:r w:rsidR="00A02580">
              <w:rPr>
                <w:rFonts w:cs="Arial"/>
                <w:noProof/>
                <w:color w:val="000000"/>
                <w:highlight w:val="black"/>
              </w:rPr>
              <w:t>'''''''''''''''''''''''''</w:t>
            </w:r>
            <w:r w:rsidR="00C67BAF">
              <w:rPr>
                <w:iCs/>
                <w:vertAlign w:val="superscript"/>
              </w:rPr>
              <w:t>3</w:t>
            </w:r>
          </w:p>
        </w:tc>
        <w:tc>
          <w:tcPr>
            <w:tcW w:w="586" w:type="pct"/>
            <w:shd w:val="clear" w:color="auto" w:fill="auto"/>
            <w:vAlign w:val="center"/>
          </w:tcPr>
          <w:p w:rsidR="00787E92" w:rsidRPr="00AF20AB" w:rsidRDefault="00787E92" w:rsidP="000B2CFA">
            <w:pPr>
              <w:pStyle w:val="TableText0"/>
              <w:keepNext w:val="0"/>
              <w:widowControl w:val="0"/>
              <w:jc w:val="center"/>
            </w:pPr>
            <w:r w:rsidRPr="00AF20AB">
              <w:rPr>
                <w:rFonts w:cs="Arial"/>
                <w:color w:val="000000"/>
              </w:rPr>
              <w:t>$</w:t>
            </w:r>
            <w:r w:rsidR="00A02580">
              <w:rPr>
                <w:rFonts w:cs="Arial"/>
                <w:noProof/>
                <w:color w:val="000000"/>
                <w:highlight w:val="black"/>
              </w:rPr>
              <w:t>''''''''''''''''''''''</w:t>
            </w:r>
            <w:r w:rsidR="00C67BAF">
              <w:rPr>
                <w:iCs/>
                <w:vertAlign w:val="superscript"/>
              </w:rPr>
              <w:t>3</w:t>
            </w:r>
          </w:p>
        </w:tc>
        <w:tc>
          <w:tcPr>
            <w:tcW w:w="649" w:type="pct"/>
            <w:shd w:val="clear" w:color="auto" w:fill="auto"/>
            <w:vAlign w:val="center"/>
          </w:tcPr>
          <w:p w:rsidR="00787E92" w:rsidRPr="00AF20AB" w:rsidRDefault="00787E92" w:rsidP="000B2CFA">
            <w:pPr>
              <w:pStyle w:val="TableText0"/>
              <w:keepNext w:val="0"/>
              <w:widowControl w:val="0"/>
              <w:jc w:val="center"/>
            </w:pPr>
            <w:r w:rsidRPr="00AF20AB">
              <w:rPr>
                <w:rFonts w:cs="Arial"/>
                <w:color w:val="000000"/>
              </w:rPr>
              <w:t>$</w:t>
            </w:r>
            <w:r w:rsidR="00A02580">
              <w:rPr>
                <w:rFonts w:cs="Arial"/>
                <w:noProof/>
                <w:color w:val="000000"/>
                <w:highlight w:val="black"/>
              </w:rPr>
              <w:t>''''''''''''''''''''''''''''</w:t>
            </w:r>
            <w:r w:rsidR="00C67BAF">
              <w:rPr>
                <w:iCs/>
                <w:vertAlign w:val="superscript"/>
              </w:rPr>
              <w:t>4</w:t>
            </w:r>
          </w:p>
        </w:tc>
        <w:tc>
          <w:tcPr>
            <w:tcW w:w="615" w:type="pct"/>
            <w:shd w:val="clear" w:color="auto" w:fill="auto"/>
            <w:vAlign w:val="center"/>
          </w:tcPr>
          <w:p w:rsidR="00787E92" w:rsidRPr="00AF20AB" w:rsidRDefault="00787E92" w:rsidP="000B2CFA">
            <w:pPr>
              <w:pStyle w:val="TableText0"/>
              <w:keepNext w:val="0"/>
              <w:widowControl w:val="0"/>
              <w:jc w:val="center"/>
            </w:pPr>
            <w:r w:rsidRPr="00AF20AB">
              <w:rPr>
                <w:rFonts w:cs="Arial"/>
                <w:color w:val="000000"/>
              </w:rPr>
              <w:t>$</w:t>
            </w:r>
            <w:r w:rsidR="00A02580">
              <w:rPr>
                <w:rFonts w:cs="Arial"/>
                <w:noProof/>
                <w:color w:val="000000"/>
                <w:highlight w:val="black"/>
              </w:rPr>
              <w:t>''''''''''''''''''''''''</w:t>
            </w:r>
            <w:r w:rsidR="00C67BAF">
              <w:rPr>
                <w:iCs/>
                <w:vertAlign w:val="superscript"/>
              </w:rPr>
              <w:t>4</w:t>
            </w:r>
          </w:p>
        </w:tc>
        <w:tc>
          <w:tcPr>
            <w:tcW w:w="616" w:type="pct"/>
            <w:shd w:val="clear" w:color="auto" w:fill="auto"/>
            <w:vAlign w:val="center"/>
          </w:tcPr>
          <w:p w:rsidR="00787E92" w:rsidRPr="00AF20AB" w:rsidRDefault="00787E92" w:rsidP="000B2CFA">
            <w:pPr>
              <w:pStyle w:val="TableText0"/>
              <w:keepNext w:val="0"/>
              <w:widowControl w:val="0"/>
              <w:jc w:val="center"/>
            </w:pPr>
            <w:r w:rsidRPr="00AF20AB">
              <w:rPr>
                <w:rFonts w:cs="Arial"/>
                <w:color w:val="000000"/>
              </w:rPr>
              <w:t>$</w:t>
            </w:r>
            <w:r w:rsidR="00A02580">
              <w:rPr>
                <w:rFonts w:cs="Arial"/>
                <w:noProof/>
                <w:color w:val="000000"/>
                <w:highlight w:val="black"/>
              </w:rPr>
              <w:t>''''''''''''''''''''''''''''</w:t>
            </w:r>
            <w:r w:rsidR="00C67BAF">
              <w:rPr>
                <w:iCs/>
                <w:vertAlign w:val="superscript"/>
              </w:rPr>
              <w:t>4</w:t>
            </w:r>
          </w:p>
        </w:tc>
        <w:tc>
          <w:tcPr>
            <w:tcW w:w="693" w:type="pct"/>
            <w:vAlign w:val="center"/>
          </w:tcPr>
          <w:p w:rsidR="00787E92" w:rsidRPr="00AF20AB" w:rsidRDefault="00787E92" w:rsidP="000B2CFA">
            <w:pPr>
              <w:pStyle w:val="TableText0"/>
              <w:keepNext w:val="0"/>
              <w:widowControl w:val="0"/>
              <w:jc w:val="center"/>
            </w:pPr>
            <w:r w:rsidRPr="00AF20AB">
              <w:rPr>
                <w:rFonts w:cs="Arial"/>
                <w:color w:val="000000"/>
              </w:rPr>
              <w:t>$</w:t>
            </w:r>
            <w:r w:rsidR="00A02580">
              <w:rPr>
                <w:rFonts w:cs="Arial"/>
                <w:noProof/>
                <w:color w:val="000000"/>
                <w:highlight w:val="black"/>
              </w:rPr>
              <w:t>'''''''''''''''''''''''''''</w:t>
            </w:r>
            <w:r w:rsidR="00C67BAF">
              <w:rPr>
                <w:iCs/>
                <w:vertAlign w:val="superscript"/>
              </w:rPr>
              <w:t>4</w:t>
            </w:r>
          </w:p>
        </w:tc>
      </w:tr>
      <w:tr w:rsidR="00A02580" w:rsidRPr="00AF20AB" w:rsidTr="00A02580">
        <w:trPr>
          <w:trHeight w:val="461"/>
        </w:trPr>
        <w:tc>
          <w:tcPr>
            <w:tcW w:w="1237" w:type="pct"/>
            <w:shd w:val="clear" w:color="auto" w:fill="auto"/>
            <w:vAlign w:val="center"/>
          </w:tcPr>
          <w:p w:rsidR="00C5482E" w:rsidRPr="00AF20AB" w:rsidRDefault="00C5482E" w:rsidP="000B2CFA">
            <w:pPr>
              <w:pStyle w:val="TableText0"/>
              <w:keepNext w:val="0"/>
              <w:widowControl w:val="0"/>
              <w:rPr>
                <w:sz w:val="19"/>
                <w:szCs w:val="19"/>
              </w:rPr>
            </w:pPr>
            <w:r w:rsidRPr="00AF20AB">
              <w:rPr>
                <w:szCs w:val="20"/>
              </w:rPr>
              <w:t>Cost offsets for substituted azacitidine</w:t>
            </w:r>
            <w:r w:rsidR="00B6791B" w:rsidRPr="00AF20AB">
              <w:rPr>
                <w:szCs w:val="20"/>
              </w:rPr>
              <w:t xml:space="preserve"> and granis</w:t>
            </w:r>
            <w:r w:rsidR="00C044E5" w:rsidRPr="00AF20AB">
              <w:rPr>
                <w:szCs w:val="20"/>
              </w:rPr>
              <w:t>et</w:t>
            </w:r>
            <w:r w:rsidR="00B6791B" w:rsidRPr="00AF20AB">
              <w:rPr>
                <w:szCs w:val="20"/>
              </w:rPr>
              <w:t>ron</w:t>
            </w:r>
            <w:r w:rsidR="009578F7" w:rsidRPr="00AF20AB">
              <w:rPr>
                <w:szCs w:val="20"/>
                <w:vertAlign w:val="superscript"/>
              </w:rPr>
              <w:t>a</w:t>
            </w:r>
          </w:p>
        </w:tc>
        <w:tc>
          <w:tcPr>
            <w:tcW w:w="603" w:type="pct"/>
            <w:shd w:val="clear" w:color="auto" w:fill="auto"/>
            <w:vAlign w:val="center"/>
          </w:tcPr>
          <w:p w:rsidR="00C5482E" w:rsidRPr="00AF20AB" w:rsidRDefault="00C5482E" w:rsidP="000B2CFA">
            <w:pPr>
              <w:pStyle w:val="TableText0"/>
              <w:keepNext w:val="0"/>
              <w:widowControl w:val="0"/>
              <w:jc w:val="center"/>
            </w:pPr>
            <w:r w:rsidRPr="00AF20AB">
              <w:rPr>
                <w:rFonts w:cs="Arial"/>
              </w:rPr>
              <w:t>-$</w:t>
            </w:r>
            <w:r w:rsidR="00A02580">
              <w:rPr>
                <w:rFonts w:cs="Arial"/>
                <w:noProof/>
                <w:color w:val="000000"/>
                <w:highlight w:val="black"/>
              </w:rPr>
              <w:t>'''''''''''''''''''''''</w:t>
            </w:r>
            <w:r w:rsidR="00C67BAF">
              <w:rPr>
                <w:iCs/>
                <w:vertAlign w:val="superscript"/>
              </w:rPr>
              <w:t>3</w:t>
            </w:r>
          </w:p>
        </w:tc>
        <w:tc>
          <w:tcPr>
            <w:tcW w:w="586" w:type="pct"/>
            <w:shd w:val="clear" w:color="auto" w:fill="auto"/>
            <w:vAlign w:val="center"/>
          </w:tcPr>
          <w:p w:rsidR="00C5482E" w:rsidRPr="00AF20AB" w:rsidRDefault="00C5482E" w:rsidP="000B2CFA">
            <w:pPr>
              <w:pStyle w:val="TableText0"/>
              <w:keepNext w:val="0"/>
              <w:widowControl w:val="0"/>
              <w:jc w:val="center"/>
            </w:pPr>
            <w:r w:rsidRPr="00AF20AB">
              <w:rPr>
                <w:rFonts w:cs="Arial"/>
              </w:rPr>
              <w:t>-$</w:t>
            </w:r>
            <w:r w:rsidR="00A02580">
              <w:rPr>
                <w:rFonts w:cs="Arial"/>
                <w:noProof/>
                <w:color w:val="000000"/>
                <w:highlight w:val="black"/>
              </w:rPr>
              <w:t>''''''''''''''''''''''''</w:t>
            </w:r>
            <w:r w:rsidR="00C67BAF">
              <w:rPr>
                <w:iCs/>
                <w:vertAlign w:val="superscript"/>
              </w:rPr>
              <w:t>3</w:t>
            </w:r>
          </w:p>
        </w:tc>
        <w:tc>
          <w:tcPr>
            <w:tcW w:w="649" w:type="pct"/>
            <w:shd w:val="clear" w:color="auto" w:fill="auto"/>
            <w:vAlign w:val="center"/>
          </w:tcPr>
          <w:p w:rsidR="00C5482E" w:rsidRPr="00AF20AB" w:rsidRDefault="00C5482E" w:rsidP="000B2CFA">
            <w:pPr>
              <w:pStyle w:val="TableText0"/>
              <w:keepNext w:val="0"/>
              <w:widowControl w:val="0"/>
              <w:jc w:val="center"/>
            </w:pPr>
            <w:r w:rsidRPr="00AF20AB">
              <w:rPr>
                <w:rFonts w:cs="Arial"/>
              </w:rPr>
              <w:t>-$</w:t>
            </w:r>
            <w:r w:rsidR="00A02580">
              <w:rPr>
                <w:rFonts w:cs="Arial"/>
                <w:noProof/>
                <w:color w:val="000000"/>
                <w:highlight w:val="black"/>
              </w:rPr>
              <w:t>'''''''''''''''''''''''</w:t>
            </w:r>
            <w:r w:rsidR="00C67BAF">
              <w:rPr>
                <w:iCs/>
                <w:vertAlign w:val="superscript"/>
              </w:rPr>
              <w:t>3</w:t>
            </w:r>
          </w:p>
        </w:tc>
        <w:tc>
          <w:tcPr>
            <w:tcW w:w="615" w:type="pct"/>
            <w:shd w:val="clear" w:color="auto" w:fill="auto"/>
            <w:vAlign w:val="center"/>
          </w:tcPr>
          <w:p w:rsidR="00C5482E" w:rsidRPr="00AF20AB" w:rsidRDefault="00C5482E" w:rsidP="000B2CFA">
            <w:pPr>
              <w:pStyle w:val="TableText0"/>
              <w:keepNext w:val="0"/>
              <w:widowControl w:val="0"/>
              <w:jc w:val="center"/>
            </w:pPr>
            <w:r w:rsidRPr="00AF20AB">
              <w:rPr>
                <w:rFonts w:cs="Arial"/>
              </w:rPr>
              <w:t>-$</w:t>
            </w:r>
            <w:r w:rsidR="00A02580">
              <w:rPr>
                <w:rFonts w:cs="Arial"/>
                <w:noProof/>
                <w:color w:val="000000"/>
                <w:highlight w:val="black"/>
              </w:rPr>
              <w:t>'''''''''''''''''''''''''</w:t>
            </w:r>
            <w:r w:rsidR="00C67BAF">
              <w:rPr>
                <w:iCs/>
                <w:vertAlign w:val="superscript"/>
              </w:rPr>
              <w:t>3</w:t>
            </w:r>
          </w:p>
        </w:tc>
        <w:tc>
          <w:tcPr>
            <w:tcW w:w="616" w:type="pct"/>
            <w:shd w:val="clear" w:color="auto" w:fill="auto"/>
            <w:vAlign w:val="center"/>
          </w:tcPr>
          <w:p w:rsidR="00C5482E" w:rsidRPr="00AF20AB" w:rsidRDefault="00C5482E" w:rsidP="000B2CFA">
            <w:pPr>
              <w:pStyle w:val="TableText0"/>
              <w:keepNext w:val="0"/>
              <w:widowControl w:val="0"/>
              <w:jc w:val="center"/>
            </w:pPr>
            <w:r w:rsidRPr="00AF20AB">
              <w:rPr>
                <w:rFonts w:cs="Arial"/>
              </w:rPr>
              <w:t>-$</w:t>
            </w:r>
            <w:r w:rsidR="00A02580">
              <w:rPr>
                <w:rFonts w:cs="Arial"/>
                <w:noProof/>
                <w:color w:val="000000"/>
                <w:highlight w:val="black"/>
              </w:rPr>
              <w:t>''''''''''''''''''''''''''</w:t>
            </w:r>
            <w:r w:rsidR="00C67BAF">
              <w:rPr>
                <w:iCs/>
                <w:vertAlign w:val="superscript"/>
              </w:rPr>
              <w:t>4</w:t>
            </w:r>
          </w:p>
        </w:tc>
        <w:tc>
          <w:tcPr>
            <w:tcW w:w="693" w:type="pct"/>
            <w:vAlign w:val="center"/>
          </w:tcPr>
          <w:p w:rsidR="00C5482E" w:rsidRPr="00AF20AB" w:rsidRDefault="00C5482E" w:rsidP="000B2CFA">
            <w:pPr>
              <w:pStyle w:val="TableText0"/>
              <w:keepNext w:val="0"/>
              <w:widowControl w:val="0"/>
              <w:jc w:val="center"/>
            </w:pPr>
            <w:r w:rsidRPr="00AF20AB">
              <w:rPr>
                <w:rFonts w:cs="Arial"/>
              </w:rPr>
              <w:t>-$</w:t>
            </w:r>
            <w:r w:rsidR="00A02580">
              <w:rPr>
                <w:rFonts w:cs="Arial"/>
                <w:noProof/>
                <w:color w:val="000000"/>
                <w:highlight w:val="black"/>
              </w:rPr>
              <w:t>'''''''''''''''''''''''''''''</w:t>
            </w:r>
            <w:r w:rsidR="00C67BAF">
              <w:rPr>
                <w:iCs/>
                <w:vertAlign w:val="superscript"/>
              </w:rPr>
              <w:t>4</w:t>
            </w:r>
          </w:p>
        </w:tc>
      </w:tr>
      <w:tr w:rsidR="00C5482E" w:rsidRPr="00AF20AB" w:rsidTr="00A02580">
        <w:trPr>
          <w:trHeight w:val="226"/>
        </w:trPr>
        <w:tc>
          <w:tcPr>
            <w:tcW w:w="5000" w:type="pct"/>
            <w:gridSpan w:val="7"/>
            <w:shd w:val="clear" w:color="auto" w:fill="auto"/>
            <w:vAlign w:val="center"/>
          </w:tcPr>
          <w:p w:rsidR="00C5482E" w:rsidRPr="00AF20AB" w:rsidRDefault="00C5482E" w:rsidP="000B2CFA">
            <w:pPr>
              <w:pStyle w:val="In-tableHeading"/>
              <w:keepNext w:val="0"/>
              <w:widowControl w:val="0"/>
              <w:rPr>
                <w:lang w:val="en-AU"/>
              </w:rPr>
            </w:pPr>
            <w:r w:rsidRPr="00AF20AB">
              <w:rPr>
                <w:lang w:val="en-AU"/>
              </w:rPr>
              <w:t>Net financial implications</w:t>
            </w:r>
          </w:p>
        </w:tc>
      </w:tr>
      <w:tr w:rsidR="00A02580" w:rsidRPr="00AF20AB" w:rsidTr="00A02580">
        <w:trPr>
          <w:trHeight w:val="226"/>
        </w:trPr>
        <w:tc>
          <w:tcPr>
            <w:tcW w:w="1237" w:type="pct"/>
            <w:shd w:val="clear" w:color="auto" w:fill="auto"/>
            <w:vAlign w:val="center"/>
          </w:tcPr>
          <w:p w:rsidR="00C5482E" w:rsidRPr="00AF20AB" w:rsidRDefault="00C5482E" w:rsidP="000B2CFA">
            <w:pPr>
              <w:pStyle w:val="TableText0"/>
              <w:keepNext w:val="0"/>
              <w:widowControl w:val="0"/>
              <w:rPr>
                <w:sz w:val="19"/>
                <w:szCs w:val="19"/>
              </w:rPr>
            </w:pPr>
            <w:r w:rsidRPr="00AF20AB">
              <w:rPr>
                <w:sz w:val="19"/>
                <w:szCs w:val="19"/>
              </w:rPr>
              <w:t>Net cost to PBS/RPBS</w:t>
            </w:r>
          </w:p>
        </w:tc>
        <w:tc>
          <w:tcPr>
            <w:tcW w:w="603" w:type="pct"/>
            <w:shd w:val="clear" w:color="auto" w:fill="auto"/>
            <w:vAlign w:val="center"/>
          </w:tcPr>
          <w:p w:rsidR="00C5482E" w:rsidRPr="00AF20AB" w:rsidRDefault="00C5482E" w:rsidP="000B2CFA">
            <w:pPr>
              <w:pStyle w:val="TableText0"/>
              <w:keepNext w:val="0"/>
              <w:widowControl w:val="0"/>
              <w:jc w:val="center"/>
            </w:pPr>
            <w:r w:rsidRPr="00AF20AB">
              <w:rPr>
                <w:color w:val="000000"/>
                <w:szCs w:val="20"/>
              </w:rPr>
              <w:t>$</w:t>
            </w:r>
            <w:r w:rsidR="00A02580">
              <w:rPr>
                <w:noProof/>
                <w:color w:val="000000"/>
                <w:szCs w:val="20"/>
                <w:highlight w:val="black"/>
              </w:rPr>
              <w:t>'''''''''''''''''''''''''</w:t>
            </w:r>
            <w:r w:rsidR="00C67BAF">
              <w:rPr>
                <w:iCs/>
                <w:vertAlign w:val="superscript"/>
              </w:rPr>
              <w:t>3</w:t>
            </w:r>
          </w:p>
        </w:tc>
        <w:tc>
          <w:tcPr>
            <w:tcW w:w="586" w:type="pct"/>
            <w:shd w:val="clear" w:color="auto" w:fill="auto"/>
            <w:vAlign w:val="center"/>
          </w:tcPr>
          <w:p w:rsidR="00C5482E" w:rsidRPr="00AF20AB" w:rsidRDefault="00C5482E" w:rsidP="000B2CFA">
            <w:pPr>
              <w:pStyle w:val="TableText0"/>
              <w:keepNext w:val="0"/>
              <w:widowControl w:val="0"/>
              <w:jc w:val="center"/>
            </w:pPr>
            <w:r w:rsidRPr="00AF20AB">
              <w:rPr>
                <w:color w:val="000000"/>
                <w:szCs w:val="20"/>
              </w:rPr>
              <w:t>$</w:t>
            </w:r>
            <w:r w:rsidR="00A02580">
              <w:rPr>
                <w:noProof/>
                <w:color w:val="000000"/>
                <w:szCs w:val="20"/>
                <w:highlight w:val="black"/>
              </w:rPr>
              <w:t>''''''''''''''''''''''</w:t>
            </w:r>
            <w:r w:rsidR="00C67BAF">
              <w:rPr>
                <w:iCs/>
                <w:vertAlign w:val="superscript"/>
              </w:rPr>
              <w:t>3</w:t>
            </w:r>
          </w:p>
        </w:tc>
        <w:tc>
          <w:tcPr>
            <w:tcW w:w="649" w:type="pct"/>
            <w:shd w:val="clear" w:color="auto" w:fill="auto"/>
            <w:vAlign w:val="center"/>
          </w:tcPr>
          <w:p w:rsidR="00C5482E" w:rsidRPr="00AF20AB" w:rsidRDefault="00C5482E" w:rsidP="000B2CFA">
            <w:pPr>
              <w:pStyle w:val="TableText0"/>
              <w:keepNext w:val="0"/>
              <w:widowControl w:val="0"/>
              <w:jc w:val="center"/>
            </w:pPr>
            <w:r w:rsidRPr="00AF20AB">
              <w:rPr>
                <w:color w:val="000000"/>
                <w:szCs w:val="20"/>
              </w:rPr>
              <w:t>$</w:t>
            </w:r>
            <w:r w:rsidR="00A02580">
              <w:rPr>
                <w:noProof/>
                <w:color w:val="000000"/>
                <w:szCs w:val="20"/>
                <w:highlight w:val="black"/>
              </w:rPr>
              <w:t>'''''''''''''''''''''''</w:t>
            </w:r>
            <w:r w:rsidR="00C67BAF">
              <w:rPr>
                <w:iCs/>
                <w:vertAlign w:val="superscript"/>
              </w:rPr>
              <w:t>3</w:t>
            </w:r>
          </w:p>
        </w:tc>
        <w:tc>
          <w:tcPr>
            <w:tcW w:w="615" w:type="pct"/>
            <w:shd w:val="clear" w:color="auto" w:fill="auto"/>
            <w:vAlign w:val="center"/>
          </w:tcPr>
          <w:p w:rsidR="00C5482E" w:rsidRPr="00AF20AB" w:rsidRDefault="00C5482E" w:rsidP="000B2CFA">
            <w:pPr>
              <w:pStyle w:val="TableText0"/>
              <w:keepNext w:val="0"/>
              <w:widowControl w:val="0"/>
              <w:jc w:val="center"/>
            </w:pPr>
            <w:r w:rsidRPr="00AF20AB">
              <w:rPr>
                <w:color w:val="000000"/>
                <w:szCs w:val="20"/>
              </w:rPr>
              <w:t>$</w:t>
            </w:r>
            <w:r w:rsidR="00A02580">
              <w:rPr>
                <w:noProof/>
                <w:color w:val="000000"/>
                <w:szCs w:val="20"/>
                <w:highlight w:val="black"/>
              </w:rPr>
              <w:t>'''''''''''''''''''''''</w:t>
            </w:r>
            <w:r w:rsidR="00C67BAF">
              <w:rPr>
                <w:iCs/>
                <w:vertAlign w:val="superscript"/>
              </w:rPr>
              <w:t>3</w:t>
            </w:r>
          </w:p>
        </w:tc>
        <w:tc>
          <w:tcPr>
            <w:tcW w:w="616" w:type="pct"/>
            <w:shd w:val="clear" w:color="auto" w:fill="auto"/>
            <w:vAlign w:val="center"/>
          </w:tcPr>
          <w:p w:rsidR="00C5482E" w:rsidRPr="00AF20AB" w:rsidRDefault="00C5482E" w:rsidP="000B2CFA">
            <w:pPr>
              <w:pStyle w:val="TableText0"/>
              <w:keepNext w:val="0"/>
              <w:widowControl w:val="0"/>
              <w:jc w:val="center"/>
            </w:pPr>
            <w:r w:rsidRPr="00AF20AB">
              <w:rPr>
                <w:color w:val="000000"/>
                <w:szCs w:val="20"/>
              </w:rPr>
              <w:t>$</w:t>
            </w:r>
            <w:r w:rsidR="00A02580">
              <w:rPr>
                <w:noProof/>
                <w:color w:val="000000"/>
                <w:szCs w:val="20"/>
                <w:highlight w:val="black"/>
              </w:rPr>
              <w:t>''''''''''''''''''''''</w:t>
            </w:r>
            <w:r w:rsidR="00C67BAF">
              <w:rPr>
                <w:iCs/>
                <w:vertAlign w:val="superscript"/>
              </w:rPr>
              <w:t>3</w:t>
            </w:r>
          </w:p>
        </w:tc>
        <w:tc>
          <w:tcPr>
            <w:tcW w:w="693" w:type="pct"/>
            <w:vAlign w:val="center"/>
          </w:tcPr>
          <w:p w:rsidR="00C5482E" w:rsidRPr="00AF20AB" w:rsidRDefault="00C5482E" w:rsidP="000B2CFA">
            <w:pPr>
              <w:pStyle w:val="TableText0"/>
              <w:keepNext w:val="0"/>
              <w:widowControl w:val="0"/>
              <w:jc w:val="center"/>
            </w:pPr>
            <w:r w:rsidRPr="00AF20AB">
              <w:rPr>
                <w:color w:val="000000"/>
                <w:szCs w:val="20"/>
              </w:rPr>
              <w:t>$</w:t>
            </w:r>
            <w:r w:rsidR="00A02580">
              <w:rPr>
                <w:noProof/>
                <w:color w:val="000000"/>
                <w:szCs w:val="20"/>
                <w:highlight w:val="black"/>
              </w:rPr>
              <w:t>''''''''''''''''''''''''''</w:t>
            </w:r>
            <w:r w:rsidR="00C67BAF">
              <w:rPr>
                <w:iCs/>
                <w:vertAlign w:val="superscript"/>
              </w:rPr>
              <w:t>3</w:t>
            </w:r>
          </w:p>
        </w:tc>
      </w:tr>
      <w:tr w:rsidR="00A02580" w:rsidRPr="00AF20AB" w:rsidTr="00A02580">
        <w:trPr>
          <w:trHeight w:val="461"/>
        </w:trPr>
        <w:tc>
          <w:tcPr>
            <w:tcW w:w="1237" w:type="pct"/>
            <w:shd w:val="clear" w:color="auto" w:fill="auto"/>
            <w:vAlign w:val="center"/>
          </w:tcPr>
          <w:p w:rsidR="00C5482E" w:rsidRPr="00AF20AB" w:rsidRDefault="00C5482E" w:rsidP="000B2CFA">
            <w:pPr>
              <w:pStyle w:val="TableText0"/>
              <w:keepNext w:val="0"/>
              <w:widowControl w:val="0"/>
              <w:rPr>
                <w:rFonts w:ascii="Times" w:hAnsi="Times"/>
              </w:rPr>
            </w:pPr>
            <w:r w:rsidRPr="00AF20AB">
              <w:rPr>
                <w:sz w:val="19"/>
                <w:szCs w:val="19"/>
              </w:rPr>
              <w:t>Net cost to MBS</w:t>
            </w:r>
            <w:r w:rsidR="00FA1276" w:rsidRPr="00AF20AB">
              <w:rPr>
                <w:sz w:val="19"/>
                <w:szCs w:val="19"/>
                <w:vertAlign w:val="superscript"/>
              </w:rPr>
              <w:t>b</w:t>
            </w:r>
          </w:p>
        </w:tc>
        <w:tc>
          <w:tcPr>
            <w:tcW w:w="603" w:type="pct"/>
            <w:shd w:val="clear" w:color="auto" w:fill="auto"/>
            <w:vAlign w:val="center"/>
          </w:tcPr>
          <w:p w:rsidR="00C5482E" w:rsidRPr="00AF20AB" w:rsidRDefault="00C5482E" w:rsidP="000B2CFA">
            <w:pPr>
              <w:pStyle w:val="TableText0"/>
              <w:keepNext w:val="0"/>
              <w:widowControl w:val="0"/>
              <w:jc w:val="center"/>
            </w:pPr>
            <w:r w:rsidRPr="00AF20AB">
              <w:rPr>
                <w:rFonts w:cs="Arial"/>
              </w:rPr>
              <w:t>-$</w:t>
            </w:r>
            <w:r w:rsidR="00A02580">
              <w:rPr>
                <w:rFonts w:cs="Arial"/>
                <w:noProof/>
                <w:color w:val="000000"/>
                <w:highlight w:val="black"/>
              </w:rPr>
              <w:t>'''''''''''''''''</w:t>
            </w:r>
            <w:r w:rsidR="00C67BAF">
              <w:rPr>
                <w:iCs/>
                <w:vertAlign w:val="superscript"/>
              </w:rPr>
              <w:t>3</w:t>
            </w:r>
          </w:p>
        </w:tc>
        <w:tc>
          <w:tcPr>
            <w:tcW w:w="586" w:type="pct"/>
            <w:shd w:val="clear" w:color="auto" w:fill="auto"/>
            <w:vAlign w:val="center"/>
          </w:tcPr>
          <w:p w:rsidR="00C5482E" w:rsidRPr="00AF20AB" w:rsidRDefault="00C5482E" w:rsidP="000B2CFA">
            <w:pPr>
              <w:pStyle w:val="TableText0"/>
              <w:keepNext w:val="0"/>
              <w:widowControl w:val="0"/>
              <w:jc w:val="center"/>
            </w:pPr>
            <w:r w:rsidRPr="00AF20AB">
              <w:rPr>
                <w:rFonts w:cs="Arial"/>
              </w:rPr>
              <w:t>-$</w:t>
            </w:r>
            <w:r w:rsidR="00A02580">
              <w:rPr>
                <w:rFonts w:cs="Arial"/>
                <w:noProof/>
                <w:color w:val="000000"/>
                <w:highlight w:val="black"/>
              </w:rPr>
              <w:t>'''''''''''''''''''''''</w:t>
            </w:r>
            <w:r w:rsidR="00C67BAF">
              <w:rPr>
                <w:iCs/>
                <w:vertAlign w:val="superscript"/>
              </w:rPr>
              <w:t>3</w:t>
            </w:r>
          </w:p>
        </w:tc>
        <w:tc>
          <w:tcPr>
            <w:tcW w:w="649" w:type="pct"/>
            <w:shd w:val="clear" w:color="auto" w:fill="auto"/>
            <w:vAlign w:val="center"/>
          </w:tcPr>
          <w:p w:rsidR="00C5482E" w:rsidRPr="00AF20AB" w:rsidRDefault="00C5482E" w:rsidP="000B2CFA">
            <w:pPr>
              <w:pStyle w:val="TableText0"/>
              <w:keepNext w:val="0"/>
              <w:widowControl w:val="0"/>
              <w:jc w:val="center"/>
            </w:pPr>
            <w:r w:rsidRPr="00AF20AB">
              <w:rPr>
                <w:rFonts w:cs="Arial"/>
              </w:rPr>
              <w:t>-$</w:t>
            </w:r>
            <w:r w:rsidR="00A02580">
              <w:rPr>
                <w:rFonts w:cs="Arial"/>
                <w:noProof/>
                <w:color w:val="000000"/>
                <w:highlight w:val="black"/>
              </w:rPr>
              <w:t>''''''''''''''''''''''''''</w:t>
            </w:r>
            <w:r w:rsidR="00C67BAF">
              <w:rPr>
                <w:iCs/>
                <w:vertAlign w:val="superscript"/>
              </w:rPr>
              <w:t>3</w:t>
            </w:r>
          </w:p>
        </w:tc>
        <w:tc>
          <w:tcPr>
            <w:tcW w:w="615" w:type="pct"/>
            <w:shd w:val="clear" w:color="auto" w:fill="auto"/>
            <w:vAlign w:val="center"/>
          </w:tcPr>
          <w:p w:rsidR="00C5482E" w:rsidRPr="00AF20AB" w:rsidRDefault="00C5482E" w:rsidP="000B2CFA">
            <w:pPr>
              <w:pStyle w:val="TableText0"/>
              <w:keepNext w:val="0"/>
              <w:widowControl w:val="0"/>
              <w:jc w:val="center"/>
            </w:pPr>
            <w:r w:rsidRPr="00AF20AB">
              <w:rPr>
                <w:rFonts w:cs="Arial"/>
              </w:rPr>
              <w:t>-$</w:t>
            </w:r>
            <w:r w:rsidR="00A02580">
              <w:rPr>
                <w:rFonts w:cs="Arial"/>
                <w:noProof/>
                <w:color w:val="000000"/>
                <w:highlight w:val="black"/>
              </w:rPr>
              <w:t>'''''''''''''''''''''''</w:t>
            </w:r>
            <w:r w:rsidR="00C67BAF">
              <w:rPr>
                <w:iCs/>
                <w:vertAlign w:val="superscript"/>
              </w:rPr>
              <w:t>3</w:t>
            </w:r>
          </w:p>
        </w:tc>
        <w:tc>
          <w:tcPr>
            <w:tcW w:w="616" w:type="pct"/>
            <w:shd w:val="clear" w:color="auto" w:fill="auto"/>
            <w:vAlign w:val="center"/>
          </w:tcPr>
          <w:p w:rsidR="00C5482E" w:rsidRPr="00AF20AB" w:rsidRDefault="00C5482E" w:rsidP="000B2CFA">
            <w:pPr>
              <w:pStyle w:val="TableText0"/>
              <w:keepNext w:val="0"/>
              <w:widowControl w:val="0"/>
              <w:jc w:val="center"/>
            </w:pPr>
            <w:r w:rsidRPr="00AF20AB">
              <w:rPr>
                <w:rFonts w:cs="Arial"/>
              </w:rPr>
              <w:t>-$</w:t>
            </w:r>
            <w:r w:rsidR="00A02580">
              <w:rPr>
                <w:rFonts w:cs="Arial"/>
                <w:noProof/>
                <w:color w:val="000000"/>
                <w:highlight w:val="black"/>
              </w:rPr>
              <w:t>''''''''''''''''''''''''</w:t>
            </w:r>
            <w:r w:rsidR="00C67BAF">
              <w:rPr>
                <w:iCs/>
                <w:vertAlign w:val="superscript"/>
              </w:rPr>
              <w:t>3</w:t>
            </w:r>
          </w:p>
        </w:tc>
        <w:tc>
          <w:tcPr>
            <w:tcW w:w="693" w:type="pct"/>
            <w:vAlign w:val="center"/>
          </w:tcPr>
          <w:p w:rsidR="00C5482E" w:rsidRPr="00AF20AB" w:rsidRDefault="00C5482E" w:rsidP="000B2CFA">
            <w:pPr>
              <w:pStyle w:val="TableText0"/>
              <w:keepNext w:val="0"/>
              <w:widowControl w:val="0"/>
              <w:jc w:val="center"/>
            </w:pPr>
            <w:r w:rsidRPr="00AF20AB">
              <w:rPr>
                <w:rFonts w:cs="Arial"/>
              </w:rPr>
              <w:t>-$</w:t>
            </w:r>
            <w:r w:rsidR="00A02580">
              <w:rPr>
                <w:rFonts w:cs="Arial"/>
                <w:noProof/>
                <w:color w:val="000000"/>
                <w:highlight w:val="black"/>
              </w:rPr>
              <w:t>''''''''''''''''''''''''</w:t>
            </w:r>
            <w:r w:rsidR="00C67BAF">
              <w:rPr>
                <w:iCs/>
                <w:vertAlign w:val="superscript"/>
              </w:rPr>
              <w:t>3</w:t>
            </w:r>
          </w:p>
        </w:tc>
      </w:tr>
      <w:tr w:rsidR="00A02580" w:rsidRPr="00AF20AB" w:rsidTr="00A02580">
        <w:trPr>
          <w:trHeight w:val="226"/>
        </w:trPr>
        <w:tc>
          <w:tcPr>
            <w:tcW w:w="1237" w:type="pct"/>
            <w:shd w:val="clear" w:color="auto" w:fill="auto"/>
            <w:vAlign w:val="center"/>
          </w:tcPr>
          <w:p w:rsidR="00C5482E" w:rsidRPr="00AF20AB" w:rsidRDefault="00C5482E" w:rsidP="000B2CFA">
            <w:pPr>
              <w:pStyle w:val="TableText0"/>
              <w:keepNext w:val="0"/>
              <w:widowControl w:val="0"/>
              <w:rPr>
                <w:b/>
                <w:bCs w:val="0"/>
                <w:sz w:val="19"/>
                <w:szCs w:val="19"/>
              </w:rPr>
            </w:pPr>
            <w:r w:rsidRPr="00AF20AB">
              <w:rPr>
                <w:b/>
                <w:bCs w:val="0"/>
                <w:sz w:val="19"/>
                <w:szCs w:val="19"/>
              </w:rPr>
              <w:t>Net cost to PBS/RPBS/MBS</w:t>
            </w:r>
            <w:r w:rsidR="00FA1276" w:rsidRPr="00AF20AB">
              <w:rPr>
                <w:b/>
                <w:bCs w:val="0"/>
                <w:sz w:val="19"/>
                <w:szCs w:val="19"/>
                <w:vertAlign w:val="superscript"/>
              </w:rPr>
              <w:t>c</w:t>
            </w:r>
          </w:p>
        </w:tc>
        <w:tc>
          <w:tcPr>
            <w:tcW w:w="603" w:type="pct"/>
            <w:shd w:val="clear" w:color="auto" w:fill="auto"/>
            <w:vAlign w:val="center"/>
          </w:tcPr>
          <w:p w:rsidR="00C5482E" w:rsidRPr="00AF20AB" w:rsidRDefault="00C5482E" w:rsidP="000B2CFA">
            <w:pPr>
              <w:pStyle w:val="TableText0"/>
              <w:keepNext w:val="0"/>
              <w:widowControl w:val="0"/>
              <w:jc w:val="center"/>
            </w:pPr>
            <w:r w:rsidRPr="00AF20AB">
              <w:rPr>
                <w:rFonts w:cs="Arial"/>
                <w:b/>
                <w:bCs w:val="0"/>
                <w:color w:val="000000"/>
              </w:rPr>
              <w:t>$</w:t>
            </w:r>
            <w:r w:rsidR="00A02580">
              <w:rPr>
                <w:rFonts w:cs="Arial"/>
                <w:b/>
                <w:bCs w:val="0"/>
                <w:noProof/>
                <w:color w:val="000000"/>
                <w:highlight w:val="black"/>
              </w:rPr>
              <w:t>'''''''''''''''</w:t>
            </w:r>
            <w:r w:rsidR="00C67BAF">
              <w:rPr>
                <w:iCs/>
                <w:vertAlign w:val="superscript"/>
              </w:rPr>
              <w:t>3</w:t>
            </w:r>
          </w:p>
        </w:tc>
        <w:tc>
          <w:tcPr>
            <w:tcW w:w="586" w:type="pct"/>
            <w:shd w:val="clear" w:color="auto" w:fill="auto"/>
            <w:vAlign w:val="center"/>
          </w:tcPr>
          <w:p w:rsidR="00C5482E" w:rsidRPr="00AF20AB" w:rsidRDefault="00C5482E" w:rsidP="000B2CFA">
            <w:pPr>
              <w:pStyle w:val="TableText0"/>
              <w:keepNext w:val="0"/>
              <w:widowControl w:val="0"/>
              <w:jc w:val="center"/>
            </w:pPr>
            <w:r w:rsidRPr="00AF20AB">
              <w:rPr>
                <w:rFonts w:cs="Arial"/>
                <w:b/>
                <w:bCs w:val="0"/>
                <w:color w:val="000000"/>
              </w:rPr>
              <w:t>$</w:t>
            </w:r>
            <w:r w:rsidR="00A02580">
              <w:rPr>
                <w:rFonts w:cs="Arial"/>
                <w:b/>
                <w:bCs w:val="0"/>
                <w:noProof/>
                <w:color w:val="000000"/>
                <w:highlight w:val="black"/>
              </w:rPr>
              <w:t>'''''''''''''''</w:t>
            </w:r>
            <w:r w:rsidR="00C67BAF">
              <w:rPr>
                <w:iCs/>
                <w:vertAlign w:val="superscript"/>
              </w:rPr>
              <w:t>3</w:t>
            </w:r>
          </w:p>
        </w:tc>
        <w:tc>
          <w:tcPr>
            <w:tcW w:w="649" w:type="pct"/>
            <w:shd w:val="clear" w:color="auto" w:fill="auto"/>
            <w:vAlign w:val="center"/>
          </w:tcPr>
          <w:p w:rsidR="00C5482E" w:rsidRPr="00AF20AB" w:rsidRDefault="00C5482E" w:rsidP="000B2CFA">
            <w:pPr>
              <w:pStyle w:val="TableText0"/>
              <w:keepNext w:val="0"/>
              <w:widowControl w:val="0"/>
              <w:jc w:val="center"/>
            </w:pPr>
            <w:r w:rsidRPr="00AF20AB">
              <w:rPr>
                <w:rFonts w:cs="Arial"/>
                <w:b/>
                <w:bCs w:val="0"/>
                <w:color w:val="000000"/>
              </w:rPr>
              <w:t>$</w:t>
            </w:r>
            <w:r w:rsidR="00A02580">
              <w:rPr>
                <w:rFonts w:cs="Arial"/>
                <w:b/>
                <w:bCs w:val="0"/>
                <w:noProof/>
                <w:color w:val="000000"/>
                <w:highlight w:val="black"/>
              </w:rPr>
              <w:t>'''''''''''''''</w:t>
            </w:r>
            <w:r w:rsidR="00C67BAF">
              <w:rPr>
                <w:iCs/>
                <w:vertAlign w:val="superscript"/>
              </w:rPr>
              <w:t>3</w:t>
            </w:r>
          </w:p>
        </w:tc>
        <w:tc>
          <w:tcPr>
            <w:tcW w:w="615" w:type="pct"/>
            <w:shd w:val="clear" w:color="auto" w:fill="auto"/>
            <w:vAlign w:val="center"/>
          </w:tcPr>
          <w:p w:rsidR="00C5482E" w:rsidRPr="00AF20AB" w:rsidRDefault="00C5482E" w:rsidP="000B2CFA">
            <w:pPr>
              <w:pStyle w:val="TableText0"/>
              <w:keepNext w:val="0"/>
              <w:widowControl w:val="0"/>
              <w:jc w:val="center"/>
            </w:pPr>
            <w:r w:rsidRPr="00AF20AB">
              <w:rPr>
                <w:rFonts w:cs="Arial"/>
                <w:b/>
                <w:bCs w:val="0"/>
                <w:color w:val="000000"/>
              </w:rPr>
              <w:t>$</w:t>
            </w:r>
            <w:r w:rsidR="00A02580">
              <w:rPr>
                <w:rFonts w:cs="Arial"/>
                <w:b/>
                <w:bCs w:val="0"/>
                <w:noProof/>
                <w:color w:val="000000"/>
                <w:highlight w:val="black"/>
              </w:rPr>
              <w:t>''''''''''''''''''''</w:t>
            </w:r>
            <w:r w:rsidR="00C67BAF">
              <w:rPr>
                <w:iCs/>
                <w:vertAlign w:val="superscript"/>
              </w:rPr>
              <w:t>3</w:t>
            </w:r>
          </w:p>
        </w:tc>
        <w:tc>
          <w:tcPr>
            <w:tcW w:w="616" w:type="pct"/>
            <w:shd w:val="clear" w:color="auto" w:fill="auto"/>
            <w:vAlign w:val="center"/>
          </w:tcPr>
          <w:p w:rsidR="00C5482E" w:rsidRPr="00AF20AB" w:rsidRDefault="00C5482E" w:rsidP="000B2CFA">
            <w:pPr>
              <w:pStyle w:val="TableText0"/>
              <w:keepNext w:val="0"/>
              <w:widowControl w:val="0"/>
              <w:jc w:val="center"/>
            </w:pPr>
            <w:r w:rsidRPr="00AF20AB">
              <w:rPr>
                <w:rFonts w:cs="Arial"/>
                <w:b/>
                <w:bCs w:val="0"/>
                <w:color w:val="000000"/>
              </w:rPr>
              <w:t>$</w:t>
            </w:r>
            <w:r w:rsidR="00A02580">
              <w:rPr>
                <w:rFonts w:cs="Arial"/>
                <w:b/>
                <w:bCs w:val="0"/>
                <w:noProof/>
                <w:color w:val="000000"/>
                <w:highlight w:val="black"/>
              </w:rPr>
              <w:t>''''''''''''''''''</w:t>
            </w:r>
            <w:r w:rsidR="00C67BAF">
              <w:rPr>
                <w:iCs/>
                <w:vertAlign w:val="superscript"/>
              </w:rPr>
              <w:t>3</w:t>
            </w:r>
          </w:p>
        </w:tc>
        <w:tc>
          <w:tcPr>
            <w:tcW w:w="693" w:type="pct"/>
            <w:vAlign w:val="center"/>
          </w:tcPr>
          <w:p w:rsidR="00C5482E" w:rsidRPr="00AF20AB" w:rsidRDefault="00C5482E" w:rsidP="000B2CFA">
            <w:pPr>
              <w:pStyle w:val="TableText0"/>
              <w:keepNext w:val="0"/>
              <w:widowControl w:val="0"/>
              <w:jc w:val="center"/>
            </w:pPr>
            <w:r w:rsidRPr="00AF20AB">
              <w:rPr>
                <w:rFonts w:cs="Arial"/>
                <w:b/>
                <w:bCs w:val="0"/>
                <w:color w:val="000000"/>
              </w:rPr>
              <w:t>$</w:t>
            </w:r>
            <w:r w:rsidR="00A02580">
              <w:rPr>
                <w:rFonts w:cs="Arial"/>
                <w:b/>
                <w:bCs w:val="0"/>
                <w:noProof/>
                <w:color w:val="000000"/>
                <w:highlight w:val="black"/>
              </w:rPr>
              <w:t>''''''''''''''''''</w:t>
            </w:r>
            <w:r w:rsidR="00C67BAF">
              <w:rPr>
                <w:iCs/>
                <w:vertAlign w:val="superscript"/>
              </w:rPr>
              <w:t>3</w:t>
            </w:r>
          </w:p>
        </w:tc>
      </w:tr>
    </w:tbl>
    <w:p w:rsidR="00620C25" w:rsidRPr="00AF20AB" w:rsidRDefault="00620C25" w:rsidP="00620C25">
      <w:pPr>
        <w:pStyle w:val="TableFigureFooter"/>
        <w:rPr>
          <w:rStyle w:val="CommentReference"/>
        </w:rPr>
      </w:pPr>
      <w:r w:rsidRPr="00AF20AB">
        <w:t xml:space="preserve">Source: </w:t>
      </w:r>
      <w:r w:rsidR="005517A3" w:rsidRPr="00AF20AB">
        <w:t>Table 4.5, p140; Table 4.6, p141; Table 4.10, p143; Table 4.11, p144 of the submission; worksheet ‘3c. Impact – proposed (eff)’; worksheet ‘4c. Impact – affected (eff)’; worksheet ‘5. Impact – net’ of the Excel workbook ‘Section 4 INQOVI November 2020 PBAC Submitted’.</w:t>
      </w:r>
    </w:p>
    <w:p w:rsidR="00B6791B" w:rsidRPr="00AF20AB" w:rsidRDefault="009578F7" w:rsidP="00D46201">
      <w:pPr>
        <w:pStyle w:val="TableFigureFooter"/>
        <w:tabs>
          <w:tab w:val="left" w:pos="142"/>
        </w:tabs>
        <w:rPr>
          <w:iCs/>
        </w:rPr>
      </w:pPr>
      <w:r w:rsidRPr="00AF20AB">
        <w:rPr>
          <w:vertAlign w:val="superscript"/>
        </w:rPr>
        <w:t>a</w:t>
      </w:r>
      <w:r w:rsidR="00FA1276" w:rsidRPr="00AF20AB">
        <w:t xml:space="preserve"> </w:t>
      </w:r>
      <w:r w:rsidR="00B6791B" w:rsidRPr="00AF20AB">
        <w:rPr>
          <w:iCs/>
        </w:rPr>
        <w:t>The submission assumed that one script of granisetron (to manage nausea and vomiting) will accompany each script of azacitidine.</w:t>
      </w:r>
    </w:p>
    <w:p w:rsidR="00FA1276" w:rsidRPr="00AF20AB" w:rsidRDefault="00FA1276" w:rsidP="00D46201">
      <w:pPr>
        <w:pStyle w:val="TableFigureFooter"/>
        <w:tabs>
          <w:tab w:val="left" w:pos="142"/>
        </w:tabs>
        <w:rPr>
          <w:iCs/>
        </w:rPr>
      </w:pPr>
      <w:r w:rsidRPr="00AF20AB">
        <w:rPr>
          <w:iCs/>
          <w:vertAlign w:val="superscript"/>
        </w:rPr>
        <w:t>b</w:t>
      </w:r>
      <w:r w:rsidRPr="00AF20AB">
        <w:rPr>
          <w:iCs/>
        </w:rPr>
        <w:t xml:space="preserve"> </w:t>
      </w:r>
      <w:r w:rsidR="008C7476" w:rsidRPr="00AF20AB">
        <w:rPr>
          <w:iCs/>
        </w:rPr>
        <w:t>Based on MBS item 13915 ($67.10)</w:t>
      </w:r>
    </w:p>
    <w:p w:rsidR="008C1746" w:rsidRDefault="00FA1276" w:rsidP="00D46201">
      <w:pPr>
        <w:pStyle w:val="TableFigureFooter"/>
        <w:tabs>
          <w:tab w:val="left" w:pos="142"/>
        </w:tabs>
        <w:rPr>
          <w:iCs/>
        </w:rPr>
      </w:pPr>
      <w:r w:rsidRPr="00AF20AB">
        <w:rPr>
          <w:iCs/>
          <w:vertAlign w:val="superscript"/>
        </w:rPr>
        <w:t>c</w:t>
      </w:r>
      <w:r w:rsidR="008C1746" w:rsidRPr="00AF20AB">
        <w:rPr>
          <w:iCs/>
        </w:rPr>
        <w:t xml:space="preserve"> </w:t>
      </w:r>
      <w:r w:rsidR="005A3B6A" w:rsidRPr="00AF20AB">
        <w:rPr>
          <w:iCs/>
        </w:rPr>
        <w:t>The estimated financial implications are based on mark-ups as of 1 December 2020</w:t>
      </w:r>
      <w:r w:rsidR="00885280" w:rsidRPr="00AF20AB">
        <w:rPr>
          <w:iCs/>
        </w:rPr>
        <w:t>.</w:t>
      </w:r>
    </w:p>
    <w:p w:rsidR="00191556" w:rsidRPr="00671C5D" w:rsidRDefault="00191556" w:rsidP="00D46201">
      <w:pPr>
        <w:pStyle w:val="TableFigureFooter"/>
        <w:tabs>
          <w:tab w:val="left" w:pos="142"/>
        </w:tabs>
        <w:rPr>
          <w:i/>
          <w:iCs/>
        </w:rPr>
      </w:pPr>
      <w:r w:rsidRPr="00671C5D">
        <w:rPr>
          <w:i/>
          <w:iCs/>
        </w:rPr>
        <w:t>The redacted values correspond to the following ranges:</w:t>
      </w:r>
    </w:p>
    <w:p w:rsidR="00191556" w:rsidRPr="00671C5D" w:rsidRDefault="00191556" w:rsidP="00D46201">
      <w:pPr>
        <w:pStyle w:val="TableFigureFooter"/>
        <w:tabs>
          <w:tab w:val="left" w:pos="142"/>
        </w:tabs>
        <w:rPr>
          <w:i/>
          <w:iCs/>
        </w:rPr>
      </w:pPr>
      <w:r w:rsidRPr="00671C5D">
        <w:rPr>
          <w:i/>
          <w:iCs/>
          <w:vertAlign w:val="superscript"/>
        </w:rPr>
        <w:t>1</w:t>
      </w:r>
      <w:r w:rsidRPr="00671C5D">
        <w:rPr>
          <w:i/>
          <w:iCs/>
        </w:rPr>
        <w:t xml:space="preserve"> 500 to &lt; 5,000</w:t>
      </w:r>
    </w:p>
    <w:p w:rsidR="00191556" w:rsidRPr="00671C5D" w:rsidRDefault="00191556" w:rsidP="00D46201">
      <w:pPr>
        <w:pStyle w:val="TableFigureFooter"/>
        <w:tabs>
          <w:tab w:val="left" w:pos="142"/>
        </w:tabs>
        <w:rPr>
          <w:i/>
          <w:iCs/>
        </w:rPr>
      </w:pPr>
      <w:r w:rsidRPr="00671C5D">
        <w:rPr>
          <w:i/>
          <w:iCs/>
          <w:vertAlign w:val="superscript"/>
        </w:rPr>
        <w:t>2</w:t>
      </w:r>
      <w:r w:rsidRPr="00671C5D">
        <w:rPr>
          <w:i/>
          <w:iCs/>
        </w:rPr>
        <w:t xml:space="preserve"> 5,000 to &lt; 10,000</w:t>
      </w:r>
    </w:p>
    <w:p w:rsidR="00191556" w:rsidRPr="00671C5D" w:rsidRDefault="00191556" w:rsidP="00D46201">
      <w:pPr>
        <w:pStyle w:val="TableFigureFooter"/>
        <w:tabs>
          <w:tab w:val="left" w:pos="142"/>
        </w:tabs>
        <w:rPr>
          <w:i/>
          <w:iCs/>
        </w:rPr>
      </w:pPr>
      <w:r w:rsidRPr="00671C5D">
        <w:rPr>
          <w:i/>
          <w:iCs/>
          <w:vertAlign w:val="superscript"/>
        </w:rPr>
        <w:t>3</w:t>
      </w:r>
      <w:r w:rsidRPr="00671C5D">
        <w:rPr>
          <w:i/>
          <w:iCs/>
        </w:rPr>
        <w:t xml:space="preserve"> </w:t>
      </w:r>
      <w:r w:rsidR="00C67BAF" w:rsidRPr="00671C5D">
        <w:rPr>
          <w:i/>
          <w:iCs/>
        </w:rPr>
        <w:t>$0 to &lt; $10 million</w:t>
      </w:r>
    </w:p>
    <w:p w:rsidR="00C67BAF" w:rsidRPr="00671C5D" w:rsidRDefault="00C67BAF" w:rsidP="00D46201">
      <w:pPr>
        <w:pStyle w:val="TableFigureFooter"/>
        <w:tabs>
          <w:tab w:val="left" w:pos="142"/>
        </w:tabs>
        <w:rPr>
          <w:i/>
          <w:iCs/>
        </w:rPr>
      </w:pPr>
      <w:r w:rsidRPr="00671C5D">
        <w:rPr>
          <w:i/>
          <w:iCs/>
          <w:vertAlign w:val="superscript"/>
        </w:rPr>
        <w:t>4</w:t>
      </w:r>
      <w:r w:rsidRPr="00671C5D">
        <w:rPr>
          <w:i/>
          <w:iCs/>
        </w:rPr>
        <w:t xml:space="preserve"> $10 million to &lt; $20 million</w:t>
      </w:r>
    </w:p>
    <w:p w:rsidR="00C5482E" w:rsidRPr="00AF20AB" w:rsidRDefault="00C5482E" w:rsidP="00FF55F2">
      <w:pPr>
        <w:pStyle w:val="3-BodyText"/>
      </w:pPr>
      <w:r w:rsidRPr="00AF20AB">
        <w:t>The estimated net cost to Government is $</w:t>
      </w:r>
      <w:r w:rsidR="00671C5D">
        <w:t>0 to &lt; $10M</w:t>
      </w:r>
      <w:r w:rsidRPr="00AF20AB">
        <w:t xml:space="preserve"> in Year 1, increasing to $</w:t>
      </w:r>
      <w:r w:rsidR="00671C5D">
        <w:t>0 to &lt; $10</w:t>
      </w:r>
      <w:r w:rsidRPr="00AF20AB">
        <w:t>M in Year 6, for a total of $</w:t>
      </w:r>
      <w:r w:rsidR="00671C5D">
        <w:t>0 to &lt; $10</w:t>
      </w:r>
      <w:r w:rsidRPr="00AF20AB">
        <w:t>M over</w:t>
      </w:r>
      <w:r w:rsidR="00160452" w:rsidRPr="00AF20AB">
        <w:t xml:space="preserve"> the first 6 years of listing. </w:t>
      </w:r>
      <w:r w:rsidR="00366EE4" w:rsidRPr="00AF20AB">
        <w:rPr>
          <w:iCs/>
        </w:rPr>
        <w:t>T</w:t>
      </w:r>
      <w:r w:rsidR="00EF0791" w:rsidRPr="00AF20AB">
        <w:rPr>
          <w:iCs/>
        </w:rPr>
        <w:t>he submission acknowledged that</w:t>
      </w:r>
      <w:r w:rsidR="008229FB" w:rsidRPr="00AF20AB">
        <w:rPr>
          <w:iCs/>
        </w:rPr>
        <w:t xml:space="preserve"> d</w:t>
      </w:r>
      <w:r w:rsidR="00913C4C" w:rsidRPr="00AF20AB">
        <w:rPr>
          <w:iCs/>
        </w:rPr>
        <w:t>ue to patient contribution to MBS costs and</w:t>
      </w:r>
      <w:r w:rsidR="008229FB" w:rsidRPr="00AF20AB">
        <w:rPr>
          <w:iCs/>
        </w:rPr>
        <w:t xml:space="preserve"> mark-ups for the decitabine+cedazuridine dispensed price, there </w:t>
      </w:r>
      <w:r w:rsidR="005A1E20" w:rsidRPr="00AF20AB">
        <w:rPr>
          <w:iCs/>
        </w:rPr>
        <w:t>wa</w:t>
      </w:r>
      <w:r w:rsidR="008229FB" w:rsidRPr="00AF20AB">
        <w:rPr>
          <w:iCs/>
        </w:rPr>
        <w:t>s a net cost to Government</w:t>
      </w:r>
      <w:r w:rsidR="00ED277C" w:rsidRPr="00AF20AB">
        <w:rPr>
          <w:iCs/>
        </w:rPr>
        <w:t xml:space="preserve">. </w:t>
      </w:r>
      <w:r w:rsidR="00FF55F2" w:rsidRPr="00AF20AB">
        <w:rPr>
          <w:iCs/>
        </w:rPr>
        <w:t>The PSCR stated that h</w:t>
      </w:r>
      <w:r w:rsidR="00FF55F2" w:rsidRPr="00AF20AB">
        <w:t>ad other possible but very likely savings in terms of travel / accommodation costs and lost incomes associated with azacitidine been included, decitabine+cedazuridine would most likely provide overall cost savings to the Australian society as a whole</w:t>
      </w:r>
      <w:r w:rsidR="00AF20AB">
        <w:t xml:space="preserve">. </w:t>
      </w:r>
    </w:p>
    <w:p w:rsidR="005E39F0" w:rsidRPr="00AF20AB" w:rsidRDefault="00794A18" w:rsidP="00024C38">
      <w:pPr>
        <w:pStyle w:val="3-BodyText"/>
        <w:rPr>
          <w:iCs/>
          <w:color w:val="1F497D"/>
          <w:szCs w:val="22"/>
          <w:lang w:eastAsia="en-US"/>
        </w:rPr>
      </w:pPr>
      <w:r w:rsidRPr="00AF20AB">
        <w:t xml:space="preserve">The ESC noted that the additional </w:t>
      </w:r>
      <w:r w:rsidR="005E39F0" w:rsidRPr="00AF20AB">
        <w:t xml:space="preserve">cost to Government </w:t>
      </w:r>
      <w:r w:rsidR="005E2ED2" w:rsidRPr="00AF20AB">
        <w:t>is</w:t>
      </w:r>
      <w:r w:rsidR="005E39F0" w:rsidRPr="00AF20AB">
        <w:t xml:space="preserve"> due</w:t>
      </w:r>
      <w:r w:rsidRPr="00AF20AB">
        <w:t xml:space="preserve"> to the </w:t>
      </w:r>
      <w:r w:rsidR="009C5FBF" w:rsidRPr="00AF20AB">
        <w:t>higher</w:t>
      </w:r>
      <w:r w:rsidRPr="00AF20AB">
        <w:t xml:space="preserve">  mark-ups</w:t>
      </w:r>
      <w:r w:rsidR="009C5FBF" w:rsidRPr="00AF20AB">
        <w:t xml:space="preserve"> for decitabine+cedazuridine (</w:t>
      </w:r>
      <w:r w:rsidR="00B8675F" w:rsidRPr="00AF20AB">
        <w:t>requested listing</w:t>
      </w:r>
      <w:r w:rsidR="009C5FBF" w:rsidRPr="00AF20AB">
        <w:t xml:space="preserve"> in</w:t>
      </w:r>
      <w:r w:rsidRPr="00AF20AB">
        <w:t xml:space="preserve"> the General Schedule</w:t>
      </w:r>
      <w:r w:rsidR="009C5FBF" w:rsidRPr="00AF20AB">
        <w:t>) versus azacitidine (listed</w:t>
      </w:r>
      <w:r w:rsidR="00024C38" w:rsidRPr="00AF20AB">
        <w:t xml:space="preserve"> </w:t>
      </w:r>
      <w:r w:rsidR="009C5FBF" w:rsidRPr="00AF20AB">
        <w:t>under</w:t>
      </w:r>
      <w:r w:rsidRPr="00AF20AB">
        <w:t xml:space="preserve"> the Section 100 (Highly Specialised Drugs) program</w:t>
      </w:r>
      <w:r w:rsidR="009C5FBF" w:rsidRPr="00AF20AB">
        <w:t>)</w:t>
      </w:r>
      <w:r w:rsidR="00253349" w:rsidRPr="00AF20AB">
        <w:t xml:space="preserve"> (approximately </w:t>
      </w:r>
      <w:r w:rsidR="00F653A0" w:rsidRPr="00AF20AB">
        <w:t>43%</w:t>
      </w:r>
      <w:r w:rsidR="009C5FBF" w:rsidRPr="00AF20AB">
        <w:t xml:space="preserve"> of the total costs</w:t>
      </w:r>
      <w:r w:rsidR="00F653A0" w:rsidRPr="00AF20AB">
        <w:t>),</w:t>
      </w:r>
      <w:r w:rsidRPr="00AF20AB">
        <w:t xml:space="preserve"> and </w:t>
      </w:r>
      <w:r w:rsidR="005E2ED2" w:rsidRPr="00AF20AB">
        <w:t>the lower cost offsets for azacitidine associated with</w:t>
      </w:r>
      <w:r w:rsidRPr="00AF20AB">
        <w:t xml:space="preserve"> the</w:t>
      </w:r>
      <w:r w:rsidR="009C5FBF" w:rsidRPr="00AF20AB">
        <w:t xml:space="preserve"> patient</w:t>
      </w:r>
      <w:r w:rsidRPr="00AF20AB">
        <w:t xml:space="preserve"> copayment for the administration MBS item</w:t>
      </w:r>
      <w:r w:rsidR="005E2ED2" w:rsidRPr="00AF20AB">
        <w:t xml:space="preserve"> </w:t>
      </w:r>
      <w:r w:rsidR="00F653A0" w:rsidRPr="00AF20AB">
        <w:t>(approximately 52%</w:t>
      </w:r>
      <w:r w:rsidR="005E2ED2" w:rsidRPr="00AF20AB">
        <w:t xml:space="preserve"> of the total cost</w:t>
      </w:r>
      <w:r w:rsidR="00F653A0" w:rsidRPr="00AF20AB">
        <w:t xml:space="preserve">) </w:t>
      </w:r>
      <w:r w:rsidR="005E39F0" w:rsidRPr="00AF20AB">
        <w:t xml:space="preserve">and the </w:t>
      </w:r>
      <w:r w:rsidR="005E2ED2" w:rsidRPr="00AF20AB">
        <w:t xml:space="preserve">patient </w:t>
      </w:r>
      <w:r w:rsidR="005E39F0" w:rsidRPr="00AF20AB">
        <w:t>co</w:t>
      </w:r>
      <w:r w:rsidR="00B8675F" w:rsidRPr="00AF20AB">
        <w:t>-</w:t>
      </w:r>
      <w:r w:rsidR="005E39F0" w:rsidRPr="00AF20AB">
        <w:t>payment for granisetron</w:t>
      </w:r>
      <w:r w:rsidR="00F653A0" w:rsidRPr="00AF20AB">
        <w:t xml:space="preserve"> (approximately 5%)</w:t>
      </w:r>
      <w:r w:rsidR="005E39F0" w:rsidRPr="00AF20AB">
        <w:t xml:space="preserve"> being </w:t>
      </w:r>
      <w:r w:rsidR="005E2ED2" w:rsidRPr="00AF20AB">
        <w:t>included</w:t>
      </w:r>
      <w:r w:rsidR="005E39F0" w:rsidRPr="00AF20AB">
        <w:t xml:space="preserve"> in the cost-minimisation analysis</w:t>
      </w:r>
      <w:r w:rsidR="005E2ED2" w:rsidRPr="00AF20AB">
        <w:t xml:space="preserve"> but not the financial estimates</w:t>
      </w:r>
      <w:r w:rsidR="005E39F0" w:rsidRPr="00AF20AB">
        <w:t xml:space="preserve">. </w:t>
      </w:r>
    </w:p>
    <w:p w:rsidR="00FF55F2" w:rsidRPr="00AF20AB" w:rsidRDefault="006B5A49" w:rsidP="00024C38">
      <w:pPr>
        <w:pStyle w:val="3-BodyText"/>
      </w:pPr>
      <w:r w:rsidRPr="00AF20AB">
        <w:t xml:space="preserve">The PBAC has previously advised that, where a recommendation is made to move a drug from Section 100 to General Schedule, the cost of the increased pharmacy remuneration should be borne by the manufacturer (paragraph 5.6, apomorphine </w:t>
      </w:r>
      <w:r w:rsidR="00671C5D">
        <w:t>Public Summary Document (</w:t>
      </w:r>
      <w:r w:rsidRPr="00AF20AB">
        <w:t>PSD</w:t>
      </w:r>
      <w:r w:rsidR="00671C5D">
        <w:t>)</w:t>
      </w:r>
      <w:r w:rsidRPr="00AF20AB">
        <w:t xml:space="preserve">, March 2020). </w:t>
      </w:r>
      <w:r w:rsidR="002B4E47" w:rsidRPr="00AF20AB">
        <w:t>T</w:t>
      </w:r>
      <w:r w:rsidRPr="00AF20AB">
        <w:t xml:space="preserve">he </w:t>
      </w:r>
      <w:r w:rsidR="00D82291" w:rsidRPr="00AF20AB">
        <w:t>request in this instance is for the listing o</w:t>
      </w:r>
      <w:r w:rsidR="00711170" w:rsidRPr="00AF20AB">
        <w:t>f a new drug</w:t>
      </w:r>
      <w:r w:rsidR="00AF20AB">
        <w:t xml:space="preserve">. </w:t>
      </w:r>
      <w:r w:rsidR="00711170" w:rsidRPr="00AF20AB">
        <w:t xml:space="preserve"> </w:t>
      </w:r>
    </w:p>
    <w:p w:rsidR="00C5034B" w:rsidRPr="00AF20AB" w:rsidRDefault="00C5482E" w:rsidP="00D244B6">
      <w:pPr>
        <w:pStyle w:val="3-BodyText"/>
      </w:pPr>
      <w:r w:rsidRPr="00AF20AB">
        <w:rPr>
          <w:iCs/>
        </w:rPr>
        <w:t>The estimates rely on assumed uptake of 30% in Year 1 increasing to 60% in Year 6</w:t>
      </w:r>
      <w:r w:rsidR="00AF20AB">
        <w:rPr>
          <w:iCs/>
        </w:rPr>
        <w:t xml:space="preserve">. </w:t>
      </w:r>
      <w:r w:rsidR="004001A8" w:rsidRPr="00AF20AB">
        <w:rPr>
          <w:iCs/>
        </w:rPr>
        <w:t>The</w:t>
      </w:r>
      <w:r w:rsidRPr="00AF20AB">
        <w:rPr>
          <w:iCs/>
        </w:rPr>
        <w:t xml:space="preserve"> uptake of decitabine+cedazuridine could be greater, on the basis that it is a tablet administered orally as opposed to the IV or subcutaneous administration of azacitidine</w:t>
      </w:r>
      <w:r w:rsidR="00AF20AB">
        <w:rPr>
          <w:iCs/>
        </w:rPr>
        <w:t xml:space="preserve">. </w:t>
      </w:r>
      <w:r w:rsidR="00C5034B" w:rsidRPr="00AF20AB">
        <w:rPr>
          <w:iCs/>
        </w:rPr>
        <w:t xml:space="preserve">In addition, the azacitidine market is </w:t>
      </w:r>
      <w:r w:rsidR="002B4E47" w:rsidRPr="00AF20AB">
        <w:rPr>
          <w:iCs/>
        </w:rPr>
        <w:t>uncertain</w:t>
      </w:r>
      <w:r w:rsidR="00C5034B" w:rsidRPr="00AF20AB">
        <w:rPr>
          <w:iCs/>
        </w:rPr>
        <w:t xml:space="preserve"> given that the submission applied linear growth to historical azacitidine usage estimates, but </w:t>
      </w:r>
      <w:r w:rsidR="002B4E47" w:rsidRPr="00AF20AB">
        <w:rPr>
          <w:iCs/>
        </w:rPr>
        <w:t>the</w:t>
      </w:r>
      <w:r w:rsidR="00C5034B" w:rsidRPr="00AF20AB">
        <w:rPr>
          <w:iCs/>
        </w:rPr>
        <w:t xml:space="preserve"> market growth</w:t>
      </w:r>
      <w:r w:rsidR="002B4E47" w:rsidRPr="00AF20AB">
        <w:rPr>
          <w:iCs/>
        </w:rPr>
        <w:t xml:space="preserve"> was </w:t>
      </w:r>
      <w:r w:rsidR="00160452" w:rsidRPr="00AF20AB">
        <w:rPr>
          <w:iCs/>
        </w:rPr>
        <w:t>variable</w:t>
      </w:r>
      <w:r w:rsidR="00C5034B" w:rsidRPr="00AF20AB">
        <w:rPr>
          <w:iCs/>
        </w:rPr>
        <w:t xml:space="preserve">, </w:t>
      </w:r>
      <w:r w:rsidR="007F5A7D" w:rsidRPr="00AF20AB">
        <w:rPr>
          <w:iCs/>
        </w:rPr>
        <w:t xml:space="preserve">in </w:t>
      </w:r>
      <w:r w:rsidR="004D7AD9" w:rsidRPr="00AF20AB">
        <w:rPr>
          <w:iCs/>
        </w:rPr>
        <w:t>particular</w:t>
      </w:r>
      <w:r w:rsidR="00C5034B" w:rsidRPr="00AF20AB">
        <w:rPr>
          <w:iCs/>
        </w:rPr>
        <w:t xml:space="preserve"> </w:t>
      </w:r>
      <w:r w:rsidR="002B4E47" w:rsidRPr="00AF20AB">
        <w:rPr>
          <w:iCs/>
        </w:rPr>
        <w:t xml:space="preserve">there was </w:t>
      </w:r>
      <w:r w:rsidR="00C5034B" w:rsidRPr="00AF20AB">
        <w:rPr>
          <w:iCs/>
        </w:rPr>
        <w:t>a decline in market growth over the last 3 years.</w:t>
      </w:r>
      <w:r w:rsidR="009F588E" w:rsidRPr="00AF20AB">
        <w:rPr>
          <w:iCs/>
        </w:rPr>
        <w:t xml:space="preserve"> The ESC considered that </w:t>
      </w:r>
      <w:r w:rsidR="00165C95" w:rsidRPr="00AF20AB">
        <w:rPr>
          <w:iCs/>
        </w:rPr>
        <w:t xml:space="preserve">the assumed uptake rate was likely a substantial underestimate. </w:t>
      </w:r>
      <w:r w:rsidR="00021378" w:rsidRPr="00AF20AB">
        <w:rPr>
          <w:iCs/>
        </w:rPr>
        <w:t>The ESC noted that patients on azacitidine treatment</w:t>
      </w:r>
      <w:r w:rsidR="001117A1" w:rsidRPr="00AF20AB">
        <w:rPr>
          <w:iCs/>
        </w:rPr>
        <w:t xml:space="preserve"> currently</w:t>
      </w:r>
      <w:r w:rsidR="00021378" w:rsidRPr="00AF20AB">
        <w:rPr>
          <w:iCs/>
        </w:rPr>
        <w:t xml:space="preserve"> </w:t>
      </w:r>
      <w:r w:rsidR="001117A1" w:rsidRPr="00AF20AB">
        <w:rPr>
          <w:iCs/>
        </w:rPr>
        <w:t xml:space="preserve">require significant resources from oncology day centres given the 7 day dosing regimen. The ESC also acknowledged that azacitidine treatment is associated with access issues for rural and remote patients. Based on these factors, the ESC considered </w:t>
      </w:r>
      <w:r w:rsidR="00E42475" w:rsidRPr="00AF20AB">
        <w:rPr>
          <w:iCs/>
        </w:rPr>
        <w:t xml:space="preserve">that patients would likely be transitioned to decitabine+cedazuridine rapidly if it were PBS-listed. </w:t>
      </w:r>
      <w:r w:rsidR="00D2036D" w:rsidRPr="00AF20AB">
        <w:rPr>
          <w:iCs/>
        </w:rPr>
        <w:t xml:space="preserve">The pre-PBAC Response considered that switching from azacitidine to decitabine+cedazuridine would be slow and gradual as azacitidine has been the only treatment option for some time. The pre-PBAC Response indicated that patients who are responding to treatment with azacitidine may not readily switch to a new treatment. </w:t>
      </w:r>
    </w:p>
    <w:p w:rsidR="00CE72D1" w:rsidRPr="00AF20AB" w:rsidRDefault="00A2597B" w:rsidP="008C7476">
      <w:pPr>
        <w:pStyle w:val="3-BodyText"/>
      </w:pPr>
      <w:r w:rsidRPr="00AF20AB">
        <w:rPr>
          <w:iCs/>
        </w:rPr>
        <w:t xml:space="preserve">The ESC considered there may also be an increase in patient numbers if decitabine+cedazuridine were listed as there would likely be patients who are currently not on therapy due to the administration requirements for azacitidine. </w:t>
      </w:r>
    </w:p>
    <w:p w:rsidR="00160452" w:rsidRPr="00AF20AB" w:rsidRDefault="00692C4A" w:rsidP="00160452">
      <w:pPr>
        <w:pStyle w:val="3-BodyText"/>
      </w:pPr>
      <w:r w:rsidRPr="00AF20AB">
        <w:t>T</w:t>
      </w:r>
      <w:r w:rsidR="00FF6DFE" w:rsidRPr="00AF20AB">
        <w:t>he submission request</w:t>
      </w:r>
      <w:r w:rsidRPr="00AF20AB">
        <w:t>ed</w:t>
      </w:r>
      <w:r w:rsidR="00FF6DFE" w:rsidRPr="00AF20AB">
        <w:t xml:space="preserve"> that the PBAC consider an expanded listing which includes intermediate-1 or lower risk patients, using the revised IPSS to stratify patients</w:t>
      </w:r>
      <w:r w:rsidR="00AF20AB">
        <w:t xml:space="preserve">. </w:t>
      </w:r>
      <w:r w:rsidR="00FF6DFE" w:rsidRPr="00AF20AB">
        <w:t>The submission provided an estimate of script numbers, assuming 100% substitution from azacitidine and generated estimated costs from $</w:t>
      </w:r>
      <w:r w:rsidR="00671C5D">
        <w:t>0 to &lt; $10</w:t>
      </w:r>
      <w:r w:rsidR="00FF6DFE" w:rsidRPr="00AF20AB">
        <w:t>M to $</w:t>
      </w:r>
      <w:r w:rsidR="00671C5D">
        <w:t>40</w:t>
      </w:r>
      <w:r w:rsidR="003442E0">
        <w:t>M</w:t>
      </w:r>
      <w:r w:rsidR="00671C5D">
        <w:t xml:space="preserve"> to &lt; $50</w:t>
      </w:r>
      <w:r w:rsidR="00FF6DFE" w:rsidRPr="00AF20AB">
        <w:t>M over the first 6 years of listing</w:t>
      </w:r>
      <w:r w:rsidR="00AF20AB">
        <w:t xml:space="preserve">. </w:t>
      </w:r>
      <w:r w:rsidR="00FF6DFE" w:rsidRPr="00AF20AB">
        <w:t>The submission noted that the sponsor was willing to implement a risk-sharing arrangement to manage financial uncertainties</w:t>
      </w:r>
      <w:r w:rsidR="00AF20AB">
        <w:t xml:space="preserve">. </w:t>
      </w:r>
      <w:r w:rsidR="00FF6DFE" w:rsidRPr="00AF20AB">
        <w:t>The submission also emphasise</w:t>
      </w:r>
      <w:r w:rsidR="00671C5D">
        <w:t>d</w:t>
      </w:r>
      <w:r w:rsidR="00FF6DFE" w:rsidRPr="00AF20AB">
        <w:t xml:space="preserve"> that the sponsor did not wish these estimates to negatively affect consideration of the requested listing, but the sponsor is open to further discussion with the PBAC to achieve wider eligibilit</w:t>
      </w:r>
      <w:r w:rsidR="00160452" w:rsidRPr="00AF20AB">
        <w:t xml:space="preserve">y for decitabine+cedazuridine. </w:t>
      </w:r>
    </w:p>
    <w:p w:rsidR="00576972" w:rsidRPr="00AF20AB" w:rsidRDefault="00576972" w:rsidP="00606FBA">
      <w:pPr>
        <w:pStyle w:val="4-SubsectionHeading"/>
        <w:rPr>
          <w:i w:val="0"/>
        </w:rPr>
      </w:pPr>
      <w:bookmarkStart w:id="26" w:name="_Toc22897649"/>
      <w:bookmarkStart w:id="27" w:name="_Toc62045616"/>
      <w:r w:rsidRPr="00AF20AB">
        <w:rPr>
          <w:i w:val="0"/>
        </w:rPr>
        <w:t>Financial Management – Risk Sharing Arrangements</w:t>
      </w:r>
      <w:bookmarkEnd w:id="26"/>
      <w:bookmarkEnd w:id="27"/>
    </w:p>
    <w:p w:rsidR="00D834B6" w:rsidRPr="00AF20AB" w:rsidRDefault="00160452" w:rsidP="00513F2E">
      <w:pPr>
        <w:pStyle w:val="ListParagraph"/>
        <w:numPr>
          <w:ilvl w:val="1"/>
          <w:numId w:val="1"/>
        </w:numPr>
      </w:pPr>
      <w:r w:rsidRPr="00AF20AB">
        <w:t xml:space="preserve">The pre-PBAC Response indicated the sponsor was willing to discuss a possible risk sharing arrangement if required. </w:t>
      </w:r>
    </w:p>
    <w:p w:rsidR="00342AAE" w:rsidRPr="00AF20AB" w:rsidRDefault="00342AAE" w:rsidP="00342AAE">
      <w:pPr>
        <w:pStyle w:val="ListBullet"/>
        <w:numPr>
          <w:ilvl w:val="0"/>
          <w:numId w:val="0"/>
        </w:numPr>
        <w:ind w:left="720"/>
      </w:pPr>
      <w:r w:rsidRPr="00AF20AB">
        <w:rPr>
          <w:rFonts w:asciiTheme="minorHAnsi" w:hAnsiTheme="minorHAnsi"/>
          <w:i/>
        </w:rPr>
        <w:t>For more detail on PBAC’s view, see section 7 PBAC outcome.</w:t>
      </w:r>
    </w:p>
    <w:p w:rsidR="00D834B6" w:rsidRPr="00AF20AB" w:rsidRDefault="00D834B6" w:rsidP="00D834B6"/>
    <w:p w:rsidR="002713A4" w:rsidRPr="00AF20AB" w:rsidRDefault="002713A4" w:rsidP="00D834B6">
      <w:r w:rsidRPr="00AF20AB">
        <w:br w:type="page"/>
      </w:r>
    </w:p>
    <w:p w:rsidR="00342AAE" w:rsidRPr="00AF20AB" w:rsidRDefault="00342AAE" w:rsidP="00342AAE">
      <w:pPr>
        <w:pStyle w:val="2-SectionHeading"/>
      </w:pPr>
      <w:r w:rsidRPr="00AF20AB">
        <w:t xml:space="preserve">PBAC Outcome </w:t>
      </w:r>
    </w:p>
    <w:p w:rsidR="0002108B" w:rsidRPr="00AF20AB" w:rsidRDefault="0002108B" w:rsidP="007B0910">
      <w:pPr>
        <w:pStyle w:val="3-BodyText"/>
      </w:pPr>
      <w:r w:rsidRPr="00AF20AB">
        <w:t xml:space="preserve">The PBAC did not recommend the listing of decitabine+cedazuridine for the treatment </w:t>
      </w:r>
      <w:r w:rsidR="007B0910" w:rsidRPr="00AF20AB">
        <w:t>of patients with myelodysplastic syndrome (MDS)</w:t>
      </w:r>
      <w:r w:rsidRPr="00AF20AB">
        <w:t xml:space="preserve"> classified as intermediate-2 or high-risk according to the International Prognostic Scoring System (IPSS)</w:t>
      </w:r>
      <w:r w:rsidR="007B0910" w:rsidRPr="00AF20AB">
        <w:t xml:space="preserve"> and patients with chronic myelomonocytic leukaemia (CMML)</w:t>
      </w:r>
      <w:r w:rsidR="00F339F4" w:rsidRPr="00AF20AB">
        <w:t xml:space="preserve"> due to</w:t>
      </w:r>
      <w:r w:rsidR="00887B04" w:rsidRPr="00AF20AB">
        <w:t xml:space="preserve"> the claims of non-inferior </w:t>
      </w:r>
      <w:r w:rsidR="00F339F4" w:rsidRPr="00AF20AB">
        <w:t>effectiveness</w:t>
      </w:r>
      <w:r w:rsidR="00887B04" w:rsidRPr="00AF20AB">
        <w:t xml:space="preserve"> and safety compared </w:t>
      </w:r>
      <w:r w:rsidR="00F339F4" w:rsidRPr="00AF20AB">
        <w:t>with</w:t>
      </w:r>
      <w:r w:rsidR="00887B04" w:rsidRPr="00AF20AB">
        <w:t xml:space="preserve"> azacitidine</w:t>
      </w:r>
      <w:r w:rsidR="00F339F4" w:rsidRPr="00AF20AB">
        <w:t xml:space="preserve"> being uncertain</w:t>
      </w:r>
      <w:r w:rsidR="00887B04" w:rsidRPr="00AF20AB">
        <w:t xml:space="preserve">. The PBAC considered that </w:t>
      </w:r>
      <w:r w:rsidR="00F339F4" w:rsidRPr="00AF20AB">
        <w:t>this uncertainty also impacted on the reliability of the cost minimisation analysis presented in the submission</w:t>
      </w:r>
      <w:r w:rsidR="00EB67CE" w:rsidRPr="00AF20AB">
        <w:t xml:space="preserve">. </w:t>
      </w:r>
    </w:p>
    <w:p w:rsidR="00692C4A" w:rsidRPr="00AF20AB" w:rsidRDefault="00692C4A" w:rsidP="00692C4A">
      <w:pPr>
        <w:pStyle w:val="3-BodyText"/>
        <w:rPr>
          <w:i/>
        </w:rPr>
      </w:pPr>
      <w:r w:rsidRPr="00AF20AB">
        <w:t xml:space="preserve">The PBAC noted the comments received from consumers and organisations, and the sponsor’s hearing, which highlighted the advantages, in particular for patients living in rural and remote areas, of an oral treatment over the current standard of care, azacitidine, which is administered subcutaneously or intravenously and requires attendance at an outpatient clinic for seven days each month. The PBAC noted that some clinics offer home chemotherapy, however acknowledged the substantially reduced treatment burden with </w:t>
      </w:r>
      <w:r w:rsidR="00E97E81" w:rsidRPr="00AF20AB">
        <w:t xml:space="preserve">the </w:t>
      </w:r>
      <w:r w:rsidRPr="00AF20AB">
        <w:t>oral therapy and that this may also make treatment available to more patients.</w:t>
      </w:r>
    </w:p>
    <w:p w:rsidR="00BC79F4" w:rsidRPr="00AF20AB" w:rsidRDefault="009A6828" w:rsidP="00342AAE">
      <w:pPr>
        <w:pStyle w:val="3-BodyText"/>
        <w:rPr>
          <w:i/>
        </w:rPr>
      </w:pPr>
      <w:r w:rsidRPr="00AF20AB">
        <w:t>The PBAC considered that the nominated comparator, azacitidine, was appropriate given it is the only hypomethylating agent currently PBS-listed for MDS and CMML.</w:t>
      </w:r>
    </w:p>
    <w:p w:rsidR="00692C4A" w:rsidRPr="00AF20AB" w:rsidRDefault="00692C4A" w:rsidP="00692C4A">
      <w:pPr>
        <w:pStyle w:val="3-BodyText"/>
        <w:rPr>
          <w:i/>
        </w:rPr>
      </w:pPr>
      <w:r w:rsidRPr="00AF20AB">
        <w:t xml:space="preserve">The PBAC noted the submission presented a two-step comparison in which (i) decitabine+cedazuridine was compared with IV decitabine on the basis of pharmacokinetic/pharmacodynamic studies, and (ii) IV decitabine was compared with </w:t>
      </w:r>
      <w:r w:rsidR="004F674D" w:rsidRPr="00AF20AB">
        <w:t>azacitidine</w:t>
      </w:r>
      <w:r w:rsidRPr="00AF20AB">
        <w:t xml:space="preserve"> on the basis of an indirect comparison using best supportive care (BSC) as the common reference.</w:t>
      </w:r>
    </w:p>
    <w:p w:rsidR="00692C4A" w:rsidRPr="00AF20AB" w:rsidRDefault="00692C4A" w:rsidP="00692C4A">
      <w:pPr>
        <w:pStyle w:val="3-BodyText"/>
        <w:rPr>
          <w:i/>
        </w:rPr>
      </w:pPr>
      <w:r w:rsidRPr="00AF20AB">
        <w:t>The PBAC noted that the TGA Delegate concluded that the pharmacodynamic data suggested that the demethylation effect is equivalent between decitabine+cedazuridine and IV decitabine, and the exposure to decitabine is bioequivalent.</w:t>
      </w:r>
    </w:p>
    <w:p w:rsidR="00692C4A" w:rsidRPr="00AF20AB" w:rsidRDefault="00692C4A" w:rsidP="00457CD4">
      <w:pPr>
        <w:pStyle w:val="3-BodyText"/>
        <w:rPr>
          <w:i/>
        </w:rPr>
      </w:pPr>
      <w:r w:rsidRPr="00AF20AB">
        <w:t xml:space="preserve">The PBAC noted the four trials included in the indirect comparison (Kantarjian 2006 and Lubbert 2011 comparing IV decitabine and BSC; Fenaux 2009 and Silverman 2002 comparing </w:t>
      </w:r>
      <w:r w:rsidR="004F674D" w:rsidRPr="00AF20AB">
        <w:t>azacitidine</w:t>
      </w:r>
      <w:r w:rsidRPr="00AF20AB">
        <w:t xml:space="preserve"> and BSC) had a high risk of bias</w:t>
      </w:r>
      <w:r w:rsidR="00AF20AB">
        <w:t xml:space="preserve">. </w:t>
      </w:r>
      <w:r w:rsidRPr="00AF20AB">
        <w:t xml:space="preserve">The PBAC further noted there were substantial applicability and transitivity issues relating to the trial eligibility criteria, patient populations enrolled and the treatment regimens administered. The </w:t>
      </w:r>
      <w:r w:rsidR="00F5242A" w:rsidRPr="00AF20AB">
        <w:t>IV decitabine studies used a 3-</w:t>
      </w:r>
      <w:r w:rsidRPr="00AF20AB">
        <w:t xml:space="preserve">day dosing regimen whereas in </w:t>
      </w:r>
      <w:r w:rsidR="00E544D0" w:rsidRPr="00AF20AB">
        <w:t xml:space="preserve">the pharmacokinetic studies </w:t>
      </w:r>
      <w:r w:rsidR="008C7476" w:rsidRPr="00AF20AB">
        <w:t xml:space="preserve">used </w:t>
      </w:r>
      <w:r w:rsidRPr="00AF20AB">
        <w:t>a</w:t>
      </w:r>
      <w:r w:rsidR="00F5242A" w:rsidRPr="00AF20AB">
        <w:t xml:space="preserve"> 5-</w:t>
      </w:r>
      <w:r w:rsidRPr="00AF20AB">
        <w:t xml:space="preserve">day dosing regimen </w:t>
      </w:r>
      <w:r w:rsidR="00E97E81" w:rsidRPr="00AF20AB">
        <w:t xml:space="preserve">(both </w:t>
      </w:r>
      <w:r w:rsidRPr="00AF20AB">
        <w:t xml:space="preserve">with a 42 day </w:t>
      </w:r>
      <w:r w:rsidR="00E97E81" w:rsidRPr="00AF20AB">
        <w:t xml:space="preserve">treatment </w:t>
      </w:r>
      <w:r w:rsidRPr="00AF20AB">
        <w:t>cycle</w:t>
      </w:r>
      <w:r w:rsidR="00E97E81" w:rsidRPr="00AF20AB">
        <w:t>)</w:t>
      </w:r>
      <w:r w:rsidRPr="00AF20AB">
        <w:t>. Although the study by Wu et al</w:t>
      </w:r>
      <w:r w:rsidR="00F5242A" w:rsidRPr="00AF20AB">
        <w:t>.,</w:t>
      </w:r>
      <w:r w:rsidR="009646B7" w:rsidRPr="00AF20AB">
        <w:t xml:space="preserve"> </w:t>
      </w:r>
      <w:r w:rsidR="00F5242A" w:rsidRPr="00AF20AB">
        <w:t>2015</w:t>
      </w:r>
      <w:r w:rsidRPr="00AF20AB">
        <w:t xml:space="preserve"> found no statistically si</w:t>
      </w:r>
      <w:r w:rsidR="00F5242A" w:rsidRPr="00AF20AB">
        <w:t xml:space="preserve">gnificant differences </w:t>
      </w:r>
      <w:r w:rsidR="00E97E81" w:rsidRPr="00AF20AB">
        <w:t xml:space="preserve">in outcomes </w:t>
      </w:r>
      <w:r w:rsidR="00F5242A" w:rsidRPr="00AF20AB">
        <w:t>for the 3-</w:t>
      </w:r>
      <w:r w:rsidRPr="00AF20AB">
        <w:t>day and</w:t>
      </w:r>
      <w:r w:rsidR="00F5242A" w:rsidRPr="00AF20AB">
        <w:t xml:space="preserve"> 5-</w:t>
      </w:r>
      <w:r w:rsidRPr="00AF20AB">
        <w:t>day regimens, the PBAC noted the results</w:t>
      </w:r>
      <w:r w:rsidR="00F5242A" w:rsidRPr="00AF20AB">
        <w:t xml:space="preserve"> </w:t>
      </w:r>
      <w:r w:rsidR="00A61BCE" w:rsidRPr="00AF20AB">
        <w:t>across the 5 studies included in the naïve comparison presented in the submission were heterogeneous making any claim based on these data uncertain</w:t>
      </w:r>
      <w:r w:rsidRPr="00AF20AB">
        <w:t xml:space="preserve">. Overall, the PBAC agreed with ESC that the results of the indirect comparison </w:t>
      </w:r>
      <w:r w:rsidR="00A61BCE" w:rsidRPr="00AF20AB">
        <w:t xml:space="preserve">of </w:t>
      </w:r>
      <w:r w:rsidR="009646B7" w:rsidRPr="00AF20AB">
        <w:t xml:space="preserve">IV </w:t>
      </w:r>
      <w:r w:rsidR="00A61BCE" w:rsidRPr="00AF20AB">
        <w:t xml:space="preserve">decitabine and </w:t>
      </w:r>
      <w:r w:rsidR="004F674D" w:rsidRPr="00AF20AB">
        <w:t>azacitidine</w:t>
      </w:r>
      <w:r w:rsidR="00A61BCE" w:rsidRPr="00AF20AB">
        <w:t xml:space="preserve"> </w:t>
      </w:r>
      <w:r w:rsidRPr="00AF20AB">
        <w:t>should be interpreted with caution.</w:t>
      </w:r>
      <w:r w:rsidR="00A61BCE" w:rsidRPr="00AF20AB">
        <w:t xml:space="preserve"> In this context the PBAC considered the</w:t>
      </w:r>
      <w:r w:rsidR="00B2414B" w:rsidRPr="00AF20AB">
        <w:t xml:space="preserve"> results from the Lee </w:t>
      </w:r>
      <w:r w:rsidR="00457CD4" w:rsidRPr="00457CD4">
        <w:t xml:space="preserve">et al., </w:t>
      </w:r>
      <w:r w:rsidR="00B2414B" w:rsidRPr="00AF20AB">
        <w:t xml:space="preserve">2013 and Lee </w:t>
      </w:r>
      <w:r w:rsidR="00457CD4" w:rsidRPr="00457CD4">
        <w:t xml:space="preserve">et al., </w:t>
      </w:r>
      <w:r w:rsidR="00B2414B" w:rsidRPr="00AF20AB">
        <w:t>2013a retrospective reviews informative.</w:t>
      </w:r>
    </w:p>
    <w:p w:rsidR="00692C4A" w:rsidRPr="00AF20AB" w:rsidRDefault="00BB1F89" w:rsidP="00457CD4">
      <w:pPr>
        <w:pStyle w:val="3-BodyText"/>
        <w:rPr>
          <w:i/>
        </w:rPr>
      </w:pPr>
      <w:r w:rsidRPr="00AF20AB">
        <w:t xml:space="preserve">The PBAC noted the indirect comparisons suggested reduced overall survival and time to AML with IV decitabine </w:t>
      </w:r>
      <w:r w:rsidR="00B2414B" w:rsidRPr="00AF20AB">
        <w:t xml:space="preserve">compared with </w:t>
      </w:r>
      <w:r w:rsidR="004F674D" w:rsidRPr="00AF20AB">
        <w:t>azacitidine</w:t>
      </w:r>
      <w:r w:rsidR="00B2414B" w:rsidRPr="00AF20AB">
        <w:t>, and that the differences were statistically significant.</w:t>
      </w:r>
      <w:r w:rsidR="00AC45A0" w:rsidRPr="00AF20AB">
        <w:t xml:space="preserve"> The PBAC noted the arguments in the submission and pre</w:t>
      </w:r>
      <w:r w:rsidR="004F674D">
        <w:t>-</w:t>
      </w:r>
      <w:r w:rsidR="00AC45A0" w:rsidRPr="00AF20AB">
        <w:t xml:space="preserve">PBAC response that the comparisons may have been influenced by the results of Fenaux 2009 in which the survival with </w:t>
      </w:r>
      <w:r w:rsidR="004F674D" w:rsidRPr="00AF20AB">
        <w:t>azacitidine</w:t>
      </w:r>
      <w:r w:rsidR="00AC45A0" w:rsidRPr="00AF20AB">
        <w:t xml:space="preserve"> was longer than </w:t>
      </w:r>
      <w:r w:rsidR="009646B7" w:rsidRPr="00AF20AB">
        <w:t>reported</w:t>
      </w:r>
      <w:r w:rsidR="00AC45A0" w:rsidRPr="00AF20AB">
        <w:t xml:space="preserve"> in observational studies. The PBAC considered the difference in survival may reflect reduced treatment adherence in clinical practice and that this had implications for the applicability of the trial results to the PBS population.</w:t>
      </w:r>
      <w:r w:rsidR="00D63EDA" w:rsidRPr="00AF20AB">
        <w:t xml:space="preserve"> Lee </w:t>
      </w:r>
      <w:r w:rsidR="00457CD4" w:rsidRPr="00457CD4">
        <w:t xml:space="preserve">et al., </w:t>
      </w:r>
      <w:r w:rsidR="00D63EDA" w:rsidRPr="00AF20AB">
        <w:t xml:space="preserve">2013 </w:t>
      </w:r>
      <w:r w:rsidR="00E544D0" w:rsidRPr="00AF20AB">
        <w:t>also</w:t>
      </w:r>
      <w:r w:rsidR="00D63EDA" w:rsidRPr="00AF20AB">
        <w:t xml:space="preserve"> suggested reduced survival with IV decitabine, in particular in patients with a MDS duration of less than 1 year or an ECOG score of 2 or 3, whereas a difference in survival was not observed in Lee</w:t>
      </w:r>
      <w:r w:rsidR="00457CD4">
        <w:t xml:space="preserve"> et al., </w:t>
      </w:r>
      <w:r w:rsidR="00D63EDA" w:rsidRPr="00AF20AB">
        <w:t xml:space="preserve">2013a in the overall cohort or </w:t>
      </w:r>
      <w:r w:rsidR="009646B7" w:rsidRPr="00AF20AB">
        <w:t xml:space="preserve">the </w:t>
      </w:r>
      <w:r w:rsidR="00D63EDA" w:rsidRPr="00AF20AB">
        <w:t>propensity matched cohort.</w:t>
      </w:r>
    </w:p>
    <w:p w:rsidR="00D63EDA" w:rsidRPr="00AF20AB" w:rsidRDefault="00D63EDA" w:rsidP="00342AAE">
      <w:pPr>
        <w:pStyle w:val="3-BodyText"/>
        <w:rPr>
          <w:i/>
        </w:rPr>
      </w:pPr>
      <w:r w:rsidRPr="00AF20AB">
        <w:t xml:space="preserve">In contrast to the overall survival results, the indirect comparisons suggested </w:t>
      </w:r>
      <w:r w:rsidR="00A811CF" w:rsidRPr="00AF20AB">
        <w:t xml:space="preserve">no </w:t>
      </w:r>
      <w:r w:rsidR="00E97E81" w:rsidRPr="00AF20AB">
        <w:t xml:space="preserve">statistically significant </w:t>
      </w:r>
      <w:r w:rsidR="00A811CF" w:rsidRPr="00AF20AB">
        <w:t>difference</w:t>
      </w:r>
      <w:r w:rsidR="00E97E81" w:rsidRPr="00AF20AB">
        <w:t>s</w:t>
      </w:r>
      <w:r w:rsidR="00A811CF" w:rsidRPr="00AF20AB">
        <w:t xml:space="preserve"> in response based outcomes. The PBAC noted the arguments in the PSCR and sponsor hearing that response can be used as a surrogate</w:t>
      </w:r>
      <w:r w:rsidR="00E544D0" w:rsidRPr="00AF20AB">
        <w:t xml:space="preserve"> for overall survival in higher-</w:t>
      </w:r>
      <w:r w:rsidR="00A811CF" w:rsidRPr="00AF20AB">
        <w:t xml:space="preserve">risk MDS patients, however considered the interpretation of the response data was hindered </w:t>
      </w:r>
      <w:r w:rsidR="00570FDE" w:rsidRPr="00AF20AB">
        <w:t xml:space="preserve">by </w:t>
      </w:r>
      <w:r w:rsidR="009646B7" w:rsidRPr="00AF20AB">
        <w:t xml:space="preserve">the </w:t>
      </w:r>
      <w:r w:rsidR="00570FDE" w:rsidRPr="00AF20AB">
        <w:t>heterogeneous results across the trials and the wide confidence intervals for the indirect estimates.</w:t>
      </w:r>
    </w:p>
    <w:p w:rsidR="00A35E19" w:rsidRPr="00AF20AB" w:rsidRDefault="006952E2" w:rsidP="00457CD4">
      <w:pPr>
        <w:pStyle w:val="3-BodyText"/>
      </w:pPr>
      <w:r w:rsidRPr="00AF20AB">
        <w:t xml:space="preserve">The PBAC noted the TGA Delegate considered that the adverse events reported for decitabine+cedazuridine were consistent with the known cytotoxic effects of decitabine, as well as the underlying manifestations of MDS and CMML, and there were no additional toxicities as a result of the combination of decitabine and cedazuridine. The PBAC noted </w:t>
      </w:r>
      <w:r w:rsidR="00E544D0" w:rsidRPr="00AF20AB">
        <w:t xml:space="preserve">in the trials included in the indirect comparison, </w:t>
      </w:r>
      <w:r w:rsidRPr="00AF20AB">
        <w:t xml:space="preserve">the </w:t>
      </w:r>
      <w:r w:rsidR="00355357" w:rsidRPr="00AF20AB">
        <w:t>most</w:t>
      </w:r>
      <w:r w:rsidR="006A15B1" w:rsidRPr="00AF20AB">
        <w:t xml:space="preserve"> common serious </w:t>
      </w:r>
      <w:r w:rsidRPr="00AF20AB">
        <w:t>adverse events reported for IV d</w:t>
      </w:r>
      <w:r w:rsidR="006A15B1" w:rsidRPr="00AF20AB">
        <w:t>ecitabine</w:t>
      </w:r>
      <w:r w:rsidRPr="00AF20AB">
        <w:t xml:space="preserve"> were</w:t>
      </w:r>
      <w:r w:rsidR="006A15B1" w:rsidRPr="00AF20AB">
        <w:t xml:space="preserve"> thrombocytopenia, neutropenia and febrile neutropenia</w:t>
      </w:r>
      <w:r w:rsidRPr="00AF20AB">
        <w:t xml:space="preserve"> and for azacitidine were</w:t>
      </w:r>
      <w:r w:rsidR="006A15B1" w:rsidRPr="00AF20AB">
        <w:t xml:space="preserve"> thrombocytopenia and neutropenia. </w:t>
      </w:r>
      <w:r w:rsidRPr="00AF20AB">
        <w:t xml:space="preserve">The PBAC noted </w:t>
      </w:r>
      <w:r w:rsidR="00457CD4">
        <w:t xml:space="preserve">in Lee </w:t>
      </w:r>
      <w:r w:rsidR="00457CD4" w:rsidRPr="00457CD4">
        <w:t xml:space="preserve">et al., </w:t>
      </w:r>
      <w:r w:rsidR="00CC6DE8" w:rsidRPr="00AF20AB">
        <w:t xml:space="preserve">2013 </w:t>
      </w:r>
      <w:r w:rsidR="001F629D" w:rsidRPr="00AF20AB">
        <w:t>decitabine was associated with more frequent Grade</w:t>
      </w:r>
      <w:r w:rsidR="00CC6DE8" w:rsidRPr="00AF20AB">
        <w:t xml:space="preserve"> </w:t>
      </w:r>
      <w:r w:rsidR="001F629D" w:rsidRPr="00AF20AB">
        <w:t>≥3 neutropenia than azacitidine (p=0.040</w:t>
      </w:r>
      <w:r w:rsidRPr="00AF20AB">
        <w:t>)</w:t>
      </w:r>
      <w:r w:rsidR="001F629D" w:rsidRPr="00AF20AB">
        <w:t xml:space="preserve">, and </w:t>
      </w:r>
      <w:r w:rsidR="00725437" w:rsidRPr="00AF20AB">
        <w:t xml:space="preserve">in </w:t>
      </w:r>
      <w:r w:rsidR="001F629D" w:rsidRPr="00AF20AB">
        <w:t xml:space="preserve">Lee </w:t>
      </w:r>
      <w:r w:rsidR="00457CD4" w:rsidRPr="00457CD4">
        <w:t xml:space="preserve">et al., </w:t>
      </w:r>
      <w:r w:rsidR="001F629D" w:rsidRPr="00AF20AB">
        <w:t>2013a</w:t>
      </w:r>
      <w:r w:rsidR="00725437" w:rsidRPr="00AF20AB">
        <w:t xml:space="preserve"> the number of</w:t>
      </w:r>
      <w:r w:rsidR="001F629D" w:rsidRPr="00AF20AB">
        <w:t xml:space="preserve"> infectious episodes treated with antimicrobials was significantly lower for </w:t>
      </w:r>
      <w:r w:rsidR="00355357" w:rsidRPr="00AF20AB">
        <w:t xml:space="preserve">patients treated with </w:t>
      </w:r>
      <w:r w:rsidR="001F629D" w:rsidRPr="00AF20AB">
        <w:t>azacitidine (RR=0.75; 95% CI: 0.58, 0.96).</w:t>
      </w:r>
      <w:r w:rsidR="00CC6DE8" w:rsidRPr="00AF20AB">
        <w:t xml:space="preserve"> The PBAC noted the </w:t>
      </w:r>
      <w:r w:rsidR="00E544D0" w:rsidRPr="00AF20AB">
        <w:t xml:space="preserve">sponsor hearing and </w:t>
      </w:r>
      <w:r w:rsidR="00CC6DE8" w:rsidRPr="00AF20AB">
        <w:t>p</w:t>
      </w:r>
      <w:r w:rsidR="001F629D" w:rsidRPr="00AF20AB">
        <w:t>re-PBAC response cited a meta-analysis</w:t>
      </w:r>
      <w:r w:rsidR="00CC6DE8" w:rsidRPr="00AF20AB">
        <w:t xml:space="preserve"> of trials (Xie, 2015) that reported </w:t>
      </w:r>
      <w:r w:rsidR="001F629D" w:rsidRPr="00AF20AB">
        <w:t xml:space="preserve">no statistically significant differences between </w:t>
      </w:r>
      <w:r w:rsidR="00CC6DE8" w:rsidRPr="00AF20AB">
        <w:t xml:space="preserve">IV decitabine and </w:t>
      </w:r>
      <w:r w:rsidR="004F674D" w:rsidRPr="00AF20AB">
        <w:t>azacitidine</w:t>
      </w:r>
      <w:r w:rsidR="00CC6DE8" w:rsidRPr="00AF20AB">
        <w:t xml:space="preserve"> </w:t>
      </w:r>
      <w:r w:rsidR="001F629D" w:rsidRPr="00AF20AB">
        <w:t>in terms of safety</w:t>
      </w:r>
      <w:r w:rsidR="00CC6DE8" w:rsidRPr="00AF20AB">
        <w:t>, including</w:t>
      </w:r>
      <w:r w:rsidR="001F629D" w:rsidRPr="00AF20AB">
        <w:t xml:space="preserve"> no differences in the rates of febrile neutropenia</w:t>
      </w:r>
      <w:r w:rsidR="00CC6DE8" w:rsidRPr="00AF20AB">
        <w:t>.</w:t>
      </w:r>
    </w:p>
    <w:p w:rsidR="006952E2" w:rsidRPr="00AF20AB" w:rsidRDefault="00725437" w:rsidP="00E97E81">
      <w:pPr>
        <w:pStyle w:val="3-BodyText"/>
      </w:pPr>
      <w:r w:rsidRPr="00AF20AB">
        <w:t>Overall t</w:t>
      </w:r>
      <w:r w:rsidR="006952E2" w:rsidRPr="00AF20AB">
        <w:t xml:space="preserve">he PBAC considered the claim of non-inferior effectiveness and safety for decitabine+cedazuridine and </w:t>
      </w:r>
      <w:r w:rsidR="004F674D" w:rsidRPr="00AF20AB">
        <w:t>azacitidine</w:t>
      </w:r>
      <w:r w:rsidR="006952E2" w:rsidRPr="00AF20AB">
        <w:t xml:space="preserve"> to be uncertain as it relied on the acceptance of non-inferior effectiveness and safety for IV decitabine and </w:t>
      </w:r>
      <w:r w:rsidR="004F674D" w:rsidRPr="00AF20AB">
        <w:t>azacitidine</w:t>
      </w:r>
      <w:r w:rsidR="006952E2" w:rsidRPr="00AF20AB">
        <w:t xml:space="preserve">. </w:t>
      </w:r>
      <w:r w:rsidRPr="00AF20AB">
        <w:t>T</w:t>
      </w:r>
      <w:r w:rsidR="006952E2" w:rsidRPr="00AF20AB">
        <w:t xml:space="preserve">he PBAC acknowledged the </w:t>
      </w:r>
      <w:r w:rsidR="00CA290A" w:rsidRPr="00AF20AB">
        <w:t xml:space="preserve">substantially </w:t>
      </w:r>
      <w:r w:rsidR="006952E2" w:rsidRPr="00AF20AB">
        <w:t>reduced treatment burden with decitabine+cedazuridine</w:t>
      </w:r>
      <w:r w:rsidR="00355357" w:rsidRPr="00AF20AB">
        <w:t>,</w:t>
      </w:r>
      <w:r w:rsidR="006952E2" w:rsidRPr="00AF20AB">
        <w:t xml:space="preserve"> and that further data may not be available to</w:t>
      </w:r>
      <w:r w:rsidR="00355357" w:rsidRPr="00AF20AB">
        <w:t xml:space="preserve"> increase the certainty for the non-inferiority</w:t>
      </w:r>
      <w:r w:rsidR="006952E2" w:rsidRPr="00AF20AB">
        <w:t xml:space="preserve"> claim. In this context, the PBAC considered any economic evaluation versus </w:t>
      </w:r>
      <w:r w:rsidR="004F674D" w:rsidRPr="00AF20AB">
        <w:t>azacitidine</w:t>
      </w:r>
      <w:r w:rsidR="006952E2" w:rsidRPr="00AF20AB">
        <w:t xml:space="preserve"> would need to be informed by conservative assumptions.</w:t>
      </w:r>
    </w:p>
    <w:p w:rsidR="006A15B1" w:rsidRPr="00AF20AB" w:rsidRDefault="004504F3" w:rsidP="00E97E81">
      <w:pPr>
        <w:pStyle w:val="3-BodyText"/>
      </w:pPr>
      <w:r w:rsidRPr="00AF20AB">
        <w:t xml:space="preserve">The PBAC noted the cost minimisation analysis </w:t>
      </w:r>
      <w:r w:rsidR="00355357" w:rsidRPr="00AF20AB">
        <w:t xml:space="preserve">presented in the submission </w:t>
      </w:r>
      <w:r w:rsidRPr="00AF20AB">
        <w:t>was over one treatment cycle</w:t>
      </w:r>
      <w:r w:rsidR="00E97E81" w:rsidRPr="00AF20AB">
        <w:t xml:space="preserve">, </w:t>
      </w:r>
      <w:r w:rsidRPr="00AF20AB">
        <w:t xml:space="preserve">based on the recommended </w:t>
      </w:r>
      <w:r w:rsidR="00BA3F81" w:rsidRPr="00AF20AB">
        <w:t>dosage regimens</w:t>
      </w:r>
      <w:r w:rsidRPr="00AF20AB">
        <w:t xml:space="preserve"> in the </w:t>
      </w:r>
      <w:r w:rsidR="00BA3F81" w:rsidRPr="00AF20AB">
        <w:t>p</w:t>
      </w:r>
      <w:r w:rsidRPr="00AF20AB">
        <w:t>rodu</w:t>
      </w:r>
      <w:r w:rsidR="00BA3F81" w:rsidRPr="00AF20AB">
        <w:t>ct i</w:t>
      </w:r>
      <w:r w:rsidRPr="00AF20AB">
        <w:t>n</w:t>
      </w:r>
      <w:r w:rsidR="00BA3F81" w:rsidRPr="00AF20AB">
        <w:t>formation documents</w:t>
      </w:r>
      <w:r w:rsidRPr="00AF20AB">
        <w:t xml:space="preserve"> for decitabine+cedazuridine and </w:t>
      </w:r>
      <w:r w:rsidR="004F674D" w:rsidRPr="00AF20AB">
        <w:t>azacitidine</w:t>
      </w:r>
      <w:r w:rsidRPr="00AF20AB">
        <w:t xml:space="preserve">, and included cost-offsets for granisetron and the administration of </w:t>
      </w:r>
      <w:r w:rsidR="004F674D" w:rsidRPr="00AF20AB">
        <w:t>azacitidine</w:t>
      </w:r>
      <w:r w:rsidRPr="00AF20AB">
        <w:t>.</w:t>
      </w:r>
      <w:r w:rsidR="00B6409E" w:rsidRPr="00AF20AB">
        <w:t xml:space="preserve"> The PBAC noted the analysis assumed all patients receive 2 vials of </w:t>
      </w:r>
      <w:r w:rsidR="004F674D" w:rsidRPr="00AF20AB">
        <w:t>azacitidine</w:t>
      </w:r>
      <w:r w:rsidR="00B6409E" w:rsidRPr="00AF20AB">
        <w:t xml:space="preserve">, and did not consider dose reductions, which </w:t>
      </w:r>
      <w:r w:rsidR="00BA3F81" w:rsidRPr="00AF20AB">
        <w:t>may be substantial</w:t>
      </w:r>
      <w:r w:rsidR="00355357" w:rsidRPr="00AF20AB">
        <w:t xml:space="preserve"> given the average age of the patient population</w:t>
      </w:r>
      <w:r w:rsidR="00BA3F81" w:rsidRPr="00AF20AB">
        <w:t xml:space="preserve">. Overall, the </w:t>
      </w:r>
      <w:r w:rsidR="00B6409E" w:rsidRPr="00AF20AB">
        <w:t>PBAC considered that</w:t>
      </w:r>
      <w:r w:rsidR="00355357" w:rsidRPr="00AF20AB">
        <w:t xml:space="preserve"> the</w:t>
      </w:r>
      <w:r w:rsidR="00B6409E" w:rsidRPr="00AF20AB">
        <w:t xml:space="preserve"> </w:t>
      </w:r>
      <w:r w:rsidR="00BA3F81" w:rsidRPr="00AF20AB">
        <w:t xml:space="preserve">assumptions </w:t>
      </w:r>
      <w:r w:rsidR="00B6409E" w:rsidRPr="00AF20AB">
        <w:t>used to inform the cost-minimisation analysis were not appropriately conservative in the context of the limited clinical data</w:t>
      </w:r>
      <w:r w:rsidR="00BA3F81" w:rsidRPr="00AF20AB">
        <w:t xml:space="preserve">. The PBAC further noted the </w:t>
      </w:r>
      <w:r w:rsidR="00063156" w:rsidRPr="00AF20AB">
        <w:t xml:space="preserve">listing of decitabine+cedazuridine resulted in </w:t>
      </w:r>
      <w:r w:rsidR="00BA3F81" w:rsidRPr="00AF20AB">
        <w:t xml:space="preserve">additional cost to the </w:t>
      </w:r>
      <w:r w:rsidR="00063156" w:rsidRPr="00AF20AB">
        <w:t>G</w:t>
      </w:r>
      <w:r w:rsidR="00181D75" w:rsidRPr="00AF20AB">
        <w:t>overnment</w:t>
      </w:r>
      <w:r w:rsidR="00BA3F81" w:rsidRPr="00AF20AB">
        <w:t xml:space="preserve"> </w:t>
      </w:r>
      <w:r w:rsidR="00063156" w:rsidRPr="00AF20AB">
        <w:t xml:space="preserve">due to </w:t>
      </w:r>
      <w:r w:rsidR="001B287B" w:rsidRPr="00AF20AB">
        <w:t xml:space="preserve">(i) </w:t>
      </w:r>
      <w:r w:rsidR="00063156" w:rsidRPr="00AF20AB">
        <w:t>the</w:t>
      </w:r>
      <w:r w:rsidR="00BA3F81" w:rsidRPr="00AF20AB">
        <w:t xml:space="preserve"> additional supply chain costs for decitabine+cedazuridine, </w:t>
      </w:r>
      <w:r w:rsidR="001B287B" w:rsidRPr="00AF20AB">
        <w:t xml:space="preserve">(ii) </w:t>
      </w:r>
      <w:r w:rsidR="00063156" w:rsidRPr="00AF20AB">
        <w:t>the patient copayment</w:t>
      </w:r>
      <w:r w:rsidR="00355357" w:rsidRPr="00AF20AB">
        <w:t>s</w:t>
      </w:r>
      <w:r w:rsidR="00063156" w:rsidRPr="00AF20AB">
        <w:t xml:space="preserve"> for the administration of </w:t>
      </w:r>
      <w:r w:rsidR="004F674D" w:rsidRPr="00AF20AB">
        <w:t>azacitidine</w:t>
      </w:r>
      <w:r w:rsidR="00063156" w:rsidRPr="00AF20AB">
        <w:t xml:space="preserve">  and </w:t>
      </w:r>
      <w:r w:rsidR="001B287B" w:rsidRPr="00AF20AB">
        <w:t xml:space="preserve">(iii) </w:t>
      </w:r>
      <w:r w:rsidR="00063156" w:rsidRPr="00AF20AB">
        <w:t>the patient co-payment</w:t>
      </w:r>
      <w:r w:rsidR="00355357" w:rsidRPr="00AF20AB">
        <w:t>s</w:t>
      </w:r>
      <w:r w:rsidR="00063156" w:rsidRPr="00AF20AB">
        <w:t xml:space="preserve"> for granisetron being incorporated into the price of decitabine+cedazuridine</w:t>
      </w:r>
      <w:r w:rsidR="00BA3F81" w:rsidRPr="00AF20AB">
        <w:t>. The PBAC noted the cost minimisation analysis presented in the pre</w:t>
      </w:r>
      <w:r w:rsidR="004F674D">
        <w:t>-</w:t>
      </w:r>
      <w:r w:rsidR="00BA3F81" w:rsidRPr="00AF20AB">
        <w:t xml:space="preserve">PBAC response accounted for the difference in supply chain costs. </w:t>
      </w:r>
    </w:p>
    <w:p w:rsidR="00181D75" w:rsidRPr="00AF20AB" w:rsidRDefault="00063156" w:rsidP="00457CD4">
      <w:pPr>
        <w:pStyle w:val="3-BodyText"/>
        <w:tabs>
          <w:tab w:val="left" w:pos="3794"/>
        </w:tabs>
      </w:pPr>
      <w:r w:rsidRPr="00AF20AB">
        <w:t>The PBAC noted a market share approach was used to estimate the financial impact of listing decitabine+cedazuridine</w:t>
      </w:r>
      <w:r w:rsidR="00AF20AB">
        <w:t xml:space="preserve">. </w:t>
      </w:r>
      <w:r w:rsidR="007856CF" w:rsidRPr="00AF20AB">
        <w:t>The PBAC considered the assumed market growth (4.24% declining to 3.63% over 5 years) to be overestimated given lower growth rates in 2019 (2%) and 2020 (-2%). The PBAC noted that ESC</w:t>
      </w:r>
      <w:r w:rsidR="007856CF" w:rsidRPr="00AF20AB">
        <w:rPr>
          <w:iCs/>
        </w:rPr>
        <w:t xml:space="preserve"> considered that the assumed uptake rates (30% in Year 1 increasing to 60% in Year 6) were likely a substantial underestimate whereas </w:t>
      </w:r>
      <w:r w:rsidR="006B0BA1" w:rsidRPr="00AF20AB">
        <w:rPr>
          <w:iCs/>
        </w:rPr>
        <w:t xml:space="preserve">the </w:t>
      </w:r>
      <w:r w:rsidR="007856CF" w:rsidRPr="00AF20AB">
        <w:rPr>
          <w:iCs/>
        </w:rPr>
        <w:t xml:space="preserve">pre-PBAC Response considered that switching from azacitidine to decitabine+cedazuridine would be slow and gradual as azacitidine has been the only treatment option for some time, and that patients who are responding to treatment with azacitidine may not readily switch to a new treatment. The PBAC considered </w:t>
      </w:r>
      <w:r w:rsidR="001440A7" w:rsidRPr="00AF20AB">
        <w:rPr>
          <w:iCs/>
        </w:rPr>
        <w:t xml:space="preserve">the uptake rates assumed in the submission were unlikely to be exceeded noting the uncertainty regarding if decitabine+cedazuridine is non-inferior to </w:t>
      </w:r>
      <w:r w:rsidR="004F674D" w:rsidRPr="00AF20AB">
        <w:rPr>
          <w:iCs/>
        </w:rPr>
        <w:t>azacitidine</w:t>
      </w:r>
      <w:r w:rsidR="001440A7" w:rsidRPr="00AF20AB">
        <w:rPr>
          <w:iCs/>
        </w:rPr>
        <w:t xml:space="preserve"> in terms of effectiveness and the potential for increased adverse effects.</w:t>
      </w:r>
    </w:p>
    <w:p w:rsidR="00181D75" w:rsidRPr="00AF20AB" w:rsidRDefault="00181D75" w:rsidP="00181D75">
      <w:pPr>
        <w:pStyle w:val="3-BodyText"/>
      </w:pPr>
      <w:r w:rsidRPr="00AF20AB">
        <w:rPr>
          <w:iCs/>
        </w:rPr>
        <w:t xml:space="preserve">The </w:t>
      </w:r>
      <w:r w:rsidR="001440A7" w:rsidRPr="00AF20AB">
        <w:rPr>
          <w:iCs/>
        </w:rPr>
        <w:t xml:space="preserve">PBAC agreed with </w:t>
      </w:r>
      <w:r w:rsidRPr="00AF20AB">
        <w:rPr>
          <w:iCs/>
        </w:rPr>
        <w:t xml:space="preserve">ESC </w:t>
      </w:r>
      <w:r w:rsidR="001440A7" w:rsidRPr="00AF20AB">
        <w:rPr>
          <w:iCs/>
        </w:rPr>
        <w:t>that</w:t>
      </w:r>
      <w:r w:rsidRPr="00AF20AB">
        <w:rPr>
          <w:iCs/>
        </w:rPr>
        <w:t xml:space="preserve"> there may be an increase in </w:t>
      </w:r>
      <w:r w:rsidR="00287F4E" w:rsidRPr="00AF20AB">
        <w:rPr>
          <w:iCs/>
        </w:rPr>
        <w:t xml:space="preserve">the number of </w:t>
      </w:r>
      <w:r w:rsidRPr="00AF20AB">
        <w:rPr>
          <w:iCs/>
        </w:rPr>
        <w:t>patient</w:t>
      </w:r>
      <w:r w:rsidR="00287F4E" w:rsidRPr="00AF20AB">
        <w:rPr>
          <w:iCs/>
        </w:rPr>
        <w:t>s</w:t>
      </w:r>
      <w:r w:rsidRPr="00AF20AB">
        <w:rPr>
          <w:iCs/>
        </w:rPr>
        <w:t xml:space="preserve"> </w:t>
      </w:r>
      <w:r w:rsidR="00287F4E" w:rsidRPr="00AF20AB">
        <w:rPr>
          <w:iCs/>
        </w:rPr>
        <w:t>treated</w:t>
      </w:r>
      <w:r w:rsidRPr="00AF20AB">
        <w:rPr>
          <w:iCs/>
        </w:rPr>
        <w:t xml:space="preserve"> if decitabine+cedazuridine </w:t>
      </w:r>
      <w:r w:rsidR="006B0BA1" w:rsidRPr="00AF20AB">
        <w:rPr>
          <w:iCs/>
        </w:rPr>
        <w:t>was</w:t>
      </w:r>
      <w:r w:rsidRPr="00AF20AB">
        <w:rPr>
          <w:iCs/>
        </w:rPr>
        <w:t xml:space="preserve"> listed </w:t>
      </w:r>
      <w:r w:rsidR="001440A7" w:rsidRPr="00AF20AB">
        <w:rPr>
          <w:iCs/>
        </w:rPr>
        <w:t xml:space="preserve">due to </w:t>
      </w:r>
      <w:r w:rsidR="006B0BA1" w:rsidRPr="00AF20AB">
        <w:rPr>
          <w:iCs/>
        </w:rPr>
        <w:t xml:space="preserve">the </w:t>
      </w:r>
      <w:r w:rsidR="001440A7" w:rsidRPr="00AF20AB">
        <w:rPr>
          <w:iCs/>
        </w:rPr>
        <w:t>treatment of</w:t>
      </w:r>
      <w:r w:rsidRPr="00AF20AB">
        <w:rPr>
          <w:iCs/>
        </w:rPr>
        <w:t xml:space="preserve"> patients who are currently not on therapy </w:t>
      </w:r>
      <w:r w:rsidR="001440A7" w:rsidRPr="00AF20AB">
        <w:rPr>
          <w:iCs/>
        </w:rPr>
        <w:t>because of</w:t>
      </w:r>
      <w:r w:rsidRPr="00AF20AB">
        <w:rPr>
          <w:iCs/>
        </w:rPr>
        <w:t xml:space="preserve"> the administration requirements for azacitidine. </w:t>
      </w:r>
      <w:r w:rsidR="001440A7" w:rsidRPr="00AF20AB">
        <w:rPr>
          <w:iCs/>
        </w:rPr>
        <w:t xml:space="preserve">The PBAC </w:t>
      </w:r>
      <w:r w:rsidR="003C6C47" w:rsidRPr="00AF20AB">
        <w:rPr>
          <w:iCs/>
        </w:rPr>
        <w:t xml:space="preserve">noted </w:t>
      </w:r>
      <w:r w:rsidR="006B0BA1" w:rsidRPr="00AF20AB">
        <w:rPr>
          <w:iCs/>
        </w:rPr>
        <w:t>that</w:t>
      </w:r>
      <w:r w:rsidR="003C6C47" w:rsidRPr="00AF20AB">
        <w:rPr>
          <w:iCs/>
        </w:rPr>
        <w:t xml:space="preserve"> the sponsor </w:t>
      </w:r>
      <w:r w:rsidR="001B287B" w:rsidRPr="00AF20AB">
        <w:rPr>
          <w:iCs/>
        </w:rPr>
        <w:t>was</w:t>
      </w:r>
      <w:r w:rsidR="003C6C47" w:rsidRPr="00AF20AB">
        <w:rPr>
          <w:iCs/>
        </w:rPr>
        <w:t xml:space="preserve"> will</w:t>
      </w:r>
      <w:r w:rsidR="006B0BA1" w:rsidRPr="00AF20AB">
        <w:rPr>
          <w:iCs/>
        </w:rPr>
        <w:t>ing</w:t>
      </w:r>
      <w:r w:rsidR="003C6C47" w:rsidRPr="00AF20AB">
        <w:rPr>
          <w:iCs/>
        </w:rPr>
        <w:t xml:space="preserve"> to consider </w:t>
      </w:r>
      <w:r w:rsidR="001440A7" w:rsidRPr="00AF20AB">
        <w:rPr>
          <w:iCs/>
        </w:rPr>
        <w:t>a Risk Shar</w:t>
      </w:r>
      <w:r w:rsidR="003C6C47" w:rsidRPr="00AF20AB">
        <w:rPr>
          <w:iCs/>
        </w:rPr>
        <w:t>ing Arrangement (RSA)</w:t>
      </w:r>
      <w:r w:rsidR="001B287B" w:rsidRPr="00AF20AB">
        <w:rPr>
          <w:iCs/>
        </w:rPr>
        <w:t>,</w:t>
      </w:r>
      <w:r w:rsidR="003C6C47" w:rsidRPr="00AF20AB">
        <w:rPr>
          <w:iCs/>
        </w:rPr>
        <w:t xml:space="preserve"> and considered that such an agreement</w:t>
      </w:r>
      <w:r w:rsidR="001440A7" w:rsidRPr="00AF20AB">
        <w:rPr>
          <w:iCs/>
        </w:rPr>
        <w:t xml:space="preserve"> </w:t>
      </w:r>
      <w:r w:rsidR="003C6C47" w:rsidRPr="00AF20AB">
        <w:rPr>
          <w:iCs/>
        </w:rPr>
        <w:t xml:space="preserve">could address the risk of use in a broader patient population compared with </w:t>
      </w:r>
      <w:r w:rsidR="004F674D" w:rsidRPr="00AF20AB">
        <w:rPr>
          <w:iCs/>
        </w:rPr>
        <w:t>azacitidine</w:t>
      </w:r>
      <w:r w:rsidR="003C6C47" w:rsidRPr="00AF20AB">
        <w:rPr>
          <w:iCs/>
        </w:rPr>
        <w:t>.</w:t>
      </w:r>
    </w:p>
    <w:p w:rsidR="00C736BF" w:rsidRPr="00AF20AB" w:rsidRDefault="00C736BF" w:rsidP="003B0E20">
      <w:pPr>
        <w:pStyle w:val="3-BodyText"/>
      </w:pPr>
      <w:r w:rsidRPr="00AF20AB">
        <w:t>The PBAC advised that the restrictions for decitabine+cedazuridine should align with the existing azacitidine restrictions (i.e. restrictions for MDS, AML and CMML) and that the restriction for MDS should specify an upper threshold of 20% for bone marrow blasts consistent with the WHO classification system.</w:t>
      </w:r>
    </w:p>
    <w:p w:rsidR="00A35E19" w:rsidRPr="00AF20AB" w:rsidRDefault="003C6C47" w:rsidP="003B0E20">
      <w:pPr>
        <w:pStyle w:val="3-BodyText"/>
      </w:pPr>
      <w:r w:rsidRPr="00AF20AB">
        <w:t xml:space="preserve">The PBAC noted the sponsor’s request for an expanded listing for </w:t>
      </w:r>
      <w:r w:rsidRPr="00AF20AB">
        <w:rPr>
          <w:iCs/>
        </w:rPr>
        <w:t>decitabine+cedazuridine</w:t>
      </w:r>
      <w:r w:rsidRPr="00AF20AB">
        <w:t xml:space="preserve"> which includes intermediate-1 or lower risk patients, using the revised IPSS to stratify patients.</w:t>
      </w:r>
      <w:r w:rsidR="003B0E20" w:rsidRPr="00AF20AB">
        <w:t xml:space="preserve"> The PBAC did not consider this to be appropriate noting </w:t>
      </w:r>
      <w:r w:rsidR="00287F4E" w:rsidRPr="00AF20AB">
        <w:t>the available data to support this request was very limited</w:t>
      </w:r>
      <w:r w:rsidR="003B0E20" w:rsidRPr="00AF20AB">
        <w:t>.</w:t>
      </w:r>
    </w:p>
    <w:p w:rsidR="004B2722" w:rsidRPr="00AF20AB" w:rsidRDefault="00D16D27" w:rsidP="00342AAE">
      <w:pPr>
        <w:pStyle w:val="3-BodyText"/>
        <w:rPr>
          <w:i/>
        </w:rPr>
      </w:pPr>
      <w:r w:rsidRPr="00AF20AB">
        <w:rPr>
          <w:bCs/>
        </w:rPr>
        <w:t xml:space="preserve">The PBAC considered the outstanding issues may be addressed in a simple resubmission for </w:t>
      </w:r>
      <w:r w:rsidR="001E780A" w:rsidRPr="00AF20AB">
        <w:rPr>
          <w:bCs/>
        </w:rPr>
        <w:t>decitabine+cedazuridine</w:t>
      </w:r>
      <w:r w:rsidRPr="00AF20AB">
        <w:rPr>
          <w:bCs/>
        </w:rPr>
        <w:t xml:space="preserve"> if the following changes were made, without any additional amendments to the economic evaluation or financial implications:</w:t>
      </w:r>
    </w:p>
    <w:p w:rsidR="002E1B31" w:rsidRPr="00AF20AB" w:rsidRDefault="009775D2" w:rsidP="00D96689">
      <w:pPr>
        <w:pStyle w:val="3-BodyText"/>
        <w:numPr>
          <w:ilvl w:val="0"/>
          <w:numId w:val="12"/>
        </w:numPr>
        <w:rPr>
          <w:i/>
        </w:rPr>
      </w:pPr>
      <w:r w:rsidRPr="00AF20AB">
        <w:t>A</w:t>
      </w:r>
      <w:r w:rsidR="001F629D" w:rsidRPr="00AF20AB">
        <w:t xml:space="preserve"> revised </w:t>
      </w:r>
      <w:r w:rsidRPr="00AF20AB">
        <w:t>cost-minimisation analysis</w:t>
      </w:r>
      <w:r w:rsidR="00163D77" w:rsidRPr="00AF20AB">
        <w:t xml:space="preserve"> </w:t>
      </w:r>
      <w:r w:rsidR="006B0BA1" w:rsidRPr="00AF20AB">
        <w:t>informed by conservative assumptions</w:t>
      </w:r>
      <w:r w:rsidR="006871C6" w:rsidRPr="00AF20AB">
        <w:t xml:space="preserve">. </w:t>
      </w:r>
    </w:p>
    <w:p w:rsidR="00517FBD" w:rsidRPr="00AF20AB" w:rsidRDefault="00517FBD" w:rsidP="00D96689">
      <w:pPr>
        <w:pStyle w:val="3-BodyText"/>
        <w:numPr>
          <w:ilvl w:val="0"/>
          <w:numId w:val="12"/>
        </w:numPr>
        <w:rPr>
          <w:i/>
        </w:rPr>
      </w:pPr>
      <w:r w:rsidRPr="00AF20AB">
        <w:t xml:space="preserve">Revised financial estimates which account for the revised lower cost-minimised price </w:t>
      </w:r>
      <w:r w:rsidR="00D96689" w:rsidRPr="00AF20AB">
        <w:t xml:space="preserve">and </w:t>
      </w:r>
      <w:r w:rsidR="006B0BA1" w:rsidRPr="00AF20AB">
        <w:t>reduced growth rates</w:t>
      </w:r>
      <w:r w:rsidR="006871C6" w:rsidRPr="00AF20AB">
        <w:t>.</w:t>
      </w:r>
      <w:r w:rsidR="00D96689" w:rsidRPr="00AF20AB">
        <w:t xml:space="preserve"> </w:t>
      </w:r>
    </w:p>
    <w:p w:rsidR="006B0BA1" w:rsidRPr="00AF20AB" w:rsidRDefault="006B0BA1" w:rsidP="00D96689">
      <w:pPr>
        <w:pStyle w:val="3-BodyText"/>
        <w:numPr>
          <w:ilvl w:val="0"/>
          <w:numId w:val="12"/>
        </w:numPr>
        <w:rPr>
          <w:i/>
        </w:rPr>
      </w:pPr>
      <w:r w:rsidRPr="00AF20AB">
        <w:t>A proposed RSA which include expenditure caps and rebate for use in excess of these caps.</w:t>
      </w:r>
    </w:p>
    <w:p w:rsidR="001E780A" w:rsidRPr="00AF20AB" w:rsidRDefault="001E780A" w:rsidP="00342AAE">
      <w:pPr>
        <w:pStyle w:val="3-BodyText"/>
        <w:rPr>
          <w:i/>
        </w:rPr>
      </w:pPr>
      <w:r w:rsidRPr="00AF20AB">
        <w:rPr>
          <w:bCs/>
        </w:rPr>
        <w:t>The PBAC considered an early re-entry pathway would be acceptable if the resubmission addressed each of the points in the above paragraph with no further adjustment. The resubmission must be lodged by week 7 of the current PBAC cycle or the next cycle. If any of these terms are not acceptable to the sponsor, a standard re-entry pathway is available.</w:t>
      </w:r>
    </w:p>
    <w:p w:rsidR="007E0C69" w:rsidRPr="00AF20AB" w:rsidRDefault="00F32C75" w:rsidP="00342AAE">
      <w:pPr>
        <w:pStyle w:val="3-BodyText"/>
        <w:rPr>
          <w:i/>
        </w:rPr>
      </w:pPr>
      <w:r w:rsidRPr="00AF20AB">
        <w:t>The PBAC noted that this submission is elig</w:t>
      </w:r>
      <w:r w:rsidR="005603BD" w:rsidRPr="00AF20AB">
        <w:t>ible for an independent review.</w:t>
      </w:r>
    </w:p>
    <w:p w:rsidR="00796118" w:rsidRPr="00AF20AB" w:rsidRDefault="00796118" w:rsidP="00796118">
      <w:pPr>
        <w:spacing w:before="240"/>
        <w:rPr>
          <w:rFonts w:asciiTheme="minorHAnsi" w:hAnsiTheme="minorHAnsi"/>
          <w:b/>
          <w:bCs/>
          <w:snapToGrid w:val="0"/>
        </w:rPr>
      </w:pPr>
      <w:r w:rsidRPr="00AF20AB">
        <w:rPr>
          <w:rFonts w:asciiTheme="minorHAnsi" w:hAnsiTheme="minorHAnsi"/>
          <w:b/>
          <w:bCs/>
          <w:snapToGrid w:val="0"/>
        </w:rPr>
        <w:t>Outcome:</w:t>
      </w:r>
    </w:p>
    <w:p w:rsidR="00796118" w:rsidRPr="00AF20AB" w:rsidRDefault="00796118" w:rsidP="0097453F">
      <w:pPr>
        <w:tabs>
          <w:tab w:val="left" w:pos="7601"/>
        </w:tabs>
        <w:rPr>
          <w:rFonts w:asciiTheme="minorHAnsi" w:hAnsiTheme="minorHAnsi"/>
          <w:bCs/>
          <w:snapToGrid w:val="0"/>
        </w:rPr>
      </w:pPr>
      <w:r w:rsidRPr="00AF20AB">
        <w:rPr>
          <w:rFonts w:asciiTheme="minorHAnsi" w:hAnsiTheme="minorHAnsi"/>
          <w:bCs/>
          <w:snapToGrid w:val="0"/>
        </w:rPr>
        <w:t xml:space="preserve">Rejected </w:t>
      </w:r>
      <w:r w:rsidR="0097453F" w:rsidRPr="00AF20AB">
        <w:rPr>
          <w:rFonts w:asciiTheme="minorHAnsi" w:hAnsiTheme="minorHAnsi"/>
          <w:bCs/>
          <w:snapToGrid w:val="0"/>
        </w:rPr>
        <w:t xml:space="preserve"> </w:t>
      </w:r>
      <w:r w:rsidR="0097453F" w:rsidRPr="00AF20AB">
        <w:rPr>
          <w:rFonts w:asciiTheme="minorHAnsi" w:hAnsiTheme="minorHAnsi"/>
          <w:bCs/>
          <w:snapToGrid w:val="0"/>
        </w:rPr>
        <w:tab/>
      </w:r>
    </w:p>
    <w:p w:rsidR="00F65DC0" w:rsidRPr="00F65DC0" w:rsidRDefault="00F65DC0" w:rsidP="00F65DC0">
      <w:pPr>
        <w:pStyle w:val="2-SectionHeading"/>
      </w:pPr>
      <w:r w:rsidRPr="00C07617">
        <w:t>Context for Decision</w:t>
      </w:r>
    </w:p>
    <w:p w:rsidR="00F65DC0" w:rsidRPr="007129F2" w:rsidRDefault="00F65DC0" w:rsidP="00F65DC0">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F65DC0" w:rsidRPr="00F65DC0" w:rsidRDefault="00F65DC0" w:rsidP="00F65DC0">
      <w:pPr>
        <w:pStyle w:val="2-SectionHeading"/>
      </w:pPr>
      <w:r>
        <w:t>Sponsor’s Comment</w:t>
      </w:r>
    </w:p>
    <w:p w:rsidR="0021220F" w:rsidRPr="0021220F" w:rsidRDefault="0021220F" w:rsidP="0021220F">
      <w:pPr>
        <w:pStyle w:val="2-SectionHeading"/>
        <w:numPr>
          <w:ilvl w:val="0"/>
          <w:numId w:val="0"/>
        </w:numPr>
        <w:ind w:left="720"/>
        <w:rPr>
          <w:rFonts w:cs="Calibri"/>
          <w:b w:val="0"/>
          <w:sz w:val="24"/>
          <w:szCs w:val="24"/>
        </w:rPr>
      </w:pPr>
      <w:r w:rsidRPr="0021220F">
        <w:rPr>
          <w:b w:val="0"/>
          <w:sz w:val="24"/>
          <w:szCs w:val="24"/>
        </w:rPr>
        <w:t>Otsuka Australia Pharmaceutical is disappointed that decitabine+cedazuridine has not received a positive recommendation and is committed to working with the PBAC and the Department of Health to find a way to make this important treatment accessible to patients in Australia</w:t>
      </w:r>
    </w:p>
    <w:p w:rsidR="00F65DC0" w:rsidRPr="00AF20AB" w:rsidRDefault="00F65DC0" w:rsidP="0021220F">
      <w:pPr>
        <w:spacing w:after="120"/>
        <w:ind w:left="720"/>
        <w:rPr>
          <w:highlight w:val="yellow"/>
        </w:rPr>
      </w:pPr>
    </w:p>
    <w:sectPr w:rsidR="00F65DC0" w:rsidRPr="00AF20AB"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F2FE5" w16cex:dateUtc="2021-01-17T11:51:00Z"/>
  <w16cex:commentExtensible w16cex:durableId="23AF261C" w16cex:dateUtc="2021-01-17T11:09:00Z"/>
  <w16cex:commentExtensible w16cex:durableId="23B1F518" w16cex:dateUtc="2021-01-19T14:17:00Z"/>
  <w16cex:commentExtensible w16cex:durableId="23AF6698" w16cex:dateUtc="2021-01-17T15:44:00Z"/>
  <w16cex:commentExtensible w16cex:durableId="23AF6742" w16cex:dateUtc="2021-01-17T15:47:00Z"/>
  <w16cex:commentExtensible w16cex:durableId="23AF693D" w16cex:dateUtc="2021-01-17T15:56:00Z"/>
  <w16cex:commentExtensible w16cex:durableId="23B1EEFD" w16cex:dateUtc="2021-01-19T13:51:00Z"/>
  <w16cex:commentExtensible w16cex:durableId="23AF422D" w16cex:dateUtc="2021-01-17T13:09:00Z"/>
  <w16cex:commentExtensible w16cex:durableId="23B14A43" w16cex:dateUtc="2021-01-19T02:08:00Z"/>
  <w16cex:commentExtensible w16cex:durableId="23AF38F2" w16cex:dateUtc="2021-01-17T12:30:00Z"/>
  <w16cex:commentExtensible w16cex:durableId="23B16F0B" w16cex:dateUtc="2021-01-19T04:45:00Z"/>
  <w16cex:commentExtensible w16cex:durableId="23AF3FC5" w16cex:dateUtc="2021-01-17T12:59:00Z"/>
  <w16cex:commentExtensible w16cex:durableId="23AF3F21" w16cex:dateUtc="2021-01-17T12:56:00Z"/>
  <w16cex:commentExtensible w16cex:durableId="23B1C573" w16cex:dateUtc="2021-01-19T10:54:00Z"/>
  <w16cex:commentExtensible w16cex:durableId="23B1D0B0" w16cex:dateUtc="2021-01-19T11:42:00Z"/>
  <w16cex:commentExtensible w16cex:durableId="23AF43D7" w16cex:dateUtc="2021-01-17T13:16:00Z"/>
  <w16cex:commentExtensible w16cex:durableId="23AF4846" w16cex:dateUtc="2021-01-17T13:35:00Z"/>
  <w16cex:commentExtensible w16cex:durableId="23AF49E2" w16cex:dateUtc="2021-01-17T13:42:00Z"/>
  <w16cex:commentExtensible w16cex:durableId="23AF4C22" w16cex:dateUtc="2021-01-17T13:52:00Z"/>
  <w16cex:commentExtensible w16cex:durableId="23AF508D" w16cex:dateUtc="2021-01-17T14:10:00Z"/>
  <w16cex:commentExtensible w16cex:durableId="23AF51C8" w16cex:dateUtc="2021-01-17T14:16:00Z"/>
  <w16cex:commentExtensible w16cex:durableId="23AF51FB" w16cex:dateUtc="2021-01-17T14:16:00Z"/>
  <w16cex:commentExtensible w16cex:durableId="23B1E05E" w16cex:dateUtc="2021-01-19T12:49:00Z"/>
  <w16cex:commentExtensible w16cex:durableId="23AF3630" w16cex:dateUtc="2021-01-17T12:18:00Z"/>
  <w16cex:commentExtensible w16cex:durableId="23AF5920" w16cex:dateUtc="2021-01-17T14:47:00Z"/>
  <w16cex:commentExtensible w16cex:durableId="23AF225F" w16cex:dateUtc="2021-01-17T10:53:00Z"/>
  <w16cex:commentExtensible w16cex:durableId="23B1D3C9" w16cex:dateUtc="2021-01-19T11:55:00Z"/>
  <w16cex:commentExtensible w16cex:durableId="23B1CB1A" w16cex:dateUtc="2021-01-19T11:18:00Z"/>
  <w16cex:commentExtensible w16cex:durableId="23AF5B54" w16cex:dateUtc="2021-01-17T14:56:00Z"/>
  <w16cex:commentExtensible w16cex:durableId="23AF658C" w16cex:dateUtc="2021-01-17T15:40:00Z"/>
  <w16cex:commentExtensible w16cex:durableId="23AF60A4" w16cex:dateUtc="2021-01-17T15:19:00Z"/>
  <w16cex:commentExtensible w16cex:durableId="23AF62BF" w16cex:dateUtc="2021-01-17T15:28:00Z"/>
  <w16cex:commentExtensible w16cex:durableId="23AF625A" w16cex:dateUtc="2021-01-17T15:26:00Z"/>
  <w16cex:commentExtensible w16cex:durableId="23AF1886" w16cex:dateUtc="2021-01-17T10:11:00Z"/>
  <w16cex:commentExtensible w16cex:durableId="23AF16E0" w16cex:dateUtc="2021-01-17T10:04:00Z"/>
  <w16cex:commentExtensible w16cex:durableId="23AF0B11" w16cex:dateUtc="2021-01-17T09:14:00Z"/>
  <w16cex:commentExtensible w16cex:durableId="23B1DBE6" w16cex:dateUtc="2021-01-19T12:29:00Z"/>
  <w16cex:commentExtensible w16cex:durableId="23AF0BD7" w16cex:dateUtc="2021-01-17T09:17:00Z"/>
  <w16cex:commentExtensible w16cex:durableId="23AEC848" w16cex:dateUtc="2021-01-17T04:29:00Z"/>
  <w16cex:commentExtensible w16cex:durableId="23AF47E8" w16cex:dateUtc="2021-01-17T13:34:00Z"/>
  <w16cex:commentExtensible w16cex:durableId="23B1E2C0" w16cex:dateUtc="2021-01-19T12:59:00Z"/>
  <w16cex:commentExtensible w16cex:durableId="23B1E3CE" w16cex:dateUtc="2021-01-19T13:03:00Z"/>
  <w16cex:commentExtensible w16cex:durableId="23B1E58D" w16cex:dateUtc="2021-01-19T13:11:00Z"/>
  <w16cex:commentExtensible w16cex:durableId="23B1E70C" w16cex:dateUtc="2021-01-19T13:17:00Z"/>
  <w16cex:commentExtensible w16cex:durableId="23AF167B" w16cex:dateUtc="2021-01-17T10:03:00Z"/>
  <w16cex:commentExtensible w16cex:durableId="23B1E943" w16cex:dateUtc="2021-01-19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2EFC79" w16cid:durableId="23AAF006"/>
  <w16cid:commentId w16cid:paraId="7D45AB84" w16cid:durableId="23AF2FE5"/>
  <w16cid:commentId w16cid:paraId="0D662509" w16cid:durableId="23B1166A"/>
  <w16cid:commentId w16cid:paraId="7B349B68" w16cid:durableId="23AAF007"/>
  <w16cid:commentId w16cid:paraId="492D9FCF" w16cid:durableId="23AF261C"/>
  <w16cid:commentId w16cid:paraId="4EB15772" w16cid:durableId="23B1F518"/>
  <w16cid:commentId w16cid:paraId="03DBB583" w16cid:durableId="23AAF008"/>
  <w16cid:commentId w16cid:paraId="6B09652F" w16cid:durableId="23AF6698"/>
  <w16cid:commentId w16cid:paraId="42ECD0C2" w16cid:durableId="23B1166F"/>
  <w16cid:commentId w16cid:paraId="19244BD7" w16cid:durableId="23AF6742"/>
  <w16cid:commentId w16cid:paraId="77D2A68D" w16cid:durableId="23AAF009"/>
  <w16cid:commentId w16cid:paraId="038C75E5" w16cid:durableId="23AF693D"/>
  <w16cid:commentId w16cid:paraId="0C6B5D98" w16cid:durableId="23B11673"/>
  <w16cid:commentId w16cid:paraId="467D022B" w16cid:durableId="23B1EEFD"/>
  <w16cid:commentId w16cid:paraId="4B0B4541" w16cid:durableId="23AAF00B"/>
  <w16cid:commentId w16cid:paraId="403FCBFE" w16cid:durableId="23AF422D"/>
  <w16cid:commentId w16cid:paraId="58E6C1FB" w16cid:durableId="23B11678"/>
  <w16cid:commentId w16cid:paraId="602E04E7" w16cid:durableId="23B14A43"/>
  <w16cid:commentId w16cid:paraId="03A57380" w16cid:durableId="23AAF00C"/>
  <w16cid:commentId w16cid:paraId="6EB43FF5" w16cid:durableId="23AF38F2"/>
  <w16cid:commentId w16cid:paraId="3709F785" w16cid:durableId="23B1167B"/>
  <w16cid:commentId w16cid:paraId="53142A4D" w16cid:durableId="23B16F0B"/>
  <w16cid:commentId w16cid:paraId="1C65A2E9" w16cid:durableId="23AAF00D"/>
  <w16cid:commentId w16cid:paraId="24532C92" w16cid:durableId="23AF3FC5"/>
  <w16cid:commentId w16cid:paraId="04383C69" w16cid:durableId="23AF3F21"/>
  <w16cid:commentId w16cid:paraId="44EFCE0E" w16cid:durableId="23B11682"/>
  <w16cid:commentId w16cid:paraId="514A9AA3" w16cid:durableId="23B1C573"/>
  <w16cid:commentId w16cid:paraId="58B3F003" w16cid:durableId="23B1D0B0"/>
  <w16cid:commentId w16cid:paraId="3658398A" w16cid:durableId="23AAF00F"/>
  <w16cid:commentId w16cid:paraId="791319AD" w16cid:durableId="23AF43D7"/>
  <w16cid:commentId w16cid:paraId="2252F1AF" w16cid:durableId="23B11685"/>
  <w16cid:commentId w16cid:paraId="681A54C0" w16cid:durableId="23AAF010"/>
  <w16cid:commentId w16cid:paraId="19B85688" w16cid:durableId="23AF4846"/>
  <w16cid:commentId w16cid:paraId="616F1D0B" w16cid:durableId="23AAF011"/>
  <w16cid:commentId w16cid:paraId="0E4B1307" w16cid:durableId="23AF49E2"/>
  <w16cid:commentId w16cid:paraId="6CAA92A5" w16cid:durableId="23AAF012"/>
  <w16cid:commentId w16cid:paraId="7C522DF1" w16cid:durableId="23AF4C22"/>
  <w16cid:commentId w16cid:paraId="3DA91E61" w16cid:durableId="23AAF014"/>
  <w16cid:commentId w16cid:paraId="2AE93C1F" w16cid:durableId="23AF508D"/>
  <w16cid:commentId w16cid:paraId="4B1AE0B6" w16cid:durableId="23AAF015"/>
  <w16cid:commentId w16cid:paraId="3E677F0E" w16cid:durableId="23AF51C8"/>
  <w16cid:commentId w16cid:paraId="36AA6034" w16cid:durableId="23AAF016"/>
  <w16cid:commentId w16cid:paraId="47471B59" w16cid:durableId="23AF51FB"/>
  <w16cid:commentId w16cid:paraId="22B8B505" w16cid:durableId="23B1E05E"/>
  <w16cid:commentId w16cid:paraId="24941D66" w16cid:durableId="23AF3630"/>
  <w16cid:commentId w16cid:paraId="0FCA8672" w16cid:durableId="23AAF018"/>
  <w16cid:commentId w16cid:paraId="3E122388" w16cid:durableId="23AF5920"/>
  <w16cid:commentId w16cid:paraId="0830C64A" w16cid:durableId="23AAF01A"/>
  <w16cid:commentId w16cid:paraId="18E9C8DA" w16cid:durableId="23AF225F"/>
  <w16cid:commentId w16cid:paraId="441C14B5" w16cid:durableId="23B1D3C9"/>
  <w16cid:commentId w16cid:paraId="6A1018B3" w16cid:durableId="23B1CB1A"/>
  <w16cid:commentId w16cid:paraId="22CF4B44" w16cid:durableId="23AAF01B"/>
  <w16cid:commentId w16cid:paraId="5BA419EB" w16cid:durableId="23AF5B54"/>
  <w16cid:commentId w16cid:paraId="25C4B6E8" w16cid:durableId="23B11699"/>
  <w16cid:commentId w16cid:paraId="2B8FCBB1" w16cid:durableId="23B1169A"/>
  <w16cid:commentId w16cid:paraId="0A41A698" w16cid:durableId="23B1169B"/>
  <w16cid:commentId w16cid:paraId="456056F3" w16cid:durableId="23AF658C"/>
  <w16cid:commentId w16cid:paraId="3BABF3DB" w16cid:durableId="23B1169D"/>
  <w16cid:commentId w16cid:paraId="71EC457E" w16cid:durableId="23AAF01D"/>
  <w16cid:commentId w16cid:paraId="4E7B8E53" w16cid:durableId="23AF60A4"/>
  <w16cid:commentId w16cid:paraId="3ED6ABCC" w16cid:durableId="23B116A0"/>
  <w16cid:commentId w16cid:paraId="77BE5C52" w16cid:durableId="23AAF01E"/>
  <w16cid:commentId w16cid:paraId="53C6A836" w16cid:durableId="23AF62BF"/>
  <w16cid:commentId w16cid:paraId="20B5C68B" w16cid:durableId="23B116A3"/>
  <w16cid:commentId w16cid:paraId="5B46AA08" w16cid:durableId="23AAF01F"/>
  <w16cid:commentId w16cid:paraId="27B93266" w16cid:durableId="23AF625A"/>
  <w16cid:commentId w16cid:paraId="750AFDA3" w16cid:durableId="23B116A6"/>
  <w16cid:commentId w16cid:paraId="1CE13527" w16cid:durableId="23AAF020"/>
  <w16cid:commentId w16cid:paraId="7193528E" w16cid:durableId="23AF1886"/>
  <w16cid:commentId w16cid:paraId="68BDE486" w16cid:durableId="23AAF021"/>
  <w16cid:commentId w16cid:paraId="415E125B" w16cid:durableId="23AF16E0"/>
  <w16cid:commentId w16cid:paraId="0ED2FB7E" w16cid:durableId="23B116AB"/>
  <w16cid:commentId w16cid:paraId="49B80CB6" w16cid:durableId="23B116AC"/>
  <w16cid:commentId w16cid:paraId="2E38400C" w16cid:durableId="23AAF022"/>
  <w16cid:commentId w16cid:paraId="6048BE67" w16cid:durableId="23AF0B11"/>
  <w16cid:commentId w16cid:paraId="0EE36645" w16cid:durableId="23B116AF"/>
  <w16cid:commentId w16cid:paraId="7680E2DA" w16cid:durableId="23B1DBE6"/>
  <w16cid:commentId w16cid:paraId="3DFE3AAC" w16cid:durableId="23AAF023"/>
  <w16cid:commentId w16cid:paraId="6A6500E0" w16cid:durableId="23AF0BD7"/>
  <w16cid:commentId w16cid:paraId="0274983D" w16cid:durableId="23B116B2"/>
  <w16cid:commentId w16cid:paraId="775A6A3D" w16cid:durableId="23B116B3"/>
  <w16cid:commentId w16cid:paraId="5839774E" w16cid:durableId="23B116B4"/>
  <w16cid:commentId w16cid:paraId="3CF980C8" w16cid:durableId="23AAF024"/>
  <w16cid:commentId w16cid:paraId="2340251A" w16cid:durableId="23AEC848"/>
  <w16cid:commentId w16cid:paraId="65BABE46" w16cid:durableId="23AF47E8"/>
  <w16cid:commentId w16cid:paraId="0F2EC3D9" w16cid:durableId="23B1E2C0"/>
  <w16cid:commentId w16cid:paraId="39FF28E5" w16cid:durableId="23B1E3CE"/>
  <w16cid:commentId w16cid:paraId="5C49E544" w16cid:durableId="23B1E58D"/>
  <w16cid:commentId w16cid:paraId="0E099388" w16cid:durableId="23B1E70C"/>
  <w16cid:commentId w16cid:paraId="6C7B302E" w16cid:durableId="23AF167B"/>
  <w16cid:commentId w16cid:paraId="7C9EAC18" w16cid:durableId="23B1E9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580" w:rsidRDefault="00A02580" w:rsidP="00124A51">
      <w:r>
        <w:separator/>
      </w:r>
    </w:p>
    <w:p w:rsidR="00A02580" w:rsidRDefault="00A02580"/>
  </w:endnote>
  <w:endnote w:type="continuationSeparator" w:id="0">
    <w:p w:rsidR="00A02580" w:rsidRDefault="00A02580" w:rsidP="00124A51">
      <w:r>
        <w:continuationSeparator/>
      </w:r>
    </w:p>
    <w:p w:rsidR="00A02580" w:rsidRDefault="00A02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IDFont+F7">
    <w:panose1 w:val="00000000000000000000"/>
    <w:charset w:val="00"/>
    <w:family w:val="auto"/>
    <w:notTrueType/>
    <w:pitch w:val="default"/>
    <w:sig w:usb0="00000003" w:usb1="00000000" w:usb2="00000000" w:usb3="00000000" w:csb0="00000001" w:csb1="00000000"/>
  </w:font>
  <w:font w:name="CIDFont+F8">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80" w:rsidRDefault="00A02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06" w:rsidRDefault="00536906">
    <w:pPr>
      <w:pStyle w:val="Footer"/>
    </w:pPr>
  </w:p>
  <w:p w:rsidR="00536906" w:rsidRPr="00D1629B" w:rsidRDefault="00536906" w:rsidP="00A45A2B">
    <w:pPr>
      <w:keepNext/>
      <w:tabs>
        <w:tab w:val="center" w:pos="4153"/>
        <w:tab w:val="right" w:pos="8306"/>
      </w:tabs>
      <w:spacing w:after="120"/>
      <w:ind w:left="360"/>
      <w:jc w:val="center"/>
      <w:rPr>
        <w:lang w:eastAsia="en-US"/>
      </w:rPr>
    </w:pPr>
    <w:r w:rsidRPr="00A45A2B">
      <w:rPr>
        <w:b/>
        <w:lang w:eastAsia="en-US"/>
      </w:rPr>
      <w:fldChar w:fldCharType="begin"/>
    </w:r>
    <w:r w:rsidRPr="00A45A2B">
      <w:rPr>
        <w:b/>
        <w:lang w:eastAsia="en-US"/>
      </w:rPr>
      <w:instrText xml:space="preserve"> PAGE   \* MERGEFORMAT </w:instrText>
    </w:r>
    <w:r w:rsidRPr="00A45A2B">
      <w:rPr>
        <w:b/>
        <w:lang w:eastAsia="en-US"/>
      </w:rPr>
      <w:fldChar w:fldCharType="separate"/>
    </w:r>
    <w:r w:rsidR="00C86C32">
      <w:rPr>
        <w:b/>
        <w:noProof/>
        <w:lang w:eastAsia="en-US"/>
      </w:rPr>
      <w:t>29</w:t>
    </w:r>
    <w:r w:rsidRPr="00A45A2B">
      <w:rPr>
        <w:b/>
        <w:noProof/>
        <w:lang w:eastAsia="en-US"/>
      </w:rPr>
      <w:fldChar w:fldCharType="end"/>
    </w:r>
    <w:r w:rsidRPr="00A45A2B">
      <w:rPr>
        <w:b/>
        <w:noProof/>
        <w:lang w:eastAsia="en-US"/>
      </w:rPr>
      <w:t xml:space="preserve"> </w:t>
    </w:r>
  </w:p>
  <w:p w:rsidR="00536906" w:rsidRDefault="00536906" w:rsidP="00A45A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80" w:rsidRDefault="00A0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580" w:rsidRDefault="00A02580" w:rsidP="00124A51">
      <w:r>
        <w:separator/>
      </w:r>
    </w:p>
    <w:p w:rsidR="00A02580" w:rsidRDefault="00A02580"/>
  </w:footnote>
  <w:footnote w:type="continuationSeparator" w:id="0">
    <w:p w:rsidR="00A02580" w:rsidRDefault="00A02580" w:rsidP="00124A51">
      <w:r>
        <w:continuationSeparator/>
      </w:r>
    </w:p>
    <w:p w:rsidR="00A02580" w:rsidRDefault="00A02580"/>
  </w:footnote>
  <w:footnote w:id="1">
    <w:p w:rsidR="00536906" w:rsidRPr="002E3D37" w:rsidRDefault="00536906" w:rsidP="00D6331B">
      <w:pPr>
        <w:rPr>
          <w:rFonts w:ascii="Times New Roman" w:hAnsi="Times New Roman" w:cs="Times New Roman"/>
          <w:sz w:val="20"/>
          <w:szCs w:val="20"/>
          <w:lang w:eastAsia="en-GB"/>
        </w:rPr>
      </w:pPr>
      <w:r>
        <w:rPr>
          <w:rStyle w:val="FootnoteReference"/>
        </w:rPr>
        <w:footnoteRef/>
      </w:r>
      <w:r>
        <w:t xml:space="preserve"> </w:t>
      </w:r>
      <w:r w:rsidRPr="00856816">
        <w:rPr>
          <w:sz w:val="20"/>
          <w:szCs w:val="20"/>
        </w:rPr>
        <w:t>Komrokji RS, Al Ali NH, Sallman D, Padron E et al</w:t>
      </w:r>
      <w:r>
        <w:rPr>
          <w:sz w:val="20"/>
          <w:szCs w:val="20"/>
        </w:rPr>
        <w:t xml:space="preserve">. </w:t>
      </w:r>
      <w:r w:rsidRPr="00856816">
        <w:rPr>
          <w:sz w:val="20"/>
          <w:szCs w:val="20"/>
        </w:rPr>
        <w:t>Validation of International Working Group response criteria in higher-risk myelodysplastic syndromes: A report on behalf of the MDS Clinical Research Consortium</w:t>
      </w:r>
      <w:r>
        <w:rPr>
          <w:sz w:val="20"/>
          <w:szCs w:val="20"/>
        </w:rPr>
        <w:t xml:space="preserve">. </w:t>
      </w:r>
      <w:r w:rsidRPr="00856816">
        <w:rPr>
          <w:i/>
          <w:iCs/>
          <w:sz w:val="20"/>
          <w:szCs w:val="20"/>
        </w:rPr>
        <w:t>Cancer Medicine</w:t>
      </w:r>
      <w:r w:rsidRPr="00856816">
        <w:rPr>
          <w:sz w:val="20"/>
          <w:szCs w:val="20"/>
        </w:rPr>
        <w:t xml:space="preserve"> 2020; DOI: 10.002/cam4.3608.</w:t>
      </w:r>
    </w:p>
    <w:p w:rsidR="00536906" w:rsidRDefault="00536906" w:rsidP="00D6331B">
      <w:pPr>
        <w:pStyle w:val="FootnoteText"/>
      </w:pPr>
    </w:p>
  </w:footnote>
  <w:footnote w:id="2">
    <w:p w:rsidR="00536906" w:rsidRPr="00517499" w:rsidRDefault="00536906" w:rsidP="00517499">
      <w:pPr>
        <w:pStyle w:val="FootnoteText"/>
        <w:rPr>
          <w:i/>
        </w:rPr>
      </w:pPr>
      <w:r>
        <w:rPr>
          <w:rStyle w:val="FootnoteReference"/>
        </w:rPr>
        <w:footnoteRef/>
      </w:r>
      <w:r>
        <w:t xml:space="preserve"> </w:t>
      </w:r>
      <w:r>
        <w:rPr>
          <w:i/>
        </w:rPr>
        <w:t xml:space="preserve">Wu D, Du X, Jin J, Xiao Z et al. </w:t>
      </w:r>
      <w:r w:rsidRPr="00517499">
        <w:rPr>
          <w:i/>
        </w:rPr>
        <w:t>Decitabine f</w:t>
      </w:r>
      <w:r>
        <w:rPr>
          <w:i/>
        </w:rPr>
        <w:t xml:space="preserve">or Treatment of Myelodysplastic </w:t>
      </w:r>
      <w:r w:rsidRPr="00517499">
        <w:rPr>
          <w:i/>
        </w:rPr>
        <w:t>Syndromes in C</w:t>
      </w:r>
      <w:r>
        <w:rPr>
          <w:i/>
        </w:rPr>
        <w:t xml:space="preserve">hinese Patients: An Open-Label, </w:t>
      </w:r>
      <w:r w:rsidRPr="00517499">
        <w:rPr>
          <w:i/>
        </w:rPr>
        <w:t>Phase-3b Study</w:t>
      </w:r>
      <w:r>
        <w:rPr>
          <w:i/>
        </w:rPr>
        <w:t>. Adv Ther 2015;</w:t>
      </w:r>
      <w:r w:rsidRPr="00517499">
        <w:rPr>
          <w:i/>
        </w:rPr>
        <w:t xml:space="preserve"> 32:1140–1159</w:t>
      </w:r>
      <w:r>
        <w:rPr>
          <w:i/>
        </w:rPr>
        <w:t>.</w:t>
      </w:r>
    </w:p>
  </w:footnote>
  <w:footnote w:id="3">
    <w:p w:rsidR="00536906" w:rsidRDefault="00536906" w:rsidP="000B53CC">
      <w:pPr>
        <w:pStyle w:val="FootnoteText"/>
      </w:pPr>
      <w:r>
        <w:rPr>
          <w:rStyle w:val="FootnoteReference"/>
        </w:rPr>
        <w:footnoteRef/>
      </w:r>
      <w:r>
        <w:t xml:space="preserve"> Lee YG, Kim I, Yoon SS, Park S et al. Comparative analysis between azacitidine and decitabine for the treatment of myelodysplastic syndromes. </w:t>
      </w:r>
      <w:r w:rsidRPr="002C1FB9">
        <w:rPr>
          <w:i/>
          <w:iCs/>
        </w:rPr>
        <w:t>Br J Haematol</w:t>
      </w:r>
      <w:r>
        <w:t xml:space="preserve"> 2013; 161: 339-347.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80" w:rsidRDefault="00A02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06" w:rsidRPr="00D1629B" w:rsidRDefault="00536906" w:rsidP="00A45A2B">
    <w:pPr>
      <w:keepNext/>
      <w:tabs>
        <w:tab w:val="center" w:pos="4153"/>
        <w:tab w:val="right" w:pos="8306"/>
      </w:tabs>
      <w:ind w:left="360"/>
      <w:jc w:val="center"/>
      <w:rPr>
        <w:i/>
        <w:color w:val="808080"/>
        <w:lang w:eastAsia="en-US"/>
      </w:rPr>
    </w:pPr>
    <w:r>
      <w:rPr>
        <w:i/>
        <w:color w:val="808080"/>
        <w:lang w:eastAsia="en-US"/>
      </w:rPr>
      <w:t>Public Summary Document</w:t>
    </w:r>
    <w:r w:rsidRPr="00D1629B">
      <w:rPr>
        <w:i/>
        <w:color w:val="808080"/>
        <w:lang w:eastAsia="en-US"/>
      </w:rPr>
      <w:t xml:space="preserve"> – March 2021 PBAC Meeting</w:t>
    </w:r>
  </w:p>
  <w:p w:rsidR="00536906" w:rsidRDefault="0053690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80" w:rsidRDefault="00A02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12C0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465366"/>
    <w:multiLevelType w:val="hybridMultilevel"/>
    <w:tmpl w:val="94421ABE"/>
    <w:lvl w:ilvl="0" w:tplc="674C38EC">
      <w:start w:val="1"/>
      <w:numFmt w:val="bullet"/>
      <w:lvlText w:val="•"/>
      <w:lvlJc w:val="left"/>
      <w:pPr>
        <w:tabs>
          <w:tab w:val="num" w:pos="720"/>
        </w:tabs>
        <w:ind w:left="720" w:hanging="360"/>
      </w:pPr>
      <w:rPr>
        <w:rFonts w:ascii="Arial" w:hAnsi="Arial" w:hint="default"/>
      </w:rPr>
    </w:lvl>
    <w:lvl w:ilvl="1" w:tplc="45DA1984">
      <w:start w:val="1"/>
      <w:numFmt w:val="bullet"/>
      <w:lvlText w:val="•"/>
      <w:lvlJc w:val="left"/>
      <w:pPr>
        <w:tabs>
          <w:tab w:val="num" w:pos="1440"/>
        </w:tabs>
        <w:ind w:left="1440" w:hanging="360"/>
      </w:pPr>
      <w:rPr>
        <w:rFonts w:ascii="Arial" w:hAnsi="Arial" w:hint="default"/>
      </w:rPr>
    </w:lvl>
    <w:lvl w:ilvl="2" w:tplc="21725EF6" w:tentative="1">
      <w:start w:val="1"/>
      <w:numFmt w:val="bullet"/>
      <w:lvlText w:val="•"/>
      <w:lvlJc w:val="left"/>
      <w:pPr>
        <w:tabs>
          <w:tab w:val="num" w:pos="2160"/>
        </w:tabs>
        <w:ind w:left="2160" w:hanging="360"/>
      </w:pPr>
      <w:rPr>
        <w:rFonts w:ascii="Arial" w:hAnsi="Arial" w:hint="default"/>
      </w:rPr>
    </w:lvl>
    <w:lvl w:ilvl="3" w:tplc="824E8EE2" w:tentative="1">
      <w:start w:val="1"/>
      <w:numFmt w:val="bullet"/>
      <w:lvlText w:val="•"/>
      <w:lvlJc w:val="left"/>
      <w:pPr>
        <w:tabs>
          <w:tab w:val="num" w:pos="2880"/>
        </w:tabs>
        <w:ind w:left="2880" w:hanging="360"/>
      </w:pPr>
      <w:rPr>
        <w:rFonts w:ascii="Arial" w:hAnsi="Arial" w:hint="default"/>
      </w:rPr>
    </w:lvl>
    <w:lvl w:ilvl="4" w:tplc="21088FBC" w:tentative="1">
      <w:start w:val="1"/>
      <w:numFmt w:val="bullet"/>
      <w:lvlText w:val="•"/>
      <w:lvlJc w:val="left"/>
      <w:pPr>
        <w:tabs>
          <w:tab w:val="num" w:pos="3600"/>
        </w:tabs>
        <w:ind w:left="3600" w:hanging="360"/>
      </w:pPr>
      <w:rPr>
        <w:rFonts w:ascii="Arial" w:hAnsi="Arial" w:hint="default"/>
      </w:rPr>
    </w:lvl>
    <w:lvl w:ilvl="5" w:tplc="9B3CE2DA" w:tentative="1">
      <w:start w:val="1"/>
      <w:numFmt w:val="bullet"/>
      <w:lvlText w:val="•"/>
      <w:lvlJc w:val="left"/>
      <w:pPr>
        <w:tabs>
          <w:tab w:val="num" w:pos="4320"/>
        </w:tabs>
        <w:ind w:left="4320" w:hanging="360"/>
      </w:pPr>
      <w:rPr>
        <w:rFonts w:ascii="Arial" w:hAnsi="Arial" w:hint="default"/>
      </w:rPr>
    </w:lvl>
    <w:lvl w:ilvl="6" w:tplc="54128E7E" w:tentative="1">
      <w:start w:val="1"/>
      <w:numFmt w:val="bullet"/>
      <w:lvlText w:val="•"/>
      <w:lvlJc w:val="left"/>
      <w:pPr>
        <w:tabs>
          <w:tab w:val="num" w:pos="5040"/>
        </w:tabs>
        <w:ind w:left="5040" w:hanging="360"/>
      </w:pPr>
      <w:rPr>
        <w:rFonts w:ascii="Arial" w:hAnsi="Arial" w:hint="default"/>
      </w:rPr>
    </w:lvl>
    <w:lvl w:ilvl="7" w:tplc="20581D18" w:tentative="1">
      <w:start w:val="1"/>
      <w:numFmt w:val="bullet"/>
      <w:lvlText w:val="•"/>
      <w:lvlJc w:val="left"/>
      <w:pPr>
        <w:tabs>
          <w:tab w:val="num" w:pos="5760"/>
        </w:tabs>
        <w:ind w:left="5760" w:hanging="360"/>
      </w:pPr>
      <w:rPr>
        <w:rFonts w:ascii="Arial" w:hAnsi="Arial" w:hint="default"/>
      </w:rPr>
    </w:lvl>
    <w:lvl w:ilvl="8" w:tplc="794E2F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925D2F"/>
    <w:multiLevelType w:val="hybridMultilevel"/>
    <w:tmpl w:val="42CE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14871"/>
    <w:multiLevelType w:val="hybridMultilevel"/>
    <w:tmpl w:val="33E402E6"/>
    <w:lvl w:ilvl="0" w:tplc="B3DA2C6A">
      <w:start w:val="1"/>
      <w:numFmt w:val="bullet"/>
      <w:pStyle w:val="BulletBefore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D24FD6"/>
    <w:multiLevelType w:val="hybridMultilevel"/>
    <w:tmpl w:val="2AAC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D52C8"/>
    <w:multiLevelType w:val="hybridMultilevel"/>
    <w:tmpl w:val="2D3A8B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951C4B"/>
    <w:multiLevelType w:val="hybridMultilevel"/>
    <w:tmpl w:val="6304076A"/>
    <w:lvl w:ilvl="0" w:tplc="B58EA7DC">
      <w:start w:val="1"/>
      <w:numFmt w:val="bullet"/>
      <w:lvlText w:val="•"/>
      <w:lvlJc w:val="left"/>
      <w:pPr>
        <w:tabs>
          <w:tab w:val="num" w:pos="720"/>
        </w:tabs>
        <w:ind w:left="720" w:hanging="360"/>
      </w:pPr>
      <w:rPr>
        <w:rFonts w:ascii="Arial" w:hAnsi="Arial" w:hint="default"/>
      </w:rPr>
    </w:lvl>
    <w:lvl w:ilvl="1" w:tplc="302678D0" w:tentative="1">
      <w:start w:val="1"/>
      <w:numFmt w:val="bullet"/>
      <w:lvlText w:val="•"/>
      <w:lvlJc w:val="left"/>
      <w:pPr>
        <w:tabs>
          <w:tab w:val="num" w:pos="1440"/>
        </w:tabs>
        <w:ind w:left="1440" w:hanging="360"/>
      </w:pPr>
      <w:rPr>
        <w:rFonts w:ascii="Arial" w:hAnsi="Arial" w:hint="default"/>
      </w:rPr>
    </w:lvl>
    <w:lvl w:ilvl="2" w:tplc="38C8E0F2" w:tentative="1">
      <w:start w:val="1"/>
      <w:numFmt w:val="bullet"/>
      <w:lvlText w:val="•"/>
      <w:lvlJc w:val="left"/>
      <w:pPr>
        <w:tabs>
          <w:tab w:val="num" w:pos="2160"/>
        </w:tabs>
        <w:ind w:left="2160" w:hanging="360"/>
      </w:pPr>
      <w:rPr>
        <w:rFonts w:ascii="Arial" w:hAnsi="Arial" w:hint="default"/>
      </w:rPr>
    </w:lvl>
    <w:lvl w:ilvl="3" w:tplc="3B467B84" w:tentative="1">
      <w:start w:val="1"/>
      <w:numFmt w:val="bullet"/>
      <w:lvlText w:val="•"/>
      <w:lvlJc w:val="left"/>
      <w:pPr>
        <w:tabs>
          <w:tab w:val="num" w:pos="2880"/>
        </w:tabs>
        <w:ind w:left="2880" w:hanging="360"/>
      </w:pPr>
      <w:rPr>
        <w:rFonts w:ascii="Arial" w:hAnsi="Arial" w:hint="default"/>
      </w:rPr>
    </w:lvl>
    <w:lvl w:ilvl="4" w:tplc="1BF6F80A" w:tentative="1">
      <w:start w:val="1"/>
      <w:numFmt w:val="bullet"/>
      <w:lvlText w:val="•"/>
      <w:lvlJc w:val="left"/>
      <w:pPr>
        <w:tabs>
          <w:tab w:val="num" w:pos="3600"/>
        </w:tabs>
        <w:ind w:left="3600" w:hanging="360"/>
      </w:pPr>
      <w:rPr>
        <w:rFonts w:ascii="Arial" w:hAnsi="Arial" w:hint="default"/>
      </w:rPr>
    </w:lvl>
    <w:lvl w:ilvl="5" w:tplc="55C02FB4" w:tentative="1">
      <w:start w:val="1"/>
      <w:numFmt w:val="bullet"/>
      <w:lvlText w:val="•"/>
      <w:lvlJc w:val="left"/>
      <w:pPr>
        <w:tabs>
          <w:tab w:val="num" w:pos="4320"/>
        </w:tabs>
        <w:ind w:left="4320" w:hanging="360"/>
      </w:pPr>
      <w:rPr>
        <w:rFonts w:ascii="Arial" w:hAnsi="Arial" w:hint="default"/>
      </w:rPr>
    </w:lvl>
    <w:lvl w:ilvl="6" w:tplc="7F9264FC" w:tentative="1">
      <w:start w:val="1"/>
      <w:numFmt w:val="bullet"/>
      <w:lvlText w:val="•"/>
      <w:lvlJc w:val="left"/>
      <w:pPr>
        <w:tabs>
          <w:tab w:val="num" w:pos="5040"/>
        </w:tabs>
        <w:ind w:left="5040" w:hanging="360"/>
      </w:pPr>
      <w:rPr>
        <w:rFonts w:ascii="Arial" w:hAnsi="Arial" w:hint="default"/>
      </w:rPr>
    </w:lvl>
    <w:lvl w:ilvl="7" w:tplc="95F677CE" w:tentative="1">
      <w:start w:val="1"/>
      <w:numFmt w:val="bullet"/>
      <w:lvlText w:val="•"/>
      <w:lvlJc w:val="left"/>
      <w:pPr>
        <w:tabs>
          <w:tab w:val="num" w:pos="5760"/>
        </w:tabs>
        <w:ind w:left="5760" w:hanging="360"/>
      </w:pPr>
      <w:rPr>
        <w:rFonts w:ascii="Arial" w:hAnsi="Arial" w:hint="default"/>
      </w:rPr>
    </w:lvl>
    <w:lvl w:ilvl="8" w:tplc="A8F42F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A30351"/>
    <w:multiLevelType w:val="hybridMultilevel"/>
    <w:tmpl w:val="B3E015A4"/>
    <w:lvl w:ilvl="0" w:tplc="8B4EB256">
      <w:start w:val="1"/>
      <w:numFmt w:val="bullet"/>
      <w:lvlText w:val="•"/>
      <w:lvlJc w:val="left"/>
      <w:pPr>
        <w:tabs>
          <w:tab w:val="num" w:pos="720"/>
        </w:tabs>
        <w:ind w:left="720" w:hanging="360"/>
      </w:pPr>
      <w:rPr>
        <w:rFonts w:ascii="Arial" w:hAnsi="Arial" w:hint="default"/>
      </w:rPr>
    </w:lvl>
    <w:lvl w:ilvl="1" w:tplc="102CE418">
      <w:start w:val="1"/>
      <w:numFmt w:val="bullet"/>
      <w:lvlText w:val="•"/>
      <w:lvlJc w:val="left"/>
      <w:pPr>
        <w:tabs>
          <w:tab w:val="num" w:pos="1440"/>
        </w:tabs>
        <w:ind w:left="1440" w:hanging="360"/>
      </w:pPr>
      <w:rPr>
        <w:rFonts w:ascii="Arial" w:hAnsi="Arial" w:hint="default"/>
      </w:rPr>
    </w:lvl>
    <w:lvl w:ilvl="2" w:tplc="00CCF698" w:tentative="1">
      <w:start w:val="1"/>
      <w:numFmt w:val="bullet"/>
      <w:lvlText w:val="•"/>
      <w:lvlJc w:val="left"/>
      <w:pPr>
        <w:tabs>
          <w:tab w:val="num" w:pos="2160"/>
        </w:tabs>
        <w:ind w:left="2160" w:hanging="360"/>
      </w:pPr>
      <w:rPr>
        <w:rFonts w:ascii="Arial" w:hAnsi="Arial" w:hint="default"/>
      </w:rPr>
    </w:lvl>
    <w:lvl w:ilvl="3" w:tplc="F0A807AE" w:tentative="1">
      <w:start w:val="1"/>
      <w:numFmt w:val="bullet"/>
      <w:lvlText w:val="•"/>
      <w:lvlJc w:val="left"/>
      <w:pPr>
        <w:tabs>
          <w:tab w:val="num" w:pos="2880"/>
        </w:tabs>
        <w:ind w:left="2880" w:hanging="360"/>
      </w:pPr>
      <w:rPr>
        <w:rFonts w:ascii="Arial" w:hAnsi="Arial" w:hint="default"/>
      </w:rPr>
    </w:lvl>
    <w:lvl w:ilvl="4" w:tplc="0F86C7FC" w:tentative="1">
      <w:start w:val="1"/>
      <w:numFmt w:val="bullet"/>
      <w:lvlText w:val="•"/>
      <w:lvlJc w:val="left"/>
      <w:pPr>
        <w:tabs>
          <w:tab w:val="num" w:pos="3600"/>
        </w:tabs>
        <w:ind w:left="3600" w:hanging="360"/>
      </w:pPr>
      <w:rPr>
        <w:rFonts w:ascii="Arial" w:hAnsi="Arial" w:hint="default"/>
      </w:rPr>
    </w:lvl>
    <w:lvl w:ilvl="5" w:tplc="8326ECC0" w:tentative="1">
      <w:start w:val="1"/>
      <w:numFmt w:val="bullet"/>
      <w:lvlText w:val="•"/>
      <w:lvlJc w:val="left"/>
      <w:pPr>
        <w:tabs>
          <w:tab w:val="num" w:pos="4320"/>
        </w:tabs>
        <w:ind w:left="4320" w:hanging="360"/>
      </w:pPr>
      <w:rPr>
        <w:rFonts w:ascii="Arial" w:hAnsi="Arial" w:hint="default"/>
      </w:rPr>
    </w:lvl>
    <w:lvl w:ilvl="6" w:tplc="38AEBBD2" w:tentative="1">
      <w:start w:val="1"/>
      <w:numFmt w:val="bullet"/>
      <w:lvlText w:val="•"/>
      <w:lvlJc w:val="left"/>
      <w:pPr>
        <w:tabs>
          <w:tab w:val="num" w:pos="5040"/>
        </w:tabs>
        <w:ind w:left="5040" w:hanging="360"/>
      </w:pPr>
      <w:rPr>
        <w:rFonts w:ascii="Arial" w:hAnsi="Arial" w:hint="default"/>
      </w:rPr>
    </w:lvl>
    <w:lvl w:ilvl="7" w:tplc="187219F6" w:tentative="1">
      <w:start w:val="1"/>
      <w:numFmt w:val="bullet"/>
      <w:lvlText w:val="•"/>
      <w:lvlJc w:val="left"/>
      <w:pPr>
        <w:tabs>
          <w:tab w:val="num" w:pos="5760"/>
        </w:tabs>
        <w:ind w:left="5760" w:hanging="360"/>
      </w:pPr>
      <w:rPr>
        <w:rFonts w:ascii="Arial" w:hAnsi="Arial" w:hint="default"/>
      </w:rPr>
    </w:lvl>
    <w:lvl w:ilvl="8" w:tplc="41D61E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C3C4E01"/>
    <w:multiLevelType w:val="hybridMultilevel"/>
    <w:tmpl w:val="79DC635A"/>
    <w:lvl w:ilvl="0" w:tplc="065EB862">
      <w:start w:val="1"/>
      <w:numFmt w:val="bullet"/>
      <w:lvlText w:val="•"/>
      <w:lvlJc w:val="left"/>
      <w:pPr>
        <w:tabs>
          <w:tab w:val="num" w:pos="720"/>
        </w:tabs>
        <w:ind w:left="720" w:hanging="360"/>
      </w:pPr>
      <w:rPr>
        <w:rFonts w:ascii="Arial" w:hAnsi="Arial" w:hint="default"/>
      </w:rPr>
    </w:lvl>
    <w:lvl w:ilvl="1" w:tplc="15AA8422" w:tentative="1">
      <w:start w:val="1"/>
      <w:numFmt w:val="bullet"/>
      <w:lvlText w:val="•"/>
      <w:lvlJc w:val="left"/>
      <w:pPr>
        <w:tabs>
          <w:tab w:val="num" w:pos="1440"/>
        </w:tabs>
        <w:ind w:left="1440" w:hanging="360"/>
      </w:pPr>
      <w:rPr>
        <w:rFonts w:ascii="Arial" w:hAnsi="Arial" w:hint="default"/>
      </w:rPr>
    </w:lvl>
    <w:lvl w:ilvl="2" w:tplc="6E066C74" w:tentative="1">
      <w:start w:val="1"/>
      <w:numFmt w:val="bullet"/>
      <w:lvlText w:val="•"/>
      <w:lvlJc w:val="left"/>
      <w:pPr>
        <w:tabs>
          <w:tab w:val="num" w:pos="2160"/>
        </w:tabs>
        <w:ind w:left="2160" w:hanging="360"/>
      </w:pPr>
      <w:rPr>
        <w:rFonts w:ascii="Arial" w:hAnsi="Arial" w:hint="default"/>
      </w:rPr>
    </w:lvl>
    <w:lvl w:ilvl="3" w:tplc="0102ECB4" w:tentative="1">
      <w:start w:val="1"/>
      <w:numFmt w:val="bullet"/>
      <w:lvlText w:val="•"/>
      <w:lvlJc w:val="left"/>
      <w:pPr>
        <w:tabs>
          <w:tab w:val="num" w:pos="2880"/>
        </w:tabs>
        <w:ind w:left="2880" w:hanging="360"/>
      </w:pPr>
      <w:rPr>
        <w:rFonts w:ascii="Arial" w:hAnsi="Arial" w:hint="default"/>
      </w:rPr>
    </w:lvl>
    <w:lvl w:ilvl="4" w:tplc="37D205DE" w:tentative="1">
      <w:start w:val="1"/>
      <w:numFmt w:val="bullet"/>
      <w:lvlText w:val="•"/>
      <w:lvlJc w:val="left"/>
      <w:pPr>
        <w:tabs>
          <w:tab w:val="num" w:pos="3600"/>
        </w:tabs>
        <w:ind w:left="3600" w:hanging="360"/>
      </w:pPr>
      <w:rPr>
        <w:rFonts w:ascii="Arial" w:hAnsi="Arial" w:hint="default"/>
      </w:rPr>
    </w:lvl>
    <w:lvl w:ilvl="5" w:tplc="96CCBE80" w:tentative="1">
      <w:start w:val="1"/>
      <w:numFmt w:val="bullet"/>
      <w:lvlText w:val="•"/>
      <w:lvlJc w:val="left"/>
      <w:pPr>
        <w:tabs>
          <w:tab w:val="num" w:pos="4320"/>
        </w:tabs>
        <w:ind w:left="4320" w:hanging="360"/>
      </w:pPr>
      <w:rPr>
        <w:rFonts w:ascii="Arial" w:hAnsi="Arial" w:hint="default"/>
      </w:rPr>
    </w:lvl>
    <w:lvl w:ilvl="6" w:tplc="AD68F56E" w:tentative="1">
      <w:start w:val="1"/>
      <w:numFmt w:val="bullet"/>
      <w:lvlText w:val="•"/>
      <w:lvlJc w:val="left"/>
      <w:pPr>
        <w:tabs>
          <w:tab w:val="num" w:pos="5040"/>
        </w:tabs>
        <w:ind w:left="5040" w:hanging="360"/>
      </w:pPr>
      <w:rPr>
        <w:rFonts w:ascii="Arial" w:hAnsi="Arial" w:hint="default"/>
      </w:rPr>
    </w:lvl>
    <w:lvl w:ilvl="7" w:tplc="04C2ED8A" w:tentative="1">
      <w:start w:val="1"/>
      <w:numFmt w:val="bullet"/>
      <w:lvlText w:val="•"/>
      <w:lvlJc w:val="left"/>
      <w:pPr>
        <w:tabs>
          <w:tab w:val="num" w:pos="5760"/>
        </w:tabs>
        <w:ind w:left="5760" w:hanging="360"/>
      </w:pPr>
      <w:rPr>
        <w:rFonts w:ascii="Arial" w:hAnsi="Arial" w:hint="default"/>
      </w:rPr>
    </w:lvl>
    <w:lvl w:ilvl="8" w:tplc="85AEF8B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7"/>
  </w:num>
  <w:num w:numId="3">
    <w:abstractNumId w:val="8"/>
  </w:num>
  <w:num w:numId="4">
    <w:abstractNumId w:val="0"/>
  </w:num>
  <w:num w:numId="5">
    <w:abstractNumId w:val="13"/>
  </w:num>
  <w:num w:numId="6">
    <w:abstractNumId w:val="6"/>
  </w:num>
  <w:num w:numId="7">
    <w:abstractNumId w:val="3"/>
  </w:num>
  <w:num w:numId="8">
    <w:abstractNumId w:val="11"/>
  </w:num>
  <w:num w:numId="9">
    <w:abstractNumId w:val="4"/>
  </w:num>
  <w:num w:numId="10">
    <w:abstractNumId w:val="2"/>
  </w:num>
  <w:num w:numId="11">
    <w:abstractNumId w:val="9"/>
  </w:num>
  <w:num w:numId="12">
    <w:abstractNumId w:val="5"/>
  </w:num>
  <w:num w:numId="13">
    <w:abstractNumId w:val="12"/>
  </w:num>
  <w:num w:numId="14">
    <w:abstractNumId w:val="1"/>
  </w:num>
  <w:num w:numId="15">
    <w:abstractNumId w:val="10"/>
  </w:num>
  <w:num w:numId="16">
    <w:abstractNumId w:val="14"/>
  </w:num>
  <w:num w:numId="17">
    <w:abstractNumId w:val="12"/>
  </w:num>
  <w:num w:numId="18">
    <w:abstractNumId w:val="15"/>
  </w:num>
  <w:num w:numId="19">
    <w:abstractNumId w:val="12"/>
  </w:num>
  <w:num w:numId="20">
    <w:abstractNumId w:val="12"/>
  </w:num>
  <w:num w:numId="21">
    <w:abstractNumId w:val="12"/>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0FA"/>
    <w:rsid w:val="00000790"/>
    <w:rsid w:val="0000110B"/>
    <w:rsid w:val="000011B7"/>
    <w:rsid w:val="000016D4"/>
    <w:rsid w:val="0000305D"/>
    <w:rsid w:val="00003499"/>
    <w:rsid w:val="000039B7"/>
    <w:rsid w:val="00003CD7"/>
    <w:rsid w:val="0000639A"/>
    <w:rsid w:val="00013247"/>
    <w:rsid w:val="000132AB"/>
    <w:rsid w:val="0001399F"/>
    <w:rsid w:val="00013F52"/>
    <w:rsid w:val="00014BDF"/>
    <w:rsid w:val="00014C93"/>
    <w:rsid w:val="00015491"/>
    <w:rsid w:val="000155BE"/>
    <w:rsid w:val="00015886"/>
    <w:rsid w:val="000162EF"/>
    <w:rsid w:val="000166EC"/>
    <w:rsid w:val="00016B23"/>
    <w:rsid w:val="000207C9"/>
    <w:rsid w:val="00020A67"/>
    <w:rsid w:val="00020B71"/>
    <w:rsid w:val="0002108B"/>
    <w:rsid w:val="00021378"/>
    <w:rsid w:val="0002225F"/>
    <w:rsid w:val="00023763"/>
    <w:rsid w:val="00023EC3"/>
    <w:rsid w:val="00024013"/>
    <w:rsid w:val="000241E4"/>
    <w:rsid w:val="00024C38"/>
    <w:rsid w:val="00025C9D"/>
    <w:rsid w:val="000274B8"/>
    <w:rsid w:val="00033863"/>
    <w:rsid w:val="0003588C"/>
    <w:rsid w:val="00035ACA"/>
    <w:rsid w:val="00035DC0"/>
    <w:rsid w:val="00036829"/>
    <w:rsid w:val="00040895"/>
    <w:rsid w:val="0004132C"/>
    <w:rsid w:val="00041DCD"/>
    <w:rsid w:val="000435EE"/>
    <w:rsid w:val="00043C37"/>
    <w:rsid w:val="000442C4"/>
    <w:rsid w:val="0004436B"/>
    <w:rsid w:val="00045017"/>
    <w:rsid w:val="00045A2B"/>
    <w:rsid w:val="0004698F"/>
    <w:rsid w:val="00046F0C"/>
    <w:rsid w:val="000501AC"/>
    <w:rsid w:val="0005212E"/>
    <w:rsid w:val="000539D0"/>
    <w:rsid w:val="00054621"/>
    <w:rsid w:val="000546D7"/>
    <w:rsid w:val="00054C9E"/>
    <w:rsid w:val="00054FEF"/>
    <w:rsid w:val="00055410"/>
    <w:rsid w:val="00056ECF"/>
    <w:rsid w:val="000579B5"/>
    <w:rsid w:val="000604DF"/>
    <w:rsid w:val="00060D36"/>
    <w:rsid w:val="00062BA3"/>
    <w:rsid w:val="00063156"/>
    <w:rsid w:val="000653B5"/>
    <w:rsid w:val="00066275"/>
    <w:rsid w:val="00066360"/>
    <w:rsid w:val="00066AF8"/>
    <w:rsid w:val="00067981"/>
    <w:rsid w:val="0007027C"/>
    <w:rsid w:val="0007049E"/>
    <w:rsid w:val="00070F95"/>
    <w:rsid w:val="00071248"/>
    <w:rsid w:val="000720B9"/>
    <w:rsid w:val="00072425"/>
    <w:rsid w:val="00072963"/>
    <w:rsid w:val="00072F96"/>
    <w:rsid w:val="000737F7"/>
    <w:rsid w:val="0007672F"/>
    <w:rsid w:val="00076B54"/>
    <w:rsid w:val="000774F0"/>
    <w:rsid w:val="0007798A"/>
    <w:rsid w:val="00080909"/>
    <w:rsid w:val="000812CA"/>
    <w:rsid w:val="0008133E"/>
    <w:rsid w:val="00081E63"/>
    <w:rsid w:val="0008258D"/>
    <w:rsid w:val="00083458"/>
    <w:rsid w:val="0008391F"/>
    <w:rsid w:val="00083E99"/>
    <w:rsid w:val="00084FA8"/>
    <w:rsid w:val="000850DE"/>
    <w:rsid w:val="00085125"/>
    <w:rsid w:val="000856C5"/>
    <w:rsid w:val="00085C31"/>
    <w:rsid w:val="000902D9"/>
    <w:rsid w:val="00090C7E"/>
    <w:rsid w:val="00092600"/>
    <w:rsid w:val="0009262B"/>
    <w:rsid w:val="00093310"/>
    <w:rsid w:val="00093D88"/>
    <w:rsid w:val="0009445C"/>
    <w:rsid w:val="00095200"/>
    <w:rsid w:val="00095FE5"/>
    <w:rsid w:val="00096284"/>
    <w:rsid w:val="000969FC"/>
    <w:rsid w:val="00097F9A"/>
    <w:rsid w:val="000A0823"/>
    <w:rsid w:val="000A0824"/>
    <w:rsid w:val="000A1108"/>
    <w:rsid w:val="000A17E5"/>
    <w:rsid w:val="000A1BC0"/>
    <w:rsid w:val="000A410A"/>
    <w:rsid w:val="000A4C58"/>
    <w:rsid w:val="000A5BBF"/>
    <w:rsid w:val="000A5C5C"/>
    <w:rsid w:val="000A6039"/>
    <w:rsid w:val="000A7453"/>
    <w:rsid w:val="000A7D08"/>
    <w:rsid w:val="000B0121"/>
    <w:rsid w:val="000B0670"/>
    <w:rsid w:val="000B0E75"/>
    <w:rsid w:val="000B171A"/>
    <w:rsid w:val="000B1881"/>
    <w:rsid w:val="000B2CFA"/>
    <w:rsid w:val="000B2DCB"/>
    <w:rsid w:val="000B4D86"/>
    <w:rsid w:val="000B53CC"/>
    <w:rsid w:val="000B5CE0"/>
    <w:rsid w:val="000B6CAC"/>
    <w:rsid w:val="000B7612"/>
    <w:rsid w:val="000B78AE"/>
    <w:rsid w:val="000C11B8"/>
    <w:rsid w:val="000C13F6"/>
    <w:rsid w:val="000C271E"/>
    <w:rsid w:val="000C2E0F"/>
    <w:rsid w:val="000C3DF9"/>
    <w:rsid w:val="000C6713"/>
    <w:rsid w:val="000D172E"/>
    <w:rsid w:val="000D1BFC"/>
    <w:rsid w:val="000D1D5D"/>
    <w:rsid w:val="000D281A"/>
    <w:rsid w:val="000D2848"/>
    <w:rsid w:val="000D326A"/>
    <w:rsid w:val="000D3A2B"/>
    <w:rsid w:val="000D3DD8"/>
    <w:rsid w:val="000D44EF"/>
    <w:rsid w:val="000D51FB"/>
    <w:rsid w:val="000D53A8"/>
    <w:rsid w:val="000D58E6"/>
    <w:rsid w:val="000D5D81"/>
    <w:rsid w:val="000E0640"/>
    <w:rsid w:val="000E135D"/>
    <w:rsid w:val="000E1993"/>
    <w:rsid w:val="000E2294"/>
    <w:rsid w:val="000E24E5"/>
    <w:rsid w:val="000E46E2"/>
    <w:rsid w:val="000E554A"/>
    <w:rsid w:val="000E5DE9"/>
    <w:rsid w:val="000E5FAF"/>
    <w:rsid w:val="000E65E4"/>
    <w:rsid w:val="000E7561"/>
    <w:rsid w:val="000E76FB"/>
    <w:rsid w:val="000F00BA"/>
    <w:rsid w:val="000F0320"/>
    <w:rsid w:val="000F0ED9"/>
    <w:rsid w:val="000F311A"/>
    <w:rsid w:val="000F316A"/>
    <w:rsid w:val="000F354E"/>
    <w:rsid w:val="000F377A"/>
    <w:rsid w:val="000F3C74"/>
    <w:rsid w:val="000F468A"/>
    <w:rsid w:val="000F4BB8"/>
    <w:rsid w:val="000F4FA9"/>
    <w:rsid w:val="000F53FB"/>
    <w:rsid w:val="000F616B"/>
    <w:rsid w:val="000F6A0E"/>
    <w:rsid w:val="000F7127"/>
    <w:rsid w:val="000F7B54"/>
    <w:rsid w:val="00100095"/>
    <w:rsid w:val="001002D4"/>
    <w:rsid w:val="00100F8A"/>
    <w:rsid w:val="00102036"/>
    <w:rsid w:val="001022B3"/>
    <w:rsid w:val="0010452E"/>
    <w:rsid w:val="00104EAC"/>
    <w:rsid w:val="00105AE2"/>
    <w:rsid w:val="00105D58"/>
    <w:rsid w:val="001060C6"/>
    <w:rsid w:val="001064E6"/>
    <w:rsid w:val="00106B80"/>
    <w:rsid w:val="001074E5"/>
    <w:rsid w:val="0011032E"/>
    <w:rsid w:val="001117A1"/>
    <w:rsid w:val="00111D50"/>
    <w:rsid w:val="00112AC4"/>
    <w:rsid w:val="00112DCC"/>
    <w:rsid w:val="0011348B"/>
    <w:rsid w:val="00113FF4"/>
    <w:rsid w:val="001143C8"/>
    <w:rsid w:val="00115982"/>
    <w:rsid w:val="00116C53"/>
    <w:rsid w:val="00121799"/>
    <w:rsid w:val="001222FC"/>
    <w:rsid w:val="0012327F"/>
    <w:rsid w:val="00123760"/>
    <w:rsid w:val="00123902"/>
    <w:rsid w:val="00124A51"/>
    <w:rsid w:val="00124B3B"/>
    <w:rsid w:val="00126621"/>
    <w:rsid w:val="0012664E"/>
    <w:rsid w:val="00126B1D"/>
    <w:rsid w:val="001275C6"/>
    <w:rsid w:val="0012790F"/>
    <w:rsid w:val="00130151"/>
    <w:rsid w:val="001301E9"/>
    <w:rsid w:val="00131D12"/>
    <w:rsid w:val="00131D82"/>
    <w:rsid w:val="00132B22"/>
    <w:rsid w:val="00133724"/>
    <w:rsid w:val="00133D36"/>
    <w:rsid w:val="0013644E"/>
    <w:rsid w:val="0013675C"/>
    <w:rsid w:val="00137645"/>
    <w:rsid w:val="001400A7"/>
    <w:rsid w:val="0014015A"/>
    <w:rsid w:val="0014060E"/>
    <w:rsid w:val="00140780"/>
    <w:rsid w:val="00140E99"/>
    <w:rsid w:val="001428DB"/>
    <w:rsid w:val="00142B96"/>
    <w:rsid w:val="001435D7"/>
    <w:rsid w:val="00143F67"/>
    <w:rsid w:val="001440A7"/>
    <w:rsid w:val="001440E9"/>
    <w:rsid w:val="0014453B"/>
    <w:rsid w:val="00144C7C"/>
    <w:rsid w:val="00145540"/>
    <w:rsid w:val="001456B0"/>
    <w:rsid w:val="00147AAE"/>
    <w:rsid w:val="00152154"/>
    <w:rsid w:val="00152A50"/>
    <w:rsid w:val="00153624"/>
    <w:rsid w:val="00156A50"/>
    <w:rsid w:val="00156F8F"/>
    <w:rsid w:val="00157130"/>
    <w:rsid w:val="001576B1"/>
    <w:rsid w:val="00160452"/>
    <w:rsid w:val="0016047B"/>
    <w:rsid w:val="00160A4C"/>
    <w:rsid w:val="00162913"/>
    <w:rsid w:val="00163D77"/>
    <w:rsid w:val="00163EFF"/>
    <w:rsid w:val="00163F66"/>
    <w:rsid w:val="00164C50"/>
    <w:rsid w:val="00165C95"/>
    <w:rsid w:val="001661FB"/>
    <w:rsid w:val="001666C3"/>
    <w:rsid w:val="00166A9B"/>
    <w:rsid w:val="00166CD4"/>
    <w:rsid w:val="00167139"/>
    <w:rsid w:val="001671A0"/>
    <w:rsid w:val="0016767F"/>
    <w:rsid w:val="00167E79"/>
    <w:rsid w:val="00171A12"/>
    <w:rsid w:val="00173565"/>
    <w:rsid w:val="00173B07"/>
    <w:rsid w:val="00173EB2"/>
    <w:rsid w:val="001740D6"/>
    <w:rsid w:val="001751FA"/>
    <w:rsid w:val="00175405"/>
    <w:rsid w:val="00175465"/>
    <w:rsid w:val="00175E63"/>
    <w:rsid w:val="00175FB7"/>
    <w:rsid w:val="00176B0B"/>
    <w:rsid w:val="00177D4B"/>
    <w:rsid w:val="00181A61"/>
    <w:rsid w:val="00181D01"/>
    <w:rsid w:val="00181D75"/>
    <w:rsid w:val="00181D9C"/>
    <w:rsid w:val="0018331C"/>
    <w:rsid w:val="00183E12"/>
    <w:rsid w:val="00184B0E"/>
    <w:rsid w:val="00185B7E"/>
    <w:rsid w:val="00187199"/>
    <w:rsid w:val="00187361"/>
    <w:rsid w:val="001874D6"/>
    <w:rsid w:val="0018752F"/>
    <w:rsid w:val="00187E6C"/>
    <w:rsid w:val="00191556"/>
    <w:rsid w:val="00192276"/>
    <w:rsid w:val="001934A3"/>
    <w:rsid w:val="00193838"/>
    <w:rsid w:val="00194AD8"/>
    <w:rsid w:val="00195222"/>
    <w:rsid w:val="001975D8"/>
    <w:rsid w:val="001A0C37"/>
    <w:rsid w:val="001A178E"/>
    <w:rsid w:val="001A4249"/>
    <w:rsid w:val="001A43FA"/>
    <w:rsid w:val="001A47C5"/>
    <w:rsid w:val="001A59FB"/>
    <w:rsid w:val="001A5E9E"/>
    <w:rsid w:val="001A6354"/>
    <w:rsid w:val="001A6366"/>
    <w:rsid w:val="001A7AE6"/>
    <w:rsid w:val="001A7AE8"/>
    <w:rsid w:val="001B11FB"/>
    <w:rsid w:val="001B1ECE"/>
    <w:rsid w:val="001B204E"/>
    <w:rsid w:val="001B2372"/>
    <w:rsid w:val="001B287B"/>
    <w:rsid w:val="001B3443"/>
    <w:rsid w:val="001B3651"/>
    <w:rsid w:val="001B36F6"/>
    <w:rsid w:val="001B4B4E"/>
    <w:rsid w:val="001B4D20"/>
    <w:rsid w:val="001B5943"/>
    <w:rsid w:val="001B596A"/>
    <w:rsid w:val="001B5EFA"/>
    <w:rsid w:val="001B6512"/>
    <w:rsid w:val="001C0B02"/>
    <w:rsid w:val="001C2A37"/>
    <w:rsid w:val="001C2A9B"/>
    <w:rsid w:val="001C3857"/>
    <w:rsid w:val="001C4299"/>
    <w:rsid w:val="001C4874"/>
    <w:rsid w:val="001C4CC4"/>
    <w:rsid w:val="001C55E3"/>
    <w:rsid w:val="001C56EC"/>
    <w:rsid w:val="001C5713"/>
    <w:rsid w:val="001C5F94"/>
    <w:rsid w:val="001C67AD"/>
    <w:rsid w:val="001C6E66"/>
    <w:rsid w:val="001D042B"/>
    <w:rsid w:val="001D1100"/>
    <w:rsid w:val="001D1391"/>
    <w:rsid w:val="001D1CBB"/>
    <w:rsid w:val="001D25D7"/>
    <w:rsid w:val="001D2960"/>
    <w:rsid w:val="001D3DA6"/>
    <w:rsid w:val="001D50B2"/>
    <w:rsid w:val="001D5BB1"/>
    <w:rsid w:val="001D5C6C"/>
    <w:rsid w:val="001D6433"/>
    <w:rsid w:val="001D7645"/>
    <w:rsid w:val="001E1E86"/>
    <w:rsid w:val="001E238E"/>
    <w:rsid w:val="001E2483"/>
    <w:rsid w:val="001E2B1E"/>
    <w:rsid w:val="001E2CFF"/>
    <w:rsid w:val="001E2F24"/>
    <w:rsid w:val="001E30D4"/>
    <w:rsid w:val="001E348F"/>
    <w:rsid w:val="001E34DF"/>
    <w:rsid w:val="001E3CC1"/>
    <w:rsid w:val="001E52EB"/>
    <w:rsid w:val="001E61D2"/>
    <w:rsid w:val="001E638B"/>
    <w:rsid w:val="001E675D"/>
    <w:rsid w:val="001E68D9"/>
    <w:rsid w:val="001E740C"/>
    <w:rsid w:val="001E780A"/>
    <w:rsid w:val="001F1235"/>
    <w:rsid w:val="001F1CB3"/>
    <w:rsid w:val="001F38B5"/>
    <w:rsid w:val="001F4081"/>
    <w:rsid w:val="001F4485"/>
    <w:rsid w:val="001F4D4C"/>
    <w:rsid w:val="001F530B"/>
    <w:rsid w:val="001F629D"/>
    <w:rsid w:val="001F6405"/>
    <w:rsid w:val="001F64EA"/>
    <w:rsid w:val="001F7361"/>
    <w:rsid w:val="001F73EE"/>
    <w:rsid w:val="002011B0"/>
    <w:rsid w:val="00203181"/>
    <w:rsid w:val="00203783"/>
    <w:rsid w:val="0020385F"/>
    <w:rsid w:val="00203D3D"/>
    <w:rsid w:val="00203E35"/>
    <w:rsid w:val="00205C8E"/>
    <w:rsid w:val="002068A0"/>
    <w:rsid w:val="00207021"/>
    <w:rsid w:val="0020732F"/>
    <w:rsid w:val="00207D00"/>
    <w:rsid w:val="002105C1"/>
    <w:rsid w:val="0021155E"/>
    <w:rsid w:val="0021220F"/>
    <w:rsid w:val="00212D2D"/>
    <w:rsid w:val="00212D91"/>
    <w:rsid w:val="002132B4"/>
    <w:rsid w:val="0021397E"/>
    <w:rsid w:val="00213EF5"/>
    <w:rsid w:val="00216BF5"/>
    <w:rsid w:val="00216C07"/>
    <w:rsid w:val="002172D2"/>
    <w:rsid w:val="00217402"/>
    <w:rsid w:val="00217971"/>
    <w:rsid w:val="0022042C"/>
    <w:rsid w:val="002207EE"/>
    <w:rsid w:val="002215F5"/>
    <w:rsid w:val="00223A93"/>
    <w:rsid w:val="00223B49"/>
    <w:rsid w:val="00223D5A"/>
    <w:rsid w:val="00224DD4"/>
    <w:rsid w:val="002278A0"/>
    <w:rsid w:val="00230849"/>
    <w:rsid w:val="002309CC"/>
    <w:rsid w:val="0023201A"/>
    <w:rsid w:val="0023209F"/>
    <w:rsid w:val="00232115"/>
    <w:rsid w:val="002332C1"/>
    <w:rsid w:val="00233C01"/>
    <w:rsid w:val="0023413C"/>
    <w:rsid w:val="002345FA"/>
    <w:rsid w:val="002346F0"/>
    <w:rsid w:val="00234AAF"/>
    <w:rsid w:val="0023629D"/>
    <w:rsid w:val="002370C7"/>
    <w:rsid w:val="00237255"/>
    <w:rsid w:val="00241E6F"/>
    <w:rsid w:val="002424AF"/>
    <w:rsid w:val="00243264"/>
    <w:rsid w:val="002439DC"/>
    <w:rsid w:val="002441D2"/>
    <w:rsid w:val="00244A05"/>
    <w:rsid w:val="00244DC8"/>
    <w:rsid w:val="00244F5D"/>
    <w:rsid w:val="00245733"/>
    <w:rsid w:val="002458BA"/>
    <w:rsid w:val="00245CE9"/>
    <w:rsid w:val="0024636C"/>
    <w:rsid w:val="00247925"/>
    <w:rsid w:val="00247EA4"/>
    <w:rsid w:val="00250AA2"/>
    <w:rsid w:val="00251006"/>
    <w:rsid w:val="002524D5"/>
    <w:rsid w:val="00253349"/>
    <w:rsid w:val="00253B1D"/>
    <w:rsid w:val="00254DCF"/>
    <w:rsid w:val="00254FEE"/>
    <w:rsid w:val="0025534B"/>
    <w:rsid w:val="00255B63"/>
    <w:rsid w:val="00255BB7"/>
    <w:rsid w:val="00256E9D"/>
    <w:rsid w:val="00257541"/>
    <w:rsid w:val="0025769B"/>
    <w:rsid w:val="00257859"/>
    <w:rsid w:val="00257A39"/>
    <w:rsid w:val="00257AC4"/>
    <w:rsid w:val="002617E3"/>
    <w:rsid w:val="00261B35"/>
    <w:rsid w:val="00261EEF"/>
    <w:rsid w:val="00262A1A"/>
    <w:rsid w:val="00262A87"/>
    <w:rsid w:val="0026432C"/>
    <w:rsid w:val="00264D26"/>
    <w:rsid w:val="00265933"/>
    <w:rsid w:val="00265FD5"/>
    <w:rsid w:val="00267642"/>
    <w:rsid w:val="00267AEA"/>
    <w:rsid w:val="002700E6"/>
    <w:rsid w:val="00270B4C"/>
    <w:rsid w:val="002713A4"/>
    <w:rsid w:val="0027294B"/>
    <w:rsid w:val="00272E56"/>
    <w:rsid w:val="00273EB4"/>
    <w:rsid w:val="00274682"/>
    <w:rsid w:val="00274E19"/>
    <w:rsid w:val="00275C5A"/>
    <w:rsid w:val="002777F0"/>
    <w:rsid w:val="00277828"/>
    <w:rsid w:val="00277BA3"/>
    <w:rsid w:val="00281014"/>
    <w:rsid w:val="00282794"/>
    <w:rsid w:val="0028488C"/>
    <w:rsid w:val="00284D1C"/>
    <w:rsid w:val="002850BB"/>
    <w:rsid w:val="00285909"/>
    <w:rsid w:val="0028665D"/>
    <w:rsid w:val="00287F4E"/>
    <w:rsid w:val="0029076F"/>
    <w:rsid w:val="00290A91"/>
    <w:rsid w:val="00290CE3"/>
    <w:rsid w:val="00294EB0"/>
    <w:rsid w:val="00297BD8"/>
    <w:rsid w:val="002A14AB"/>
    <w:rsid w:val="002A2690"/>
    <w:rsid w:val="002A2806"/>
    <w:rsid w:val="002A2ADE"/>
    <w:rsid w:val="002A2F50"/>
    <w:rsid w:val="002A453C"/>
    <w:rsid w:val="002A4B31"/>
    <w:rsid w:val="002A50DF"/>
    <w:rsid w:val="002A5299"/>
    <w:rsid w:val="002A6108"/>
    <w:rsid w:val="002A7A98"/>
    <w:rsid w:val="002B05A1"/>
    <w:rsid w:val="002B09A4"/>
    <w:rsid w:val="002B0B46"/>
    <w:rsid w:val="002B133A"/>
    <w:rsid w:val="002B1C1F"/>
    <w:rsid w:val="002B27F1"/>
    <w:rsid w:val="002B432F"/>
    <w:rsid w:val="002B4E47"/>
    <w:rsid w:val="002B62B3"/>
    <w:rsid w:val="002B6754"/>
    <w:rsid w:val="002B6CCE"/>
    <w:rsid w:val="002B7B91"/>
    <w:rsid w:val="002C1A60"/>
    <w:rsid w:val="002C1FB9"/>
    <w:rsid w:val="002C2510"/>
    <w:rsid w:val="002C25F9"/>
    <w:rsid w:val="002C2775"/>
    <w:rsid w:val="002C27C1"/>
    <w:rsid w:val="002C316F"/>
    <w:rsid w:val="002C5099"/>
    <w:rsid w:val="002C5889"/>
    <w:rsid w:val="002C5F0D"/>
    <w:rsid w:val="002C6480"/>
    <w:rsid w:val="002C71CE"/>
    <w:rsid w:val="002D08F8"/>
    <w:rsid w:val="002D27AE"/>
    <w:rsid w:val="002D3086"/>
    <w:rsid w:val="002D42D8"/>
    <w:rsid w:val="002D4AAB"/>
    <w:rsid w:val="002D5190"/>
    <w:rsid w:val="002D577C"/>
    <w:rsid w:val="002D57AF"/>
    <w:rsid w:val="002D6EF1"/>
    <w:rsid w:val="002D7394"/>
    <w:rsid w:val="002D7659"/>
    <w:rsid w:val="002E052B"/>
    <w:rsid w:val="002E1071"/>
    <w:rsid w:val="002E15B9"/>
    <w:rsid w:val="002E1B31"/>
    <w:rsid w:val="002E1F6F"/>
    <w:rsid w:val="002E2158"/>
    <w:rsid w:val="002E2BCF"/>
    <w:rsid w:val="002E4BD4"/>
    <w:rsid w:val="002E4DD1"/>
    <w:rsid w:val="002E4F02"/>
    <w:rsid w:val="002E55D7"/>
    <w:rsid w:val="002E5E33"/>
    <w:rsid w:val="002E7422"/>
    <w:rsid w:val="002E7722"/>
    <w:rsid w:val="002E7A53"/>
    <w:rsid w:val="002F07BA"/>
    <w:rsid w:val="002F0DA9"/>
    <w:rsid w:val="002F1014"/>
    <w:rsid w:val="002F27D7"/>
    <w:rsid w:val="002F295D"/>
    <w:rsid w:val="002F34A5"/>
    <w:rsid w:val="002F4E93"/>
    <w:rsid w:val="002F57D7"/>
    <w:rsid w:val="002F5A4F"/>
    <w:rsid w:val="002F643C"/>
    <w:rsid w:val="002F71C0"/>
    <w:rsid w:val="002F74F1"/>
    <w:rsid w:val="00301017"/>
    <w:rsid w:val="0030155F"/>
    <w:rsid w:val="0030158B"/>
    <w:rsid w:val="00301BC9"/>
    <w:rsid w:val="00302362"/>
    <w:rsid w:val="003050A9"/>
    <w:rsid w:val="0030587B"/>
    <w:rsid w:val="0030627B"/>
    <w:rsid w:val="00306D98"/>
    <w:rsid w:val="0030786C"/>
    <w:rsid w:val="0031031A"/>
    <w:rsid w:val="00310981"/>
    <w:rsid w:val="003118B0"/>
    <w:rsid w:val="003124D9"/>
    <w:rsid w:val="00312594"/>
    <w:rsid w:val="0031327D"/>
    <w:rsid w:val="00314A60"/>
    <w:rsid w:val="00315498"/>
    <w:rsid w:val="00316474"/>
    <w:rsid w:val="003166C5"/>
    <w:rsid w:val="00320C05"/>
    <w:rsid w:val="00322107"/>
    <w:rsid w:val="00322355"/>
    <w:rsid w:val="00322846"/>
    <w:rsid w:val="003234AE"/>
    <w:rsid w:val="003246D2"/>
    <w:rsid w:val="0032498E"/>
    <w:rsid w:val="00326883"/>
    <w:rsid w:val="00326DA7"/>
    <w:rsid w:val="003270E4"/>
    <w:rsid w:val="00330DAA"/>
    <w:rsid w:val="00330F5C"/>
    <w:rsid w:val="00331C4F"/>
    <w:rsid w:val="003325AA"/>
    <w:rsid w:val="00335244"/>
    <w:rsid w:val="003366C9"/>
    <w:rsid w:val="003371B0"/>
    <w:rsid w:val="00337B0D"/>
    <w:rsid w:val="0034037D"/>
    <w:rsid w:val="00340DF1"/>
    <w:rsid w:val="00342AAE"/>
    <w:rsid w:val="00342EEC"/>
    <w:rsid w:val="003442E0"/>
    <w:rsid w:val="00350681"/>
    <w:rsid w:val="003509B0"/>
    <w:rsid w:val="00351278"/>
    <w:rsid w:val="003517F9"/>
    <w:rsid w:val="003519C2"/>
    <w:rsid w:val="00351BA9"/>
    <w:rsid w:val="00352049"/>
    <w:rsid w:val="00352138"/>
    <w:rsid w:val="00354F64"/>
    <w:rsid w:val="00355357"/>
    <w:rsid w:val="0035620E"/>
    <w:rsid w:val="00360345"/>
    <w:rsid w:val="00361A05"/>
    <w:rsid w:val="003624C4"/>
    <w:rsid w:val="003627A4"/>
    <w:rsid w:val="00362B22"/>
    <w:rsid w:val="00362C2C"/>
    <w:rsid w:val="00363B00"/>
    <w:rsid w:val="003654AC"/>
    <w:rsid w:val="0036646D"/>
    <w:rsid w:val="003668AD"/>
    <w:rsid w:val="00366EE4"/>
    <w:rsid w:val="00367559"/>
    <w:rsid w:val="00367E7D"/>
    <w:rsid w:val="003710CF"/>
    <w:rsid w:val="0037118A"/>
    <w:rsid w:val="003731A5"/>
    <w:rsid w:val="00373273"/>
    <w:rsid w:val="00373496"/>
    <w:rsid w:val="0037358A"/>
    <w:rsid w:val="003736F2"/>
    <w:rsid w:val="00374744"/>
    <w:rsid w:val="003750F6"/>
    <w:rsid w:val="00375190"/>
    <w:rsid w:val="003760FC"/>
    <w:rsid w:val="00376813"/>
    <w:rsid w:val="00380775"/>
    <w:rsid w:val="00382582"/>
    <w:rsid w:val="00382883"/>
    <w:rsid w:val="0038365C"/>
    <w:rsid w:val="0038369B"/>
    <w:rsid w:val="00383B78"/>
    <w:rsid w:val="00385A9D"/>
    <w:rsid w:val="00385B20"/>
    <w:rsid w:val="00385C99"/>
    <w:rsid w:val="00386F1D"/>
    <w:rsid w:val="003902B1"/>
    <w:rsid w:val="0039179C"/>
    <w:rsid w:val="00391BBD"/>
    <w:rsid w:val="00392EBA"/>
    <w:rsid w:val="0039418E"/>
    <w:rsid w:val="00394B47"/>
    <w:rsid w:val="00396896"/>
    <w:rsid w:val="00396FD0"/>
    <w:rsid w:val="003A1A7A"/>
    <w:rsid w:val="003A2392"/>
    <w:rsid w:val="003A2831"/>
    <w:rsid w:val="003A2FFB"/>
    <w:rsid w:val="003A3868"/>
    <w:rsid w:val="003A38A1"/>
    <w:rsid w:val="003A3CA0"/>
    <w:rsid w:val="003A3CB6"/>
    <w:rsid w:val="003A3ED1"/>
    <w:rsid w:val="003A44DB"/>
    <w:rsid w:val="003A6DA7"/>
    <w:rsid w:val="003B09A8"/>
    <w:rsid w:val="003B0E20"/>
    <w:rsid w:val="003B1B72"/>
    <w:rsid w:val="003B2F3A"/>
    <w:rsid w:val="003B3971"/>
    <w:rsid w:val="003B3CA9"/>
    <w:rsid w:val="003B4B44"/>
    <w:rsid w:val="003B4D93"/>
    <w:rsid w:val="003B4F74"/>
    <w:rsid w:val="003B55D1"/>
    <w:rsid w:val="003B5764"/>
    <w:rsid w:val="003B57A2"/>
    <w:rsid w:val="003B5B61"/>
    <w:rsid w:val="003C007E"/>
    <w:rsid w:val="003C1654"/>
    <w:rsid w:val="003C2FB0"/>
    <w:rsid w:val="003C5542"/>
    <w:rsid w:val="003C5C2D"/>
    <w:rsid w:val="003C6C47"/>
    <w:rsid w:val="003C786F"/>
    <w:rsid w:val="003C7D19"/>
    <w:rsid w:val="003C7D2F"/>
    <w:rsid w:val="003D0360"/>
    <w:rsid w:val="003D1828"/>
    <w:rsid w:val="003D1DE4"/>
    <w:rsid w:val="003D1E9A"/>
    <w:rsid w:val="003D2422"/>
    <w:rsid w:val="003D2EBF"/>
    <w:rsid w:val="003D319A"/>
    <w:rsid w:val="003D3212"/>
    <w:rsid w:val="003D39A1"/>
    <w:rsid w:val="003D3FBF"/>
    <w:rsid w:val="003D4A30"/>
    <w:rsid w:val="003D738A"/>
    <w:rsid w:val="003D7452"/>
    <w:rsid w:val="003D79BB"/>
    <w:rsid w:val="003D7C98"/>
    <w:rsid w:val="003D7D9D"/>
    <w:rsid w:val="003E0543"/>
    <w:rsid w:val="003E21EB"/>
    <w:rsid w:val="003E2F59"/>
    <w:rsid w:val="003E5F0E"/>
    <w:rsid w:val="003E70E1"/>
    <w:rsid w:val="003E749E"/>
    <w:rsid w:val="003F269B"/>
    <w:rsid w:val="003F2AA6"/>
    <w:rsid w:val="003F4156"/>
    <w:rsid w:val="003F5404"/>
    <w:rsid w:val="003F5ADF"/>
    <w:rsid w:val="003F6493"/>
    <w:rsid w:val="00400182"/>
    <w:rsid w:val="004001A8"/>
    <w:rsid w:val="00400B29"/>
    <w:rsid w:val="00403D62"/>
    <w:rsid w:val="00404F45"/>
    <w:rsid w:val="0040504B"/>
    <w:rsid w:val="004052C9"/>
    <w:rsid w:val="0040565B"/>
    <w:rsid w:val="004059F4"/>
    <w:rsid w:val="00405ECF"/>
    <w:rsid w:val="00407FE5"/>
    <w:rsid w:val="004101B0"/>
    <w:rsid w:val="00410326"/>
    <w:rsid w:val="00410708"/>
    <w:rsid w:val="00410EC7"/>
    <w:rsid w:val="00411A09"/>
    <w:rsid w:val="00411B39"/>
    <w:rsid w:val="00411E58"/>
    <w:rsid w:val="004127A7"/>
    <w:rsid w:val="00413186"/>
    <w:rsid w:val="00413A1E"/>
    <w:rsid w:val="00414476"/>
    <w:rsid w:val="00414C2E"/>
    <w:rsid w:val="004151CF"/>
    <w:rsid w:val="00416364"/>
    <w:rsid w:val="0042047F"/>
    <w:rsid w:val="00420AA6"/>
    <w:rsid w:val="00420B9F"/>
    <w:rsid w:val="00420C09"/>
    <w:rsid w:val="0042138E"/>
    <w:rsid w:val="0042192C"/>
    <w:rsid w:val="0042197E"/>
    <w:rsid w:val="00422260"/>
    <w:rsid w:val="0042413F"/>
    <w:rsid w:val="0043122F"/>
    <w:rsid w:val="004319F8"/>
    <w:rsid w:val="00431E55"/>
    <w:rsid w:val="004321F6"/>
    <w:rsid w:val="004327DF"/>
    <w:rsid w:val="00433044"/>
    <w:rsid w:val="0043336E"/>
    <w:rsid w:val="00434088"/>
    <w:rsid w:val="00434823"/>
    <w:rsid w:val="004375B9"/>
    <w:rsid w:val="00441992"/>
    <w:rsid w:val="00442204"/>
    <w:rsid w:val="004428D0"/>
    <w:rsid w:val="00443FFA"/>
    <w:rsid w:val="00444185"/>
    <w:rsid w:val="004443A7"/>
    <w:rsid w:val="0044442C"/>
    <w:rsid w:val="00445941"/>
    <w:rsid w:val="004464EB"/>
    <w:rsid w:val="00447721"/>
    <w:rsid w:val="00447D26"/>
    <w:rsid w:val="00447DFC"/>
    <w:rsid w:val="004504F3"/>
    <w:rsid w:val="00453AFB"/>
    <w:rsid w:val="004554AA"/>
    <w:rsid w:val="00455D45"/>
    <w:rsid w:val="00456336"/>
    <w:rsid w:val="00456D5A"/>
    <w:rsid w:val="00457CD4"/>
    <w:rsid w:val="0046096F"/>
    <w:rsid w:val="00461EEC"/>
    <w:rsid w:val="00462FF4"/>
    <w:rsid w:val="00464595"/>
    <w:rsid w:val="004658B5"/>
    <w:rsid w:val="004661DA"/>
    <w:rsid w:val="00467082"/>
    <w:rsid w:val="00471EA5"/>
    <w:rsid w:val="004722B9"/>
    <w:rsid w:val="00472A79"/>
    <w:rsid w:val="00473D21"/>
    <w:rsid w:val="00473F19"/>
    <w:rsid w:val="00475E22"/>
    <w:rsid w:val="00476FB2"/>
    <w:rsid w:val="0048088E"/>
    <w:rsid w:val="00480F2B"/>
    <w:rsid w:val="00482720"/>
    <w:rsid w:val="004835E7"/>
    <w:rsid w:val="004867E2"/>
    <w:rsid w:val="00486F45"/>
    <w:rsid w:val="0048773C"/>
    <w:rsid w:val="00490B17"/>
    <w:rsid w:val="00490B37"/>
    <w:rsid w:val="0049134B"/>
    <w:rsid w:val="00491B3A"/>
    <w:rsid w:val="00492CFD"/>
    <w:rsid w:val="00493C51"/>
    <w:rsid w:val="00494207"/>
    <w:rsid w:val="004944D2"/>
    <w:rsid w:val="00494D83"/>
    <w:rsid w:val="00494DD5"/>
    <w:rsid w:val="00496083"/>
    <w:rsid w:val="004962D2"/>
    <w:rsid w:val="004A01EA"/>
    <w:rsid w:val="004A0DA1"/>
    <w:rsid w:val="004A1042"/>
    <w:rsid w:val="004A13D6"/>
    <w:rsid w:val="004A1F2F"/>
    <w:rsid w:val="004A2662"/>
    <w:rsid w:val="004A422A"/>
    <w:rsid w:val="004A4924"/>
    <w:rsid w:val="004A4AFB"/>
    <w:rsid w:val="004A52E9"/>
    <w:rsid w:val="004A6040"/>
    <w:rsid w:val="004A6597"/>
    <w:rsid w:val="004A6D42"/>
    <w:rsid w:val="004A7848"/>
    <w:rsid w:val="004B15A7"/>
    <w:rsid w:val="004B1CB4"/>
    <w:rsid w:val="004B2722"/>
    <w:rsid w:val="004B2F18"/>
    <w:rsid w:val="004B3DDB"/>
    <w:rsid w:val="004B44FD"/>
    <w:rsid w:val="004B5CFC"/>
    <w:rsid w:val="004B6137"/>
    <w:rsid w:val="004B6F79"/>
    <w:rsid w:val="004B727C"/>
    <w:rsid w:val="004B774D"/>
    <w:rsid w:val="004C0031"/>
    <w:rsid w:val="004C0C4F"/>
    <w:rsid w:val="004C1492"/>
    <w:rsid w:val="004C37C8"/>
    <w:rsid w:val="004C4AED"/>
    <w:rsid w:val="004C592B"/>
    <w:rsid w:val="004C6275"/>
    <w:rsid w:val="004C665E"/>
    <w:rsid w:val="004C66B6"/>
    <w:rsid w:val="004C6AFF"/>
    <w:rsid w:val="004D05AB"/>
    <w:rsid w:val="004D0AD4"/>
    <w:rsid w:val="004D0D9B"/>
    <w:rsid w:val="004D2C2D"/>
    <w:rsid w:val="004D49C7"/>
    <w:rsid w:val="004D69B5"/>
    <w:rsid w:val="004D7227"/>
    <w:rsid w:val="004D73B6"/>
    <w:rsid w:val="004D789B"/>
    <w:rsid w:val="004D7AD9"/>
    <w:rsid w:val="004E0645"/>
    <w:rsid w:val="004E0E7F"/>
    <w:rsid w:val="004E0EB8"/>
    <w:rsid w:val="004E18E9"/>
    <w:rsid w:val="004E23EF"/>
    <w:rsid w:val="004E2987"/>
    <w:rsid w:val="004E2ADC"/>
    <w:rsid w:val="004E2CBA"/>
    <w:rsid w:val="004E43B2"/>
    <w:rsid w:val="004E4E45"/>
    <w:rsid w:val="004F05D5"/>
    <w:rsid w:val="004F1D02"/>
    <w:rsid w:val="004F2679"/>
    <w:rsid w:val="004F2F21"/>
    <w:rsid w:val="004F35C4"/>
    <w:rsid w:val="004F385C"/>
    <w:rsid w:val="004F3DE5"/>
    <w:rsid w:val="004F4210"/>
    <w:rsid w:val="004F4306"/>
    <w:rsid w:val="004F674D"/>
    <w:rsid w:val="004F6913"/>
    <w:rsid w:val="004F6C9D"/>
    <w:rsid w:val="004F7865"/>
    <w:rsid w:val="00500693"/>
    <w:rsid w:val="0050137D"/>
    <w:rsid w:val="0050174E"/>
    <w:rsid w:val="00501854"/>
    <w:rsid w:val="0050219B"/>
    <w:rsid w:val="00502CCF"/>
    <w:rsid w:val="00503F17"/>
    <w:rsid w:val="0050632D"/>
    <w:rsid w:val="00506928"/>
    <w:rsid w:val="005077EF"/>
    <w:rsid w:val="00507943"/>
    <w:rsid w:val="00511120"/>
    <w:rsid w:val="005113C8"/>
    <w:rsid w:val="00511AD5"/>
    <w:rsid w:val="00511DC7"/>
    <w:rsid w:val="005126F6"/>
    <w:rsid w:val="00513F2E"/>
    <w:rsid w:val="005142C5"/>
    <w:rsid w:val="0051501B"/>
    <w:rsid w:val="005152B5"/>
    <w:rsid w:val="00515E65"/>
    <w:rsid w:val="00517499"/>
    <w:rsid w:val="00517FBD"/>
    <w:rsid w:val="005205BA"/>
    <w:rsid w:val="00520871"/>
    <w:rsid w:val="0052123C"/>
    <w:rsid w:val="00521319"/>
    <w:rsid w:val="00522225"/>
    <w:rsid w:val="00522BC8"/>
    <w:rsid w:val="00523775"/>
    <w:rsid w:val="00523C28"/>
    <w:rsid w:val="00524D9D"/>
    <w:rsid w:val="005309DF"/>
    <w:rsid w:val="0053176B"/>
    <w:rsid w:val="00533281"/>
    <w:rsid w:val="005358DD"/>
    <w:rsid w:val="00535FED"/>
    <w:rsid w:val="00536906"/>
    <w:rsid w:val="00536EC3"/>
    <w:rsid w:val="00536F42"/>
    <w:rsid w:val="00537182"/>
    <w:rsid w:val="00541EDD"/>
    <w:rsid w:val="00542405"/>
    <w:rsid w:val="00542743"/>
    <w:rsid w:val="00542C2D"/>
    <w:rsid w:val="00544CE5"/>
    <w:rsid w:val="00545D90"/>
    <w:rsid w:val="005478BD"/>
    <w:rsid w:val="005479E3"/>
    <w:rsid w:val="00547CA4"/>
    <w:rsid w:val="005517A3"/>
    <w:rsid w:val="00551985"/>
    <w:rsid w:val="00551998"/>
    <w:rsid w:val="005528B2"/>
    <w:rsid w:val="00552BD3"/>
    <w:rsid w:val="005532A0"/>
    <w:rsid w:val="00553B25"/>
    <w:rsid w:val="00554F0D"/>
    <w:rsid w:val="00555109"/>
    <w:rsid w:val="00555AB3"/>
    <w:rsid w:val="00556B35"/>
    <w:rsid w:val="0055741A"/>
    <w:rsid w:val="005603BD"/>
    <w:rsid w:val="0056045D"/>
    <w:rsid w:val="005611B7"/>
    <w:rsid w:val="005618D4"/>
    <w:rsid w:val="00561E53"/>
    <w:rsid w:val="0056244A"/>
    <w:rsid w:val="005626EA"/>
    <w:rsid w:val="00565DF0"/>
    <w:rsid w:val="0056696F"/>
    <w:rsid w:val="005669A9"/>
    <w:rsid w:val="0057055C"/>
    <w:rsid w:val="00570FDE"/>
    <w:rsid w:val="00572269"/>
    <w:rsid w:val="0057244A"/>
    <w:rsid w:val="00572984"/>
    <w:rsid w:val="00572F26"/>
    <w:rsid w:val="005750C5"/>
    <w:rsid w:val="005752DE"/>
    <w:rsid w:val="00575D8D"/>
    <w:rsid w:val="00576972"/>
    <w:rsid w:val="00576AA0"/>
    <w:rsid w:val="00577283"/>
    <w:rsid w:val="00580077"/>
    <w:rsid w:val="00580FC0"/>
    <w:rsid w:val="00580FD3"/>
    <w:rsid w:val="0058307A"/>
    <w:rsid w:val="00583699"/>
    <w:rsid w:val="00584FCC"/>
    <w:rsid w:val="00585CDD"/>
    <w:rsid w:val="00587058"/>
    <w:rsid w:val="005900D5"/>
    <w:rsid w:val="00590567"/>
    <w:rsid w:val="00591957"/>
    <w:rsid w:val="005920E5"/>
    <w:rsid w:val="00592673"/>
    <w:rsid w:val="00592871"/>
    <w:rsid w:val="00595F72"/>
    <w:rsid w:val="00597925"/>
    <w:rsid w:val="00597BF9"/>
    <w:rsid w:val="00597ECA"/>
    <w:rsid w:val="005A1B62"/>
    <w:rsid w:val="005A1E20"/>
    <w:rsid w:val="005A21A9"/>
    <w:rsid w:val="005A286D"/>
    <w:rsid w:val="005A2DD8"/>
    <w:rsid w:val="005A309A"/>
    <w:rsid w:val="005A373D"/>
    <w:rsid w:val="005A3B6A"/>
    <w:rsid w:val="005A506D"/>
    <w:rsid w:val="005A71A4"/>
    <w:rsid w:val="005A7846"/>
    <w:rsid w:val="005B0307"/>
    <w:rsid w:val="005B0B58"/>
    <w:rsid w:val="005B1526"/>
    <w:rsid w:val="005B2194"/>
    <w:rsid w:val="005B21AF"/>
    <w:rsid w:val="005B4E53"/>
    <w:rsid w:val="005B5857"/>
    <w:rsid w:val="005B74E3"/>
    <w:rsid w:val="005B7661"/>
    <w:rsid w:val="005B7727"/>
    <w:rsid w:val="005B7E3F"/>
    <w:rsid w:val="005B7FAA"/>
    <w:rsid w:val="005C1B83"/>
    <w:rsid w:val="005C1FF9"/>
    <w:rsid w:val="005C25FF"/>
    <w:rsid w:val="005C2D55"/>
    <w:rsid w:val="005C346B"/>
    <w:rsid w:val="005C3C61"/>
    <w:rsid w:val="005C42A6"/>
    <w:rsid w:val="005C46DB"/>
    <w:rsid w:val="005C4772"/>
    <w:rsid w:val="005D044D"/>
    <w:rsid w:val="005D0ABD"/>
    <w:rsid w:val="005D0DDF"/>
    <w:rsid w:val="005D13A3"/>
    <w:rsid w:val="005D18AD"/>
    <w:rsid w:val="005D26B4"/>
    <w:rsid w:val="005D33C8"/>
    <w:rsid w:val="005D6176"/>
    <w:rsid w:val="005D7310"/>
    <w:rsid w:val="005D78EB"/>
    <w:rsid w:val="005E0C10"/>
    <w:rsid w:val="005E2C07"/>
    <w:rsid w:val="005E2ED2"/>
    <w:rsid w:val="005E2FBA"/>
    <w:rsid w:val="005E31F7"/>
    <w:rsid w:val="005E3847"/>
    <w:rsid w:val="005E39F0"/>
    <w:rsid w:val="005E64A2"/>
    <w:rsid w:val="005E6CBC"/>
    <w:rsid w:val="005E72FF"/>
    <w:rsid w:val="005E73C0"/>
    <w:rsid w:val="005E7563"/>
    <w:rsid w:val="005F1F99"/>
    <w:rsid w:val="005F2706"/>
    <w:rsid w:val="005F35FB"/>
    <w:rsid w:val="005F3D8D"/>
    <w:rsid w:val="005F4D2F"/>
    <w:rsid w:val="005F5DD2"/>
    <w:rsid w:val="005F62D6"/>
    <w:rsid w:val="005F65A7"/>
    <w:rsid w:val="005F6A8F"/>
    <w:rsid w:val="005F6BB7"/>
    <w:rsid w:val="005F7588"/>
    <w:rsid w:val="00602392"/>
    <w:rsid w:val="00603DB9"/>
    <w:rsid w:val="006044E2"/>
    <w:rsid w:val="00606DF0"/>
    <w:rsid w:val="00606FBA"/>
    <w:rsid w:val="006071FB"/>
    <w:rsid w:val="00607669"/>
    <w:rsid w:val="006076F4"/>
    <w:rsid w:val="00607A68"/>
    <w:rsid w:val="00607AFD"/>
    <w:rsid w:val="00610EE4"/>
    <w:rsid w:val="00612ACC"/>
    <w:rsid w:val="00612F97"/>
    <w:rsid w:val="0061345D"/>
    <w:rsid w:val="006144FB"/>
    <w:rsid w:val="00614AEC"/>
    <w:rsid w:val="0061549B"/>
    <w:rsid w:val="00615535"/>
    <w:rsid w:val="006159DB"/>
    <w:rsid w:val="00616802"/>
    <w:rsid w:val="00617E12"/>
    <w:rsid w:val="00620216"/>
    <w:rsid w:val="00620C25"/>
    <w:rsid w:val="00621477"/>
    <w:rsid w:val="00621ADA"/>
    <w:rsid w:val="00623927"/>
    <w:rsid w:val="00623CFD"/>
    <w:rsid w:val="00623F7B"/>
    <w:rsid w:val="00630507"/>
    <w:rsid w:val="0063158F"/>
    <w:rsid w:val="006316C0"/>
    <w:rsid w:val="00631D6B"/>
    <w:rsid w:val="00632183"/>
    <w:rsid w:val="006327D0"/>
    <w:rsid w:val="00632C70"/>
    <w:rsid w:val="006330A1"/>
    <w:rsid w:val="0063479F"/>
    <w:rsid w:val="006353F0"/>
    <w:rsid w:val="006357B5"/>
    <w:rsid w:val="006362F6"/>
    <w:rsid w:val="006364A1"/>
    <w:rsid w:val="0063678E"/>
    <w:rsid w:val="00637531"/>
    <w:rsid w:val="00637BC8"/>
    <w:rsid w:val="00637BFD"/>
    <w:rsid w:val="00641C4E"/>
    <w:rsid w:val="00641FB3"/>
    <w:rsid w:val="00644073"/>
    <w:rsid w:val="0064434C"/>
    <w:rsid w:val="00644ACE"/>
    <w:rsid w:val="00644EB2"/>
    <w:rsid w:val="006453E4"/>
    <w:rsid w:val="006471CC"/>
    <w:rsid w:val="006476F2"/>
    <w:rsid w:val="006477BF"/>
    <w:rsid w:val="00647A29"/>
    <w:rsid w:val="0065079F"/>
    <w:rsid w:val="00652A28"/>
    <w:rsid w:val="00652DC2"/>
    <w:rsid w:val="0065379F"/>
    <w:rsid w:val="00654564"/>
    <w:rsid w:val="00655774"/>
    <w:rsid w:val="00656188"/>
    <w:rsid w:val="0065715A"/>
    <w:rsid w:val="006610F1"/>
    <w:rsid w:val="00661C6B"/>
    <w:rsid w:val="00664A4F"/>
    <w:rsid w:val="00667754"/>
    <w:rsid w:val="00671004"/>
    <w:rsid w:val="00671C5D"/>
    <w:rsid w:val="00672646"/>
    <w:rsid w:val="00672A34"/>
    <w:rsid w:val="006733A9"/>
    <w:rsid w:val="00674044"/>
    <w:rsid w:val="00674E42"/>
    <w:rsid w:val="006813F8"/>
    <w:rsid w:val="0068165E"/>
    <w:rsid w:val="00682112"/>
    <w:rsid w:val="00682BA6"/>
    <w:rsid w:val="006830BF"/>
    <w:rsid w:val="00683F13"/>
    <w:rsid w:val="00686957"/>
    <w:rsid w:val="00686F68"/>
    <w:rsid w:val="006871C6"/>
    <w:rsid w:val="006872BA"/>
    <w:rsid w:val="00690795"/>
    <w:rsid w:val="00691648"/>
    <w:rsid w:val="006917D7"/>
    <w:rsid w:val="00691F46"/>
    <w:rsid w:val="00692BCC"/>
    <w:rsid w:val="00692C4A"/>
    <w:rsid w:val="0069434C"/>
    <w:rsid w:val="00694F44"/>
    <w:rsid w:val="006952E2"/>
    <w:rsid w:val="00695A6C"/>
    <w:rsid w:val="00696F51"/>
    <w:rsid w:val="006979A5"/>
    <w:rsid w:val="006A15B1"/>
    <w:rsid w:val="006A460B"/>
    <w:rsid w:val="006A584F"/>
    <w:rsid w:val="006A6B85"/>
    <w:rsid w:val="006A6B99"/>
    <w:rsid w:val="006A7E5F"/>
    <w:rsid w:val="006B0BA1"/>
    <w:rsid w:val="006B0D84"/>
    <w:rsid w:val="006B191B"/>
    <w:rsid w:val="006B261B"/>
    <w:rsid w:val="006B2C90"/>
    <w:rsid w:val="006B35E6"/>
    <w:rsid w:val="006B465A"/>
    <w:rsid w:val="006B5A49"/>
    <w:rsid w:val="006B6DD0"/>
    <w:rsid w:val="006C0399"/>
    <w:rsid w:val="006C1211"/>
    <w:rsid w:val="006C1E5C"/>
    <w:rsid w:val="006C2A8E"/>
    <w:rsid w:val="006C2EBD"/>
    <w:rsid w:val="006C3255"/>
    <w:rsid w:val="006C3F26"/>
    <w:rsid w:val="006C6C53"/>
    <w:rsid w:val="006C6E03"/>
    <w:rsid w:val="006D03B1"/>
    <w:rsid w:val="006D0D17"/>
    <w:rsid w:val="006D0D8C"/>
    <w:rsid w:val="006D100A"/>
    <w:rsid w:val="006D17EB"/>
    <w:rsid w:val="006D28A9"/>
    <w:rsid w:val="006D2974"/>
    <w:rsid w:val="006D2E14"/>
    <w:rsid w:val="006D3693"/>
    <w:rsid w:val="006D3C7D"/>
    <w:rsid w:val="006D3E7F"/>
    <w:rsid w:val="006D3FAD"/>
    <w:rsid w:val="006D4659"/>
    <w:rsid w:val="006D4B46"/>
    <w:rsid w:val="006D5D5F"/>
    <w:rsid w:val="006D68FB"/>
    <w:rsid w:val="006D7985"/>
    <w:rsid w:val="006E0A14"/>
    <w:rsid w:val="006E1C55"/>
    <w:rsid w:val="006E2868"/>
    <w:rsid w:val="006E34DA"/>
    <w:rsid w:val="006E3C7D"/>
    <w:rsid w:val="006E5C2C"/>
    <w:rsid w:val="006E60E2"/>
    <w:rsid w:val="006E6C24"/>
    <w:rsid w:val="006F2C1F"/>
    <w:rsid w:val="006F306C"/>
    <w:rsid w:val="006F33D7"/>
    <w:rsid w:val="006F4B39"/>
    <w:rsid w:val="006F56EF"/>
    <w:rsid w:val="006F63A5"/>
    <w:rsid w:val="006F7C68"/>
    <w:rsid w:val="006F7DA4"/>
    <w:rsid w:val="0070142B"/>
    <w:rsid w:val="0070276E"/>
    <w:rsid w:val="007028E0"/>
    <w:rsid w:val="00702F8F"/>
    <w:rsid w:val="007037FA"/>
    <w:rsid w:val="00705A98"/>
    <w:rsid w:val="00706F9D"/>
    <w:rsid w:val="007079FC"/>
    <w:rsid w:val="007102B4"/>
    <w:rsid w:val="007106AF"/>
    <w:rsid w:val="00711170"/>
    <w:rsid w:val="00711A36"/>
    <w:rsid w:val="00714C26"/>
    <w:rsid w:val="0071529C"/>
    <w:rsid w:val="00715A3C"/>
    <w:rsid w:val="007166F0"/>
    <w:rsid w:val="007170DA"/>
    <w:rsid w:val="007172AD"/>
    <w:rsid w:val="007200DE"/>
    <w:rsid w:val="007204A7"/>
    <w:rsid w:val="00720801"/>
    <w:rsid w:val="00720FBA"/>
    <w:rsid w:val="00722323"/>
    <w:rsid w:val="00722B1B"/>
    <w:rsid w:val="0072416F"/>
    <w:rsid w:val="00725437"/>
    <w:rsid w:val="00725569"/>
    <w:rsid w:val="007262DD"/>
    <w:rsid w:val="00727C94"/>
    <w:rsid w:val="00731761"/>
    <w:rsid w:val="00731B0A"/>
    <w:rsid w:val="00731EAE"/>
    <w:rsid w:val="00731F01"/>
    <w:rsid w:val="00733073"/>
    <w:rsid w:val="00735033"/>
    <w:rsid w:val="00735328"/>
    <w:rsid w:val="00736214"/>
    <w:rsid w:val="0073685B"/>
    <w:rsid w:val="00737422"/>
    <w:rsid w:val="00737963"/>
    <w:rsid w:val="00740643"/>
    <w:rsid w:val="00741D13"/>
    <w:rsid w:val="007432BE"/>
    <w:rsid w:val="00744449"/>
    <w:rsid w:val="007449BF"/>
    <w:rsid w:val="00746BC0"/>
    <w:rsid w:val="007510B4"/>
    <w:rsid w:val="00751753"/>
    <w:rsid w:val="00752142"/>
    <w:rsid w:val="007523F9"/>
    <w:rsid w:val="00752751"/>
    <w:rsid w:val="0075357E"/>
    <w:rsid w:val="00753C23"/>
    <w:rsid w:val="00753E86"/>
    <w:rsid w:val="00753F1C"/>
    <w:rsid w:val="00755585"/>
    <w:rsid w:val="007573E8"/>
    <w:rsid w:val="00760234"/>
    <w:rsid w:val="00760C4E"/>
    <w:rsid w:val="00760F9E"/>
    <w:rsid w:val="00761722"/>
    <w:rsid w:val="0076219D"/>
    <w:rsid w:val="007627BE"/>
    <w:rsid w:val="00762ED3"/>
    <w:rsid w:val="00763403"/>
    <w:rsid w:val="007647E1"/>
    <w:rsid w:val="00764F03"/>
    <w:rsid w:val="0076570B"/>
    <w:rsid w:val="00765B1A"/>
    <w:rsid w:val="0077132F"/>
    <w:rsid w:val="007716FA"/>
    <w:rsid w:val="00772A47"/>
    <w:rsid w:val="00774095"/>
    <w:rsid w:val="00776543"/>
    <w:rsid w:val="0077725A"/>
    <w:rsid w:val="00777335"/>
    <w:rsid w:val="00777BB3"/>
    <w:rsid w:val="00777E5F"/>
    <w:rsid w:val="007819A9"/>
    <w:rsid w:val="00781F30"/>
    <w:rsid w:val="00782DF6"/>
    <w:rsid w:val="007843F2"/>
    <w:rsid w:val="007844AD"/>
    <w:rsid w:val="007856CF"/>
    <w:rsid w:val="00785A9F"/>
    <w:rsid w:val="00787368"/>
    <w:rsid w:val="00787AD9"/>
    <w:rsid w:val="00787E92"/>
    <w:rsid w:val="007905BD"/>
    <w:rsid w:val="007925DF"/>
    <w:rsid w:val="00793CF8"/>
    <w:rsid w:val="00794A18"/>
    <w:rsid w:val="007955B3"/>
    <w:rsid w:val="00796118"/>
    <w:rsid w:val="0079613B"/>
    <w:rsid w:val="007972E4"/>
    <w:rsid w:val="007A08AA"/>
    <w:rsid w:val="007A0A12"/>
    <w:rsid w:val="007A132D"/>
    <w:rsid w:val="007A1345"/>
    <w:rsid w:val="007A292B"/>
    <w:rsid w:val="007A2BB6"/>
    <w:rsid w:val="007A2DDB"/>
    <w:rsid w:val="007A3C0C"/>
    <w:rsid w:val="007A4C85"/>
    <w:rsid w:val="007A6EA2"/>
    <w:rsid w:val="007A70BA"/>
    <w:rsid w:val="007B0910"/>
    <w:rsid w:val="007B0D68"/>
    <w:rsid w:val="007B15FC"/>
    <w:rsid w:val="007B251D"/>
    <w:rsid w:val="007B2E23"/>
    <w:rsid w:val="007B2E7D"/>
    <w:rsid w:val="007B3FD6"/>
    <w:rsid w:val="007B4DD7"/>
    <w:rsid w:val="007B4F58"/>
    <w:rsid w:val="007B528D"/>
    <w:rsid w:val="007B63CA"/>
    <w:rsid w:val="007B7700"/>
    <w:rsid w:val="007B77D1"/>
    <w:rsid w:val="007B7C24"/>
    <w:rsid w:val="007C07C7"/>
    <w:rsid w:val="007C1307"/>
    <w:rsid w:val="007C1CD9"/>
    <w:rsid w:val="007C26C6"/>
    <w:rsid w:val="007C3134"/>
    <w:rsid w:val="007C32EF"/>
    <w:rsid w:val="007C361D"/>
    <w:rsid w:val="007C4B84"/>
    <w:rsid w:val="007C70FF"/>
    <w:rsid w:val="007C72FF"/>
    <w:rsid w:val="007C7C25"/>
    <w:rsid w:val="007D004F"/>
    <w:rsid w:val="007D0A1C"/>
    <w:rsid w:val="007D0B38"/>
    <w:rsid w:val="007D141C"/>
    <w:rsid w:val="007D22F5"/>
    <w:rsid w:val="007D3025"/>
    <w:rsid w:val="007D5440"/>
    <w:rsid w:val="007D69EB"/>
    <w:rsid w:val="007D6FE0"/>
    <w:rsid w:val="007E0C69"/>
    <w:rsid w:val="007E128F"/>
    <w:rsid w:val="007E29A1"/>
    <w:rsid w:val="007E6E68"/>
    <w:rsid w:val="007E779B"/>
    <w:rsid w:val="007F0B46"/>
    <w:rsid w:val="007F1017"/>
    <w:rsid w:val="007F44DE"/>
    <w:rsid w:val="007F44FB"/>
    <w:rsid w:val="007F4A3F"/>
    <w:rsid w:val="007F4A61"/>
    <w:rsid w:val="007F5255"/>
    <w:rsid w:val="007F56CC"/>
    <w:rsid w:val="007F5A7D"/>
    <w:rsid w:val="007F61C2"/>
    <w:rsid w:val="007F7A9B"/>
    <w:rsid w:val="007F7E83"/>
    <w:rsid w:val="00802C5D"/>
    <w:rsid w:val="00805142"/>
    <w:rsid w:val="0080597C"/>
    <w:rsid w:val="00805FCE"/>
    <w:rsid w:val="00806A84"/>
    <w:rsid w:val="00807931"/>
    <w:rsid w:val="00807A8B"/>
    <w:rsid w:val="008100BC"/>
    <w:rsid w:val="008112D4"/>
    <w:rsid w:val="00811383"/>
    <w:rsid w:val="00812130"/>
    <w:rsid w:val="00812149"/>
    <w:rsid w:val="00812CAC"/>
    <w:rsid w:val="00813C20"/>
    <w:rsid w:val="00814196"/>
    <w:rsid w:val="00815E55"/>
    <w:rsid w:val="00816361"/>
    <w:rsid w:val="008166EF"/>
    <w:rsid w:val="00816FEF"/>
    <w:rsid w:val="00820A8C"/>
    <w:rsid w:val="008215E0"/>
    <w:rsid w:val="008215FB"/>
    <w:rsid w:val="008229FB"/>
    <w:rsid w:val="00823174"/>
    <w:rsid w:val="008235C5"/>
    <w:rsid w:val="008238D2"/>
    <w:rsid w:val="00825751"/>
    <w:rsid w:val="008264EB"/>
    <w:rsid w:val="00831F2E"/>
    <w:rsid w:val="0083208E"/>
    <w:rsid w:val="0083277C"/>
    <w:rsid w:val="00833B05"/>
    <w:rsid w:val="00834459"/>
    <w:rsid w:val="00834F54"/>
    <w:rsid w:val="00835D50"/>
    <w:rsid w:val="008362B4"/>
    <w:rsid w:val="00840CA2"/>
    <w:rsid w:val="00841291"/>
    <w:rsid w:val="0084374F"/>
    <w:rsid w:val="00844A22"/>
    <w:rsid w:val="00845777"/>
    <w:rsid w:val="008460D3"/>
    <w:rsid w:val="00847703"/>
    <w:rsid w:val="00847DF5"/>
    <w:rsid w:val="00850B49"/>
    <w:rsid w:val="008511B1"/>
    <w:rsid w:val="00852869"/>
    <w:rsid w:val="0085309D"/>
    <w:rsid w:val="008553C9"/>
    <w:rsid w:val="00856816"/>
    <w:rsid w:val="00856897"/>
    <w:rsid w:val="00856D66"/>
    <w:rsid w:val="00856E9A"/>
    <w:rsid w:val="0086075D"/>
    <w:rsid w:val="00861822"/>
    <w:rsid w:val="00861C35"/>
    <w:rsid w:val="00862502"/>
    <w:rsid w:val="00862CC1"/>
    <w:rsid w:val="00863A6D"/>
    <w:rsid w:val="00864584"/>
    <w:rsid w:val="00864D06"/>
    <w:rsid w:val="008660D4"/>
    <w:rsid w:val="00866B59"/>
    <w:rsid w:val="00871FA9"/>
    <w:rsid w:val="008722C8"/>
    <w:rsid w:val="008728E9"/>
    <w:rsid w:val="00880335"/>
    <w:rsid w:val="00880CE5"/>
    <w:rsid w:val="00880E9B"/>
    <w:rsid w:val="008814D5"/>
    <w:rsid w:val="008815EE"/>
    <w:rsid w:val="00882874"/>
    <w:rsid w:val="00882E3C"/>
    <w:rsid w:val="00883787"/>
    <w:rsid w:val="00884EDD"/>
    <w:rsid w:val="00885280"/>
    <w:rsid w:val="008855E4"/>
    <w:rsid w:val="00886CD2"/>
    <w:rsid w:val="00887B04"/>
    <w:rsid w:val="00891E6F"/>
    <w:rsid w:val="0089275D"/>
    <w:rsid w:val="00892A36"/>
    <w:rsid w:val="00893239"/>
    <w:rsid w:val="00893CEE"/>
    <w:rsid w:val="00893D01"/>
    <w:rsid w:val="00894489"/>
    <w:rsid w:val="0089639B"/>
    <w:rsid w:val="008963A5"/>
    <w:rsid w:val="00896D5D"/>
    <w:rsid w:val="00897808"/>
    <w:rsid w:val="008A0A60"/>
    <w:rsid w:val="008A3363"/>
    <w:rsid w:val="008A3371"/>
    <w:rsid w:val="008A3C3E"/>
    <w:rsid w:val="008A3D78"/>
    <w:rsid w:val="008A477A"/>
    <w:rsid w:val="008A4E23"/>
    <w:rsid w:val="008A5A87"/>
    <w:rsid w:val="008A79DE"/>
    <w:rsid w:val="008A7C75"/>
    <w:rsid w:val="008B117A"/>
    <w:rsid w:val="008B1757"/>
    <w:rsid w:val="008B5068"/>
    <w:rsid w:val="008B7992"/>
    <w:rsid w:val="008B7D7E"/>
    <w:rsid w:val="008C10EE"/>
    <w:rsid w:val="008C1746"/>
    <w:rsid w:val="008C2B39"/>
    <w:rsid w:val="008C459A"/>
    <w:rsid w:val="008C5610"/>
    <w:rsid w:val="008C5739"/>
    <w:rsid w:val="008C6D1C"/>
    <w:rsid w:val="008C7476"/>
    <w:rsid w:val="008C7ECB"/>
    <w:rsid w:val="008D2F26"/>
    <w:rsid w:val="008D3B43"/>
    <w:rsid w:val="008D3B86"/>
    <w:rsid w:val="008D4755"/>
    <w:rsid w:val="008D4C3D"/>
    <w:rsid w:val="008D5619"/>
    <w:rsid w:val="008D5E88"/>
    <w:rsid w:val="008D743C"/>
    <w:rsid w:val="008E05B2"/>
    <w:rsid w:val="008E0D3C"/>
    <w:rsid w:val="008E0D73"/>
    <w:rsid w:val="008E1B9E"/>
    <w:rsid w:val="008E341D"/>
    <w:rsid w:val="008E3DFB"/>
    <w:rsid w:val="008E55AB"/>
    <w:rsid w:val="008E6C67"/>
    <w:rsid w:val="008F0E77"/>
    <w:rsid w:val="008F120A"/>
    <w:rsid w:val="008F27E0"/>
    <w:rsid w:val="008F48EB"/>
    <w:rsid w:val="008F4F0B"/>
    <w:rsid w:val="008F6576"/>
    <w:rsid w:val="00900C8D"/>
    <w:rsid w:val="0090351D"/>
    <w:rsid w:val="00903958"/>
    <w:rsid w:val="009043C1"/>
    <w:rsid w:val="009046C4"/>
    <w:rsid w:val="009062A5"/>
    <w:rsid w:val="0090685E"/>
    <w:rsid w:val="00907A02"/>
    <w:rsid w:val="00910934"/>
    <w:rsid w:val="00910FA7"/>
    <w:rsid w:val="00911272"/>
    <w:rsid w:val="009121DD"/>
    <w:rsid w:val="00913023"/>
    <w:rsid w:val="009135D6"/>
    <w:rsid w:val="00913C4C"/>
    <w:rsid w:val="00914C77"/>
    <w:rsid w:val="009155F7"/>
    <w:rsid w:val="00917A99"/>
    <w:rsid w:val="00917FA4"/>
    <w:rsid w:val="00921ACB"/>
    <w:rsid w:val="0092369B"/>
    <w:rsid w:val="00925422"/>
    <w:rsid w:val="009256D6"/>
    <w:rsid w:val="00927AA4"/>
    <w:rsid w:val="00927E38"/>
    <w:rsid w:val="009314E2"/>
    <w:rsid w:val="0093212D"/>
    <w:rsid w:val="00932FAA"/>
    <w:rsid w:val="00933A97"/>
    <w:rsid w:val="00934731"/>
    <w:rsid w:val="00934988"/>
    <w:rsid w:val="00934AD6"/>
    <w:rsid w:val="009365FA"/>
    <w:rsid w:val="00937089"/>
    <w:rsid w:val="00937FE8"/>
    <w:rsid w:val="009424BB"/>
    <w:rsid w:val="00944F8A"/>
    <w:rsid w:val="0094663C"/>
    <w:rsid w:val="00946939"/>
    <w:rsid w:val="00946BBA"/>
    <w:rsid w:val="009474B3"/>
    <w:rsid w:val="009479E5"/>
    <w:rsid w:val="00947F7E"/>
    <w:rsid w:val="009510A2"/>
    <w:rsid w:val="00951783"/>
    <w:rsid w:val="0095316D"/>
    <w:rsid w:val="00953257"/>
    <w:rsid w:val="00953B08"/>
    <w:rsid w:val="0095474C"/>
    <w:rsid w:val="009578F7"/>
    <w:rsid w:val="00957F92"/>
    <w:rsid w:val="009614DF"/>
    <w:rsid w:val="00961906"/>
    <w:rsid w:val="00962834"/>
    <w:rsid w:val="00962CB9"/>
    <w:rsid w:val="00964312"/>
    <w:rsid w:val="009646B7"/>
    <w:rsid w:val="00965988"/>
    <w:rsid w:val="00965B8A"/>
    <w:rsid w:val="00965CC3"/>
    <w:rsid w:val="009678A8"/>
    <w:rsid w:val="0097058F"/>
    <w:rsid w:val="0097071F"/>
    <w:rsid w:val="0097103A"/>
    <w:rsid w:val="009713CB"/>
    <w:rsid w:val="009717AC"/>
    <w:rsid w:val="00971B2D"/>
    <w:rsid w:val="00972660"/>
    <w:rsid w:val="0097453F"/>
    <w:rsid w:val="009751C1"/>
    <w:rsid w:val="009756E8"/>
    <w:rsid w:val="00976EB3"/>
    <w:rsid w:val="009775D2"/>
    <w:rsid w:val="009811F1"/>
    <w:rsid w:val="0098232E"/>
    <w:rsid w:val="00982C99"/>
    <w:rsid w:val="00983E57"/>
    <w:rsid w:val="00985DE2"/>
    <w:rsid w:val="0098675D"/>
    <w:rsid w:val="009926E0"/>
    <w:rsid w:val="00993AC4"/>
    <w:rsid w:val="0099451E"/>
    <w:rsid w:val="00994686"/>
    <w:rsid w:val="00996B1A"/>
    <w:rsid w:val="009977DE"/>
    <w:rsid w:val="009A0B9C"/>
    <w:rsid w:val="009A2DCC"/>
    <w:rsid w:val="009A3351"/>
    <w:rsid w:val="009A3F6D"/>
    <w:rsid w:val="009A513B"/>
    <w:rsid w:val="009A5963"/>
    <w:rsid w:val="009A5ABC"/>
    <w:rsid w:val="009A6828"/>
    <w:rsid w:val="009A6BF2"/>
    <w:rsid w:val="009A7384"/>
    <w:rsid w:val="009A7D1B"/>
    <w:rsid w:val="009A7F10"/>
    <w:rsid w:val="009B091E"/>
    <w:rsid w:val="009B12A8"/>
    <w:rsid w:val="009B3463"/>
    <w:rsid w:val="009B3E26"/>
    <w:rsid w:val="009B3F22"/>
    <w:rsid w:val="009B3F27"/>
    <w:rsid w:val="009B585B"/>
    <w:rsid w:val="009C1D9E"/>
    <w:rsid w:val="009C21E5"/>
    <w:rsid w:val="009C3498"/>
    <w:rsid w:val="009C3706"/>
    <w:rsid w:val="009C3787"/>
    <w:rsid w:val="009C3A3A"/>
    <w:rsid w:val="009C44D4"/>
    <w:rsid w:val="009C4E3C"/>
    <w:rsid w:val="009C5FBF"/>
    <w:rsid w:val="009C6CEA"/>
    <w:rsid w:val="009C7B85"/>
    <w:rsid w:val="009D0254"/>
    <w:rsid w:val="009D0DFC"/>
    <w:rsid w:val="009D0F55"/>
    <w:rsid w:val="009D1A64"/>
    <w:rsid w:val="009D25E6"/>
    <w:rsid w:val="009D4032"/>
    <w:rsid w:val="009D5B91"/>
    <w:rsid w:val="009D6533"/>
    <w:rsid w:val="009D792E"/>
    <w:rsid w:val="009E0149"/>
    <w:rsid w:val="009E03DE"/>
    <w:rsid w:val="009E0AF3"/>
    <w:rsid w:val="009E0DFE"/>
    <w:rsid w:val="009E1F7A"/>
    <w:rsid w:val="009E31F6"/>
    <w:rsid w:val="009E4C07"/>
    <w:rsid w:val="009E65FA"/>
    <w:rsid w:val="009F0DD4"/>
    <w:rsid w:val="009F1970"/>
    <w:rsid w:val="009F2B95"/>
    <w:rsid w:val="009F588E"/>
    <w:rsid w:val="009F6831"/>
    <w:rsid w:val="009F6BC6"/>
    <w:rsid w:val="009F79A9"/>
    <w:rsid w:val="009F7A35"/>
    <w:rsid w:val="00A005B9"/>
    <w:rsid w:val="00A01184"/>
    <w:rsid w:val="00A01D56"/>
    <w:rsid w:val="00A02580"/>
    <w:rsid w:val="00A037C2"/>
    <w:rsid w:val="00A03D43"/>
    <w:rsid w:val="00A03F8A"/>
    <w:rsid w:val="00A04380"/>
    <w:rsid w:val="00A05472"/>
    <w:rsid w:val="00A05C32"/>
    <w:rsid w:val="00A063DC"/>
    <w:rsid w:val="00A0653F"/>
    <w:rsid w:val="00A06966"/>
    <w:rsid w:val="00A07D00"/>
    <w:rsid w:val="00A07F97"/>
    <w:rsid w:val="00A11CD0"/>
    <w:rsid w:val="00A12C92"/>
    <w:rsid w:val="00A13948"/>
    <w:rsid w:val="00A13D5B"/>
    <w:rsid w:val="00A14AFC"/>
    <w:rsid w:val="00A1555B"/>
    <w:rsid w:val="00A155C5"/>
    <w:rsid w:val="00A157CE"/>
    <w:rsid w:val="00A16AD8"/>
    <w:rsid w:val="00A175A7"/>
    <w:rsid w:val="00A200ED"/>
    <w:rsid w:val="00A2129E"/>
    <w:rsid w:val="00A21486"/>
    <w:rsid w:val="00A21C95"/>
    <w:rsid w:val="00A21CF3"/>
    <w:rsid w:val="00A22EEF"/>
    <w:rsid w:val="00A234A0"/>
    <w:rsid w:val="00A23C53"/>
    <w:rsid w:val="00A24813"/>
    <w:rsid w:val="00A251AA"/>
    <w:rsid w:val="00A2597B"/>
    <w:rsid w:val="00A27AEC"/>
    <w:rsid w:val="00A309B0"/>
    <w:rsid w:val="00A320DB"/>
    <w:rsid w:val="00A33A3B"/>
    <w:rsid w:val="00A351B3"/>
    <w:rsid w:val="00A35D16"/>
    <w:rsid w:val="00A35E19"/>
    <w:rsid w:val="00A37BCD"/>
    <w:rsid w:val="00A37F81"/>
    <w:rsid w:val="00A407FC"/>
    <w:rsid w:val="00A41689"/>
    <w:rsid w:val="00A41C5E"/>
    <w:rsid w:val="00A41FEA"/>
    <w:rsid w:val="00A42592"/>
    <w:rsid w:val="00A42D18"/>
    <w:rsid w:val="00A431F3"/>
    <w:rsid w:val="00A439B2"/>
    <w:rsid w:val="00A43C59"/>
    <w:rsid w:val="00A44DFC"/>
    <w:rsid w:val="00A45A2B"/>
    <w:rsid w:val="00A46497"/>
    <w:rsid w:val="00A4771C"/>
    <w:rsid w:val="00A47729"/>
    <w:rsid w:val="00A50ECD"/>
    <w:rsid w:val="00A51716"/>
    <w:rsid w:val="00A518F3"/>
    <w:rsid w:val="00A526C8"/>
    <w:rsid w:val="00A52729"/>
    <w:rsid w:val="00A53072"/>
    <w:rsid w:val="00A53675"/>
    <w:rsid w:val="00A55626"/>
    <w:rsid w:val="00A55F37"/>
    <w:rsid w:val="00A56225"/>
    <w:rsid w:val="00A564D7"/>
    <w:rsid w:val="00A56B6A"/>
    <w:rsid w:val="00A5707C"/>
    <w:rsid w:val="00A578DC"/>
    <w:rsid w:val="00A61BCE"/>
    <w:rsid w:val="00A640E2"/>
    <w:rsid w:val="00A64D65"/>
    <w:rsid w:val="00A654D4"/>
    <w:rsid w:val="00A66D45"/>
    <w:rsid w:val="00A66F03"/>
    <w:rsid w:val="00A6725B"/>
    <w:rsid w:val="00A70605"/>
    <w:rsid w:val="00A71815"/>
    <w:rsid w:val="00A7292A"/>
    <w:rsid w:val="00A73134"/>
    <w:rsid w:val="00A731B0"/>
    <w:rsid w:val="00A74EC2"/>
    <w:rsid w:val="00A75527"/>
    <w:rsid w:val="00A76001"/>
    <w:rsid w:val="00A760BB"/>
    <w:rsid w:val="00A771F0"/>
    <w:rsid w:val="00A774D6"/>
    <w:rsid w:val="00A777B2"/>
    <w:rsid w:val="00A803BC"/>
    <w:rsid w:val="00A811CF"/>
    <w:rsid w:val="00A8192A"/>
    <w:rsid w:val="00A825D4"/>
    <w:rsid w:val="00A828F6"/>
    <w:rsid w:val="00A82B73"/>
    <w:rsid w:val="00A83730"/>
    <w:rsid w:val="00A854F0"/>
    <w:rsid w:val="00A85512"/>
    <w:rsid w:val="00A85687"/>
    <w:rsid w:val="00A869E5"/>
    <w:rsid w:val="00A86A95"/>
    <w:rsid w:val="00A86E8B"/>
    <w:rsid w:val="00A87164"/>
    <w:rsid w:val="00A871F8"/>
    <w:rsid w:val="00A90311"/>
    <w:rsid w:val="00A9202A"/>
    <w:rsid w:val="00A93072"/>
    <w:rsid w:val="00A938BD"/>
    <w:rsid w:val="00A93953"/>
    <w:rsid w:val="00A94A79"/>
    <w:rsid w:val="00A95865"/>
    <w:rsid w:val="00A959D8"/>
    <w:rsid w:val="00A95EEF"/>
    <w:rsid w:val="00A964C1"/>
    <w:rsid w:val="00A96F99"/>
    <w:rsid w:val="00A97DEB"/>
    <w:rsid w:val="00AA113D"/>
    <w:rsid w:val="00AA122D"/>
    <w:rsid w:val="00AA3DE1"/>
    <w:rsid w:val="00AA4632"/>
    <w:rsid w:val="00AA5B76"/>
    <w:rsid w:val="00AA6BD5"/>
    <w:rsid w:val="00AA6BD8"/>
    <w:rsid w:val="00AA6C7D"/>
    <w:rsid w:val="00AA7FD6"/>
    <w:rsid w:val="00AB042A"/>
    <w:rsid w:val="00AB08EE"/>
    <w:rsid w:val="00AB0B8A"/>
    <w:rsid w:val="00AB0E0F"/>
    <w:rsid w:val="00AB0EC1"/>
    <w:rsid w:val="00AB19EF"/>
    <w:rsid w:val="00AB1D28"/>
    <w:rsid w:val="00AB2691"/>
    <w:rsid w:val="00AB2D34"/>
    <w:rsid w:val="00AB3430"/>
    <w:rsid w:val="00AB37B9"/>
    <w:rsid w:val="00AB43E7"/>
    <w:rsid w:val="00AB4AD1"/>
    <w:rsid w:val="00AB5E07"/>
    <w:rsid w:val="00AB7CFA"/>
    <w:rsid w:val="00AC0BB7"/>
    <w:rsid w:val="00AC1A44"/>
    <w:rsid w:val="00AC25D8"/>
    <w:rsid w:val="00AC2743"/>
    <w:rsid w:val="00AC45A0"/>
    <w:rsid w:val="00AC49F2"/>
    <w:rsid w:val="00AC5B48"/>
    <w:rsid w:val="00AC67C3"/>
    <w:rsid w:val="00AC6AE6"/>
    <w:rsid w:val="00AD1450"/>
    <w:rsid w:val="00AD333E"/>
    <w:rsid w:val="00AD3460"/>
    <w:rsid w:val="00AD39DC"/>
    <w:rsid w:val="00AD3D09"/>
    <w:rsid w:val="00AD6454"/>
    <w:rsid w:val="00AD6502"/>
    <w:rsid w:val="00AD7221"/>
    <w:rsid w:val="00AE0695"/>
    <w:rsid w:val="00AE2BA0"/>
    <w:rsid w:val="00AE3AD7"/>
    <w:rsid w:val="00AE3E7E"/>
    <w:rsid w:val="00AE48C9"/>
    <w:rsid w:val="00AE767A"/>
    <w:rsid w:val="00AF1315"/>
    <w:rsid w:val="00AF19BF"/>
    <w:rsid w:val="00AF20AB"/>
    <w:rsid w:val="00AF2B9C"/>
    <w:rsid w:val="00AF2DC3"/>
    <w:rsid w:val="00AF4765"/>
    <w:rsid w:val="00AF545F"/>
    <w:rsid w:val="00AF55C3"/>
    <w:rsid w:val="00AF6188"/>
    <w:rsid w:val="00AF739A"/>
    <w:rsid w:val="00B033E5"/>
    <w:rsid w:val="00B03A63"/>
    <w:rsid w:val="00B06B81"/>
    <w:rsid w:val="00B1090B"/>
    <w:rsid w:val="00B12B95"/>
    <w:rsid w:val="00B1572A"/>
    <w:rsid w:val="00B1714F"/>
    <w:rsid w:val="00B17E74"/>
    <w:rsid w:val="00B201A4"/>
    <w:rsid w:val="00B201D1"/>
    <w:rsid w:val="00B213A6"/>
    <w:rsid w:val="00B21831"/>
    <w:rsid w:val="00B235B0"/>
    <w:rsid w:val="00B2414B"/>
    <w:rsid w:val="00B245D2"/>
    <w:rsid w:val="00B24DF6"/>
    <w:rsid w:val="00B25786"/>
    <w:rsid w:val="00B342F1"/>
    <w:rsid w:val="00B34BA3"/>
    <w:rsid w:val="00B34C3F"/>
    <w:rsid w:val="00B34FE2"/>
    <w:rsid w:val="00B35166"/>
    <w:rsid w:val="00B357D8"/>
    <w:rsid w:val="00B35A4A"/>
    <w:rsid w:val="00B35CB6"/>
    <w:rsid w:val="00B360F4"/>
    <w:rsid w:val="00B36A00"/>
    <w:rsid w:val="00B36BF1"/>
    <w:rsid w:val="00B37BFC"/>
    <w:rsid w:val="00B37C96"/>
    <w:rsid w:val="00B40358"/>
    <w:rsid w:val="00B41614"/>
    <w:rsid w:val="00B42851"/>
    <w:rsid w:val="00B4285E"/>
    <w:rsid w:val="00B42F80"/>
    <w:rsid w:val="00B435CB"/>
    <w:rsid w:val="00B43DB0"/>
    <w:rsid w:val="00B44807"/>
    <w:rsid w:val="00B47D12"/>
    <w:rsid w:val="00B505C8"/>
    <w:rsid w:val="00B50DB8"/>
    <w:rsid w:val="00B51875"/>
    <w:rsid w:val="00B5227B"/>
    <w:rsid w:val="00B53654"/>
    <w:rsid w:val="00B53905"/>
    <w:rsid w:val="00B54B5B"/>
    <w:rsid w:val="00B5562E"/>
    <w:rsid w:val="00B55D65"/>
    <w:rsid w:val="00B5695A"/>
    <w:rsid w:val="00B57000"/>
    <w:rsid w:val="00B5706C"/>
    <w:rsid w:val="00B60939"/>
    <w:rsid w:val="00B60AFD"/>
    <w:rsid w:val="00B62715"/>
    <w:rsid w:val="00B62C6E"/>
    <w:rsid w:val="00B630D2"/>
    <w:rsid w:val="00B6409E"/>
    <w:rsid w:val="00B65611"/>
    <w:rsid w:val="00B665FF"/>
    <w:rsid w:val="00B67727"/>
    <w:rsid w:val="00B6791B"/>
    <w:rsid w:val="00B70E8E"/>
    <w:rsid w:val="00B71FC3"/>
    <w:rsid w:val="00B737C6"/>
    <w:rsid w:val="00B73F7B"/>
    <w:rsid w:val="00B76A01"/>
    <w:rsid w:val="00B76C92"/>
    <w:rsid w:val="00B76D14"/>
    <w:rsid w:val="00B76DAB"/>
    <w:rsid w:val="00B77C8E"/>
    <w:rsid w:val="00B80C01"/>
    <w:rsid w:val="00B80EC6"/>
    <w:rsid w:val="00B818A4"/>
    <w:rsid w:val="00B81940"/>
    <w:rsid w:val="00B81E06"/>
    <w:rsid w:val="00B82743"/>
    <w:rsid w:val="00B84117"/>
    <w:rsid w:val="00B841DC"/>
    <w:rsid w:val="00B858F0"/>
    <w:rsid w:val="00B85AA2"/>
    <w:rsid w:val="00B85D83"/>
    <w:rsid w:val="00B85E09"/>
    <w:rsid w:val="00B8649C"/>
    <w:rsid w:val="00B8675F"/>
    <w:rsid w:val="00B8695D"/>
    <w:rsid w:val="00B87DD2"/>
    <w:rsid w:val="00B87F0A"/>
    <w:rsid w:val="00B90DA0"/>
    <w:rsid w:val="00B910C0"/>
    <w:rsid w:val="00B92D0B"/>
    <w:rsid w:val="00B93357"/>
    <w:rsid w:val="00B9345A"/>
    <w:rsid w:val="00B94659"/>
    <w:rsid w:val="00B94945"/>
    <w:rsid w:val="00B94957"/>
    <w:rsid w:val="00B94DD6"/>
    <w:rsid w:val="00B94E14"/>
    <w:rsid w:val="00BA057A"/>
    <w:rsid w:val="00BA2AF3"/>
    <w:rsid w:val="00BA322D"/>
    <w:rsid w:val="00BA3F81"/>
    <w:rsid w:val="00BA54FF"/>
    <w:rsid w:val="00BA63FA"/>
    <w:rsid w:val="00BA646C"/>
    <w:rsid w:val="00BA7BBC"/>
    <w:rsid w:val="00BB00B3"/>
    <w:rsid w:val="00BB0BDD"/>
    <w:rsid w:val="00BB176C"/>
    <w:rsid w:val="00BB1BB8"/>
    <w:rsid w:val="00BB1F89"/>
    <w:rsid w:val="00BB2A73"/>
    <w:rsid w:val="00BB3A45"/>
    <w:rsid w:val="00BB44D3"/>
    <w:rsid w:val="00BB4AAE"/>
    <w:rsid w:val="00BB4ACC"/>
    <w:rsid w:val="00BB703E"/>
    <w:rsid w:val="00BB732D"/>
    <w:rsid w:val="00BB7405"/>
    <w:rsid w:val="00BC1547"/>
    <w:rsid w:val="00BC2B9B"/>
    <w:rsid w:val="00BC3631"/>
    <w:rsid w:val="00BC553A"/>
    <w:rsid w:val="00BC591F"/>
    <w:rsid w:val="00BC68D4"/>
    <w:rsid w:val="00BC7826"/>
    <w:rsid w:val="00BC79F4"/>
    <w:rsid w:val="00BC7B32"/>
    <w:rsid w:val="00BC7D6D"/>
    <w:rsid w:val="00BD2108"/>
    <w:rsid w:val="00BD48A8"/>
    <w:rsid w:val="00BD68A3"/>
    <w:rsid w:val="00BD6938"/>
    <w:rsid w:val="00BD6CF3"/>
    <w:rsid w:val="00BD7307"/>
    <w:rsid w:val="00BE0106"/>
    <w:rsid w:val="00BE0ECA"/>
    <w:rsid w:val="00BE2180"/>
    <w:rsid w:val="00BE21F2"/>
    <w:rsid w:val="00BE31D7"/>
    <w:rsid w:val="00BE4275"/>
    <w:rsid w:val="00BF06AE"/>
    <w:rsid w:val="00BF0F95"/>
    <w:rsid w:val="00BF2433"/>
    <w:rsid w:val="00BF2A02"/>
    <w:rsid w:val="00BF346C"/>
    <w:rsid w:val="00BF61C9"/>
    <w:rsid w:val="00BF6C94"/>
    <w:rsid w:val="00C00424"/>
    <w:rsid w:val="00C01C42"/>
    <w:rsid w:val="00C025FF"/>
    <w:rsid w:val="00C03896"/>
    <w:rsid w:val="00C044E5"/>
    <w:rsid w:val="00C0575D"/>
    <w:rsid w:val="00C05B0E"/>
    <w:rsid w:val="00C05E19"/>
    <w:rsid w:val="00C1179F"/>
    <w:rsid w:val="00C11D3B"/>
    <w:rsid w:val="00C12C14"/>
    <w:rsid w:val="00C14848"/>
    <w:rsid w:val="00C15F04"/>
    <w:rsid w:val="00C162B1"/>
    <w:rsid w:val="00C174D5"/>
    <w:rsid w:val="00C179B3"/>
    <w:rsid w:val="00C17E3F"/>
    <w:rsid w:val="00C200AA"/>
    <w:rsid w:val="00C205E9"/>
    <w:rsid w:val="00C20E4B"/>
    <w:rsid w:val="00C213CE"/>
    <w:rsid w:val="00C221EA"/>
    <w:rsid w:val="00C237ED"/>
    <w:rsid w:val="00C23FC7"/>
    <w:rsid w:val="00C24632"/>
    <w:rsid w:val="00C25418"/>
    <w:rsid w:val="00C25B76"/>
    <w:rsid w:val="00C25D9C"/>
    <w:rsid w:val="00C27220"/>
    <w:rsid w:val="00C2778B"/>
    <w:rsid w:val="00C30559"/>
    <w:rsid w:val="00C31649"/>
    <w:rsid w:val="00C325C5"/>
    <w:rsid w:val="00C3297F"/>
    <w:rsid w:val="00C331E7"/>
    <w:rsid w:val="00C33D92"/>
    <w:rsid w:val="00C3434C"/>
    <w:rsid w:val="00C34C4A"/>
    <w:rsid w:val="00C3542C"/>
    <w:rsid w:val="00C369A0"/>
    <w:rsid w:val="00C3794D"/>
    <w:rsid w:val="00C40385"/>
    <w:rsid w:val="00C408A5"/>
    <w:rsid w:val="00C41225"/>
    <w:rsid w:val="00C41768"/>
    <w:rsid w:val="00C45121"/>
    <w:rsid w:val="00C475AA"/>
    <w:rsid w:val="00C5034B"/>
    <w:rsid w:val="00C524B4"/>
    <w:rsid w:val="00C534F6"/>
    <w:rsid w:val="00C53665"/>
    <w:rsid w:val="00C53C98"/>
    <w:rsid w:val="00C54603"/>
    <w:rsid w:val="00C5482E"/>
    <w:rsid w:val="00C55EF4"/>
    <w:rsid w:val="00C56313"/>
    <w:rsid w:val="00C56FCF"/>
    <w:rsid w:val="00C57B6C"/>
    <w:rsid w:val="00C60E68"/>
    <w:rsid w:val="00C610C4"/>
    <w:rsid w:val="00C61731"/>
    <w:rsid w:val="00C621B9"/>
    <w:rsid w:val="00C628A6"/>
    <w:rsid w:val="00C64344"/>
    <w:rsid w:val="00C64BAD"/>
    <w:rsid w:val="00C65108"/>
    <w:rsid w:val="00C653F6"/>
    <w:rsid w:val="00C65576"/>
    <w:rsid w:val="00C65B11"/>
    <w:rsid w:val="00C66165"/>
    <w:rsid w:val="00C67BAF"/>
    <w:rsid w:val="00C7060A"/>
    <w:rsid w:val="00C7151A"/>
    <w:rsid w:val="00C717E3"/>
    <w:rsid w:val="00C71F60"/>
    <w:rsid w:val="00C72241"/>
    <w:rsid w:val="00C72DB3"/>
    <w:rsid w:val="00C736BF"/>
    <w:rsid w:val="00C737EE"/>
    <w:rsid w:val="00C750C8"/>
    <w:rsid w:val="00C7560F"/>
    <w:rsid w:val="00C75DE9"/>
    <w:rsid w:val="00C75E92"/>
    <w:rsid w:val="00C76853"/>
    <w:rsid w:val="00C80163"/>
    <w:rsid w:val="00C80589"/>
    <w:rsid w:val="00C80A0E"/>
    <w:rsid w:val="00C812F2"/>
    <w:rsid w:val="00C814DC"/>
    <w:rsid w:val="00C81FAE"/>
    <w:rsid w:val="00C8213F"/>
    <w:rsid w:val="00C82B16"/>
    <w:rsid w:val="00C83052"/>
    <w:rsid w:val="00C85154"/>
    <w:rsid w:val="00C85EC8"/>
    <w:rsid w:val="00C86C32"/>
    <w:rsid w:val="00C8797A"/>
    <w:rsid w:val="00C900B8"/>
    <w:rsid w:val="00C90C71"/>
    <w:rsid w:val="00C91CCA"/>
    <w:rsid w:val="00C91FD1"/>
    <w:rsid w:val="00C931CF"/>
    <w:rsid w:val="00C938CF"/>
    <w:rsid w:val="00C93E07"/>
    <w:rsid w:val="00C94053"/>
    <w:rsid w:val="00C940D8"/>
    <w:rsid w:val="00C94E42"/>
    <w:rsid w:val="00C9624D"/>
    <w:rsid w:val="00C969DA"/>
    <w:rsid w:val="00CA07D4"/>
    <w:rsid w:val="00CA1A15"/>
    <w:rsid w:val="00CA2411"/>
    <w:rsid w:val="00CA290A"/>
    <w:rsid w:val="00CA2C4E"/>
    <w:rsid w:val="00CA2C77"/>
    <w:rsid w:val="00CA444F"/>
    <w:rsid w:val="00CA4E7D"/>
    <w:rsid w:val="00CA5245"/>
    <w:rsid w:val="00CA6DE6"/>
    <w:rsid w:val="00CA71F4"/>
    <w:rsid w:val="00CA7B09"/>
    <w:rsid w:val="00CB12A5"/>
    <w:rsid w:val="00CB1CAC"/>
    <w:rsid w:val="00CB273A"/>
    <w:rsid w:val="00CB2F2A"/>
    <w:rsid w:val="00CB4EE9"/>
    <w:rsid w:val="00CB5546"/>
    <w:rsid w:val="00CB55B6"/>
    <w:rsid w:val="00CB5B1A"/>
    <w:rsid w:val="00CB6B22"/>
    <w:rsid w:val="00CB6CEE"/>
    <w:rsid w:val="00CB7E59"/>
    <w:rsid w:val="00CB7F5F"/>
    <w:rsid w:val="00CC1B39"/>
    <w:rsid w:val="00CC268F"/>
    <w:rsid w:val="00CC2BEF"/>
    <w:rsid w:val="00CC35EA"/>
    <w:rsid w:val="00CC3848"/>
    <w:rsid w:val="00CC3865"/>
    <w:rsid w:val="00CC5B0B"/>
    <w:rsid w:val="00CC6D41"/>
    <w:rsid w:val="00CC6DE8"/>
    <w:rsid w:val="00CD191A"/>
    <w:rsid w:val="00CD1DA0"/>
    <w:rsid w:val="00CD206A"/>
    <w:rsid w:val="00CD25CD"/>
    <w:rsid w:val="00CD3F77"/>
    <w:rsid w:val="00CD5615"/>
    <w:rsid w:val="00CD6ADC"/>
    <w:rsid w:val="00CD7193"/>
    <w:rsid w:val="00CE1A90"/>
    <w:rsid w:val="00CE1BE7"/>
    <w:rsid w:val="00CE38C8"/>
    <w:rsid w:val="00CE42B9"/>
    <w:rsid w:val="00CE6274"/>
    <w:rsid w:val="00CE72D1"/>
    <w:rsid w:val="00CE77B6"/>
    <w:rsid w:val="00CF1BE4"/>
    <w:rsid w:val="00CF1CD0"/>
    <w:rsid w:val="00CF201F"/>
    <w:rsid w:val="00CF2177"/>
    <w:rsid w:val="00CF2B8D"/>
    <w:rsid w:val="00CF3C8A"/>
    <w:rsid w:val="00CF3D04"/>
    <w:rsid w:val="00CF456B"/>
    <w:rsid w:val="00CF5A22"/>
    <w:rsid w:val="00D022A3"/>
    <w:rsid w:val="00D0262E"/>
    <w:rsid w:val="00D02848"/>
    <w:rsid w:val="00D03A7C"/>
    <w:rsid w:val="00D05CBC"/>
    <w:rsid w:val="00D05E3D"/>
    <w:rsid w:val="00D06139"/>
    <w:rsid w:val="00D066B4"/>
    <w:rsid w:val="00D110BD"/>
    <w:rsid w:val="00D13675"/>
    <w:rsid w:val="00D13A80"/>
    <w:rsid w:val="00D141E1"/>
    <w:rsid w:val="00D15314"/>
    <w:rsid w:val="00D1542D"/>
    <w:rsid w:val="00D15673"/>
    <w:rsid w:val="00D1629B"/>
    <w:rsid w:val="00D16588"/>
    <w:rsid w:val="00D1672F"/>
    <w:rsid w:val="00D167C0"/>
    <w:rsid w:val="00D16D27"/>
    <w:rsid w:val="00D17D6C"/>
    <w:rsid w:val="00D2036D"/>
    <w:rsid w:val="00D2155B"/>
    <w:rsid w:val="00D21E80"/>
    <w:rsid w:val="00D220BF"/>
    <w:rsid w:val="00D22D97"/>
    <w:rsid w:val="00D23128"/>
    <w:rsid w:val="00D23506"/>
    <w:rsid w:val="00D23D11"/>
    <w:rsid w:val="00D23D76"/>
    <w:rsid w:val="00D244B6"/>
    <w:rsid w:val="00D271F8"/>
    <w:rsid w:val="00D2754D"/>
    <w:rsid w:val="00D2779F"/>
    <w:rsid w:val="00D27B27"/>
    <w:rsid w:val="00D30614"/>
    <w:rsid w:val="00D3288C"/>
    <w:rsid w:val="00D33BE9"/>
    <w:rsid w:val="00D33F93"/>
    <w:rsid w:val="00D357FF"/>
    <w:rsid w:val="00D358FB"/>
    <w:rsid w:val="00D37064"/>
    <w:rsid w:val="00D41737"/>
    <w:rsid w:val="00D424C7"/>
    <w:rsid w:val="00D43B2A"/>
    <w:rsid w:val="00D43D83"/>
    <w:rsid w:val="00D45D70"/>
    <w:rsid w:val="00D46201"/>
    <w:rsid w:val="00D472EB"/>
    <w:rsid w:val="00D47575"/>
    <w:rsid w:val="00D478C4"/>
    <w:rsid w:val="00D5099C"/>
    <w:rsid w:val="00D50B23"/>
    <w:rsid w:val="00D50F4E"/>
    <w:rsid w:val="00D522A6"/>
    <w:rsid w:val="00D5243B"/>
    <w:rsid w:val="00D533EC"/>
    <w:rsid w:val="00D536EA"/>
    <w:rsid w:val="00D55A0C"/>
    <w:rsid w:val="00D56A95"/>
    <w:rsid w:val="00D5705E"/>
    <w:rsid w:val="00D610BF"/>
    <w:rsid w:val="00D616D5"/>
    <w:rsid w:val="00D61F77"/>
    <w:rsid w:val="00D6331B"/>
    <w:rsid w:val="00D63B9C"/>
    <w:rsid w:val="00D63EDA"/>
    <w:rsid w:val="00D64C28"/>
    <w:rsid w:val="00D64CBD"/>
    <w:rsid w:val="00D65854"/>
    <w:rsid w:val="00D659DD"/>
    <w:rsid w:val="00D65EFB"/>
    <w:rsid w:val="00D70404"/>
    <w:rsid w:val="00D70F16"/>
    <w:rsid w:val="00D725C2"/>
    <w:rsid w:val="00D72F57"/>
    <w:rsid w:val="00D736D4"/>
    <w:rsid w:val="00D73D9B"/>
    <w:rsid w:val="00D76645"/>
    <w:rsid w:val="00D76A44"/>
    <w:rsid w:val="00D76EE5"/>
    <w:rsid w:val="00D815EF"/>
    <w:rsid w:val="00D8192F"/>
    <w:rsid w:val="00D81F26"/>
    <w:rsid w:val="00D82291"/>
    <w:rsid w:val="00D834B6"/>
    <w:rsid w:val="00D83586"/>
    <w:rsid w:val="00D85B3B"/>
    <w:rsid w:val="00D86231"/>
    <w:rsid w:val="00D91923"/>
    <w:rsid w:val="00D922D2"/>
    <w:rsid w:val="00D92EF1"/>
    <w:rsid w:val="00D93266"/>
    <w:rsid w:val="00D93753"/>
    <w:rsid w:val="00D94DB3"/>
    <w:rsid w:val="00D96689"/>
    <w:rsid w:val="00DA00A6"/>
    <w:rsid w:val="00DA3167"/>
    <w:rsid w:val="00DA37B8"/>
    <w:rsid w:val="00DA37D2"/>
    <w:rsid w:val="00DA4C70"/>
    <w:rsid w:val="00DA4DC3"/>
    <w:rsid w:val="00DA575C"/>
    <w:rsid w:val="00DA5F38"/>
    <w:rsid w:val="00DA77A5"/>
    <w:rsid w:val="00DB11F5"/>
    <w:rsid w:val="00DB1ED9"/>
    <w:rsid w:val="00DB2D8E"/>
    <w:rsid w:val="00DB3DBF"/>
    <w:rsid w:val="00DB474D"/>
    <w:rsid w:val="00DB484F"/>
    <w:rsid w:val="00DB513A"/>
    <w:rsid w:val="00DB6ADB"/>
    <w:rsid w:val="00DB71DB"/>
    <w:rsid w:val="00DC04F6"/>
    <w:rsid w:val="00DC0690"/>
    <w:rsid w:val="00DC141C"/>
    <w:rsid w:val="00DC1D65"/>
    <w:rsid w:val="00DC3B1C"/>
    <w:rsid w:val="00DC3C57"/>
    <w:rsid w:val="00DC4242"/>
    <w:rsid w:val="00DC5501"/>
    <w:rsid w:val="00DC7154"/>
    <w:rsid w:val="00DC7E8A"/>
    <w:rsid w:val="00DD0A15"/>
    <w:rsid w:val="00DD0F78"/>
    <w:rsid w:val="00DD113E"/>
    <w:rsid w:val="00DD273C"/>
    <w:rsid w:val="00DD3F28"/>
    <w:rsid w:val="00DD4537"/>
    <w:rsid w:val="00DD4E15"/>
    <w:rsid w:val="00DD5B6A"/>
    <w:rsid w:val="00DD74CC"/>
    <w:rsid w:val="00DE13C1"/>
    <w:rsid w:val="00DE2304"/>
    <w:rsid w:val="00DE3138"/>
    <w:rsid w:val="00DE37F8"/>
    <w:rsid w:val="00DE3FA9"/>
    <w:rsid w:val="00DE4FCB"/>
    <w:rsid w:val="00DE5CE3"/>
    <w:rsid w:val="00DE5D07"/>
    <w:rsid w:val="00DE714B"/>
    <w:rsid w:val="00DE72A7"/>
    <w:rsid w:val="00DE75FA"/>
    <w:rsid w:val="00DE7832"/>
    <w:rsid w:val="00DF18FC"/>
    <w:rsid w:val="00DF3C68"/>
    <w:rsid w:val="00DF5D2B"/>
    <w:rsid w:val="00DF6D29"/>
    <w:rsid w:val="00E004BC"/>
    <w:rsid w:val="00E00E8E"/>
    <w:rsid w:val="00E0200C"/>
    <w:rsid w:val="00E039F6"/>
    <w:rsid w:val="00E05630"/>
    <w:rsid w:val="00E06433"/>
    <w:rsid w:val="00E064BD"/>
    <w:rsid w:val="00E06DBB"/>
    <w:rsid w:val="00E10149"/>
    <w:rsid w:val="00E1067B"/>
    <w:rsid w:val="00E11340"/>
    <w:rsid w:val="00E122A1"/>
    <w:rsid w:val="00E131FB"/>
    <w:rsid w:val="00E160D3"/>
    <w:rsid w:val="00E16372"/>
    <w:rsid w:val="00E164DC"/>
    <w:rsid w:val="00E20E4D"/>
    <w:rsid w:val="00E20ED6"/>
    <w:rsid w:val="00E21358"/>
    <w:rsid w:val="00E21F8B"/>
    <w:rsid w:val="00E2249B"/>
    <w:rsid w:val="00E22A0D"/>
    <w:rsid w:val="00E22B70"/>
    <w:rsid w:val="00E23188"/>
    <w:rsid w:val="00E244F6"/>
    <w:rsid w:val="00E25646"/>
    <w:rsid w:val="00E25ADB"/>
    <w:rsid w:val="00E27002"/>
    <w:rsid w:val="00E2771E"/>
    <w:rsid w:val="00E27D49"/>
    <w:rsid w:val="00E308B1"/>
    <w:rsid w:val="00E311EF"/>
    <w:rsid w:val="00E32180"/>
    <w:rsid w:val="00E34231"/>
    <w:rsid w:val="00E34948"/>
    <w:rsid w:val="00E36178"/>
    <w:rsid w:val="00E37569"/>
    <w:rsid w:val="00E376FC"/>
    <w:rsid w:val="00E401B2"/>
    <w:rsid w:val="00E41E30"/>
    <w:rsid w:val="00E42475"/>
    <w:rsid w:val="00E42F73"/>
    <w:rsid w:val="00E43AB2"/>
    <w:rsid w:val="00E43D70"/>
    <w:rsid w:val="00E44AAB"/>
    <w:rsid w:val="00E45A7E"/>
    <w:rsid w:val="00E466F3"/>
    <w:rsid w:val="00E46D55"/>
    <w:rsid w:val="00E47B2C"/>
    <w:rsid w:val="00E51560"/>
    <w:rsid w:val="00E520EE"/>
    <w:rsid w:val="00E527A8"/>
    <w:rsid w:val="00E53FC8"/>
    <w:rsid w:val="00E54139"/>
    <w:rsid w:val="00E54285"/>
    <w:rsid w:val="00E54347"/>
    <w:rsid w:val="00E544D0"/>
    <w:rsid w:val="00E54F80"/>
    <w:rsid w:val="00E55424"/>
    <w:rsid w:val="00E55655"/>
    <w:rsid w:val="00E55915"/>
    <w:rsid w:val="00E55BB5"/>
    <w:rsid w:val="00E55F68"/>
    <w:rsid w:val="00E56D4D"/>
    <w:rsid w:val="00E62344"/>
    <w:rsid w:val="00E62F50"/>
    <w:rsid w:val="00E64820"/>
    <w:rsid w:val="00E648D8"/>
    <w:rsid w:val="00E65E79"/>
    <w:rsid w:val="00E6624E"/>
    <w:rsid w:val="00E66BA2"/>
    <w:rsid w:val="00E67416"/>
    <w:rsid w:val="00E70EF9"/>
    <w:rsid w:val="00E71394"/>
    <w:rsid w:val="00E718B6"/>
    <w:rsid w:val="00E71D88"/>
    <w:rsid w:val="00E723BA"/>
    <w:rsid w:val="00E7348B"/>
    <w:rsid w:val="00E73581"/>
    <w:rsid w:val="00E7438D"/>
    <w:rsid w:val="00E75325"/>
    <w:rsid w:val="00E75BB1"/>
    <w:rsid w:val="00E76481"/>
    <w:rsid w:val="00E7672A"/>
    <w:rsid w:val="00E77E0D"/>
    <w:rsid w:val="00E80618"/>
    <w:rsid w:val="00E80DE2"/>
    <w:rsid w:val="00E81208"/>
    <w:rsid w:val="00E81C84"/>
    <w:rsid w:val="00E833F7"/>
    <w:rsid w:val="00E83BDF"/>
    <w:rsid w:val="00E83E68"/>
    <w:rsid w:val="00E845A8"/>
    <w:rsid w:val="00E84643"/>
    <w:rsid w:val="00E870D0"/>
    <w:rsid w:val="00E87A1D"/>
    <w:rsid w:val="00E87AD5"/>
    <w:rsid w:val="00E9094A"/>
    <w:rsid w:val="00E910A3"/>
    <w:rsid w:val="00E917DF"/>
    <w:rsid w:val="00E91D35"/>
    <w:rsid w:val="00E91EA2"/>
    <w:rsid w:val="00E91F8F"/>
    <w:rsid w:val="00E926A5"/>
    <w:rsid w:val="00E92851"/>
    <w:rsid w:val="00E93BA0"/>
    <w:rsid w:val="00E95CA0"/>
    <w:rsid w:val="00E965EF"/>
    <w:rsid w:val="00E97E81"/>
    <w:rsid w:val="00EA1500"/>
    <w:rsid w:val="00EA17C3"/>
    <w:rsid w:val="00EA1D8E"/>
    <w:rsid w:val="00EA2CAA"/>
    <w:rsid w:val="00EA2E00"/>
    <w:rsid w:val="00EA3864"/>
    <w:rsid w:val="00EA4A1B"/>
    <w:rsid w:val="00EA7F1C"/>
    <w:rsid w:val="00EB15B6"/>
    <w:rsid w:val="00EB3234"/>
    <w:rsid w:val="00EB3D06"/>
    <w:rsid w:val="00EB4398"/>
    <w:rsid w:val="00EB4916"/>
    <w:rsid w:val="00EB67CE"/>
    <w:rsid w:val="00EB6A0D"/>
    <w:rsid w:val="00EC00C9"/>
    <w:rsid w:val="00EC0DD9"/>
    <w:rsid w:val="00EC2649"/>
    <w:rsid w:val="00EC31ED"/>
    <w:rsid w:val="00EC3694"/>
    <w:rsid w:val="00EC4A05"/>
    <w:rsid w:val="00EC5836"/>
    <w:rsid w:val="00EC5CB5"/>
    <w:rsid w:val="00EC640D"/>
    <w:rsid w:val="00EC688C"/>
    <w:rsid w:val="00ED277C"/>
    <w:rsid w:val="00ED5480"/>
    <w:rsid w:val="00ED57EA"/>
    <w:rsid w:val="00ED5BD4"/>
    <w:rsid w:val="00ED64BA"/>
    <w:rsid w:val="00ED64C9"/>
    <w:rsid w:val="00ED7CFD"/>
    <w:rsid w:val="00EE07D3"/>
    <w:rsid w:val="00EE1996"/>
    <w:rsid w:val="00EE1C01"/>
    <w:rsid w:val="00EE22AF"/>
    <w:rsid w:val="00EE3DBE"/>
    <w:rsid w:val="00EE53EE"/>
    <w:rsid w:val="00EE5798"/>
    <w:rsid w:val="00EE5B5E"/>
    <w:rsid w:val="00EE7A8A"/>
    <w:rsid w:val="00EF0171"/>
    <w:rsid w:val="00EF02B0"/>
    <w:rsid w:val="00EF0791"/>
    <w:rsid w:val="00EF10FA"/>
    <w:rsid w:val="00EF190C"/>
    <w:rsid w:val="00EF1B25"/>
    <w:rsid w:val="00EF1DA0"/>
    <w:rsid w:val="00EF3AEF"/>
    <w:rsid w:val="00EF4747"/>
    <w:rsid w:val="00EF4BF0"/>
    <w:rsid w:val="00EF4BF8"/>
    <w:rsid w:val="00EF6084"/>
    <w:rsid w:val="00EF6374"/>
    <w:rsid w:val="00EF67D2"/>
    <w:rsid w:val="00F0057E"/>
    <w:rsid w:val="00F005C9"/>
    <w:rsid w:val="00F017F9"/>
    <w:rsid w:val="00F02253"/>
    <w:rsid w:val="00F02FF6"/>
    <w:rsid w:val="00F03C2E"/>
    <w:rsid w:val="00F04220"/>
    <w:rsid w:val="00F04A66"/>
    <w:rsid w:val="00F04B4B"/>
    <w:rsid w:val="00F0516C"/>
    <w:rsid w:val="00F059C8"/>
    <w:rsid w:val="00F05EE4"/>
    <w:rsid w:val="00F067A2"/>
    <w:rsid w:val="00F072B7"/>
    <w:rsid w:val="00F07B9E"/>
    <w:rsid w:val="00F07F44"/>
    <w:rsid w:val="00F1116F"/>
    <w:rsid w:val="00F11DE5"/>
    <w:rsid w:val="00F1263A"/>
    <w:rsid w:val="00F138EC"/>
    <w:rsid w:val="00F15B77"/>
    <w:rsid w:val="00F16209"/>
    <w:rsid w:val="00F20A18"/>
    <w:rsid w:val="00F21D18"/>
    <w:rsid w:val="00F23B6F"/>
    <w:rsid w:val="00F242C4"/>
    <w:rsid w:val="00F24837"/>
    <w:rsid w:val="00F24F1A"/>
    <w:rsid w:val="00F2575F"/>
    <w:rsid w:val="00F26C4A"/>
    <w:rsid w:val="00F26D5F"/>
    <w:rsid w:val="00F27565"/>
    <w:rsid w:val="00F310D4"/>
    <w:rsid w:val="00F311D5"/>
    <w:rsid w:val="00F31D5A"/>
    <w:rsid w:val="00F329D1"/>
    <w:rsid w:val="00F32C75"/>
    <w:rsid w:val="00F3339D"/>
    <w:rsid w:val="00F3348E"/>
    <w:rsid w:val="00F33975"/>
    <w:rsid w:val="00F339F4"/>
    <w:rsid w:val="00F33DE9"/>
    <w:rsid w:val="00F35E6D"/>
    <w:rsid w:val="00F3619A"/>
    <w:rsid w:val="00F40AAA"/>
    <w:rsid w:val="00F40BA7"/>
    <w:rsid w:val="00F40F9D"/>
    <w:rsid w:val="00F41ACD"/>
    <w:rsid w:val="00F43466"/>
    <w:rsid w:val="00F44E4D"/>
    <w:rsid w:val="00F46BD5"/>
    <w:rsid w:val="00F46CB6"/>
    <w:rsid w:val="00F4756D"/>
    <w:rsid w:val="00F477EA"/>
    <w:rsid w:val="00F47DE8"/>
    <w:rsid w:val="00F5242A"/>
    <w:rsid w:val="00F527DF"/>
    <w:rsid w:val="00F52BFD"/>
    <w:rsid w:val="00F542C1"/>
    <w:rsid w:val="00F543D8"/>
    <w:rsid w:val="00F54D99"/>
    <w:rsid w:val="00F55B1C"/>
    <w:rsid w:val="00F55E73"/>
    <w:rsid w:val="00F55EDA"/>
    <w:rsid w:val="00F56C80"/>
    <w:rsid w:val="00F57940"/>
    <w:rsid w:val="00F57F68"/>
    <w:rsid w:val="00F60092"/>
    <w:rsid w:val="00F6186C"/>
    <w:rsid w:val="00F619BB"/>
    <w:rsid w:val="00F61C18"/>
    <w:rsid w:val="00F653A0"/>
    <w:rsid w:val="00F6540B"/>
    <w:rsid w:val="00F65537"/>
    <w:rsid w:val="00F65DC0"/>
    <w:rsid w:val="00F65F4B"/>
    <w:rsid w:val="00F660F3"/>
    <w:rsid w:val="00F6775A"/>
    <w:rsid w:val="00F67A69"/>
    <w:rsid w:val="00F67B84"/>
    <w:rsid w:val="00F70BFF"/>
    <w:rsid w:val="00F70C9D"/>
    <w:rsid w:val="00F70FD2"/>
    <w:rsid w:val="00F721CE"/>
    <w:rsid w:val="00F74CD9"/>
    <w:rsid w:val="00F80986"/>
    <w:rsid w:val="00F80A7B"/>
    <w:rsid w:val="00F80E5D"/>
    <w:rsid w:val="00F80FA4"/>
    <w:rsid w:val="00F81BFF"/>
    <w:rsid w:val="00F81E78"/>
    <w:rsid w:val="00F82D9E"/>
    <w:rsid w:val="00F851CE"/>
    <w:rsid w:val="00F90B5A"/>
    <w:rsid w:val="00F91219"/>
    <w:rsid w:val="00F92444"/>
    <w:rsid w:val="00F92AE1"/>
    <w:rsid w:val="00F9393E"/>
    <w:rsid w:val="00F96FD0"/>
    <w:rsid w:val="00F97596"/>
    <w:rsid w:val="00F97A78"/>
    <w:rsid w:val="00FA085B"/>
    <w:rsid w:val="00FA0B20"/>
    <w:rsid w:val="00FA1276"/>
    <w:rsid w:val="00FA164F"/>
    <w:rsid w:val="00FA24E7"/>
    <w:rsid w:val="00FA2664"/>
    <w:rsid w:val="00FA5EE6"/>
    <w:rsid w:val="00FA68A5"/>
    <w:rsid w:val="00FA7956"/>
    <w:rsid w:val="00FA7971"/>
    <w:rsid w:val="00FB0AD5"/>
    <w:rsid w:val="00FB1DE3"/>
    <w:rsid w:val="00FB260D"/>
    <w:rsid w:val="00FB29C1"/>
    <w:rsid w:val="00FB2FCB"/>
    <w:rsid w:val="00FB4125"/>
    <w:rsid w:val="00FB7C55"/>
    <w:rsid w:val="00FC1074"/>
    <w:rsid w:val="00FC1884"/>
    <w:rsid w:val="00FC1BC9"/>
    <w:rsid w:val="00FC371D"/>
    <w:rsid w:val="00FC5F0B"/>
    <w:rsid w:val="00FC71A8"/>
    <w:rsid w:val="00FD083D"/>
    <w:rsid w:val="00FD0926"/>
    <w:rsid w:val="00FD1161"/>
    <w:rsid w:val="00FD2100"/>
    <w:rsid w:val="00FD436C"/>
    <w:rsid w:val="00FD446D"/>
    <w:rsid w:val="00FD4F2C"/>
    <w:rsid w:val="00FD5B99"/>
    <w:rsid w:val="00FD61EB"/>
    <w:rsid w:val="00FD6394"/>
    <w:rsid w:val="00FD6FDA"/>
    <w:rsid w:val="00FD79BB"/>
    <w:rsid w:val="00FE0E6C"/>
    <w:rsid w:val="00FE1CDC"/>
    <w:rsid w:val="00FE223D"/>
    <w:rsid w:val="00FE2396"/>
    <w:rsid w:val="00FE2F45"/>
    <w:rsid w:val="00FE54F8"/>
    <w:rsid w:val="00FE70C3"/>
    <w:rsid w:val="00FF2753"/>
    <w:rsid w:val="00FF2AD9"/>
    <w:rsid w:val="00FF359F"/>
    <w:rsid w:val="00FF3DCF"/>
    <w:rsid w:val="00FF492C"/>
    <w:rsid w:val="00FF4A21"/>
    <w:rsid w:val="00FF4F38"/>
    <w:rsid w:val="00FF55F2"/>
    <w:rsid w:val="00FF5715"/>
    <w:rsid w:val="00FF5AA3"/>
    <w:rsid w:val="00FF5AD8"/>
    <w:rsid w:val="00FF6DFE"/>
    <w:rsid w:val="00FF71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6E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03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Styl moj,Akapit z listą1,Akapit z listą1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BulletBeforeDash">
    <w:name w:val="Bullet Before Dash"/>
    <w:basedOn w:val="Normal"/>
    <w:rsid w:val="00216C07"/>
    <w:pPr>
      <w:numPr>
        <w:numId w:val="7"/>
      </w:numPr>
      <w:spacing w:after="60"/>
      <w:ind w:left="357" w:hanging="357"/>
      <w:jc w:val="left"/>
    </w:pPr>
    <w:rPr>
      <w:rFonts w:asciiTheme="minorHAnsi" w:eastAsia="MS Mincho"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EC5CB5"/>
    <w:rPr>
      <w:color w:val="605E5C"/>
      <w:shd w:val="clear" w:color="auto" w:fill="E1DFDD"/>
    </w:rPr>
  </w:style>
  <w:style w:type="paragraph" w:customStyle="1" w:styleId="BulletLast">
    <w:name w:val="Bullet Last"/>
    <w:basedOn w:val="Normal"/>
    <w:rsid w:val="00612ACC"/>
    <w:pPr>
      <w:numPr>
        <w:numId w:val="8"/>
      </w:numPr>
      <w:spacing w:after="240"/>
      <w:ind w:left="357" w:hanging="357"/>
      <w:jc w:val="left"/>
    </w:pPr>
    <w:rPr>
      <w:rFonts w:asciiTheme="minorHAnsi" w:eastAsia="MS Mincho" w:hAnsiTheme="minorHAnsi" w:cstheme="minorBidi"/>
      <w:sz w:val="22"/>
      <w:szCs w:val="22"/>
      <w:lang w:eastAsia="en-US"/>
    </w:rPr>
  </w:style>
  <w:style w:type="paragraph" w:customStyle="1" w:styleId="PBACTableText">
    <w:name w:val="PBAC Table Text"/>
    <w:basedOn w:val="Normal"/>
    <w:link w:val="PBACTableTextChar"/>
    <w:qFormat/>
    <w:rsid w:val="00692BCC"/>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692BCC"/>
    <w:rPr>
      <w:rFonts w:ascii="Arial Narrow" w:hAnsi="Arial Narrow"/>
      <w:lang w:eastAsia="en-US"/>
    </w:rPr>
  </w:style>
  <w:style w:type="paragraph" w:styleId="FootnoteText">
    <w:name w:val="footnote text"/>
    <w:basedOn w:val="Normal"/>
    <w:link w:val="FootnoteTextChar"/>
    <w:uiPriority w:val="99"/>
    <w:unhideWhenUsed/>
    <w:rsid w:val="00D1542D"/>
    <w:rPr>
      <w:sz w:val="20"/>
      <w:szCs w:val="20"/>
    </w:rPr>
  </w:style>
  <w:style w:type="character" w:customStyle="1" w:styleId="FootnoteTextChar">
    <w:name w:val="Footnote Text Char"/>
    <w:basedOn w:val="DefaultParagraphFont"/>
    <w:link w:val="FootnoteText"/>
    <w:uiPriority w:val="99"/>
    <w:rsid w:val="00D1542D"/>
    <w:rPr>
      <w:rFonts w:ascii="Calibri" w:hAnsi="Calibri" w:cs="Arial"/>
    </w:rPr>
  </w:style>
  <w:style w:type="character" w:styleId="FootnoteReference">
    <w:name w:val="footnote reference"/>
    <w:basedOn w:val="DefaultParagraphFont"/>
    <w:uiPriority w:val="99"/>
    <w:unhideWhenUsed/>
    <w:rsid w:val="00D1542D"/>
    <w:rPr>
      <w:vertAlign w:val="superscript"/>
    </w:rPr>
  </w:style>
  <w:style w:type="paragraph" w:customStyle="1" w:styleId="V50Instructions">
    <w:name w:val="V5.0 Instructions"/>
    <w:basedOn w:val="Normal"/>
    <w:link w:val="V50InstructionsChar"/>
    <w:qFormat/>
    <w:rsid w:val="00A01D56"/>
    <w:pPr>
      <w:spacing w:before="120" w:after="160"/>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A01D56"/>
    <w:rPr>
      <w:rFonts w:asciiTheme="minorHAnsi" w:eastAsiaTheme="minorHAnsi" w:hAnsiTheme="minorHAnsi" w:cstheme="minorBidi"/>
      <w:color w:val="4BACC6" w:themeColor="accent5"/>
      <w:sz w:val="24"/>
      <w:szCs w:val="22"/>
      <w:lang w:eastAsia="en-US"/>
    </w:rPr>
  </w:style>
  <w:style w:type="paragraph" w:customStyle="1" w:styleId="Table">
    <w:name w:val="Table"/>
    <w:link w:val="TableChar"/>
    <w:qFormat/>
    <w:rsid w:val="00E22B70"/>
    <w:pPr>
      <w:tabs>
        <w:tab w:val="left" w:pos="113"/>
        <w:tab w:val="center" w:pos="142"/>
        <w:tab w:val="center" w:pos="284"/>
        <w:tab w:val="center" w:pos="425"/>
      </w:tabs>
    </w:pPr>
    <w:rPr>
      <w:rFonts w:ascii="Sabon" w:hAnsi="Sabon"/>
      <w:sz w:val="22"/>
      <w:szCs w:val="22"/>
      <w:lang w:val="en-GB" w:eastAsia="en-US"/>
    </w:rPr>
  </w:style>
  <w:style w:type="character" w:customStyle="1" w:styleId="TableChar">
    <w:name w:val="Table Char"/>
    <w:link w:val="Table"/>
    <w:rsid w:val="00E22B70"/>
    <w:rPr>
      <w:rFonts w:ascii="Sabon" w:hAnsi="Sabon"/>
      <w:sz w:val="22"/>
      <w:szCs w:val="22"/>
      <w:lang w:val="en-GB" w:eastAsia="en-US"/>
    </w:rPr>
  </w:style>
  <w:style w:type="paragraph" w:customStyle="1" w:styleId="PbacTableHeading">
    <w:name w:val="Pbac Table Heading"/>
    <w:basedOn w:val="PBACTableText"/>
    <w:rsid w:val="0043122F"/>
    <w:pPr>
      <w:spacing w:before="0" w:after="80"/>
    </w:pPr>
    <w:rPr>
      <w:rFonts w:eastAsiaTheme="minorHAnsi" w:cs="Arial"/>
      <w:b/>
    </w:rPr>
  </w:style>
  <w:style w:type="table" w:customStyle="1" w:styleId="Summarybox2">
    <w:name w:val="Summary box2"/>
    <w:basedOn w:val="TableNormal"/>
    <w:uiPriority w:val="59"/>
    <w:rsid w:val="001F64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caption">
    <w:name w:val="PBAC caption"/>
    <w:basedOn w:val="Normal"/>
    <w:link w:val="PBACcaptionChar"/>
    <w:qFormat/>
    <w:rsid w:val="000B171A"/>
    <w:pPr>
      <w:jc w:val="left"/>
    </w:pPr>
    <w:rPr>
      <w:rFonts w:ascii="Sabon" w:eastAsia="MS Mincho" w:hAnsi="Sabon"/>
      <w:b/>
      <w:sz w:val="22"/>
      <w:szCs w:val="22"/>
      <w:lang w:eastAsia="en-US"/>
    </w:rPr>
  </w:style>
  <w:style w:type="character" w:customStyle="1" w:styleId="PBACcaptionChar">
    <w:name w:val="PBAC caption Char"/>
    <w:basedOn w:val="DefaultParagraphFont"/>
    <w:link w:val="PBACcaption"/>
    <w:rsid w:val="000B171A"/>
    <w:rPr>
      <w:rFonts w:ascii="Sabon" w:eastAsia="MS Mincho" w:hAnsi="Sabon" w:cs="Arial"/>
      <w:b/>
      <w:sz w:val="22"/>
      <w:szCs w:val="22"/>
      <w:lang w:eastAsia="en-US"/>
    </w:rPr>
  </w:style>
  <w:style w:type="paragraph" w:customStyle="1" w:styleId="Default">
    <w:name w:val="Default"/>
    <w:rsid w:val="00570FDE"/>
    <w:pPr>
      <w:autoSpaceDE w:val="0"/>
      <w:autoSpaceDN w:val="0"/>
      <w:adjustRightInd w:val="0"/>
    </w:pPr>
    <w:rPr>
      <w:rFonts w:ascii="Calibri" w:hAnsi="Calibri" w:cs="Calibri"/>
      <w:color w:val="000000"/>
      <w:sz w:val="24"/>
      <w:szCs w:val="24"/>
    </w:rPr>
  </w:style>
  <w:style w:type="paragraph" w:customStyle="1" w:styleId="ExecSumBodyText">
    <w:name w:val="Exec Sum Body Text"/>
    <w:basedOn w:val="Normal"/>
    <w:link w:val="ExecSumBodyTextChar"/>
    <w:qFormat/>
    <w:rsid w:val="00AC2743"/>
    <w:pPr>
      <w:spacing w:after="120"/>
      <w:ind w:left="720" w:hanging="720"/>
    </w:pPr>
    <w:rPr>
      <w:rFonts w:asciiTheme="minorHAnsi" w:hAnsiTheme="minorHAnsi"/>
      <w:snapToGrid w:val="0"/>
      <w:lang w:val="en-GB"/>
    </w:rPr>
  </w:style>
  <w:style w:type="character" w:customStyle="1" w:styleId="ExecSumBodyTextChar">
    <w:name w:val="Exec Sum Body Text Char"/>
    <w:basedOn w:val="DefaultParagraphFont"/>
    <w:link w:val="ExecSumBodyText"/>
    <w:rsid w:val="00AC2743"/>
    <w:rPr>
      <w:rFonts w:asciiTheme="minorHAnsi" w:hAnsiTheme="minorHAnsi" w:cs="Arial"/>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0695625">
      <w:bodyDiv w:val="1"/>
      <w:marLeft w:val="0"/>
      <w:marRight w:val="0"/>
      <w:marTop w:val="0"/>
      <w:marBottom w:val="0"/>
      <w:divBdr>
        <w:top w:val="none" w:sz="0" w:space="0" w:color="auto"/>
        <w:left w:val="none" w:sz="0" w:space="0" w:color="auto"/>
        <w:bottom w:val="none" w:sz="0" w:space="0" w:color="auto"/>
        <w:right w:val="none" w:sz="0" w:space="0" w:color="auto"/>
      </w:divBdr>
    </w:div>
    <w:div w:id="308634331">
      <w:bodyDiv w:val="1"/>
      <w:marLeft w:val="0"/>
      <w:marRight w:val="0"/>
      <w:marTop w:val="0"/>
      <w:marBottom w:val="0"/>
      <w:divBdr>
        <w:top w:val="none" w:sz="0" w:space="0" w:color="auto"/>
        <w:left w:val="none" w:sz="0" w:space="0" w:color="auto"/>
        <w:bottom w:val="none" w:sz="0" w:space="0" w:color="auto"/>
        <w:right w:val="none" w:sz="0" w:space="0" w:color="auto"/>
      </w:divBdr>
      <w:divsChild>
        <w:div w:id="1563131633">
          <w:marLeft w:val="0"/>
          <w:marRight w:val="0"/>
          <w:marTop w:val="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1388303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68377">
      <w:bodyDiv w:val="1"/>
      <w:marLeft w:val="0"/>
      <w:marRight w:val="0"/>
      <w:marTop w:val="0"/>
      <w:marBottom w:val="0"/>
      <w:divBdr>
        <w:top w:val="none" w:sz="0" w:space="0" w:color="auto"/>
        <w:left w:val="none" w:sz="0" w:space="0" w:color="auto"/>
        <w:bottom w:val="none" w:sz="0" w:space="0" w:color="auto"/>
        <w:right w:val="none" w:sz="0" w:space="0" w:color="auto"/>
      </w:divBdr>
    </w:div>
    <w:div w:id="1488401694">
      <w:bodyDiv w:val="1"/>
      <w:marLeft w:val="0"/>
      <w:marRight w:val="0"/>
      <w:marTop w:val="0"/>
      <w:marBottom w:val="0"/>
      <w:divBdr>
        <w:top w:val="none" w:sz="0" w:space="0" w:color="auto"/>
        <w:left w:val="none" w:sz="0" w:space="0" w:color="auto"/>
        <w:bottom w:val="none" w:sz="0" w:space="0" w:color="auto"/>
        <w:right w:val="none" w:sz="0" w:space="0" w:color="auto"/>
      </w:divBdr>
    </w:div>
    <w:div w:id="1704860754">
      <w:bodyDiv w:val="1"/>
      <w:marLeft w:val="0"/>
      <w:marRight w:val="0"/>
      <w:marTop w:val="0"/>
      <w:marBottom w:val="0"/>
      <w:divBdr>
        <w:top w:val="none" w:sz="0" w:space="0" w:color="auto"/>
        <w:left w:val="none" w:sz="0" w:space="0" w:color="auto"/>
        <w:bottom w:val="none" w:sz="0" w:space="0" w:color="auto"/>
        <w:right w:val="none" w:sz="0" w:space="0" w:color="auto"/>
      </w:divBdr>
      <w:divsChild>
        <w:div w:id="831684119">
          <w:marLeft w:val="1080"/>
          <w:marRight w:val="0"/>
          <w:marTop w:val="100"/>
          <w:marBottom w:val="0"/>
          <w:divBdr>
            <w:top w:val="none" w:sz="0" w:space="0" w:color="auto"/>
            <w:left w:val="none" w:sz="0" w:space="0" w:color="auto"/>
            <w:bottom w:val="none" w:sz="0" w:space="0" w:color="auto"/>
            <w:right w:val="none" w:sz="0" w:space="0" w:color="auto"/>
          </w:divBdr>
        </w:div>
      </w:divsChild>
    </w:div>
    <w:div w:id="1711344014">
      <w:bodyDiv w:val="1"/>
      <w:marLeft w:val="0"/>
      <w:marRight w:val="0"/>
      <w:marTop w:val="0"/>
      <w:marBottom w:val="0"/>
      <w:divBdr>
        <w:top w:val="none" w:sz="0" w:space="0" w:color="auto"/>
        <w:left w:val="none" w:sz="0" w:space="0" w:color="auto"/>
        <w:bottom w:val="none" w:sz="0" w:space="0" w:color="auto"/>
        <w:right w:val="none" w:sz="0" w:space="0" w:color="auto"/>
      </w:divBdr>
      <w:divsChild>
        <w:div w:id="1841306622">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26440705">
      <w:bodyDiv w:val="1"/>
      <w:marLeft w:val="0"/>
      <w:marRight w:val="0"/>
      <w:marTop w:val="0"/>
      <w:marBottom w:val="0"/>
      <w:divBdr>
        <w:top w:val="none" w:sz="0" w:space="0" w:color="auto"/>
        <w:left w:val="none" w:sz="0" w:space="0" w:color="auto"/>
        <w:bottom w:val="none" w:sz="0" w:space="0" w:color="auto"/>
        <w:right w:val="none" w:sz="0" w:space="0" w:color="auto"/>
      </w:divBdr>
    </w:div>
    <w:div w:id="2034067861">
      <w:bodyDiv w:val="1"/>
      <w:marLeft w:val="0"/>
      <w:marRight w:val="0"/>
      <w:marTop w:val="0"/>
      <w:marBottom w:val="0"/>
      <w:divBdr>
        <w:top w:val="none" w:sz="0" w:space="0" w:color="auto"/>
        <w:left w:val="none" w:sz="0" w:space="0" w:color="auto"/>
        <w:bottom w:val="none" w:sz="0" w:space="0" w:color="auto"/>
        <w:right w:val="none" w:sz="0" w:space="0" w:color="auto"/>
      </w:divBdr>
      <w:divsChild>
        <w:div w:id="240603989">
          <w:marLeft w:val="288"/>
          <w:marRight w:val="0"/>
          <w:marTop w:val="0"/>
          <w:marBottom w:val="0"/>
          <w:divBdr>
            <w:top w:val="none" w:sz="0" w:space="0" w:color="auto"/>
            <w:left w:val="none" w:sz="0" w:space="0" w:color="auto"/>
            <w:bottom w:val="none" w:sz="0" w:space="0" w:color="auto"/>
            <w:right w:val="none" w:sz="0" w:space="0" w:color="auto"/>
          </w:divBdr>
        </w:div>
        <w:div w:id="130024698">
          <w:marLeft w:val="288"/>
          <w:marRight w:val="0"/>
          <w:marTop w:val="0"/>
          <w:marBottom w:val="0"/>
          <w:divBdr>
            <w:top w:val="none" w:sz="0" w:space="0" w:color="auto"/>
            <w:left w:val="none" w:sz="0" w:space="0" w:color="auto"/>
            <w:bottom w:val="none" w:sz="0" w:space="0" w:color="auto"/>
            <w:right w:val="none" w:sz="0" w:space="0" w:color="auto"/>
          </w:divBdr>
        </w:div>
      </w:divsChild>
    </w:div>
    <w:div w:id="2086218014">
      <w:bodyDiv w:val="1"/>
      <w:marLeft w:val="0"/>
      <w:marRight w:val="0"/>
      <w:marTop w:val="0"/>
      <w:marBottom w:val="0"/>
      <w:divBdr>
        <w:top w:val="none" w:sz="0" w:space="0" w:color="auto"/>
        <w:left w:val="none" w:sz="0" w:space="0" w:color="auto"/>
        <w:bottom w:val="none" w:sz="0" w:space="0" w:color="auto"/>
        <w:right w:val="none" w:sz="0" w:space="0" w:color="auto"/>
      </w:divBdr>
    </w:div>
    <w:div w:id="2130970710">
      <w:bodyDiv w:val="1"/>
      <w:marLeft w:val="0"/>
      <w:marRight w:val="0"/>
      <w:marTop w:val="0"/>
      <w:marBottom w:val="0"/>
      <w:divBdr>
        <w:top w:val="none" w:sz="0" w:space="0" w:color="auto"/>
        <w:left w:val="none" w:sz="0" w:space="0" w:color="auto"/>
        <w:bottom w:val="none" w:sz="0" w:space="0" w:color="auto"/>
        <w:right w:val="none" w:sz="0" w:space="0" w:color="auto"/>
      </w:divBdr>
      <w:divsChild>
        <w:div w:id="16876285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2C79-8D68-4EC4-B23B-E47229F8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11076</Words>
  <Characters>63927</Characters>
  <Application>Microsoft Office Word</Application>
  <DocSecurity>0</DocSecurity>
  <Lines>532</Lines>
  <Paragraphs>149</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5.05	DECITABINE + CEDAZURIDINE, Tablet containing decitabine 35 mg + cedazuridin</vt:lpstr>
      <vt:lpstr>Purpose of submission</vt:lpstr>
      <vt:lpstr>Background</vt:lpstr>
      <vt:lpstr>    Registration status</vt:lpstr>
      <vt:lpstr>Requested listing</vt:lpstr>
      <vt:lpstr>Population and disease</vt:lpstr>
      <vt:lpstr>Comparator</vt:lpstr>
      <vt:lpstr>Consideration of the evidence</vt:lpstr>
      <vt:lpstr>    Sponsor hearing</vt:lpstr>
      <vt:lpstr>    Consumer comments</vt:lpstr>
      <vt:lpstr>    Clinical trials</vt:lpstr>
      <vt:lpstr>    Comparative effectiveness</vt:lpstr>
      <vt:lpstr>    Comparative harms</vt:lpstr>
      <vt:lpstr>    Benefits/harms</vt:lpstr>
      <vt:lpstr>    Clinical claim</vt:lpstr>
      <vt:lpstr>    Economic analysis </vt:lpstr>
      <vt:lpstr>    Drug cost/patient/course</vt:lpstr>
      <vt:lpstr>    Estimated PBS usage &amp; financial implications</vt:lpstr>
      <vt:lpstr>    Financial Management – Risk Sharing Arrangements</vt:lpstr>
      <vt:lpstr>PBAC Outcome </vt:lpstr>
      <vt:lpstr>Context for Decision</vt:lpstr>
      <vt:lpstr>Sponsor’s Comment</vt:lpstr>
      <vt:lpstr>Otsuka Australia Pharmaceutical is disappointed that decitabine+cedazuridine has</vt:lpstr>
    </vt:vector>
  </TitlesOfParts>
  <Company/>
  <LinksUpToDate>false</LinksUpToDate>
  <CharactersWithSpaces>74854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2021-07-05T04:28:00Z</dcterms:created>
  <dcterms:modified xsi:type="dcterms:W3CDTF">2021-07-05T04:29:00Z</dcterms:modified>
</cp:coreProperties>
</file>