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1627" w14:textId="77777777" w:rsidR="00B60939" w:rsidRPr="0030545D" w:rsidRDefault="007230D8" w:rsidP="005A098A">
      <w:pPr>
        <w:pStyle w:val="1-MainHeading"/>
        <w:ind w:left="719" w:hanging="730"/>
      </w:pPr>
      <w:r w:rsidRPr="0030545D">
        <w:t>5.06</w:t>
      </w:r>
      <w:r w:rsidR="00123168" w:rsidRPr="0030545D">
        <w:tab/>
        <w:t>D</w:t>
      </w:r>
      <w:r w:rsidRPr="0030545D">
        <w:t>EUTETRABENAZINE</w:t>
      </w:r>
      <w:r w:rsidR="00163F66" w:rsidRPr="0030545D">
        <w:t>,</w:t>
      </w:r>
      <w:r w:rsidR="00163F66" w:rsidRPr="0030545D">
        <w:br/>
      </w:r>
      <w:r w:rsidR="00A33828" w:rsidRPr="0030545D">
        <w:t xml:space="preserve">Tablet </w:t>
      </w:r>
      <w:r w:rsidR="00123168" w:rsidRPr="0030545D">
        <w:t xml:space="preserve">6 mg, </w:t>
      </w:r>
      <w:r w:rsidR="003928F3">
        <w:t xml:space="preserve">Tablet </w:t>
      </w:r>
      <w:r w:rsidR="00123168" w:rsidRPr="0030545D">
        <w:t xml:space="preserve">9 mg, </w:t>
      </w:r>
      <w:r w:rsidR="003928F3">
        <w:t xml:space="preserve">Tablet </w:t>
      </w:r>
      <w:r w:rsidR="00123168" w:rsidRPr="0030545D">
        <w:t>12 mg,</w:t>
      </w:r>
      <w:r w:rsidR="00163F66" w:rsidRPr="0030545D">
        <w:br/>
      </w:r>
      <w:r w:rsidR="00123168" w:rsidRPr="0030545D">
        <w:t>Austedo</w:t>
      </w:r>
      <w:r w:rsidR="00B60939" w:rsidRPr="0030545D">
        <w:rPr>
          <w:vertAlign w:val="superscript"/>
        </w:rPr>
        <w:t>®</w:t>
      </w:r>
      <w:r w:rsidR="004A6040" w:rsidRPr="0030545D">
        <w:t>,</w:t>
      </w:r>
      <w:r w:rsidR="004A6040" w:rsidRPr="0030545D">
        <w:br/>
      </w:r>
      <w:r w:rsidR="00123168" w:rsidRPr="0030545D">
        <w:t xml:space="preserve">Teva </w:t>
      </w:r>
      <w:r w:rsidRPr="0030545D">
        <w:t>Pharma Australia Pty L</w:t>
      </w:r>
      <w:bookmarkStart w:id="0" w:name="_GoBack"/>
      <w:bookmarkEnd w:id="0"/>
      <w:r w:rsidRPr="0030545D">
        <w:t>td</w:t>
      </w:r>
    </w:p>
    <w:p w14:paraId="16AAA54C" w14:textId="77777777" w:rsidR="00B50DB8" w:rsidRPr="0030545D" w:rsidRDefault="00B50DB8" w:rsidP="004A6040">
      <w:pPr>
        <w:pStyle w:val="2-SectionHeading"/>
      </w:pPr>
      <w:bookmarkStart w:id="1" w:name="_Toc61940984"/>
      <w:r w:rsidRPr="0030545D">
        <w:t xml:space="preserve">Purpose of </w:t>
      </w:r>
      <w:r w:rsidR="00CD7193" w:rsidRPr="0030545D">
        <w:t>s</w:t>
      </w:r>
      <w:r w:rsidR="00BB3A45" w:rsidRPr="0030545D">
        <w:t>ubmission</w:t>
      </w:r>
      <w:bookmarkEnd w:id="1"/>
    </w:p>
    <w:p w14:paraId="2B9400E5" w14:textId="79823676" w:rsidR="00002F43" w:rsidRPr="0030545D" w:rsidRDefault="00002F43" w:rsidP="00190B2F">
      <w:pPr>
        <w:pStyle w:val="ExecSumBodyText"/>
        <w:rPr>
          <w:iCs/>
        </w:rPr>
      </w:pPr>
      <w:r w:rsidRPr="0030545D">
        <w:t xml:space="preserve">The submission requested a Section 85 (General </w:t>
      </w:r>
      <w:r w:rsidR="000042A5" w:rsidRPr="0030545D">
        <w:t>Schedul</w:t>
      </w:r>
      <w:r w:rsidR="00800CEE">
        <w:t>s</w:t>
      </w:r>
      <w:r w:rsidR="000042A5" w:rsidRPr="0030545D">
        <w:t>e</w:t>
      </w:r>
      <w:r w:rsidRPr="0030545D">
        <w:t>)</w:t>
      </w:r>
      <w:r w:rsidR="000042A5" w:rsidRPr="0030545D">
        <w:t xml:space="preserve">, Authority Required </w:t>
      </w:r>
      <w:r w:rsidRPr="0030545D">
        <w:t xml:space="preserve">PBS listing for deutetrabenazine for the treatment of chorea associated with Huntington’s disease in patients who </w:t>
      </w:r>
      <w:r w:rsidR="00190B2F" w:rsidRPr="0030545D">
        <w:t>have</w:t>
      </w:r>
      <w:r w:rsidRPr="0030545D">
        <w:t xml:space="preserve"> failed</w:t>
      </w:r>
      <w:r w:rsidR="00190B2F" w:rsidRPr="0030545D">
        <w:t xml:space="preserve"> prior</w:t>
      </w:r>
      <w:r w:rsidRPr="0030545D">
        <w:t xml:space="preserve"> tetrabenazine treatment due to intolerance or inadequate response</w:t>
      </w:r>
      <w:r w:rsidR="00190B2F" w:rsidRPr="0030545D">
        <w:t xml:space="preserve">. </w:t>
      </w:r>
      <w:r w:rsidRPr="0030545D">
        <w:rPr>
          <w:iCs/>
        </w:rPr>
        <w:t xml:space="preserve">The PBAC has not previously considered </w:t>
      </w:r>
      <w:r w:rsidR="00190B2F" w:rsidRPr="0030545D">
        <w:rPr>
          <w:iCs/>
        </w:rPr>
        <w:t>deutetrabenazine</w:t>
      </w:r>
      <w:r w:rsidRPr="0030545D">
        <w:rPr>
          <w:iCs/>
        </w:rPr>
        <w:t xml:space="preserve"> for </w:t>
      </w:r>
      <w:r w:rsidR="00190B2F" w:rsidRPr="0030545D">
        <w:rPr>
          <w:iCs/>
        </w:rPr>
        <w:t>any</w:t>
      </w:r>
      <w:r w:rsidRPr="0030545D">
        <w:rPr>
          <w:iCs/>
        </w:rPr>
        <w:t xml:space="preserve"> indication.</w:t>
      </w:r>
    </w:p>
    <w:p w14:paraId="67F31214" w14:textId="77777777" w:rsidR="00537955" w:rsidRPr="0030545D" w:rsidRDefault="00537955" w:rsidP="00537955">
      <w:pPr>
        <w:pStyle w:val="ExecSumBodyText"/>
        <w:rPr>
          <w:iCs/>
        </w:rPr>
      </w:pPr>
      <w:r w:rsidRPr="0030545D">
        <w:t>Listing was requested on the basis of a cost-effectiveness analysis versus placebo</w:t>
      </w:r>
      <w:r w:rsidR="005F37E0" w:rsidRPr="0030545D">
        <w:t xml:space="preserve"> (no active therapy)</w:t>
      </w:r>
      <w:r w:rsidRPr="0030545D">
        <w:t xml:space="preserve">. </w:t>
      </w:r>
      <w:r w:rsidR="002C352F" w:rsidRPr="0030545D">
        <w:rPr>
          <w:iCs/>
        </w:rPr>
        <w:t>The requested listing against a placebo comparator was inconsistent with clinical practice</w:t>
      </w:r>
      <w:r w:rsidR="002C352F" w:rsidRPr="0030545D">
        <w:t xml:space="preserve"> </w:t>
      </w:r>
      <w:r w:rsidR="002C352F" w:rsidRPr="0030545D">
        <w:rPr>
          <w:iCs/>
        </w:rPr>
        <w:t>as</w:t>
      </w:r>
      <w:r w:rsidR="002C352F" w:rsidRPr="0030545D">
        <w:t xml:space="preserve"> </w:t>
      </w:r>
      <w:r w:rsidR="002C352F" w:rsidRPr="0030545D">
        <w:rPr>
          <w:iCs/>
        </w:rPr>
        <w:t>most patients continue to receive active therapy.</w:t>
      </w:r>
    </w:p>
    <w:p w14:paraId="73096EA4" w14:textId="77777777" w:rsidR="00537955" w:rsidRPr="0030545D" w:rsidRDefault="00537955" w:rsidP="00537955">
      <w:pPr>
        <w:pStyle w:val="Tableheadingrow"/>
        <w:rPr>
          <w:lang w:val="en-AU"/>
        </w:rPr>
      </w:pPr>
      <w:r w:rsidRPr="0030545D">
        <w:rPr>
          <w:lang w:val="en-AU"/>
        </w:rPr>
        <w:t>Table 1: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17"/>
      </w:tblGrid>
      <w:tr w:rsidR="00537955" w:rsidRPr="0030545D" w14:paraId="59F2825A" w14:textId="77777777" w:rsidTr="00403F35">
        <w:tc>
          <w:tcPr>
            <w:tcW w:w="2039" w:type="dxa"/>
            <w:vAlign w:val="center"/>
          </w:tcPr>
          <w:p w14:paraId="4BE68090" w14:textId="77777777" w:rsidR="00537955" w:rsidRPr="0030545D" w:rsidRDefault="00537955" w:rsidP="00403F35">
            <w:pPr>
              <w:pStyle w:val="Tableheadingrow"/>
              <w:rPr>
                <w:lang w:val="en-AU"/>
              </w:rPr>
            </w:pPr>
            <w:r w:rsidRPr="0030545D">
              <w:rPr>
                <w:lang w:val="en-AU"/>
              </w:rPr>
              <w:t>Component</w:t>
            </w:r>
          </w:p>
        </w:tc>
        <w:tc>
          <w:tcPr>
            <w:tcW w:w="7117" w:type="dxa"/>
            <w:vAlign w:val="center"/>
          </w:tcPr>
          <w:p w14:paraId="64DEFF3C" w14:textId="77777777" w:rsidR="00537955" w:rsidRPr="0030545D" w:rsidRDefault="00537955" w:rsidP="00403F35">
            <w:pPr>
              <w:pStyle w:val="Tableheadingrow"/>
              <w:rPr>
                <w:lang w:val="en-AU"/>
              </w:rPr>
            </w:pPr>
            <w:r w:rsidRPr="0030545D">
              <w:rPr>
                <w:lang w:val="en-AU"/>
              </w:rPr>
              <w:t>Description</w:t>
            </w:r>
          </w:p>
        </w:tc>
      </w:tr>
      <w:tr w:rsidR="00537955" w:rsidRPr="0030545D" w14:paraId="13C63DAC" w14:textId="77777777" w:rsidTr="00403F35">
        <w:tc>
          <w:tcPr>
            <w:tcW w:w="2039" w:type="dxa"/>
            <w:vAlign w:val="center"/>
          </w:tcPr>
          <w:p w14:paraId="477FA391" w14:textId="77777777" w:rsidR="00537955" w:rsidRPr="0030545D" w:rsidRDefault="00537955" w:rsidP="00403F35">
            <w:pPr>
              <w:pStyle w:val="TableText"/>
            </w:pPr>
            <w:r w:rsidRPr="0030545D">
              <w:t>Population</w:t>
            </w:r>
          </w:p>
        </w:tc>
        <w:tc>
          <w:tcPr>
            <w:tcW w:w="7117" w:type="dxa"/>
            <w:vAlign w:val="center"/>
          </w:tcPr>
          <w:p w14:paraId="06B2C899" w14:textId="77777777" w:rsidR="00537955" w:rsidRPr="0030545D" w:rsidRDefault="00537955" w:rsidP="00403F35">
            <w:pPr>
              <w:pStyle w:val="TableText"/>
            </w:pPr>
            <w:r w:rsidRPr="0030545D">
              <w:t xml:space="preserve">Huntington’s disease patients with chorea who have failed prior tetrabenazine treatment due to intolerance or inadequate response </w:t>
            </w:r>
          </w:p>
        </w:tc>
      </w:tr>
      <w:tr w:rsidR="00537955" w:rsidRPr="0030545D" w14:paraId="182DC213" w14:textId="77777777" w:rsidTr="00403F35">
        <w:tc>
          <w:tcPr>
            <w:tcW w:w="2039" w:type="dxa"/>
            <w:vAlign w:val="center"/>
          </w:tcPr>
          <w:p w14:paraId="3738A9C8" w14:textId="77777777" w:rsidR="00537955" w:rsidRPr="0030545D" w:rsidRDefault="00537955" w:rsidP="00403F35">
            <w:pPr>
              <w:pStyle w:val="TableText"/>
            </w:pPr>
            <w:r w:rsidRPr="0030545D">
              <w:t>Intervention</w:t>
            </w:r>
          </w:p>
        </w:tc>
        <w:tc>
          <w:tcPr>
            <w:tcW w:w="7117" w:type="dxa"/>
            <w:vAlign w:val="center"/>
          </w:tcPr>
          <w:p w14:paraId="13D61D46" w14:textId="77777777" w:rsidR="00537955" w:rsidRPr="0030545D" w:rsidRDefault="00537955" w:rsidP="00403F35">
            <w:pPr>
              <w:pStyle w:val="TableText"/>
            </w:pPr>
            <w:r w:rsidRPr="0030545D">
              <w:t xml:space="preserve">Oral deutetrabenazine tablets titrated to achieve a tolerated dose that reduces chorea (between 6-48 mg daily)  </w:t>
            </w:r>
          </w:p>
        </w:tc>
      </w:tr>
      <w:tr w:rsidR="00537955" w:rsidRPr="0030545D" w14:paraId="0A05433D" w14:textId="77777777" w:rsidTr="00403F35">
        <w:tc>
          <w:tcPr>
            <w:tcW w:w="2039" w:type="dxa"/>
            <w:vAlign w:val="center"/>
          </w:tcPr>
          <w:p w14:paraId="2E7B1CDC" w14:textId="77777777" w:rsidR="00537955" w:rsidRPr="0030545D" w:rsidRDefault="00537955" w:rsidP="00403F35">
            <w:pPr>
              <w:pStyle w:val="TableText"/>
            </w:pPr>
            <w:r w:rsidRPr="0030545D">
              <w:t>Comparator</w:t>
            </w:r>
          </w:p>
        </w:tc>
        <w:tc>
          <w:tcPr>
            <w:tcW w:w="7117" w:type="dxa"/>
            <w:vAlign w:val="center"/>
          </w:tcPr>
          <w:p w14:paraId="440EE21D" w14:textId="77777777" w:rsidR="00537955" w:rsidRPr="0030545D" w:rsidRDefault="00537955" w:rsidP="00403F35">
            <w:pPr>
              <w:pStyle w:val="TableText"/>
            </w:pPr>
            <w:r w:rsidRPr="0030545D">
              <w:t>Placebo</w:t>
            </w:r>
          </w:p>
        </w:tc>
      </w:tr>
      <w:tr w:rsidR="00537955" w:rsidRPr="0030545D" w14:paraId="0CB480BE" w14:textId="77777777" w:rsidTr="00403F35">
        <w:tc>
          <w:tcPr>
            <w:tcW w:w="2039" w:type="dxa"/>
            <w:vAlign w:val="center"/>
          </w:tcPr>
          <w:p w14:paraId="06F12054" w14:textId="77777777" w:rsidR="00537955" w:rsidRPr="0030545D" w:rsidRDefault="00537955" w:rsidP="00403F35">
            <w:pPr>
              <w:pStyle w:val="TableText"/>
            </w:pPr>
            <w:r w:rsidRPr="0030545D">
              <w:t>Outcomes</w:t>
            </w:r>
          </w:p>
        </w:tc>
        <w:tc>
          <w:tcPr>
            <w:tcW w:w="7117" w:type="dxa"/>
            <w:vAlign w:val="center"/>
          </w:tcPr>
          <w:p w14:paraId="6B71ED96" w14:textId="77777777" w:rsidR="00537955" w:rsidRPr="0030545D" w:rsidRDefault="00537955" w:rsidP="00403F35">
            <w:pPr>
              <w:pStyle w:val="TableText"/>
            </w:pPr>
            <w:r w:rsidRPr="0030545D">
              <w:t>Reduction in chorea symptoms, improvements in quality of life</w:t>
            </w:r>
          </w:p>
        </w:tc>
      </w:tr>
      <w:tr w:rsidR="00537955" w:rsidRPr="0030545D" w14:paraId="56EEBE8F" w14:textId="77777777" w:rsidTr="00403F35">
        <w:tc>
          <w:tcPr>
            <w:tcW w:w="2039" w:type="dxa"/>
            <w:vAlign w:val="center"/>
          </w:tcPr>
          <w:p w14:paraId="03BBA636" w14:textId="77777777" w:rsidR="00537955" w:rsidRPr="0030545D" w:rsidRDefault="00537955" w:rsidP="00403F35">
            <w:pPr>
              <w:pStyle w:val="TableText"/>
            </w:pPr>
            <w:r w:rsidRPr="0030545D">
              <w:t>Clinical claim</w:t>
            </w:r>
          </w:p>
        </w:tc>
        <w:tc>
          <w:tcPr>
            <w:tcW w:w="7117" w:type="dxa"/>
            <w:vAlign w:val="center"/>
          </w:tcPr>
          <w:p w14:paraId="50E40709" w14:textId="77777777" w:rsidR="00537955" w:rsidRPr="0030545D" w:rsidRDefault="00537955" w:rsidP="00403F35">
            <w:pPr>
              <w:pStyle w:val="TableText"/>
            </w:pPr>
            <w:r w:rsidRPr="0030545D">
              <w:t>Deutetrabenazine is superior in terms of efficacy and non-inferior in terms of safety compared to placebo</w:t>
            </w:r>
          </w:p>
        </w:tc>
      </w:tr>
    </w:tbl>
    <w:p w14:paraId="20114912" w14:textId="77777777" w:rsidR="00FE0856" w:rsidRPr="0030545D" w:rsidRDefault="00537955" w:rsidP="00C14F95">
      <w:pPr>
        <w:spacing w:after="120"/>
        <w:contextualSpacing/>
        <w:rPr>
          <w:rFonts w:ascii="Arial Narrow" w:hAnsi="Arial Narrow"/>
          <w:sz w:val="18"/>
        </w:rPr>
      </w:pPr>
      <w:r w:rsidRPr="0030545D">
        <w:rPr>
          <w:rFonts w:ascii="Arial Narrow" w:hAnsi="Arial Narrow"/>
          <w:sz w:val="18"/>
        </w:rPr>
        <w:t>Source: Table 1-1 of the submission</w:t>
      </w:r>
    </w:p>
    <w:p w14:paraId="522CF834" w14:textId="77777777" w:rsidR="00413B3D" w:rsidRPr="0030545D" w:rsidRDefault="00413B3D" w:rsidP="00413B3D">
      <w:pPr>
        <w:pStyle w:val="ExecSumBodyText"/>
      </w:pPr>
      <w:r w:rsidRPr="0030545D">
        <w:t xml:space="preserve">The ESC advised the placement of deutetrabenazine in the submission as second or third line therapy was inappropriate and not supported by the available evidence. The ESC noted there was no evidence presented in the submission for the requested second or third line setting after failure (or inability to tolerate maximal dosing) of tetrabenazine. Furthermore, the ESC considered that as deutetrabenazine is a pharmacological analogue and isotypic isomer of tetrabenazine there was no clinical rationale to restrict deutetrabenazine to later line therapy. </w:t>
      </w:r>
    </w:p>
    <w:p w14:paraId="223AB35E" w14:textId="77777777" w:rsidR="00413B3D" w:rsidRPr="0030545D" w:rsidRDefault="00F464B4" w:rsidP="00F464B4">
      <w:pPr>
        <w:pStyle w:val="ExecSumBodyText"/>
      </w:pPr>
      <w:r w:rsidRPr="0030545D">
        <w:t>On this basis, the ESC considered the most appropriate placement of deutetrabenazine is</w:t>
      </w:r>
      <w:r w:rsidR="00053F3E" w:rsidRPr="0030545D">
        <w:t xml:space="preserve"> in</w:t>
      </w:r>
      <w:r w:rsidRPr="0030545D">
        <w:t xml:space="preserve"> </w:t>
      </w:r>
      <w:r w:rsidR="006A6BF7" w:rsidRPr="0030545D">
        <w:t>first-line</w:t>
      </w:r>
      <w:r w:rsidRPr="0030545D">
        <w:t xml:space="preserve"> therapy as an alternative to tetrabenazine and that clinical and economic comparisons should be undertaken on that basis. Therefore, the ESC considered the clinical and economic comparisons presented in this submission were not informative for decision-making. Advice provided below on the technical components of the submission should not be interpreted as acceptance of the proposed PBS listing.</w:t>
      </w:r>
      <w:r w:rsidR="00053F3E" w:rsidRPr="0030545D">
        <w:t xml:space="preserve"> The Pre-PBAC Response stated that a </w:t>
      </w:r>
      <w:r w:rsidR="006A6BF7" w:rsidRPr="0030545D">
        <w:t>first-line</w:t>
      </w:r>
      <w:r w:rsidR="00053F3E" w:rsidRPr="0030545D">
        <w:t xml:space="preserve"> listing would not be viable at a price similar to that for which tetrabenazine is currently PBS listed and </w:t>
      </w:r>
      <w:r w:rsidR="00053F3E" w:rsidRPr="0030545D">
        <w:lastRenderedPageBreak/>
        <w:t>argued that it is not economical for a new treatment which offers advantages over the current alternative which is an old drug where the patient population is so small.</w:t>
      </w:r>
    </w:p>
    <w:p w14:paraId="40FFD3C5" w14:textId="77777777" w:rsidR="00794443" w:rsidRPr="0030545D" w:rsidRDefault="00794443" w:rsidP="00794443">
      <w:pPr>
        <w:pStyle w:val="ExecSumBodyText"/>
        <w:numPr>
          <w:ilvl w:val="0"/>
          <w:numId w:val="0"/>
        </w:numPr>
        <w:ind w:left="720"/>
        <w:rPr>
          <w:i/>
        </w:rPr>
      </w:pPr>
      <w:r w:rsidRPr="0030545D">
        <w:rPr>
          <w:i/>
        </w:rPr>
        <w:t>For more detail on PBAC’s view, see section 7 PBAC outcome.</w:t>
      </w:r>
    </w:p>
    <w:p w14:paraId="316C165E" w14:textId="77777777" w:rsidR="005C25FF" w:rsidRPr="0030545D" w:rsidRDefault="005C25FF" w:rsidP="004A6040">
      <w:pPr>
        <w:pStyle w:val="2-SectionHeading"/>
      </w:pPr>
      <w:bookmarkStart w:id="2" w:name="_Toc61940985"/>
      <w:r w:rsidRPr="0030545D">
        <w:t>Background</w:t>
      </w:r>
      <w:bookmarkEnd w:id="2"/>
    </w:p>
    <w:p w14:paraId="1AA2D9E9" w14:textId="77777777" w:rsidR="005C25FF" w:rsidRPr="0030545D" w:rsidRDefault="005C25FF" w:rsidP="004A6040">
      <w:pPr>
        <w:pStyle w:val="3-SubsectionHeading"/>
      </w:pPr>
      <w:bookmarkStart w:id="3" w:name="_Toc22897638"/>
      <w:bookmarkStart w:id="4" w:name="_Toc61940986"/>
      <w:r w:rsidRPr="0030545D">
        <w:t>Registration status</w:t>
      </w:r>
      <w:bookmarkEnd w:id="3"/>
      <w:bookmarkEnd w:id="4"/>
    </w:p>
    <w:p w14:paraId="748E773D" w14:textId="77777777" w:rsidR="00537955" w:rsidRPr="0030545D" w:rsidRDefault="00537955" w:rsidP="00537955">
      <w:pPr>
        <w:pStyle w:val="ExecSumBodyText"/>
      </w:pPr>
      <w:r w:rsidRPr="0030545D">
        <w:t>Deutetrabenazine was submitted under the TGA/PBAC parallel process with a proposed indication for the:</w:t>
      </w:r>
    </w:p>
    <w:p w14:paraId="188156D3" w14:textId="77777777" w:rsidR="00537955" w:rsidRPr="0030545D" w:rsidRDefault="00537955" w:rsidP="00BB62AF">
      <w:pPr>
        <w:pStyle w:val="ExecSumBodyText"/>
        <w:numPr>
          <w:ilvl w:val="0"/>
          <w:numId w:val="5"/>
        </w:numPr>
        <w:ind w:left="1077" w:hanging="357"/>
      </w:pPr>
      <w:r w:rsidRPr="0030545D">
        <w:t>treatment of chorea associated with Huntington's disease</w:t>
      </w:r>
      <w:r w:rsidR="003928F3">
        <w:t>; or</w:t>
      </w:r>
    </w:p>
    <w:p w14:paraId="34EC9347" w14:textId="77777777" w:rsidR="00537955" w:rsidRPr="0030545D" w:rsidRDefault="00537955" w:rsidP="00BB62AF">
      <w:pPr>
        <w:pStyle w:val="ExecSumBodyText"/>
        <w:numPr>
          <w:ilvl w:val="0"/>
          <w:numId w:val="5"/>
        </w:numPr>
        <w:ind w:left="1077" w:hanging="357"/>
      </w:pPr>
      <w:r w:rsidRPr="0030545D">
        <w:t>treatment of tardive dyskinesia in adults.</w:t>
      </w:r>
    </w:p>
    <w:p w14:paraId="72DACE3A" w14:textId="77777777" w:rsidR="00537955" w:rsidRPr="0030545D" w:rsidRDefault="00B9720D" w:rsidP="00537955">
      <w:pPr>
        <w:pStyle w:val="ExecSumBodyText"/>
      </w:pPr>
      <w:r w:rsidRPr="0030545D">
        <w:t>TGA Status at time of</w:t>
      </w:r>
      <w:r w:rsidR="007D38E1" w:rsidRPr="0030545D">
        <w:t xml:space="preserve"> PBAC</w:t>
      </w:r>
      <w:r w:rsidRPr="0030545D">
        <w:t xml:space="preserve"> advice: </w:t>
      </w:r>
      <w:r w:rsidR="00B35E4E" w:rsidRPr="0030545D">
        <w:t>The TGA clinical evaluation report, Delegate’s Overview and draft product information for deutetrabenazine were available.</w:t>
      </w:r>
    </w:p>
    <w:p w14:paraId="4F267331" w14:textId="77777777" w:rsidR="00B40DD1" w:rsidRPr="0030545D" w:rsidRDefault="00B40DD1" w:rsidP="00B40DD1">
      <w:pPr>
        <w:pStyle w:val="3-SubsectionHeading"/>
      </w:pPr>
      <w:bookmarkStart w:id="5" w:name="_Toc22897639"/>
      <w:bookmarkStart w:id="6" w:name="_Toc60932227"/>
      <w:bookmarkStart w:id="7" w:name="_Toc61940987"/>
      <w:r w:rsidRPr="0030545D">
        <w:t>Previous PBAC consideration</w:t>
      </w:r>
      <w:bookmarkEnd w:id="5"/>
      <w:bookmarkEnd w:id="6"/>
      <w:bookmarkEnd w:id="7"/>
    </w:p>
    <w:p w14:paraId="111DFCD7" w14:textId="77777777" w:rsidR="00B40DD1" w:rsidRPr="0030545D" w:rsidRDefault="00B40DD1" w:rsidP="00B40DD1">
      <w:pPr>
        <w:pStyle w:val="ExecSumBodyText"/>
        <w:numPr>
          <w:ilvl w:val="1"/>
          <w:numId w:val="1"/>
        </w:numPr>
      </w:pPr>
      <w:r w:rsidRPr="0030545D">
        <w:rPr>
          <w:snapToGrid/>
        </w:rPr>
        <w:t>The PBAC has not previously considered any therapy specifically for the treatment of chorea associated with Huntington’s disease</w:t>
      </w:r>
      <w:r w:rsidR="00413B3D" w:rsidRPr="0030545D">
        <w:rPr>
          <w:snapToGrid/>
        </w:rPr>
        <w:t>.</w:t>
      </w:r>
      <w:r w:rsidRPr="0030545D">
        <w:rPr>
          <w:snapToGrid/>
        </w:rPr>
        <w:t xml:space="preserve"> </w:t>
      </w:r>
      <w:r w:rsidRPr="0030545D">
        <w:t>Tetrabenazine is currently listed on the PBS for the treatment of hyperkinetic extrapyramidal disorders (which includes chorea). However, tetrabenazine has been available on the PBS since before cost-effectiveness criteria were introduced and therefore the cost-effectiveness of this therapy for the treatment of chorea ha</w:t>
      </w:r>
      <w:r w:rsidR="006D2FD1" w:rsidRPr="0030545D">
        <w:t>d</w:t>
      </w:r>
      <w:r w:rsidRPr="0030545D">
        <w:t xml:space="preserve"> not </w:t>
      </w:r>
      <w:r w:rsidR="006D2FD1" w:rsidRPr="0030545D">
        <w:t xml:space="preserve">previously </w:t>
      </w:r>
      <w:r w:rsidRPr="0030545D">
        <w:t xml:space="preserve">been </w:t>
      </w:r>
      <w:r w:rsidR="006D2FD1" w:rsidRPr="0030545D">
        <w:t>considered</w:t>
      </w:r>
      <w:r w:rsidRPr="0030545D">
        <w:t>.</w:t>
      </w:r>
    </w:p>
    <w:p w14:paraId="46797602" w14:textId="77777777" w:rsidR="00B60939" w:rsidRPr="0030545D" w:rsidRDefault="00B50DB8" w:rsidP="003928F3">
      <w:pPr>
        <w:pStyle w:val="2-SectionHeading"/>
      </w:pPr>
      <w:bookmarkStart w:id="8" w:name="_Toc61940988"/>
      <w:r w:rsidRPr="0030545D">
        <w:lastRenderedPageBreak/>
        <w:t>Requested listing</w:t>
      </w:r>
      <w:bookmarkEnd w:id="8"/>
    </w:p>
    <w:p w14:paraId="3CB10384" w14:textId="77777777" w:rsidR="00617E12" w:rsidRPr="0030545D" w:rsidRDefault="00D418B0" w:rsidP="003928F3">
      <w:pPr>
        <w:pStyle w:val="ExecSumBodyText"/>
        <w:keepNext/>
      </w:pPr>
      <w:r w:rsidRPr="0030545D">
        <w:t>The proposed listing for deutetrabenazine is outlined below</w:t>
      </w:r>
      <w:r w:rsidR="00A721FB" w:rsidRPr="0030545D">
        <w:t>.</w:t>
      </w:r>
    </w:p>
    <w:p w14:paraId="6DE0C228" w14:textId="77777777" w:rsidR="00D418B0" w:rsidRPr="0030545D" w:rsidRDefault="00D418B0" w:rsidP="003928F3">
      <w:pPr>
        <w:pStyle w:val="TableHeader"/>
        <w:keepNext/>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14"/>
        <w:gridCol w:w="1410"/>
        <w:gridCol w:w="1421"/>
        <w:gridCol w:w="843"/>
        <w:gridCol w:w="2171"/>
        <w:gridCol w:w="1045"/>
        <w:gridCol w:w="219"/>
      </w:tblGrid>
      <w:tr w:rsidR="00D418B0" w:rsidRPr="0030545D" w14:paraId="7C3CF71C" w14:textId="77777777" w:rsidTr="00D418B0">
        <w:tc>
          <w:tcPr>
            <w:tcW w:w="1913" w:type="dxa"/>
            <w:tcBorders>
              <w:top w:val="single" w:sz="4" w:space="0" w:color="auto"/>
              <w:left w:val="nil"/>
              <w:bottom w:val="single" w:sz="4" w:space="0" w:color="auto"/>
              <w:right w:val="nil"/>
            </w:tcBorders>
          </w:tcPr>
          <w:p w14:paraId="62856540" w14:textId="77777777" w:rsidR="00D418B0" w:rsidRPr="0030545D" w:rsidRDefault="00D418B0" w:rsidP="003928F3">
            <w:pPr>
              <w:pStyle w:val="Tabletext0"/>
              <w:keepNext/>
              <w:rPr>
                <w:b/>
                <w:bCs/>
              </w:rPr>
            </w:pPr>
            <w:r w:rsidRPr="0030545D">
              <w:rPr>
                <w:b/>
              </w:rPr>
              <w:t>Name, restriction, manner of administration, form</w:t>
            </w:r>
          </w:p>
        </w:tc>
        <w:tc>
          <w:tcPr>
            <w:tcW w:w="1624" w:type="dxa"/>
            <w:gridSpan w:val="2"/>
            <w:tcBorders>
              <w:top w:val="single" w:sz="4" w:space="0" w:color="auto"/>
              <w:left w:val="nil"/>
              <w:bottom w:val="single" w:sz="4" w:space="0" w:color="auto"/>
              <w:right w:val="nil"/>
            </w:tcBorders>
            <w:vAlign w:val="center"/>
          </w:tcPr>
          <w:p w14:paraId="328A37AB" w14:textId="77777777" w:rsidR="00D418B0" w:rsidRPr="0030545D" w:rsidRDefault="00D418B0" w:rsidP="003928F3">
            <w:pPr>
              <w:pStyle w:val="Tabletext0"/>
              <w:keepNext/>
              <w:jc w:val="center"/>
              <w:rPr>
                <w:b/>
                <w:bCs/>
              </w:rPr>
            </w:pPr>
            <w:r w:rsidRPr="0030545D">
              <w:rPr>
                <w:b/>
              </w:rPr>
              <w:t>Maximum quantity (packs)</w:t>
            </w:r>
          </w:p>
        </w:tc>
        <w:tc>
          <w:tcPr>
            <w:tcW w:w="1421" w:type="dxa"/>
            <w:tcBorders>
              <w:top w:val="single" w:sz="4" w:space="0" w:color="auto"/>
              <w:left w:val="nil"/>
              <w:bottom w:val="single" w:sz="4" w:space="0" w:color="auto"/>
              <w:right w:val="nil"/>
            </w:tcBorders>
            <w:vAlign w:val="center"/>
          </w:tcPr>
          <w:p w14:paraId="7B8678C7" w14:textId="77777777" w:rsidR="00D418B0" w:rsidRPr="0030545D" w:rsidRDefault="00D418B0" w:rsidP="003928F3">
            <w:pPr>
              <w:pStyle w:val="Tabletext0"/>
              <w:keepNext/>
              <w:jc w:val="center"/>
              <w:rPr>
                <w:b/>
                <w:bCs/>
              </w:rPr>
            </w:pPr>
            <w:r w:rsidRPr="0030545D">
              <w:rPr>
                <w:b/>
              </w:rPr>
              <w:t>Maximum quantity (units)</w:t>
            </w:r>
          </w:p>
        </w:tc>
        <w:tc>
          <w:tcPr>
            <w:tcW w:w="843" w:type="dxa"/>
            <w:tcBorders>
              <w:top w:val="single" w:sz="4" w:space="0" w:color="auto"/>
              <w:left w:val="nil"/>
              <w:bottom w:val="single" w:sz="4" w:space="0" w:color="auto"/>
              <w:right w:val="nil"/>
            </w:tcBorders>
            <w:vAlign w:val="center"/>
          </w:tcPr>
          <w:p w14:paraId="70D46C71" w14:textId="77777777" w:rsidR="00D418B0" w:rsidRPr="0030545D" w:rsidRDefault="00D418B0" w:rsidP="003928F3">
            <w:pPr>
              <w:pStyle w:val="Tabletext0"/>
              <w:keepNext/>
              <w:jc w:val="center"/>
              <w:rPr>
                <w:b/>
                <w:bCs/>
              </w:rPr>
            </w:pPr>
            <w:r w:rsidRPr="0030545D">
              <w:rPr>
                <w:b/>
              </w:rPr>
              <w:t>No. of repeats</w:t>
            </w:r>
          </w:p>
        </w:tc>
        <w:tc>
          <w:tcPr>
            <w:tcW w:w="2171" w:type="dxa"/>
            <w:tcBorders>
              <w:top w:val="single" w:sz="4" w:space="0" w:color="auto"/>
              <w:left w:val="nil"/>
              <w:bottom w:val="single" w:sz="4" w:space="0" w:color="auto"/>
              <w:right w:val="nil"/>
            </w:tcBorders>
            <w:vAlign w:val="center"/>
          </w:tcPr>
          <w:p w14:paraId="20511886" w14:textId="77777777" w:rsidR="00D418B0" w:rsidRPr="0030545D" w:rsidRDefault="00D418B0" w:rsidP="003928F3">
            <w:pPr>
              <w:pStyle w:val="Tabletext0"/>
              <w:keepNext/>
              <w:jc w:val="center"/>
              <w:rPr>
                <w:b/>
                <w:bCs/>
              </w:rPr>
            </w:pPr>
            <w:r w:rsidRPr="0030545D">
              <w:rPr>
                <w:b/>
              </w:rPr>
              <w:t>Dispensed price for maximum quantity</w:t>
            </w:r>
          </w:p>
        </w:tc>
        <w:tc>
          <w:tcPr>
            <w:tcW w:w="1264" w:type="dxa"/>
            <w:gridSpan w:val="2"/>
            <w:tcBorders>
              <w:left w:val="nil"/>
              <w:bottom w:val="single" w:sz="4" w:space="0" w:color="auto"/>
              <w:right w:val="nil"/>
            </w:tcBorders>
          </w:tcPr>
          <w:p w14:paraId="62268EB1" w14:textId="77777777" w:rsidR="00D418B0" w:rsidRPr="0030545D" w:rsidRDefault="00D418B0" w:rsidP="003928F3">
            <w:pPr>
              <w:pStyle w:val="Tabletext0"/>
              <w:keepNext/>
              <w:rPr>
                <w:b/>
                <w:bCs/>
              </w:rPr>
            </w:pPr>
            <w:r w:rsidRPr="0030545D">
              <w:rPr>
                <w:b/>
              </w:rPr>
              <w:t>Proprietary name and manufacturer</w:t>
            </w:r>
          </w:p>
        </w:tc>
      </w:tr>
      <w:tr w:rsidR="00D418B0" w:rsidRPr="0030545D" w14:paraId="59CCF35B" w14:textId="77777777" w:rsidTr="00A33828">
        <w:trPr>
          <w:trHeight w:val="383"/>
        </w:trPr>
        <w:tc>
          <w:tcPr>
            <w:tcW w:w="1913" w:type="dxa"/>
            <w:tcBorders>
              <w:top w:val="single" w:sz="4" w:space="0" w:color="auto"/>
              <w:left w:val="nil"/>
              <w:bottom w:val="nil"/>
              <w:right w:val="nil"/>
            </w:tcBorders>
          </w:tcPr>
          <w:p w14:paraId="49E0F312" w14:textId="77777777" w:rsidR="00D418B0" w:rsidRPr="0030545D" w:rsidRDefault="00D418B0" w:rsidP="003928F3">
            <w:pPr>
              <w:pStyle w:val="Tabletext0"/>
              <w:keepNext/>
            </w:pPr>
            <w:r w:rsidRPr="0030545D">
              <w:rPr>
                <w:smallCaps/>
              </w:rPr>
              <w:t>Deutetrabenazine</w:t>
            </w:r>
            <w:r w:rsidRPr="0030545D">
              <w:t xml:space="preserve">, </w:t>
            </w:r>
            <w:r w:rsidRPr="0030545D">
              <w:br/>
              <w:t>6 mg, 60 tablets</w:t>
            </w:r>
          </w:p>
        </w:tc>
        <w:tc>
          <w:tcPr>
            <w:tcW w:w="1624" w:type="dxa"/>
            <w:gridSpan w:val="2"/>
            <w:tcBorders>
              <w:top w:val="single" w:sz="4" w:space="0" w:color="auto"/>
              <w:left w:val="nil"/>
              <w:bottom w:val="nil"/>
              <w:right w:val="nil"/>
            </w:tcBorders>
          </w:tcPr>
          <w:p w14:paraId="55D9C3CB" w14:textId="77777777" w:rsidR="00D418B0" w:rsidRPr="0030545D" w:rsidRDefault="00D418B0" w:rsidP="003928F3">
            <w:pPr>
              <w:pStyle w:val="Tabletext0"/>
              <w:keepNext/>
              <w:jc w:val="center"/>
              <w:rPr>
                <w:rFonts w:ascii="Times" w:hAnsi="Times"/>
              </w:rPr>
            </w:pPr>
            <w:r w:rsidRPr="0030545D">
              <w:t>2</w:t>
            </w:r>
          </w:p>
        </w:tc>
        <w:tc>
          <w:tcPr>
            <w:tcW w:w="1421" w:type="dxa"/>
            <w:tcBorders>
              <w:top w:val="single" w:sz="4" w:space="0" w:color="auto"/>
              <w:left w:val="nil"/>
              <w:bottom w:val="nil"/>
              <w:right w:val="nil"/>
            </w:tcBorders>
          </w:tcPr>
          <w:p w14:paraId="1E391CD0" w14:textId="77777777" w:rsidR="00D418B0" w:rsidRPr="0030545D" w:rsidRDefault="00D418B0" w:rsidP="003928F3">
            <w:pPr>
              <w:pStyle w:val="Tabletext0"/>
              <w:keepNext/>
              <w:jc w:val="center"/>
              <w:rPr>
                <w:rFonts w:ascii="Times" w:hAnsi="Times"/>
              </w:rPr>
            </w:pPr>
            <w:r w:rsidRPr="0030545D">
              <w:t>120</w:t>
            </w:r>
          </w:p>
        </w:tc>
        <w:tc>
          <w:tcPr>
            <w:tcW w:w="843" w:type="dxa"/>
            <w:tcBorders>
              <w:top w:val="single" w:sz="4" w:space="0" w:color="auto"/>
              <w:left w:val="nil"/>
              <w:bottom w:val="nil"/>
              <w:right w:val="nil"/>
            </w:tcBorders>
          </w:tcPr>
          <w:p w14:paraId="101317C8" w14:textId="77777777" w:rsidR="00D418B0" w:rsidRPr="0030545D" w:rsidRDefault="00D418B0" w:rsidP="003928F3">
            <w:pPr>
              <w:pStyle w:val="Tabletext0"/>
              <w:keepNext/>
              <w:jc w:val="center"/>
              <w:rPr>
                <w:rFonts w:ascii="Times" w:hAnsi="Times"/>
              </w:rPr>
            </w:pPr>
            <w:r w:rsidRPr="0030545D">
              <w:t>5</w:t>
            </w:r>
          </w:p>
        </w:tc>
        <w:tc>
          <w:tcPr>
            <w:tcW w:w="2171" w:type="dxa"/>
            <w:tcBorders>
              <w:top w:val="single" w:sz="4" w:space="0" w:color="auto"/>
              <w:left w:val="nil"/>
              <w:bottom w:val="nil"/>
              <w:right w:val="nil"/>
            </w:tcBorders>
          </w:tcPr>
          <w:p w14:paraId="4783FA52" w14:textId="77777777" w:rsidR="00D418B0" w:rsidRPr="0030545D" w:rsidRDefault="00D418B0" w:rsidP="003928F3">
            <w:pPr>
              <w:pStyle w:val="Tabletext0"/>
              <w:keepNext/>
              <w:jc w:val="center"/>
            </w:pPr>
            <w:r w:rsidRPr="0030545D">
              <w:t>$</w:t>
            </w:r>
            <w:r w:rsidR="00916E6D">
              <w:rPr>
                <w:noProof/>
                <w:color w:val="000000"/>
                <w:highlight w:val="black"/>
              </w:rPr>
              <w:t>''''''''''''''''''''''</w:t>
            </w:r>
            <w:r w:rsidRPr="0030545D">
              <w:t xml:space="preserve"> (effective)</w:t>
            </w:r>
          </w:p>
          <w:p w14:paraId="2D26EB24" w14:textId="77777777" w:rsidR="00D418B0" w:rsidRPr="0030545D" w:rsidRDefault="00D418B0" w:rsidP="003928F3">
            <w:pPr>
              <w:pStyle w:val="Tabletext0"/>
              <w:keepNext/>
              <w:jc w:val="center"/>
            </w:pPr>
            <w:r w:rsidRPr="0030545D">
              <w:t>$</w:t>
            </w:r>
            <w:r w:rsidR="00916E6D">
              <w:rPr>
                <w:noProof/>
                <w:color w:val="000000"/>
                <w:highlight w:val="black"/>
              </w:rPr>
              <w:t>'''''''''''''''''''''''</w:t>
            </w:r>
            <w:r w:rsidRPr="0030545D">
              <w:t xml:space="preserve"> (published)</w:t>
            </w:r>
          </w:p>
        </w:tc>
        <w:tc>
          <w:tcPr>
            <w:tcW w:w="1264" w:type="dxa"/>
            <w:gridSpan w:val="2"/>
            <w:vMerge w:val="restart"/>
            <w:tcBorders>
              <w:left w:val="nil"/>
              <w:right w:val="nil"/>
            </w:tcBorders>
            <w:vAlign w:val="center"/>
          </w:tcPr>
          <w:p w14:paraId="49178544" w14:textId="77777777" w:rsidR="00D418B0" w:rsidRPr="0030545D" w:rsidRDefault="00D418B0" w:rsidP="003928F3">
            <w:pPr>
              <w:pStyle w:val="Tabletext0"/>
              <w:keepNext/>
              <w:jc w:val="center"/>
            </w:pPr>
            <w:r w:rsidRPr="0030545D">
              <w:t>Austedo</w:t>
            </w:r>
            <w:r w:rsidRPr="0030545D">
              <w:rPr>
                <w:vertAlign w:val="superscript"/>
              </w:rPr>
              <w:t>®</w:t>
            </w:r>
          </w:p>
          <w:p w14:paraId="26605C98" w14:textId="77777777" w:rsidR="00D418B0" w:rsidRPr="0030545D" w:rsidRDefault="00D418B0" w:rsidP="003928F3">
            <w:pPr>
              <w:pStyle w:val="Tabletext0"/>
              <w:keepNext/>
              <w:jc w:val="center"/>
              <w:rPr>
                <w:rFonts w:ascii="Times" w:hAnsi="Times"/>
              </w:rPr>
            </w:pPr>
            <w:r w:rsidRPr="0030545D">
              <w:t>Teva</w:t>
            </w:r>
          </w:p>
        </w:tc>
      </w:tr>
      <w:tr w:rsidR="00D418B0" w:rsidRPr="0030545D" w14:paraId="1647EC74" w14:textId="77777777" w:rsidTr="00A33828">
        <w:trPr>
          <w:trHeight w:val="383"/>
        </w:trPr>
        <w:tc>
          <w:tcPr>
            <w:tcW w:w="1913" w:type="dxa"/>
            <w:tcBorders>
              <w:top w:val="nil"/>
              <w:left w:val="nil"/>
              <w:bottom w:val="nil"/>
              <w:right w:val="nil"/>
            </w:tcBorders>
          </w:tcPr>
          <w:p w14:paraId="26A0D67B" w14:textId="77777777" w:rsidR="00D418B0" w:rsidRPr="0030545D" w:rsidRDefault="00D418B0" w:rsidP="003928F3">
            <w:pPr>
              <w:pStyle w:val="Tabletext0"/>
              <w:keepNext/>
            </w:pPr>
            <w:r w:rsidRPr="0030545D">
              <w:rPr>
                <w:smallCaps/>
              </w:rPr>
              <w:t>Deutetrabenazine</w:t>
            </w:r>
            <w:r w:rsidRPr="0030545D">
              <w:t xml:space="preserve">, </w:t>
            </w:r>
            <w:r w:rsidRPr="0030545D">
              <w:br/>
              <w:t>9 mg, 60 tablets</w:t>
            </w:r>
          </w:p>
        </w:tc>
        <w:tc>
          <w:tcPr>
            <w:tcW w:w="1624" w:type="dxa"/>
            <w:gridSpan w:val="2"/>
            <w:tcBorders>
              <w:top w:val="nil"/>
              <w:left w:val="nil"/>
              <w:bottom w:val="nil"/>
              <w:right w:val="nil"/>
            </w:tcBorders>
          </w:tcPr>
          <w:p w14:paraId="03510028" w14:textId="77777777" w:rsidR="00D418B0" w:rsidRPr="0030545D" w:rsidRDefault="00D418B0" w:rsidP="003928F3">
            <w:pPr>
              <w:pStyle w:val="Tabletext0"/>
              <w:keepNext/>
              <w:jc w:val="center"/>
            </w:pPr>
            <w:r w:rsidRPr="0030545D">
              <w:t>2</w:t>
            </w:r>
          </w:p>
        </w:tc>
        <w:tc>
          <w:tcPr>
            <w:tcW w:w="1421" w:type="dxa"/>
            <w:tcBorders>
              <w:top w:val="nil"/>
              <w:left w:val="nil"/>
              <w:bottom w:val="nil"/>
              <w:right w:val="nil"/>
            </w:tcBorders>
          </w:tcPr>
          <w:p w14:paraId="557FBF58" w14:textId="77777777" w:rsidR="00D418B0" w:rsidRPr="0030545D" w:rsidRDefault="00D418B0" w:rsidP="003928F3">
            <w:pPr>
              <w:pStyle w:val="Tabletext0"/>
              <w:keepNext/>
              <w:jc w:val="center"/>
            </w:pPr>
            <w:r w:rsidRPr="0030545D">
              <w:t>120</w:t>
            </w:r>
          </w:p>
        </w:tc>
        <w:tc>
          <w:tcPr>
            <w:tcW w:w="843" w:type="dxa"/>
            <w:tcBorders>
              <w:top w:val="nil"/>
              <w:left w:val="nil"/>
              <w:bottom w:val="nil"/>
              <w:right w:val="nil"/>
            </w:tcBorders>
          </w:tcPr>
          <w:p w14:paraId="20DC7162" w14:textId="77777777" w:rsidR="00D418B0" w:rsidRPr="0030545D" w:rsidRDefault="00D418B0" w:rsidP="003928F3">
            <w:pPr>
              <w:pStyle w:val="Tabletext0"/>
              <w:keepNext/>
              <w:jc w:val="center"/>
            </w:pPr>
            <w:r w:rsidRPr="0030545D">
              <w:t>5</w:t>
            </w:r>
          </w:p>
        </w:tc>
        <w:tc>
          <w:tcPr>
            <w:tcW w:w="2171" w:type="dxa"/>
            <w:tcBorders>
              <w:top w:val="nil"/>
              <w:left w:val="nil"/>
              <w:bottom w:val="nil"/>
              <w:right w:val="nil"/>
            </w:tcBorders>
          </w:tcPr>
          <w:p w14:paraId="43F681FC" w14:textId="77777777" w:rsidR="00D418B0" w:rsidRPr="0030545D" w:rsidRDefault="00D418B0" w:rsidP="003928F3">
            <w:pPr>
              <w:pStyle w:val="Tabletext0"/>
              <w:keepNext/>
              <w:jc w:val="center"/>
            </w:pPr>
            <w:r w:rsidRPr="0030545D">
              <w:t>$</w:t>
            </w:r>
            <w:r w:rsidR="00916E6D">
              <w:rPr>
                <w:noProof/>
                <w:color w:val="000000"/>
                <w:highlight w:val="black"/>
              </w:rPr>
              <w:t>'''''''''''''''''''''</w:t>
            </w:r>
            <w:r w:rsidRPr="0030545D">
              <w:t xml:space="preserve"> (effective)</w:t>
            </w:r>
          </w:p>
          <w:p w14:paraId="62E58207" w14:textId="77777777" w:rsidR="00D418B0" w:rsidRPr="0030545D" w:rsidRDefault="00D418B0" w:rsidP="003928F3">
            <w:pPr>
              <w:pStyle w:val="Tabletext0"/>
              <w:keepNext/>
              <w:jc w:val="center"/>
            </w:pPr>
            <w:r w:rsidRPr="0030545D">
              <w:t>$</w:t>
            </w:r>
            <w:r w:rsidR="00916E6D">
              <w:rPr>
                <w:noProof/>
                <w:color w:val="000000"/>
                <w:highlight w:val="black"/>
              </w:rPr>
              <w:t>'''''''''''''''''''</w:t>
            </w:r>
            <w:r w:rsidRPr="0030545D">
              <w:t xml:space="preserve"> (published)</w:t>
            </w:r>
          </w:p>
        </w:tc>
        <w:tc>
          <w:tcPr>
            <w:tcW w:w="1264" w:type="dxa"/>
            <w:gridSpan w:val="2"/>
            <w:vMerge/>
            <w:tcBorders>
              <w:left w:val="nil"/>
              <w:right w:val="nil"/>
            </w:tcBorders>
          </w:tcPr>
          <w:p w14:paraId="19BA2C73" w14:textId="77777777" w:rsidR="00D418B0" w:rsidRPr="0030545D" w:rsidRDefault="00D418B0" w:rsidP="003928F3">
            <w:pPr>
              <w:pStyle w:val="Tabletext0"/>
              <w:keepNext/>
            </w:pPr>
          </w:p>
        </w:tc>
      </w:tr>
      <w:tr w:rsidR="00D418B0" w:rsidRPr="0030545D" w14:paraId="06329306" w14:textId="77777777" w:rsidTr="00A33828">
        <w:trPr>
          <w:trHeight w:val="383"/>
        </w:trPr>
        <w:tc>
          <w:tcPr>
            <w:tcW w:w="1913" w:type="dxa"/>
            <w:tcBorders>
              <w:top w:val="nil"/>
              <w:left w:val="nil"/>
              <w:bottom w:val="single" w:sz="4" w:space="0" w:color="auto"/>
              <w:right w:val="nil"/>
            </w:tcBorders>
          </w:tcPr>
          <w:p w14:paraId="6046EC37" w14:textId="77777777" w:rsidR="00D418B0" w:rsidRPr="0030545D" w:rsidRDefault="00D418B0" w:rsidP="003928F3">
            <w:pPr>
              <w:pStyle w:val="Tabletext0"/>
              <w:keepNext/>
            </w:pPr>
            <w:r w:rsidRPr="0030545D">
              <w:rPr>
                <w:smallCaps/>
              </w:rPr>
              <w:t>Deutetrabenazine</w:t>
            </w:r>
            <w:r w:rsidRPr="0030545D">
              <w:t xml:space="preserve">, </w:t>
            </w:r>
            <w:r w:rsidRPr="0030545D">
              <w:br/>
              <w:t>12 mg, 60 tablets</w:t>
            </w:r>
          </w:p>
          <w:p w14:paraId="1BE0DE2A" w14:textId="77777777" w:rsidR="00A33828" w:rsidRPr="0030545D" w:rsidRDefault="00A33828" w:rsidP="003928F3">
            <w:pPr>
              <w:pStyle w:val="Tabletext0"/>
              <w:keepNext/>
            </w:pPr>
          </w:p>
        </w:tc>
        <w:tc>
          <w:tcPr>
            <w:tcW w:w="1624" w:type="dxa"/>
            <w:gridSpan w:val="2"/>
            <w:tcBorders>
              <w:top w:val="nil"/>
              <w:left w:val="nil"/>
              <w:bottom w:val="single" w:sz="4" w:space="0" w:color="auto"/>
              <w:right w:val="nil"/>
            </w:tcBorders>
          </w:tcPr>
          <w:p w14:paraId="1CB79F1E" w14:textId="77777777" w:rsidR="00D418B0" w:rsidRPr="0030545D" w:rsidRDefault="00D418B0" w:rsidP="003928F3">
            <w:pPr>
              <w:pStyle w:val="Tabletext0"/>
              <w:keepNext/>
              <w:jc w:val="center"/>
            </w:pPr>
            <w:r w:rsidRPr="0030545D">
              <w:t>2</w:t>
            </w:r>
          </w:p>
        </w:tc>
        <w:tc>
          <w:tcPr>
            <w:tcW w:w="1421" w:type="dxa"/>
            <w:tcBorders>
              <w:top w:val="nil"/>
              <w:left w:val="nil"/>
              <w:bottom w:val="single" w:sz="4" w:space="0" w:color="auto"/>
              <w:right w:val="nil"/>
            </w:tcBorders>
          </w:tcPr>
          <w:p w14:paraId="4B5FFBAB" w14:textId="77777777" w:rsidR="00D418B0" w:rsidRPr="0030545D" w:rsidRDefault="00D418B0" w:rsidP="003928F3">
            <w:pPr>
              <w:pStyle w:val="Tabletext0"/>
              <w:keepNext/>
              <w:jc w:val="center"/>
            </w:pPr>
            <w:r w:rsidRPr="0030545D">
              <w:t>120</w:t>
            </w:r>
          </w:p>
        </w:tc>
        <w:tc>
          <w:tcPr>
            <w:tcW w:w="843" w:type="dxa"/>
            <w:tcBorders>
              <w:top w:val="nil"/>
              <w:left w:val="nil"/>
              <w:bottom w:val="single" w:sz="4" w:space="0" w:color="auto"/>
              <w:right w:val="nil"/>
            </w:tcBorders>
          </w:tcPr>
          <w:p w14:paraId="3C46AAAF" w14:textId="77777777" w:rsidR="00D418B0" w:rsidRPr="0030545D" w:rsidRDefault="00D418B0" w:rsidP="003928F3">
            <w:pPr>
              <w:pStyle w:val="Tabletext0"/>
              <w:keepNext/>
              <w:jc w:val="center"/>
            </w:pPr>
            <w:r w:rsidRPr="0030545D">
              <w:t>5</w:t>
            </w:r>
          </w:p>
        </w:tc>
        <w:tc>
          <w:tcPr>
            <w:tcW w:w="2171" w:type="dxa"/>
            <w:tcBorders>
              <w:top w:val="nil"/>
              <w:left w:val="nil"/>
              <w:bottom w:val="single" w:sz="4" w:space="0" w:color="auto"/>
              <w:right w:val="nil"/>
            </w:tcBorders>
          </w:tcPr>
          <w:p w14:paraId="7E0ED410" w14:textId="77777777" w:rsidR="00D418B0" w:rsidRPr="0030545D" w:rsidRDefault="00D418B0" w:rsidP="003928F3">
            <w:pPr>
              <w:pStyle w:val="Tabletext0"/>
              <w:keepNext/>
              <w:jc w:val="center"/>
            </w:pPr>
            <w:r w:rsidRPr="0030545D">
              <w:t>$</w:t>
            </w:r>
            <w:r w:rsidR="00916E6D">
              <w:rPr>
                <w:noProof/>
                <w:color w:val="000000"/>
                <w:highlight w:val="black"/>
              </w:rPr>
              <w:t>'''''''''''''''''''</w:t>
            </w:r>
            <w:r w:rsidRPr="0030545D">
              <w:t xml:space="preserve"> (effective)</w:t>
            </w:r>
          </w:p>
          <w:p w14:paraId="19EA5783" w14:textId="77777777" w:rsidR="00D418B0" w:rsidRPr="0030545D" w:rsidRDefault="00D418B0" w:rsidP="003928F3">
            <w:pPr>
              <w:pStyle w:val="Tabletext0"/>
              <w:keepNext/>
              <w:jc w:val="center"/>
            </w:pPr>
            <w:r w:rsidRPr="0030545D">
              <w:t>$</w:t>
            </w:r>
            <w:r w:rsidR="00916E6D">
              <w:rPr>
                <w:noProof/>
                <w:color w:val="000000"/>
                <w:highlight w:val="black"/>
              </w:rPr>
              <w:t>''''''''''''''''''''''''</w:t>
            </w:r>
            <w:r w:rsidRPr="0030545D">
              <w:t xml:space="preserve"> (published)</w:t>
            </w:r>
          </w:p>
        </w:tc>
        <w:tc>
          <w:tcPr>
            <w:tcW w:w="1264" w:type="dxa"/>
            <w:gridSpan w:val="2"/>
            <w:vMerge/>
            <w:tcBorders>
              <w:left w:val="nil"/>
              <w:right w:val="nil"/>
            </w:tcBorders>
          </w:tcPr>
          <w:p w14:paraId="4E2BED11" w14:textId="77777777" w:rsidR="00D418B0" w:rsidRPr="0030545D" w:rsidRDefault="00D418B0" w:rsidP="003928F3">
            <w:pPr>
              <w:pStyle w:val="Tabletext0"/>
              <w:keepNext/>
            </w:pPr>
          </w:p>
        </w:tc>
      </w:tr>
      <w:tr w:rsidR="00D418B0" w:rsidRPr="0030545D" w14:paraId="39487CD1"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5D3F0B98" w14:textId="77777777" w:rsidR="00D418B0" w:rsidRPr="0030545D" w:rsidRDefault="00D418B0" w:rsidP="00403F35">
            <w:pPr>
              <w:pStyle w:val="TableText"/>
              <w:rPr>
                <w:b/>
              </w:rPr>
            </w:pPr>
            <w:r w:rsidRPr="0030545D">
              <w:rPr>
                <w:b/>
              </w:rPr>
              <w:t>Category / Program:</w:t>
            </w:r>
          </w:p>
        </w:tc>
        <w:tc>
          <w:tcPr>
            <w:tcW w:w="6890" w:type="dxa"/>
            <w:gridSpan w:val="5"/>
            <w:tcBorders>
              <w:top w:val="single" w:sz="4" w:space="0" w:color="auto"/>
              <w:left w:val="single" w:sz="4" w:space="0" w:color="auto"/>
              <w:bottom w:val="single" w:sz="4" w:space="0" w:color="auto"/>
              <w:right w:val="single" w:sz="4" w:space="0" w:color="auto"/>
            </w:tcBorders>
          </w:tcPr>
          <w:p w14:paraId="56ACABD2" w14:textId="77777777" w:rsidR="00D418B0" w:rsidRPr="0030545D" w:rsidRDefault="00D418B0" w:rsidP="00403F35">
            <w:pPr>
              <w:pStyle w:val="TableText"/>
            </w:pPr>
            <w:r w:rsidRPr="0030545D">
              <w:t>GENERAL – General Schedule (Code GE)</w:t>
            </w:r>
          </w:p>
        </w:tc>
      </w:tr>
      <w:tr w:rsidR="00D418B0" w:rsidRPr="0030545D" w14:paraId="60A02F33"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2CE93C7D" w14:textId="77777777" w:rsidR="00D418B0" w:rsidRPr="0030545D" w:rsidRDefault="00D418B0" w:rsidP="00403F35">
            <w:pPr>
              <w:pStyle w:val="TableText"/>
              <w:rPr>
                <w:b/>
              </w:rPr>
            </w:pPr>
            <w:r w:rsidRPr="0030545D">
              <w:rPr>
                <w:b/>
              </w:rPr>
              <w:t>Prescriber type:</w:t>
            </w:r>
          </w:p>
        </w:tc>
        <w:tc>
          <w:tcPr>
            <w:tcW w:w="6890" w:type="dxa"/>
            <w:gridSpan w:val="5"/>
            <w:tcBorders>
              <w:top w:val="single" w:sz="4" w:space="0" w:color="auto"/>
              <w:left w:val="single" w:sz="4" w:space="0" w:color="auto"/>
              <w:bottom w:val="single" w:sz="4" w:space="0" w:color="auto"/>
              <w:right w:val="single" w:sz="4" w:space="0" w:color="auto"/>
            </w:tcBorders>
          </w:tcPr>
          <w:p w14:paraId="0AC243BB" w14:textId="77777777" w:rsidR="00D418B0" w:rsidRPr="0030545D" w:rsidRDefault="00D418B0" w:rsidP="00403F35">
            <w:pPr>
              <w:pStyle w:val="TableText"/>
            </w:pPr>
            <w:r w:rsidRPr="0030545D">
              <w:fldChar w:fldCharType="begin">
                <w:ffData>
                  <w:name w:val="Check1"/>
                  <w:enabled/>
                  <w:calcOnExit w:val="0"/>
                  <w:checkBox>
                    <w:sizeAuto/>
                    <w:default w:val="0"/>
                  </w:checkBox>
                </w:ffData>
              </w:fldChar>
            </w:r>
            <w:r w:rsidRPr="0030545D">
              <w:instrText xml:space="preserve"> FORMCHECKBOX </w:instrText>
            </w:r>
            <w:r w:rsidR="005A098A">
              <w:fldChar w:fldCharType="separate"/>
            </w:r>
            <w:r w:rsidRPr="0030545D">
              <w:fldChar w:fldCharType="end"/>
            </w:r>
            <w:r w:rsidRPr="0030545D">
              <w:t xml:space="preserve">Dental  </w:t>
            </w:r>
            <w:r w:rsidRPr="0030545D">
              <w:fldChar w:fldCharType="begin">
                <w:ffData>
                  <w:name w:val="Check1"/>
                  <w:enabled/>
                  <w:calcOnExit w:val="0"/>
                  <w:checkBox>
                    <w:sizeAuto/>
                    <w:default w:val="1"/>
                  </w:checkBox>
                </w:ffData>
              </w:fldChar>
            </w:r>
            <w:r w:rsidRPr="0030545D">
              <w:instrText xml:space="preserve"> FORMCHECKBOX </w:instrText>
            </w:r>
            <w:r w:rsidR="005A098A">
              <w:fldChar w:fldCharType="separate"/>
            </w:r>
            <w:r w:rsidRPr="0030545D">
              <w:fldChar w:fldCharType="end"/>
            </w:r>
            <w:r w:rsidRPr="0030545D">
              <w:t xml:space="preserve">Medical Practitioners  </w:t>
            </w:r>
            <w:r w:rsidRPr="0030545D">
              <w:fldChar w:fldCharType="begin">
                <w:ffData>
                  <w:name w:val="Check1"/>
                  <w:enabled/>
                  <w:calcOnExit w:val="0"/>
                  <w:checkBox>
                    <w:sizeAuto/>
                    <w:default w:val="0"/>
                  </w:checkBox>
                </w:ffData>
              </w:fldChar>
            </w:r>
            <w:r w:rsidRPr="0030545D">
              <w:instrText xml:space="preserve"> FORMCHECKBOX </w:instrText>
            </w:r>
            <w:r w:rsidR="005A098A">
              <w:fldChar w:fldCharType="separate"/>
            </w:r>
            <w:r w:rsidRPr="0030545D">
              <w:fldChar w:fldCharType="end"/>
            </w:r>
            <w:r w:rsidRPr="0030545D">
              <w:t xml:space="preserve">Nurse practitioners </w:t>
            </w:r>
          </w:p>
          <w:p w14:paraId="59AD18E0" w14:textId="77777777" w:rsidR="00D418B0" w:rsidRPr="0030545D" w:rsidRDefault="00D418B0" w:rsidP="00403F35">
            <w:pPr>
              <w:pStyle w:val="TableText"/>
            </w:pPr>
            <w:r w:rsidRPr="0030545D">
              <w:fldChar w:fldCharType="begin">
                <w:ffData>
                  <w:name w:val="Check1"/>
                  <w:enabled/>
                  <w:calcOnExit w:val="0"/>
                  <w:checkBox>
                    <w:sizeAuto/>
                    <w:default w:val="0"/>
                  </w:checkBox>
                </w:ffData>
              </w:fldChar>
            </w:r>
            <w:r w:rsidRPr="0030545D">
              <w:instrText xml:space="preserve"> FORMCHECKBOX </w:instrText>
            </w:r>
            <w:r w:rsidR="005A098A">
              <w:fldChar w:fldCharType="separate"/>
            </w:r>
            <w:r w:rsidRPr="0030545D">
              <w:fldChar w:fldCharType="end"/>
            </w:r>
            <w:r w:rsidRPr="0030545D">
              <w:t xml:space="preserve">Optometrists </w:t>
            </w:r>
            <w:r w:rsidRPr="0030545D">
              <w:fldChar w:fldCharType="begin">
                <w:ffData>
                  <w:name w:val="Check1"/>
                  <w:enabled/>
                  <w:calcOnExit w:val="0"/>
                  <w:checkBox>
                    <w:sizeAuto/>
                    <w:default w:val="0"/>
                  </w:checkBox>
                </w:ffData>
              </w:fldChar>
            </w:r>
            <w:r w:rsidRPr="0030545D">
              <w:instrText xml:space="preserve"> FORMCHECKBOX </w:instrText>
            </w:r>
            <w:r w:rsidR="005A098A">
              <w:fldChar w:fldCharType="separate"/>
            </w:r>
            <w:r w:rsidRPr="0030545D">
              <w:fldChar w:fldCharType="end"/>
            </w:r>
            <w:r w:rsidRPr="0030545D">
              <w:t>Midwives</w:t>
            </w:r>
          </w:p>
        </w:tc>
      </w:tr>
      <w:tr w:rsidR="00D418B0" w:rsidRPr="0030545D" w14:paraId="7ED80430"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7C3FB1F5" w14:textId="77777777" w:rsidR="00D418B0" w:rsidRPr="0030545D" w:rsidRDefault="00D418B0" w:rsidP="00403F35">
            <w:pPr>
              <w:pStyle w:val="TableText"/>
              <w:rPr>
                <w:b/>
              </w:rPr>
            </w:pPr>
            <w:r w:rsidRPr="0030545D">
              <w:rPr>
                <w:b/>
              </w:rPr>
              <w:t>Severity:</w:t>
            </w:r>
          </w:p>
        </w:tc>
        <w:tc>
          <w:tcPr>
            <w:tcW w:w="6890" w:type="dxa"/>
            <w:gridSpan w:val="5"/>
            <w:tcBorders>
              <w:top w:val="single" w:sz="4" w:space="0" w:color="auto"/>
              <w:left w:val="single" w:sz="4" w:space="0" w:color="auto"/>
              <w:bottom w:val="single" w:sz="4" w:space="0" w:color="auto"/>
              <w:right w:val="single" w:sz="4" w:space="0" w:color="auto"/>
            </w:tcBorders>
          </w:tcPr>
          <w:p w14:paraId="329AFC91" w14:textId="77777777" w:rsidR="00D418B0" w:rsidRPr="0030545D" w:rsidRDefault="00D418B0" w:rsidP="00403F35">
            <w:pPr>
              <w:pStyle w:val="TableText"/>
            </w:pPr>
            <w:r w:rsidRPr="0030545D">
              <w:t>Mild, Moderate or Severe</w:t>
            </w:r>
          </w:p>
        </w:tc>
      </w:tr>
      <w:tr w:rsidR="00D418B0" w:rsidRPr="0030545D" w14:paraId="47EA9188"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4025AA83" w14:textId="77777777" w:rsidR="00D418B0" w:rsidRPr="0030545D" w:rsidRDefault="00D418B0" w:rsidP="00403F35">
            <w:pPr>
              <w:pStyle w:val="TableText"/>
              <w:rPr>
                <w:b/>
              </w:rPr>
            </w:pPr>
            <w:r w:rsidRPr="0030545D">
              <w:rPr>
                <w:b/>
              </w:rPr>
              <w:t>Condition:</w:t>
            </w:r>
          </w:p>
        </w:tc>
        <w:tc>
          <w:tcPr>
            <w:tcW w:w="6890" w:type="dxa"/>
            <w:gridSpan w:val="5"/>
            <w:tcBorders>
              <w:top w:val="single" w:sz="4" w:space="0" w:color="auto"/>
              <w:left w:val="single" w:sz="4" w:space="0" w:color="auto"/>
              <w:bottom w:val="single" w:sz="4" w:space="0" w:color="auto"/>
              <w:right w:val="single" w:sz="4" w:space="0" w:color="auto"/>
            </w:tcBorders>
          </w:tcPr>
          <w:p w14:paraId="000B2DD9" w14:textId="77777777" w:rsidR="00D418B0" w:rsidRPr="0030545D" w:rsidRDefault="00D418B0" w:rsidP="00403F35">
            <w:pPr>
              <w:pStyle w:val="TableText"/>
            </w:pPr>
            <w:r w:rsidRPr="0030545D">
              <w:t>Chorea associated with Huntington’s disease</w:t>
            </w:r>
          </w:p>
        </w:tc>
      </w:tr>
      <w:tr w:rsidR="00D418B0" w:rsidRPr="0030545D" w14:paraId="0354E338"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0CDDF4FD" w14:textId="77777777" w:rsidR="00D418B0" w:rsidRPr="0030545D" w:rsidRDefault="00D418B0" w:rsidP="00403F35">
            <w:pPr>
              <w:pStyle w:val="TableText"/>
              <w:rPr>
                <w:b/>
              </w:rPr>
            </w:pPr>
            <w:r w:rsidRPr="0030545D">
              <w:rPr>
                <w:b/>
              </w:rPr>
              <w:t>PBS Indication:</w:t>
            </w:r>
          </w:p>
        </w:tc>
        <w:tc>
          <w:tcPr>
            <w:tcW w:w="6890" w:type="dxa"/>
            <w:gridSpan w:val="5"/>
            <w:tcBorders>
              <w:top w:val="single" w:sz="4" w:space="0" w:color="auto"/>
              <w:left w:val="single" w:sz="4" w:space="0" w:color="auto"/>
              <w:bottom w:val="single" w:sz="4" w:space="0" w:color="auto"/>
              <w:right w:val="single" w:sz="4" w:space="0" w:color="auto"/>
            </w:tcBorders>
          </w:tcPr>
          <w:p w14:paraId="3A0C4236" w14:textId="77777777" w:rsidR="00D418B0" w:rsidRPr="0030545D" w:rsidRDefault="00D418B0" w:rsidP="00403F35">
            <w:pPr>
              <w:pStyle w:val="TableText"/>
            </w:pPr>
            <w:r w:rsidRPr="0030545D">
              <w:t>Mild, Moderate or Severe Chorea associated with Huntington’s disease</w:t>
            </w:r>
          </w:p>
        </w:tc>
      </w:tr>
      <w:tr w:rsidR="00D418B0" w:rsidRPr="0030545D" w14:paraId="616DDD95"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6A9D8766" w14:textId="77777777" w:rsidR="00D418B0" w:rsidRPr="0030545D" w:rsidRDefault="00D418B0" w:rsidP="00403F35">
            <w:pPr>
              <w:pStyle w:val="TableText"/>
            </w:pPr>
            <w:r w:rsidRPr="0030545D">
              <w:rPr>
                <w:b/>
              </w:rPr>
              <w:t>Restriction:</w:t>
            </w:r>
          </w:p>
        </w:tc>
        <w:tc>
          <w:tcPr>
            <w:tcW w:w="6890" w:type="dxa"/>
            <w:gridSpan w:val="5"/>
            <w:tcBorders>
              <w:top w:val="single" w:sz="4" w:space="0" w:color="auto"/>
              <w:left w:val="single" w:sz="4" w:space="0" w:color="auto"/>
              <w:bottom w:val="single" w:sz="4" w:space="0" w:color="auto"/>
              <w:right w:val="single" w:sz="4" w:space="0" w:color="auto"/>
            </w:tcBorders>
          </w:tcPr>
          <w:p w14:paraId="38604CC4" w14:textId="77777777" w:rsidR="00D418B0" w:rsidRPr="0030545D" w:rsidRDefault="00D418B0" w:rsidP="00403F35">
            <w:pPr>
              <w:pStyle w:val="TableText"/>
            </w:pPr>
            <w:r w:rsidRPr="0030545D">
              <w:t>Authority Required</w:t>
            </w:r>
          </w:p>
        </w:tc>
      </w:tr>
      <w:tr w:rsidR="00D418B0" w:rsidRPr="0030545D" w14:paraId="2FE1B587"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4EDA89ED" w14:textId="77777777" w:rsidR="00D418B0" w:rsidRPr="0030545D" w:rsidRDefault="00D418B0" w:rsidP="00403F35">
            <w:pPr>
              <w:pStyle w:val="TableText"/>
              <w:rPr>
                <w:b/>
              </w:rPr>
            </w:pPr>
            <w:r w:rsidRPr="0030545D">
              <w:rPr>
                <w:b/>
              </w:rPr>
              <w:t>Clinical criteria:</w:t>
            </w:r>
          </w:p>
          <w:p w14:paraId="30EA190C" w14:textId="77777777" w:rsidR="00D418B0" w:rsidRPr="0030545D" w:rsidRDefault="00D418B0" w:rsidP="00403F35">
            <w:pPr>
              <w:pStyle w:val="TableText"/>
            </w:pPr>
          </w:p>
        </w:tc>
        <w:tc>
          <w:tcPr>
            <w:tcW w:w="6890" w:type="dxa"/>
            <w:gridSpan w:val="5"/>
            <w:tcBorders>
              <w:top w:val="single" w:sz="4" w:space="0" w:color="auto"/>
              <w:left w:val="single" w:sz="4" w:space="0" w:color="auto"/>
              <w:bottom w:val="single" w:sz="4" w:space="0" w:color="auto"/>
              <w:right w:val="single" w:sz="4" w:space="0" w:color="auto"/>
            </w:tcBorders>
          </w:tcPr>
          <w:p w14:paraId="1FCFB3EF" w14:textId="77777777" w:rsidR="00D418B0" w:rsidRPr="0030545D" w:rsidRDefault="00D418B0" w:rsidP="00403F35">
            <w:pPr>
              <w:pStyle w:val="TableText"/>
              <w:rPr>
                <w:rFonts w:cs="Arial"/>
              </w:rPr>
            </w:pPr>
            <w:r w:rsidRPr="0030545D">
              <w:rPr>
                <w:rFonts w:cs="Arial"/>
              </w:rPr>
              <w:t xml:space="preserve">For a patient without specified co-morbidities of psychoses, active depression, aggressive behaviours or compliance issues, </w:t>
            </w:r>
          </w:p>
          <w:p w14:paraId="7E3691BE" w14:textId="77777777" w:rsidR="00D418B0" w:rsidRPr="0030545D" w:rsidRDefault="00D418B0" w:rsidP="00403F35">
            <w:pPr>
              <w:pStyle w:val="TableText"/>
              <w:rPr>
                <w:rFonts w:cs="Arial"/>
              </w:rPr>
            </w:pPr>
            <w:r w:rsidRPr="0030545D">
              <w:rPr>
                <w:rFonts w:cs="Arial"/>
              </w:rPr>
              <w:t>AND</w:t>
            </w:r>
          </w:p>
          <w:p w14:paraId="0E820F87" w14:textId="77777777" w:rsidR="00D418B0" w:rsidRPr="0030545D" w:rsidRDefault="00D418B0" w:rsidP="00403F35">
            <w:pPr>
              <w:pStyle w:val="TableText"/>
              <w:rPr>
                <w:rFonts w:cs="Arial"/>
              </w:rPr>
            </w:pPr>
            <w:r w:rsidRPr="0030545D">
              <w:rPr>
                <w:rFonts w:cs="Arial"/>
              </w:rPr>
              <w:t xml:space="preserve">Patient must have experienced an inadequate response, intolerance to tetrabenazine </w:t>
            </w:r>
          </w:p>
          <w:p w14:paraId="2E9A57EE" w14:textId="77777777" w:rsidR="00D418B0" w:rsidRPr="0030545D" w:rsidRDefault="00D418B0" w:rsidP="00403F35">
            <w:pPr>
              <w:pStyle w:val="TableText"/>
              <w:rPr>
                <w:rFonts w:cs="Arial"/>
              </w:rPr>
            </w:pPr>
            <w:r w:rsidRPr="0030545D">
              <w:rPr>
                <w:rFonts w:cs="Arial"/>
              </w:rPr>
              <w:t>OR</w:t>
            </w:r>
          </w:p>
          <w:p w14:paraId="722C0D8A" w14:textId="77777777" w:rsidR="00D418B0" w:rsidRPr="0030545D" w:rsidRDefault="00D418B0" w:rsidP="00403F35">
            <w:pPr>
              <w:pStyle w:val="TableText"/>
              <w:rPr>
                <w:rFonts w:cs="Arial"/>
              </w:rPr>
            </w:pPr>
            <w:r w:rsidRPr="0030545D">
              <w:rPr>
                <w:rFonts w:cs="Arial"/>
              </w:rPr>
              <w:t>Patient was unable to achieve maximum effective dose with tetrabenazine due to adverse events.</w:t>
            </w:r>
          </w:p>
          <w:p w14:paraId="1F105D4C" w14:textId="77777777" w:rsidR="00D418B0" w:rsidRPr="0030545D" w:rsidRDefault="00D418B0" w:rsidP="00403F35">
            <w:pPr>
              <w:pStyle w:val="TableText"/>
              <w:rPr>
                <w:rFonts w:cs="Arial"/>
              </w:rPr>
            </w:pPr>
          </w:p>
          <w:p w14:paraId="51D7F151" w14:textId="77777777" w:rsidR="00D418B0" w:rsidRPr="0030545D" w:rsidRDefault="00D418B0" w:rsidP="00403F35">
            <w:pPr>
              <w:pStyle w:val="TableText"/>
              <w:rPr>
                <w:rFonts w:cs="Arial"/>
              </w:rPr>
            </w:pPr>
            <w:r w:rsidRPr="0030545D">
              <w:rPr>
                <w:rFonts w:cs="Arial"/>
              </w:rPr>
              <w:t xml:space="preserve">For a patient with specified co-morbidities of psychoses, active depression, aggressive behaviours or compliance issues, </w:t>
            </w:r>
          </w:p>
          <w:p w14:paraId="64519FEB" w14:textId="77777777" w:rsidR="00D418B0" w:rsidRPr="0030545D" w:rsidRDefault="00D418B0" w:rsidP="00403F35">
            <w:pPr>
              <w:pStyle w:val="TableText"/>
              <w:rPr>
                <w:rFonts w:cs="Arial"/>
              </w:rPr>
            </w:pPr>
            <w:r w:rsidRPr="0030545D">
              <w:rPr>
                <w:rFonts w:cs="Arial"/>
              </w:rPr>
              <w:t>AND</w:t>
            </w:r>
          </w:p>
          <w:p w14:paraId="2A70DF00" w14:textId="77777777" w:rsidR="00D418B0" w:rsidRPr="0030545D" w:rsidRDefault="00D418B0" w:rsidP="00403F35">
            <w:pPr>
              <w:pStyle w:val="TableText"/>
              <w:rPr>
                <w:rFonts w:cs="Arial"/>
              </w:rPr>
            </w:pPr>
            <w:r w:rsidRPr="0030545D">
              <w:rPr>
                <w:rFonts w:cs="Arial"/>
              </w:rPr>
              <w:t xml:space="preserve">Patient must have experienced an inadequate response, intolerance to a neuroleptic monotherapy or in combination with another treatment </w:t>
            </w:r>
          </w:p>
          <w:p w14:paraId="4727DAAA" w14:textId="77777777" w:rsidR="00D418B0" w:rsidRPr="0030545D" w:rsidRDefault="00D418B0" w:rsidP="00403F35">
            <w:pPr>
              <w:pStyle w:val="TableText"/>
              <w:rPr>
                <w:rFonts w:cs="Arial"/>
              </w:rPr>
            </w:pPr>
            <w:r w:rsidRPr="0030545D">
              <w:rPr>
                <w:rFonts w:cs="Arial"/>
              </w:rPr>
              <w:t>AND</w:t>
            </w:r>
          </w:p>
          <w:p w14:paraId="5EFC9987" w14:textId="77777777" w:rsidR="00D418B0" w:rsidRPr="0030545D" w:rsidRDefault="00D418B0" w:rsidP="00403F35">
            <w:pPr>
              <w:pStyle w:val="TableText"/>
              <w:rPr>
                <w:rFonts w:cs="Arial"/>
              </w:rPr>
            </w:pPr>
            <w:r w:rsidRPr="0030545D">
              <w:rPr>
                <w:rFonts w:cs="Arial"/>
              </w:rPr>
              <w:t xml:space="preserve">Patient must have experienced an inadequate response, intolerance to tetrabenazine monotherapy or in combination with another agent </w:t>
            </w:r>
          </w:p>
          <w:p w14:paraId="1B9AADDB" w14:textId="77777777" w:rsidR="00D418B0" w:rsidRPr="0030545D" w:rsidRDefault="00D418B0" w:rsidP="00403F35">
            <w:pPr>
              <w:pStyle w:val="TableText"/>
              <w:rPr>
                <w:rFonts w:cs="Arial"/>
              </w:rPr>
            </w:pPr>
            <w:r w:rsidRPr="0030545D">
              <w:rPr>
                <w:rFonts w:cs="Arial"/>
              </w:rPr>
              <w:t xml:space="preserve">OR </w:t>
            </w:r>
          </w:p>
          <w:p w14:paraId="180C6DEC" w14:textId="77777777" w:rsidR="00D418B0" w:rsidRPr="0030545D" w:rsidRDefault="00D418B0" w:rsidP="00403F35">
            <w:pPr>
              <w:pStyle w:val="TableText"/>
              <w:rPr>
                <w:rFonts w:cs="Arial"/>
              </w:rPr>
            </w:pPr>
            <w:r w:rsidRPr="0030545D">
              <w:rPr>
                <w:rFonts w:cs="Arial"/>
              </w:rPr>
              <w:t>Patient was unable to achieve maximum effective dose with tetrabenazine due to adverse events.</w:t>
            </w:r>
          </w:p>
        </w:tc>
      </w:tr>
      <w:tr w:rsidR="00D418B0" w:rsidRPr="0030545D" w14:paraId="57150D46"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Height w:val="58"/>
        </w:trPr>
        <w:tc>
          <w:tcPr>
            <w:tcW w:w="2127" w:type="dxa"/>
            <w:gridSpan w:val="2"/>
            <w:tcBorders>
              <w:top w:val="single" w:sz="4" w:space="0" w:color="auto"/>
              <w:left w:val="single" w:sz="4" w:space="0" w:color="auto"/>
              <w:bottom w:val="single" w:sz="4" w:space="0" w:color="auto"/>
              <w:right w:val="single" w:sz="4" w:space="0" w:color="auto"/>
            </w:tcBorders>
          </w:tcPr>
          <w:p w14:paraId="00FDB7C4" w14:textId="77777777" w:rsidR="00D418B0" w:rsidRPr="0030545D" w:rsidRDefault="00D418B0" w:rsidP="00403F35">
            <w:pPr>
              <w:pStyle w:val="TableText"/>
              <w:rPr>
                <w:b/>
              </w:rPr>
            </w:pPr>
            <w:r w:rsidRPr="0030545D">
              <w:rPr>
                <w:b/>
              </w:rPr>
              <w:t>Population criteria:</w:t>
            </w:r>
          </w:p>
        </w:tc>
        <w:tc>
          <w:tcPr>
            <w:tcW w:w="6890" w:type="dxa"/>
            <w:gridSpan w:val="5"/>
            <w:tcBorders>
              <w:top w:val="single" w:sz="4" w:space="0" w:color="auto"/>
              <w:left w:val="single" w:sz="4" w:space="0" w:color="auto"/>
              <w:bottom w:val="single" w:sz="4" w:space="0" w:color="auto"/>
              <w:right w:val="single" w:sz="4" w:space="0" w:color="auto"/>
            </w:tcBorders>
          </w:tcPr>
          <w:p w14:paraId="207F84C4" w14:textId="77777777" w:rsidR="00D418B0" w:rsidRPr="0030545D" w:rsidRDefault="00D418B0" w:rsidP="00403F35">
            <w:pPr>
              <w:pStyle w:val="TableText"/>
            </w:pPr>
            <w:r w:rsidRPr="0030545D">
              <w:t>Patient must be aged 18 years or older.</w:t>
            </w:r>
          </w:p>
        </w:tc>
      </w:tr>
      <w:tr w:rsidR="00D418B0" w:rsidRPr="0030545D" w14:paraId="61AAED1F"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5DAB1301" w14:textId="77777777" w:rsidR="00D418B0" w:rsidRPr="0030545D" w:rsidRDefault="00D418B0" w:rsidP="00403F35">
            <w:pPr>
              <w:pStyle w:val="TableText"/>
              <w:rPr>
                <w:b/>
              </w:rPr>
            </w:pPr>
            <w:r w:rsidRPr="0030545D">
              <w:rPr>
                <w:b/>
              </w:rPr>
              <w:t>Administrative Advice:</w:t>
            </w:r>
          </w:p>
        </w:tc>
        <w:tc>
          <w:tcPr>
            <w:tcW w:w="6890" w:type="dxa"/>
            <w:gridSpan w:val="5"/>
            <w:tcBorders>
              <w:top w:val="single" w:sz="4" w:space="0" w:color="auto"/>
              <w:left w:val="single" w:sz="4" w:space="0" w:color="auto"/>
              <w:bottom w:val="single" w:sz="4" w:space="0" w:color="auto"/>
              <w:right w:val="single" w:sz="4" w:space="0" w:color="auto"/>
            </w:tcBorders>
          </w:tcPr>
          <w:p w14:paraId="0704E3FC" w14:textId="77777777" w:rsidR="00D418B0" w:rsidRPr="0030545D" w:rsidRDefault="00D418B0" w:rsidP="00403F35">
            <w:pPr>
              <w:pStyle w:val="TableText"/>
            </w:pPr>
            <w:r w:rsidRPr="0030545D">
              <w:t>After initial script nurse practitioner prescribing should be permitted.</w:t>
            </w:r>
          </w:p>
        </w:tc>
      </w:tr>
      <w:tr w:rsidR="00D418B0" w:rsidRPr="0030545D" w14:paraId="17D6CF5D" w14:textId="77777777" w:rsidTr="00C7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9" w:type="dxa"/>
          <w:cantSplit/>
        </w:trPr>
        <w:tc>
          <w:tcPr>
            <w:tcW w:w="2127" w:type="dxa"/>
            <w:gridSpan w:val="2"/>
            <w:tcBorders>
              <w:top w:val="single" w:sz="4" w:space="0" w:color="auto"/>
              <w:left w:val="single" w:sz="4" w:space="0" w:color="auto"/>
              <w:bottom w:val="single" w:sz="4" w:space="0" w:color="auto"/>
              <w:right w:val="single" w:sz="4" w:space="0" w:color="auto"/>
            </w:tcBorders>
          </w:tcPr>
          <w:p w14:paraId="7557AF67" w14:textId="77777777" w:rsidR="00D418B0" w:rsidRPr="0030545D" w:rsidRDefault="00D418B0" w:rsidP="00403F35">
            <w:pPr>
              <w:pStyle w:val="TableText"/>
              <w:rPr>
                <w:b/>
              </w:rPr>
            </w:pPr>
            <w:r w:rsidRPr="0030545D">
              <w:rPr>
                <w:b/>
              </w:rPr>
              <w:t>Cautions:</w:t>
            </w:r>
          </w:p>
        </w:tc>
        <w:tc>
          <w:tcPr>
            <w:tcW w:w="6890" w:type="dxa"/>
            <w:gridSpan w:val="5"/>
            <w:tcBorders>
              <w:top w:val="single" w:sz="4" w:space="0" w:color="auto"/>
              <w:left w:val="single" w:sz="4" w:space="0" w:color="auto"/>
              <w:bottom w:val="single" w:sz="4" w:space="0" w:color="auto"/>
              <w:right w:val="single" w:sz="4" w:space="0" w:color="auto"/>
            </w:tcBorders>
          </w:tcPr>
          <w:p w14:paraId="3FF0E6E6" w14:textId="77777777" w:rsidR="00D418B0" w:rsidRPr="0030545D" w:rsidRDefault="00D418B0" w:rsidP="00403F35">
            <w:pPr>
              <w:pStyle w:val="TableText"/>
            </w:pPr>
            <w:r w:rsidRPr="0030545D">
              <w:t>See PI</w:t>
            </w:r>
          </w:p>
        </w:tc>
      </w:tr>
    </w:tbl>
    <w:p w14:paraId="26DDD30A" w14:textId="77777777" w:rsidR="00B60939" w:rsidRPr="0030545D" w:rsidRDefault="00D418B0" w:rsidP="00403F35">
      <w:pPr>
        <w:pStyle w:val="TableFigureFooter"/>
      </w:pPr>
      <w:r w:rsidRPr="0030545D">
        <w:t xml:space="preserve">Source: Table 1-10, Table 1-13 of the submission </w:t>
      </w:r>
    </w:p>
    <w:p w14:paraId="26F5FF93" w14:textId="77777777" w:rsidR="00403F35" w:rsidRPr="0030545D" w:rsidRDefault="00403F35" w:rsidP="004E18E9">
      <w:pPr>
        <w:pStyle w:val="ExecSumBodyText"/>
      </w:pPr>
      <w:r w:rsidRPr="0030545D">
        <w:t xml:space="preserve">The submission proposed a Special Pricing Arrangement for deutetrabenazine consisting of a </w:t>
      </w:r>
      <w:r w:rsidR="00916E6D">
        <w:rPr>
          <w:noProof/>
          <w:color w:val="000000"/>
          <w:highlight w:val="black"/>
        </w:rPr>
        <w:t>'''''</w:t>
      </w:r>
      <w:r w:rsidRPr="0030545D">
        <w:t>-</w:t>
      </w:r>
      <w:r w:rsidR="00916E6D">
        <w:rPr>
          <w:noProof/>
          <w:color w:val="000000"/>
          <w:highlight w:val="black"/>
        </w:rPr>
        <w:t>''''''</w:t>
      </w:r>
      <w:r w:rsidRPr="0030545D">
        <w:t>% rebate on the published DPMQ per script.</w:t>
      </w:r>
    </w:p>
    <w:p w14:paraId="465A752E" w14:textId="77777777" w:rsidR="00403F35" w:rsidRPr="0030545D" w:rsidRDefault="00403F35" w:rsidP="00403F35">
      <w:pPr>
        <w:pStyle w:val="ExecSumBodyText"/>
        <w:rPr>
          <w:iCs/>
        </w:rPr>
      </w:pPr>
      <w:r w:rsidRPr="0030545D">
        <w:t xml:space="preserve">The submission acknowledged that the proposed PBS restriction for subsequent-line treatment of chorea is narrower than the requested TGA indication which does not specify lines of therapy. The submission stated that the decision to limit PBS treatment to a </w:t>
      </w:r>
      <w:r w:rsidR="006A6BF7" w:rsidRPr="0030545D">
        <w:t>subsequent-line</w:t>
      </w:r>
      <w:r w:rsidRPr="0030545D">
        <w:t xml:space="preserve"> setting was made due to economic reasons. </w:t>
      </w:r>
      <w:r w:rsidRPr="0030545D">
        <w:rPr>
          <w:iCs/>
        </w:rPr>
        <w:t xml:space="preserve">The proposed </w:t>
      </w:r>
      <w:r w:rsidRPr="0030545D">
        <w:rPr>
          <w:iCs/>
        </w:rPr>
        <w:lastRenderedPageBreak/>
        <w:t>restriction was inconsistent with the clinical evidence provided in the submission which was primarily based on a first-line treatment setting.</w:t>
      </w:r>
    </w:p>
    <w:p w14:paraId="174E4A31" w14:textId="77777777" w:rsidR="00403F35" w:rsidRPr="0030545D" w:rsidRDefault="00403F35" w:rsidP="00403F35">
      <w:pPr>
        <w:pStyle w:val="ExecSumBodyText"/>
        <w:rPr>
          <w:iCs/>
        </w:rPr>
      </w:pPr>
      <w:r w:rsidRPr="0030545D">
        <w:rPr>
          <w:iCs/>
        </w:rPr>
        <w:t xml:space="preserve">It </w:t>
      </w:r>
      <w:r w:rsidR="00A30CB4" w:rsidRPr="0030545D">
        <w:rPr>
          <w:iCs/>
        </w:rPr>
        <w:t>wa</w:t>
      </w:r>
      <w:r w:rsidRPr="0030545D">
        <w:rPr>
          <w:iCs/>
        </w:rPr>
        <w:t xml:space="preserve">s unclear </w:t>
      </w:r>
      <w:r w:rsidR="00A30CB4" w:rsidRPr="0030545D">
        <w:rPr>
          <w:iCs/>
        </w:rPr>
        <w:t xml:space="preserve">how </w:t>
      </w:r>
      <w:r w:rsidRPr="0030545D">
        <w:rPr>
          <w:iCs/>
        </w:rPr>
        <w:t>deutetrabenazine use under the PBS could be effectively restricted to subsequent-line treatment given that the available data support first-line treatment and the proposed criteria are highly subjective with no well accepted definitions of response and intolerance</w:t>
      </w:r>
      <w:r w:rsidR="00F40234" w:rsidRPr="0030545D">
        <w:rPr>
          <w:iCs/>
        </w:rPr>
        <w:t xml:space="preserve"> to prior treatment</w:t>
      </w:r>
      <w:r w:rsidRPr="0030545D">
        <w:rPr>
          <w:iCs/>
        </w:rPr>
        <w:t>. As a consequence, the risk of leakage outside the proposed listing is likely to be high.</w:t>
      </w:r>
      <w:r w:rsidR="00413B3D" w:rsidRPr="0030545D">
        <w:rPr>
          <w:iCs/>
        </w:rPr>
        <w:t xml:space="preserve"> The ESC advised that </w:t>
      </w:r>
      <w:r w:rsidR="00413B3D" w:rsidRPr="0030545D">
        <w:t xml:space="preserve">substantial drift to </w:t>
      </w:r>
      <w:r w:rsidR="006A6BF7" w:rsidRPr="0030545D">
        <w:t>first-line</w:t>
      </w:r>
      <w:r w:rsidR="00413B3D" w:rsidRPr="0030545D">
        <w:t xml:space="preserve"> use would be expected in clinical practice.</w:t>
      </w:r>
    </w:p>
    <w:p w14:paraId="31810388" w14:textId="77777777" w:rsidR="00BB318C" w:rsidRPr="0030545D" w:rsidRDefault="00DB3D0C" w:rsidP="00403F35">
      <w:pPr>
        <w:pStyle w:val="ExecSumBodyText"/>
        <w:rPr>
          <w:iCs/>
        </w:rPr>
      </w:pPr>
      <w:r w:rsidRPr="0030545D">
        <w:rPr>
          <w:iCs/>
        </w:rPr>
        <w:t>The proposed restriction also included requirements for patients with concurrent behavioural conditions to have previously failed antipsychotic therapy</w:t>
      </w:r>
      <w:r w:rsidR="00BB318C" w:rsidRPr="0030545D">
        <w:rPr>
          <w:iCs/>
        </w:rPr>
        <w:t xml:space="preserve">. Additionally, the proposed restriction was agnostic regarding the potential use of deutetrabenazine in combination with antipsychotic therapy. </w:t>
      </w:r>
      <w:r w:rsidR="00993AF4" w:rsidRPr="0030545D">
        <w:rPr>
          <w:iCs/>
        </w:rPr>
        <w:t>However, neither of these indications was adequately supported in the submission.</w:t>
      </w:r>
    </w:p>
    <w:p w14:paraId="3D71480E" w14:textId="77777777" w:rsidR="007D38E1" w:rsidRPr="0030545D" w:rsidRDefault="000F6C24" w:rsidP="007D38E1">
      <w:pPr>
        <w:pStyle w:val="ExecSumBodyText"/>
        <w:rPr>
          <w:iCs/>
        </w:rPr>
      </w:pPr>
      <w:r w:rsidRPr="0030545D">
        <w:t xml:space="preserve">The Pre-Sub-Committee Response (PSCR) argued there was an unmet need for new chorea-specific treatments for patients to transition to as their condition deteriorates and proposed amended restriction wording. The ESC agreed with the </w:t>
      </w:r>
      <w:r w:rsidR="00A30CB4" w:rsidRPr="0030545D">
        <w:t xml:space="preserve">evaluation </w:t>
      </w:r>
      <w:r w:rsidRPr="0030545D">
        <w:t>and considered the proposed placement of deutetrabenazine as second</w:t>
      </w:r>
      <w:r w:rsidR="00A30CB4" w:rsidRPr="0030545D">
        <w:t>-</w:t>
      </w:r>
      <w:r w:rsidRPr="0030545D">
        <w:t xml:space="preserve"> or third</w:t>
      </w:r>
      <w:r w:rsidR="00A30CB4" w:rsidRPr="0030545D">
        <w:t>-</w:t>
      </w:r>
      <w:r w:rsidRPr="0030545D">
        <w:t>line therapy, and therefore the requested listing, was inappropriate.</w:t>
      </w:r>
      <w:r w:rsidR="00053F3E" w:rsidRPr="0030545D">
        <w:t xml:space="preserve"> The Pre-PBAC Response proposed a further restricted PBS listing to only those who cannot tolerate or titrate a maximally effective to tetrabenazine, with more stringent requirements regarding TMC improvements for continuing treatment. The PBAC considered this proposal did not address the issue that the most appropriate clinical place of deutetrabenazine was as a first</w:t>
      </w:r>
      <w:r w:rsidR="00A30CB4" w:rsidRPr="0030545D">
        <w:t>-</w:t>
      </w:r>
      <w:r w:rsidR="00053F3E" w:rsidRPr="0030545D">
        <w:t>line treatment option for chorea associated with HD.</w:t>
      </w:r>
      <w:r w:rsidRPr="0030545D">
        <w:t xml:space="preserve"> </w:t>
      </w:r>
    </w:p>
    <w:p w14:paraId="3DE61E26" w14:textId="77777777" w:rsidR="007D38E1" w:rsidRPr="0030545D" w:rsidRDefault="007D38E1" w:rsidP="007D38E1">
      <w:pPr>
        <w:pStyle w:val="ListParagraph"/>
        <w:ind w:left="709"/>
        <w:rPr>
          <w:rFonts w:asciiTheme="minorHAnsi" w:hAnsiTheme="minorHAnsi"/>
          <w:i/>
        </w:rPr>
      </w:pPr>
      <w:r w:rsidRPr="0030545D">
        <w:rPr>
          <w:rFonts w:asciiTheme="minorHAnsi" w:hAnsiTheme="minorHAnsi"/>
          <w:i/>
        </w:rPr>
        <w:t>For more detail on PBAC’s view, see section 7 PBAC outcome.</w:t>
      </w:r>
    </w:p>
    <w:p w14:paraId="401F6235" w14:textId="77777777" w:rsidR="00B50DB8" w:rsidRPr="0030545D" w:rsidRDefault="00203181" w:rsidP="004E18E9">
      <w:pPr>
        <w:pStyle w:val="2-SectionHeading"/>
      </w:pPr>
      <w:bookmarkStart w:id="9" w:name="_Toc61940989"/>
      <w:r w:rsidRPr="0030545D">
        <w:t xml:space="preserve">Population and </w:t>
      </w:r>
      <w:r w:rsidR="008E0D3C" w:rsidRPr="0030545D">
        <w:t>d</w:t>
      </w:r>
      <w:r w:rsidRPr="0030545D">
        <w:t>isease</w:t>
      </w:r>
      <w:bookmarkEnd w:id="9"/>
    </w:p>
    <w:p w14:paraId="0F077342" w14:textId="77777777" w:rsidR="00403F35" w:rsidRPr="0030545D" w:rsidRDefault="00403F35" w:rsidP="004E18E9">
      <w:pPr>
        <w:pStyle w:val="ExecSumBodyText"/>
      </w:pPr>
      <w:r w:rsidRPr="0030545D">
        <w:t>Huntington’s disease is an autosomal dominant genetic disorder caused by an expansion of the cytosine-adenine-guanine (CAG) trinucleotide repeat in the huntingtin gene. The exact pathophysiology associated with the mutation is unclear but the disease results in a gradual loss of neuronal cells.</w:t>
      </w:r>
    </w:p>
    <w:p w14:paraId="2BDD62F3" w14:textId="77777777" w:rsidR="00403F35" w:rsidRPr="0030545D" w:rsidRDefault="00403F35" w:rsidP="00403F35">
      <w:pPr>
        <w:pStyle w:val="ExecSumBodyText"/>
      </w:pPr>
      <w:r w:rsidRPr="0030545D">
        <w:t>Huntington’s disease is a slowly progressive condition with symptom onset typically occurring between 30-50 years of age. The disease is associated with a broad range of symptoms affecting motor function, cognitive ability and behaviour. Symptoms of the disease gradually worsen over time with loss of independence and poor quality of life in the advanced stages of the disease. Huntington’s disease is generally associated with reduced life expectancy due to progression of symptoms and a high risk of suicide in the patient population.</w:t>
      </w:r>
    </w:p>
    <w:p w14:paraId="6729D20D" w14:textId="77777777" w:rsidR="00403F35" w:rsidRPr="0030545D" w:rsidRDefault="00403F35" w:rsidP="00403F35">
      <w:pPr>
        <w:pStyle w:val="ExecSumBodyText"/>
      </w:pPr>
      <w:r w:rsidRPr="0030545D">
        <w:t xml:space="preserve">Chorea is one of the more prominent symptoms of Huntington’s disease and is characterised by irregular involuntary movements with variable speed, timing, and direction that appear to “flow” between muscles. Mild cases of chorea may give the </w:t>
      </w:r>
      <w:r w:rsidRPr="0030545D">
        <w:lastRenderedPageBreak/>
        <w:t>appearance of fidgeting and/or restlessness while more severe symptoms may be associated with impairments to speech, swallowing, sleep, balance and functional capacity. The presence of chorea symptoms may also contribute to feelings of social stigma that are frequently associated with Huntington’s disease. In general, chorea symptoms become less prominent with more advanced Huntington’s disease as other symptoms become more severe.</w:t>
      </w:r>
    </w:p>
    <w:p w14:paraId="4A6C2B64" w14:textId="77777777" w:rsidR="00403F35" w:rsidRPr="0030545D" w:rsidRDefault="00403F35" w:rsidP="00403F35">
      <w:pPr>
        <w:pStyle w:val="ExecSumBodyText"/>
      </w:pPr>
      <w:r w:rsidRPr="0030545D">
        <w:t>In clinical practice, chorea symptoms are typically treated if the symptoms become troublesome to the patient and/or carer (patients may be unaware of the severity of their symptoms). The current standard of care involves the use of tetrabenazine and/or off-label antipsychotic medications (such as olanzapine, risperidone and haloperidol) with the preferred choice of therapy varying based on the presence of concurrent behavioural conditions. The mechanism of action for both tetrabenazine and antipsychotic medications is thought to be due to reduced dopamine transmission in the central nervous system.</w:t>
      </w:r>
    </w:p>
    <w:p w14:paraId="32C98008" w14:textId="77777777" w:rsidR="00403F35" w:rsidRPr="0030545D" w:rsidRDefault="00403F35" w:rsidP="00403F35">
      <w:pPr>
        <w:pStyle w:val="ExecSumBodyText"/>
      </w:pPr>
      <w:r w:rsidRPr="0030545D">
        <w:t>Deutetrabenazine is a modified version</w:t>
      </w:r>
      <w:r w:rsidR="00542800" w:rsidRPr="0030545D">
        <w:t xml:space="preserve"> (isotopic isomer)</w:t>
      </w:r>
      <w:r w:rsidRPr="0030545D">
        <w:t xml:space="preserve"> of tetrabenazine with deuterium (“heavy” hydrogen with one additional neutron) replacing hydrogen atoms in the molecule. It has the same mechanism of action as tetrabenazine with both molecules depleting dopamine and other monoamines in the central nervous system via inhibition of the presynaptic vesicular monoamine transporter 2 protein (VMAT-2).</w:t>
      </w:r>
    </w:p>
    <w:p w14:paraId="7741918A" w14:textId="77777777" w:rsidR="00403F35" w:rsidRPr="0030545D" w:rsidRDefault="00403F35" w:rsidP="00403F35">
      <w:pPr>
        <w:pStyle w:val="ExecSumBodyText"/>
      </w:pPr>
      <w:r w:rsidRPr="0030545D">
        <w:t>The deuteration process results in changes to the pharmacokinetic profile of deutetrabenazine compared to tetrabenazine (prolonged half-life with smaller peak/trough fluctuations). The submission claimed that these differences potentially allow for less frequent dosing and improved tolerability.</w:t>
      </w:r>
    </w:p>
    <w:p w14:paraId="297944C9" w14:textId="77777777" w:rsidR="00403F35" w:rsidRPr="0030545D" w:rsidRDefault="00403F35" w:rsidP="00403F35">
      <w:pPr>
        <w:pStyle w:val="ExecSumBodyText"/>
      </w:pPr>
      <w:r w:rsidRPr="0030545D">
        <w:t xml:space="preserve">In patients without concurrent behavioural conditions, the submission positioned deutetrabenazine as a second-line treatment option in patients who have failed prior therapy with tetrabenazine. In the current management algorithm, the most commonly used treatment in this line of therapy is tetrabenazine with antipsychotic combination therapy. </w:t>
      </w:r>
    </w:p>
    <w:p w14:paraId="2C508AFE" w14:textId="77777777" w:rsidR="00403F35" w:rsidRPr="0030545D" w:rsidRDefault="00403F35" w:rsidP="00403F35">
      <w:pPr>
        <w:pStyle w:val="ExecSumBodyText"/>
      </w:pPr>
      <w:r w:rsidRPr="0030545D">
        <w:t>In patients with concurrent behavioural conditions, the submission positioned deutetrabenazine as a third-line treatment option in patients who have failed prior therapy with anti-psychotic medications and tetrabenazine. There was no clearly established treatment at this line of therapy in the current management algorithm but alternatives include cycling between anti-psychotic treatments, addition of anti-anxiety treatments and referral to rehabilitation specialists.</w:t>
      </w:r>
    </w:p>
    <w:p w14:paraId="28F1000D" w14:textId="77777777" w:rsidR="007D38E1" w:rsidRPr="0030545D" w:rsidRDefault="00403F35" w:rsidP="007D38E1">
      <w:pPr>
        <w:pStyle w:val="ExecSumBodyText"/>
        <w:rPr>
          <w:iCs/>
        </w:rPr>
      </w:pPr>
      <w:r w:rsidRPr="0030545D">
        <w:t xml:space="preserve">The submission stated that deutetrabenazine was positioned as a </w:t>
      </w:r>
      <w:r w:rsidR="006A6BF7" w:rsidRPr="0030545D">
        <w:t>subsequent-line</w:t>
      </w:r>
      <w:r w:rsidRPr="0030545D">
        <w:t xml:space="preserve"> therapy after prior use of tetrabenazine due to economic considerations. However, the submission also argued that there was a clinical rationale for subsequent-line use, as patients failing to achieve a response at a tolerable dose of tetrabenazine may be able to achieve a response with deutetrabenazine due to a more favourable tolerability profile. </w:t>
      </w:r>
      <w:r w:rsidRPr="0030545D">
        <w:rPr>
          <w:iCs/>
        </w:rPr>
        <w:t xml:space="preserve">No evidence was provided in the submission to support this claim. </w:t>
      </w:r>
      <w:r w:rsidRPr="0030545D">
        <w:rPr>
          <w:iCs/>
        </w:rPr>
        <w:lastRenderedPageBreak/>
        <w:t>Published indirect analyses of tetrabenazine and deutetrabenazine considered during the evaluation appeared to weakly support the claim of improved tolerability in the first-line treatment setting. However, there are no clinical data to inform efficacy and safety estimates in a subsequent-line treatment setting (given the shared mechanism of action between the two therapies it is unlikely that first-line treatment estimates would be representative of second-line use).</w:t>
      </w:r>
    </w:p>
    <w:p w14:paraId="409BBB07" w14:textId="77777777" w:rsidR="007D38E1" w:rsidRPr="0030545D" w:rsidRDefault="007D38E1" w:rsidP="007D38E1">
      <w:pPr>
        <w:pStyle w:val="ListParagraph"/>
        <w:ind w:left="709"/>
        <w:rPr>
          <w:rFonts w:asciiTheme="minorHAnsi" w:hAnsiTheme="minorHAnsi"/>
          <w:i/>
        </w:rPr>
      </w:pPr>
      <w:r w:rsidRPr="0030545D">
        <w:rPr>
          <w:rFonts w:asciiTheme="minorHAnsi" w:hAnsiTheme="minorHAnsi"/>
          <w:i/>
        </w:rPr>
        <w:t>For more detail on PBAC’s view, see section 7 PBAC outcome.</w:t>
      </w:r>
    </w:p>
    <w:p w14:paraId="3162E03F" w14:textId="77777777" w:rsidR="00B50DB8" w:rsidRPr="0030545D" w:rsidRDefault="00B50DB8" w:rsidP="004E18E9">
      <w:pPr>
        <w:pStyle w:val="2-SectionHeading"/>
      </w:pPr>
      <w:bookmarkStart w:id="10" w:name="_Toc61940990"/>
      <w:r w:rsidRPr="0030545D">
        <w:t>Comparator</w:t>
      </w:r>
      <w:bookmarkEnd w:id="10"/>
    </w:p>
    <w:p w14:paraId="3941AF86" w14:textId="77777777" w:rsidR="00403F35" w:rsidRPr="0030545D" w:rsidRDefault="00403F35" w:rsidP="00882E3C">
      <w:pPr>
        <w:pStyle w:val="ExecSumBodyText"/>
        <w:rPr>
          <w:snapToGrid/>
        </w:rPr>
      </w:pPr>
      <w:r w:rsidRPr="0030545D">
        <w:rPr>
          <w:snapToGrid/>
        </w:rPr>
        <w:t>The submission nominated placebo as the main comparator. The main arguments provided in support of this nomination were the lack of other registered treatment options for chorea in the subsequent-line setting and the limited evidence for the off-label use of other therapies.</w:t>
      </w:r>
    </w:p>
    <w:p w14:paraId="27F76AF8" w14:textId="77777777" w:rsidR="00403F35" w:rsidRPr="0030545D" w:rsidRDefault="00403F35" w:rsidP="00403F35">
      <w:pPr>
        <w:pStyle w:val="ExecSumBodyText"/>
        <w:rPr>
          <w:iCs/>
          <w:snapToGrid/>
        </w:rPr>
      </w:pPr>
      <w:r w:rsidRPr="0030545D">
        <w:rPr>
          <w:iCs/>
          <w:snapToGrid/>
        </w:rPr>
        <w:t>The appropriate main comparator will depend on line of therapy.</w:t>
      </w:r>
    </w:p>
    <w:p w14:paraId="59CF63EA" w14:textId="77777777" w:rsidR="00403F35" w:rsidRPr="0030545D" w:rsidRDefault="00403F35" w:rsidP="00403F35">
      <w:pPr>
        <w:pStyle w:val="ExecSumBodyText"/>
        <w:rPr>
          <w:iCs/>
          <w:snapToGrid/>
        </w:rPr>
      </w:pPr>
      <w:r w:rsidRPr="0030545D">
        <w:rPr>
          <w:iCs/>
          <w:snapToGrid/>
        </w:rPr>
        <w:t>In the subsequent-line setting, the nomination of a placebo comparator was inconsistent with the clinical advice provided with the submission which suggested that most patients continue to receive active therapy, primarily tetrabenazine with antipsychotic combination therapy. Additionally, the argument to exclude other off-label therapies due to lack of evidence was poorly supported given that there is no clear evidence for deutetrabenazine in the subsequent-line treatment setting.</w:t>
      </w:r>
    </w:p>
    <w:p w14:paraId="0438EE37" w14:textId="77777777" w:rsidR="007D38E1" w:rsidRPr="0030545D" w:rsidRDefault="00403F35" w:rsidP="007D38E1">
      <w:pPr>
        <w:pStyle w:val="ExecSumBodyText"/>
        <w:rPr>
          <w:iCs/>
          <w:snapToGrid/>
        </w:rPr>
      </w:pPr>
      <w:r w:rsidRPr="0030545D">
        <w:rPr>
          <w:iCs/>
          <w:snapToGrid/>
        </w:rPr>
        <w:t>In the first-line setting, the therapy most likely to be replaced in practice would be tetrabenazine, a pharmacological analogue of deutetrabenazine.</w:t>
      </w:r>
      <w:r w:rsidR="00FE0856" w:rsidRPr="0030545D">
        <w:rPr>
          <w:iCs/>
          <w:snapToGrid/>
        </w:rPr>
        <w:t xml:space="preserve"> The ESC</w:t>
      </w:r>
      <w:r w:rsidR="00232838" w:rsidRPr="0030545D">
        <w:rPr>
          <w:iCs/>
          <w:snapToGrid/>
        </w:rPr>
        <w:t xml:space="preserve"> and PBAC</w:t>
      </w:r>
      <w:r w:rsidR="00FE0856" w:rsidRPr="0030545D">
        <w:rPr>
          <w:iCs/>
          <w:snapToGrid/>
        </w:rPr>
        <w:t xml:space="preserve"> agreed that as listing in a first line setting was a more appropriate place for deutetrabenazine, tetrabenazine was the most appropriate comparator.</w:t>
      </w:r>
    </w:p>
    <w:p w14:paraId="17175E2B" w14:textId="77777777" w:rsidR="007D38E1" w:rsidRPr="0030545D" w:rsidRDefault="007D38E1" w:rsidP="007D38E1">
      <w:pPr>
        <w:pStyle w:val="ListParagraph"/>
        <w:ind w:left="709"/>
        <w:rPr>
          <w:rFonts w:asciiTheme="minorHAnsi" w:hAnsiTheme="minorHAnsi"/>
          <w:i/>
        </w:rPr>
      </w:pPr>
      <w:r w:rsidRPr="0030545D">
        <w:rPr>
          <w:rFonts w:asciiTheme="minorHAnsi" w:hAnsiTheme="minorHAnsi"/>
          <w:i/>
        </w:rPr>
        <w:t>For more detail on PBAC’s view, see section 7 PBAC outcome.</w:t>
      </w:r>
    </w:p>
    <w:p w14:paraId="76845536" w14:textId="77777777" w:rsidR="00223D5A" w:rsidRPr="0030545D" w:rsidRDefault="00223D5A" w:rsidP="00223D5A">
      <w:pPr>
        <w:pStyle w:val="2-SectionHeading"/>
        <w:numPr>
          <w:ilvl w:val="0"/>
          <w:numId w:val="1"/>
        </w:numPr>
      </w:pPr>
      <w:bookmarkStart w:id="11" w:name="_Toc61940991"/>
      <w:bookmarkStart w:id="12" w:name="_Toc22897640"/>
      <w:r w:rsidRPr="0030545D">
        <w:t>Consideration of the evidence</w:t>
      </w:r>
      <w:bookmarkEnd w:id="11"/>
    </w:p>
    <w:p w14:paraId="4DC5DE4B" w14:textId="77777777" w:rsidR="007D38E1" w:rsidRPr="0030545D" w:rsidRDefault="007D38E1" w:rsidP="003928F3">
      <w:pPr>
        <w:pStyle w:val="3-SubsectionHeading"/>
        <w:rPr>
          <w:snapToGrid w:val="0"/>
        </w:rPr>
      </w:pPr>
      <w:bookmarkStart w:id="13" w:name="_Toc61940992"/>
      <w:r w:rsidRPr="0030545D">
        <w:rPr>
          <w:snapToGrid w:val="0"/>
        </w:rPr>
        <w:t>Sponsor hearing</w:t>
      </w:r>
    </w:p>
    <w:p w14:paraId="3AEDCFD1" w14:textId="77777777" w:rsidR="007D38E1" w:rsidRPr="0030545D" w:rsidRDefault="00F25EC9" w:rsidP="007D38E1">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 xml:space="preserve">The sponsor requested a hearing for this item. </w:t>
      </w:r>
      <w:r w:rsidR="00980891" w:rsidRPr="0030545D">
        <w:rPr>
          <w:rFonts w:asciiTheme="minorHAnsi" w:hAnsiTheme="minorHAnsi"/>
          <w:bCs/>
          <w:snapToGrid w:val="0"/>
        </w:rPr>
        <w:t>In line with the submission’s clinical positioning, t</w:t>
      </w:r>
      <w:r w:rsidRPr="0030545D">
        <w:rPr>
          <w:rFonts w:asciiTheme="minorHAnsi" w:hAnsiTheme="minorHAnsi"/>
          <w:bCs/>
          <w:snapToGrid w:val="0"/>
        </w:rPr>
        <w:t>he clinician noted there are limited therapeutic options for chorea in HD following failure with or an inability to tolerate tetrabenazine and argued deutetrabenazine represents a significant advance in treatment options for chorea symptoms that offers a better tolerability and adverse event profile than tetrabenazine.</w:t>
      </w:r>
    </w:p>
    <w:p w14:paraId="504A6655" w14:textId="77777777" w:rsidR="007D38E1" w:rsidRPr="0030545D" w:rsidRDefault="007D38E1" w:rsidP="00C247E8">
      <w:pPr>
        <w:widowControl w:val="0"/>
        <w:spacing w:before="240" w:line="276" w:lineRule="auto"/>
        <w:outlineLvl w:val="1"/>
        <w:rPr>
          <w:rFonts w:asciiTheme="minorHAnsi" w:hAnsiTheme="minorHAnsi"/>
          <w:b/>
          <w:bCs/>
          <w:i/>
          <w:snapToGrid w:val="0"/>
          <w:sz w:val="28"/>
          <w:szCs w:val="28"/>
        </w:rPr>
      </w:pPr>
      <w:r w:rsidRPr="0030545D">
        <w:rPr>
          <w:rFonts w:asciiTheme="minorHAnsi" w:hAnsiTheme="minorHAnsi"/>
          <w:b/>
          <w:bCs/>
          <w:i/>
          <w:snapToGrid w:val="0"/>
          <w:sz w:val="28"/>
          <w:szCs w:val="28"/>
        </w:rPr>
        <w:t>Consumer comments</w:t>
      </w:r>
    </w:p>
    <w:p w14:paraId="5144A9D0" w14:textId="77777777" w:rsidR="007D38E1" w:rsidRPr="0030545D" w:rsidRDefault="00C247E8" w:rsidP="007D38E1">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 xml:space="preserve">The PBAC noted and welcomed the input from consumers (2) and the Coalition of Australian Huntington’s Associations in support of the listing. The PBAC noted the individuals and organisations highlighted impact of </w:t>
      </w:r>
      <w:r w:rsidR="00F25EC9" w:rsidRPr="0030545D">
        <w:rPr>
          <w:rFonts w:asciiTheme="minorHAnsi" w:hAnsiTheme="minorHAnsi"/>
          <w:bCs/>
          <w:snapToGrid w:val="0"/>
        </w:rPr>
        <w:t>HD</w:t>
      </w:r>
      <w:r w:rsidRPr="0030545D">
        <w:rPr>
          <w:rFonts w:asciiTheme="minorHAnsi" w:hAnsiTheme="minorHAnsi"/>
          <w:bCs/>
          <w:snapToGrid w:val="0"/>
        </w:rPr>
        <w:t xml:space="preserve"> on patients and families and </w:t>
      </w:r>
      <w:r w:rsidRPr="0030545D">
        <w:rPr>
          <w:rFonts w:asciiTheme="minorHAnsi" w:hAnsiTheme="minorHAnsi"/>
          <w:bCs/>
          <w:snapToGrid w:val="0"/>
        </w:rPr>
        <w:lastRenderedPageBreak/>
        <w:t>noted the improved tolerability and adverse event profile of deutetrabenazine</w:t>
      </w:r>
      <w:r w:rsidR="007D38E1" w:rsidRPr="0030545D">
        <w:rPr>
          <w:rFonts w:asciiTheme="minorHAnsi" w:hAnsiTheme="minorHAnsi"/>
          <w:bCs/>
          <w:snapToGrid w:val="0"/>
        </w:rPr>
        <w:t xml:space="preserve"> </w:t>
      </w:r>
      <w:r w:rsidRPr="0030545D">
        <w:rPr>
          <w:rFonts w:asciiTheme="minorHAnsi" w:hAnsiTheme="minorHAnsi"/>
          <w:bCs/>
          <w:snapToGrid w:val="0"/>
        </w:rPr>
        <w:t xml:space="preserve">makes it a useful treatment for chorea and that some patients will see improvements in quality of life while on treatment. The PBAC specifically noted the input of a patient being treated with deutetrabenazine who explained that deutetrabenazine has provided better symptom control and improved quality of life as the drug does not wear off in the same way as tetrabenazine, allowing for longer periods of </w:t>
      </w:r>
      <w:r w:rsidR="00F25EC9" w:rsidRPr="0030545D">
        <w:rPr>
          <w:rFonts w:asciiTheme="minorHAnsi" w:hAnsiTheme="minorHAnsi"/>
          <w:bCs/>
          <w:snapToGrid w:val="0"/>
        </w:rPr>
        <w:t>consistent physical functioning and reduced social anxiety.</w:t>
      </w:r>
    </w:p>
    <w:p w14:paraId="52336FB8" w14:textId="77777777" w:rsidR="00B60939" w:rsidRPr="0030545D" w:rsidRDefault="00B60939" w:rsidP="002E4F02">
      <w:pPr>
        <w:pStyle w:val="3-SubsectionHeading"/>
      </w:pPr>
      <w:r w:rsidRPr="0030545D">
        <w:t xml:space="preserve">Clinical </w:t>
      </w:r>
      <w:r w:rsidR="00D5243B" w:rsidRPr="0030545D">
        <w:t>studies</w:t>
      </w:r>
      <w:bookmarkEnd w:id="12"/>
      <w:bookmarkEnd w:id="13"/>
    </w:p>
    <w:p w14:paraId="1A51D9E9" w14:textId="77777777" w:rsidR="003F73BD" w:rsidRPr="0030545D" w:rsidRDefault="003F73BD" w:rsidP="003F73BD">
      <w:pPr>
        <w:pStyle w:val="ExecSumBodyText"/>
      </w:pPr>
      <w:r w:rsidRPr="0030545D">
        <w:t xml:space="preserve">The submission was based on one head-to-head randomised trial comparing deutetrabenazine to placebo for the management of chorea associated with Huntington’s disease (FIRST-HD). The submission also presented an observational study of two population cohorts; patients continuing in an open-label extension of the FIRST-HD trial (ARC-HD-ROLLOVER) and stable patients switching from tetrabenazine to deutetrabenazine (ARC-HD-SWITCH). </w:t>
      </w:r>
    </w:p>
    <w:p w14:paraId="512180FB" w14:textId="77777777" w:rsidR="003F73BD" w:rsidRPr="0030545D" w:rsidRDefault="003F73BD" w:rsidP="003F73BD">
      <w:pPr>
        <w:pStyle w:val="ExecSumBodyText"/>
      </w:pPr>
      <w:r w:rsidRPr="0030545D">
        <w:rPr>
          <w:snapToGrid/>
        </w:rPr>
        <w:t>Details of the included studies are provided in the table below.</w:t>
      </w:r>
    </w:p>
    <w:p w14:paraId="0D5E0603" w14:textId="77777777" w:rsidR="003F73BD" w:rsidRPr="0030545D" w:rsidRDefault="003F73BD" w:rsidP="00A33828">
      <w:pPr>
        <w:keepNext/>
        <w:rPr>
          <w:rFonts w:ascii="Arial Narrow" w:hAnsi="Arial Narrow"/>
          <w:b/>
          <w:sz w:val="20"/>
          <w:szCs w:val="16"/>
        </w:rPr>
      </w:pPr>
      <w:r w:rsidRPr="0030545D">
        <w:rPr>
          <w:rStyle w:val="CommentReference"/>
        </w:rPr>
        <w:t>Table 2: Studies and associated reports presented in the 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671"/>
        <w:gridCol w:w="2223"/>
      </w:tblGrid>
      <w:tr w:rsidR="003F73BD" w:rsidRPr="0030545D" w14:paraId="79D98643" w14:textId="77777777" w:rsidTr="00C14F95">
        <w:trPr>
          <w:tblHeader/>
        </w:trPr>
        <w:tc>
          <w:tcPr>
            <w:tcW w:w="693" w:type="pct"/>
            <w:tcBorders>
              <w:bottom w:val="single" w:sz="4" w:space="0" w:color="auto"/>
            </w:tcBorders>
            <w:vAlign w:val="center"/>
          </w:tcPr>
          <w:p w14:paraId="6B1958FC" w14:textId="77777777" w:rsidR="003F73BD" w:rsidRPr="0030545D" w:rsidRDefault="003F73BD" w:rsidP="00A33828">
            <w:pPr>
              <w:pStyle w:val="Tabletext0"/>
              <w:keepNext/>
              <w:rPr>
                <w:b/>
              </w:rPr>
            </w:pPr>
            <w:r w:rsidRPr="0030545D">
              <w:rPr>
                <w:b/>
              </w:rPr>
              <w:t>Trial ID</w:t>
            </w:r>
          </w:p>
        </w:tc>
        <w:tc>
          <w:tcPr>
            <w:tcW w:w="3094" w:type="pct"/>
            <w:tcBorders>
              <w:bottom w:val="single" w:sz="4" w:space="0" w:color="auto"/>
            </w:tcBorders>
            <w:vAlign w:val="center"/>
          </w:tcPr>
          <w:p w14:paraId="4677A8B8" w14:textId="77777777" w:rsidR="003F73BD" w:rsidRPr="0030545D" w:rsidRDefault="003F73BD" w:rsidP="00A33828">
            <w:pPr>
              <w:pStyle w:val="Tabletext0"/>
              <w:keepNext/>
              <w:jc w:val="center"/>
              <w:rPr>
                <w:b/>
              </w:rPr>
            </w:pPr>
            <w:r w:rsidRPr="0030545D">
              <w:rPr>
                <w:b/>
              </w:rPr>
              <w:t>Protocol title/ Publication title</w:t>
            </w:r>
          </w:p>
        </w:tc>
        <w:tc>
          <w:tcPr>
            <w:tcW w:w="1213" w:type="pct"/>
            <w:tcBorders>
              <w:bottom w:val="single" w:sz="4" w:space="0" w:color="auto"/>
            </w:tcBorders>
            <w:vAlign w:val="center"/>
          </w:tcPr>
          <w:p w14:paraId="77906758" w14:textId="77777777" w:rsidR="003F73BD" w:rsidRPr="0030545D" w:rsidRDefault="003F73BD" w:rsidP="00A33828">
            <w:pPr>
              <w:pStyle w:val="Tabletext0"/>
              <w:keepNext/>
              <w:jc w:val="center"/>
              <w:rPr>
                <w:b/>
              </w:rPr>
            </w:pPr>
            <w:r w:rsidRPr="0030545D">
              <w:rPr>
                <w:b/>
              </w:rPr>
              <w:t>Publication citation</w:t>
            </w:r>
          </w:p>
        </w:tc>
      </w:tr>
      <w:tr w:rsidR="003F73BD" w:rsidRPr="0030545D" w14:paraId="3986520C" w14:textId="77777777" w:rsidTr="00C14F95">
        <w:tc>
          <w:tcPr>
            <w:tcW w:w="693" w:type="pct"/>
            <w:vMerge w:val="restart"/>
            <w:tcBorders>
              <w:top w:val="single" w:sz="4" w:space="0" w:color="auto"/>
              <w:left w:val="single" w:sz="4" w:space="0" w:color="auto"/>
              <w:right w:val="single" w:sz="4" w:space="0" w:color="auto"/>
            </w:tcBorders>
            <w:vAlign w:val="center"/>
          </w:tcPr>
          <w:p w14:paraId="2900BCBD" w14:textId="77777777" w:rsidR="003F73BD" w:rsidRPr="0030545D" w:rsidRDefault="003F73BD" w:rsidP="00A33828">
            <w:pPr>
              <w:pStyle w:val="Tabletext0"/>
              <w:keepNext/>
            </w:pPr>
            <w:r w:rsidRPr="0030545D">
              <w:t xml:space="preserve">SD-809-C-15 </w:t>
            </w:r>
          </w:p>
          <w:p w14:paraId="1C557701" w14:textId="77777777" w:rsidR="003F73BD" w:rsidRPr="0030545D" w:rsidRDefault="003F73BD" w:rsidP="00A33828">
            <w:pPr>
              <w:pStyle w:val="Tabletext0"/>
              <w:keepNext/>
            </w:pPr>
            <w:r w:rsidRPr="0030545D">
              <w:t>(FIRST-HD)</w:t>
            </w:r>
          </w:p>
        </w:tc>
        <w:tc>
          <w:tcPr>
            <w:tcW w:w="3094" w:type="pct"/>
            <w:tcBorders>
              <w:top w:val="single" w:sz="4" w:space="0" w:color="auto"/>
              <w:left w:val="single" w:sz="4" w:space="0" w:color="auto"/>
              <w:bottom w:val="single" w:sz="4" w:space="0" w:color="auto"/>
              <w:right w:val="single" w:sz="4" w:space="0" w:color="auto"/>
            </w:tcBorders>
            <w:vAlign w:val="center"/>
          </w:tcPr>
          <w:p w14:paraId="15C31AC3" w14:textId="77777777" w:rsidR="003F73BD" w:rsidRPr="0030545D" w:rsidRDefault="003F73BD" w:rsidP="00A33828">
            <w:pPr>
              <w:pStyle w:val="Tabletext0"/>
              <w:keepNext/>
              <w:rPr>
                <w:szCs w:val="18"/>
              </w:rPr>
            </w:pPr>
            <w:r w:rsidRPr="0030545D">
              <w:rPr>
                <w:szCs w:val="18"/>
              </w:rPr>
              <w:t xml:space="preserve">Auspex Pharmaceuticals (2015). A Randomized Double-Blind, Placebo-Controlled Study of SD-809 Extended Release for the Treatment of Chorea Associated With Huntington Disease </w:t>
            </w:r>
          </w:p>
        </w:tc>
        <w:tc>
          <w:tcPr>
            <w:tcW w:w="1213" w:type="pct"/>
            <w:tcBorders>
              <w:top w:val="single" w:sz="4" w:space="0" w:color="auto"/>
              <w:left w:val="single" w:sz="4" w:space="0" w:color="auto"/>
              <w:bottom w:val="single" w:sz="4" w:space="0" w:color="auto"/>
              <w:right w:val="single" w:sz="4" w:space="0" w:color="auto"/>
            </w:tcBorders>
            <w:vAlign w:val="center"/>
          </w:tcPr>
          <w:p w14:paraId="78E6638F" w14:textId="77777777" w:rsidR="003F73BD" w:rsidRPr="0030545D" w:rsidRDefault="003F73BD" w:rsidP="00A33828">
            <w:pPr>
              <w:pStyle w:val="Tabletext0"/>
              <w:keepNext/>
            </w:pPr>
            <w:r w:rsidRPr="0030545D">
              <w:t>Internal study report</w:t>
            </w:r>
          </w:p>
        </w:tc>
      </w:tr>
      <w:tr w:rsidR="003F73BD" w:rsidRPr="0030545D" w14:paraId="6FEECD2F" w14:textId="77777777" w:rsidTr="00C14F95">
        <w:tc>
          <w:tcPr>
            <w:tcW w:w="693" w:type="pct"/>
            <w:vMerge/>
            <w:tcBorders>
              <w:left w:val="single" w:sz="4" w:space="0" w:color="auto"/>
              <w:right w:val="single" w:sz="4" w:space="0" w:color="auto"/>
            </w:tcBorders>
            <w:vAlign w:val="center"/>
          </w:tcPr>
          <w:p w14:paraId="71065BD1" w14:textId="77777777" w:rsidR="003F73BD" w:rsidRPr="0030545D" w:rsidRDefault="003F73BD" w:rsidP="00A33828">
            <w:pPr>
              <w:pStyle w:val="Tabletext0"/>
              <w:keepNext/>
            </w:pPr>
          </w:p>
        </w:tc>
        <w:tc>
          <w:tcPr>
            <w:tcW w:w="3094" w:type="pct"/>
            <w:tcBorders>
              <w:top w:val="single" w:sz="4" w:space="0" w:color="auto"/>
              <w:left w:val="single" w:sz="4" w:space="0" w:color="auto"/>
              <w:bottom w:val="single" w:sz="4" w:space="0" w:color="auto"/>
              <w:right w:val="single" w:sz="4" w:space="0" w:color="auto"/>
            </w:tcBorders>
            <w:vAlign w:val="center"/>
          </w:tcPr>
          <w:p w14:paraId="1BFD4961" w14:textId="77777777" w:rsidR="003F73BD" w:rsidRPr="0030545D" w:rsidRDefault="003F73BD" w:rsidP="00A33828">
            <w:pPr>
              <w:pStyle w:val="Tabletext0"/>
              <w:keepNext/>
              <w:rPr>
                <w:iCs/>
              </w:rPr>
            </w:pPr>
            <w:r w:rsidRPr="0030545D">
              <w:rPr>
                <w:iCs/>
              </w:rPr>
              <w:t>Frank S et al (2016). Effect of deutetrabenazine on chorea among patients with Huntington disease: A randomized clinical trial.</w:t>
            </w:r>
          </w:p>
        </w:tc>
        <w:tc>
          <w:tcPr>
            <w:tcW w:w="1213" w:type="pct"/>
            <w:tcBorders>
              <w:top w:val="single" w:sz="4" w:space="0" w:color="auto"/>
              <w:left w:val="single" w:sz="4" w:space="0" w:color="auto"/>
              <w:bottom w:val="single" w:sz="4" w:space="0" w:color="auto"/>
              <w:right w:val="single" w:sz="4" w:space="0" w:color="auto"/>
            </w:tcBorders>
            <w:vAlign w:val="center"/>
          </w:tcPr>
          <w:p w14:paraId="5EF4C9CE" w14:textId="77777777" w:rsidR="003F73BD" w:rsidRPr="0030545D" w:rsidRDefault="003F73BD" w:rsidP="00A33828">
            <w:pPr>
              <w:pStyle w:val="Tabletext0"/>
              <w:keepNext/>
            </w:pPr>
            <w:r w:rsidRPr="0030545D">
              <w:rPr>
                <w:iCs/>
              </w:rPr>
              <w:t>JAMA 316: 40-50</w:t>
            </w:r>
          </w:p>
        </w:tc>
      </w:tr>
      <w:tr w:rsidR="003F73BD" w:rsidRPr="0030545D" w14:paraId="373F0400" w14:textId="77777777" w:rsidTr="00C14F95">
        <w:tc>
          <w:tcPr>
            <w:tcW w:w="693" w:type="pct"/>
            <w:vMerge w:val="restart"/>
            <w:tcBorders>
              <w:top w:val="single" w:sz="4" w:space="0" w:color="auto"/>
              <w:left w:val="single" w:sz="4" w:space="0" w:color="auto"/>
              <w:right w:val="single" w:sz="4" w:space="0" w:color="auto"/>
            </w:tcBorders>
            <w:vAlign w:val="center"/>
          </w:tcPr>
          <w:p w14:paraId="37426CC0" w14:textId="77777777" w:rsidR="003F73BD" w:rsidRPr="0030545D" w:rsidRDefault="003F73BD" w:rsidP="00A33828">
            <w:pPr>
              <w:pStyle w:val="Tabletext0"/>
              <w:keepNext/>
            </w:pPr>
            <w:r w:rsidRPr="0030545D">
              <w:t>SD-809-C-16</w:t>
            </w:r>
          </w:p>
          <w:p w14:paraId="0A52D227" w14:textId="77777777" w:rsidR="003F73BD" w:rsidRPr="0030545D" w:rsidRDefault="003F73BD" w:rsidP="00A33828">
            <w:pPr>
              <w:pStyle w:val="Tabletext0"/>
              <w:keepNext/>
            </w:pPr>
            <w:r w:rsidRPr="0030545D">
              <w:t>(ARC-HD)</w:t>
            </w:r>
          </w:p>
        </w:tc>
        <w:tc>
          <w:tcPr>
            <w:tcW w:w="3094" w:type="pct"/>
            <w:tcBorders>
              <w:top w:val="single" w:sz="4" w:space="0" w:color="auto"/>
              <w:left w:val="single" w:sz="4" w:space="0" w:color="auto"/>
              <w:bottom w:val="single" w:sz="4" w:space="0" w:color="auto"/>
              <w:right w:val="single" w:sz="4" w:space="0" w:color="auto"/>
            </w:tcBorders>
            <w:vAlign w:val="center"/>
          </w:tcPr>
          <w:p w14:paraId="2654D1D3" w14:textId="77777777" w:rsidR="003F73BD" w:rsidRPr="0030545D" w:rsidRDefault="003F73BD" w:rsidP="00A33828">
            <w:pPr>
              <w:pStyle w:val="Tabletext0"/>
              <w:keepNext/>
              <w:rPr>
                <w:szCs w:val="18"/>
              </w:rPr>
            </w:pPr>
            <w:r w:rsidRPr="0030545D">
              <w:rPr>
                <w:szCs w:val="18"/>
              </w:rPr>
              <w:t>Auspex Pharmaceuticals (2015). An Open-Label, Long Term Safety Study of SD-809 ER in Subjects With Chorea Associated With Huntington Disease</w:t>
            </w:r>
          </w:p>
        </w:tc>
        <w:tc>
          <w:tcPr>
            <w:tcW w:w="1213" w:type="pct"/>
            <w:tcBorders>
              <w:top w:val="single" w:sz="4" w:space="0" w:color="auto"/>
              <w:left w:val="single" w:sz="4" w:space="0" w:color="auto"/>
              <w:bottom w:val="single" w:sz="4" w:space="0" w:color="auto"/>
              <w:right w:val="single" w:sz="4" w:space="0" w:color="auto"/>
            </w:tcBorders>
            <w:vAlign w:val="center"/>
          </w:tcPr>
          <w:p w14:paraId="1F025336" w14:textId="77777777" w:rsidR="003F73BD" w:rsidRPr="0030545D" w:rsidRDefault="003F73BD" w:rsidP="00A33828">
            <w:pPr>
              <w:pStyle w:val="Tabletext0"/>
              <w:keepNext/>
            </w:pPr>
            <w:r w:rsidRPr="0030545D">
              <w:t>Internal study report [interim]</w:t>
            </w:r>
          </w:p>
        </w:tc>
      </w:tr>
      <w:tr w:rsidR="003F73BD" w:rsidRPr="0030545D" w14:paraId="4D48AD7B" w14:textId="77777777" w:rsidTr="00C14F95">
        <w:tc>
          <w:tcPr>
            <w:tcW w:w="693" w:type="pct"/>
            <w:vMerge/>
            <w:tcBorders>
              <w:left w:val="single" w:sz="4" w:space="0" w:color="auto"/>
              <w:right w:val="single" w:sz="4" w:space="0" w:color="auto"/>
            </w:tcBorders>
            <w:vAlign w:val="center"/>
          </w:tcPr>
          <w:p w14:paraId="0789557C" w14:textId="77777777" w:rsidR="003F73BD" w:rsidRPr="0030545D" w:rsidRDefault="003F73BD" w:rsidP="00A33828">
            <w:pPr>
              <w:pStyle w:val="Tabletext0"/>
              <w:keepNext/>
            </w:pPr>
          </w:p>
        </w:tc>
        <w:tc>
          <w:tcPr>
            <w:tcW w:w="3094" w:type="pct"/>
            <w:tcBorders>
              <w:top w:val="single" w:sz="4" w:space="0" w:color="auto"/>
              <w:left w:val="single" w:sz="4" w:space="0" w:color="auto"/>
              <w:bottom w:val="single" w:sz="4" w:space="0" w:color="auto"/>
              <w:right w:val="single" w:sz="4" w:space="0" w:color="auto"/>
            </w:tcBorders>
            <w:vAlign w:val="center"/>
          </w:tcPr>
          <w:p w14:paraId="3AA13596" w14:textId="77777777" w:rsidR="003F73BD" w:rsidRPr="0030545D" w:rsidRDefault="003F73BD" w:rsidP="00A33828">
            <w:pPr>
              <w:pStyle w:val="Tabletext0"/>
              <w:keepNext/>
              <w:rPr>
                <w:szCs w:val="18"/>
              </w:rPr>
            </w:pPr>
            <w:r w:rsidRPr="0030545D">
              <w:rPr>
                <w:szCs w:val="18"/>
              </w:rPr>
              <w:t>Teva Pharmaceuticals (2018). An Open-Label, Long Term Safety Study of SD-809 ER in Subjects With Chorea Associated With Huntington Disease</w:t>
            </w:r>
          </w:p>
        </w:tc>
        <w:tc>
          <w:tcPr>
            <w:tcW w:w="1213" w:type="pct"/>
            <w:tcBorders>
              <w:top w:val="single" w:sz="4" w:space="0" w:color="auto"/>
              <w:left w:val="single" w:sz="4" w:space="0" w:color="auto"/>
              <w:bottom w:val="single" w:sz="4" w:space="0" w:color="auto"/>
              <w:right w:val="single" w:sz="4" w:space="0" w:color="auto"/>
            </w:tcBorders>
            <w:vAlign w:val="center"/>
          </w:tcPr>
          <w:p w14:paraId="55919687" w14:textId="77777777" w:rsidR="003F73BD" w:rsidRPr="0030545D" w:rsidRDefault="003F73BD" w:rsidP="00A33828">
            <w:pPr>
              <w:pStyle w:val="Tabletext0"/>
              <w:keepNext/>
            </w:pPr>
            <w:r w:rsidRPr="0030545D">
              <w:t>Internal study report [final]</w:t>
            </w:r>
          </w:p>
        </w:tc>
      </w:tr>
      <w:tr w:rsidR="003F73BD" w:rsidRPr="0030545D" w14:paraId="19F7CF34" w14:textId="77777777" w:rsidTr="00C14F95">
        <w:tc>
          <w:tcPr>
            <w:tcW w:w="693" w:type="pct"/>
            <w:vMerge/>
            <w:tcBorders>
              <w:left w:val="single" w:sz="4" w:space="0" w:color="auto"/>
              <w:right w:val="single" w:sz="4" w:space="0" w:color="auto"/>
            </w:tcBorders>
            <w:vAlign w:val="center"/>
          </w:tcPr>
          <w:p w14:paraId="78342BDC" w14:textId="77777777" w:rsidR="003F73BD" w:rsidRPr="0030545D" w:rsidRDefault="003F73BD" w:rsidP="00A33828">
            <w:pPr>
              <w:pStyle w:val="Tabletext0"/>
              <w:keepNext/>
            </w:pPr>
          </w:p>
        </w:tc>
        <w:tc>
          <w:tcPr>
            <w:tcW w:w="3094" w:type="pct"/>
            <w:tcBorders>
              <w:top w:val="single" w:sz="4" w:space="0" w:color="auto"/>
              <w:left w:val="single" w:sz="4" w:space="0" w:color="auto"/>
              <w:bottom w:val="single" w:sz="4" w:space="0" w:color="auto"/>
              <w:right w:val="single" w:sz="4" w:space="0" w:color="auto"/>
            </w:tcBorders>
            <w:vAlign w:val="center"/>
          </w:tcPr>
          <w:p w14:paraId="04839182" w14:textId="77777777" w:rsidR="003F73BD" w:rsidRPr="0030545D" w:rsidRDefault="003F73BD" w:rsidP="00A33828">
            <w:pPr>
              <w:pStyle w:val="Tabletext0"/>
              <w:keepNext/>
              <w:rPr>
                <w:szCs w:val="18"/>
              </w:rPr>
            </w:pPr>
            <w:r w:rsidRPr="0030545D">
              <w:rPr>
                <w:szCs w:val="18"/>
              </w:rPr>
              <w:t xml:space="preserve">Frank S et al (2017). Safety of converting from tetrabenazine to deutetrabenazine for the treatment of chorea. </w:t>
            </w:r>
          </w:p>
        </w:tc>
        <w:tc>
          <w:tcPr>
            <w:tcW w:w="1213" w:type="pct"/>
            <w:tcBorders>
              <w:top w:val="single" w:sz="4" w:space="0" w:color="auto"/>
              <w:left w:val="single" w:sz="4" w:space="0" w:color="auto"/>
              <w:bottom w:val="single" w:sz="4" w:space="0" w:color="auto"/>
              <w:right w:val="single" w:sz="4" w:space="0" w:color="auto"/>
            </w:tcBorders>
            <w:vAlign w:val="center"/>
          </w:tcPr>
          <w:p w14:paraId="4671E1FF" w14:textId="77777777" w:rsidR="003F73BD" w:rsidRPr="0030545D" w:rsidRDefault="003F73BD" w:rsidP="00A33828">
            <w:pPr>
              <w:pStyle w:val="Tabletext0"/>
              <w:keepNext/>
              <w:rPr>
                <w:szCs w:val="18"/>
              </w:rPr>
            </w:pPr>
            <w:r w:rsidRPr="0030545D">
              <w:rPr>
                <w:szCs w:val="18"/>
              </w:rPr>
              <w:t>JAMA Neurology 74: 977-982</w:t>
            </w:r>
          </w:p>
        </w:tc>
      </w:tr>
    </w:tbl>
    <w:p w14:paraId="52D4B004" w14:textId="77777777" w:rsidR="003F73BD" w:rsidRPr="0030545D" w:rsidRDefault="003F73BD" w:rsidP="00441BAE">
      <w:pPr>
        <w:spacing w:after="60"/>
        <w:contextualSpacing/>
        <w:rPr>
          <w:rFonts w:ascii="Arial Narrow" w:hAnsi="Arial Narrow"/>
          <w:sz w:val="18"/>
        </w:rPr>
      </w:pPr>
      <w:r w:rsidRPr="0030545D">
        <w:rPr>
          <w:rFonts w:ascii="Arial Narrow" w:hAnsi="Arial Narrow"/>
          <w:sz w:val="18"/>
        </w:rPr>
        <w:t>Source: Table 2-5  of the submission</w:t>
      </w:r>
    </w:p>
    <w:p w14:paraId="44717726" w14:textId="77777777" w:rsidR="003F73BD" w:rsidRPr="0030545D" w:rsidRDefault="003F73BD" w:rsidP="00C14F95">
      <w:pPr>
        <w:spacing w:after="120"/>
        <w:contextualSpacing/>
        <w:rPr>
          <w:rFonts w:ascii="Arial Narrow" w:hAnsi="Arial Narrow"/>
          <w:sz w:val="18"/>
        </w:rPr>
      </w:pPr>
      <w:r w:rsidRPr="0030545D">
        <w:rPr>
          <w:rFonts w:ascii="Arial Narrow" w:hAnsi="Arial Narrow"/>
          <w:sz w:val="18"/>
        </w:rPr>
        <w:t>Note: Abstracts of studies with full publications are not presented</w:t>
      </w:r>
    </w:p>
    <w:p w14:paraId="4FF4C3A5" w14:textId="77777777" w:rsidR="007C48EC" w:rsidRPr="0030545D" w:rsidRDefault="007C48EC" w:rsidP="007C48EC">
      <w:pPr>
        <w:pStyle w:val="ExecSumBodyText"/>
        <w:rPr>
          <w:color w:val="0066FF"/>
        </w:rPr>
      </w:pPr>
      <w:r w:rsidRPr="0030545D">
        <w:t>The key features of the included studies are summarised in the table below.</w:t>
      </w:r>
    </w:p>
    <w:p w14:paraId="7C027EC8" w14:textId="77777777" w:rsidR="007C48EC" w:rsidRPr="0030545D" w:rsidRDefault="007C48EC" w:rsidP="007C48EC">
      <w:pPr>
        <w:pStyle w:val="Tableheadingrow"/>
        <w:rPr>
          <w:lang w:val="en-AU"/>
        </w:rPr>
      </w:pPr>
      <w:r w:rsidRPr="0030545D">
        <w:rPr>
          <w:lang w:val="en-AU"/>
        </w:rPr>
        <w:lastRenderedPageBreak/>
        <w:t>Table 3: Key features of the included evidence</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2"/>
        <w:gridCol w:w="568"/>
        <w:gridCol w:w="1736"/>
        <w:gridCol w:w="709"/>
        <w:gridCol w:w="1699"/>
        <w:gridCol w:w="1562"/>
        <w:gridCol w:w="1939"/>
      </w:tblGrid>
      <w:tr w:rsidR="007C48EC" w:rsidRPr="0030545D" w14:paraId="347568A9" w14:textId="77777777" w:rsidTr="00C14F95">
        <w:trPr>
          <w:cantSplit/>
          <w:tblHeader/>
        </w:trPr>
        <w:tc>
          <w:tcPr>
            <w:tcW w:w="519" w:type="pct"/>
            <w:shd w:val="clear" w:color="auto" w:fill="auto"/>
            <w:vAlign w:val="center"/>
          </w:tcPr>
          <w:p w14:paraId="06C6C9CD" w14:textId="77777777" w:rsidR="007C48EC" w:rsidRPr="0030545D" w:rsidRDefault="007C48EC" w:rsidP="00A77D28">
            <w:pPr>
              <w:pStyle w:val="Tableheadingrow"/>
              <w:rPr>
                <w:lang w:val="en-AU"/>
              </w:rPr>
            </w:pPr>
            <w:r w:rsidRPr="0030545D">
              <w:rPr>
                <w:lang w:val="en-AU"/>
              </w:rPr>
              <w:t>Trial</w:t>
            </w:r>
          </w:p>
        </w:tc>
        <w:tc>
          <w:tcPr>
            <w:tcW w:w="310" w:type="pct"/>
            <w:shd w:val="clear" w:color="auto" w:fill="auto"/>
            <w:vAlign w:val="center"/>
          </w:tcPr>
          <w:p w14:paraId="13387CCA" w14:textId="77777777" w:rsidR="007C48EC" w:rsidRPr="0030545D" w:rsidRDefault="007C48EC" w:rsidP="00A77D28">
            <w:pPr>
              <w:pStyle w:val="Tableheadingrow"/>
              <w:jc w:val="center"/>
              <w:rPr>
                <w:lang w:val="en-AU"/>
              </w:rPr>
            </w:pPr>
            <w:r w:rsidRPr="0030545D">
              <w:rPr>
                <w:lang w:val="en-AU"/>
              </w:rPr>
              <w:t>N</w:t>
            </w:r>
          </w:p>
        </w:tc>
        <w:tc>
          <w:tcPr>
            <w:tcW w:w="947" w:type="pct"/>
            <w:shd w:val="clear" w:color="auto" w:fill="auto"/>
            <w:vAlign w:val="center"/>
          </w:tcPr>
          <w:p w14:paraId="79181783" w14:textId="77777777" w:rsidR="007C48EC" w:rsidRPr="0030545D" w:rsidRDefault="007C48EC" w:rsidP="00A77D28">
            <w:pPr>
              <w:pStyle w:val="Tableheadingrow"/>
              <w:jc w:val="center"/>
              <w:rPr>
                <w:lang w:val="en-AU"/>
              </w:rPr>
            </w:pPr>
            <w:r w:rsidRPr="0030545D">
              <w:rPr>
                <w:lang w:val="en-AU"/>
              </w:rPr>
              <w:t>Design/ duration</w:t>
            </w:r>
          </w:p>
        </w:tc>
        <w:tc>
          <w:tcPr>
            <w:tcW w:w="387" w:type="pct"/>
            <w:shd w:val="clear" w:color="auto" w:fill="auto"/>
            <w:vAlign w:val="center"/>
          </w:tcPr>
          <w:p w14:paraId="2C4AFD65" w14:textId="77777777" w:rsidR="007C48EC" w:rsidRPr="0030545D" w:rsidRDefault="007C48EC" w:rsidP="00A77D28">
            <w:pPr>
              <w:pStyle w:val="Tableheadingrow"/>
              <w:jc w:val="center"/>
              <w:rPr>
                <w:lang w:val="en-AU"/>
              </w:rPr>
            </w:pPr>
            <w:r w:rsidRPr="0030545D">
              <w:rPr>
                <w:lang w:val="en-AU"/>
              </w:rPr>
              <w:t>Risk of bias</w:t>
            </w:r>
          </w:p>
        </w:tc>
        <w:tc>
          <w:tcPr>
            <w:tcW w:w="927" w:type="pct"/>
            <w:shd w:val="clear" w:color="auto" w:fill="auto"/>
            <w:vAlign w:val="center"/>
          </w:tcPr>
          <w:p w14:paraId="53E7C875" w14:textId="77777777" w:rsidR="007C48EC" w:rsidRPr="0030545D" w:rsidRDefault="007C48EC" w:rsidP="00A77D28">
            <w:pPr>
              <w:pStyle w:val="Tableheadingrow"/>
              <w:jc w:val="center"/>
              <w:rPr>
                <w:lang w:val="en-AU"/>
              </w:rPr>
            </w:pPr>
            <w:r w:rsidRPr="0030545D">
              <w:rPr>
                <w:lang w:val="en-AU"/>
              </w:rPr>
              <w:t>Patient population</w:t>
            </w:r>
          </w:p>
        </w:tc>
        <w:tc>
          <w:tcPr>
            <w:tcW w:w="852" w:type="pct"/>
            <w:shd w:val="clear" w:color="auto" w:fill="auto"/>
            <w:vAlign w:val="center"/>
          </w:tcPr>
          <w:p w14:paraId="7E021641" w14:textId="77777777" w:rsidR="007C48EC" w:rsidRPr="0030545D" w:rsidRDefault="007C48EC" w:rsidP="00A77D28">
            <w:pPr>
              <w:pStyle w:val="Tableheadingrow"/>
              <w:jc w:val="center"/>
              <w:rPr>
                <w:lang w:val="en-AU"/>
              </w:rPr>
            </w:pPr>
            <w:r w:rsidRPr="0030545D">
              <w:rPr>
                <w:lang w:val="en-AU"/>
              </w:rPr>
              <w:t>Outcomes</w:t>
            </w:r>
          </w:p>
        </w:tc>
        <w:tc>
          <w:tcPr>
            <w:tcW w:w="1058" w:type="pct"/>
            <w:shd w:val="clear" w:color="auto" w:fill="auto"/>
            <w:vAlign w:val="center"/>
          </w:tcPr>
          <w:p w14:paraId="311CAF14" w14:textId="77777777" w:rsidR="007C48EC" w:rsidRPr="0030545D" w:rsidRDefault="007C48EC" w:rsidP="00A77D28">
            <w:pPr>
              <w:pStyle w:val="Tableheadingrow"/>
              <w:jc w:val="center"/>
              <w:rPr>
                <w:lang w:val="en-AU"/>
              </w:rPr>
            </w:pPr>
            <w:r w:rsidRPr="0030545D">
              <w:rPr>
                <w:lang w:val="en-AU"/>
              </w:rPr>
              <w:t>Use in modelled evaluation</w:t>
            </w:r>
          </w:p>
        </w:tc>
      </w:tr>
      <w:tr w:rsidR="007C48EC" w:rsidRPr="0030545D" w14:paraId="3CD4D1E2" w14:textId="77777777" w:rsidTr="00C14F95">
        <w:trPr>
          <w:cantSplit/>
        </w:trPr>
        <w:tc>
          <w:tcPr>
            <w:tcW w:w="519" w:type="pct"/>
            <w:shd w:val="clear" w:color="auto" w:fill="auto"/>
            <w:vAlign w:val="center"/>
          </w:tcPr>
          <w:p w14:paraId="173CDF6F" w14:textId="77777777" w:rsidR="007C48EC" w:rsidRPr="0030545D" w:rsidRDefault="004A5C27" w:rsidP="00A77D28">
            <w:pPr>
              <w:pStyle w:val="TableText"/>
            </w:pPr>
            <w:r w:rsidRPr="0030545D">
              <w:t>FIRST-HD</w:t>
            </w:r>
          </w:p>
        </w:tc>
        <w:tc>
          <w:tcPr>
            <w:tcW w:w="310" w:type="pct"/>
            <w:shd w:val="clear" w:color="auto" w:fill="auto"/>
            <w:vAlign w:val="center"/>
          </w:tcPr>
          <w:p w14:paraId="1554561B" w14:textId="77777777" w:rsidR="007C48EC" w:rsidRPr="0030545D" w:rsidRDefault="004A5C27" w:rsidP="00A77D28">
            <w:pPr>
              <w:pStyle w:val="TableText"/>
              <w:jc w:val="center"/>
            </w:pPr>
            <w:r w:rsidRPr="0030545D">
              <w:t>90</w:t>
            </w:r>
          </w:p>
        </w:tc>
        <w:tc>
          <w:tcPr>
            <w:tcW w:w="947" w:type="pct"/>
            <w:shd w:val="clear" w:color="auto" w:fill="auto"/>
            <w:vAlign w:val="center"/>
          </w:tcPr>
          <w:p w14:paraId="5F7806CC" w14:textId="77777777" w:rsidR="007C48EC" w:rsidRPr="0030545D" w:rsidRDefault="00CE2C02" w:rsidP="00A77D28">
            <w:pPr>
              <w:pStyle w:val="TableText"/>
              <w:jc w:val="center"/>
            </w:pPr>
            <w:r w:rsidRPr="0030545D">
              <w:t>Double-blind</w:t>
            </w:r>
            <w:r w:rsidR="00F14BC3" w:rsidRPr="0030545D">
              <w:t>, placebo-controlled</w:t>
            </w:r>
            <w:r w:rsidRPr="0030545D">
              <w:t xml:space="preserve"> RCT</w:t>
            </w:r>
          </w:p>
          <w:p w14:paraId="1AA9BAC5" w14:textId="77777777" w:rsidR="007C48EC" w:rsidRPr="0030545D" w:rsidRDefault="004A5C27" w:rsidP="00CE2C02">
            <w:pPr>
              <w:pStyle w:val="TableText"/>
              <w:jc w:val="center"/>
            </w:pPr>
            <w:r w:rsidRPr="0030545D">
              <w:t>12 weeks duration</w:t>
            </w:r>
          </w:p>
        </w:tc>
        <w:tc>
          <w:tcPr>
            <w:tcW w:w="387" w:type="pct"/>
            <w:shd w:val="clear" w:color="auto" w:fill="auto"/>
            <w:vAlign w:val="center"/>
          </w:tcPr>
          <w:p w14:paraId="7C6ED84D" w14:textId="77777777" w:rsidR="007C48EC" w:rsidRPr="0030545D" w:rsidRDefault="004A5C27" w:rsidP="00A77D28">
            <w:pPr>
              <w:pStyle w:val="TableText"/>
              <w:jc w:val="center"/>
            </w:pPr>
            <w:r w:rsidRPr="0030545D">
              <w:t>Low</w:t>
            </w:r>
          </w:p>
        </w:tc>
        <w:tc>
          <w:tcPr>
            <w:tcW w:w="927" w:type="pct"/>
            <w:shd w:val="clear" w:color="auto" w:fill="auto"/>
            <w:vAlign w:val="center"/>
          </w:tcPr>
          <w:p w14:paraId="436CFFC7" w14:textId="77777777" w:rsidR="007C48EC" w:rsidRPr="0030545D" w:rsidRDefault="004A5C27" w:rsidP="00CE2C02">
            <w:pPr>
              <w:pStyle w:val="TableText"/>
              <w:jc w:val="center"/>
            </w:pPr>
            <w:r w:rsidRPr="0030545D">
              <w:t>Patients who have chorea associated with Huntington’s disease</w:t>
            </w:r>
          </w:p>
        </w:tc>
        <w:tc>
          <w:tcPr>
            <w:tcW w:w="852" w:type="pct"/>
            <w:shd w:val="clear" w:color="auto" w:fill="auto"/>
            <w:vAlign w:val="center"/>
          </w:tcPr>
          <w:p w14:paraId="479D4E3C" w14:textId="77777777" w:rsidR="007C48EC" w:rsidRPr="0030545D" w:rsidRDefault="00CE2C02" w:rsidP="00A77D28">
            <w:pPr>
              <w:pStyle w:val="TableText"/>
              <w:jc w:val="center"/>
            </w:pPr>
            <w:r w:rsidRPr="0030545D">
              <w:t>C</w:t>
            </w:r>
            <w:r w:rsidR="004A5C27" w:rsidRPr="0030545D">
              <w:t>horea</w:t>
            </w:r>
            <w:r w:rsidRPr="0030545D">
              <w:t xml:space="preserve"> and motor</w:t>
            </w:r>
            <w:r w:rsidR="004A5C27" w:rsidRPr="0030545D">
              <w:t xml:space="preserve"> symptoms</w:t>
            </w:r>
            <w:r w:rsidRPr="0030545D">
              <w:t>, quality of life and adverse events</w:t>
            </w:r>
          </w:p>
        </w:tc>
        <w:tc>
          <w:tcPr>
            <w:tcW w:w="1058" w:type="pct"/>
            <w:shd w:val="clear" w:color="auto" w:fill="auto"/>
            <w:vAlign w:val="center"/>
          </w:tcPr>
          <w:p w14:paraId="78CF1E92" w14:textId="77777777" w:rsidR="007C48EC" w:rsidRPr="0030545D" w:rsidRDefault="00CE2C02" w:rsidP="00CE2C02">
            <w:pPr>
              <w:pStyle w:val="TableText"/>
              <w:jc w:val="center"/>
            </w:pPr>
            <w:r w:rsidRPr="0030545D">
              <w:t>Treatment responders (based on chorea symptoms), adverse events, population and treatment characteristics</w:t>
            </w:r>
          </w:p>
        </w:tc>
      </w:tr>
      <w:tr w:rsidR="00CE2C02" w:rsidRPr="0030545D" w14:paraId="50D0DFFB" w14:textId="77777777" w:rsidTr="00C14F95">
        <w:trPr>
          <w:cantSplit/>
        </w:trPr>
        <w:tc>
          <w:tcPr>
            <w:tcW w:w="519" w:type="pct"/>
            <w:shd w:val="clear" w:color="auto" w:fill="auto"/>
            <w:vAlign w:val="center"/>
          </w:tcPr>
          <w:p w14:paraId="4B8494E8" w14:textId="77777777" w:rsidR="00CE2C02" w:rsidRPr="0030545D" w:rsidRDefault="00CE2C02" w:rsidP="00A77D28">
            <w:pPr>
              <w:pStyle w:val="TableText"/>
            </w:pPr>
            <w:r w:rsidRPr="0030545D">
              <w:t>ARC-HD-ROLLOVER</w:t>
            </w:r>
          </w:p>
        </w:tc>
        <w:tc>
          <w:tcPr>
            <w:tcW w:w="310" w:type="pct"/>
            <w:shd w:val="clear" w:color="auto" w:fill="auto"/>
            <w:vAlign w:val="center"/>
          </w:tcPr>
          <w:p w14:paraId="38515EE6" w14:textId="77777777" w:rsidR="00CE2C02" w:rsidRPr="0030545D" w:rsidRDefault="00CE2C02" w:rsidP="00A77D28">
            <w:pPr>
              <w:pStyle w:val="TableText"/>
              <w:jc w:val="center"/>
            </w:pPr>
            <w:r w:rsidRPr="0030545D">
              <w:t>82</w:t>
            </w:r>
          </w:p>
        </w:tc>
        <w:tc>
          <w:tcPr>
            <w:tcW w:w="947" w:type="pct"/>
            <w:shd w:val="clear" w:color="auto" w:fill="auto"/>
            <w:vAlign w:val="center"/>
          </w:tcPr>
          <w:p w14:paraId="24B2767F" w14:textId="77777777" w:rsidR="00CE2C02" w:rsidRPr="0030545D" w:rsidRDefault="007F02F0" w:rsidP="00A77D28">
            <w:pPr>
              <w:pStyle w:val="TableText"/>
              <w:jc w:val="center"/>
            </w:pPr>
            <w:r w:rsidRPr="0030545D">
              <w:t>Open label extension of FIRST-HD</w:t>
            </w:r>
          </w:p>
          <w:p w14:paraId="6D78B0EA" w14:textId="77777777" w:rsidR="00CE2C02" w:rsidRPr="0030545D" w:rsidRDefault="00CE2C02" w:rsidP="00A77D28">
            <w:pPr>
              <w:pStyle w:val="TableText"/>
              <w:jc w:val="center"/>
            </w:pPr>
            <w:r w:rsidRPr="0030545D">
              <w:t xml:space="preserve">2.2 year </w:t>
            </w:r>
          </w:p>
          <w:p w14:paraId="4A27E57D" w14:textId="77777777" w:rsidR="00CE2C02" w:rsidRPr="0030545D" w:rsidRDefault="00CE2C02" w:rsidP="00A77D28">
            <w:pPr>
              <w:pStyle w:val="TableText"/>
              <w:jc w:val="center"/>
            </w:pPr>
            <w:r w:rsidRPr="0030545D">
              <w:t>mean duration</w:t>
            </w:r>
          </w:p>
        </w:tc>
        <w:tc>
          <w:tcPr>
            <w:tcW w:w="387" w:type="pct"/>
            <w:shd w:val="clear" w:color="auto" w:fill="auto"/>
            <w:vAlign w:val="center"/>
          </w:tcPr>
          <w:p w14:paraId="779BB636" w14:textId="77777777" w:rsidR="00CE2C02" w:rsidRPr="0030545D" w:rsidRDefault="00CE2C02" w:rsidP="00A77D28">
            <w:pPr>
              <w:pStyle w:val="TableText"/>
              <w:jc w:val="center"/>
            </w:pPr>
            <w:r w:rsidRPr="0030545D">
              <w:t>High</w:t>
            </w:r>
          </w:p>
        </w:tc>
        <w:tc>
          <w:tcPr>
            <w:tcW w:w="927" w:type="pct"/>
            <w:shd w:val="clear" w:color="auto" w:fill="auto"/>
            <w:vAlign w:val="center"/>
          </w:tcPr>
          <w:p w14:paraId="2BAA3299" w14:textId="77777777" w:rsidR="00CE2C02" w:rsidRPr="0030545D" w:rsidRDefault="00CE2C02" w:rsidP="00CE2C02">
            <w:pPr>
              <w:pStyle w:val="TableText"/>
              <w:jc w:val="center"/>
            </w:pPr>
            <w:r w:rsidRPr="0030545D">
              <w:t>Patients previously enrolled in FIRST-HD</w:t>
            </w:r>
          </w:p>
        </w:tc>
        <w:tc>
          <w:tcPr>
            <w:tcW w:w="852" w:type="pct"/>
            <w:shd w:val="clear" w:color="auto" w:fill="auto"/>
            <w:vAlign w:val="center"/>
          </w:tcPr>
          <w:p w14:paraId="3B63F086" w14:textId="77777777" w:rsidR="00CE2C02" w:rsidRPr="0030545D" w:rsidRDefault="00CE2C02" w:rsidP="00A77D28">
            <w:pPr>
              <w:pStyle w:val="TableText"/>
              <w:jc w:val="center"/>
            </w:pPr>
            <w:r w:rsidRPr="0030545D">
              <w:t>Adverse events, chorea and motor symptoms</w:t>
            </w:r>
          </w:p>
        </w:tc>
        <w:tc>
          <w:tcPr>
            <w:tcW w:w="1058" w:type="pct"/>
            <w:shd w:val="clear" w:color="auto" w:fill="auto"/>
            <w:vAlign w:val="center"/>
          </w:tcPr>
          <w:p w14:paraId="040F0F76" w14:textId="77777777" w:rsidR="00CE2C02" w:rsidRPr="0030545D" w:rsidRDefault="00CE2C02" w:rsidP="00A77D28">
            <w:pPr>
              <w:pStyle w:val="TableText"/>
              <w:jc w:val="center"/>
            </w:pPr>
            <w:r w:rsidRPr="0030545D">
              <w:t>Treatment discontinuation rate</w:t>
            </w:r>
          </w:p>
        </w:tc>
      </w:tr>
      <w:tr w:rsidR="00167384" w:rsidRPr="0030545D" w14:paraId="48DEC99E" w14:textId="77777777" w:rsidTr="00C14F95">
        <w:trPr>
          <w:cantSplit/>
        </w:trPr>
        <w:tc>
          <w:tcPr>
            <w:tcW w:w="519" w:type="pct"/>
            <w:shd w:val="clear" w:color="auto" w:fill="auto"/>
            <w:vAlign w:val="center"/>
          </w:tcPr>
          <w:p w14:paraId="782D9046" w14:textId="77777777" w:rsidR="00167384" w:rsidRPr="0030545D" w:rsidRDefault="00167384" w:rsidP="00A77D28">
            <w:pPr>
              <w:pStyle w:val="TableText"/>
            </w:pPr>
            <w:r w:rsidRPr="0030545D">
              <w:t>ARC-HD-SWITCH</w:t>
            </w:r>
          </w:p>
        </w:tc>
        <w:tc>
          <w:tcPr>
            <w:tcW w:w="310" w:type="pct"/>
            <w:shd w:val="clear" w:color="auto" w:fill="auto"/>
            <w:vAlign w:val="center"/>
          </w:tcPr>
          <w:p w14:paraId="0704C372" w14:textId="77777777" w:rsidR="00167384" w:rsidRPr="0030545D" w:rsidRDefault="00167384" w:rsidP="00A77D28">
            <w:pPr>
              <w:pStyle w:val="TableText"/>
              <w:jc w:val="center"/>
            </w:pPr>
            <w:r w:rsidRPr="0030545D">
              <w:t>37</w:t>
            </w:r>
          </w:p>
        </w:tc>
        <w:tc>
          <w:tcPr>
            <w:tcW w:w="947" w:type="pct"/>
            <w:shd w:val="clear" w:color="auto" w:fill="auto"/>
            <w:vAlign w:val="center"/>
          </w:tcPr>
          <w:p w14:paraId="5CCAA32F" w14:textId="77777777" w:rsidR="00167384" w:rsidRPr="0030545D" w:rsidRDefault="00167384" w:rsidP="00167384">
            <w:pPr>
              <w:pStyle w:val="TableText"/>
              <w:jc w:val="center"/>
            </w:pPr>
            <w:r w:rsidRPr="0030545D">
              <w:t>Prospective longitudinal study</w:t>
            </w:r>
          </w:p>
          <w:p w14:paraId="64E339CF" w14:textId="77777777" w:rsidR="00167384" w:rsidRPr="0030545D" w:rsidRDefault="00167384" w:rsidP="00167384">
            <w:pPr>
              <w:pStyle w:val="TableText"/>
              <w:jc w:val="center"/>
            </w:pPr>
            <w:r w:rsidRPr="0030545D">
              <w:t xml:space="preserve">2.4 year </w:t>
            </w:r>
          </w:p>
          <w:p w14:paraId="7C2D9E13" w14:textId="77777777" w:rsidR="00167384" w:rsidRPr="0030545D" w:rsidRDefault="00167384" w:rsidP="00167384">
            <w:pPr>
              <w:pStyle w:val="TableText"/>
              <w:jc w:val="center"/>
            </w:pPr>
            <w:r w:rsidRPr="0030545D">
              <w:t>mean duration</w:t>
            </w:r>
          </w:p>
        </w:tc>
        <w:tc>
          <w:tcPr>
            <w:tcW w:w="387" w:type="pct"/>
            <w:shd w:val="clear" w:color="auto" w:fill="auto"/>
            <w:vAlign w:val="center"/>
          </w:tcPr>
          <w:p w14:paraId="7D1643F9" w14:textId="77777777" w:rsidR="00167384" w:rsidRPr="0030545D" w:rsidRDefault="00167384" w:rsidP="00A77D28">
            <w:pPr>
              <w:pStyle w:val="TableText"/>
              <w:jc w:val="center"/>
            </w:pPr>
            <w:r w:rsidRPr="0030545D">
              <w:t>High</w:t>
            </w:r>
          </w:p>
        </w:tc>
        <w:tc>
          <w:tcPr>
            <w:tcW w:w="927" w:type="pct"/>
            <w:shd w:val="clear" w:color="auto" w:fill="auto"/>
            <w:vAlign w:val="center"/>
          </w:tcPr>
          <w:p w14:paraId="5A3A9813" w14:textId="77777777" w:rsidR="00167384" w:rsidRPr="0030545D" w:rsidRDefault="00167384" w:rsidP="00CE2C02">
            <w:pPr>
              <w:pStyle w:val="TableText"/>
              <w:jc w:val="center"/>
            </w:pPr>
            <w:r w:rsidRPr="0030545D">
              <w:t xml:space="preserve">Patients receiving a stable dose of tetrabenazine for chorea associated with Huntington’s disease </w:t>
            </w:r>
          </w:p>
        </w:tc>
        <w:tc>
          <w:tcPr>
            <w:tcW w:w="852" w:type="pct"/>
            <w:shd w:val="clear" w:color="auto" w:fill="auto"/>
            <w:vAlign w:val="center"/>
          </w:tcPr>
          <w:p w14:paraId="14E8EB0B" w14:textId="77777777" w:rsidR="00167384" w:rsidRPr="0030545D" w:rsidRDefault="00167384" w:rsidP="00A77D28">
            <w:pPr>
              <w:pStyle w:val="TableText"/>
              <w:jc w:val="center"/>
            </w:pPr>
            <w:r w:rsidRPr="0030545D">
              <w:t>Adverse events, chorea and motor symptoms</w:t>
            </w:r>
          </w:p>
        </w:tc>
        <w:tc>
          <w:tcPr>
            <w:tcW w:w="1058" w:type="pct"/>
            <w:shd w:val="clear" w:color="auto" w:fill="auto"/>
            <w:vAlign w:val="center"/>
          </w:tcPr>
          <w:p w14:paraId="468DCC2E" w14:textId="77777777" w:rsidR="00167384" w:rsidRPr="0030545D" w:rsidRDefault="00167384" w:rsidP="00A77D28">
            <w:pPr>
              <w:pStyle w:val="TableText"/>
              <w:jc w:val="center"/>
            </w:pPr>
            <w:r w:rsidRPr="0030545D">
              <w:t>Not used</w:t>
            </w:r>
          </w:p>
        </w:tc>
      </w:tr>
    </w:tbl>
    <w:p w14:paraId="25E98220" w14:textId="77777777" w:rsidR="007C48EC" w:rsidRPr="0030545D" w:rsidRDefault="007C48EC" w:rsidP="00441BAE">
      <w:pPr>
        <w:pStyle w:val="TableFooter"/>
      </w:pPr>
      <w:r w:rsidRPr="0030545D">
        <w:t xml:space="preserve">Source: </w:t>
      </w:r>
      <w:r w:rsidR="00167384" w:rsidRPr="0030545D">
        <w:t xml:space="preserve">Section 2.3, Section 2.4 of the submission </w:t>
      </w:r>
    </w:p>
    <w:p w14:paraId="0A31C34B" w14:textId="77777777" w:rsidR="007C48EC" w:rsidRPr="0030545D" w:rsidRDefault="007C48EC" w:rsidP="00C14F95">
      <w:pPr>
        <w:pStyle w:val="TableFooter"/>
        <w:spacing w:after="120"/>
        <w:rPr>
          <w:sz w:val="20"/>
        </w:rPr>
      </w:pPr>
      <w:r w:rsidRPr="0030545D">
        <w:t xml:space="preserve">Abbreviations: </w:t>
      </w:r>
      <w:r w:rsidR="00167384" w:rsidRPr="0030545D">
        <w:t>RCT, randomised controlled trial</w:t>
      </w:r>
    </w:p>
    <w:p w14:paraId="321DDA88" w14:textId="77777777" w:rsidR="00A77D28" w:rsidRPr="0030545D" w:rsidRDefault="00A77D28" w:rsidP="008A270D">
      <w:pPr>
        <w:pStyle w:val="ExecSumBodyText"/>
      </w:pPr>
      <w:r w:rsidRPr="0030545D">
        <w:t xml:space="preserve">None of the included studies assessed the use of deutetrabenazine in patients who had already failed prior therapy with tetrabenazine. Therefore, there are no reliable estimates to quantify the </w:t>
      </w:r>
      <w:r w:rsidR="00A947C2" w:rsidRPr="0030545D">
        <w:t xml:space="preserve">effectiveness </w:t>
      </w:r>
      <w:r w:rsidRPr="0030545D">
        <w:t>and safety of deutetrabenazine in this population.</w:t>
      </w:r>
      <w:r w:rsidR="008A270D" w:rsidRPr="0030545D">
        <w:t xml:space="preserve"> </w:t>
      </w:r>
      <w:r w:rsidR="008A270D" w:rsidRPr="0030545D">
        <w:rPr>
          <w:iCs/>
        </w:rPr>
        <w:t xml:space="preserve">The PSCR argued the data from the FIRST-HD trial was generalisable to the Australian HD population with chorea requiring therapy and allowed patients who had previously received tetrabenazine (&gt;6 months prior) to participate and was therefore applicable to the requested population. The ESC agreed with the commentary and considered </w:t>
      </w:r>
      <w:r w:rsidR="00F50AA9" w:rsidRPr="0030545D">
        <w:rPr>
          <w:iCs/>
        </w:rPr>
        <w:t xml:space="preserve">the </w:t>
      </w:r>
      <w:r w:rsidR="00F50AA9" w:rsidRPr="0030545D">
        <w:t>clinical evidence did not examine the efficacy of deutetraben</w:t>
      </w:r>
      <w:r w:rsidR="00C738FC" w:rsidRPr="0030545D">
        <w:t>a</w:t>
      </w:r>
      <w:r w:rsidR="00F50AA9" w:rsidRPr="0030545D">
        <w:t xml:space="preserve">zine after failing tetrabenazine. The switch or prior treatment populations in the FIRST-HD or ARC-HD-SWITCH studies </w:t>
      </w:r>
      <w:r w:rsidR="00F464B4" w:rsidRPr="0030545D">
        <w:t xml:space="preserve">also </w:t>
      </w:r>
      <w:r w:rsidR="00F50AA9" w:rsidRPr="0030545D">
        <w:t>did not require patients to have failed treatment with tetrabenazine and cannot be used to inform the proposed positioning in second or third line</w:t>
      </w:r>
      <w:r w:rsidR="0071560F" w:rsidRPr="0030545D">
        <w:t xml:space="preserve"> treatment</w:t>
      </w:r>
      <w:r w:rsidR="008A270D" w:rsidRPr="0030545D">
        <w:rPr>
          <w:iCs/>
        </w:rPr>
        <w:t>.</w:t>
      </w:r>
    </w:p>
    <w:p w14:paraId="3E55556B" w14:textId="77777777" w:rsidR="00F24AFB" w:rsidRPr="0030545D" w:rsidRDefault="004E4173" w:rsidP="004E4173">
      <w:pPr>
        <w:pStyle w:val="ExecSumBodyText"/>
      </w:pPr>
      <w:r w:rsidRPr="0030545D">
        <w:rPr>
          <w:iCs/>
        </w:rPr>
        <w:t>In the economic analysis and financial implications, the submission noted observational data suggesting that dosing of deutetrabenazine may be lower in clinical practice (Ayyagari 2020; available as poster presentation only) compared to the included clinical studies (FIRST-HD, ARC-HD patient cohorts).</w:t>
      </w:r>
      <w:r w:rsidR="007F02F0" w:rsidRPr="0030545D">
        <w:rPr>
          <w:iCs/>
        </w:rPr>
        <w:t xml:space="preserve"> </w:t>
      </w:r>
    </w:p>
    <w:p w14:paraId="6ABAC4AF" w14:textId="77777777" w:rsidR="008A270D" w:rsidRPr="0030545D" w:rsidRDefault="004E4173" w:rsidP="008A270D">
      <w:pPr>
        <w:pStyle w:val="ExecSumBodyText"/>
      </w:pPr>
      <w:r w:rsidRPr="0030545D">
        <w:t>Th</w:t>
      </w:r>
      <w:r w:rsidR="00FE163D" w:rsidRPr="0030545D">
        <w:t xml:space="preserve">e Ayyagari 2020 </w:t>
      </w:r>
      <w:r w:rsidRPr="0030545D">
        <w:t xml:space="preserve"> analysis indicated that the average stable dose of deutetrabenazine in patients with Huntington’s disease was 28.5 mg per day compared to 39.7 mg per day in the FIRST-HD trial and 42.6 mg per day in the ARC-HD-ROLLOVER cohort</w:t>
      </w:r>
      <w:r w:rsidR="0030545D">
        <w:t xml:space="preserve">. </w:t>
      </w:r>
      <w:r w:rsidRPr="0030545D">
        <w:t>The analysis also suggested a much higher rate of treatment discontinuation (4.1% per 4-week period) compared to long-term study data from the ARC-HD-ROLLOVER cohort (1.1% per 4-week period).</w:t>
      </w:r>
      <w:r w:rsidR="00FE163D" w:rsidRPr="0030545D">
        <w:t xml:space="preserve"> Therefore, response rates reported in the clinical studies may not be representative of the real-world effectiveness of deutetrabenazine.</w:t>
      </w:r>
      <w:r w:rsidR="008A270D" w:rsidRPr="0030545D">
        <w:t xml:space="preserve"> </w:t>
      </w:r>
    </w:p>
    <w:p w14:paraId="1A184D1C" w14:textId="77777777" w:rsidR="00FE163D" w:rsidRPr="0030545D" w:rsidRDefault="008A270D" w:rsidP="008A270D">
      <w:pPr>
        <w:pStyle w:val="ExecSumBodyText"/>
      </w:pPr>
      <w:r w:rsidRPr="0030545D">
        <w:t xml:space="preserve">The PSCR argued the mean dose in the FIRST-HD and ARC-HD studies were generally similar and noted the variable in the ARC-HD trial measured whether patients ever </w:t>
      </w:r>
      <w:r w:rsidRPr="0030545D">
        <w:lastRenderedPageBreak/>
        <w:t xml:space="preserve">received a dose greater than 48mg and was not representative of the number or proportion of patients who were stable on a dose higher than the maximum in the draft product information. The ESC </w:t>
      </w:r>
      <w:r w:rsidR="00A947C2" w:rsidRPr="0030545D">
        <w:t xml:space="preserve">considered </w:t>
      </w:r>
      <w:r w:rsidRPr="0030545D">
        <w:t xml:space="preserve">it was unclear </w:t>
      </w:r>
      <w:r w:rsidR="00A947C2" w:rsidRPr="0030545D">
        <w:t xml:space="preserve">what doses of </w:t>
      </w:r>
      <w:r w:rsidRPr="0030545D">
        <w:t xml:space="preserve">deutetrabenazine </w:t>
      </w:r>
      <w:r w:rsidR="009569B9" w:rsidRPr="0030545D">
        <w:t>may be used</w:t>
      </w:r>
      <w:r w:rsidRPr="0030545D">
        <w:t xml:space="preserve"> in the real-world setting and this added additional uncertainty for the clinical, economic and financial comparisons.</w:t>
      </w:r>
    </w:p>
    <w:p w14:paraId="3152F55A" w14:textId="77777777" w:rsidR="00B60939" w:rsidRPr="0030545D" w:rsidRDefault="00B60939" w:rsidP="00EC5836">
      <w:pPr>
        <w:pStyle w:val="3-SubsectionHeading"/>
      </w:pPr>
      <w:bookmarkStart w:id="14" w:name="_Toc22897641"/>
      <w:bookmarkStart w:id="15" w:name="_Toc61940993"/>
      <w:r w:rsidRPr="0030545D">
        <w:t>Comparative effectiveness</w:t>
      </w:r>
      <w:bookmarkEnd w:id="14"/>
      <w:bookmarkEnd w:id="15"/>
    </w:p>
    <w:p w14:paraId="569B50CA" w14:textId="77777777" w:rsidR="00A77D28" w:rsidRPr="0030545D" w:rsidRDefault="00A77D28" w:rsidP="00F464B4">
      <w:pPr>
        <w:pStyle w:val="ExecSumBodyText"/>
      </w:pPr>
      <w:r w:rsidRPr="0030545D">
        <w:t xml:space="preserve">The change in </w:t>
      </w:r>
      <w:r w:rsidR="008C0DBC" w:rsidRPr="0030545D">
        <w:t>Unified Huntington Disease Rating Scale (</w:t>
      </w:r>
      <w:r w:rsidRPr="0030545D">
        <w:t>UHDRS</w:t>
      </w:r>
      <w:r w:rsidR="008C0DBC" w:rsidRPr="0030545D">
        <w:t>)</w:t>
      </w:r>
      <w:r w:rsidRPr="0030545D">
        <w:t xml:space="preserve"> Total Maximal Chorea </w:t>
      </w:r>
      <w:r w:rsidR="00B906AE" w:rsidRPr="0030545D">
        <w:t xml:space="preserve">(TMC) </w:t>
      </w:r>
      <w:r w:rsidRPr="0030545D">
        <w:t>score with deutetrabenazine and placebo in the FIRST-HD trial (primary outcome) is summarised in the table below.</w:t>
      </w:r>
    </w:p>
    <w:p w14:paraId="1F774015" w14:textId="77777777" w:rsidR="00A77D28" w:rsidRPr="0030545D" w:rsidRDefault="00A77D28" w:rsidP="00A77D28">
      <w:pPr>
        <w:pStyle w:val="Tableheadingrow"/>
        <w:rPr>
          <w:lang w:val="en-AU"/>
        </w:rPr>
      </w:pPr>
      <w:r w:rsidRPr="0030545D">
        <w:rPr>
          <w:lang w:val="en-AU"/>
        </w:rPr>
        <w:t xml:space="preserve">Table 4: Change in UHDRS </w:t>
      </w:r>
      <w:r w:rsidR="00B906AE" w:rsidRPr="0030545D">
        <w:rPr>
          <w:lang w:val="en-AU"/>
        </w:rPr>
        <w:t>TMC</w:t>
      </w:r>
      <w:r w:rsidRPr="0030545D">
        <w:rPr>
          <w:lang w:val="en-AU"/>
        </w:rPr>
        <w:t xml:space="preserve"> score from baseline to maintenance period (average of Week 9 and Week 12 values) in the FIRST-HD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084"/>
        <w:gridCol w:w="1184"/>
        <w:gridCol w:w="1701"/>
        <w:gridCol w:w="1984"/>
        <w:gridCol w:w="937"/>
      </w:tblGrid>
      <w:tr w:rsidR="00A77D28" w:rsidRPr="0030545D" w14:paraId="7A0842C0" w14:textId="77777777" w:rsidTr="00C14F95">
        <w:trPr>
          <w:tblHeader/>
        </w:trPr>
        <w:tc>
          <w:tcPr>
            <w:tcW w:w="2127" w:type="dxa"/>
            <w:tcMar>
              <w:left w:w="28" w:type="dxa"/>
              <w:right w:w="28" w:type="dxa"/>
            </w:tcMar>
            <w:vAlign w:val="center"/>
            <w:hideMark/>
          </w:tcPr>
          <w:p w14:paraId="3CE23248" w14:textId="77777777" w:rsidR="00A77D28" w:rsidRPr="0030545D" w:rsidRDefault="00A77D28" w:rsidP="00A77D28">
            <w:pPr>
              <w:pStyle w:val="TableText"/>
              <w:keepNext w:val="0"/>
              <w:widowControl w:val="0"/>
            </w:pPr>
            <w:r w:rsidRPr="0030545D">
              <w:rPr>
                <w:b/>
              </w:rPr>
              <w:t>Outcome</w:t>
            </w:r>
          </w:p>
        </w:tc>
        <w:tc>
          <w:tcPr>
            <w:tcW w:w="1084" w:type="dxa"/>
            <w:tcMar>
              <w:left w:w="28" w:type="dxa"/>
              <w:right w:w="28" w:type="dxa"/>
            </w:tcMar>
            <w:vAlign w:val="center"/>
            <w:hideMark/>
          </w:tcPr>
          <w:p w14:paraId="4CAFC707" w14:textId="77777777" w:rsidR="00A77D28" w:rsidRPr="0030545D" w:rsidRDefault="00A77D28" w:rsidP="00A77D28">
            <w:pPr>
              <w:pStyle w:val="TableText"/>
              <w:keepNext w:val="0"/>
              <w:widowControl w:val="0"/>
              <w:jc w:val="center"/>
              <w:rPr>
                <w:b/>
              </w:rPr>
            </w:pPr>
            <w:r w:rsidRPr="0030545D">
              <w:rPr>
                <w:b/>
              </w:rPr>
              <w:t>Baseline</w:t>
            </w:r>
          </w:p>
          <w:p w14:paraId="0E732D57" w14:textId="77777777" w:rsidR="00A77D28" w:rsidRPr="0030545D" w:rsidRDefault="00A77D28" w:rsidP="00A77D28">
            <w:pPr>
              <w:pStyle w:val="TableText"/>
              <w:keepNext w:val="0"/>
              <w:widowControl w:val="0"/>
              <w:jc w:val="center"/>
            </w:pPr>
            <w:r w:rsidRPr="0030545D">
              <w:rPr>
                <w:b/>
              </w:rPr>
              <w:t>Mean (SD)</w:t>
            </w:r>
          </w:p>
        </w:tc>
        <w:tc>
          <w:tcPr>
            <w:tcW w:w="1184" w:type="dxa"/>
            <w:tcMar>
              <w:left w:w="28" w:type="dxa"/>
              <w:right w:w="28" w:type="dxa"/>
            </w:tcMar>
            <w:vAlign w:val="center"/>
          </w:tcPr>
          <w:p w14:paraId="739F1541" w14:textId="77777777" w:rsidR="00A77D28" w:rsidRPr="0030545D" w:rsidRDefault="00A77D28" w:rsidP="00A77D28">
            <w:pPr>
              <w:pStyle w:val="TableText"/>
              <w:keepNext w:val="0"/>
              <w:widowControl w:val="0"/>
              <w:jc w:val="center"/>
              <w:rPr>
                <w:b/>
              </w:rPr>
            </w:pPr>
            <w:r w:rsidRPr="0030545D">
              <w:rPr>
                <w:b/>
              </w:rPr>
              <w:t xml:space="preserve">Endpoint </w:t>
            </w:r>
          </w:p>
          <w:p w14:paraId="38FF56B9" w14:textId="77777777" w:rsidR="00A77D28" w:rsidRPr="0030545D" w:rsidRDefault="00A77D28" w:rsidP="00A77D28">
            <w:pPr>
              <w:pStyle w:val="TableText"/>
              <w:keepNext w:val="0"/>
              <w:widowControl w:val="0"/>
              <w:jc w:val="center"/>
              <w:rPr>
                <w:b/>
              </w:rPr>
            </w:pPr>
            <w:r w:rsidRPr="0030545D">
              <w:rPr>
                <w:b/>
              </w:rPr>
              <w:t>Mean (SD)</w:t>
            </w:r>
          </w:p>
        </w:tc>
        <w:tc>
          <w:tcPr>
            <w:tcW w:w="1701" w:type="dxa"/>
            <w:tcMar>
              <w:left w:w="28" w:type="dxa"/>
              <w:right w:w="28" w:type="dxa"/>
            </w:tcMar>
            <w:vAlign w:val="center"/>
          </w:tcPr>
          <w:p w14:paraId="36AED7A4" w14:textId="77777777" w:rsidR="00A77D28" w:rsidRPr="0030545D" w:rsidRDefault="00A77D28" w:rsidP="00A77D28">
            <w:pPr>
              <w:pStyle w:val="TableText"/>
              <w:keepNext w:val="0"/>
              <w:widowControl w:val="0"/>
              <w:jc w:val="center"/>
              <w:rPr>
                <w:b/>
              </w:rPr>
            </w:pPr>
            <w:r w:rsidRPr="0030545D">
              <w:rPr>
                <w:b/>
              </w:rPr>
              <w:t>Least Squares Mean (SD) change from baseline</w:t>
            </w:r>
          </w:p>
        </w:tc>
        <w:tc>
          <w:tcPr>
            <w:tcW w:w="1984" w:type="dxa"/>
            <w:tcMar>
              <w:left w:w="28" w:type="dxa"/>
              <w:right w:w="28" w:type="dxa"/>
            </w:tcMar>
            <w:vAlign w:val="center"/>
          </w:tcPr>
          <w:p w14:paraId="6C937FA6" w14:textId="77777777" w:rsidR="00A77D28" w:rsidRPr="0030545D" w:rsidRDefault="00A77D28" w:rsidP="00A77D28">
            <w:pPr>
              <w:pStyle w:val="TableText"/>
              <w:keepNext w:val="0"/>
              <w:widowControl w:val="0"/>
              <w:jc w:val="center"/>
              <w:rPr>
                <w:b/>
              </w:rPr>
            </w:pPr>
            <w:r w:rsidRPr="0030545D">
              <w:rPr>
                <w:b/>
              </w:rPr>
              <w:t xml:space="preserve">Least Squares Mean (95% CI) difference in change from baseline </w:t>
            </w:r>
          </w:p>
        </w:tc>
        <w:tc>
          <w:tcPr>
            <w:tcW w:w="937" w:type="dxa"/>
            <w:tcMar>
              <w:left w:w="28" w:type="dxa"/>
              <w:right w:w="28" w:type="dxa"/>
            </w:tcMar>
            <w:vAlign w:val="center"/>
          </w:tcPr>
          <w:p w14:paraId="7194F1AC" w14:textId="77777777" w:rsidR="00A77D28" w:rsidRPr="0030545D" w:rsidRDefault="00A77D28" w:rsidP="00A77D28">
            <w:pPr>
              <w:pStyle w:val="TableText"/>
              <w:keepNext w:val="0"/>
              <w:widowControl w:val="0"/>
              <w:jc w:val="center"/>
              <w:rPr>
                <w:b/>
                <w:vertAlign w:val="superscript"/>
              </w:rPr>
            </w:pPr>
            <w:r w:rsidRPr="0030545D">
              <w:rPr>
                <w:b/>
              </w:rPr>
              <w:t>P-value</w:t>
            </w:r>
          </w:p>
        </w:tc>
      </w:tr>
      <w:tr w:rsidR="00A77D28" w:rsidRPr="0030545D" w14:paraId="525096B7" w14:textId="77777777" w:rsidTr="00C14F95">
        <w:trPr>
          <w:trHeight w:val="70"/>
        </w:trPr>
        <w:tc>
          <w:tcPr>
            <w:tcW w:w="9017" w:type="dxa"/>
            <w:gridSpan w:val="6"/>
            <w:tcMar>
              <w:left w:w="28" w:type="dxa"/>
              <w:right w:w="28" w:type="dxa"/>
            </w:tcMar>
            <w:vAlign w:val="center"/>
          </w:tcPr>
          <w:p w14:paraId="29F5B5EA" w14:textId="77777777" w:rsidR="00A77D28" w:rsidRPr="0030545D" w:rsidRDefault="00A77D28" w:rsidP="00A77D28">
            <w:pPr>
              <w:pStyle w:val="TableText"/>
              <w:keepNext w:val="0"/>
              <w:widowControl w:val="0"/>
              <w:rPr>
                <w:b/>
              </w:rPr>
            </w:pPr>
            <w:r w:rsidRPr="0030545D">
              <w:rPr>
                <w:b/>
              </w:rPr>
              <w:t>UHDRS Total Maximal Chorea score (0-28 scale, with higher scores indicating more severe chorea)</w:t>
            </w:r>
          </w:p>
        </w:tc>
      </w:tr>
      <w:tr w:rsidR="00A77D28" w:rsidRPr="0030545D" w14:paraId="39420345" w14:textId="77777777" w:rsidTr="00C14F95">
        <w:trPr>
          <w:trHeight w:val="70"/>
        </w:trPr>
        <w:tc>
          <w:tcPr>
            <w:tcW w:w="2127" w:type="dxa"/>
            <w:tcMar>
              <w:left w:w="28" w:type="dxa"/>
              <w:right w:w="28" w:type="dxa"/>
            </w:tcMar>
            <w:vAlign w:val="center"/>
          </w:tcPr>
          <w:p w14:paraId="78B2D9F8" w14:textId="77777777" w:rsidR="00A77D28" w:rsidRPr="0030545D" w:rsidRDefault="00A77D28" w:rsidP="00A77D28">
            <w:pPr>
              <w:pStyle w:val="TableText"/>
              <w:keepNext w:val="0"/>
              <w:widowControl w:val="0"/>
            </w:pPr>
            <w:r w:rsidRPr="0030545D">
              <w:t>Deutetrabenazine (N = 45)</w:t>
            </w:r>
          </w:p>
        </w:tc>
        <w:tc>
          <w:tcPr>
            <w:tcW w:w="1084" w:type="dxa"/>
            <w:tcMar>
              <w:left w:w="28" w:type="dxa"/>
              <w:right w:w="28" w:type="dxa"/>
            </w:tcMar>
            <w:vAlign w:val="center"/>
          </w:tcPr>
          <w:p w14:paraId="00610A17" w14:textId="77777777" w:rsidR="00A77D28" w:rsidRPr="0030545D" w:rsidRDefault="00A77D28" w:rsidP="00A77D28">
            <w:pPr>
              <w:pStyle w:val="TableText"/>
              <w:keepNext w:val="0"/>
              <w:widowControl w:val="0"/>
              <w:jc w:val="center"/>
            </w:pPr>
            <w:r w:rsidRPr="0030545D">
              <w:t>12.07 (2.727)</w:t>
            </w:r>
          </w:p>
        </w:tc>
        <w:tc>
          <w:tcPr>
            <w:tcW w:w="1184" w:type="dxa"/>
            <w:tcMar>
              <w:left w:w="28" w:type="dxa"/>
              <w:right w:w="28" w:type="dxa"/>
            </w:tcMar>
            <w:vAlign w:val="center"/>
          </w:tcPr>
          <w:p w14:paraId="25CCC5BC" w14:textId="77777777" w:rsidR="00A77D28" w:rsidRPr="0030545D" w:rsidRDefault="00A77D28" w:rsidP="00A77D28">
            <w:pPr>
              <w:pStyle w:val="TableText"/>
              <w:keepNext w:val="0"/>
              <w:widowControl w:val="0"/>
              <w:jc w:val="center"/>
            </w:pPr>
            <w:r w:rsidRPr="0030545D">
              <w:t>7.70 (3.868)</w:t>
            </w:r>
          </w:p>
        </w:tc>
        <w:tc>
          <w:tcPr>
            <w:tcW w:w="1701" w:type="dxa"/>
            <w:tcMar>
              <w:left w:w="28" w:type="dxa"/>
              <w:right w:w="28" w:type="dxa"/>
            </w:tcMar>
            <w:vAlign w:val="center"/>
          </w:tcPr>
          <w:p w14:paraId="3BCA8BAD" w14:textId="77777777" w:rsidR="00A77D28" w:rsidRPr="0030545D" w:rsidRDefault="00A77D28" w:rsidP="00A77D28">
            <w:pPr>
              <w:pStyle w:val="TableText"/>
              <w:keepNext w:val="0"/>
              <w:widowControl w:val="0"/>
              <w:jc w:val="center"/>
            </w:pPr>
            <w:r w:rsidRPr="0030545D">
              <w:t>-4.42 (2.953)</w:t>
            </w:r>
          </w:p>
        </w:tc>
        <w:tc>
          <w:tcPr>
            <w:tcW w:w="1984" w:type="dxa"/>
            <w:vMerge w:val="restart"/>
            <w:tcMar>
              <w:left w:w="28" w:type="dxa"/>
              <w:right w:w="28" w:type="dxa"/>
            </w:tcMar>
            <w:vAlign w:val="center"/>
          </w:tcPr>
          <w:p w14:paraId="645D2D8F" w14:textId="77777777" w:rsidR="00A77D28" w:rsidRPr="0030545D" w:rsidRDefault="00A77D28" w:rsidP="00A77D28">
            <w:pPr>
              <w:pStyle w:val="TableText"/>
              <w:keepNext w:val="0"/>
              <w:widowControl w:val="0"/>
              <w:jc w:val="center"/>
            </w:pPr>
            <w:r w:rsidRPr="0030545D">
              <w:t>-2.49 (-3.69, -1.29)</w:t>
            </w:r>
          </w:p>
        </w:tc>
        <w:tc>
          <w:tcPr>
            <w:tcW w:w="937" w:type="dxa"/>
            <w:vMerge w:val="restart"/>
            <w:tcMar>
              <w:left w:w="28" w:type="dxa"/>
              <w:right w:w="28" w:type="dxa"/>
            </w:tcMar>
            <w:vAlign w:val="center"/>
          </w:tcPr>
          <w:p w14:paraId="65A9AC40" w14:textId="77777777" w:rsidR="00A77D28" w:rsidRPr="0030545D" w:rsidRDefault="00A77D28" w:rsidP="00A77D28">
            <w:pPr>
              <w:pStyle w:val="TableText"/>
              <w:keepNext w:val="0"/>
              <w:widowControl w:val="0"/>
              <w:jc w:val="center"/>
            </w:pPr>
            <w:r w:rsidRPr="0030545D">
              <w:t>&lt;0.0001</w:t>
            </w:r>
          </w:p>
        </w:tc>
      </w:tr>
      <w:tr w:rsidR="00A77D28" w:rsidRPr="0030545D" w14:paraId="6922AA9B" w14:textId="77777777" w:rsidTr="00C14F95">
        <w:trPr>
          <w:trHeight w:val="70"/>
        </w:trPr>
        <w:tc>
          <w:tcPr>
            <w:tcW w:w="2127" w:type="dxa"/>
            <w:tcMar>
              <w:left w:w="28" w:type="dxa"/>
              <w:right w:w="28" w:type="dxa"/>
            </w:tcMar>
            <w:vAlign w:val="center"/>
          </w:tcPr>
          <w:p w14:paraId="348436BF" w14:textId="77777777" w:rsidR="00A77D28" w:rsidRPr="0030545D" w:rsidRDefault="00A77D28" w:rsidP="00A77D28">
            <w:pPr>
              <w:pStyle w:val="TableText"/>
              <w:keepNext w:val="0"/>
              <w:widowControl w:val="0"/>
            </w:pPr>
            <w:r w:rsidRPr="0030545D">
              <w:t>Placebo (N = 45)</w:t>
            </w:r>
          </w:p>
        </w:tc>
        <w:tc>
          <w:tcPr>
            <w:tcW w:w="1084" w:type="dxa"/>
            <w:tcMar>
              <w:left w:w="28" w:type="dxa"/>
              <w:right w:w="28" w:type="dxa"/>
            </w:tcMar>
            <w:vAlign w:val="center"/>
          </w:tcPr>
          <w:p w14:paraId="4F351E91" w14:textId="77777777" w:rsidR="00A77D28" w:rsidRPr="0030545D" w:rsidRDefault="00A77D28" w:rsidP="00A77D28">
            <w:pPr>
              <w:pStyle w:val="TableText"/>
              <w:keepNext w:val="0"/>
              <w:widowControl w:val="0"/>
              <w:jc w:val="center"/>
            </w:pPr>
            <w:r w:rsidRPr="0030545D">
              <w:t>13.24 (3.488)</w:t>
            </w:r>
          </w:p>
        </w:tc>
        <w:tc>
          <w:tcPr>
            <w:tcW w:w="1184" w:type="dxa"/>
            <w:tcMar>
              <w:left w:w="28" w:type="dxa"/>
              <w:right w:w="28" w:type="dxa"/>
            </w:tcMar>
            <w:vAlign w:val="center"/>
          </w:tcPr>
          <w:p w14:paraId="43E29111" w14:textId="77777777" w:rsidR="00A77D28" w:rsidRPr="0030545D" w:rsidRDefault="00A77D28" w:rsidP="00A77D28">
            <w:pPr>
              <w:pStyle w:val="TableText"/>
              <w:keepNext w:val="0"/>
              <w:widowControl w:val="0"/>
              <w:jc w:val="center"/>
            </w:pPr>
            <w:r w:rsidRPr="0030545D">
              <w:t>11.26 (4.075)</w:t>
            </w:r>
          </w:p>
        </w:tc>
        <w:tc>
          <w:tcPr>
            <w:tcW w:w="1701" w:type="dxa"/>
            <w:tcMar>
              <w:left w:w="28" w:type="dxa"/>
              <w:right w:w="28" w:type="dxa"/>
            </w:tcMar>
            <w:vAlign w:val="center"/>
          </w:tcPr>
          <w:p w14:paraId="65E424B2" w14:textId="77777777" w:rsidR="00A77D28" w:rsidRPr="0030545D" w:rsidRDefault="00A77D28" w:rsidP="00A77D28">
            <w:pPr>
              <w:pStyle w:val="TableText"/>
              <w:keepNext w:val="0"/>
              <w:widowControl w:val="0"/>
              <w:jc w:val="center"/>
            </w:pPr>
            <w:r w:rsidRPr="0030545D">
              <w:t>-1.93 (2.666)</w:t>
            </w:r>
          </w:p>
        </w:tc>
        <w:tc>
          <w:tcPr>
            <w:tcW w:w="1984" w:type="dxa"/>
            <w:vMerge/>
            <w:vAlign w:val="center"/>
          </w:tcPr>
          <w:p w14:paraId="7C60B39A" w14:textId="77777777" w:rsidR="00A77D28" w:rsidRPr="0030545D" w:rsidRDefault="00A77D28" w:rsidP="00A77D28">
            <w:pPr>
              <w:pStyle w:val="TableText"/>
              <w:keepNext w:val="0"/>
              <w:widowControl w:val="0"/>
              <w:jc w:val="center"/>
            </w:pPr>
          </w:p>
        </w:tc>
        <w:tc>
          <w:tcPr>
            <w:tcW w:w="937" w:type="dxa"/>
            <w:vMerge/>
            <w:vAlign w:val="center"/>
          </w:tcPr>
          <w:p w14:paraId="24D70D37" w14:textId="77777777" w:rsidR="00A77D28" w:rsidRPr="0030545D" w:rsidRDefault="00A77D28" w:rsidP="00A77D28">
            <w:pPr>
              <w:pStyle w:val="TableText"/>
              <w:keepNext w:val="0"/>
              <w:widowControl w:val="0"/>
              <w:jc w:val="center"/>
            </w:pPr>
          </w:p>
        </w:tc>
      </w:tr>
    </w:tbl>
    <w:p w14:paraId="71F7DBEA" w14:textId="77777777" w:rsidR="00A77D28" w:rsidRPr="0030545D" w:rsidRDefault="00A77D28" w:rsidP="00441BAE">
      <w:pPr>
        <w:pStyle w:val="TableFooter"/>
      </w:pPr>
      <w:r w:rsidRPr="0030545D">
        <w:t>Source: Table 2-29 of the submission</w:t>
      </w:r>
    </w:p>
    <w:p w14:paraId="4CBC9785" w14:textId="77777777" w:rsidR="00A77D28" w:rsidRPr="0030545D" w:rsidRDefault="00A77D28" w:rsidP="00C14F95">
      <w:pPr>
        <w:pStyle w:val="TableFooter"/>
        <w:spacing w:after="120"/>
      </w:pPr>
      <w:r w:rsidRPr="0030545D">
        <w:t>Abbreviations: CI, confidence interval; SD, standard deviation; UHDRS, Unified Huntington Disease Rating Scale</w:t>
      </w:r>
      <w:r w:rsidR="00B906AE" w:rsidRPr="0030545D">
        <w:t>, TMC, Total Maximal Chorea</w:t>
      </w:r>
    </w:p>
    <w:p w14:paraId="7A0D985D" w14:textId="77777777" w:rsidR="00443718" w:rsidRPr="0030545D" w:rsidRDefault="00A77D28" w:rsidP="00E816E9">
      <w:pPr>
        <w:pStyle w:val="ExecSumBodyText"/>
      </w:pPr>
      <w:r w:rsidRPr="0030545D">
        <w:t>Treatment with deutetrabenazine was associated with a statistically significant reduction in UHDRS Total Maximal Chorea score compared to placebo over 12 weeks (LSM difference -2.49; 95% CI -3.69, -1.29).</w:t>
      </w:r>
    </w:p>
    <w:p w14:paraId="769B19D3" w14:textId="77777777" w:rsidR="00E816E9" w:rsidRPr="0030545D" w:rsidRDefault="008D1B68" w:rsidP="00E816E9">
      <w:pPr>
        <w:pStyle w:val="ExecSumBodyText"/>
      </w:pPr>
      <w:r w:rsidRPr="0030545D">
        <w:t xml:space="preserve">The submission nominated a minimal clinically important difference of 2-3 points for the change in Total Maximal Chorea </w:t>
      </w:r>
      <w:r w:rsidR="00105574" w:rsidRPr="0030545D">
        <w:t xml:space="preserve">(TMC) </w:t>
      </w:r>
      <w:r w:rsidRPr="0030545D">
        <w:t>score. This nomination was based on the American Academy of Neurology 2011 guidelines on the treatment of chorea which indicated that a difference of 1 point was modestly important, 2 points was moderately important and 3 points was very important for the broader Total Motor Score</w:t>
      </w:r>
      <w:r w:rsidR="00105574" w:rsidRPr="0030545D">
        <w:t xml:space="preserve"> (TMS)</w:t>
      </w:r>
      <w:r w:rsidRPr="0030545D">
        <w:t>. The submission argued that given the differences in scales between the two scores (TMS: 0-124; TMC 0-28) it is likely that a 2-3 point difference in Total Maximal Chorea score is clinically important</w:t>
      </w:r>
      <w:r w:rsidR="0030545D">
        <w:t xml:space="preserve">. </w:t>
      </w:r>
      <w:r w:rsidRPr="0030545D">
        <w:t xml:space="preserve"> </w:t>
      </w:r>
    </w:p>
    <w:p w14:paraId="373A9F2D" w14:textId="77777777" w:rsidR="00E816E9" w:rsidRPr="0030545D" w:rsidRDefault="00E816E9" w:rsidP="00E816E9">
      <w:pPr>
        <w:pStyle w:val="ExecSumBodyText"/>
        <w:rPr>
          <w:iCs/>
        </w:rPr>
      </w:pPr>
      <w:r w:rsidRPr="0030545D">
        <w:rPr>
          <w:iCs/>
        </w:rPr>
        <w:t xml:space="preserve">The most recent publication of the FIRST-HD trial (Frank 2016) noted that the trial was powered to detect a 2.7 point difference in </w:t>
      </w:r>
      <w:r w:rsidR="00B906AE" w:rsidRPr="0030545D">
        <w:rPr>
          <w:iCs/>
        </w:rPr>
        <w:t>TMC</w:t>
      </w:r>
      <w:r w:rsidRPr="0030545D">
        <w:rPr>
          <w:iCs/>
        </w:rPr>
        <w:t xml:space="preserve"> score similar to that observed with tetrabenazine versus placebo. However, the study authors noted that the clinical importance of this difference was unclear. Additionally, there appeared to be poor correlation between the proportion of patients reporting a &gt; 2 point reduction (67%; 60/90) or &gt; 3 point reduction (56%; 50/90) in TMC score from baseline compared to proportion of patients with treatment success based on patient global impression (36%; 32/90) or physician global impression (28%; 25/90). These results suggest that for some patients a 2-3 point reduction in TMC score may not be clinically important.</w:t>
      </w:r>
      <w:r w:rsidR="00624CC0" w:rsidRPr="0030545D">
        <w:rPr>
          <w:iCs/>
        </w:rPr>
        <w:t xml:space="preserve"> The ESC considered that the outcome of change in TMC score was a subjective measure that varies based on a range of factors, however agreed that overall the </w:t>
      </w:r>
      <w:r w:rsidR="00624CC0" w:rsidRPr="0030545D">
        <w:rPr>
          <w:iCs/>
        </w:rPr>
        <w:lastRenderedPageBreak/>
        <w:t>results support a conclusion that deutetrabenazine is more effective than placebo for reducing chorea in HD</w:t>
      </w:r>
      <w:r w:rsidR="00A947C2" w:rsidRPr="0030545D">
        <w:rPr>
          <w:iCs/>
        </w:rPr>
        <w:t>, in the first-line setting</w:t>
      </w:r>
      <w:r w:rsidR="00624CC0" w:rsidRPr="0030545D">
        <w:rPr>
          <w:iCs/>
        </w:rPr>
        <w:t>.</w:t>
      </w:r>
    </w:p>
    <w:p w14:paraId="5EF94DFF" w14:textId="77777777" w:rsidR="00CF06A7" w:rsidRPr="0030545D" w:rsidRDefault="00E816E9" w:rsidP="00CF06A7">
      <w:pPr>
        <w:pStyle w:val="ExecSumBodyText"/>
      </w:pPr>
      <w:r w:rsidRPr="0030545D">
        <w:rPr>
          <w:iCs/>
        </w:rPr>
        <w:t>Feedback from the sponsor-commissioned physician survey indicated that TMC scores are not used in clinical practice with physicians relying on a more global impression of symptoms. The physicians also noted that chorea symptoms can vary from one consultation to the next, depending on how the patient is feeling on any given day.</w:t>
      </w:r>
      <w:r w:rsidR="00F50AA9" w:rsidRPr="0030545D">
        <w:rPr>
          <w:iCs/>
        </w:rPr>
        <w:t xml:space="preserve"> </w:t>
      </w:r>
      <w:r w:rsidRPr="0030545D">
        <w:rPr>
          <w:iCs/>
        </w:rPr>
        <w:t>Overall, the nominated minimal clinically important difference used in submission does not appear to be well supported.</w:t>
      </w:r>
      <w:r w:rsidR="00624CC0" w:rsidRPr="0030545D">
        <w:rPr>
          <w:iCs/>
        </w:rPr>
        <w:t xml:space="preserve"> </w:t>
      </w:r>
    </w:p>
    <w:p w14:paraId="1D3228E0" w14:textId="77777777" w:rsidR="00CF06A7" w:rsidRPr="0030545D" w:rsidRDefault="00CF06A7" w:rsidP="00CF06A7">
      <w:pPr>
        <w:pStyle w:val="ExecSumBodyText"/>
      </w:pPr>
      <w:r w:rsidRPr="0030545D">
        <w:t xml:space="preserve">Additional analyses of chorea scores using different definitions of response consistently favoured deutetrabenazine treatment compared to placebo (shown in Figure 1). The proportion of patients achieving a </w:t>
      </w:r>
      <w:r w:rsidRPr="0030545D">
        <w:rPr>
          <w:u w:val="single"/>
        </w:rPr>
        <w:t>&gt;</w:t>
      </w:r>
      <w:r w:rsidRPr="0030545D">
        <w:t xml:space="preserve"> 3 point reduction from baseline</w:t>
      </w:r>
      <w:r w:rsidR="00BE1B97" w:rsidRPr="0030545D">
        <w:t xml:space="preserve"> (71.1% deutetrabenazine, 40% placebo)</w:t>
      </w:r>
      <w:r w:rsidRPr="0030545D">
        <w:t xml:space="preserve"> was the key efficacy outcome used in the economic analysis.</w:t>
      </w:r>
    </w:p>
    <w:p w14:paraId="2856C8CE" w14:textId="77777777" w:rsidR="00CF06A7" w:rsidRPr="0030545D" w:rsidRDefault="00CF06A7" w:rsidP="00CF06A7">
      <w:pPr>
        <w:pStyle w:val="TableHeading"/>
        <w:spacing w:after="0"/>
      </w:pPr>
      <w:r w:rsidRPr="0030545D">
        <w:t>Figure 1: Responder analyses of change in UHDRS Total Maximal Chorea score from baseline to maintenance period (average of Week 9 and Week 12 values) in the FIRST-HD trial</w:t>
      </w:r>
    </w:p>
    <w:p w14:paraId="24625FDA" w14:textId="77777777" w:rsidR="00CF06A7" w:rsidRPr="0030545D" w:rsidRDefault="00CF06A7" w:rsidP="00CF06A7">
      <w:pPr>
        <w:keepNext/>
        <w:rPr>
          <w:color w:val="3366FF"/>
        </w:rPr>
      </w:pPr>
      <w:r w:rsidRPr="0030545D">
        <w:rPr>
          <w:noProof/>
        </w:rPr>
        <w:drawing>
          <wp:inline distT="0" distB="0" distL="0" distR="0" wp14:anchorId="7D691FD8" wp14:editId="3E61D287">
            <wp:extent cx="4881373" cy="3214687"/>
            <wp:effectExtent l="0" t="0" r="0" b="5080"/>
            <wp:docPr id="6" name="Picture 6" title="Figure 1: Responder analyses of change in UHDRS Total Maximal Chorea score from baseline to maintenance period (average of Week 9 and Week 12 values) in the FIRST-HD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9195" cy="3226424"/>
                    </a:xfrm>
                    <a:prstGeom prst="rect">
                      <a:avLst/>
                    </a:prstGeom>
                  </pic:spPr>
                </pic:pic>
              </a:graphicData>
            </a:graphic>
          </wp:inline>
        </w:drawing>
      </w:r>
    </w:p>
    <w:p w14:paraId="6D03FFF1" w14:textId="77777777" w:rsidR="00CF06A7" w:rsidRPr="0030545D" w:rsidRDefault="00CF06A7" w:rsidP="00441BAE">
      <w:pPr>
        <w:pStyle w:val="TableFooter"/>
      </w:pPr>
      <w:r w:rsidRPr="0030545D">
        <w:t>Source: Figure 2-2  of the submission</w:t>
      </w:r>
    </w:p>
    <w:p w14:paraId="4D7EA0E8" w14:textId="77777777" w:rsidR="00CF06A7" w:rsidRPr="0030545D" w:rsidRDefault="00CF06A7" w:rsidP="00C14F95">
      <w:pPr>
        <w:pStyle w:val="TableFooter"/>
        <w:spacing w:after="120"/>
      </w:pPr>
      <w:r w:rsidRPr="0030545D">
        <w:t>Abbreviations: SD-809, deutetrabenazine; TMC, Total Maximal Chorea</w:t>
      </w:r>
    </w:p>
    <w:p w14:paraId="0DEFD4E7" w14:textId="77777777" w:rsidR="00A77D28" w:rsidRPr="0030545D" w:rsidRDefault="00A77D28" w:rsidP="00290FA3">
      <w:pPr>
        <w:pStyle w:val="ExecSumBodyText"/>
        <w:spacing w:before="120"/>
      </w:pPr>
      <w:r w:rsidRPr="0030545D">
        <w:t>The proportion of patients with treatment success based on patient or physician global impression is summarised in the table below</w:t>
      </w:r>
      <w:r w:rsidR="006A546B" w:rsidRPr="0030545D">
        <w:t>.</w:t>
      </w:r>
    </w:p>
    <w:p w14:paraId="44C7559E" w14:textId="77777777" w:rsidR="006C4F0C" w:rsidRPr="0030545D" w:rsidRDefault="006C4F0C" w:rsidP="00C14F95">
      <w:pPr>
        <w:pStyle w:val="Tableheadingrow"/>
        <w:rPr>
          <w:lang w:val="en-AU"/>
        </w:rPr>
      </w:pPr>
      <w:r w:rsidRPr="0030545D">
        <w:rPr>
          <w:lang w:val="en-AU"/>
        </w:rPr>
        <w:lastRenderedPageBreak/>
        <w:t>Table 5: Proportion of patients with treatment success in the FIRST-HD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2792"/>
        <w:gridCol w:w="2976"/>
        <w:gridCol w:w="1079"/>
      </w:tblGrid>
      <w:tr w:rsidR="006C4F0C" w:rsidRPr="0030545D" w14:paraId="11AA1977" w14:textId="77777777" w:rsidTr="003D08AF">
        <w:trPr>
          <w:tblHeader/>
        </w:trPr>
        <w:tc>
          <w:tcPr>
            <w:tcW w:w="2170" w:type="dxa"/>
            <w:tcBorders>
              <w:top w:val="single" w:sz="4" w:space="0" w:color="auto"/>
              <w:left w:val="single" w:sz="4" w:space="0" w:color="auto"/>
              <w:bottom w:val="single" w:sz="4" w:space="0" w:color="auto"/>
              <w:right w:val="single" w:sz="4" w:space="0" w:color="auto"/>
            </w:tcBorders>
            <w:vAlign w:val="center"/>
            <w:hideMark/>
          </w:tcPr>
          <w:p w14:paraId="2E2C74FA" w14:textId="77777777" w:rsidR="006C4F0C" w:rsidRPr="0030545D" w:rsidRDefault="006C4F0C" w:rsidP="00C14F95">
            <w:pPr>
              <w:pStyle w:val="TableText"/>
              <w:widowControl w:val="0"/>
            </w:pPr>
            <w:r w:rsidRPr="0030545D">
              <w:rPr>
                <w:b/>
              </w:rPr>
              <w:t>Outcome</w:t>
            </w:r>
          </w:p>
        </w:tc>
        <w:tc>
          <w:tcPr>
            <w:tcW w:w="2792" w:type="dxa"/>
            <w:tcBorders>
              <w:top w:val="single" w:sz="4" w:space="0" w:color="auto"/>
              <w:left w:val="single" w:sz="4" w:space="0" w:color="auto"/>
              <w:bottom w:val="single" w:sz="4" w:space="0" w:color="auto"/>
              <w:right w:val="single" w:sz="4" w:space="0" w:color="auto"/>
            </w:tcBorders>
            <w:vAlign w:val="center"/>
          </w:tcPr>
          <w:p w14:paraId="7A9067D8" w14:textId="77777777" w:rsidR="006C4F0C" w:rsidRPr="0030545D" w:rsidRDefault="006C4F0C" w:rsidP="00C14F95">
            <w:pPr>
              <w:pStyle w:val="TableText"/>
              <w:widowControl w:val="0"/>
              <w:jc w:val="center"/>
              <w:rPr>
                <w:b/>
              </w:rPr>
            </w:pPr>
            <w:r w:rsidRPr="0030545D">
              <w:rPr>
                <w:b/>
              </w:rPr>
              <w:t>Responders</w:t>
            </w:r>
          </w:p>
          <w:p w14:paraId="10ECBF2F" w14:textId="77777777" w:rsidR="006C4F0C" w:rsidRPr="0030545D" w:rsidRDefault="006C4F0C" w:rsidP="00C14F95">
            <w:pPr>
              <w:pStyle w:val="TableText"/>
              <w:widowControl w:val="0"/>
              <w:jc w:val="center"/>
              <w:rPr>
                <w:b/>
              </w:rPr>
            </w:pPr>
            <w:r w:rsidRPr="0030545D">
              <w:rPr>
                <w:b/>
              </w:rPr>
              <w:t>n (%)</w:t>
            </w:r>
          </w:p>
        </w:tc>
        <w:tc>
          <w:tcPr>
            <w:tcW w:w="2976" w:type="dxa"/>
            <w:tcBorders>
              <w:top w:val="single" w:sz="4" w:space="0" w:color="auto"/>
              <w:left w:val="single" w:sz="4" w:space="0" w:color="auto"/>
              <w:bottom w:val="single" w:sz="4" w:space="0" w:color="auto"/>
              <w:right w:val="single" w:sz="4" w:space="0" w:color="auto"/>
            </w:tcBorders>
            <w:vAlign w:val="center"/>
          </w:tcPr>
          <w:p w14:paraId="656F2F56" w14:textId="77777777" w:rsidR="006C4F0C" w:rsidRPr="0030545D" w:rsidRDefault="006C4F0C" w:rsidP="00C14F95">
            <w:pPr>
              <w:pStyle w:val="TableText"/>
              <w:widowControl w:val="0"/>
              <w:jc w:val="center"/>
              <w:rPr>
                <w:b/>
              </w:rPr>
            </w:pPr>
            <w:r w:rsidRPr="0030545D">
              <w:rPr>
                <w:b/>
              </w:rPr>
              <w:t>Difference in the proportion of responders (95% CI)</w:t>
            </w:r>
          </w:p>
        </w:tc>
        <w:tc>
          <w:tcPr>
            <w:tcW w:w="1079" w:type="dxa"/>
            <w:tcBorders>
              <w:top w:val="single" w:sz="4" w:space="0" w:color="auto"/>
              <w:left w:val="single" w:sz="4" w:space="0" w:color="auto"/>
              <w:bottom w:val="single" w:sz="4" w:space="0" w:color="auto"/>
              <w:right w:val="single" w:sz="4" w:space="0" w:color="auto"/>
            </w:tcBorders>
            <w:vAlign w:val="center"/>
          </w:tcPr>
          <w:p w14:paraId="7577D818" w14:textId="77777777" w:rsidR="006C4F0C" w:rsidRPr="0030545D" w:rsidRDefault="006C4F0C" w:rsidP="00C14F95">
            <w:pPr>
              <w:pStyle w:val="TableText"/>
              <w:widowControl w:val="0"/>
              <w:jc w:val="center"/>
              <w:rPr>
                <w:b/>
                <w:vertAlign w:val="superscript"/>
              </w:rPr>
            </w:pPr>
            <w:r w:rsidRPr="0030545D">
              <w:rPr>
                <w:b/>
              </w:rPr>
              <w:t>P-value</w:t>
            </w:r>
          </w:p>
        </w:tc>
      </w:tr>
      <w:tr w:rsidR="006C4F0C" w:rsidRPr="0030545D" w14:paraId="1A4C1994" w14:textId="77777777" w:rsidTr="003D08AF">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459FB0BD" w14:textId="77777777" w:rsidR="006C4F0C" w:rsidRPr="0030545D" w:rsidRDefault="006C4F0C" w:rsidP="00C14F95">
            <w:pPr>
              <w:pStyle w:val="TableText"/>
              <w:widowControl w:val="0"/>
              <w:rPr>
                <w:b/>
              </w:rPr>
            </w:pPr>
            <w:r w:rsidRPr="0030545D">
              <w:rPr>
                <w:b/>
              </w:rPr>
              <w:t>Patient global impression of change responses (patients with treatment success at Week 12, based on “much improved” or “very much improved”)</w:t>
            </w:r>
          </w:p>
        </w:tc>
      </w:tr>
      <w:tr w:rsidR="006C4F0C" w:rsidRPr="0030545D" w14:paraId="29592B21" w14:textId="77777777" w:rsidTr="003D08AF">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747E1136" w14:textId="77777777" w:rsidR="006C4F0C" w:rsidRPr="0030545D" w:rsidRDefault="006C4F0C" w:rsidP="00C14F95">
            <w:pPr>
              <w:pStyle w:val="TableText"/>
              <w:widowControl w:val="0"/>
            </w:pPr>
            <w:r w:rsidRPr="0030545D">
              <w:t>Deutetrabenazine (N = 45)</w:t>
            </w:r>
          </w:p>
        </w:tc>
        <w:tc>
          <w:tcPr>
            <w:tcW w:w="2792" w:type="dxa"/>
            <w:tcBorders>
              <w:top w:val="single" w:sz="4" w:space="0" w:color="auto"/>
              <w:left w:val="single" w:sz="4" w:space="0" w:color="auto"/>
              <w:bottom w:val="single" w:sz="4" w:space="0" w:color="auto"/>
              <w:right w:val="single" w:sz="4" w:space="0" w:color="auto"/>
            </w:tcBorders>
            <w:vAlign w:val="center"/>
          </w:tcPr>
          <w:p w14:paraId="23674BA4" w14:textId="77777777" w:rsidR="006C4F0C" w:rsidRPr="0030545D" w:rsidRDefault="006C4F0C" w:rsidP="00C14F95">
            <w:pPr>
              <w:pStyle w:val="TableText"/>
              <w:widowControl w:val="0"/>
              <w:jc w:val="center"/>
            </w:pPr>
            <w:r w:rsidRPr="0030545D">
              <w:t>23 (51.1%)</w:t>
            </w:r>
          </w:p>
        </w:tc>
        <w:tc>
          <w:tcPr>
            <w:tcW w:w="2976" w:type="dxa"/>
            <w:vMerge w:val="restart"/>
            <w:tcBorders>
              <w:top w:val="single" w:sz="4" w:space="0" w:color="auto"/>
              <w:left w:val="single" w:sz="4" w:space="0" w:color="auto"/>
              <w:right w:val="single" w:sz="4" w:space="0" w:color="auto"/>
            </w:tcBorders>
            <w:vAlign w:val="center"/>
          </w:tcPr>
          <w:p w14:paraId="4CCD9257" w14:textId="77777777" w:rsidR="006C4F0C" w:rsidRPr="0030545D" w:rsidRDefault="006C4F0C" w:rsidP="00C14F95">
            <w:pPr>
              <w:pStyle w:val="TableText"/>
              <w:widowControl w:val="0"/>
              <w:jc w:val="center"/>
            </w:pPr>
            <w:r w:rsidRPr="0030545D">
              <w:t xml:space="preserve">31.1% </w:t>
            </w:r>
          </w:p>
          <w:p w14:paraId="0574038D" w14:textId="77777777" w:rsidR="006C4F0C" w:rsidRPr="0030545D" w:rsidRDefault="006C4F0C" w:rsidP="00C14F95">
            <w:pPr>
              <w:pStyle w:val="TableText"/>
              <w:widowControl w:val="0"/>
              <w:jc w:val="center"/>
            </w:pPr>
            <w:r w:rsidRPr="0030545D">
              <w:t>(12.4%, 49.8%)</w:t>
            </w:r>
          </w:p>
        </w:tc>
        <w:tc>
          <w:tcPr>
            <w:tcW w:w="1079" w:type="dxa"/>
            <w:vMerge w:val="restart"/>
            <w:tcBorders>
              <w:top w:val="single" w:sz="4" w:space="0" w:color="auto"/>
              <w:left w:val="single" w:sz="4" w:space="0" w:color="auto"/>
              <w:right w:val="single" w:sz="4" w:space="0" w:color="auto"/>
            </w:tcBorders>
            <w:vAlign w:val="center"/>
          </w:tcPr>
          <w:p w14:paraId="4EB8F9EF" w14:textId="77777777" w:rsidR="006C4F0C" w:rsidRPr="0030545D" w:rsidRDefault="006C4F0C" w:rsidP="00C14F95">
            <w:pPr>
              <w:pStyle w:val="TableText"/>
              <w:widowControl w:val="0"/>
              <w:jc w:val="center"/>
            </w:pPr>
            <w:r w:rsidRPr="0030545D">
              <w:t>0.0020</w:t>
            </w:r>
          </w:p>
        </w:tc>
      </w:tr>
      <w:tr w:rsidR="006C4F0C" w:rsidRPr="0030545D" w14:paraId="0CCBF9F2" w14:textId="77777777" w:rsidTr="003D08AF">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5CD85AA4" w14:textId="77777777" w:rsidR="006C4F0C" w:rsidRPr="0030545D" w:rsidRDefault="006C4F0C" w:rsidP="00C14F95">
            <w:pPr>
              <w:pStyle w:val="TableText"/>
              <w:widowControl w:val="0"/>
            </w:pPr>
            <w:r w:rsidRPr="0030545D">
              <w:t>Placebo (N = 45)</w:t>
            </w:r>
          </w:p>
        </w:tc>
        <w:tc>
          <w:tcPr>
            <w:tcW w:w="2792" w:type="dxa"/>
            <w:tcBorders>
              <w:top w:val="single" w:sz="4" w:space="0" w:color="auto"/>
              <w:left w:val="single" w:sz="4" w:space="0" w:color="auto"/>
              <w:bottom w:val="single" w:sz="4" w:space="0" w:color="auto"/>
              <w:right w:val="single" w:sz="4" w:space="0" w:color="auto"/>
            </w:tcBorders>
            <w:vAlign w:val="center"/>
          </w:tcPr>
          <w:p w14:paraId="731A349E" w14:textId="77777777" w:rsidR="006C4F0C" w:rsidRPr="0030545D" w:rsidRDefault="006C4F0C" w:rsidP="00C14F95">
            <w:pPr>
              <w:pStyle w:val="TableText"/>
              <w:widowControl w:val="0"/>
              <w:jc w:val="center"/>
            </w:pPr>
            <w:r w:rsidRPr="0030545D">
              <w:t>9 (20.0%)</w:t>
            </w:r>
          </w:p>
        </w:tc>
        <w:tc>
          <w:tcPr>
            <w:tcW w:w="2976" w:type="dxa"/>
            <w:vMerge/>
            <w:tcBorders>
              <w:left w:val="single" w:sz="4" w:space="0" w:color="auto"/>
              <w:bottom w:val="single" w:sz="4" w:space="0" w:color="auto"/>
              <w:right w:val="single" w:sz="4" w:space="0" w:color="auto"/>
            </w:tcBorders>
            <w:vAlign w:val="center"/>
          </w:tcPr>
          <w:p w14:paraId="4F6198F1" w14:textId="77777777" w:rsidR="006C4F0C" w:rsidRPr="0030545D" w:rsidRDefault="006C4F0C" w:rsidP="00C14F95">
            <w:pPr>
              <w:pStyle w:val="TableText"/>
              <w:widowControl w:val="0"/>
              <w:jc w:val="center"/>
            </w:pPr>
          </w:p>
        </w:tc>
        <w:tc>
          <w:tcPr>
            <w:tcW w:w="1079" w:type="dxa"/>
            <w:vMerge/>
            <w:tcBorders>
              <w:left w:val="single" w:sz="4" w:space="0" w:color="auto"/>
              <w:bottom w:val="single" w:sz="4" w:space="0" w:color="auto"/>
              <w:right w:val="single" w:sz="4" w:space="0" w:color="auto"/>
            </w:tcBorders>
            <w:vAlign w:val="center"/>
          </w:tcPr>
          <w:p w14:paraId="6E354604" w14:textId="77777777" w:rsidR="006C4F0C" w:rsidRPr="0030545D" w:rsidRDefault="006C4F0C" w:rsidP="00C14F95">
            <w:pPr>
              <w:pStyle w:val="TableText"/>
              <w:widowControl w:val="0"/>
              <w:jc w:val="center"/>
            </w:pPr>
          </w:p>
        </w:tc>
      </w:tr>
      <w:tr w:rsidR="006C4F0C" w:rsidRPr="0030545D" w14:paraId="2DAFE5CA" w14:textId="77777777" w:rsidTr="003D08AF">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08408160" w14:textId="77777777" w:rsidR="006C4F0C" w:rsidRPr="0030545D" w:rsidRDefault="006C4F0C" w:rsidP="00C14F95">
            <w:pPr>
              <w:pStyle w:val="TableText"/>
              <w:widowControl w:val="0"/>
              <w:rPr>
                <w:b/>
              </w:rPr>
            </w:pPr>
            <w:r w:rsidRPr="0030545D">
              <w:rPr>
                <w:b/>
              </w:rPr>
              <w:t>Physician global impression of change responses (patients with treatment success at Week 12, based on “much improved” or “very much improved”)</w:t>
            </w:r>
          </w:p>
        </w:tc>
      </w:tr>
      <w:tr w:rsidR="006C4F0C" w:rsidRPr="0030545D" w14:paraId="261779F8" w14:textId="77777777" w:rsidTr="003D08AF">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500F4CC6" w14:textId="77777777" w:rsidR="006C4F0C" w:rsidRPr="0030545D" w:rsidRDefault="006C4F0C" w:rsidP="00C14F95">
            <w:pPr>
              <w:pStyle w:val="TableText"/>
              <w:widowControl w:val="0"/>
            </w:pPr>
            <w:r w:rsidRPr="0030545D">
              <w:t>Deutetrabenazine (N = 45)</w:t>
            </w:r>
          </w:p>
        </w:tc>
        <w:tc>
          <w:tcPr>
            <w:tcW w:w="2792" w:type="dxa"/>
            <w:tcBorders>
              <w:top w:val="single" w:sz="4" w:space="0" w:color="auto"/>
              <w:left w:val="single" w:sz="4" w:space="0" w:color="auto"/>
              <w:bottom w:val="single" w:sz="4" w:space="0" w:color="auto"/>
              <w:right w:val="single" w:sz="4" w:space="0" w:color="auto"/>
            </w:tcBorders>
            <w:vAlign w:val="center"/>
          </w:tcPr>
          <w:p w14:paraId="76013253" w14:textId="77777777" w:rsidR="006C4F0C" w:rsidRPr="0030545D" w:rsidRDefault="006C4F0C" w:rsidP="00C14F95">
            <w:pPr>
              <w:pStyle w:val="TableText"/>
              <w:widowControl w:val="0"/>
              <w:jc w:val="center"/>
            </w:pPr>
            <w:r w:rsidRPr="0030545D">
              <w:t>19 (42.2%)</w:t>
            </w:r>
          </w:p>
        </w:tc>
        <w:tc>
          <w:tcPr>
            <w:tcW w:w="2976" w:type="dxa"/>
            <w:vMerge w:val="restart"/>
            <w:tcBorders>
              <w:top w:val="single" w:sz="4" w:space="0" w:color="auto"/>
              <w:left w:val="single" w:sz="4" w:space="0" w:color="auto"/>
              <w:right w:val="single" w:sz="4" w:space="0" w:color="auto"/>
            </w:tcBorders>
            <w:vAlign w:val="center"/>
          </w:tcPr>
          <w:p w14:paraId="26F497A9" w14:textId="77777777" w:rsidR="006C4F0C" w:rsidRPr="0030545D" w:rsidRDefault="006C4F0C" w:rsidP="00C14F95">
            <w:pPr>
              <w:pStyle w:val="TableText"/>
              <w:widowControl w:val="0"/>
              <w:jc w:val="center"/>
            </w:pPr>
            <w:r w:rsidRPr="0030545D">
              <w:t xml:space="preserve">28.9% </w:t>
            </w:r>
          </w:p>
          <w:p w14:paraId="106AEB77" w14:textId="77777777" w:rsidR="006C4F0C" w:rsidRPr="0030545D" w:rsidRDefault="006C4F0C" w:rsidP="00C14F95">
            <w:pPr>
              <w:pStyle w:val="TableText"/>
              <w:widowControl w:val="0"/>
              <w:jc w:val="center"/>
            </w:pPr>
            <w:r w:rsidRPr="0030545D">
              <w:t>(11.4%, 46.4%)</w:t>
            </w:r>
          </w:p>
        </w:tc>
        <w:tc>
          <w:tcPr>
            <w:tcW w:w="1079" w:type="dxa"/>
            <w:vMerge w:val="restart"/>
            <w:tcBorders>
              <w:top w:val="single" w:sz="4" w:space="0" w:color="auto"/>
              <w:left w:val="single" w:sz="4" w:space="0" w:color="auto"/>
              <w:right w:val="single" w:sz="4" w:space="0" w:color="auto"/>
            </w:tcBorders>
            <w:vAlign w:val="center"/>
          </w:tcPr>
          <w:p w14:paraId="70D7E921" w14:textId="77777777" w:rsidR="006C4F0C" w:rsidRPr="0030545D" w:rsidRDefault="006C4F0C" w:rsidP="00C14F95">
            <w:pPr>
              <w:pStyle w:val="TableText"/>
              <w:widowControl w:val="0"/>
              <w:jc w:val="center"/>
            </w:pPr>
            <w:r w:rsidRPr="0030545D">
              <w:t>0.0022</w:t>
            </w:r>
          </w:p>
        </w:tc>
      </w:tr>
      <w:tr w:rsidR="006C4F0C" w:rsidRPr="0030545D" w14:paraId="6362B318" w14:textId="77777777" w:rsidTr="003D08AF">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6DAEF6FB" w14:textId="77777777" w:rsidR="006C4F0C" w:rsidRPr="0030545D" w:rsidRDefault="006C4F0C" w:rsidP="00C14F95">
            <w:pPr>
              <w:pStyle w:val="TableText"/>
              <w:widowControl w:val="0"/>
            </w:pPr>
            <w:r w:rsidRPr="0030545D">
              <w:t>Placebo (N = 45)</w:t>
            </w:r>
          </w:p>
        </w:tc>
        <w:tc>
          <w:tcPr>
            <w:tcW w:w="2792" w:type="dxa"/>
            <w:tcBorders>
              <w:top w:val="single" w:sz="4" w:space="0" w:color="auto"/>
              <w:left w:val="single" w:sz="4" w:space="0" w:color="auto"/>
              <w:bottom w:val="single" w:sz="4" w:space="0" w:color="auto"/>
              <w:right w:val="single" w:sz="4" w:space="0" w:color="auto"/>
            </w:tcBorders>
            <w:vAlign w:val="center"/>
          </w:tcPr>
          <w:p w14:paraId="6C45FDDB" w14:textId="77777777" w:rsidR="006C4F0C" w:rsidRPr="0030545D" w:rsidRDefault="006C4F0C" w:rsidP="00C14F95">
            <w:pPr>
              <w:pStyle w:val="TableText"/>
              <w:widowControl w:val="0"/>
              <w:jc w:val="center"/>
            </w:pPr>
            <w:r w:rsidRPr="0030545D">
              <w:t>6 (13.3%)</w:t>
            </w:r>
          </w:p>
        </w:tc>
        <w:tc>
          <w:tcPr>
            <w:tcW w:w="2976" w:type="dxa"/>
            <w:vMerge/>
            <w:tcBorders>
              <w:left w:val="single" w:sz="4" w:space="0" w:color="auto"/>
              <w:bottom w:val="single" w:sz="4" w:space="0" w:color="auto"/>
              <w:right w:val="single" w:sz="4" w:space="0" w:color="auto"/>
            </w:tcBorders>
            <w:vAlign w:val="center"/>
          </w:tcPr>
          <w:p w14:paraId="5428B25E" w14:textId="77777777" w:rsidR="006C4F0C" w:rsidRPr="0030545D" w:rsidRDefault="006C4F0C" w:rsidP="00C14F95">
            <w:pPr>
              <w:pStyle w:val="TableText"/>
              <w:widowControl w:val="0"/>
              <w:jc w:val="center"/>
            </w:pPr>
          </w:p>
        </w:tc>
        <w:tc>
          <w:tcPr>
            <w:tcW w:w="1079" w:type="dxa"/>
            <w:vMerge/>
            <w:tcBorders>
              <w:left w:val="single" w:sz="4" w:space="0" w:color="auto"/>
              <w:bottom w:val="single" w:sz="4" w:space="0" w:color="auto"/>
              <w:right w:val="single" w:sz="4" w:space="0" w:color="auto"/>
            </w:tcBorders>
            <w:vAlign w:val="center"/>
          </w:tcPr>
          <w:p w14:paraId="384FAB12" w14:textId="77777777" w:rsidR="006C4F0C" w:rsidRPr="0030545D" w:rsidRDefault="006C4F0C" w:rsidP="00C14F95">
            <w:pPr>
              <w:pStyle w:val="TableText"/>
              <w:widowControl w:val="0"/>
              <w:jc w:val="center"/>
            </w:pPr>
          </w:p>
        </w:tc>
      </w:tr>
    </w:tbl>
    <w:p w14:paraId="5C7D8C97" w14:textId="77777777" w:rsidR="006C4F0C" w:rsidRPr="0030545D" w:rsidRDefault="006C4F0C" w:rsidP="00441BAE">
      <w:pPr>
        <w:pStyle w:val="TableFooter"/>
      </w:pPr>
      <w:r w:rsidRPr="0030545D">
        <w:t>Source: Table 2-32, Table 2-33 of the submission</w:t>
      </w:r>
    </w:p>
    <w:p w14:paraId="578753C5" w14:textId="77777777" w:rsidR="006C4F0C" w:rsidRPr="0030545D" w:rsidRDefault="006C4F0C" w:rsidP="00C14F95">
      <w:pPr>
        <w:pStyle w:val="TableFooter"/>
        <w:spacing w:after="120"/>
      </w:pPr>
      <w:r w:rsidRPr="0030545D">
        <w:t>Abbreviations: CI, confidence interval</w:t>
      </w:r>
    </w:p>
    <w:p w14:paraId="7DA5A160" w14:textId="77777777" w:rsidR="006C4F0C" w:rsidRPr="0030545D" w:rsidRDefault="006C4F0C" w:rsidP="00EC5836">
      <w:pPr>
        <w:pStyle w:val="ExecSumBodyText"/>
      </w:pPr>
      <w:r w:rsidRPr="0030545D">
        <w:t>A higher proportion of patients achieved treatment success at 12 weeks with deutetrabenazine compared to placebo based on global impressions of change.</w:t>
      </w:r>
    </w:p>
    <w:p w14:paraId="562CE6E5" w14:textId="77777777" w:rsidR="003D08AF" w:rsidRPr="0030545D" w:rsidRDefault="003D08AF" w:rsidP="003D08AF">
      <w:pPr>
        <w:pStyle w:val="ExecSumBodyText"/>
      </w:pPr>
      <w:r w:rsidRPr="0030545D">
        <w:t>The change in other relevant symptoms scores and quality of life measures with deutetrabenazine and placebo treatment in the FIRST-HD trial is summarised in the table below.</w:t>
      </w:r>
    </w:p>
    <w:p w14:paraId="13A2C552" w14:textId="77777777" w:rsidR="003D08AF" w:rsidRPr="0030545D" w:rsidRDefault="003D08AF" w:rsidP="00C738FC">
      <w:pPr>
        <w:pStyle w:val="Tableheadingrow"/>
        <w:rPr>
          <w:lang w:val="en-AU"/>
        </w:rPr>
      </w:pPr>
      <w:r w:rsidRPr="0030545D">
        <w:rPr>
          <w:lang w:val="en-AU"/>
        </w:rPr>
        <w:t>Table 6: Change in functional/symptom scores from baseline in the FIRST-HD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275"/>
        <w:gridCol w:w="1276"/>
        <w:gridCol w:w="1701"/>
        <w:gridCol w:w="1843"/>
        <w:gridCol w:w="795"/>
      </w:tblGrid>
      <w:tr w:rsidR="003D08AF" w:rsidRPr="0030545D" w14:paraId="5C966B8C" w14:textId="77777777" w:rsidTr="00C14F95">
        <w:trPr>
          <w:tblHeader/>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78A45E" w14:textId="77777777" w:rsidR="003D08AF" w:rsidRPr="0030545D" w:rsidRDefault="003D08AF" w:rsidP="00C738FC">
            <w:pPr>
              <w:pStyle w:val="TableText"/>
              <w:widowControl w:val="0"/>
            </w:pPr>
            <w:r w:rsidRPr="0030545D">
              <w:rPr>
                <w:b/>
              </w:rPr>
              <w:t>Outcome</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469239" w14:textId="77777777" w:rsidR="003D08AF" w:rsidRPr="0030545D" w:rsidRDefault="003D08AF" w:rsidP="00C738FC">
            <w:pPr>
              <w:pStyle w:val="TableText"/>
              <w:widowControl w:val="0"/>
              <w:jc w:val="center"/>
              <w:rPr>
                <w:b/>
              </w:rPr>
            </w:pPr>
            <w:r w:rsidRPr="0030545D">
              <w:rPr>
                <w:b/>
              </w:rPr>
              <w:t>Baseline</w:t>
            </w:r>
          </w:p>
          <w:p w14:paraId="57647A02" w14:textId="77777777" w:rsidR="003D08AF" w:rsidRPr="0030545D" w:rsidRDefault="003D08AF" w:rsidP="00C738FC">
            <w:pPr>
              <w:pStyle w:val="TableText"/>
              <w:widowControl w:val="0"/>
              <w:jc w:val="center"/>
            </w:pPr>
            <w:r w:rsidRPr="0030545D">
              <w:rPr>
                <w:b/>
              </w:rPr>
              <w:t>Mean (SD)</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A98EBF" w14:textId="77777777" w:rsidR="003D08AF" w:rsidRPr="0030545D" w:rsidRDefault="003D08AF" w:rsidP="00C738FC">
            <w:pPr>
              <w:pStyle w:val="TableText"/>
              <w:widowControl w:val="0"/>
              <w:jc w:val="center"/>
              <w:rPr>
                <w:b/>
              </w:rPr>
            </w:pPr>
            <w:r w:rsidRPr="0030545D">
              <w:rPr>
                <w:b/>
              </w:rPr>
              <w:t xml:space="preserve">Endpoint </w:t>
            </w:r>
          </w:p>
          <w:p w14:paraId="37D5FE11" w14:textId="77777777" w:rsidR="003D08AF" w:rsidRPr="0030545D" w:rsidRDefault="003D08AF" w:rsidP="00C738FC">
            <w:pPr>
              <w:pStyle w:val="TableText"/>
              <w:widowControl w:val="0"/>
              <w:jc w:val="center"/>
              <w:rPr>
                <w:b/>
              </w:rPr>
            </w:pPr>
            <w:r w:rsidRPr="0030545D">
              <w:rPr>
                <w:b/>
              </w:rPr>
              <w:t>Mean (SD)</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80B35C" w14:textId="77777777" w:rsidR="003D08AF" w:rsidRPr="0030545D" w:rsidRDefault="003D08AF" w:rsidP="00C738FC">
            <w:pPr>
              <w:pStyle w:val="TableText"/>
              <w:widowControl w:val="0"/>
              <w:jc w:val="center"/>
              <w:rPr>
                <w:b/>
              </w:rPr>
            </w:pPr>
            <w:r w:rsidRPr="0030545D">
              <w:rPr>
                <w:b/>
              </w:rPr>
              <w:t>Least Squares Mean (SD) change from baseline</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6D9A74" w14:textId="77777777" w:rsidR="003D08AF" w:rsidRPr="0030545D" w:rsidRDefault="003D08AF" w:rsidP="00C738FC">
            <w:pPr>
              <w:pStyle w:val="TableText"/>
              <w:widowControl w:val="0"/>
              <w:jc w:val="center"/>
              <w:rPr>
                <w:b/>
              </w:rPr>
            </w:pPr>
            <w:r w:rsidRPr="0030545D">
              <w:rPr>
                <w:b/>
              </w:rPr>
              <w:t xml:space="preserve">Least Squares Mean (95% CI) difference in change from baseline </w:t>
            </w:r>
          </w:p>
        </w:tc>
        <w:tc>
          <w:tcPr>
            <w:tcW w:w="7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CB194C" w14:textId="77777777" w:rsidR="003D08AF" w:rsidRPr="0030545D" w:rsidRDefault="00C14F95" w:rsidP="00C738FC">
            <w:pPr>
              <w:pStyle w:val="TableText"/>
              <w:widowControl w:val="0"/>
              <w:jc w:val="center"/>
              <w:rPr>
                <w:b/>
                <w:vertAlign w:val="superscript"/>
              </w:rPr>
            </w:pPr>
            <w:r>
              <w:rPr>
                <w:b/>
              </w:rPr>
              <w:t>p</w:t>
            </w:r>
            <w:r w:rsidR="003D08AF" w:rsidRPr="0030545D">
              <w:rPr>
                <w:b/>
              </w:rPr>
              <w:t>-value</w:t>
            </w:r>
          </w:p>
        </w:tc>
      </w:tr>
      <w:tr w:rsidR="003D08AF" w:rsidRPr="0030545D" w14:paraId="13B18149" w14:textId="77777777" w:rsidTr="00C14F95">
        <w:trPr>
          <w:trHeight w:val="70"/>
        </w:trPr>
        <w:tc>
          <w:tcPr>
            <w:tcW w:w="9017"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A8CC47" w14:textId="77777777" w:rsidR="003D08AF" w:rsidRPr="0030545D" w:rsidRDefault="003D08AF" w:rsidP="00C738FC">
            <w:pPr>
              <w:pStyle w:val="TableText"/>
              <w:widowControl w:val="0"/>
              <w:rPr>
                <w:b/>
              </w:rPr>
            </w:pPr>
            <w:r w:rsidRPr="0030545D">
              <w:rPr>
                <w:b/>
              </w:rPr>
              <w:t>SF-36 Physical Functioning score (0-100 scale, with higher scores indicating higher physical function)</w:t>
            </w:r>
          </w:p>
        </w:tc>
      </w:tr>
      <w:tr w:rsidR="003D08AF" w:rsidRPr="0030545D" w14:paraId="3FC1C9A4" w14:textId="77777777" w:rsidTr="00C14F95">
        <w:trPr>
          <w:trHeight w:val="7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9778F" w14:textId="77777777" w:rsidR="003D08AF" w:rsidRPr="0030545D" w:rsidRDefault="003D08AF" w:rsidP="00C738FC">
            <w:pPr>
              <w:pStyle w:val="TableText"/>
              <w:widowControl w:val="0"/>
            </w:pPr>
            <w:r w:rsidRPr="0030545D">
              <w:t>Deutetrabenazine (N = 45)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2C589B" w14:textId="77777777" w:rsidR="003D08AF" w:rsidRPr="0030545D" w:rsidRDefault="003D08AF" w:rsidP="00C738FC">
            <w:pPr>
              <w:pStyle w:val="TableText"/>
              <w:widowControl w:val="0"/>
              <w:jc w:val="center"/>
            </w:pPr>
            <w:r w:rsidRPr="0030545D">
              <w:t>47.54 (10.755)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FF9DF" w14:textId="77777777" w:rsidR="003D08AF" w:rsidRPr="0030545D" w:rsidRDefault="003D08AF" w:rsidP="00C738FC">
            <w:pPr>
              <w:pStyle w:val="TableText"/>
              <w:widowControl w:val="0"/>
              <w:jc w:val="center"/>
            </w:pPr>
            <w:r w:rsidRPr="0030545D">
              <w:t>47.40 (10.305)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317F07" w14:textId="77777777" w:rsidR="003D08AF" w:rsidRPr="0030545D" w:rsidRDefault="003D08AF" w:rsidP="00C738FC">
            <w:pPr>
              <w:pStyle w:val="TableText"/>
              <w:widowControl w:val="0"/>
              <w:jc w:val="center"/>
            </w:pPr>
            <w:r w:rsidRPr="0030545D">
              <w:t>0.74 (9.773)</w:t>
            </w:r>
          </w:p>
        </w:tc>
        <w:tc>
          <w:tcPr>
            <w:tcW w:w="1843" w:type="dxa"/>
            <w:vMerge w:val="restart"/>
            <w:tcBorders>
              <w:top w:val="single" w:sz="4" w:space="0" w:color="auto"/>
              <w:left w:val="single" w:sz="4" w:space="0" w:color="auto"/>
              <w:right w:val="single" w:sz="4" w:space="0" w:color="auto"/>
            </w:tcBorders>
            <w:tcMar>
              <w:left w:w="28" w:type="dxa"/>
              <w:right w:w="28" w:type="dxa"/>
            </w:tcMar>
            <w:vAlign w:val="center"/>
          </w:tcPr>
          <w:p w14:paraId="29E33764" w14:textId="77777777" w:rsidR="003D08AF" w:rsidRPr="0030545D" w:rsidRDefault="003D08AF" w:rsidP="00C738FC">
            <w:pPr>
              <w:pStyle w:val="TableText"/>
              <w:widowControl w:val="0"/>
              <w:jc w:val="center"/>
            </w:pPr>
            <w:r w:rsidRPr="0030545D">
              <w:t>4.34 (0.41, 8.27)</w:t>
            </w:r>
          </w:p>
        </w:tc>
        <w:tc>
          <w:tcPr>
            <w:tcW w:w="795" w:type="dxa"/>
            <w:vMerge w:val="restart"/>
            <w:tcBorders>
              <w:top w:val="single" w:sz="4" w:space="0" w:color="auto"/>
              <w:left w:val="single" w:sz="4" w:space="0" w:color="auto"/>
              <w:right w:val="single" w:sz="4" w:space="0" w:color="auto"/>
            </w:tcBorders>
            <w:tcMar>
              <w:left w:w="28" w:type="dxa"/>
              <w:right w:w="28" w:type="dxa"/>
            </w:tcMar>
            <w:vAlign w:val="center"/>
          </w:tcPr>
          <w:p w14:paraId="0CD0C27C" w14:textId="77777777" w:rsidR="003D08AF" w:rsidRPr="0030545D" w:rsidRDefault="003D08AF" w:rsidP="00C738FC">
            <w:pPr>
              <w:pStyle w:val="TableText"/>
              <w:widowControl w:val="0"/>
              <w:jc w:val="center"/>
            </w:pPr>
            <w:r w:rsidRPr="0030545D">
              <w:t>0.0308</w:t>
            </w:r>
          </w:p>
        </w:tc>
      </w:tr>
      <w:tr w:rsidR="003D08AF" w:rsidRPr="0030545D" w14:paraId="73ADA817" w14:textId="77777777" w:rsidTr="00C14F95">
        <w:trPr>
          <w:trHeight w:val="7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17412" w14:textId="77777777" w:rsidR="003D08AF" w:rsidRPr="0030545D" w:rsidRDefault="003D08AF" w:rsidP="00C738FC">
            <w:pPr>
              <w:pStyle w:val="TableText"/>
              <w:widowControl w:val="0"/>
            </w:pPr>
            <w:r w:rsidRPr="0030545D">
              <w:t>Placebo (N = 45)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AE81B3" w14:textId="77777777" w:rsidR="003D08AF" w:rsidRPr="0030545D" w:rsidRDefault="003D08AF" w:rsidP="00C738FC">
            <w:pPr>
              <w:pStyle w:val="TableText"/>
              <w:widowControl w:val="0"/>
              <w:jc w:val="center"/>
            </w:pPr>
            <w:r w:rsidRPr="0030545D">
              <w:t>43.24 (10.247)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B27B7B" w14:textId="77777777" w:rsidR="003D08AF" w:rsidRPr="0030545D" w:rsidRDefault="003D08AF" w:rsidP="00C738FC">
            <w:pPr>
              <w:pStyle w:val="TableText"/>
              <w:widowControl w:val="0"/>
              <w:jc w:val="center"/>
            </w:pPr>
            <w:r w:rsidRPr="0030545D">
              <w:t>39.90 (11.972)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37F427" w14:textId="77777777" w:rsidR="003D08AF" w:rsidRPr="0030545D" w:rsidRDefault="003D08AF" w:rsidP="00C738FC">
            <w:pPr>
              <w:pStyle w:val="TableText"/>
              <w:widowControl w:val="0"/>
              <w:jc w:val="center"/>
            </w:pPr>
            <w:r w:rsidRPr="0030545D">
              <w:t>-3.61 (9.669)</w:t>
            </w:r>
          </w:p>
        </w:tc>
        <w:tc>
          <w:tcPr>
            <w:tcW w:w="1843" w:type="dxa"/>
            <w:vMerge/>
            <w:tcBorders>
              <w:left w:val="single" w:sz="4" w:space="0" w:color="auto"/>
              <w:bottom w:val="single" w:sz="4" w:space="0" w:color="auto"/>
              <w:right w:val="single" w:sz="4" w:space="0" w:color="auto"/>
            </w:tcBorders>
            <w:tcMar>
              <w:left w:w="28" w:type="dxa"/>
              <w:right w:w="28" w:type="dxa"/>
            </w:tcMar>
            <w:vAlign w:val="center"/>
          </w:tcPr>
          <w:p w14:paraId="499E472C" w14:textId="77777777" w:rsidR="003D08AF" w:rsidRPr="0030545D" w:rsidRDefault="003D08AF" w:rsidP="00C738FC">
            <w:pPr>
              <w:pStyle w:val="TableText"/>
              <w:widowControl w:val="0"/>
              <w:jc w:val="center"/>
            </w:pPr>
          </w:p>
        </w:tc>
        <w:tc>
          <w:tcPr>
            <w:tcW w:w="795" w:type="dxa"/>
            <w:vMerge/>
            <w:tcBorders>
              <w:left w:val="single" w:sz="4" w:space="0" w:color="auto"/>
              <w:bottom w:val="single" w:sz="4" w:space="0" w:color="auto"/>
              <w:right w:val="single" w:sz="4" w:space="0" w:color="auto"/>
            </w:tcBorders>
            <w:tcMar>
              <w:left w:w="28" w:type="dxa"/>
              <w:right w:w="28" w:type="dxa"/>
            </w:tcMar>
            <w:vAlign w:val="center"/>
          </w:tcPr>
          <w:p w14:paraId="581D3601" w14:textId="77777777" w:rsidR="003D08AF" w:rsidRPr="0030545D" w:rsidRDefault="003D08AF" w:rsidP="00C738FC">
            <w:pPr>
              <w:pStyle w:val="TableText"/>
              <w:widowControl w:val="0"/>
              <w:jc w:val="center"/>
            </w:pPr>
          </w:p>
        </w:tc>
      </w:tr>
      <w:tr w:rsidR="003D08AF" w:rsidRPr="0030545D" w14:paraId="400CC16B" w14:textId="77777777" w:rsidTr="00C14F95">
        <w:trPr>
          <w:trHeight w:val="70"/>
        </w:trPr>
        <w:tc>
          <w:tcPr>
            <w:tcW w:w="9017"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6717D" w14:textId="77777777" w:rsidR="003D08AF" w:rsidRPr="0030545D" w:rsidRDefault="003D08AF" w:rsidP="00C738FC">
            <w:pPr>
              <w:pStyle w:val="TableText"/>
              <w:widowControl w:val="0"/>
              <w:rPr>
                <w:b/>
              </w:rPr>
            </w:pPr>
            <w:r w:rsidRPr="0030545D">
              <w:rPr>
                <w:b/>
              </w:rPr>
              <w:t>Berg Balance test (0-56 scale, with higher scores indicating better balance)</w:t>
            </w:r>
          </w:p>
        </w:tc>
      </w:tr>
      <w:tr w:rsidR="003D08AF" w:rsidRPr="0030545D" w14:paraId="5A843CAA" w14:textId="77777777" w:rsidTr="00C14F95">
        <w:trPr>
          <w:trHeight w:val="7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50D1F" w14:textId="77777777" w:rsidR="003D08AF" w:rsidRPr="0030545D" w:rsidRDefault="003D08AF" w:rsidP="00C738FC">
            <w:pPr>
              <w:pStyle w:val="TableText"/>
              <w:widowControl w:val="0"/>
            </w:pPr>
            <w:r w:rsidRPr="0030545D">
              <w:t>Deutetrabenazine (N = 45)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B543A3" w14:textId="77777777" w:rsidR="003D08AF" w:rsidRPr="0030545D" w:rsidRDefault="003D08AF" w:rsidP="00C14F95">
            <w:pPr>
              <w:pStyle w:val="TableText"/>
              <w:widowControl w:val="0"/>
              <w:jc w:val="center"/>
            </w:pPr>
            <w:r w:rsidRPr="0030545D">
              <w:t>51.3 (4.5)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F0BB34" w14:textId="77777777" w:rsidR="003D08AF" w:rsidRPr="0030545D" w:rsidRDefault="003D08AF" w:rsidP="00C14F95">
            <w:pPr>
              <w:pStyle w:val="TableText"/>
              <w:widowControl w:val="0"/>
              <w:jc w:val="center"/>
            </w:pPr>
            <w:r w:rsidRPr="0030545D">
              <w:t>53.0 (3.1)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4A7E74" w14:textId="77777777" w:rsidR="003D08AF" w:rsidRPr="0030545D" w:rsidRDefault="003D08AF" w:rsidP="00C14F95">
            <w:pPr>
              <w:pStyle w:val="TableText"/>
              <w:widowControl w:val="0"/>
              <w:jc w:val="center"/>
            </w:pPr>
            <w:r w:rsidRPr="0030545D">
              <w:t>2.2 (3.47)</w:t>
            </w:r>
          </w:p>
        </w:tc>
        <w:tc>
          <w:tcPr>
            <w:tcW w:w="1843" w:type="dxa"/>
            <w:vMerge w:val="restart"/>
            <w:tcBorders>
              <w:top w:val="single" w:sz="4" w:space="0" w:color="auto"/>
              <w:left w:val="single" w:sz="4" w:space="0" w:color="auto"/>
              <w:right w:val="single" w:sz="4" w:space="0" w:color="auto"/>
            </w:tcBorders>
            <w:tcMar>
              <w:left w:w="28" w:type="dxa"/>
              <w:right w:w="28" w:type="dxa"/>
            </w:tcMar>
            <w:vAlign w:val="center"/>
          </w:tcPr>
          <w:p w14:paraId="1DE1E356" w14:textId="77777777" w:rsidR="003D08AF" w:rsidRPr="0030545D" w:rsidRDefault="003D08AF" w:rsidP="00C738FC">
            <w:pPr>
              <w:pStyle w:val="TableText"/>
              <w:widowControl w:val="0"/>
              <w:jc w:val="center"/>
            </w:pPr>
            <w:r w:rsidRPr="0030545D">
              <w:t>1.0 (-0.3, 2.3)</w:t>
            </w:r>
          </w:p>
        </w:tc>
        <w:tc>
          <w:tcPr>
            <w:tcW w:w="795" w:type="dxa"/>
            <w:vMerge w:val="restart"/>
            <w:tcBorders>
              <w:top w:val="single" w:sz="4" w:space="0" w:color="auto"/>
              <w:left w:val="single" w:sz="4" w:space="0" w:color="auto"/>
              <w:right w:val="single" w:sz="4" w:space="0" w:color="auto"/>
            </w:tcBorders>
            <w:tcMar>
              <w:left w:w="28" w:type="dxa"/>
              <w:right w:w="28" w:type="dxa"/>
            </w:tcMar>
            <w:vAlign w:val="center"/>
          </w:tcPr>
          <w:p w14:paraId="7DDB20BF" w14:textId="77777777" w:rsidR="003D08AF" w:rsidRPr="0030545D" w:rsidRDefault="003D08AF" w:rsidP="00C738FC">
            <w:pPr>
              <w:pStyle w:val="TableText"/>
              <w:widowControl w:val="0"/>
              <w:jc w:val="center"/>
            </w:pPr>
            <w:r w:rsidRPr="0030545D">
              <w:t>0.1415</w:t>
            </w:r>
          </w:p>
        </w:tc>
      </w:tr>
      <w:tr w:rsidR="003D08AF" w:rsidRPr="0030545D" w14:paraId="2185A5CB" w14:textId="77777777" w:rsidTr="00C14F95">
        <w:trPr>
          <w:trHeight w:val="7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183A93" w14:textId="77777777" w:rsidR="003D08AF" w:rsidRPr="0030545D" w:rsidRDefault="003D08AF" w:rsidP="00C738FC">
            <w:pPr>
              <w:pStyle w:val="TableText"/>
              <w:widowControl w:val="0"/>
            </w:pPr>
            <w:r w:rsidRPr="0030545D">
              <w:t>Placebo (N = 45)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8BD3B3" w14:textId="77777777" w:rsidR="003D08AF" w:rsidRPr="0030545D" w:rsidRDefault="003D08AF" w:rsidP="00C14F95">
            <w:pPr>
              <w:pStyle w:val="TableText"/>
              <w:widowControl w:val="0"/>
              <w:jc w:val="center"/>
            </w:pPr>
            <w:r w:rsidRPr="0030545D">
              <w:t>48.4</w:t>
            </w:r>
            <w:r w:rsidR="00C14F95">
              <w:t xml:space="preserve"> </w:t>
            </w:r>
            <w:r w:rsidRPr="0030545D">
              <w:t>(7.0)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4539A4" w14:textId="77777777" w:rsidR="003D08AF" w:rsidRPr="0030545D" w:rsidRDefault="003D08AF" w:rsidP="00C14F95">
            <w:pPr>
              <w:pStyle w:val="TableText"/>
              <w:widowControl w:val="0"/>
              <w:jc w:val="center"/>
            </w:pPr>
            <w:r w:rsidRPr="0030545D">
              <w:t>50.3 (5.8)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C12A96" w14:textId="77777777" w:rsidR="003D08AF" w:rsidRPr="0030545D" w:rsidRDefault="003D08AF" w:rsidP="00C14F95">
            <w:pPr>
              <w:pStyle w:val="TableText"/>
              <w:widowControl w:val="0"/>
              <w:jc w:val="center"/>
            </w:pPr>
            <w:r w:rsidRPr="0030545D">
              <w:t>1.3</w:t>
            </w:r>
            <w:r w:rsidR="00C14F95">
              <w:t xml:space="preserve"> </w:t>
            </w:r>
            <w:r w:rsidRPr="0030545D">
              <w:t>(4.04)</w:t>
            </w:r>
          </w:p>
        </w:tc>
        <w:tc>
          <w:tcPr>
            <w:tcW w:w="1843" w:type="dxa"/>
            <w:vMerge/>
            <w:tcBorders>
              <w:left w:val="single" w:sz="4" w:space="0" w:color="auto"/>
              <w:bottom w:val="single" w:sz="4" w:space="0" w:color="auto"/>
              <w:right w:val="single" w:sz="4" w:space="0" w:color="auto"/>
            </w:tcBorders>
            <w:tcMar>
              <w:left w:w="28" w:type="dxa"/>
              <w:right w:w="28" w:type="dxa"/>
            </w:tcMar>
            <w:vAlign w:val="center"/>
          </w:tcPr>
          <w:p w14:paraId="508B8672" w14:textId="77777777" w:rsidR="003D08AF" w:rsidRPr="0030545D" w:rsidRDefault="003D08AF" w:rsidP="00C738FC">
            <w:pPr>
              <w:pStyle w:val="TableText"/>
              <w:widowControl w:val="0"/>
              <w:jc w:val="center"/>
            </w:pPr>
          </w:p>
        </w:tc>
        <w:tc>
          <w:tcPr>
            <w:tcW w:w="795" w:type="dxa"/>
            <w:vMerge/>
            <w:tcBorders>
              <w:left w:val="single" w:sz="4" w:space="0" w:color="auto"/>
              <w:bottom w:val="single" w:sz="4" w:space="0" w:color="auto"/>
              <w:right w:val="single" w:sz="4" w:space="0" w:color="auto"/>
            </w:tcBorders>
            <w:tcMar>
              <w:left w:w="28" w:type="dxa"/>
              <w:right w:w="28" w:type="dxa"/>
            </w:tcMar>
            <w:vAlign w:val="center"/>
          </w:tcPr>
          <w:p w14:paraId="13B1A7F9" w14:textId="77777777" w:rsidR="003D08AF" w:rsidRPr="0030545D" w:rsidRDefault="003D08AF" w:rsidP="00C738FC">
            <w:pPr>
              <w:pStyle w:val="TableText"/>
              <w:widowControl w:val="0"/>
              <w:jc w:val="center"/>
            </w:pPr>
          </w:p>
        </w:tc>
      </w:tr>
      <w:tr w:rsidR="003D08AF" w:rsidRPr="0030545D" w14:paraId="7BB3E2DD" w14:textId="77777777" w:rsidTr="00C14F95">
        <w:trPr>
          <w:trHeight w:val="70"/>
        </w:trPr>
        <w:tc>
          <w:tcPr>
            <w:tcW w:w="9017"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362847" w14:textId="77777777" w:rsidR="003D08AF" w:rsidRPr="0030545D" w:rsidRDefault="003D08AF" w:rsidP="00C738FC">
            <w:pPr>
              <w:pStyle w:val="TableText"/>
              <w:widowControl w:val="0"/>
              <w:rPr>
                <w:b/>
              </w:rPr>
            </w:pPr>
            <w:r w:rsidRPr="0030545D">
              <w:rPr>
                <w:b/>
              </w:rPr>
              <w:t xml:space="preserve">UHDRS </w:t>
            </w:r>
            <w:r w:rsidR="00BB7A84" w:rsidRPr="0030545D">
              <w:rPr>
                <w:b/>
              </w:rPr>
              <w:t>TMS</w:t>
            </w:r>
            <w:r w:rsidRPr="0030545D">
              <w:rPr>
                <w:b/>
              </w:rPr>
              <w:t xml:space="preserve"> (0-124 scale, with higher scores indicating worse motor function)</w:t>
            </w:r>
          </w:p>
        </w:tc>
      </w:tr>
      <w:tr w:rsidR="003D08AF" w:rsidRPr="0030545D" w14:paraId="54D4BB30" w14:textId="77777777" w:rsidTr="00C14F95">
        <w:trPr>
          <w:trHeight w:val="7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32588" w14:textId="77777777" w:rsidR="003D08AF" w:rsidRPr="0030545D" w:rsidRDefault="003D08AF" w:rsidP="00C738FC">
            <w:pPr>
              <w:pStyle w:val="TableText"/>
              <w:widowControl w:val="0"/>
            </w:pPr>
            <w:r w:rsidRPr="0030545D">
              <w:t>Deutetrabenazine (N = 45)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93A5F3" w14:textId="77777777" w:rsidR="003D08AF" w:rsidRPr="0030545D" w:rsidRDefault="003D08AF" w:rsidP="00C738FC">
            <w:pPr>
              <w:pStyle w:val="TableText"/>
              <w:widowControl w:val="0"/>
              <w:jc w:val="center"/>
            </w:pPr>
            <w:r w:rsidRPr="0030545D">
              <w:t>34.06 (13.174)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52496C" w14:textId="77777777" w:rsidR="003D08AF" w:rsidRPr="0030545D" w:rsidRDefault="003D08AF" w:rsidP="00C738FC">
            <w:pPr>
              <w:pStyle w:val="TableText"/>
              <w:widowControl w:val="0"/>
              <w:jc w:val="center"/>
            </w:pPr>
            <w:r w:rsidRPr="0030545D">
              <w:t>26.77 (15.161)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D78E87" w14:textId="77777777" w:rsidR="003D08AF" w:rsidRPr="0030545D" w:rsidRDefault="003D08AF" w:rsidP="00C738FC">
            <w:pPr>
              <w:pStyle w:val="TableText"/>
              <w:widowControl w:val="0"/>
              <w:jc w:val="center"/>
            </w:pPr>
            <w:r w:rsidRPr="0030545D">
              <w:t>-7.35 (6.344)</w:t>
            </w:r>
          </w:p>
        </w:tc>
        <w:tc>
          <w:tcPr>
            <w:tcW w:w="1843" w:type="dxa"/>
            <w:vMerge w:val="restart"/>
            <w:tcBorders>
              <w:top w:val="single" w:sz="4" w:space="0" w:color="auto"/>
              <w:left w:val="single" w:sz="4" w:space="0" w:color="auto"/>
              <w:right w:val="single" w:sz="4" w:space="0" w:color="auto"/>
            </w:tcBorders>
            <w:tcMar>
              <w:left w:w="28" w:type="dxa"/>
              <w:right w:w="28" w:type="dxa"/>
            </w:tcMar>
            <w:vAlign w:val="center"/>
          </w:tcPr>
          <w:p w14:paraId="5A837FCC" w14:textId="77777777" w:rsidR="003D08AF" w:rsidRPr="0030545D" w:rsidRDefault="003D08AF" w:rsidP="00C738FC">
            <w:pPr>
              <w:pStyle w:val="TableText"/>
              <w:widowControl w:val="0"/>
              <w:jc w:val="center"/>
            </w:pPr>
            <w:r w:rsidRPr="0030545D">
              <w:t>-3.99 (-6.52, -1.46)</w:t>
            </w:r>
          </w:p>
        </w:tc>
        <w:tc>
          <w:tcPr>
            <w:tcW w:w="795" w:type="dxa"/>
            <w:vMerge w:val="restart"/>
            <w:tcBorders>
              <w:top w:val="single" w:sz="4" w:space="0" w:color="auto"/>
              <w:left w:val="single" w:sz="4" w:space="0" w:color="auto"/>
              <w:right w:val="single" w:sz="4" w:space="0" w:color="auto"/>
            </w:tcBorders>
            <w:tcMar>
              <w:left w:w="28" w:type="dxa"/>
              <w:right w:w="28" w:type="dxa"/>
            </w:tcMar>
            <w:vAlign w:val="center"/>
          </w:tcPr>
          <w:p w14:paraId="01CA9C24" w14:textId="77777777" w:rsidR="003D08AF" w:rsidRPr="0030545D" w:rsidRDefault="003D08AF" w:rsidP="00C738FC">
            <w:pPr>
              <w:pStyle w:val="TableText"/>
              <w:widowControl w:val="0"/>
              <w:jc w:val="center"/>
            </w:pPr>
            <w:r w:rsidRPr="0030545D">
              <w:t>0.0023</w:t>
            </w:r>
          </w:p>
        </w:tc>
      </w:tr>
      <w:tr w:rsidR="003D08AF" w:rsidRPr="0030545D" w14:paraId="1D01994D" w14:textId="77777777" w:rsidTr="00C14F95">
        <w:trPr>
          <w:trHeight w:val="7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DFD6E" w14:textId="77777777" w:rsidR="003D08AF" w:rsidRPr="0030545D" w:rsidRDefault="003D08AF" w:rsidP="003D08AF">
            <w:pPr>
              <w:pStyle w:val="TableText"/>
              <w:keepNext w:val="0"/>
              <w:widowControl w:val="0"/>
            </w:pPr>
            <w:r w:rsidRPr="0030545D">
              <w:t>Placebo (N = 45)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90190A" w14:textId="77777777" w:rsidR="003D08AF" w:rsidRPr="0030545D" w:rsidRDefault="003D08AF" w:rsidP="003D08AF">
            <w:pPr>
              <w:pStyle w:val="TableText"/>
              <w:keepNext w:val="0"/>
              <w:widowControl w:val="0"/>
              <w:jc w:val="center"/>
            </w:pPr>
            <w:r w:rsidRPr="0030545D">
              <w:t>38.82 (15.162)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1D5153" w14:textId="77777777" w:rsidR="003D08AF" w:rsidRPr="0030545D" w:rsidRDefault="003D08AF" w:rsidP="003D08AF">
            <w:pPr>
              <w:pStyle w:val="TableText"/>
              <w:keepNext w:val="0"/>
              <w:widowControl w:val="0"/>
              <w:jc w:val="center"/>
            </w:pPr>
            <w:r w:rsidRPr="0030545D">
              <w:t>35.40 (14.921)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C5CA4E" w14:textId="77777777" w:rsidR="003D08AF" w:rsidRPr="0030545D" w:rsidRDefault="003D08AF" w:rsidP="003D08AF">
            <w:pPr>
              <w:pStyle w:val="TableText"/>
              <w:keepNext w:val="0"/>
              <w:widowControl w:val="0"/>
              <w:jc w:val="center"/>
            </w:pPr>
            <w:r w:rsidRPr="0030545D">
              <w:t>-3.36 (5.469)</w:t>
            </w:r>
          </w:p>
        </w:tc>
        <w:tc>
          <w:tcPr>
            <w:tcW w:w="1843" w:type="dxa"/>
            <w:vMerge/>
            <w:tcBorders>
              <w:left w:val="single" w:sz="4" w:space="0" w:color="auto"/>
              <w:bottom w:val="single" w:sz="4" w:space="0" w:color="auto"/>
              <w:right w:val="single" w:sz="4" w:space="0" w:color="auto"/>
            </w:tcBorders>
            <w:vAlign w:val="center"/>
          </w:tcPr>
          <w:p w14:paraId="69EEE6A1" w14:textId="77777777" w:rsidR="003D08AF" w:rsidRPr="0030545D" w:rsidRDefault="003D08AF" w:rsidP="003D08AF">
            <w:pPr>
              <w:pStyle w:val="TableText"/>
              <w:keepNext w:val="0"/>
              <w:widowControl w:val="0"/>
              <w:jc w:val="center"/>
            </w:pPr>
          </w:p>
        </w:tc>
        <w:tc>
          <w:tcPr>
            <w:tcW w:w="795" w:type="dxa"/>
            <w:vMerge/>
            <w:tcBorders>
              <w:left w:val="single" w:sz="4" w:space="0" w:color="auto"/>
              <w:bottom w:val="single" w:sz="4" w:space="0" w:color="auto"/>
              <w:right w:val="single" w:sz="4" w:space="0" w:color="auto"/>
            </w:tcBorders>
            <w:vAlign w:val="center"/>
          </w:tcPr>
          <w:p w14:paraId="0D129598" w14:textId="77777777" w:rsidR="003D08AF" w:rsidRPr="0030545D" w:rsidRDefault="003D08AF" w:rsidP="003D08AF">
            <w:pPr>
              <w:pStyle w:val="TableText"/>
              <w:keepNext w:val="0"/>
              <w:widowControl w:val="0"/>
              <w:jc w:val="center"/>
            </w:pPr>
          </w:p>
        </w:tc>
      </w:tr>
    </w:tbl>
    <w:p w14:paraId="6162D179" w14:textId="77777777" w:rsidR="003D08AF" w:rsidRPr="0030545D" w:rsidRDefault="003D08AF" w:rsidP="00441BAE">
      <w:pPr>
        <w:pStyle w:val="TableFooter"/>
      </w:pPr>
      <w:r w:rsidRPr="0030545D">
        <w:t>Source: Table 2-31, Table 2-34  of the submission; Frank (2016) publication</w:t>
      </w:r>
    </w:p>
    <w:p w14:paraId="270AF922" w14:textId="77777777" w:rsidR="003D08AF" w:rsidRPr="0030545D" w:rsidRDefault="003D08AF" w:rsidP="00C14F95">
      <w:pPr>
        <w:pStyle w:val="TableFooter"/>
        <w:spacing w:after="120"/>
      </w:pPr>
      <w:r w:rsidRPr="0030545D">
        <w:t>Abbreviations: CI, confidence interval; SD, standard deviation</w:t>
      </w:r>
      <w:r w:rsidR="00BB7A84" w:rsidRPr="0030545D">
        <w:t>, TMS, Total Motor Score, UHDRS, Unified Huntington Disease Rating Scale</w:t>
      </w:r>
    </w:p>
    <w:p w14:paraId="6B044F96" w14:textId="77777777" w:rsidR="003D08AF" w:rsidRPr="0030545D" w:rsidRDefault="003D08AF" w:rsidP="003D08AF">
      <w:pPr>
        <w:pStyle w:val="ExecSumBodyText"/>
      </w:pPr>
      <w:r w:rsidRPr="0030545D">
        <w:t xml:space="preserve">Treatment with deutetrabenazine was associated with a statistically significant improvement in SF-36 Physical Functioning score and UHDRS </w:t>
      </w:r>
      <w:r w:rsidR="00BB7A84" w:rsidRPr="0030545D">
        <w:t>TMS</w:t>
      </w:r>
      <w:r w:rsidRPr="0030545D">
        <w:t xml:space="preserve"> (primarily driven by differences in Total Maximal Chorea and Maximal Dystonia scores) compared to placebo. There w</w:t>
      </w:r>
      <w:r w:rsidR="00B17E5B" w:rsidRPr="0030545D">
        <w:t>ere</w:t>
      </w:r>
      <w:r w:rsidRPr="0030545D">
        <w:t xml:space="preserve"> no statistically significant difference</w:t>
      </w:r>
      <w:r w:rsidR="00B17E5B" w:rsidRPr="0030545D">
        <w:t>s</w:t>
      </w:r>
      <w:r w:rsidRPr="0030545D">
        <w:t xml:space="preserve"> in other motor symptoms (rigidity/bradykinesia, hand movements, eye movements and gait/balance; or quality of life measures between treatment arms. There was no statistically significant difference in Berg Balance test scores between treatment arms.</w:t>
      </w:r>
    </w:p>
    <w:p w14:paraId="1F6E1D36" w14:textId="77777777" w:rsidR="0091063B" w:rsidRPr="0030545D" w:rsidRDefault="0091063B" w:rsidP="0091063B">
      <w:pPr>
        <w:pStyle w:val="ExecSumBodyText"/>
      </w:pPr>
      <w:r w:rsidRPr="0030545D">
        <w:t xml:space="preserve">Longer-term data from the ARC-HD patient cohorts indicated that treatment with deutetrabenazine was associated with a reduction in UHDRS Total Maximal Chorea score compared to baseline, with the treatment effect maintained through to Week 145 in the ARC </w:t>
      </w:r>
      <w:r w:rsidR="00FE163D" w:rsidRPr="0030545D">
        <w:t xml:space="preserve">patient </w:t>
      </w:r>
      <w:r w:rsidRPr="0030545D">
        <w:t>cohort</w:t>
      </w:r>
      <w:r w:rsidR="00FE163D" w:rsidRPr="0030545D">
        <w:t>s</w:t>
      </w:r>
      <w:r w:rsidR="0030545D">
        <w:t xml:space="preserve">. </w:t>
      </w:r>
      <w:r w:rsidRPr="0030545D">
        <w:t>However, the longer term data also suggested that while deutetrabenazine was associated with an initial corresponding improvement in UHDRS Total Motor Score this improvement quickly deteriorated over time with the progression of other motor symptoms of Huntington’s disease.</w:t>
      </w:r>
    </w:p>
    <w:p w14:paraId="5E6373DC" w14:textId="77777777" w:rsidR="0091063B" w:rsidRPr="0030545D" w:rsidRDefault="0091063B" w:rsidP="0091063B">
      <w:pPr>
        <w:pStyle w:val="ExecSumBodyText"/>
      </w:pPr>
      <w:r w:rsidRPr="0030545D">
        <w:lastRenderedPageBreak/>
        <w:t>A substantial proportion of patients in the ARC-HD cohorts (43%) received doses exceeding the maximum recommended dose of deutetrabenazine (&gt; 48 mg per day; Frank 2020). As a consequence, it is unclear whether the treatment effect on chorea symptoms can be maintained over time without further dose escalation.</w:t>
      </w:r>
    </w:p>
    <w:p w14:paraId="2860B78F" w14:textId="77777777" w:rsidR="008F4535" w:rsidRPr="0030545D" w:rsidRDefault="008F4535" w:rsidP="008F4535">
      <w:pPr>
        <w:pStyle w:val="ExecSumBodyText"/>
      </w:pPr>
      <w:r w:rsidRPr="0030545D">
        <w:t>One published indirect analysis comparing the efficacy of deutetrabenazine and tetrabenazine for the treatment of chorea w</w:t>
      </w:r>
      <w:r w:rsidR="0039587D" w:rsidRPr="0030545D">
        <w:t>as</w:t>
      </w:r>
      <w:r w:rsidRPr="0030545D">
        <w:t xml:space="preserve"> identified during the evaluation (Rodrigues 2017). This analysis was based on a comparison of the FIRST-HD trial with the pivotal trial for tetrabenazine (TETRA-HD). The indirect analyses indicated that there were no statistically significant differences in chorea symptoms or broader motor symptoms between deutetrabenazine and tetrabenazine in the first-line setting.</w:t>
      </w:r>
      <w:r w:rsidR="00FA7BC9" w:rsidRPr="0030545D">
        <w:t xml:space="preserve"> The Pre-PBAC Response argued that a formal indirect comparison</w:t>
      </w:r>
      <w:r w:rsidR="004376A4" w:rsidRPr="0030545D">
        <w:t xml:space="preserve"> was not undertaken as the sponsor could not, for economic reasons, accept a listing where the price of tetrabenazine was used as a basis for considering the cost-effectiveness of deutetrabenazine.</w:t>
      </w:r>
    </w:p>
    <w:p w14:paraId="216EAD5C" w14:textId="77777777" w:rsidR="008F4535" w:rsidRPr="0030545D" w:rsidRDefault="00B60939" w:rsidP="008F4535">
      <w:pPr>
        <w:pStyle w:val="3-SubsectionHeading"/>
      </w:pPr>
      <w:bookmarkStart w:id="16" w:name="_Toc22897642"/>
      <w:bookmarkStart w:id="17" w:name="_Toc61940994"/>
      <w:r w:rsidRPr="0030545D">
        <w:t>Comparative harms</w:t>
      </w:r>
      <w:bookmarkEnd w:id="16"/>
      <w:bookmarkEnd w:id="17"/>
    </w:p>
    <w:p w14:paraId="2DFD760B" w14:textId="77777777" w:rsidR="003E54B8" w:rsidRPr="0030545D" w:rsidRDefault="00586A69" w:rsidP="008F4535">
      <w:pPr>
        <w:pStyle w:val="ExecSumBodyText"/>
      </w:pPr>
      <w:r w:rsidRPr="0030545D">
        <w:t>An overall summary of the adverse events reported in the FIRST-HD trial and the ARC-HD patient cohorts is presented in the table below.</w:t>
      </w:r>
    </w:p>
    <w:p w14:paraId="6FA652BE" w14:textId="77777777" w:rsidR="003E54B8" w:rsidRPr="0030545D" w:rsidRDefault="003E54B8" w:rsidP="003E54B8">
      <w:pPr>
        <w:pStyle w:val="TableHeading"/>
        <w:widowControl w:val="0"/>
        <w:spacing w:after="0"/>
      </w:pPr>
      <w:r w:rsidRPr="0030545D">
        <w:t>Table 7: Overall summary of adverse events in the included studies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1559"/>
        <w:gridCol w:w="1701"/>
        <w:gridCol w:w="1504"/>
      </w:tblGrid>
      <w:tr w:rsidR="003E54B8" w:rsidRPr="0030545D" w14:paraId="6045B855" w14:textId="77777777" w:rsidTr="00C14F95">
        <w:trPr>
          <w:tblHeader/>
        </w:trPr>
        <w:tc>
          <w:tcPr>
            <w:tcW w:w="2552" w:type="dxa"/>
            <w:vMerge w:val="restart"/>
            <w:tcBorders>
              <w:top w:val="single" w:sz="4" w:space="0" w:color="auto"/>
              <w:left w:val="single" w:sz="4" w:space="0" w:color="auto"/>
              <w:right w:val="single" w:sz="4" w:space="0" w:color="auto"/>
            </w:tcBorders>
            <w:tcMar>
              <w:left w:w="28" w:type="dxa"/>
              <w:right w:w="28" w:type="dxa"/>
            </w:tcMar>
            <w:vAlign w:val="center"/>
          </w:tcPr>
          <w:p w14:paraId="5AC13F8E" w14:textId="77777777" w:rsidR="003E54B8" w:rsidRPr="0030545D" w:rsidRDefault="003E54B8" w:rsidP="009B7037">
            <w:pPr>
              <w:pStyle w:val="TableText"/>
              <w:widowControl w:val="0"/>
              <w:rPr>
                <w:b/>
                <w:bCs w:val="0"/>
              </w:rPr>
            </w:pPr>
            <w:r w:rsidRPr="0030545D">
              <w:rPr>
                <w:b/>
                <w:bCs w:val="0"/>
              </w:rPr>
              <w:t>Adverse event</w:t>
            </w:r>
          </w:p>
        </w:tc>
        <w:tc>
          <w:tcPr>
            <w:tcW w:w="326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003B" w14:textId="77777777" w:rsidR="003E54B8" w:rsidRPr="0030545D" w:rsidRDefault="003E54B8" w:rsidP="009B7037">
            <w:pPr>
              <w:pStyle w:val="TableText"/>
              <w:widowControl w:val="0"/>
              <w:jc w:val="center"/>
              <w:rPr>
                <w:b/>
              </w:rPr>
            </w:pPr>
            <w:r w:rsidRPr="0030545D">
              <w:rPr>
                <w:b/>
              </w:rPr>
              <w:t>FIRST-HD</w:t>
            </w:r>
          </w:p>
          <w:p w14:paraId="7505A282" w14:textId="77777777" w:rsidR="003E54B8" w:rsidRPr="0030545D" w:rsidRDefault="003E54B8" w:rsidP="009B7037">
            <w:pPr>
              <w:pStyle w:val="TableText"/>
              <w:widowControl w:val="0"/>
              <w:jc w:val="center"/>
              <w:rPr>
                <w:b/>
              </w:rPr>
            </w:pPr>
            <w:r w:rsidRPr="0030545D">
              <w:rPr>
                <w:b/>
              </w:rPr>
              <w:t>(12 weeks)</w:t>
            </w:r>
          </w:p>
        </w:tc>
        <w:tc>
          <w:tcPr>
            <w:tcW w:w="1701" w:type="dxa"/>
            <w:tcBorders>
              <w:top w:val="single" w:sz="4" w:space="0" w:color="auto"/>
              <w:left w:val="single" w:sz="4" w:space="0" w:color="auto"/>
              <w:right w:val="single" w:sz="4" w:space="0" w:color="auto"/>
            </w:tcBorders>
            <w:tcMar>
              <w:left w:w="28" w:type="dxa"/>
              <w:right w:w="28" w:type="dxa"/>
            </w:tcMar>
            <w:vAlign w:val="center"/>
          </w:tcPr>
          <w:p w14:paraId="74385593" w14:textId="77777777" w:rsidR="003E54B8" w:rsidRPr="0030545D" w:rsidRDefault="003E54B8" w:rsidP="009B7037">
            <w:pPr>
              <w:pStyle w:val="TableText"/>
              <w:widowControl w:val="0"/>
              <w:jc w:val="center"/>
              <w:rPr>
                <w:b/>
              </w:rPr>
            </w:pPr>
            <w:r w:rsidRPr="0030545D">
              <w:rPr>
                <w:b/>
              </w:rPr>
              <w:t>ARC-HD-ROLLOVER  (mean: 2.2 years)</w:t>
            </w:r>
          </w:p>
        </w:tc>
        <w:tc>
          <w:tcPr>
            <w:tcW w:w="1504" w:type="dxa"/>
            <w:tcBorders>
              <w:top w:val="single" w:sz="4" w:space="0" w:color="auto"/>
              <w:left w:val="single" w:sz="4" w:space="0" w:color="auto"/>
              <w:right w:val="single" w:sz="4" w:space="0" w:color="auto"/>
            </w:tcBorders>
            <w:tcMar>
              <w:left w:w="28" w:type="dxa"/>
              <w:right w:w="28" w:type="dxa"/>
            </w:tcMar>
            <w:vAlign w:val="center"/>
          </w:tcPr>
          <w:p w14:paraId="3037EE73" w14:textId="77777777" w:rsidR="003E54B8" w:rsidRPr="0030545D" w:rsidRDefault="003E54B8" w:rsidP="009B7037">
            <w:pPr>
              <w:pStyle w:val="TableText"/>
              <w:widowControl w:val="0"/>
              <w:jc w:val="center"/>
              <w:rPr>
                <w:b/>
              </w:rPr>
            </w:pPr>
            <w:r w:rsidRPr="0030545D">
              <w:rPr>
                <w:b/>
              </w:rPr>
              <w:t>ARC-HD-</w:t>
            </w:r>
          </w:p>
          <w:p w14:paraId="6CC389F7" w14:textId="77777777" w:rsidR="003E54B8" w:rsidRPr="0030545D" w:rsidRDefault="003E54B8" w:rsidP="009B7037">
            <w:pPr>
              <w:pStyle w:val="TableText"/>
              <w:widowControl w:val="0"/>
              <w:jc w:val="center"/>
              <w:rPr>
                <w:b/>
              </w:rPr>
            </w:pPr>
            <w:r w:rsidRPr="0030545D">
              <w:rPr>
                <w:b/>
              </w:rPr>
              <w:t>SWITCH</w:t>
            </w:r>
          </w:p>
          <w:p w14:paraId="2490C0EB" w14:textId="77777777" w:rsidR="003E54B8" w:rsidRPr="0030545D" w:rsidRDefault="003E54B8" w:rsidP="009B7037">
            <w:pPr>
              <w:pStyle w:val="TableText"/>
              <w:widowControl w:val="0"/>
              <w:jc w:val="center"/>
              <w:rPr>
                <w:b/>
              </w:rPr>
            </w:pPr>
            <w:r w:rsidRPr="0030545D">
              <w:rPr>
                <w:b/>
              </w:rPr>
              <w:t>(mean: 2.4 years)</w:t>
            </w:r>
          </w:p>
        </w:tc>
      </w:tr>
      <w:tr w:rsidR="003E54B8" w:rsidRPr="0030545D" w14:paraId="65649ADE" w14:textId="77777777" w:rsidTr="00C14F95">
        <w:trPr>
          <w:tblHeader/>
        </w:trPr>
        <w:tc>
          <w:tcPr>
            <w:tcW w:w="2552" w:type="dxa"/>
            <w:vMerge/>
            <w:tcBorders>
              <w:left w:val="single" w:sz="4" w:space="0" w:color="auto"/>
              <w:bottom w:val="single" w:sz="4" w:space="0" w:color="auto"/>
              <w:right w:val="single" w:sz="4" w:space="0" w:color="auto"/>
            </w:tcBorders>
            <w:tcMar>
              <w:left w:w="28" w:type="dxa"/>
              <w:right w:w="28" w:type="dxa"/>
            </w:tcMar>
            <w:vAlign w:val="center"/>
          </w:tcPr>
          <w:p w14:paraId="6DBD8139" w14:textId="77777777" w:rsidR="003E54B8" w:rsidRPr="0030545D" w:rsidRDefault="003E54B8" w:rsidP="009B7037">
            <w:pPr>
              <w:pStyle w:val="TableText"/>
              <w:widowControl w:val="0"/>
              <w:jc w:val="center"/>
              <w:rPr>
                <w:b/>
                <w:bCs w:val="0"/>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35A93" w14:textId="77777777" w:rsidR="003E54B8" w:rsidRPr="0030545D" w:rsidRDefault="003E54B8" w:rsidP="009B7037">
            <w:pPr>
              <w:pStyle w:val="TableText"/>
              <w:widowControl w:val="0"/>
              <w:jc w:val="center"/>
              <w:rPr>
                <w:b/>
              </w:rPr>
            </w:pPr>
            <w:r w:rsidRPr="0030545D">
              <w:rPr>
                <w:b/>
              </w:rPr>
              <w:t>Placebo</w:t>
            </w:r>
          </w:p>
          <w:p w14:paraId="73867E69" w14:textId="77777777" w:rsidR="003E54B8" w:rsidRPr="0030545D" w:rsidRDefault="003E54B8" w:rsidP="009B7037">
            <w:pPr>
              <w:pStyle w:val="TableText"/>
              <w:widowControl w:val="0"/>
              <w:jc w:val="center"/>
              <w:rPr>
                <w:b/>
              </w:rPr>
            </w:pPr>
            <w:r w:rsidRPr="0030545D">
              <w:rPr>
                <w:b/>
              </w:rPr>
              <w:t>N = 45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AC6727" w14:textId="77777777" w:rsidR="003E54B8" w:rsidRPr="0030545D" w:rsidRDefault="003E54B8" w:rsidP="009B7037">
            <w:pPr>
              <w:pStyle w:val="TableText"/>
              <w:widowControl w:val="0"/>
              <w:jc w:val="center"/>
              <w:rPr>
                <w:b/>
              </w:rPr>
            </w:pPr>
            <w:r w:rsidRPr="0030545D">
              <w:rPr>
                <w:b/>
              </w:rPr>
              <w:t>Deutetrabenazine</w:t>
            </w:r>
          </w:p>
          <w:p w14:paraId="35FDF0F3" w14:textId="77777777" w:rsidR="003E54B8" w:rsidRPr="0030545D" w:rsidRDefault="003E54B8" w:rsidP="009B7037">
            <w:pPr>
              <w:pStyle w:val="TableText"/>
              <w:widowControl w:val="0"/>
              <w:jc w:val="center"/>
              <w:rPr>
                <w:b/>
              </w:rPr>
            </w:pPr>
            <w:r w:rsidRPr="0030545D">
              <w:rPr>
                <w:b/>
              </w:rPr>
              <w:t>N = 45</w:t>
            </w:r>
          </w:p>
        </w:tc>
        <w:tc>
          <w:tcPr>
            <w:tcW w:w="1701" w:type="dxa"/>
            <w:tcBorders>
              <w:left w:val="single" w:sz="4" w:space="0" w:color="auto"/>
              <w:bottom w:val="single" w:sz="4" w:space="0" w:color="auto"/>
              <w:right w:val="single" w:sz="4" w:space="0" w:color="auto"/>
            </w:tcBorders>
            <w:tcMar>
              <w:left w:w="28" w:type="dxa"/>
              <w:right w:w="28" w:type="dxa"/>
            </w:tcMar>
            <w:vAlign w:val="center"/>
          </w:tcPr>
          <w:p w14:paraId="6A117371" w14:textId="77777777" w:rsidR="003E54B8" w:rsidRPr="0030545D" w:rsidRDefault="003E54B8" w:rsidP="009B7037">
            <w:pPr>
              <w:pStyle w:val="TableText"/>
              <w:widowControl w:val="0"/>
              <w:jc w:val="center"/>
              <w:rPr>
                <w:b/>
              </w:rPr>
            </w:pPr>
            <w:r w:rsidRPr="0030545D">
              <w:rPr>
                <w:b/>
              </w:rPr>
              <w:t>Deutetrabenazine</w:t>
            </w:r>
          </w:p>
          <w:p w14:paraId="3A8695BC" w14:textId="77777777" w:rsidR="003E54B8" w:rsidRPr="0030545D" w:rsidRDefault="003E54B8" w:rsidP="009B7037">
            <w:pPr>
              <w:pStyle w:val="TableText"/>
              <w:widowControl w:val="0"/>
              <w:jc w:val="center"/>
              <w:rPr>
                <w:b/>
              </w:rPr>
            </w:pPr>
            <w:r w:rsidRPr="0030545D">
              <w:rPr>
                <w:b/>
              </w:rPr>
              <w:t>N = 82</w:t>
            </w:r>
          </w:p>
        </w:tc>
        <w:tc>
          <w:tcPr>
            <w:tcW w:w="1504" w:type="dxa"/>
            <w:tcBorders>
              <w:left w:val="single" w:sz="4" w:space="0" w:color="auto"/>
              <w:bottom w:val="single" w:sz="4" w:space="0" w:color="auto"/>
              <w:right w:val="single" w:sz="4" w:space="0" w:color="auto"/>
            </w:tcBorders>
            <w:tcMar>
              <w:left w:w="28" w:type="dxa"/>
              <w:right w:w="28" w:type="dxa"/>
            </w:tcMar>
            <w:vAlign w:val="center"/>
          </w:tcPr>
          <w:p w14:paraId="582B2569" w14:textId="77777777" w:rsidR="003E54B8" w:rsidRPr="0030545D" w:rsidRDefault="003E54B8" w:rsidP="009B7037">
            <w:pPr>
              <w:pStyle w:val="TableText"/>
              <w:widowControl w:val="0"/>
              <w:jc w:val="center"/>
              <w:rPr>
                <w:b/>
              </w:rPr>
            </w:pPr>
            <w:r w:rsidRPr="0030545D">
              <w:rPr>
                <w:b/>
              </w:rPr>
              <w:t>Deutetrabenazine</w:t>
            </w:r>
          </w:p>
          <w:p w14:paraId="0A471E5D" w14:textId="77777777" w:rsidR="003E54B8" w:rsidRPr="0030545D" w:rsidRDefault="003E54B8" w:rsidP="009B7037">
            <w:pPr>
              <w:pStyle w:val="TableText"/>
              <w:widowControl w:val="0"/>
              <w:jc w:val="center"/>
              <w:rPr>
                <w:b/>
                <w:vertAlign w:val="superscript"/>
              </w:rPr>
            </w:pPr>
            <w:r w:rsidRPr="0030545D">
              <w:rPr>
                <w:b/>
              </w:rPr>
              <w:t>N = 37</w:t>
            </w:r>
          </w:p>
        </w:tc>
      </w:tr>
      <w:tr w:rsidR="003E54B8" w:rsidRPr="0030545D" w14:paraId="72064416"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6229E" w14:textId="77777777" w:rsidR="003E54B8" w:rsidRPr="0030545D" w:rsidRDefault="003E54B8" w:rsidP="009B7037">
            <w:pPr>
              <w:pStyle w:val="TableText"/>
              <w:widowControl w:val="0"/>
            </w:pPr>
            <w:r w:rsidRPr="0030545D">
              <w:t>Any adverse event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BAFDCA" w14:textId="77777777" w:rsidR="003E54B8" w:rsidRPr="0030545D" w:rsidRDefault="003E54B8" w:rsidP="009B7037">
            <w:pPr>
              <w:pStyle w:val="TableText"/>
              <w:widowControl w:val="0"/>
              <w:jc w:val="center"/>
            </w:pPr>
            <w:r w:rsidRPr="0030545D">
              <w:t>27 (60.0)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A6E18F" w14:textId="77777777" w:rsidR="003E54B8" w:rsidRPr="0030545D" w:rsidRDefault="003E54B8" w:rsidP="009B7037">
            <w:pPr>
              <w:pStyle w:val="TableText"/>
              <w:widowControl w:val="0"/>
              <w:jc w:val="center"/>
            </w:pPr>
            <w:r w:rsidRPr="0030545D">
              <w:t>27 (60.0)</w:t>
            </w:r>
          </w:p>
        </w:tc>
        <w:tc>
          <w:tcPr>
            <w:tcW w:w="1701" w:type="dxa"/>
            <w:tcBorders>
              <w:top w:val="single" w:sz="4" w:space="0" w:color="auto"/>
              <w:left w:val="single" w:sz="4" w:space="0" w:color="auto"/>
              <w:right w:val="single" w:sz="4" w:space="0" w:color="auto"/>
            </w:tcBorders>
            <w:tcMar>
              <w:left w:w="28" w:type="dxa"/>
              <w:right w:w="28" w:type="dxa"/>
            </w:tcMar>
            <w:vAlign w:val="center"/>
          </w:tcPr>
          <w:p w14:paraId="0228071D" w14:textId="77777777" w:rsidR="003E54B8" w:rsidRPr="0030545D" w:rsidRDefault="003E54B8" w:rsidP="009B7037">
            <w:pPr>
              <w:pStyle w:val="TableText"/>
              <w:widowControl w:val="0"/>
              <w:jc w:val="center"/>
            </w:pPr>
            <w:r w:rsidRPr="0030545D">
              <w:t>77 (93.9)</w:t>
            </w:r>
          </w:p>
        </w:tc>
        <w:tc>
          <w:tcPr>
            <w:tcW w:w="1504" w:type="dxa"/>
            <w:tcBorders>
              <w:top w:val="single" w:sz="4" w:space="0" w:color="auto"/>
              <w:left w:val="single" w:sz="4" w:space="0" w:color="auto"/>
              <w:right w:val="single" w:sz="4" w:space="0" w:color="auto"/>
            </w:tcBorders>
            <w:tcMar>
              <w:left w:w="28" w:type="dxa"/>
              <w:right w:w="28" w:type="dxa"/>
            </w:tcMar>
            <w:vAlign w:val="center"/>
          </w:tcPr>
          <w:p w14:paraId="54A5A70B" w14:textId="77777777" w:rsidR="003E54B8" w:rsidRPr="0030545D" w:rsidRDefault="003E54B8" w:rsidP="009B7037">
            <w:pPr>
              <w:pStyle w:val="TableText"/>
              <w:widowControl w:val="0"/>
              <w:jc w:val="center"/>
            </w:pPr>
            <w:r w:rsidRPr="0030545D">
              <w:t>35 (94.6)</w:t>
            </w:r>
          </w:p>
        </w:tc>
      </w:tr>
      <w:tr w:rsidR="003E54B8" w:rsidRPr="0030545D" w14:paraId="03EA466B"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6EF0D5" w14:textId="77777777" w:rsidR="003E54B8" w:rsidRPr="0030545D" w:rsidRDefault="003E54B8" w:rsidP="009B7037">
            <w:pPr>
              <w:pStyle w:val="TableText"/>
              <w:widowControl w:val="0"/>
            </w:pPr>
            <w:r w:rsidRPr="0030545D">
              <w:t>Treatment-related adverse event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1A0A80" w14:textId="77777777" w:rsidR="003E54B8" w:rsidRPr="0030545D" w:rsidRDefault="003E54B8" w:rsidP="009B7037">
            <w:pPr>
              <w:pStyle w:val="TableText"/>
              <w:widowControl w:val="0"/>
              <w:jc w:val="center"/>
            </w:pPr>
            <w:r w:rsidRPr="0030545D">
              <w:t>12 (26.7)</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11925D" w14:textId="77777777" w:rsidR="003E54B8" w:rsidRPr="0030545D" w:rsidRDefault="003E54B8" w:rsidP="009B7037">
            <w:pPr>
              <w:pStyle w:val="TableText"/>
              <w:widowControl w:val="0"/>
              <w:jc w:val="center"/>
            </w:pPr>
            <w:r w:rsidRPr="0030545D">
              <w:t>19 (42.2)</w:t>
            </w:r>
          </w:p>
        </w:tc>
        <w:tc>
          <w:tcPr>
            <w:tcW w:w="1701" w:type="dxa"/>
            <w:tcBorders>
              <w:left w:val="single" w:sz="4" w:space="0" w:color="auto"/>
              <w:bottom w:val="single" w:sz="4" w:space="0" w:color="auto"/>
              <w:right w:val="single" w:sz="4" w:space="0" w:color="auto"/>
            </w:tcBorders>
            <w:tcMar>
              <w:left w:w="28" w:type="dxa"/>
              <w:right w:w="28" w:type="dxa"/>
            </w:tcMar>
            <w:vAlign w:val="center"/>
          </w:tcPr>
          <w:p w14:paraId="1328C6AA" w14:textId="77777777" w:rsidR="003E54B8" w:rsidRPr="0030545D" w:rsidRDefault="003E54B8" w:rsidP="009B7037">
            <w:pPr>
              <w:pStyle w:val="TableText"/>
              <w:widowControl w:val="0"/>
              <w:jc w:val="center"/>
            </w:pPr>
            <w:r w:rsidRPr="0030545D">
              <w:t>55 (67.1)</w:t>
            </w:r>
          </w:p>
        </w:tc>
        <w:tc>
          <w:tcPr>
            <w:tcW w:w="1504" w:type="dxa"/>
            <w:tcBorders>
              <w:left w:val="single" w:sz="4" w:space="0" w:color="auto"/>
              <w:bottom w:val="single" w:sz="4" w:space="0" w:color="auto"/>
              <w:right w:val="single" w:sz="4" w:space="0" w:color="auto"/>
            </w:tcBorders>
            <w:tcMar>
              <w:left w:w="28" w:type="dxa"/>
              <w:right w:w="28" w:type="dxa"/>
            </w:tcMar>
            <w:vAlign w:val="center"/>
          </w:tcPr>
          <w:p w14:paraId="1E5A292C" w14:textId="77777777" w:rsidR="003E54B8" w:rsidRPr="0030545D" w:rsidRDefault="003E54B8" w:rsidP="009B7037">
            <w:pPr>
              <w:pStyle w:val="TableText"/>
              <w:widowControl w:val="0"/>
              <w:jc w:val="center"/>
            </w:pPr>
            <w:r w:rsidRPr="0030545D">
              <w:t>26 (70.3)</w:t>
            </w:r>
          </w:p>
        </w:tc>
      </w:tr>
      <w:tr w:rsidR="003E54B8" w:rsidRPr="0030545D" w14:paraId="5765FAEA"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9C2AA5" w14:textId="77777777" w:rsidR="003E54B8" w:rsidRPr="0030545D" w:rsidRDefault="003E54B8" w:rsidP="009B7037">
            <w:pPr>
              <w:pStyle w:val="TableText"/>
              <w:keepNext w:val="0"/>
              <w:widowControl w:val="0"/>
            </w:pPr>
            <w:r w:rsidRPr="0030545D">
              <w:t>Severe adverse event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1CE97C" w14:textId="77777777" w:rsidR="003E54B8" w:rsidRPr="0030545D" w:rsidRDefault="003E54B8" w:rsidP="009B7037">
            <w:pPr>
              <w:pStyle w:val="TableText"/>
              <w:keepNext w:val="0"/>
              <w:widowControl w:val="0"/>
              <w:jc w:val="center"/>
            </w:pPr>
            <w:r w:rsidRPr="0030545D">
              <w:t>1 (2.2)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362951" w14:textId="77777777" w:rsidR="003E54B8" w:rsidRPr="0030545D" w:rsidRDefault="003E54B8" w:rsidP="009B7037">
            <w:pPr>
              <w:pStyle w:val="TableText"/>
              <w:keepNext w:val="0"/>
              <w:widowControl w:val="0"/>
              <w:jc w:val="center"/>
            </w:pPr>
            <w:r w:rsidRPr="0030545D">
              <w:t>2 (4.4)</w:t>
            </w:r>
          </w:p>
        </w:tc>
        <w:tc>
          <w:tcPr>
            <w:tcW w:w="1701" w:type="dxa"/>
            <w:tcBorders>
              <w:top w:val="single" w:sz="4" w:space="0" w:color="auto"/>
              <w:left w:val="single" w:sz="4" w:space="0" w:color="auto"/>
              <w:right w:val="single" w:sz="4" w:space="0" w:color="auto"/>
            </w:tcBorders>
            <w:tcMar>
              <w:left w:w="28" w:type="dxa"/>
              <w:right w:w="28" w:type="dxa"/>
            </w:tcMar>
            <w:vAlign w:val="center"/>
          </w:tcPr>
          <w:p w14:paraId="7BDBD839" w14:textId="77777777" w:rsidR="003E54B8" w:rsidRPr="0030545D" w:rsidRDefault="003E54B8" w:rsidP="009B7037">
            <w:pPr>
              <w:pStyle w:val="TableText"/>
              <w:keepNext w:val="0"/>
              <w:widowControl w:val="0"/>
              <w:jc w:val="center"/>
            </w:pPr>
            <w:r w:rsidRPr="0030545D">
              <w:t>17 (20.7)</w:t>
            </w:r>
          </w:p>
        </w:tc>
        <w:tc>
          <w:tcPr>
            <w:tcW w:w="1504" w:type="dxa"/>
            <w:tcBorders>
              <w:top w:val="single" w:sz="4" w:space="0" w:color="auto"/>
              <w:left w:val="single" w:sz="4" w:space="0" w:color="auto"/>
              <w:right w:val="single" w:sz="4" w:space="0" w:color="auto"/>
            </w:tcBorders>
            <w:tcMar>
              <w:left w:w="28" w:type="dxa"/>
              <w:right w:w="28" w:type="dxa"/>
            </w:tcMar>
            <w:vAlign w:val="center"/>
          </w:tcPr>
          <w:p w14:paraId="3C02EDB5" w14:textId="77777777" w:rsidR="003E54B8" w:rsidRPr="0030545D" w:rsidRDefault="003E54B8" w:rsidP="009B7037">
            <w:pPr>
              <w:pStyle w:val="TableText"/>
              <w:keepNext w:val="0"/>
              <w:widowControl w:val="0"/>
              <w:jc w:val="center"/>
            </w:pPr>
            <w:r w:rsidRPr="0030545D">
              <w:t>7 (18.9)</w:t>
            </w:r>
          </w:p>
        </w:tc>
      </w:tr>
      <w:tr w:rsidR="003E54B8" w:rsidRPr="0030545D" w14:paraId="028D787D"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57CBC1" w14:textId="77777777" w:rsidR="003E54B8" w:rsidRPr="0030545D" w:rsidRDefault="003E54B8" w:rsidP="009B7037">
            <w:pPr>
              <w:pStyle w:val="TableText"/>
              <w:keepNext w:val="0"/>
              <w:widowControl w:val="0"/>
            </w:pPr>
            <w:r w:rsidRPr="0030545D">
              <w:t>Serious adverse event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30A8C6" w14:textId="77777777" w:rsidR="003E54B8" w:rsidRPr="0030545D" w:rsidRDefault="003E54B8" w:rsidP="009B7037">
            <w:pPr>
              <w:pStyle w:val="TableText"/>
              <w:keepNext w:val="0"/>
              <w:widowControl w:val="0"/>
              <w:jc w:val="center"/>
            </w:pPr>
            <w:r w:rsidRPr="0030545D">
              <w:t>1 (2.2)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75892" w14:textId="77777777" w:rsidR="003E54B8" w:rsidRPr="0030545D" w:rsidRDefault="003E54B8" w:rsidP="009B7037">
            <w:pPr>
              <w:pStyle w:val="TableText"/>
              <w:keepNext w:val="0"/>
              <w:widowControl w:val="0"/>
              <w:jc w:val="center"/>
            </w:pPr>
            <w:r w:rsidRPr="0030545D">
              <w:t>1 (2.2)</w:t>
            </w:r>
          </w:p>
        </w:tc>
        <w:tc>
          <w:tcPr>
            <w:tcW w:w="1701" w:type="dxa"/>
            <w:tcBorders>
              <w:left w:val="single" w:sz="4" w:space="0" w:color="auto"/>
              <w:bottom w:val="single" w:sz="4" w:space="0" w:color="auto"/>
              <w:right w:val="single" w:sz="4" w:space="0" w:color="auto"/>
            </w:tcBorders>
            <w:tcMar>
              <w:left w:w="28" w:type="dxa"/>
              <w:right w:w="28" w:type="dxa"/>
            </w:tcMar>
            <w:vAlign w:val="center"/>
          </w:tcPr>
          <w:p w14:paraId="3C9DAC0F" w14:textId="77777777" w:rsidR="003E54B8" w:rsidRPr="0030545D" w:rsidRDefault="003E54B8" w:rsidP="009B7037">
            <w:pPr>
              <w:pStyle w:val="TableText"/>
              <w:keepNext w:val="0"/>
              <w:widowControl w:val="0"/>
              <w:jc w:val="center"/>
            </w:pPr>
            <w:r w:rsidRPr="0030545D">
              <w:t>21 (25.6)</w:t>
            </w:r>
          </w:p>
        </w:tc>
        <w:tc>
          <w:tcPr>
            <w:tcW w:w="1504" w:type="dxa"/>
            <w:tcBorders>
              <w:left w:val="single" w:sz="4" w:space="0" w:color="auto"/>
              <w:bottom w:val="single" w:sz="4" w:space="0" w:color="auto"/>
              <w:right w:val="single" w:sz="4" w:space="0" w:color="auto"/>
            </w:tcBorders>
            <w:tcMar>
              <w:left w:w="28" w:type="dxa"/>
              <w:right w:w="28" w:type="dxa"/>
            </w:tcMar>
            <w:vAlign w:val="center"/>
          </w:tcPr>
          <w:p w14:paraId="07DE9F2F" w14:textId="77777777" w:rsidR="003E54B8" w:rsidRPr="0030545D" w:rsidRDefault="003E54B8" w:rsidP="009B7037">
            <w:pPr>
              <w:pStyle w:val="TableText"/>
              <w:keepNext w:val="0"/>
              <w:widowControl w:val="0"/>
              <w:jc w:val="center"/>
            </w:pPr>
            <w:r w:rsidRPr="0030545D">
              <w:t>11 (29.7)</w:t>
            </w:r>
          </w:p>
        </w:tc>
      </w:tr>
      <w:tr w:rsidR="003E54B8" w:rsidRPr="0030545D" w14:paraId="143B6DDB"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53FF8C" w14:textId="77777777" w:rsidR="003E54B8" w:rsidRPr="0030545D" w:rsidRDefault="003E54B8" w:rsidP="009B7037">
            <w:pPr>
              <w:pStyle w:val="TableText"/>
              <w:keepNext w:val="0"/>
              <w:widowControl w:val="0"/>
            </w:pPr>
            <w:r w:rsidRPr="0030545D">
              <w:t>Adverse events leading to dose reduction</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F50D1" w14:textId="77777777" w:rsidR="003E54B8" w:rsidRPr="0030545D" w:rsidRDefault="003E54B8" w:rsidP="009B7037">
            <w:pPr>
              <w:pStyle w:val="TableText"/>
              <w:keepNext w:val="0"/>
              <w:widowControl w:val="0"/>
              <w:jc w:val="center"/>
            </w:pPr>
            <w:r w:rsidRPr="0030545D">
              <w:t>3 (6.7)</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4C19D0" w14:textId="77777777" w:rsidR="003E54B8" w:rsidRPr="0030545D" w:rsidRDefault="003E54B8" w:rsidP="009B7037">
            <w:pPr>
              <w:pStyle w:val="TableText"/>
              <w:keepNext w:val="0"/>
              <w:widowControl w:val="0"/>
              <w:jc w:val="center"/>
            </w:pPr>
            <w:r w:rsidRPr="0030545D">
              <w:t>3 (6.7)</w:t>
            </w:r>
          </w:p>
        </w:tc>
        <w:tc>
          <w:tcPr>
            <w:tcW w:w="1701" w:type="dxa"/>
            <w:tcBorders>
              <w:top w:val="single" w:sz="4" w:space="0" w:color="auto"/>
              <w:left w:val="single" w:sz="4" w:space="0" w:color="auto"/>
              <w:right w:val="single" w:sz="4" w:space="0" w:color="auto"/>
            </w:tcBorders>
            <w:tcMar>
              <w:left w:w="28" w:type="dxa"/>
              <w:right w:w="28" w:type="dxa"/>
            </w:tcMar>
            <w:vAlign w:val="center"/>
          </w:tcPr>
          <w:p w14:paraId="36871E7C" w14:textId="77777777" w:rsidR="003E54B8" w:rsidRPr="0030545D" w:rsidRDefault="003E54B8" w:rsidP="009B7037">
            <w:pPr>
              <w:pStyle w:val="TableText"/>
              <w:keepNext w:val="0"/>
              <w:widowControl w:val="0"/>
              <w:jc w:val="center"/>
            </w:pPr>
            <w:r w:rsidRPr="0030545D">
              <w:t>20 (24.4)</w:t>
            </w:r>
          </w:p>
        </w:tc>
        <w:tc>
          <w:tcPr>
            <w:tcW w:w="1504" w:type="dxa"/>
            <w:tcBorders>
              <w:top w:val="single" w:sz="4" w:space="0" w:color="auto"/>
              <w:left w:val="single" w:sz="4" w:space="0" w:color="auto"/>
              <w:right w:val="single" w:sz="4" w:space="0" w:color="auto"/>
            </w:tcBorders>
            <w:tcMar>
              <w:left w:w="28" w:type="dxa"/>
              <w:right w:w="28" w:type="dxa"/>
            </w:tcMar>
            <w:vAlign w:val="center"/>
          </w:tcPr>
          <w:p w14:paraId="78A95C00" w14:textId="77777777" w:rsidR="003E54B8" w:rsidRPr="0030545D" w:rsidRDefault="003E54B8" w:rsidP="009B7037">
            <w:pPr>
              <w:pStyle w:val="TableText"/>
              <w:keepNext w:val="0"/>
              <w:widowControl w:val="0"/>
              <w:jc w:val="center"/>
            </w:pPr>
            <w:r w:rsidRPr="0030545D">
              <w:t>10 (27.0)</w:t>
            </w:r>
          </w:p>
        </w:tc>
      </w:tr>
      <w:tr w:rsidR="003E54B8" w:rsidRPr="0030545D" w14:paraId="70C35F5E"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F215CB" w14:textId="77777777" w:rsidR="003E54B8" w:rsidRPr="0030545D" w:rsidRDefault="003E54B8" w:rsidP="009B7037">
            <w:pPr>
              <w:pStyle w:val="TableText"/>
              <w:keepNext w:val="0"/>
              <w:widowControl w:val="0"/>
            </w:pPr>
            <w:r w:rsidRPr="0030545D">
              <w:t>Adverse events leading to dose suspension</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3ADF2B" w14:textId="77777777" w:rsidR="003E54B8" w:rsidRPr="0030545D" w:rsidRDefault="003E54B8" w:rsidP="009B7037">
            <w:pPr>
              <w:pStyle w:val="TableText"/>
              <w:keepNext w:val="0"/>
              <w:widowControl w:val="0"/>
              <w:jc w:val="center"/>
            </w:pPr>
            <w:r w:rsidRPr="0030545D">
              <w:t>1 (2.2)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9046F7" w14:textId="77777777" w:rsidR="003E54B8" w:rsidRPr="0030545D" w:rsidRDefault="003E54B8" w:rsidP="009B7037">
            <w:pPr>
              <w:pStyle w:val="TableText"/>
              <w:keepNext w:val="0"/>
              <w:widowControl w:val="0"/>
              <w:jc w:val="center"/>
            </w:pPr>
            <w:r w:rsidRPr="0030545D">
              <w:t>1 (2.2)</w:t>
            </w:r>
          </w:p>
        </w:tc>
        <w:tc>
          <w:tcPr>
            <w:tcW w:w="1701" w:type="dxa"/>
            <w:tcBorders>
              <w:left w:val="single" w:sz="4" w:space="0" w:color="auto"/>
              <w:right w:val="single" w:sz="4" w:space="0" w:color="auto"/>
            </w:tcBorders>
            <w:tcMar>
              <w:left w:w="28" w:type="dxa"/>
              <w:right w:w="28" w:type="dxa"/>
            </w:tcMar>
            <w:vAlign w:val="center"/>
          </w:tcPr>
          <w:p w14:paraId="22FF6379" w14:textId="77777777" w:rsidR="003E54B8" w:rsidRPr="0030545D" w:rsidRDefault="003E54B8" w:rsidP="009B7037">
            <w:pPr>
              <w:pStyle w:val="TableText"/>
              <w:keepNext w:val="0"/>
              <w:widowControl w:val="0"/>
              <w:jc w:val="center"/>
            </w:pPr>
            <w:r w:rsidRPr="0030545D">
              <w:t>8 (9.8)</w:t>
            </w:r>
          </w:p>
        </w:tc>
        <w:tc>
          <w:tcPr>
            <w:tcW w:w="1504" w:type="dxa"/>
            <w:tcBorders>
              <w:left w:val="single" w:sz="4" w:space="0" w:color="auto"/>
              <w:right w:val="single" w:sz="4" w:space="0" w:color="auto"/>
            </w:tcBorders>
            <w:tcMar>
              <w:left w:w="28" w:type="dxa"/>
              <w:right w:w="28" w:type="dxa"/>
            </w:tcMar>
            <w:vAlign w:val="center"/>
          </w:tcPr>
          <w:p w14:paraId="3A97E89B" w14:textId="77777777" w:rsidR="003E54B8" w:rsidRPr="0030545D" w:rsidRDefault="003E54B8" w:rsidP="009B7037">
            <w:pPr>
              <w:pStyle w:val="TableText"/>
              <w:keepNext w:val="0"/>
              <w:widowControl w:val="0"/>
              <w:jc w:val="center"/>
            </w:pPr>
            <w:r w:rsidRPr="0030545D">
              <w:t>3 (8.1)</w:t>
            </w:r>
          </w:p>
        </w:tc>
      </w:tr>
      <w:tr w:rsidR="003E54B8" w:rsidRPr="0030545D" w14:paraId="44A3E5EA"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2E89EB" w14:textId="77777777" w:rsidR="003E54B8" w:rsidRPr="0030545D" w:rsidRDefault="003E54B8" w:rsidP="009B7037">
            <w:pPr>
              <w:pStyle w:val="TableText"/>
              <w:keepNext w:val="0"/>
              <w:widowControl w:val="0"/>
            </w:pPr>
            <w:r w:rsidRPr="0030545D">
              <w:t>Adverse events leading to discontinuation</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6DBE16" w14:textId="77777777" w:rsidR="003E54B8" w:rsidRPr="0030545D" w:rsidRDefault="003E54B8" w:rsidP="009B7037">
            <w:pPr>
              <w:pStyle w:val="TableText"/>
              <w:keepNext w:val="0"/>
              <w:widowControl w:val="0"/>
              <w:jc w:val="center"/>
            </w:pPr>
            <w:r w:rsidRPr="0030545D">
              <w:t>1 (2.2)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2210EE" w14:textId="77777777" w:rsidR="003E54B8" w:rsidRPr="0030545D" w:rsidRDefault="003E54B8" w:rsidP="009B7037">
            <w:pPr>
              <w:pStyle w:val="TableText"/>
              <w:keepNext w:val="0"/>
              <w:widowControl w:val="0"/>
              <w:jc w:val="center"/>
            </w:pPr>
            <w:r w:rsidRPr="0030545D">
              <w:t>1 (2.2)</w:t>
            </w:r>
          </w:p>
        </w:tc>
        <w:tc>
          <w:tcPr>
            <w:tcW w:w="1701" w:type="dxa"/>
            <w:tcBorders>
              <w:left w:val="single" w:sz="4" w:space="0" w:color="auto"/>
              <w:right w:val="single" w:sz="4" w:space="0" w:color="auto"/>
            </w:tcBorders>
            <w:tcMar>
              <w:left w:w="28" w:type="dxa"/>
              <w:right w:w="28" w:type="dxa"/>
            </w:tcMar>
            <w:vAlign w:val="center"/>
          </w:tcPr>
          <w:p w14:paraId="7CF06A7A" w14:textId="77777777" w:rsidR="003E54B8" w:rsidRPr="0030545D" w:rsidRDefault="003E54B8" w:rsidP="009B7037">
            <w:pPr>
              <w:pStyle w:val="TableText"/>
              <w:keepNext w:val="0"/>
              <w:widowControl w:val="0"/>
              <w:jc w:val="center"/>
            </w:pPr>
            <w:r w:rsidRPr="0030545D">
              <w:t>5 (6.1)</w:t>
            </w:r>
          </w:p>
        </w:tc>
        <w:tc>
          <w:tcPr>
            <w:tcW w:w="1504" w:type="dxa"/>
            <w:tcBorders>
              <w:left w:val="single" w:sz="4" w:space="0" w:color="auto"/>
              <w:right w:val="single" w:sz="4" w:space="0" w:color="auto"/>
            </w:tcBorders>
            <w:tcMar>
              <w:left w:w="28" w:type="dxa"/>
              <w:right w:w="28" w:type="dxa"/>
            </w:tcMar>
            <w:vAlign w:val="center"/>
          </w:tcPr>
          <w:p w14:paraId="2E31B971" w14:textId="77777777" w:rsidR="003E54B8" w:rsidRPr="0030545D" w:rsidRDefault="003E54B8" w:rsidP="009B7037">
            <w:pPr>
              <w:pStyle w:val="TableText"/>
              <w:keepNext w:val="0"/>
              <w:widowControl w:val="0"/>
              <w:jc w:val="center"/>
            </w:pPr>
            <w:r w:rsidRPr="0030545D">
              <w:t>0 (0.0)</w:t>
            </w:r>
          </w:p>
        </w:tc>
      </w:tr>
      <w:tr w:rsidR="003E54B8" w:rsidRPr="0030545D" w14:paraId="5BA3E23C" w14:textId="77777777" w:rsidTr="00C14F95">
        <w:trPr>
          <w:trHeight w:val="7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B80EE2" w14:textId="77777777" w:rsidR="003E54B8" w:rsidRPr="0030545D" w:rsidRDefault="003E54B8" w:rsidP="009B7037">
            <w:pPr>
              <w:pStyle w:val="TableText"/>
              <w:keepNext w:val="0"/>
              <w:widowControl w:val="0"/>
            </w:pPr>
            <w:r w:rsidRPr="0030545D">
              <w:t>Deaths</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1FDBE0" w14:textId="77777777" w:rsidR="003E54B8" w:rsidRPr="0030545D" w:rsidRDefault="003E54B8" w:rsidP="009B7037">
            <w:pPr>
              <w:pStyle w:val="TableText"/>
              <w:keepNext w:val="0"/>
              <w:widowControl w:val="0"/>
              <w:jc w:val="center"/>
            </w:pPr>
            <w:r w:rsidRPr="0030545D">
              <w:t>0 (0.0)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43102C" w14:textId="77777777" w:rsidR="003E54B8" w:rsidRPr="0030545D" w:rsidRDefault="003E54B8" w:rsidP="009B7037">
            <w:pPr>
              <w:pStyle w:val="TableText"/>
              <w:keepNext w:val="0"/>
              <w:widowControl w:val="0"/>
              <w:jc w:val="center"/>
            </w:pPr>
            <w:r w:rsidRPr="0030545D">
              <w:t>0 (0.0)</w:t>
            </w:r>
          </w:p>
        </w:tc>
        <w:tc>
          <w:tcPr>
            <w:tcW w:w="1701" w:type="dxa"/>
            <w:tcBorders>
              <w:left w:val="single" w:sz="4" w:space="0" w:color="auto"/>
              <w:bottom w:val="single" w:sz="4" w:space="0" w:color="auto"/>
              <w:right w:val="single" w:sz="4" w:space="0" w:color="auto"/>
            </w:tcBorders>
            <w:tcMar>
              <w:left w:w="28" w:type="dxa"/>
              <w:right w:w="28" w:type="dxa"/>
            </w:tcMar>
            <w:vAlign w:val="center"/>
          </w:tcPr>
          <w:p w14:paraId="6AD01BC2" w14:textId="77777777" w:rsidR="003E54B8" w:rsidRPr="0030545D" w:rsidRDefault="003E54B8" w:rsidP="009B7037">
            <w:pPr>
              <w:pStyle w:val="TableText"/>
              <w:keepNext w:val="0"/>
              <w:widowControl w:val="0"/>
              <w:jc w:val="center"/>
            </w:pPr>
            <w:r w:rsidRPr="0030545D">
              <w:t>1 (1.2)</w:t>
            </w:r>
          </w:p>
        </w:tc>
        <w:tc>
          <w:tcPr>
            <w:tcW w:w="1504" w:type="dxa"/>
            <w:tcBorders>
              <w:left w:val="single" w:sz="4" w:space="0" w:color="auto"/>
              <w:bottom w:val="single" w:sz="4" w:space="0" w:color="auto"/>
              <w:right w:val="single" w:sz="4" w:space="0" w:color="auto"/>
            </w:tcBorders>
            <w:tcMar>
              <w:left w:w="28" w:type="dxa"/>
              <w:right w:w="28" w:type="dxa"/>
            </w:tcMar>
            <w:vAlign w:val="center"/>
          </w:tcPr>
          <w:p w14:paraId="4CC5CF05" w14:textId="77777777" w:rsidR="003E54B8" w:rsidRPr="0030545D" w:rsidRDefault="003E54B8" w:rsidP="009B7037">
            <w:pPr>
              <w:pStyle w:val="TableText"/>
              <w:keepNext w:val="0"/>
              <w:widowControl w:val="0"/>
              <w:jc w:val="center"/>
            </w:pPr>
            <w:r w:rsidRPr="0030545D">
              <w:t>0 (0.0)</w:t>
            </w:r>
          </w:p>
        </w:tc>
      </w:tr>
    </w:tbl>
    <w:p w14:paraId="392AF575" w14:textId="77777777" w:rsidR="003E54B8" w:rsidRPr="0030545D" w:rsidRDefault="003E54B8" w:rsidP="00441BAE">
      <w:pPr>
        <w:spacing w:after="60"/>
        <w:contextualSpacing/>
        <w:rPr>
          <w:rFonts w:ascii="Arial Narrow" w:hAnsi="Arial Narrow"/>
          <w:sz w:val="18"/>
        </w:rPr>
      </w:pPr>
      <w:r w:rsidRPr="0030545D">
        <w:rPr>
          <w:rFonts w:ascii="Arial Narrow" w:hAnsi="Arial Narrow"/>
          <w:sz w:val="18"/>
        </w:rPr>
        <w:t>Source: Table 2-35, Table 2-40 of the submission; Table 21 of the final ARC-HD trial report</w:t>
      </w:r>
    </w:p>
    <w:p w14:paraId="4017654B" w14:textId="77777777" w:rsidR="003E54B8" w:rsidRPr="0030545D" w:rsidRDefault="003E54B8" w:rsidP="00C14F95">
      <w:pPr>
        <w:spacing w:after="120"/>
        <w:contextualSpacing/>
        <w:rPr>
          <w:rFonts w:ascii="Arial Narrow" w:hAnsi="Arial Narrow"/>
          <w:sz w:val="18"/>
        </w:rPr>
      </w:pPr>
      <w:r w:rsidRPr="0030545D">
        <w:rPr>
          <w:rFonts w:ascii="Arial Narrow" w:hAnsi="Arial Narrow"/>
          <w:sz w:val="18"/>
        </w:rPr>
        <w:t>Abbreviations: CI, confidence interval; SD, standard deviation</w:t>
      </w:r>
    </w:p>
    <w:p w14:paraId="5C95B547" w14:textId="77777777" w:rsidR="008F4535" w:rsidRPr="0030545D" w:rsidRDefault="008F4535" w:rsidP="008F4535">
      <w:pPr>
        <w:pStyle w:val="ExecSumBodyText"/>
      </w:pPr>
      <w:r w:rsidRPr="0030545D">
        <w:t xml:space="preserve">Treatment with deutetrabenazine in the FIRST-HD trial was associated with a higher incidence of treatment-related events compared to placebo (predominantly somnolence, dry mouth and fatigue). The submission claimed that the incidence of adverse events of special interest were broadly comparable between treatment arms (depression, suicidal ideation, anxiety, irritability, agitation, akathisia/restlessness, </w:t>
      </w:r>
      <w:r w:rsidR="00C738FC" w:rsidRPr="0030545D">
        <w:t>Parkinsonism</w:t>
      </w:r>
      <w:r w:rsidRPr="0030545D">
        <w:t xml:space="preserve"> and balance difficulty). There was no difference between treatment arms in the incidence of serious/severe events or events requiring dose modification. </w:t>
      </w:r>
    </w:p>
    <w:p w14:paraId="7658461F" w14:textId="77777777" w:rsidR="008F4535" w:rsidRPr="0030545D" w:rsidRDefault="008F4535" w:rsidP="008F4535">
      <w:pPr>
        <w:pStyle w:val="ExecSumBodyText"/>
      </w:pPr>
      <w:r w:rsidRPr="0030545D">
        <w:t>The submission also noted that the safety data indicated that mean body weight remained relatively stable in the placebo arm but increased over time in the deutetrabenazine arm (mean 1.78 kg increase from baseline). The submission suggested that this difference may be explained by an improvement in chorea symptoms and swallowing function in patients treated with deutetrabenazine.</w:t>
      </w:r>
    </w:p>
    <w:p w14:paraId="33871198" w14:textId="77777777" w:rsidR="008F4535" w:rsidRPr="0030545D" w:rsidRDefault="008F4535" w:rsidP="008F4535">
      <w:pPr>
        <w:pStyle w:val="ExecSumBodyText"/>
      </w:pPr>
      <w:r w:rsidRPr="0030545D">
        <w:t xml:space="preserve">The incidence of adverse events over time in the ARC-HD patient cohorts was generally comparable to the FIRST-HD trial (after accounting for the differences in exposure periods) but treatment-related adverse events continued to occur throughout the long-term follow-up period. </w:t>
      </w:r>
    </w:p>
    <w:p w14:paraId="5FBAB149" w14:textId="77777777" w:rsidR="00ED3393" w:rsidRPr="0030545D" w:rsidRDefault="008F7ED3" w:rsidP="00796FD1">
      <w:pPr>
        <w:pStyle w:val="ExecSumBodyText"/>
      </w:pPr>
      <w:r w:rsidRPr="0030545D">
        <w:t>Two published indirect analyses comparing the safety of deutetrabenazine and tetrabenazine for the treatment of chorea were identified during the evaluation (Cla</w:t>
      </w:r>
      <w:r w:rsidR="003928F3">
        <w:t>a</w:t>
      </w:r>
      <w:r w:rsidRPr="0030545D">
        <w:t>ssen 2017, Rodrigues 2017). Both of these analyses were based on a comparison of the FIRST-HD and TETRA-HD trials and suggested an improved tolerability profile with deutetrabenazine compared to tetrabenazine although the statistical significance of the result varied by methodology</w:t>
      </w:r>
      <w:r w:rsidR="00796FD1" w:rsidRPr="0030545D">
        <w:t xml:space="preserve"> (i.e. using </w:t>
      </w:r>
      <w:r w:rsidR="008E2E2C" w:rsidRPr="0030545D">
        <w:t>relative or absolute  risk measures</w:t>
      </w:r>
      <w:r w:rsidR="00796FD1" w:rsidRPr="0030545D">
        <w:t>)</w:t>
      </w:r>
      <w:r w:rsidRPr="0030545D">
        <w:t>.</w:t>
      </w:r>
      <w:r w:rsidR="00796FD1" w:rsidRPr="0030545D">
        <w:t xml:space="preserve"> </w:t>
      </w:r>
      <w:r w:rsidR="00ED3393" w:rsidRPr="0030545D">
        <w:t>The results of these indirect comparisons are included in the table below.</w:t>
      </w:r>
    </w:p>
    <w:p w14:paraId="183018C9" w14:textId="77777777" w:rsidR="00ED3393" w:rsidRPr="0030545D" w:rsidRDefault="00ED3393" w:rsidP="00ED3393">
      <w:pPr>
        <w:pStyle w:val="TableHeading"/>
        <w:keepNext w:val="0"/>
        <w:widowControl w:val="0"/>
        <w:spacing w:after="0"/>
      </w:pPr>
      <w:r w:rsidRPr="0030545D">
        <w:t>Table 8: Indirect comparison of safety outcomes with deutetrabenazine and tetrabenazine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1711"/>
        <w:gridCol w:w="1712"/>
        <w:gridCol w:w="1712"/>
        <w:gridCol w:w="1712"/>
      </w:tblGrid>
      <w:tr w:rsidR="00ED3393" w:rsidRPr="0030545D" w14:paraId="1EEA8A3C" w14:textId="77777777" w:rsidTr="00C11469">
        <w:trPr>
          <w:tblHeader/>
        </w:trPr>
        <w:tc>
          <w:tcPr>
            <w:tcW w:w="2170" w:type="dxa"/>
            <w:tcBorders>
              <w:left w:val="single" w:sz="4" w:space="0" w:color="auto"/>
              <w:bottom w:val="single" w:sz="4" w:space="0" w:color="auto"/>
              <w:right w:val="single" w:sz="4" w:space="0" w:color="auto"/>
            </w:tcBorders>
            <w:vAlign w:val="center"/>
          </w:tcPr>
          <w:p w14:paraId="083393A4" w14:textId="77777777" w:rsidR="00ED3393" w:rsidRPr="0030545D" w:rsidRDefault="00ED3393" w:rsidP="00C11469">
            <w:pPr>
              <w:pStyle w:val="TableText"/>
              <w:keepNext w:val="0"/>
              <w:widowControl w:val="0"/>
              <w:jc w:val="center"/>
              <w:rPr>
                <w:b/>
                <w:bCs w:val="0"/>
              </w:rPr>
            </w:pPr>
            <w:r w:rsidRPr="0030545D">
              <w:rPr>
                <w:b/>
                <w:bCs w:val="0"/>
              </w:rPr>
              <w:t>Adverse event</w:t>
            </w:r>
          </w:p>
        </w:tc>
        <w:tc>
          <w:tcPr>
            <w:tcW w:w="1711" w:type="dxa"/>
            <w:tcBorders>
              <w:top w:val="single" w:sz="4" w:space="0" w:color="auto"/>
              <w:left w:val="single" w:sz="4" w:space="0" w:color="auto"/>
              <w:bottom w:val="single" w:sz="4" w:space="0" w:color="auto"/>
              <w:right w:val="single" w:sz="4" w:space="0" w:color="auto"/>
            </w:tcBorders>
            <w:vAlign w:val="center"/>
          </w:tcPr>
          <w:p w14:paraId="3DB3AC08" w14:textId="77777777" w:rsidR="00ED3393" w:rsidRPr="0030545D" w:rsidRDefault="00ED3393" w:rsidP="00C11469">
            <w:pPr>
              <w:pStyle w:val="TableText"/>
              <w:keepNext w:val="0"/>
              <w:widowControl w:val="0"/>
              <w:jc w:val="center"/>
              <w:rPr>
                <w:b/>
              </w:rPr>
            </w:pPr>
            <w:r w:rsidRPr="0030545D">
              <w:rPr>
                <w:b/>
              </w:rPr>
              <w:t>Rodrigues 2017</w:t>
            </w:r>
          </w:p>
          <w:p w14:paraId="30DB8440" w14:textId="77777777" w:rsidR="00ED3393" w:rsidRPr="0030545D" w:rsidRDefault="00ED3393" w:rsidP="00C11469">
            <w:pPr>
              <w:pStyle w:val="TableText"/>
              <w:keepNext w:val="0"/>
              <w:widowControl w:val="0"/>
              <w:jc w:val="center"/>
              <w:rPr>
                <w:b/>
              </w:rPr>
            </w:pPr>
            <w:r w:rsidRPr="0030545D">
              <w:rPr>
                <w:b/>
              </w:rPr>
              <w:t>Odds ratio</w:t>
            </w:r>
          </w:p>
          <w:p w14:paraId="706D60D1" w14:textId="77777777" w:rsidR="00ED3393" w:rsidRPr="0030545D" w:rsidRDefault="00ED3393" w:rsidP="00C11469">
            <w:pPr>
              <w:pStyle w:val="TableText"/>
              <w:keepNext w:val="0"/>
              <w:widowControl w:val="0"/>
              <w:jc w:val="center"/>
              <w:rPr>
                <w:b/>
              </w:rPr>
            </w:pPr>
            <w:r w:rsidRPr="0030545D">
              <w:rPr>
                <w:b/>
              </w:rPr>
              <w:t>(95% CI)</w:t>
            </w:r>
          </w:p>
        </w:tc>
        <w:tc>
          <w:tcPr>
            <w:tcW w:w="1712" w:type="dxa"/>
            <w:tcBorders>
              <w:top w:val="single" w:sz="4" w:space="0" w:color="auto"/>
              <w:left w:val="single" w:sz="4" w:space="0" w:color="auto"/>
              <w:bottom w:val="single" w:sz="4" w:space="0" w:color="auto"/>
              <w:right w:val="single" w:sz="4" w:space="0" w:color="auto"/>
            </w:tcBorders>
            <w:vAlign w:val="center"/>
          </w:tcPr>
          <w:p w14:paraId="2F281C66" w14:textId="77777777" w:rsidR="00ED3393" w:rsidRPr="0030545D" w:rsidRDefault="00ED3393" w:rsidP="00C11469">
            <w:pPr>
              <w:pStyle w:val="TableText"/>
              <w:keepNext w:val="0"/>
              <w:widowControl w:val="0"/>
              <w:jc w:val="center"/>
              <w:rPr>
                <w:b/>
              </w:rPr>
            </w:pPr>
            <w:r w:rsidRPr="0030545D">
              <w:rPr>
                <w:b/>
              </w:rPr>
              <w:t>Rodrigues 2017 Risk difference</w:t>
            </w:r>
          </w:p>
          <w:p w14:paraId="30D6533E" w14:textId="77777777" w:rsidR="00ED3393" w:rsidRPr="0030545D" w:rsidRDefault="00ED3393" w:rsidP="00C11469">
            <w:pPr>
              <w:pStyle w:val="TableText"/>
              <w:keepNext w:val="0"/>
              <w:widowControl w:val="0"/>
              <w:jc w:val="center"/>
              <w:rPr>
                <w:b/>
              </w:rPr>
            </w:pPr>
            <w:r w:rsidRPr="0030545D">
              <w:rPr>
                <w:b/>
              </w:rPr>
              <w:t>(95% CI)</w:t>
            </w:r>
          </w:p>
        </w:tc>
        <w:tc>
          <w:tcPr>
            <w:tcW w:w="1712" w:type="dxa"/>
            <w:tcBorders>
              <w:left w:val="single" w:sz="4" w:space="0" w:color="auto"/>
              <w:bottom w:val="single" w:sz="4" w:space="0" w:color="auto"/>
              <w:right w:val="single" w:sz="4" w:space="0" w:color="auto"/>
            </w:tcBorders>
            <w:vAlign w:val="center"/>
          </w:tcPr>
          <w:p w14:paraId="2944315D" w14:textId="77777777" w:rsidR="00ED3393" w:rsidRPr="0030545D" w:rsidRDefault="00ED3393" w:rsidP="00C11469">
            <w:pPr>
              <w:pStyle w:val="TableText"/>
              <w:keepNext w:val="0"/>
              <w:widowControl w:val="0"/>
              <w:jc w:val="center"/>
              <w:rPr>
                <w:b/>
              </w:rPr>
            </w:pPr>
            <w:r w:rsidRPr="0030545D">
              <w:rPr>
                <w:b/>
              </w:rPr>
              <w:t xml:space="preserve">Claassen 2017 Unmatched </w:t>
            </w:r>
          </w:p>
          <w:p w14:paraId="38268D55" w14:textId="77777777" w:rsidR="00ED3393" w:rsidRPr="0030545D" w:rsidRDefault="00ED3393" w:rsidP="00C11469">
            <w:pPr>
              <w:pStyle w:val="TableText"/>
              <w:keepNext w:val="0"/>
              <w:widowControl w:val="0"/>
              <w:jc w:val="center"/>
              <w:rPr>
                <w:b/>
              </w:rPr>
            </w:pPr>
            <w:r w:rsidRPr="0030545D">
              <w:rPr>
                <w:b/>
              </w:rPr>
              <w:t>Risk difference</w:t>
            </w:r>
          </w:p>
          <w:p w14:paraId="3A08D9D5" w14:textId="77777777" w:rsidR="00ED3393" w:rsidRPr="0030545D" w:rsidRDefault="00ED3393" w:rsidP="00C11469">
            <w:pPr>
              <w:pStyle w:val="TableText"/>
              <w:keepNext w:val="0"/>
              <w:widowControl w:val="0"/>
              <w:jc w:val="center"/>
              <w:rPr>
                <w:b/>
              </w:rPr>
            </w:pPr>
            <w:r w:rsidRPr="0030545D">
              <w:rPr>
                <w:b/>
              </w:rPr>
              <w:t>(95% CI)</w:t>
            </w:r>
          </w:p>
        </w:tc>
        <w:tc>
          <w:tcPr>
            <w:tcW w:w="1712" w:type="dxa"/>
            <w:tcBorders>
              <w:left w:val="single" w:sz="4" w:space="0" w:color="auto"/>
              <w:bottom w:val="single" w:sz="4" w:space="0" w:color="auto"/>
              <w:right w:val="single" w:sz="4" w:space="0" w:color="auto"/>
            </w:tcBorders>
            <w:vAlign w:val="center"/>
          </w:tcPr>
          <w:p w14:paraId="0099A610" w14:textId="77777777" w:rsidR="00ED3393" w:rsidRPr="0030545D" w:rsidRDefault="00ED3393" w:rsidP="00C11469">
            <w:pPr>
              <w:pStyle w:val="TableText"/>
              <w:keepNext w:val="0"/>
              <w:widowControl w:val="0"/>
              <w:jc w:val="center"/>
              <w:rPr>
                <w:b/>
              </w:rPr>
            </w:pPr>
            <w:r w:rsidRPr="0030545D">
              <w:rPr>
                <w:b/>
              </w:rPr>
              <w:t xml:space="preserve">Claassen 2017 Matched </w:t>
            </w:r>
          </w:p>
          <w:p w14:paraId="21845396" w14:textId="77777777" w:rsidR="00ED3393" w:rsidRPr="0030545D" w:rsidRDefault="00ED3393" w:rsidP="00C11469">
            <w:pPr>
              <w:pStyle w:val="TableText"/>
              <w:keepNext w:val="0"/>
              <w:widowControl w:val="0"/>
              <w:jc w:val="center"/>
              <w:rPr>
                <w:b/>
              </w:rPr>
            </w:pPr>
            <w:r w:rsidRPr="0030545D">
              <w:rPr>
                <w:b/>
              </w:rPr>
              <w:t>Risk difference</w:t>
            </w:r>
          </w:p>
          <w:p w14:paraId="6C875591" w14:textId="77777777" w:rsidR="00ED3393" w:rsidRPr="0030545D" w:rsidRDefault="00ED3393" w:rsidP="00C11469">
            <w:pPr>
              <w:pStyle w:val="TableText"/>
              <w:keepNext w:val="0"/>
              <w:widowControl w:val="0"/>
              <w:jc w:val="center"/>
              <w:rPr>
                <w:b/>
              </w:rPr>
            </w:pPr>
            <w:r w:rsidRPr="0030545D">
              <w:rPr>
                <w:b/>
              </w:rPr>
              <w:t>(95% CI)</w:t>
            </w:r>
          </w:p>
        </w:tc>
      </w:tr>
      <w:tr w:rsidR="00ED3393" w:rsidRPr="0030545D" w14:paraId="01E46E60"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26C5E6E8" w14:textId="77777777" w:rsidR="00ED3393" w:rsidRPr="0030545D" w:rsidRDefault="00ED3393" w:rsidP="00C11469">
            <w:pPr>
              <w:pStyle w:val="TableText"/>
              <w:keepNext w:val="0"/>
              <w:widowControl w:val="0"/>
            </w:pPr>
            <w:r w:rsidRPr="0030545D">
              <w:t>Any adverse event</w:t>
            </w:r>
          </w:p>
        </w:tc>
        <w:tc>
          <w:tcPr>
            <w:tcW w:w="1711" w:type="dxa"/>
            <w:tcBorders>
              <w:top w:val="single" w:sz="4" w:space="0" w:color="auto"/>
              <w:left w:val="single" w:sz="4" w:space="0" w:color="auto"/>
              <w:bottom w:val="single" w:sz="4" w:space="0" w:color="auto"/>
              <w:right w:val="single" w:sz="4" w:space="0" w:color="auto"/>
            </w:tcBorders>
            <w:vAlign w:val="center"/>
          </w:tcPr>
          <w:p w14:paraId="11381439"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2F6C7C31"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right w:val="single" w:sz="4" w:space="0" w:color="auto"/>
            </w:tcBorders>
            <w:vAlign w:val="center"/>
          </w:tcPr>
          <w:p w14:paraId="6FE52117" w14:textId="77777777" w:rsidR="00ED3393" w:rsidRPr="0030545D" w:rsidRDefault="00ED3393" w:rsidP="00C11469">
            <w:pPr>
              <w:pStyle w:val="TableText"/>
              <w:keepNext w:val="0"/>
              <w:widowControl w:val="0"/>
              <w:jc w:val="center"/>
            </w:pPr>
            <w:r w:rsidRPr="0030545D">
              <w:t>-0.21 (-0.48, 0.06)</w:t>
            </w:r>
          </w:p>
        </w:tc>
        <w:tc>
          <w:tcPr>
            <w:tcW w:w="1712" w:type="dxa"/>
            <w:tcBorders>
              <w:top w:val="single" w:sz="4" w:space="0" w:color="auto"/>
              <w:left w:val="single" w:sz="4" w:space="0" w:color="auto"/>
              <w:right w:val="single" w:sz="4" w:space="0" w:color="auto"/>
            </w:tcBorders>
            <w:vAlign w:val="center"/>
          </w:tcPr>
          <w:p w14:paraId="44335F86" w14:textId="77777777" w:rsidR="00ED3393" w:rsidRPr="0030545D" w:rsidRDefault="00ED3393" w:rsidP="00C11469">
            <w:pPr>
              <w:pStyle w:val="TableText"/>
              <w:keepNext w:val="0"/>
              <w:widowControl w:val="0"/>
              <w:jc w:val="center"/>
            </w:pPr>
            <w:r w:rsidRPr="0030545D">
              <w:t>-0.35 (-0.72, 0.02)</w:t>
            </w:r>
          </w:p>
        </w:tc>
      </w:tr>
      <w:tr w:rsidR="00ED3393" w:rsidRPr="0030545D" w14:paraId="3093D612"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336B126C" w14:textId="77777777" w:rsidR="00ED3393" w:rsidRPr="0030545D" w:rsidRDefault="00ED3393" w:rsidP="00C11469">
            <w:pPr>
              <w:pStyle w:val="TableText"/>
              <w:keepNext w:val="0"/>
              <w:widowControl w:val="0"/>
            </w:pPr>
            <w:r w:rsidRPr="0030545D">
              <w:t>Serious adverse event</w:t>
            </w:r>
          </w:p>
        </w:tc>
        <w:tc>
          <w:tcPr>
            <w:tcW w:w="1711" w:type="dxa"/>
            <w:tcBorders>
              <w:top w:val="single" w:sz="4" w:space="0" w:color="auto"/>
              <w:left w:val="single" w:sz="4" w:space="0" w:color="auto"/>
              <w:bottom w:val="single" w:sz="4" w:space="0" w:color="auto"/>
              <w:right w:val="single" w:sz="4" w:space="0" w:color="auto"/>
            </w:tcBorders>
            <w:vAlign w:val="center"/>
          </w:tcPr>
          <w:p w14:paraId="2DAE7FE5" w14:textId="77777777" w:rsidR="00ED3393" w:rsidRPr="0030545D" w:rsidRDefault="00ED3393" w:rsidP="00C11469">
            <w:pPr>
              <w:pStyle w:val="TableText"/>
              <w:keepNext w:val="0"/>
              <w:widowControl w:val="0"/>
              <w:jc w:val="center"/>
            </w:pPr>
            <w:r w:rsidRPr="0030545D">
              <w:t>5.44 (0.09, 322.08)</w:t>
            </w:r>
          </w:p>
        </w:tc>
        <w:tc>
          <w:tcPr>
            <w:tcW w:w="1712" w:type="dxa"/>
            <w:tcBorders>
              <w:top w:val="single" w:sz="4" w:space="0" w:color="auto"/>
              <w:left w:val="single" w:sz="4" w:space="0" w:color="auto"/>
              <w:bottom w:val="single" w:sz="4" w:space="0" w:color="auto"/>
              <w:right w:val="single" w:sz="4" w:space="0" w:color="auto"/>
            </w:tcBorders>
            <w:vAlign w:val="center"/>
          </w:tcPr>
          <w:p w14:paraId="1A6D49B0" w14:textId="77777777" w:rsidR="00ED3393" w:rsidRPr="0030545D" w:rsidRDefault="00ED3393" w:rsidP="00C11469">
            <w:pPr>
              <w:pStyle w:val="TableText"/>
              <w:keepNext w:val="0"/>
              <w:widowControl w:val="0"/>
              <w:jc w:val="center"/>
            </w:pPr>
            <w:r w:rsidRPr="0030545D">
              <w:t>-0.07 (-0.17, 0.03)</w:t>
            </w:r>
          </w:p>
        </w:tc>
        <w:tc>
          <w:tcPr>
            <w:tcW w:w="1712" w:type="dxa"/>
            <w:tcBorders>
              <w:left w:val="single" w:sz="4" w:space="0" w:color="auto"/>
              <w:bottom w:val="single" w:sz="4" w:space="0" w:color="auto"/>
              <w:right w:val="single" w:sz="4" w:space="0" w:color="auto"/>
            </w:tcBorders>
            <w:vAlign w:val="center"/>
          </w:tcPr>
          <w:p w14:paraId="6DB0A214" w14:textId="77777777" w:rsidR="00ED3393" w:rsidRPr="0030545D" w:rsidRDefault="00ED3393" w:rsidP="00C11469">
            <w:pPr>
              <w:pStyle w:val="TableText"/>
              <w:keepNext w:val="0"/>
              <w:widowControl w:val="0"/>
              <w:jc w:val="center"/>
            </w:pPr>
            <w:r w:rsidRPr="0030545D">
              <w:t>-0.07 (-0.17, 0.02)</w:t>
            </w:r>
          </w:p>
        </w:tc>
        <w:tc>
          <w:tcPr>
            <w:tcW w:w="1712" w:type="dxa"/>
            <w:tcBorders>
              <w:left w:val="single" w:sz="4" w:space="0" w:color="auto"/>
              <w:bottom w:val="single" w:sz="4" w:space="0" w:color="auto"/>
              <w:right w:val="single" w:sz="4" w:space="0" w:color="auto"/>
            </w:tcBorders>
            <w:vAlign w:val="center"/>
          </w:tcPr>
          <w:p w14:paraId="2C46BB80" w14:textId="77777777" w:rsidR="00ED3393" w:rsidRPr="0030545D" w:rsidRDefault="00ED3393" w:rsidP="00C11469">
            <w:pPr>
              <w:pStyle w:val="TableText"/>
              <w:keepNext w:val="0"/>
              <w:widowControl w:val="0"/>
              <w:jc w:val="center"/>
            </w:pPr>
            <w:r w:rsidRPr="0030545D">
              <w:t>-0.08 (-0.17, 0.01)</w:t>
            </w:r>
          </w:p>
        </w:tc>
      </w:tr>
      <w:tr w:rsidR="00ED3393" w:rsidRPr="0030545D" w14:paraId="7F729B29"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32884FB3" w14:textId="77777777" w:rsidR="00ED3393" w:rsidRPr="0030545D" w:rsidRDefault="00ED3393" w:rsidP="00C11469">
            <w:pPr>
              <w:pStyle w:val="TableText"/>
              <w:keepNext w:val="0"/>
              <w:widowControl w:val="0"/>
            </w:pPr>
            <w:r w:rsidRPr="0030545D">
              <w:t>Adverse events leading to dose reduction</w:t>
            </w:r>
          </w:p>
        </w:tc>
        <w:tc>
          <w:tcPr>
            <w:tcW w:w="1711" w:type="dxa"/>
            <w:tcBorders>
              <w:top w:val="single" w:sz="4" w:space="0" w:color="auto"/>
              <w:left w:val="single" w:sz="4" w:space="0" w:color="auto"/>
              <w:bottom w:val="single" w:sz="4" w:space="0" w:color="auto"/>
              <w:right w:val="single" w:sz="4" w:space="0" w:color="auto"/>
            </w:tcBorders>
            <w:vAlign w:val="center"/>
          </w:tcPr>
          <w:p w14:paraId="326653BB"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1AA6EE46"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right w:val="single" w:sz="4" w:space="0" w:color="auto"/>
            </w:tcBorders>
            <w:vAlign w:val="center"/>
          </w:tcPr>
          <w:p w14:paraId="110FB5E5" w14:textId="77777777" w:rsidR="00ED3393" w:rsidRPr="0030545D" w:rsidRDefault="00ED3393" w:rsidP="00C11469">
            <w:pPr>
              <w:pStyle w:val="TableText"/>
              <w:keepNext w:val="0"/>
              <w:widowControl w:val="0"/>
              <w:jc w:val="center"/>
              <w:rPr>
                <w:b/>
                <w:bCs w:val="0"/>
              </w:rPr>
            </w:pPr>
            <w:r w:rsidRPr="0030545D">
              <w:rPr>
                <w:b/>
                <w:bCs w:val="0"/>
              </w:rPr>
              <w:t>-0.41 (-0.59, -0.23)</w:t>
            </w:r>
          </w:p>
        </w:tc>
        <w:tc>
          <w:tcPr>
            <w:tcW w:w="1712" w:type="dxa"/>
            <w:tcBorders>
              <w:top w:val="single" w:sz="4" w:space="0" w:color="auto"/>
              <w:left w:val="single" w:sz="4" w:space="0" w:color="auto"/>
              <w:right w:val="single" w:sz="4" w:space="0" w:color="auto"/>
            </w:tcBorders>
            <w:vAlign w:val="center"/>
          </w:tcPr>
          <w:p w14:paraId="22C1CA17" w14:textId="77777777" w:rsidR="00ED3393" w:rsidRPr="0030545D" w:rsidRDefault="00ED3393" w:rsidP="00C11469">
            <w:pPr>
              <w:pStyle w:val="TableText"/>
              <w:keepNext w:val="0"/>
              <w:widowControl w:val="0"/>
              <w:jc w:val="center"/>
              <w:rPr>
                <w:b/>
                <w:bCs w:val="0"/>
              </w:rPr>
            </w:pPr>
            <w:r w:rsidRPr="0030545D">
              <w:rPr>
                <w:b/>
                <w:bCs w:val="0"/>
              </w:rPr>
              <w:t>-0.41 (-0.62, -0.19)</w:t>
            </w:r>
          </w:p>
        </w:tc>
      </w:tr>
      <w:tr w:rsidR="00ED3393" w:rsidRPr="0030545D" w14:paraId="04F203E6"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6AB766AF" w14:textId="77777777" w:rsidR="00ED3393" w:rsidRPr="0030545D" w:rsidRDefault="00ED3393" w:rsidP="00C11469">
            <w:pPr>
              <w:pStyle w:val="TableText"/>
              <w:keepNext w:val="0"/>
              <w:widowControl w:val="0"/>
            </w:pPr>
            <w:r w:rsidRPr="0030545D">
              <w:t>Adverse events leading to discontinuation</w:t>
            </w:r>
          </w:p>
        </w:tc>
        <w:tc>
          <w:tcPr>
            <w:tcW w:w="1711" w:type="dxa"/>
            <w:tcBorders>
              <w:top w:val="single" w:sz="4" w:space="0" w:color="auto"/>
              <w:left w:val="single" w:sz="4" w:space="0" w:color="auto"/>
              <w:bottom w:val="single" w:sz="4" w:space="0" w:color="auto"/>
              <w:right w:val="single" w:sz="4" w:space="0" w:color="auto"/>
            </w:tcBorders>
            <w:vAlign w:val="center"/>
          </w:tcPr>
          <w:p w14:paraId="18EB2BE8"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11001F14"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4CB4F3CB" w14:textId="77777777" w:rsidR="00ED3393" w:rsidRPr="0030545D" w:rsidRDefault="00ED3393" w:rsidP="00C11469">
            <w:pPr>
              <w:pStyle w:val="TableText"/>
              <w:keepNext w:val="0"/>
              <w:widowControl w:val="0"/>
              <w:jc w:val="center"/>
            </w:pPr>
            <w:r w:rsidRPr="0030545D">
              <w:t>-0.09 (-0.19, 0.01)</w:t>
            </w:r>
          </w:p>
        </w:tc>
        <w:tc>
          <w:tcPr>
            <w:tcW w:w="1712" w:type="dxa"/>
            <w:tcBorders>
              <w:left w:val="single" w:sz="4" w:space="0" w:color="auto"/>
              <w:right w:val="single" w:sz="4" w:space="0" w:color="auto"/>
            </w:tcBorders>
            <w:vAlign w:val="center"/>
          </w:tcPr>
          <w:p w14:paraId="54F98F0F" w14:textId="77777777" w:rsidR="00ED3393" w:rsidRPr="0030545D" w:rsidRDefault="00ED3393" w:rsidP="00C11469">
            <w:pPr>
              <w:pStyle w:val="TableText"/>
              <w:keepNext w:val="0"/>
              <w:widowControl w:val="0"/>
              <w:jc w:val="center"/>
              <w:rPr>
                <w:b/>
                <w:bCs w:val="0"/>
              </w:rPr>
            </w:pPr>
            <w:r w:rsidRPr="0030545D">
              <w:rPr>
                <w:b/>
                <w:bCs w:val="0"/>
              </w:rPr>
              <w:t>-0.10 (-0.20, 0.00)</w:t>
            </w:r>
          </w:p>
        </w:tc>
      </w:tr>
      <w:tr w:rsidR="00ED3393" w:rsidRPr="0030545D" w14:paraId="495A8139" w14:textId="77777777" w:rsidTr="00C11469">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538C530A" w14:textId="77777777" w:rsidR="00ED3393" w:rsidRPr="0030545D" w:rsidRDefault="00ED3393" w:rsidP="00C11469">
            <w:pPr>
              <w:pStyle w:val="TableText"/>
              <w:keepNext w:val="0"/>
              <w:widowControl w:val="0"/>
              <w:rPr>
                <w:b/>
                <w:bCs w:val="0"/>
              </w:rPr>
            </w:pPr>
            <w:r w:rsidRPr="0030545D">
              <w:rPr>
                <w:b/>
                <w:bCs w:val="0"/>
              </w:rPr>
              <w:t>Individual adverse events</w:t>
            </w:r>
          </w:p>
        </w:tc>
      </w:tr>
      <w:tr w:rsidR="00ED3393" w:rsidRPr="0030545D" w14:paraId="57B8659B"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301C3256" w14:textId="77777777" w:rsidR="00ED3393" w:rsidRPr="0030545D" w:rsidRDefault="00ED3393" w:rsidP="00C11469">
            <w:pPr>
              <w:pStyle w:val="TableText"/>
              <w:keepNext w:val="0"/>
              <w:widowControl w:val="0"/>
            </w:pPr>
            <w:r w:rsidRPr="0030545D">
              <w:t>Agitation</w:t>
            </w:r>
          </w:p>
        </w:tc>
        <w:tc>
          <w:tcPr>
            <w:tcW w:w="1711" w:type="dxa"/>
            <w:tcBorders>
              <w:top w:val="single" w:sz="4" w:space="0" w:color="auto"/>
              <w:left w:val="single" w:sz="4" w:space="0" w:color="auto"/>
              <w:bottom w:val="single" w:sz="4" w:space="0" w:color="auto"/>
              <w:right w:val="single" w:sz="4" w:space="0" w:color="auto"/>
            </w:tcBorders>
            <w:vAlign w:val="center"/>
          </w:tcPr>
          <w:p w14:paraId="44C3E3C9"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2A0667FE"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52D04A2C" w14:textId="77777777" w:rsidR="00ED3393" w:rsidRPr="0030545D" w:rsidRDefault="00ED3393" w:rsidP="00C11469">
            <w:pPr>
              <w:pStyle w:val="TableText"/>
              <w:keepNext w:val="0"/>
              <w:widowControl w:val="0"/>
              <w:jc w:val="center"/>
              <w:rPr>
                <w:b/>
                <w:bCs w:val="0"/>
              </w:rPr>
            </w:pPr>
            <w:r w:rsidRPr="0030545D">
              <w:rPr>
                <w:b/>
                <w:bCs w:val="0"/>
              </w:rPr>
              <w:t>-0.13 (-0.23, -0.02)</w:t>
            </w:r>
          </w:p>
        </w:tc>
        <w:tc>
          <w:tcPr>
            <w:tcW w:w="1712" w:type="dxa"/>
            <w:tcBorders>
              <w:left w:val="single" w:sz="4" w:space="0" w:color="auto"/>
              <w:right w:val="single" w:sz="4" w:space="0" w:color="auto"/>
            </w:tcBorders>
            <w:vAlign w:val="center"/>
          </w:tcPr>
          <w:p w14:paraId="1BBA5E17" w14:textId="77777777" w:rsidR="00ED3393" w:rsidRPr="0030545D" w:rsidRDefault="00ED3393" w:rsidP="00C11469">
            <w:pPr>
              <w:pStyle w:val="TableText"/>
              <w:keepNext w:val="0"/>
              <w:widowControl w:val="0"/>
              <w:jc w:val="center"/>
              <w:rPr>
                <w:b/>
                <w:bCs w:val="0"/>
              </w:rPr>
            </w:pPr>
            <w:r w:rsidRPr="0030545D">
              <w:rPr>
                <w:b/>
                <w:bCs w:val="0"/>
              </w:rPr>
              <w:t>-0.14 (-0.25, -0.04)</w:t>
            </w:r>
          </w:p>
        </w:tc>
      </w:tr>
      <w:tr w:rsidR="00ED3393" w:rsidRPr="0030545D" w14:paraId="7FFD950C"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581ECF90" w14:textId="77777777" w:rsidR="00ED3393" w:rsidRPr="0030545D" w:rsidRDefault="00ED3393" w:rsidP="00C11469">
            <w:pPr>
              <w:pStyle w:val="TableText"/>
              <w:keepNext w:val="0"/>
              <w:widowControl w:val="0"/>
            </w:pPr>
            <w:r w:rsidRPr="0030545D">
              <w:t>Akathisia</w:t>
            </w:r>
          </w:p>
        </w:tc>
        <w:tc>
          <w:tcPr>
            <w:tcW w:w="1711" w:type="dxa"/>
            <w:tcBorders>
              <w:top w:val="single" w:sz="4" w:space="0" w:color="auto"/>
              <w:left w:val="single" w:sz="4" w:space="0" w:color="auto"/>
              <w:bottom w:val="single" w:sz="4" w:space="0" w:color="auto"/>
              <w:right w:val="single" w:sz="4" w:space="0" w:color="auto"/>
            </w:tcBorders>
            <w:vAlign w:val="center"/>
          </w:tcPr>
          <w:p w14:paraId="310DA280"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731FE482"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298E5187" w14:textId="77777777" w:rsidR="00ED3393" w:rsidRPr="0030545D" w:rsidRDefault="00ED3393" w:rsidP="00C11469">
            <w:pPr>
              <w:pStyle w:val="TableText"/>
              <w:keepNext w:val="0"/>
              <w:widowControl w:val="0"/>
              <w:jc w:val="center"/>
              <w:rPr>
                <w:b/>
                <w:bCs w:val="0"/>
              </w:rPr>
            </w:pPr>
            <w:r w:rsidRPr="0030545D">
              <w:rPr>
                <w:b/>
                <w:bCs w:val="0"/>
              </w:rPr>
              <w:t>-0.19 (-0.31, -0.07)</w:t>
            </w:r>
          </w:p>
        </w:tc>
        <w:tc>
          <w:tcPr>
            <w:tcW w:w="1712" w:type="dxa"/>
            <w:tcBorders>
              <w:left w:val="single" w:sz="4" w:space="0" w:color="auto"/>
              <w:right w:val="single" w:sz="4" w:space="0" w:color="auto"/>
            </w:tcBorders>
            <w:vAlign w:val="center"/>
          </w:tcPr>
          <w:p w14:paraId="53DA7D16" w14:textId="77777777" w:rsidR="00ED3393" w:rsidRPr="0030545D" w:rsidRDefault="00ED3393" w:rsidP="00C11469">
            <w:pPr>
              <w:pStyle w:val="TableText"/>
              <w:keepNext w:val="0"/>
              <w:widowControl w:val="0"/>
              <w:jc w:val="center"/>
              <w:rPr>
                <w:b/>
                <w:bCs w:val="0"/>
              </w:rPr>
            </w:pPr>
            <w:r w:rsidRPr="0030545D">
              <w:rPr>
                <w:b/>
                <w:bCs w:val="0"/>
              </w:rPr>
              <w:t>-0.19 (-0.32, -0.06)</w:t>
            </w:r>
          </w:p>
        </w:tc>
      </w:tr>
      <w:tr w:rsidR="00ED3393" w:rsidRPr="0030545D" w14:paraId="10606B6D"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3E4BE851" w14:textId="77777777" w:rsidR="00ED3393" w:rsidRPr="0030545D" w:rsidRDefault="00ED3393" w:rsidP="00C11469">
            <w:pPr>
              <w:pStyle w:val="TableText"/>
              <w:keepNext w:val="0"/>
              <w:widowControl w:val="0"/>
            </w:pPr>
            <w:r w:rsidRPr="0030545D">
              <w:t>Anxiety</w:t>
            </w:r>
          </w:p>
        </w:tc>
        <w:tc>
          <w:tcPr>
            <w:tcW w:w="1711" w:type="dxa"/>
            <w:tcBorders>
              <w:top w:val="single" w:sz="4" w:space="0" w:color="auto"/>
              <w:left w:val="single" w:sz="4" w:space="0" w:color="auto"/>
              <w:bottom w:val="single" w:sz="4" w:space="0" w:color="auto"/>
              <w:right w:val="single" w:sz="4" w:space="0" w:color="auto"/>
            </w:tcBorders>
            <w:vAlign w:val="center"/>
          </w:tcPr>
          <w:p w14:paraId="011C481E"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35074E76"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7459DB1C" w14:textId="77777777" w:rsidR="00ED3393" w:rsidRPr="0030545D" w:rsidRDefault="00ED3393" w:rsidP="00C11469">
            <w:pPr>
              <w:pStyle w:val="TableText"/>
              <w:keepNext w:val="0"/>
              <w:widowControl w:val="0"/>
              <w:jc w:val="center"/>
            </w:pPr>
            <w:r w:rsidRPr="0030545D">
              <w:t>-0.12 (-0.24, 0.02)</w:t>
            </w:r>
          </w:p>
        </w:tc>
        <w:tc>
          <w:tcPr>
            <w:tcW w:w="1712" w:type="dxa"/>
            <w:tcBorders>
              <w:left w:val="single" w:sz="4" w:space="0" w:color="auto"/>
              <w:right w:val="single" w:sz="4" w:space="0" w:color="auto"/>
            </w:tcBorders>
            <w:vAlign w:val="center"/>
          </w:tcPr>
          <w:p w14:paraId="3637A923" w14:textId="77777777" w:rsidR="00ED3393" w:rsidRPr="0030545D" w:rsidRDefault="00ED3393" w:rsidP="00C11469">
            <w:pPr>
              <w:pStyle w:val="TableText"/>
              <w:keepNext w:val="0"/>
              <w:widowControl w:val="0"/>
              <w:jc w:val="center"/>
            </w:pPr>
            <w:r w:rsidRPr="0030545D">
              <w:t>-0.12 (-0.25, 0.01)</w:t>
            </w:r>
          </w:p>
        </w:tc>
      </w:tr>
      <w:tr w:rsidR="00ED3393" w:rsidRPr="0030545D" w14:paraId="346B05BC"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5E05E18E" w14:textId="77777777" w:rsidR="00ED3393" w:rsidRPr="0030545D" w:rsidRDefault="00ED3393" w:rsidP="00C11469">
            <w:pPr>
              <w:pStyle w:val="TableText"/>
              <w:keepNext w:val="0"/>
              <w:widowControl w:val="0"/>
            </w:pPr>
            <w:r w:rsidRPr="0030545D">
              <w:t>Coughing</w:t>
            </w:r>
          </w:p>
        </w:tc>
        <w:tc>
          <w:tcPr>
            <w:tcW w:w="1711" w:type="dxa"/>
            <w:tcBorders>
              <w:top w:val="single" w:sz="4" w:space="0" w:color="auto"/>
              <w:left w:val="single" w:sz="4" w:space="0" w:color="auto"/>
              <w:bottom w:val="single" w:sz="4" w:space="0" w:color="auto"/>
              <w:right w:val="single" w:sz="4" w:space="0" w:color="auto"/>
            </w:tcBorders>
            <w:vAlign w:val="center"/>
          </w:tcPr>
          <w:p w14:paraId="22AADDD4"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100CCE4F"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56535A54" w14:textId="77777777" w:rsidR="00ED3393" w:rsidRPr="0030545D" w:rsidRDefault="00ED3393" w:rsidP="00C11469">
            <w:pPr>
              <w:pStyle w:val="TableText"/>
              <w:keepNext w:val="0"/>
              <w:widowControl w:val="0"/>
              <w:jc w:val="center"/>
            </w:pPr>
            <w:r w:rsidRPr="0030545D">
              <w:t>0.03 (-0.10, 0.15)</w:t>
            </w:r>
          </w:p>
        </w:tc>
        <w:tc>
          <w:tcPr>
            <w:tcW w:w="1712" w:type="dxa"/>
            <w:tcBorders>
              <w:left w:val="single" w:sz="4" w:space="0" w:color="auto"/>
              <w:right w:val="single" w:sz="4" w:space="0" w:color="auto"/>
            </w:tcBorders>
            <w:vAlign w:val="center"/>
          </w:tcPr>
          <w:p w14:paraId="56BD3A1B" w14:textId="77777777" w:rsidR="00ED3393" w:rsidRPr="0030545D" w:rsidRDefault="00ED3393" w:rsidP="00C11469">
            <w:pPr>
              <w:pStyle w:val="TableText"/>
              <w:keepNext w:val="0"/>
              <w:widowControl w:val="0"/>
              <w:jc w:val="center"/>
            </w:pPr>
            <w:r w:rsidRPr="0030545D">
              <w:t>0.03 (-0.10, 0.15)</w:t>
            </w:r>
          </w:p>
        </w:tc>
      </w:tr>
      <w:tr w:rsidR="00ED3393" w:rsidRPr="0030545D" w14:paraId="07F73480"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08C7D4AB" w14:textId="77777777" w:rsidR="00ED3393" w:rsidRPr="0030545D" w:rsidRDefault="00ED3393" w:rsidP="00C11469">
            <w:pPr>
              <w:pStyle w:val="TableText"/>
              <w:keepNext w:val="0"/>
              <w:widowControl w:val="0"/>
            </w:pPr>
            <w:r w:rsidRPr="0030545D">
              <w:t>Depression</w:t>
            </w:r>
          </w:p>
        </w:tc>
        <w:tc>
          <w:tcPr>
            <w:tcW w:w="1711" w:type="dxa"/>
            <w:tcBorders>
              <w:top w:val="single" w:sz="4" w:space="0" w:color="auto"/>
              <w:left w:val="single" w:sz="4" w:space="0" w:color="auto"/>
              <w:bottom w:val="single" w:sz="4" w:space="0" w:color="auto"/>
              <w:right w:val="single" w:sz="4" w:space="0" w:color="auto"/>
            </w:tcBorders>
            <w:vAlign w:val="center"/>
          </w:tcPr>
          <w:p w14:paraId="75364FA7" w14:textId="77777777" w:rsidR="00ED3393" w:rsidRPr="0030545D" w:rsidRDefault="00ED3393" w:rsidP="00C11469">
            <w:pPr>
              <w:pStyle w:val="TableText"/>
              <w:keepNext w:val="0"/>
              <w:widowControl w:val="0"/>
              <w:jc w:val="center"/>
            </w:pPr>
            <w:r w:rsidRPr="0030545D">
              <w:t>17.15 (0.55, 531.90)</w:t>
            </w:r>
          </w:p>
        </w:tc>
        <w:tc>
          <w:tcPr>
            <w:tcW w:w="1712" w:type="dxa"/>
            <w:tcBorders>
              <w:top w:val="single" w:sz="4" w:space="0" w:color="auto"/>
              <w:left w:val="single" w:sz="4" w:space="0" w:color="auto"/>
              <w:bottom w:val="single" w:sz="4" w:space="0" w:color="auto"/>
              <w:right w:val="single" w:sz="4" w:space="0" w:color="auto"/>
            </w:tcBorders>
            <w:vAlign w:val="center"/>
          </w:tcPr>
          <w:p w14:paraId="3F9AA7F6" w14:textId="77777777" w:rsidR="00ED3393" w:rsidRPr="0030545D" w:rsidRDefault="00ED3393" w:rsidP="00C11469">
            <w:pPr>
              <w:pStyle w:val="TableText"/>
              <w:keepNext w:val="0"/>
              <w:widowControl w:val="0"/>
              <w:jc w:val="center"/>
              <w:rPr>
                <w:b/>
                <w:bCs w:val="0"/>
              </w:rPr>
            </w:pPr>
            <w:r w:rsidRPr="0030545D">
              <w:rPr>
                <w:b/>
                <w:bCs w:val="0"/>
              </w:rPr>
              <w:t>-0.17 (-0.31, -0.28)</w:t>
            </w:r>
          </w:p>
        </w:tc>
        <w:tc>
          <w:tcPr>
            <w:tcW w:w="1712" w:type="dxa"/>
            <w:tcBorders>
              <w:left w:val="single" w:sz="4" w:space="0" w:color="auto"/>
              <w:right w:val="single" w:sz="4" w:space="0" w:color="auto"/>
            </w:tcBorders>
            <w:vAlign w:val="center"/>
          </w:tcPr>
          <w:p w14:paraId="2B2A7098" w14:textId="77777777" w:rsidR="00ED3393" w:rsidRPr="0030545D" w:rsidRDefault="00ED3393" w:rsidP="00C11469">
            <w:pPr>
              <w:pStyle w:val="TableText"/>
              <w:keepNext w:val="0"/>
              <w:widowControl w:val="0"/>
              <w:jc w:val="center"/>
              <w:rPr>
                <w:b/>
                <w:bCs w:val="0"/>
              </w:rPr>
            </w:pPr>
            <w:r w:rsidRPr="0030545D">
              <w:rPr>
                <w:b/>
                <w:bCs w:val="0"/>
              </w:rPr>
              <w:t>-0.19 (-0.32, -0.07)</w:t>
            </w:r>
          </w:p>
        </w:tc>
        <w:tc>
          <w:tcPr>
            <w:tcW w:w="1712" w:type="dxa"/>
            <w:tcBorders>
              <w:left w:val="single" w:sz="4" w:space="0" w:color="auto"/>
              <w:right w:val="single" w:sz="4" w:space="0" w:color="auto"/>
            </w:tcBorders>
            <w:vAlign w:val="center"/>
          </w:tcPr>
          <w:p w14:paraId="162E4419" w14:textId="77777777" w:rsidR="00ED3393" w:rsidRPr="0030545D" w:rsidRDefault="00ED3393" w:rsidP="00C11469">
            <w:pPr>
              <w:pStyle w:val="TableText"/>
              <w:keepNext w:val="0"/>
              <w:widowControl w:val="0"/>
              <w:jc w:val="center"/>
              <w:rPr>
                <w:b/>
                <w:bCs w:val="0"/>
              </w:rPr>
            </w:pPr>
            <w:r w:rsidRPr="0030545D">
              <w:rPr>
                <w:b/>
                <w:bCs w:val="0"/>
              </w:rPr>
              <w:t>-0.21 (-0.34, -0.08)</w:t>
            </w:r>
          </w:p>
        </w:tc>
      </w:tr>
      <w:tr w:rsidR="00ED3393" w:rsidRPr="0030545D" w14:paraId="2BAB78D0"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31A5B591" w14:textId="77777777" w:rsidR="00ED3393" w:rsidRPr="0030545D" w:rsidRDefault="00ED3393" w:rsidP="00C11469">
            <w:pPr>
              <w:pStyle w:val="TableText"/>
              <w:keepNext w:val="0"/>
              <w:widowControl w:val="0"/>
            </w:pPr>
            <w:r w:rsidRPr="0030545D">
              <w:t>Depression/agitated depression</w:t>
            </w:r>
          </w:p>
        </w:tc>
        <w:tc>
          <w:tcPr>
            <w:tcW w:w="1711" w:type="dxa"/>
            <w:tcBorders>
              <w:top w:val="single" w:sz="4" w:space="0" w:color="auto"/>
              <w:left w:val="single" w:sz="4" w:space="0" w:color="auto"/>
              <w:bottom w:val="single" w:sz="4" w:space="0" w:color="auto"/>
              <w:right w:val="single" w:sz="4" w:space="0" w:color="auto"/>
            </w:tcBorders>
            <w:vAlign w:val="center"/>
          </w:tcPr>
          <w:p w14:paraId="3D3355D1"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756FFA1B"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63DACD13" w14:textId="77777777" w:rsidR="00ED3393" w:rsidRPr="0030545D" w:rsidRDefault="00ED3393" w:rsidP="00C11469">
            <w:pPr>
              <w:pStyle w:val="TableText"/>
              <w:keepNext w:val="0"/>
              <w:widowControl w:val="0"/>
              <w:jc w:val="center"/>
              <w:rPr>
                <w:b/>
                <w:bCs w:val="0"/>
              </w:rPr>
            </w:pPr>
            <w:r w:rsidRPr="0030545D">
              <w:rPr>
                <w:b/>
                <w:bCs w:val="0"/>
              </w:rPr>
              <w:t>-0.17 (-0.30, -0.04)</w:t>
            </w:r>
          </w:p>
        </w:tc>
        <w:tc>
          <w:tcPr>
            <w:tcW w:w="1712" w:type="dxa"/>
            <w:tcBorders>
              <w:left w:val="single" w:sz="4" w:space="0" w:color="auto"/>
              <w:right w:val="single" w:sz="4" w:space="0" w:color="auto"/>
            </w:tcBorders>
            <w:vAlign w:val="center"/>
          </w:tcPr>
          <w:p w14:paraId="5BFA4810" w14:textId="77777777" w:rsidR="00ED3393" w:rsidRPr="0030545D" w:rsidRDefault="00ED3393" w:rsidP="00C11469">
            <w:pPr>
              <w:pStyle w:val="TableText"/>
              <w:keepNext w:val="0"/>
              <w:widowControl w:val="0"/>
              <w:jc w:val="center"/>
              <w:rPr>
                <w:b/>
                <w:bCs w:val="0"/>
              </w:rPr>
            </w:pPr>
            <w:r w:rsidRPr="0030545D">
              <w:rPr>
                <w:b/>
                <w:bCs w:val="0"/>
              </w:rPr>
              <w:t>-0.20 (-0.34, -0.07)</w:t>
            </w:r>
          </w:p>
        </w:tc>
      </w:tr>
      <w:tr w:rsidR="00ED3393" w:rsidRPr="0030545D" w14:paraId="41B35B55"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6C4685B9" w14:textId="77777777" w:rsidR="00ED3393" w:rsidRPr="0030545D" w:rsidRDefault="00C738FC" w:rsidP="00C11469">
            <w:pPr>
              <w:pStyle w:val="TableText"/>
              <w:keepNext w:val="0"/>
              <w:widowControl w:val="0"/>
            </w:pPr>
            <w:r w:rsidRPr="0030545D">
              <w:t>Diarrhoea</w:t>
            </w:r>
          </w:p>
        </w:tc>
        <w:tc>
          <w:tcPr>
            <w:tcW w:w="1711" w:type="dxa"/>
            <w:tcBorders>
              <w:top w:val="single" w:sz="4" w:space="0" w:color="auto"/>
              <w:left w:val="single" w:sz="4" w:space="0" w:color="auto"/>
              <w:bottom w:val="single" w:sz="4" w:space="0" w:color="auto"/>
              <w:right w:val="single" w:sz="4" w:space="0" w:color="auto"/>
            </w:tcBorders>
            <w:vAlign w:val="center"/>
          </w:tcPr>
          <w:p w14:paraId="6884F2F4" w14:textId="77777777" w:rsidR="00ED3393" w:rsidRPr="0030545D" w:rsidRDefault="00ED3393" w:rsidP="00C11469">
            <w:pPr>
              <w:pStyle w:val="TableText"/>
              <w:keepNext w:val="0"/>
              <w:widowControl w:val="0"/>
              <w:jc w:val="center"/>
            </w:pPr>
            <w:r w:rsidRPr="0030545D">
              <w:t>0.07 (0.03, 2.06)</w:t>
            </w:r>
          </w:p>
        </w:tc>
        <w:tc>
          <w:tcPr>
            <w:tcW w:w="1712" w:type="dxa"/>
            <w:tcBorders>
              <w:top w:val="single" w:sz="4" w:space="0" w:color="auto"/>
              <w:left w:val="single" w:sz="4" w:space="0" w:color="auto"/>
              <w:bottom w:val="single" w:sz="4" w:space="0" w:color="auto"/>
              <w:right w:val="single" w:sz="4" w:space="0" w:color="auto"/>
            </w:tcBorders>
            <w:vAlign w:val="center"/>
          </w:tcPr>
          <w:p w14:paraId="4F697872" w14:textId="77777777" w:rsidR="00ED3393" w:rsidRPr="0030545D" w:rsidRDefault="00ED3393" w:rsidP="00C11469">
            <w:pPr>
              <w:pStyle w:val="TableText"/>
              <w:keepNext w:val="0"/>
              <w:widowControl w:val="0"/>
              <w:jc w:val="center"/>
            </w:pPr>
            <w:r w:rsidRPr="0030545D">
              <w:t>0.12 (-0.03, 0.27)</w:t>
            </w:r>
          </w:p>
        </w:tc>
        <w:tc>
          <w:tcPr>
            <w:tcW w:w="1712" w:type="dxa"/>
            <w:tcBorders>
              <w:left w:val="single" w:sz="4" w:space="0" w:color="auto"/>
              <w:right w:val="single" w:sz="4" w:space="0" w:color="auto"/>
            </w:tcBorders>
            <w:vAlign w:val="center"/>
          </w:tcPr>
          <w:p w14:paraId="1C3E8648" w14:textId="77777777" w:rsidR="00ED3393" w:rsidRPr="0030545D" w:rsidRDefault="00ED3393" w:rsidP="00C11469">
            <w:pPr>
              <w:pStyle w:val="TableText"/>
              <w:keepNext w:val="0"/>
              <w:widowControl w:val="0"/>
              <w:jc w:val="center"/>
            </w:pPr>
            <w:r w:rsidRPr="0030545D">
              <w:t>0.12 (-0.04, 0.27)</w:t>
            </w:r>
          </w:p>
        </w:tc>
        <w:tc>
          <w:tcPr>
            <w:tcW w:w="1712" w:type="dxa"/>
            <w:tcBorders>
              <w:left w:val="single" w:sz="4" w:space="0" w:color="auto"/>
              <w:right w:val="single" w:sz="4" w:space="0" w:color="auto"/>
            </w:tcBorders>
            <w:vAlign w:val="center"/>
          </w:tcPr>
          <w:p w14:paraId="25B23BF8" w14:textId="77777777" w:rsidR="00ED3393" w:rsidRPr="0030545D" w:rsidRDefault="00ED3393" w:rsidP="00C11469">
            <w:pPr>
              <w:pStyle w:val="TableText"/>
              <w:keepNext w:val="0"/>
              <w:widowControl w:val="0"/>
              <w:jc w:val="center"/>
            </w:pPr>
            <w:r w:rsidRPr="0030545D">
              <w:t>0.10 (-0.09, 0.29)</w:t>
            </w:r>
          </w:p>
        </w:tc>
      </w:tr>
      <w:tr w:rsidR="00ED3393" w:rsidRPr="0030545D" w14:paraId="1B5E00EF"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18C3953D" w14:textId="77777777" w:rsidR="00ED3393" w:rsidRPr="0030545D" w:rsidRDefault="00ED3393" w:rsidP="00C11469">
            <w:pPr>
              <w:pStyle w:val="TableText"/>
              <w:keepNext w:val="0"/>
              <w:widowControl w:val="0"/>
            </w:pPr>
            <w:r w:rsidRPr="0030545D">
              <w:t>Somnolence</w:t>
            </w:r>
          </w:p>
        </w:tc>
        <w:tc>
          <w:tcPr>
            <w:tcW w:w="1711" w:type="dxa"/>
            <w:tcBorders>
              <w:top w:val="single" w:sz="4" w:space="0" w:color="auto"/>
              <w:left w:val="single" w:sz="4" w:space="0" w:color="auto"/>
              <w:bottom w:val="single" w:sz="4" w:space="0" w:color="auto"/>
              <w:right w:val="single" w:sz="4" w:space="0" w:color="auto"/>
            </w:tcBorders>
            <w:vAlign w:val="center"/>
          </w:tcPr>
          <w:p w14:paraId="2240F1F8" w14:textId="77777777" w:rsidR="00ED3393" w:rsidRPr="0030545D" w:rsidRDefault="00ED3393" w:rsidP="00C11469">
            <w:pPr>
              <w:pStyle w:val="TableText"/>
              <w:keepNext w:val="0"/>
              <w:widowControl w:val="0"/>
              <w:jc w:val="center"/>
            </w:pPr>
            <w:r w:rsidRPr="0030545D">
              <w:t>4.95 (0.34, 72.37)</w:t>
            </w:r>
          </w:p>
        </w:tc>
        <w:tc>
          <w:tcPr>
            <w:tcW w:w="1712" w:type="dxa"/>
            <w:tcBorders>
              <w:top w:val="single" w:sz="4" w:space="0" w:color="auto"/>
              <w:left w:val="single" w:sz="4" w:space="0" w:color="auto"/>
              <w:bottom w:val="single" w:sz="4" w:space="0" w:color="auto"/>
              <w:right w:val="single" w:sz="4" w:space="0" w:color="auto"/>
            </w:tcBorders>
            <w:vAlign w:val="center"/>
          </w:tcPr>
          <w:p w14:paraId="308F8266" w14:textId="77777777" w:rsidR="00ED3393" w:rsidRPr="0030545D" w:rsidRDefault="00ED3393" w:rsidP="00C11469">
            <w:pPr>
              <w:pStyle w:val="TableText"/>
              <w:keepNext w:val="0"/>
              <w:widowControl w:val="0"/>
              <w:jc w:val="center"/>
              <w:rPr>
                <w:b/>
                <w:bCs w:val="0"/>
              </w:rPr>
            </w:pPr>
            <w:r w:rsidRPr="0030545D">
              <w:rPr>
                <w:b/>
                <w:bCs w:val="0"/>
              </w:rPr>
              <w:t>-0.21 (-0.39, -0.03)</w:t>
            </w:r>
          </w:p>
        </w:tc>
        <w:tc>
          <w:tcPr>
            <w:tcW w:w="1712" w:type="dxa"/>
            <w:tcBorders>
              <w:left w:val="single" w:sz="4" w:space="0" w:color="auto"/>
              <w:right w:val="single" w:sz="4" w:space="0" w:color="auto"/>
            </w:tcBorders>
            <w:vAlign w:val="center"/>
          </w:tcPr>
          <w:p w14:paraId="0C8A4B97" w14:textId="77777777" w:rsidR="00ED3393" w:rsidRPr="0030545D" w:rsidRDefault="00ED3393" w:rsidP="00C11469">
            <w:pPr>
              <w:pStyle w:val="TableText"/>
              <w:keepNext w:val="0"/>
              <w:widowControl w:val="0"/>
              <w:jc w:val="center"/>
              <w:rPr>
                <w:b/>
                <w:bCs w:val="0"/>
              </w:rPr>
            </w:pPr>
            <w:r w:rsidRPr="0030545D">
              <w:rPr>
                <w:b/>
                <w:bCs w:val="0"/>
              </w:rPr>
              <w:t>-0.22 (-0.39, -0.04)</w:t>
            </w:r>
          </w:p>
        </w:tc>
        <w:tc>
          <w:tcPr>
            <w:tcW w:w="1712" w:type="dxa"/>
            <w:tcBorders>
              <w:left w:val="single" w:sz="4" w:space="0" w:color="auto"/>
              <w:right w:val="single" w:sz="4" w:space="0" w:color="auto"/>
            </w:tcBorders>
            <w:vAlign w:val="center"/>
          </w:tcPr>
          <w:p w14:paraId="30828CBD" w14:textId="77777777" w:rsidR="00ED3393" w:rsidRPr="0030545D" w:rsidRDefault="00ED3393" w:rsidP="00C11469">
            <w:pPr>
              <w:pStyle w:val="TableText"/>
              <w:keepNext w:val="0"/>
              <w:widowControl w:val="0"/>
              <w:jc w:val="center"/>
              <w:rPr>
                <w:b/>
                <w:bCs w:val="0"/>
              </w:rPr>
            </w:pPr>
            <w:r w:rsidRPr="0030545D">
              <w:rPr>
                <w:b/>
                <w:bCs w:val="0"/>
              </w:rPr>
              <w:t>-0.23 (-0.45, -0.01)</w:t>
            </w:r>
          </w:p>
        </w:tc>
      </w:tr>
      <w:tr w:rsidR="00ED3393" w:rsidRPr="0030545D" w14:paraId="3377DDAF"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0056953D" w14:textId="77777777" w:rsidR="00ED3393" w:rsidRPr="0030545D" w:rsidRDefault="00ED3393" w:rsidP="00C11469">
            <w:pPr>
              <w:pStyle w:val="TableText"/>
              <w:keepNext w:val="0"/>
              <w:widowControl w:val="0"/>
            </w:pPr>
            <w:r w:rsidRPr="0030545D">
              <w:t>Fall</w:t>
            </w:r>
          </w:p>
        </w:tc>
        <w:tc>
          <w:tcPr>
            <w:tcW w:w="1711" w:type="dxa"/>
            <w:tcBorders>
              <w:top w:val="single" w:sz="4" w:space="0" w:color="auto"/>
              <w:left w:val="single" w:sz="4" w:space="0" w:color="auto"/>
              <w:bottom w:val="single" w:sz="4" w:space="0" w:color="auto"/>
              <w:right w:val="single" w:sz="4" w:space="0" w:color="auto"/>
            </w:tcBorders>
            <w:vAlign w:val="center"/>
          </w:tcPr>
          <w:p w14:paraId="14A7F26B" w14:textId="77777777" w:rsidR="00ED3393" w:rsidRPr="0030545D" w:rsidRDefault="00ED3393" w:rsidP="00C11469">
            <w:pPr>
              <w:pStyle w:val="TableText"/>
              <w:keepNext w:val="0"/>
              <w:widowControl w:val="0"/>
              <w:jc w:val="center"/>
            </w:pPr>
            <w:r w:rsidRPr="0030545D">
              <w:t>2.71 (0.31, 23.98)</w:t>
            </w:r>
          </w:p>
        </w:tc>
        <w:tc>
          <w:tcPr>
            <w:tcW w:w="1712" w:type="dxa"/>
            <w:tcBorders>
              <w:top w:val="single" w:sz="4" w:space="0" w:color="auto"/>
              <w:left w:val="single" w:sz="4" w:space="0" w:color="auto"/>
              <w:bottom w:val="single" w:sz="4" w:space="0" w:color="auto"/>
              <w:right w:val="single" w:sz="4" w:space="0" w:color="auto"/>
            </w:tcBorders>
            <w:vAlign w:val="center"/>
          </w:tcPr>
          <w:p w14:paraId="0A0BC1A0" w14:textId="77777777" w:rsidR="00ED3393" w:rsidRPr="0030545D" w:rsidRDefault="00ED3393" w:rsidP="00C11469">
            <w:pPr>
              <w:pStyle w:val="TableText"/>
              <w:keepNext w:val="0"/>
              <w:widowControl w:val="0"/>
              <w:jc w:val="center"/>
            </w:pPr>
            <w:r w:rsidRPr="0030545D">
              <w:t>-0.07 (-0.26, 0.12)</w:t>
            </w:r>
          </w:p>
        </w:tc>
        <w:tc>
          <w:tcPr>
            <w:tcW w:w="1712" w:type="dxa"/>
            <w:tcBorders>
              <w:left w:val="single" w:sz="4" w:space="0" w:color="auto"/>
              <w:right w:val="single" w:sz="4" w:space="0" w:color="auto"/>
            </w:tcBorders>
            <w:vAlign w:val="center"/>
          </w:tcPr>
          <w:p w14:paraId="000FD54D" w14:textId="77777777" w:rsidR="00ED3393" w:rsidRPr="0030545D" w:rsidRDefault="00ED3393" w:rsidP="00C11469">
            <w:pPr>
              <w:pStyle w:val="TableText"/>
              <w:keepNext w:val="0"/>
              <w:widowControl w:val="0"/>
              <w:jc w:val="center"/>
            </w:pPr>
            <w:r w:rsidRPr="0030545D">
              <w:t>-0.08 (-0.27, 0.11)</w:t>
            </w:r>
          </w:p>
        </w:tc>
        <w:tc>
          <w:tcPr>
            <w:tcW w:w="1712" w:type="dxa"/>
            <w:tcBorders>
              <w:left w:val="single" w:sz="4" w:space="0" w:color="auto"/>
              <w:right w:val="single" w:sz="4" w:space="0" w:color="auto"/>
            </w:tcBorders>
            <w:vAlign w:val="center"/>
          </w:tcPr>
          <w:p w14:paraId="7A769D27" w14:textId="77777777" w:rsidR="00ED3393" w:rsidRPr="0030545D" w:rsidRDefault="00ED3393" w:rsidP="00C11469">
            <w:pPr>
              <w:pStyle w:val="TableText"/>
              <w:keepNext w:val="0"/>
              <w:widowControl w:val="0"/>
              <w:jc w:val="center"/>
            </w:pPr>
            <w:r w:rsidRPr="0030545D">
              <w:t>-0.11 (-0.32, 0.11)</w:t>
            </w:r>
          </w:p>
        </w:tc>
      </w:tr>
      <w:tr w:rsidR="00ED3393" w:rsidRPr="0030545D" w14:paraId="4975A785"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18804749" w14:textId="77777777" w:rsidR="00ED3393" w:rsidRPr="0030545D" w:rsidRDefault="00ED3393" w:rsidP="00C11469">
            <w:pPr>
              <w:pStyle w:val="TableText"/>
              <w:keepNext w:val="0"/>
              <w:widowControl w:val="0"/>
            </w:pPr>
            <w:r w:rsidRPr="0030545D">
              <w:t>Fatigue</w:t>
            </w:r>
          </w:p>
        </w:tc>
        <w:tc>
          <w:tcPr>
            <w:tcW w:w="1711" w:type="dxa"/>
            <w:tcBorders>
              <w:top w:val="single" w:sz="4" w:space="0" w:color="auto"/>
              <w:left w:val="single" w:sz="4" w:space="0" w:color="auto"/>
              <w:bottom w:val="single" w:sz="4" w:space="0" w:color="auto"/>
              <w:right w:val="single" w:sz="4" w:space="0" w:color="auto"/>
            </w:tcBorders>
            <w:vAlign w:val="center"/>
          </w:tcPr>
          <w:p w14:paraId="0C3B84A7" w14:textId="77777777" w:rsidR="00ED3393" w:rsidRPr="0030545D" w:rsidRDefault="00ED3393" w:rsidP="00C11469">
            <w:pPr>
              <w:pStyle w:val="TableText"/>
              <w:keepNext w:val="0"/>
              <w:widowControl w:val="0"/>
              <w:jc w:val="center"/>
            </w:pPr>
            <w:r w:rsidRPr="0030545D">
              <w:t>1.21 (0.31, 11.14)</w:t>
            </w:r>
          </w:p>
        </w:tc>
        <w:tc>
          <w:tcPr>
            <w:tcW w:w="1712" w:type="dxa"/>
            <w:tcBorders>
              <w:top w:val="single" w:sz="4" w:space="0" w:color="auto"/>
              <w:left w:val="single" w:sz="4" w:space="0" w:color="auto"/>
              <w:bottom w:val="single" w:sz="4" w:space="0" w:color="auto"/>
              <w:right w:val="single" w:sz="4" w:space="0" w:color="auto"/>
            </w:tcBorders>
            <w:vAlign w:val="center"/>
          </w:tcPr>
          <w:p w14:paraId="625CB8EE" w14:textId="77777777" w:rsidR="00ED3393" w:rsidRPr="0030545D" w:rsidRDefault="00ED3393" w:rsidP="00C11469">
            <w:pPr>
              <w:pStyle w:val="TableText"/>
              <w:keepNext w:val="0"/>
              <w:widowControl w:val="0"/>
              <w:jc w:val="center"/>
            </w:pPr>
            <w:r w:rsidRPr="0030545D">
              <w:t>-0.07 (-0.26, 0.12)</w:t>
            </w:r>
          </w:p>
        </w:tc>
        <w:tc>
          <w:tcPr>
            <w:tcW w:w="1712" w:type="dxa"/>
            <w:tcBorders>
              <w:left w:val="single" w:sz="4" w:space="0" w:color="auto"/>
              <w:right w:val="single" w:sz="4" w:space="0" w:color="auto"/>
            </w:tcBorders>
            <w:vAlign w:val="center"/>
          </w:tcPr>
          <w:p w14:paraId="1A2F807E" w14:textId="77777777" w:rsidR="00ED3393" w:rsidRPr="0030545D" w:rsidRDefault="00ED3393" w:rsidP="00C11469">
            <w:pPr>
              <w:pStyle w:val="TableText"/>
              <w:keepNext w:val="0"/>
              <w:widowControl w:val="0"/>
              <w:jc w:val="center"/>
            </w:pPr>
            <w:r w:rsidRPr="0030545D">
              <w:t>-0.07 (-0.26, 0.12)</w:t>
            </w:r>
          </w:p>
        </w:tc>
        <w:tc>
          <w:tcPr>
            <w:tcW w:w="1712" w:type="dxa"/>
            <w:tcBorders>
              <w:left w:val="single" w:sz="4" w:space="0" w:color="auto"/>
              <w:right w:val="single" w:sz="4" w:space="0" w:color="auto"/>
            </w:tcBorders>
            <w:vAlign w:val="center"/>
          </w:tcPr>
          <w:p w14:paraId="2B61292F" w14:textId="77777777" w:rsidR="00ED3393" w:rsidRPr="0030545D" w:rsidRDefault="00ED3393" w:rsidP="00C11469">
            <w:pPr>
              <w:pStyle w:val="TableText"/>
              <w:keepNext w:val="0"/>
              <w:widowControl w:val="0"/>
              <w:jc w:val="center"/>
            </w:pPr>
            <w:r w:rsidRPr="0030545D">
              <w:t>-0.08 (-0.28, 0.12)</w:t>
            </w:r>
          </w:p>
        </w:tc>
      </w:tr>
      <w:tr w:rsidR="00ED3393" w:rsidRPr="0030545D" w14:paraId="2B05C318"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41A8830A" w14:textId="77777777" w:rsidR="00ED3393" w:rsidRPr="0030545D" w:rsidRDefault="00ED3393" w:rsidP="00C11469">
            <w:pPr>
              <w:pStyle w:val="TableText"/>
              <w:keepNext w:val="0"/>
              <w:widowControl w:val="0"/>
            </w:pPr>
            <w:r w:rsidRPr="0030545D">
              <w:t>Insomnia</w:t>
            </w:r>
          </w:p>
        </w:tc>
        <w:tc>
          <w:tcPr>
            <w:tcW w:w="1711" w:type="dxa"/>
            <w:tcBorders>
              <w:top w:val="single" w:sz="4" w:space="0" w:color="auto"/>
              <w:left w:val="single" w:sz="4" w:space="0" w:color="auto"/>
              <w:bottom w:val="single" w:sz="4" w:space="0" w:color="auto"/>
              <w:right w:val="single" w:sz="4" w:space="0" w:color="auto"/>
            </w:tcBorders>
            <w:vAlign w:val="center"/>
          </w:tcPr>
          <w:p w14:paraId="78B7FBC8" w14:textId="77777777" w:rsidR="00ED3393" w:rsidRPr="0030545D" w:rsidRDefault="00ED3393" w:rsidP="00C11469">
            <w:pPr>
              <w:pStyle w:val="TableText"/>
              <w:keepNext w:val="0"/>
              <w:widowControl w:val="0"/>
              <w:jc w:val="center"/>
            </w:pPr>
            <w:r w:rsidRPr="0030545D">
              <w:t>14.18 (0.47, 426.77)</w:t>
            </w:r>
          </w:p>
        </w:tc>
        <w:tc>
          <w:tcPr>
            <w:tcW w:w="1712" w:type="dxa"/>
            <w:tcBorders>
              <w:top w:val="single" w:sz="4" w:space="0" w:color="auto"/>
              <w:left w:val="single" w:sz="4" w:space="0" w:color="auto"/>
              <w:bottom w:val="single" w:sz="4" w:space="0" w:color="auto"/>
              <w:right w:val="single" w:sz="4" w:space="0" w:color="auto"/>
            </w:tcBorders>
            <w:vAlign w:val="center"/>
          </w:tcPr>
          <w:p w14:paraId="4543301A" w14:textId="77777777" w:rsidR="00ED3393" w:rsidRPr="0030545D" w:rsidRDefault="00ED3393" w:rsidP="00C11469">
            <w:pPr>
              <w:pStyle w:val="TableText"/>
              <w:keepNext w:val="0"/>
              <w:widowControl w:val="0"/>
              <w:jc w:val="center"/>
              <w:rPr>
                <w:b/>
                <w:bCs w:val="0"/>
              </w:rPr>
            </w:pPr>
            <w:r w:rsidRPr="0030545D">
              <w:rPr>
                <w:b/>
                <w:bCs w:val="0"/>
              </w:rPr>
              <w:t>-0.24 (-0.40, -0.04)</w:t>
            </w:r>
          </w:p>
        </w:tc>
        <w:tc>
          <w:tcPr>
            <w:tcW w:w="1712" w:type="dxa"/>
            <w:tcBorders>
              <w:left w:val="single" w:sz="4" w:space="0" w:color="auto"/>
              <w:right w:val="single" w:sz="4" w:space="0" w:color="auto"/>
            </w:tcBorders>
            <w:vAlign w:val="center"/>
          </w:tcPr>
          <w:p w14:paraId="3D992671" w14:textId="77777777" w:rsidR="00ED3393" w:rsidRPr="0030545D" w:rsidRDefault="00ED3393" w:rsidP="00C11469">
            <w:pPr>
              <w:pStyle w:val="TableText"/>
              <w:keepNext w:val="0"/>
              <w:widowControl w:val="0"/>
              <w:jc w:val="center"/>
              <w:rPr>
                <w:b/>
                <w:bCs w:val="0"/>
              </w:rPr>
            </w:pPr>
            <w:r w:rsidRPr="0030545D">
              <w:rPr>
                <w:b/>
                <w:bCs w:val="0"/>
              </w:rPr>
              <w:t>-0.24 (-0.39, -0.09)</w:t>
            </w:r>
          </w:p>
        </w:tc>
        <w:tc>
          <w:tcPr>
            <w:tcW w:w="1712" w:type="dxa"/>
            <w:tcBorders>
              <w:left w:val="single" w:sz="4" w:space="0" w:color="auto"/>
              <w:right w:val="single" w:sz="4" w:space="0" w:color="auto"/>
            </w:tcBorders>
            <w:vAlign w:val="center"/>
          </w:tcPr>
          <w:p w14:paraId="3764A474" w14:textId="77777777" w:rsidR="00ED3393" w:rsidRPr="0030545D" w:rsidRDefault="00ED3393" w:rsidP="00C11469">
            <w:pPr>
              <w:pStyle w:val="TableText"/>
              <w:keepNext w:val="0"/>
              <w:widowControl w:val="0"/>
              <w:jc w:val="center"/>
              <w:rPr>
                <w:b/>
                <w:bCs w:val="0"/>
              </w:rPr>
            </w:pPr>
            <w:r w:rsidRPr="0030545D">
              <w:rPr>
                <w:b/>
                <w:bCs w:val="0"/>
              </w:rPr>
              <w:t>-0.24 (-0.41, -0.08)</w:t>
            </w:r>
          </w:p>
        </w:tc>
      </w:tr>
      <w:tr w:rsidR="00ED3393" w:rsidRPr="0030545D" w14:paraId="77D62D30"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171A381A" w14:textId="77777777" w:rsidR="00ED3393" w:rsidRPr="0030545D" w:rsidRDefault="00ED3393" w:rsidP="00C11469">
            <w:pPr>
              <w:pStyle w:val="TableText"/>
              <w:keepNext w:val="0"/>
              <w:widowControl w:val="0"/>
            </w:pPr>
            <w:r w:rsidRPr="0030545D">
              <w:t>Nausea</w:t>
            </w:r>
          </w:p>
        </w:tc>
        <w:tc>
          <w:tcPr>
            <w:tcW w:w="1711" w:type="dxa"/>
            <w:tcBorders>
              <w:top w:val="single" w:sz="4" w:space="0" w:color="auto"/>
              <w:left w:val="single" w:sz="4" w:space="0" w:color="auto"/>
              <w:bottom w:val="single" w:sz="4" w:space="0" w:color="auto"/>
              <w:right w:val="single" w:sz="4" w:space="0" w:color="auto"/>
            </w:tcBorders>
            <w:vAlign w:val="center"/>
          </w:tcPr>
          <w:p w14:paraId="63E702C1"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306180A1"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27906426" w14:textId="77777777" w:rsidR="00ED3393" w:rsidRPr="0030545D" w:rsidRDefault="00ED3393" w:rsidP="00C11469">
            <w:pPr>
              <w:pStyle w:val="TableText"/>
              <w:keepNext w:val="0"/>
              <w:widowControl w:val="0"/>
              <w:jc w:val="center"/>
            </w:pPr>
            <w:r w:rsidRPr="0030545D">
              <w:t>-0.09 (-0.23, 0.06)</w:t>
            </w:r>
          </w:p>
        </w:tc>
        <w:tc>
          <w:tcPr>
            <w:tcW w:w="1712" w:type="dxa"/>
            <w:tcBorders>
              <w:left w:val="single" w:sz="4" w:space="0" w:color="auto"/>
              <w:right w:val="single" w:sz="4" w:space="0" w:color="auto"/>
            </w:tcBorders>
            <w:vAlign w:val="center"/>
          </w:tcPr>
          <w:p w14:paraId="695EE077" w14:textId="77777777" w:rsidR="00ED3393" w:rsidRPr="0030545D" w:rsidRDefault="00ED3393" w:rsidP="00C11469">
            <w:pPr>
              <w:pStyle w:val="TableText"/>
              <w:keepNext w:val="0"/>
              <w:widowControl w:val="0"/>
              <w:jc w:val="center"/>
            </w:pPr>
            <w:r w:rsidRPr="0030545D">
              <w:t>-0.10 (-0.25, 0.05)</w:t>
            </w:r>
          </w:p>
        </w:tc>
      </w:tr>
      <w:tr w:rsidR="00ED3393" w:rsidRPr="0030545D" w14:paraId="42352F4C"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6E908338" w14:textId="77777777" w:rsidR="00ED3393" w:rsidRPr="0030545D" w:rsidRDefault="00ED3393" w:rsidP="00C11469">
            <w:pPr>
              <w:pStyle w:val="TableText"/>
              <w:keepNext w:val="0"/>
              <w:widowControl w:val="0"/>
            </w:pPr>
            <w:r w:rsidRPr="0030545D">
              <w:t>Parkinsonism</w:t>
            </w:r>
          </w:p>
        </w:tc>
        <w:tc>
          <w:tcPr>
            <w:tcW w:w="1711" w:type="dxa"/>
            <w:tcBorders>
              <w:top w:val="single" w:sz="4" w:space="0" w:color="auto"/>
              <w:left w:val="single" w:sz="4" w:space="0" w:color="auto"/>
              <w:bottom w:val="single" w:sz="4" w:space="0" w:color="auto"/>
              <w:right w:val="single" w:sz="4" w:space="0" w:color="auto"/>
            </w:tcBorders>
            <w:vAlign w:val="center"/>
          </w:tcPr>
          <w:p w14:paraId="3906F40E"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5ACD888A"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19FBEC9A" w14:textId="77777777" w:rsidR="00ED3393" w:rsidRPr="0030545D" w:rsidRDefault="00ED3393" w:rsidP="00C11469">
            <w:pPr>
              <w:pStyle w:val="TableText"/>
              <w:keepNext w:val="0"/>
              <w:widowControl w:val="0"/>
              <w:jc w:val="center"/>
              <w:rPr>
                <w:b/>
                <w:bCs w:val="0"/>
              </w:rPr>
            </w:pPr>
            <w:r w:rsidRPr="0030545D">
              <w:rPr>
                <w:b/>
                <w:bCs w:val="0"/>
              </w:rPr>
              <w:t>-0.15 (-0.24, -0.05)</w:t>
            </w:r>
          </w:p>
        </w:tc>
        <w:tc>
          <w:tcPr>
            <w:tcW w:w="1712" w:type="dxa"/>
            <w:tcBorders>
              <w:left w:val="single" w:sz="4" w:space="0" w:color="auto"/>
              <w:right w:val="single" w:sz="4" w:space="0" w:color="auto"/>
            </w:tcBorders>
            <w:vAlign w:val="center"/>
          </w:tcPr>
          <w:p w14:paraId="70B09AF2" w14:textId="77777777" w:rsidR="00ED3393" w:rsidRPr="0030545D" w:rsidRDefault="00ED3393" w:rsidP="00C11469">
            <w:pPr>
              <w:pStyle w:val="TableText"/>
              <w:keepNext w:val="0"/>
              <w:widowControl w:val="0"/>
              <w:jc w:val="center"/>
              <w:rPr>
                <w:b/>
                <w:bCs w:val="0"/>
              </w:rPr>
            </w:pPr>
            <w:r w:rsidRPr="0030545D">
              <w:rPr>
                <w:b/>
                <w:bCs w:val="0"/>
              </w:rPr>
              <w:t>-0.15 (-0.24, -0.05)</w:t>
            </w:r>
          </w:p>
        </w:tc>
      </w:tr>
      <w:tr w:rsidR="00ED3393" w:rsidRPr="0030545D" w14:paraId="2433631F" w14:textId="77777777" w:rsidTr="00C11469">
        <w:trPr>
          <w:trHeight w:val="70"/>
        </w:trPr>
        <w:tc>
          <w:tcPr>
            <w:tcW w:w="2170" w:type="dxa"/>
            <w:tcBorders>
              <w:top w:val="single" w:sz="4" w:space="0" w:color="auto"/>
              <w:left w:val="single" w:sz="4" w:space="0" w:color="auto"/>
              <w:bottom w:val="single" w:sz="4" w:space="0" w:color="auto"/>
              <w:right w:val="single" w:sz="4" w:space="0" w:color="auto"/>
            </w:tcBorders>
            <w:vAlign w:val="center"/>
          </w:tcPr>
          <w:p w14:paraId="0D645A58" w14:textId="77777777" w:rsidR="00ED3393" w:rsidRPr="0030545D" w:rsidRDefault="00ED3393" w:rsidP="00C11469">
            <w:pPr>
              <w:pStyle w:val="TableText"/>
              <w:keepNext w:val="0"/>
              <w:widowControl w:val="0"/>
            </w:pPr>
            <w:r w:rsidRPr="0030545D">
              <w:t>Vomiting</w:t>
            </w:r>
          </w:p>
        </w:tc>
        <w:tc>
          <w:tcPr>
            <w:tcW w:w="1711" w:type="dxa"/>
            <w:tcBorders>
              <w:top w:val="single" w:sz="4" w:space="0" w:color="auto"/>
              <w:left w:val="single" w:sz="4" w:space="0" w:color="auto"/>
              <w:bottom w:val="single" w:sz="4" w:space="0" w:color="auto"/>
              <w:right w:val="single" w:sz="4" w:space="0" w:color="auto"/>
            </w:tcBorders>
            <w:vAlign w:val="center"/>
          </w:tcPr>
          <w:p w14:paraId="5DEA8C60" w14:textId="77777777" w:rsidR="00ED3393" w:rsidRPr="0030545D" w:rsidRDefault="00ED3393" w:rsidP="00C11469">
            <w:pPr>
              <w:pStyle w:val="TableText"/>
              <w:keepNext w:val="0"/>
              <w:widowControl w:val="0"/>
              <w:jc w:val="center"/>
            </w:pPr>
            <w:r w:rsidRPr="0030545D">
              <w:t>-</w:t>
            </w:r>
          </w:p>
        </w:tc>
        <w:tc>
          <w:tcPr>
            <w:tcW w:w="1712" w:type="dxa"/>
            <w:tcBorders>
              <w:top w:val="single" w:sz="4" w:space="0" w:color="auto"/>
              <w:left w:val="single" w:sz="4" w:space="0" w:color="auto"/>
              <w:bottom w:val="single" w:sz="4" w:space="0" w:color="auto"/>
              <w:right w:val="single" w:sz="4" w:space="0" w:color="auto"/>
            </w:tcBorders>
            <w:vAlign w:val="center"/>
          </w:tcPr>
          <w:p w14:paraId="0A1837BD" w14:textId="77777777" w:rsidR="00ED3393" w:rsidRPr="0030545D" w:rsidRDefault="00ED3393" w:rsidP="00C11469">
            <w:pPr>
              <w:pStyle w:val="TableText"/>
              <w:keepNext w:val="0"/>
              <w:widowControl w:val="0"/>
              <w:jc w:val="center"/>
            </w:pPr>
            <w:r w:rsidRPr="0030545D">
              <w:t>-</w:t>
            </w:r>
          </w:p>
        </w:tc>
        <w:tc>
          <w:tcPr>
            <w:tcW w:w="1712" w:type="dxa"/>
            <w:tcBorders>
              <w:left w:val="single" w:sz="4" w:space="0" w:color="auto"/>
              <w:right w:val="single" w:sz="4" w:space="0" w:color="auto"/>
            </w:tcBorders>
            <w:vAlign w:val="center"/>
          </w:tcPr>
          <w:p w14:paraId="5E1F009C" w14:textId="77777777" w:rsidR="00ED3393" w:rsidRPr="0030545D" w:rsidRDefault="00ED3393" w:rsidP="00C11469">
            <w:pPr>
              <w:pStyle w:val="TableText"/>
              <w:keepNext w:val="0"/>
              <w:widowControl w:val="0"/>
              <w:jc w:val="center"/>
            </w:pPr>
            <w:r w:rsidRPr="0030545D">
              <w:t>-0.09 (-0.20, 0.03)</w:t>
            </w:r>
          </w:p>
        </w:tc>
        <w:tc>
          <w:tcPr>
            <w:tcW w:w="1712" w:type="dxa"/>
            <w:tcBorders>
              <w:left w:val="single" w:sz="4" w:space="0" w:color="auto"/>
              <w:right w:val="single" w:sz="4" w:space="0" w:color="auto"/>
            </w:tcBorders>
            <w:vAlign w:val="center"/>
          </w:tcPr>
          <w:p w14:paraId="66674E4A" w14:textId="77777777" w:rsidR="00ED3393" w:rsidRPr="0030545D" w:rsidRDefault="00ED3393" w:rsidP="00C11469">
            <w:pPr>
              <w:pStyle w:val="TableText"/>
              <w:keepNext w:val="0"/>
              <w:widowControl w:val="0"/>
              <w:jc w:val="center"/>
            </w:pPr>
            <w:r w:rsidRPr="0030545D">
              <w:t>-0.09 (-0.21, 0.04)</w:t>
            </w:r>
          </w:p>
        </w:tc>
      </w:tr>
    </w:tbl>
    <w:p w14:paraId="626E67DD" w14:textId="77777777" w:rsidR="00ED3393" w:rsidRPr="0030545D" w:rsidRDefault="00ED3393" w:rsidP="00ED3393">
      <w:pPr>
        <w:pStyle w:val="TableFooter"/>
      </w:pPr>
      <w:r w:rsidRPr="0030545D">
        <w:t>Source: Rodrigues 2017 publication; Claassen 2017 publication with accompanying Rodrigues letter</w:t>
      </w:r>
    </w:p>
    <w:p w14:paraId="40936DB0" w14:textId="77777777" w:rsidR="00ED3393" w:rsidRPr="0030545D" w:rsidRDefault="00ED3393" w:rsidP="00ED3393">
      <w:pPr>
        <w:rPr>
          <w:rFonts w:ascii="Arial Narrow" w:hAnsi="Arial Narrow"/>
          <w:sz w:val="18"/>
        </w:rPr>
      </w:pPr>
      <w:r w:rsidRPr="0030545D">
        <w:rPr>
          <w:rFonts w:ascii="Arial Narrow" w:hAnsi="Arial Narrow"/>
          <w:sz w:val="18"/>
        </w:rPr>
        <w:t>Abbreviations: CI, confidence interval</w:t>
      </w:r>
    </w:p>
    <w:p w14:paraId="72E3E20F" w14:textId="77777777" w:rsidR="00ED3393" w:rsidRPr="0030545D" w:rsidRDefault="00ED3393" w:rsidP="00ED3393">
      <w:pPr>
        <w:rPr>
          <w:rFonts w:ascii="Arial Narrow" w:hAnsi="Arial Narrow"/>
          <w:sz w:val="18"/>
        </w:rPr>
      </w:pPr>
      <w:r w:rsidRPr="0030545D">
        <w:rPr>
          <w:rFonts w:ascii="Arial Narrow" w:hAnsi="Arial Narrow"/>
          <w:sz w:val="18"/>
        </w:rPr>
        <w:t xml:space="preserve">Note: Odds ratios &gt; 1 and risk difference &lt; 0 favour deutetrabenazine </w:t>
      </w:r>
    </w:p>
    <w:p w14:paraId="2B645395" w14:textId="77777777" w:rsidR="00ED3393" w:rsidRPr="00C14F95" w:rsidRDefault="00ED3393" w:rsidP="00C14F95">
      <w:pPr>
        <w:spacing w:after="120"/>
        <w:rPr>
          <w:rFonts w:ascii="Arial Narrow" w:hAnsi="Arial Narrow"/>
          <w:sz w:val="18"/>
        </w:rPr>
      </w:pPr>
      <w:r w:rsidRPr="0030545D">
        <w:rPr>
          <w:rFonts w:ascii="Arial Narrow" w:hAnsi="Arial Narrow"/>
          <w:sz w:val="18"/>
        </w:rPr>
        <w:t>Note: Bolded values</w:t>
      </w:r>
      <w:r w:rsidR="00C14F95">
        <w:rPr>
          <w:rFonts w:ascii="Arial Narrow" w:hAnsi="Arial Narrow"/>
          <w:sz w:val="18"/>
        </w:rPr>
        <w:t xml:space="preserve"> indicate results with p &lt; 0.05</w:t>
      </w:r>
    </w:p>
    <w:p w14:paraId="42E757F7" w14:textId="77777777" w:rsidR="008F7ED3" w:rsidRPr="0030545D" w:rsidRDefault="00ED3393" w:rsidP="00ED3393">
      <w:pPr>
        <w:pStyle w:val="ExecSumBodyText"/>
      </w:pPr>
      <w:r w:rsidRPr="0030545D">
        <w:t xml:space="preserve">Treatment with deutetrabenazine was consistently associated with reduced adverse events compared to tetrabenazine in both the Rodrigues 2017 and Claassen 2017 indirect analyses but the statistical significance of the results varied by use of relative or absolute risk measures. </w:t>
      </w:r>
      <w:r w:rsidR="00796FD1" w:rsidRPr="0030545D">
        <w:t xml:space="preserve">Overall, deutetrabenazine may have a tolerability advantage compared to tetrabenazine in the first-line setting although the robustness of this result is uncertain. </w:t>
      </w:r>
      <w:r w:rsidRPr="0030545D">
        <w:t>The PSCR argued the evidence presented demonstrated tetrabenazine has a worse safety profile compared to deutetrabenazine. The ESC considered that it may be reasonable to conclude that deutetrabenazine has a tolerability advantage over tetrabenazine</w:t>
      </w:r>
      <w:r w:rsidR="00E46F76" w:rsidRPr="0030545D">
        <w:t xml:space="preserve"> (</w:t>
      </w:r>
      <w:r w:rsidR="00790D5A" w:rsidRPr="0030545D">
        <w:t>noting</w:t>
      </w:r>
      <w:r w:rsidR="00E46F76" w:rsidRPr="0030545D">
        <w:t xml:space="preserve"> no evidence of greater effectiveness was presented)</w:t>
      </w:r>
      <w:r w:rsidRPr="0030545D">
        <w:t xml:space="preserve">, however the robustness of the results was uncertain. </w:t>
      </w:r>
    </w:p>
    <w:p w14:paraId="40267A98" w14:textId="77777777" w:rsidR="00E745E1" w:rsidRPr="0030545D" w:rsidRDefault="00E745E1" w:rsidP="00E745E1">
      <w:pPr>
        <w:pStyle w:val="ExecSumBodyText"/>
      </w:pPr>
      <w:r w:rsidRPr="0030545D">
        <w:t>The extended assessment of harms did not adequately address the safety concerns associated with tetrabenazine (a pharmacological analogue of deutetrabenazine) and the broader class of VMAT-2 inhibitors.</w:t>
      </w:r>
    </w:p>
    <w:p w14:paraId="1F39E739" w14:textId="77777777" w:rsidR="007F1017" w:rsidRPr="0030545D" w:rsidRDefault="007F1017" w:rsidP="00D86231">
      <w:pPr>
        <w:pStyle w:val="3-SubsectionHeading"/>
      </w:pPr>
      <w:bookmarkStart w:id="18" w:name="_Toc22897643"/>
      <w:bookmarkStart w:id="19" w:name="_Toc61940995"/>
      <w:r w:rsidRPr="0030545D">
        <w:t>Benefits/harms</w:t>
      </w:r>
      <w:bookmarkEnd w:id="18"/>
      <w:bookmarkEnd w:id="19"/>
    </w:p>
    <w:p w14:paraId="0B682C8F" w14:textId="77777777" w:rsidR="00021F80" w:rsidRPr="0030545D" w:rsidRDefault="00021F80" w:rsidP="00021F80">
      <w:pPr>
        <w:pStyle w:val="ExecSumBodyText"/>
      </w:pPr>
      <w:r w:rsidRPr="0030545D">
        <w:t xml:space="preserve">On the basis of direct evidence presented in the submission, </w:t>
      </w:r>
      <w:r w:rsidR="00F235CB" w:rsidRPr="0030545D">
        <w:t xml:space="preserve">as a first-line treatment, </w:t>
      </w:r>
      <w:r w:rsidRPr="0030545D">
        <w:t>for every 100 patients treated with deutetrabenazine in comparison with</w:t>
      </w:r>
      <w:r w:rsidR="003B4869" w:rsidRPr="0030545D">
        <w:t xml:space="preserve"> placebo (no treatment)</w:t>
      </w:r>
      <w:r w:rsidRPr="0030545D">
        <w:t xml:space="preserve"> </w:t>
      </w:r>
      <w:r w:rsidR="00F426F5" w:rsidRPr="0030545D">
        <w:t>over 12 weeks</w:t>
      </w:r>
      <w:r w:rsidRPr="0030545D">
        <w:t>:</w:t>
      </w:r>
    </w:p>
    <w:p w14:paraId="36821BED" w14:textId="77777777" w:rsidR="00F426F5" w:rsidRPr="0030545D" w:rsidRDefault="00021F80" w:rsidP="00BB62AF">
      <w:pPr>
        <w:pStyle w:val="ExecSumBodyText"/>
        <w:numPr>
          <w:ilvl w:val="0"/>
          <w:numId w:val="6"/>
        </w:numPr>
        <w:ind w:left="1077" w:hanging="357"/>
      </w:pPr>
      <w:r w:rsidRPr="0030545D">
        <w:t xml:space="preserve">There would be </w:t>
      </w:r>
      <w:r w:rsidR="00F426F5" w:rsidRPr="0030545D">
        <w:t>30 additional patients who experience a reduction in chorea symptoms (based on patient global impression and physician global impression)</w:t>
      </w:r>
      <w:r w:rsidR="00327FC3" w:rsidRPr="0030545D">
        <w:t>.</w:t>
      </w:r>
    </w:p>
    <w:p w14:paraId="387632DB" w14:textId="77777777" w:rsidR="00FC1884" w:rsidRPr="0030545D" w:rsidRDefault="00B97018" w:rsidP="00BB62AF">
      <w:pPr>
        <w:pStyle w:val="ExecSumBodyText"/>
        <w:numPr>
          <w:ilvl w:val="0"/>
          <w:numId w:val="6"/>
        </w:numPr>
        <w:ind w:left="1077" w:hanging="357"/>
      </w:pPr>
      <w:r w:rsidRPr="0030545D">
        <w:t>There would be 15 additional patients who experience treatment-related adverse events (predominantly somnolence, dry mouth and fatigue)</w:t>
      </w:r>
      <w:r w:rsidR="00327FC3" w:rsidRPr="0030545D">
        <w:rPr>
          <w:snapToGrid/>
        </w:rPr>
        <w:t>.</w:t>
      </w:r>
    </w:p>
    <w:p w14:paraId="2989DAA5" w14:textId="77777777" w:rsidR="00FF0C36" w:rsidRPr="0030545D" w:rsidRDefault="00FF0C36" w:rsidP="00FF0C36">
      <w:pPr>
        <w:pStyle w:val="3-SubsectionHeading"/>
      </w:pPr>
      <w:bookmarkStart w:id="20" w:name="_Toc22897644"/>
      <w:bookmarkStart w:id="21" w:name="_Toc61940996"/>
      <w:bookmarkStart w:id="22" w:name="_Toc22897645"/>
      <w:bookmarkStart w:id="23" w:name="_Toc61940997"/>
      <w:r w:rsidRPr="0030545D">
        <w:t>Clinical claim</w:t>
      </w:r>
      <w:bookmarkEnd w:id="20"/>
      <w:bookmarkEnd w:id="21"/>
    </w:p>
    <w:p w14:paraId="2895B2AD" w14:textId="77777777" w:rsidR="00FF0C36" w:rsidRPr="0030545D" w:rsidRDefault="00FF0C36" w:rsidP="00FF0C36">
      <w:pPr>
        <w:pStyle w:val="ExecSumBodyText"/>
        <w:rPr>
          <w:rFonts w:cstheme="minorHAnsi"/>
          <w:iCs/>
        </w:rPr>
      </w:pPr>
      <w:r w:rsidRPr="0030545D">
        <w:rPr>
          <w:rFonts w:cstheme="minorHAnsi"/>
          <w:color w:val="000000"/>
          <w:shd w:val="clear" w:color="auto" w:fill="FFFFFF"/>
        </w:rPr>
        <w:t>The submission described deutetrabenazine as superior in terms of effectiveness and non-inferior in terms of safety compared to placebo. </w:t>
      </w:r>
      <w:r w:rsidRPr="0030545D">
        <w:rPr>
          <w:rFonts w:cstheme="minorHAnsi"/>
          <w:iCs/>
          <w:color w:val="000000"/>
          <w:shd w:val="clear" w:color="auto" w:fill="FFFFFF"/>
        </w:rPr>
        <w:t>Based on the clinical trial evidence presented, this claim was reasonable in terms of comparative effectiveness in the first-line setting, although comparative effectiveness for the proposed PBS setting was not established. The safety claim was not adequately supported</w:t>
      </w:r>
      <w:r w:rsidRPr="0030545D">
        <w:rPr>
          <w:rFonts w:cstheme="minorHAnsi"/>
          <w:iCs/>
        </w:rPr>
        <w:t>. The evaluation considered the following issues should be considered:</w:t>
      </w:r>
    </w:p>
    <w:p w14:paraId="11F45C4F" w14:textId="77777777" w:rsidR="00FF0C36" w:rsidRPr="0030545D" w:rsidRDefault="00FF0C36" w:rsidP="00FF0C36">
      <w:pPr>
        <w:pStyle w:val="ExecSumBodyText"/>
        <w:numPr>
          <w:ilvl w:val="0"/>
          <w:numId w:val="6"/>
        </w:numPr>
        <w:ind w:left="1077" w:hanging="357"/>
        <w:rPr>
          <w:iCs/>
        </w:rPr>
      </w:pPr>
      <w:r w:rsidRPr="0030545D">
        <w:rPr>
          <w:iCs/>
        </w:rPr>
        <w:t>Whether the evidence from the first-line treatment setting (FIRST-HD) is applicable to the subsequent-line setting after prior failure of tetrabenazine particularly given that both treatments share the same mechanism of action (i.e. pharmacological analogues).</w:t>
      </w:r>
    </w:p>
    <w:p w14:paraId="668604C9" w14:textId="77777777" w:rsidR="00FF0C36" w:rsidRPr="0030545D" w:rsidRDefault="00FF0C36" w:rsidP="00FF0C36">
      <w:pPr>
        <w:pStyle w:val="ExecSumBodyText"/>
        <w:numPr>
          <w:ilvl w:val="0"/>
          <w:numId w:val="6"/>
        </w:numPr>
        <w:ind w:left="1077" w:hanging="357"/>
        <w:rPr>
          <w:iCs/>
        </w:rPr>
      </w:pPr>
      <w:r w:rsidRPr="0030545D">
        <w:rPr>
          <w:iCs/>
        </w:rPr>
        <w:t>Whether the evidence comparing deutetrabenazine to placebo is relevant to the Australian setting given that most patients failing first-line treatment continue to receive subsequent lines of active treatment.</w:t>
      </w:r>
    </w:p>
    <w:p w14:paraId="3E7274CD" w14:textId="77777777" w:rsidR="00FF0C36" w:rsidRPr="0030545D" w:rsidRDefault="00FF0C36" w:rsidP="00FF0C36">
      <w:pPr>
        <w:pStyle w:val="ExecSumBodyText"/>
        <w:numPr>
          <w:ilvl w:val="0"/>
          <w:numId w:val="6"/>
        </w:numPr>
        <w:ind w:left="1077" w:hanging="357"/>
        <w:rPr>
          <w:iCs/>
        </w:rPr>
      </w:pPr>
      <w:r w:rsidRPr="0030545D">
        <w:rPr>
          <w:iCs/>
        </w:rPr>
        <w:t xml:space="preserve">Whether the deutetrabenazine dosing regimen used in the clinical trial is representative of dosing used in the clinical practice (observational claims data suggest much lower doses in clinical practice). </w:t>
      </w:r>
    </w:p>
    <w:p w14:paraId="47F7B7E3" w14:textId="77777777" w:rsidR="00FF0C36" w:rsidRPr="0030545D" w:rsidRDefault="00FF0C36" w:rsidP="00FF0C36">
      <w:pPr>
        <w:pStyle w:val="ExecSumBodyText"/>
        <w:numPr>
          <w:ilvl w:val="0"/>
          <w:numId w:val="6"/>
        </w:numPr>
        <w:ind w:left="1077" w:hanging="357"/>
        <w:rPr>
          <w:iCs/>
        </w:rPr>
      </w:pPr>
      <w:r w:rsidRPr="0030545D">
        <w:rPr>
          <w:iCs/>
        </w:rPr>
        <w:t>Whether the treatment effect of deutetrabenazine can be maintained long-term without the need to escalate dosing over time (long-term results included 43% of patients using doses exceeding the proposed maximum dose).</w:t>
      </w:r>
    </w:p>
    <w:p w14:paraId="05564A06" w14:textId="77777777" w:rsidR="00FF0C36" w:rsidRPr="0030545D" w:rsidRDefault="00FF0C36" w:rsidP="00FF0C36">
      <w:pPr>
        <w:pStyle w:val="ExecSumBodyText"/>
        <w:numPr>
          <w:ilvl w:val="0"/>
          <w:numId w:val="6"/>
        </w:numPr>
        <w:ind w:left="1077" w:hanging="357"/>
        <w:rPr>
          <w:iCs/>
        </w:rPr>
      </w:pPr>
      <w:r w:rsidRPr="0030545D">
        <w:rPr>
          <w:iCs/>
        </w:rPr>
        <w:t>The long-term benefit of managing chorea symptoms given the progressive worsening of a wide range of symptoms associated with Huntington’s disease (initial improvements in TMS quickly deteriorated over time with the progression of other motor symptoms).</w:t>
      </w:r>
    </w:p>
    <w:p w14:paraId="5A627164" w14:textId="77777777" w:rsidR="00FF0C36" w:rsidRPr="0030545D" w:rsidRDefault="00FF0C36" w:rsidP="00FF0C36">
      <w:pPr>
        <w:pStyle w:val="ExecSumBodyText"/>
        <w:numPr>
          <w:ilvl w:val="0"/>
          <w:numId w:val="6"/>
        </w:numPr>
        <w:ind w:left="1077" w:hanging="357"/>
        <w:rPr>
          <w:iCs/>
        </w:rPr>
      </w:pPr>
      <w:r w:rsidRPr="0030545D">
        <w:rPr>
          <w:iCs/>
        </w:rPr>
        <w:t xml:space="preserve">Deutetrabenazine is associated with a higher risk of adverse events compared to placebo and belongs to a drug class (VMAT-2 inhibitors) that is known to be associated with the development or exacerbation of behavioural conditions. </w:t>
      </w:r>
    </w:p>
    <w:p w14:paraId="0DA4DF6D" w14:textId="77777777" w:rsidR="00FF0C36" w:rsidRPr="0030545D" w:rsidRDefault="00FF0C36" w:rsidP="00FF0C36">
      <w:pPr>
        <w:pStyle w:val="ExecSumBodyText"/>
        <w:rPr>
          <w:rFonts w:cstheme="minorHAnsi"/>
          <w:color w:val="000000"/>
          <w:shd w:val="clear" w:color="auto" w:fill="FFFFFF"/>
        </w:rPr>
      </w:pPr>
      <w:r w:rsidRPr="0030545D">
        <w:rPr>
          <w:rFonts w:cstheme="minorHAnsi"/>
          <w:color w:val="000000"/>
          <w:shd w:val="clear" w:color="auto" w:fill="FFFFFF"/>
        </w:rPr>
        <w:t>As mentioned at numerous points above, the ESC agreed that whilst a clinical claim of superior comparative effectiveness over placebo (as first line therapy or in patients who have perhaps been previously treated with and not failed tetrabenazine) may be reasonable, such a claim was neither applicable to the requested PBS population nor relevant to the clinical place it considered to be appropriate, as a first line alternative to tetrabenazine. The ESC maintained that the most appropriate clinical place for deutetrabenazine was as a first line treatment option with tetrabenazine as the primary comparator and a clinical claim should be based on that comparison.</w:t>
      </w:r>
    </w:p>
    <w:p w14:paraId="091C00C3" w14:textId="77777777" w:rsidR="00FF0C36" w:rsidRPr="0030545D" w:rsidRDefault="00FF0C36" w:rsidP="00FF0C36">
      <w:pPr>
        <w:pStyle w:val="ExecSumBodyText"/>
        <w:rPr>
          <w:iCs/>
        </w:rPr>
      </w:pPr>
      <w:r w:rsidRPr="0030545D">
        <w:rPr>
          <w:iCs/>
        </w:rPr>
        <w:t>The ESC agreed with the commentary and considered while there was substantial uncertainty in terms of the comparative safety claim in the requested PBS population versus placebo in tetrabenazine failure patients, it may be reasonable to conclude that deutetrabenazine has a tolerability advantage over tetrabenazine.</w:t>
      </w:r>
    </w:p>
    <w:p w14:paraId="1255FA1B" w14:textId="77777777" w:rsidR="00FF0C36" w:rsidRPr="0030545D" w:rsidRDefault="00FF0C36" w:rsidP="00FF0C36">
      <w:pPr>
        <w:pStyle w:val="ExecSumBodyText"/>
        <w:rPr>
          <w:iCs/>
        </w:rPr>
      </w:pPr>
      <w:r w:rsidRPr="0030545D">
        <w:rPr>
          <w:iCs/>
        </w:rPr>
        <w:t>The PBAC considered that the claim of superior comparative effectiveness to placebo was likely reasonable in the first-line setting, however considered the claim in the requested population as a subsequent line of therapy after tetrabenazine was not adequately supported.</w:t>
      </w:r>
    </w:p>
    <w:p w14:paraId="0768994E" w14:textId="77777777" w:rsidR="00FF0C36" w:rsidRPr="0030545D" w:rsidRDefault="00FF0C36" w:rsidP="00FF0C36">
      <w:pPr>
        <w:pStyle w:val="ExecSumBodyText"/>
        <w:rPr>
          <w:iCs/>
        </w:rPr>
      </w:pPr>
      <w:r w:rsidRPr="0030545D">
        <w:rPr>
          <w:iCs/>
        </w:rPr>
        <w:t>The PBAC considered that the claim of non-inferior comparative safety was not adequately supported.</w:t>
      </w:r>
    </w:p>
    <w:p w14:paraId="52CE015A" w14:textId="77777777" w:rsidR="009C54D2" w:rsidRPr="0030545D" w:rsidRDefault="00B60939" w:rsidP="009C54D2">
      <w:pPr>
        <w:pStyle w:val="3-SubsectionHeading"/>
      </w:pPr>
      <w:r w:rsidRPr="0030545D">
        <w:t>Economic analysis</w:t>
      </w:r>
      <w:bookmarkEnd w:id="22"/>
      <w:bookmarkEnd w:id="23"/>
      <w:r w:rsidR="00491B3A" w:rsidRPr="0030545D">
        <w:t xml:space="preserve"> </w:t>
      </w:r>
    </w:p>
    <w:p w14:paraId="4416C67E" w14:textId="77777777" w:rsidR="000505A5" w:rsidRPr="0030545D" w:rsidRDefault="000505A5" w:rsidP="005E4C66">
      <w:pPr>
        <w:pStyle w:val="ExecSumBodyText"/>
      </w:pPr>
      <w:r w:rsidRPr="0030545D">
        <w:t>The submission presented a modelled economic evaluation of deutetrabenazine compared to placebo for the treatment of chorea associated with Huntington’s disease. The economic evaluation was based on a direct randomised trial (FIRST-HD) with additional modelled data and was presented as a cost-utility analysis.</w:t>
      </w:r>
    </w:p>
    <w:p w14:paraId="38C99FB9" w14:textId="77777777" w:rsidR="009C54D2" w:rsidRPr="0030545D" w:rsidRDefault="005E4C66" w:rsidP="000505A5">
      <w:pPr>
        <w:pStyle w:val="ExecSumBodyText"/>
        <w:rPr>
          <w:b/>
          <w:bCs/>
        </w:rPr>
      </w:pPr>
      <w:r w:rsidRPr="0030545D">
        <w:t xml:space="preserve">The ESC </w:t>
      </w:r>
      <w:r w:rsidR="00CD12BB" w:rsidRPr="0030545D">
        <w:t>advis</w:t>
      </w:r>
      <w:r w:rsidRPr="0030545D">
        <w:t xml:space="preserve">ed the cost utility analysis </w:t>
      </w:r>
      <w:r w:rsidR="00CD12BB" w:rsidRPr="0030545D">
        <w:t>was</w:t>
      </w:r>
      <w:r w:rsidRPr="0030545D">
        <w:t xml:space="preserve"> uninformative for decision-making, as the requested clinical place of deutetrabenazine was inappropriate and </w:t>
      </w:r>
      <w:r w:rsidR="00D0323B" w:rsidRPr="0030545D">
        <w:t>the benefit in that population was</w:t>
      </w:r>
      <w:r w:rsidRPr="0030545D">
        <w:t xml:space="preserve"> </w:t>
      </w:r>
      <w:r w:rsidR="00D0323B" w:rsidRPr="0030545D">
        <w:t xml:space="preserve">not supported by the </w:t>
      </w:r>
      <w:r w:rsidRPr="0030545D">
        <w:t>clinical evidence (</w:t>
      </w:r>
      <w:r w:rsidR="00D0323B" w:rsidRPr="0030545D">
        <w:t>which is in largely tetrabenazine naïve patients</w:t>
      </w:r>
      <w:r w:rsidRPr="0030545D">
        <w:t xml:space="preserve">). The ESC noted the requested price was substantially higher than that of tetrabenazine and considered any future economic analysis should be based on use in a first line setting </w:t>
      </w:r>
      <w:r w:rsidR="00CD12BB" w:rsidRPr="0030545D">
        <w:t>comparing</w:t>
      </w:r>
      <w:r w:rsidRPr="0030545D">
        <w:t xml:space="preserve"> deutetrabenazine </w:t>
      </w:r>
      <w:r w:rsidR="00CD12BB" w:rsidRPr="0030545D">
        <w:t>to</w:t>
      </w:r>
      <w:r w:rsidRPr="0030545D">
        <w:t xml:space="preserve"> tetrabenazine either on a cost minimisation basis or a modelled cost utility basis, if the clinical evidence supports such an approach. Comments from the ESC on the economic model, as presented, are provided at the end of this section.</w:t>
      </w:r>
    </w:p>
    <w:p w14:paraId="2A014EC8" w14:textId="77777777" w:rsidR="009C54D2" w:rsidRPr="0030545D" w:rsidRDefault="009C54D2" w:rsidP="00A33828">
      <w:pPr>
        <w:pStyle w:val="Tableheadingrow"/>
        <w:rPr>
          <w:lang w:val="en-AU"/>
        </w:rPr>
      </w:pPr>
      <w:r w:rsidRPr="0030545D">
        <w:rPr>
          <w:lang w:val="en-AU"/>
        </w:rPr>
        <w:t xml:space="preserve">Table </w:t>
      </w:r>
      <w:r w:rsidR="00ED3393" w:rsidRPr="0030545D">
        <w:rPr>
          <w:lang w:val="en-AU"/>
        </w:rPr>
        <w:t>9</w:t>
      </w:r>
      <w:r w:rsidRPr="0030545D">
        <w:rPr>
          <w:lang w:val="en-AU"/>
        </w:rPr>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181"/>
      </w:tblGrid>
      <w:tr w:rsidR="009C54D2" w:rsidRPr="0030545D" w14:paraId="6F66E62A" w14:textId="77777777" w:rsidTr="00A33828">
        <w:trPr>
          <w:cantSplit/>
          <w:tblHeader/>
        </w:trPr>
        <w:tc>
          <w:tcPr>
            <w:tcW w:w="1017" w:type="pct"/>
            <w:shd w:val="clear" w:color="auto" w:fill="auto"/>
          </w:tcPr>
          <w:p w14:paraId="0F380894" w14:textId="77777777" w:rsidR="009C54D2" w:rsidRPr="0030545D" w:rsidRDefault="009C54D2" w:rsidP="00A33828">
            <w:pPr>
              <w:pStyle w:val="TableText"/>
              <w:rPr>
                <w:b/>
              </w:rPr>
            </w:pPr>
            <w:r w:rsidRPr="0030545D">
              <w:rPr>
                <w:b/>
              </w:rPr>
              <w:t xml:space="preserve">Component </w:t>
            </w:r>
          </w:p>
        </w:tc>
        <w:tc>
          <w:tcPr>
            <w:tcW w:w="3983" w:type="pct"/>
            <w:shd w:val="clear" w:color="auto" w:fill="auto"/>
          </w:tcPr>
          <w:p w14:paraId="73ADD8E6" w14:textId="77777777" w:rsidR="009C54D2" w:rsidRPr="0030545D" w:rsidRDefault="009C54D2" w:rsidP="00A33828">
            <w:pPr>
              <w:pStyle w:val="TableText"/>
              <w:rPr>
                <w:b/>
              </w:rPr>
            </w:pPr>
            <w:r w:rsidRPr="0030545D">
              <w:rPr>
                <w:b/>
              </w:rPr>
              <w:t>Description</w:t>
            </w:r>
          </w:p>
        </w:tc>
      </w:tr>
      <w:tr w:rsidR="009C54D2" w:rsidRPr="0030545D" w14:paraId="6B86AA32" w14:textId="77777777" w:rsidTr="00A33828">
        <w:trPr>
          <w:cantSplit/>
        </w:trPr>
        <w:tc>
          <w:tcPr>
            <w:tcW w:w="1017" w:type="pct"/>
            <w:shd w:val="clear" w:color="auto" w:fill="auto"/>
            <w:vAlign w:val="center"/>
          </w:tcPr>
          <w:p w14:paraId="5998C7C7" w14:textId="77777777" w:rsidR="009C54D2" w:rsidRPr="0030545D" w:rsidRDefault="009C54D2" w:rsidP="00A33828">
            <w:pPr>
              <w:pStyle w:val="TableText"/>
            </w:pPr>
            <w:r w:rsidRPr="0030545D">
              <w:t xml:space="preserve">Type of analysis </w:t>
            </w:r>
          </w:p>
        </w:tc>
        <w:tc>
          <w:tcPr>
            <w:tcW w:w="3983" w:type="pct"/>
            <w:shd w:val="clear" w:color="auto" w:fill="auto"/>
            <w:vAlign w:val="center"/>
          </w:tcPr>
          <w:p w14:paraId="5534F422" w14:textId="77777777" w:rsidR="009C54D2" w:rsidRPr="0030545D" w:rsidRDefault="009C54D2" w:rsidP="00A33828">
            <w:pPr>
              <w:pStyle w:val="TableText"/>
              <w:rPr>
                <w:rFonts w:ascii="Times" w:eastAsia="Times New Roman" w:hAnsi="Times" w:cs="Times New Roman"/>
                <w:szCs w:val="20"/>
              </w:rPr>
            </w:pPr>
            <w:r w:rsidRPr="0030545D">
              <w:t>Cost-utility analysis</w:t>
            </w:r>
          </w:p>
        </w:tc>
      </w:tr>
      <w:tr w:rsidR="009C54D2" w:rsidRPr="0030545D" w14:paraId="1C21F892" w14:textId="77777777" w:rsidTr="00A33828">
        <w:trPr>
          <w:cantSplit/>
        </w:trPr>
        <w:tc>
          <w:tcPr>
            <w:tcW w:w="1017" w:type="pct"/>
            <w:shd w:val="clear" w:color="auto" w:fill="auto"/>
            <w:vAlign w:val="center"/>
          </w:tcPr>
          <w:p w14:paraId="283C24F2" w14:textId="77777777" w:rsidR="009C54D2" w:rsidRPr="0030545D" w:rsidRDefault="009C54D2" w:rsidP="00A33828">
            <w:pPr>
              <w:pStyle w:val="TableText"/>
              <w:rPr>
                <w:rFonts w:ascii="Times" w:eastAsia="Times New Roman" w:hAnsi="Times" w:cs="Times New Roman"/>
                <w:szCs w:val="20"/>
              </w:rPr>
            </w:pPr>
            <w:r w:rsidRPr="0030545D">
              <w:t>Outcomes</w:t>
            </w:r>
          </w:p>
        </w:tc>
        <w:tc>
          <w:tcPr>
            <w:tcW w:w="3983" w:type="pct"/>
            <w:shd w:val="clear" w:color="auto" w:fill="auto"/>
            <w:vAlign w:val="center"/>
          </w:tcPr>
          <w:p w14:paraId="2662173B" w14:textId="77777777" w:rsidR="009C54D2" w:rsidRPr="0030545D" w:rsidRDefault="009C54D2" w:rsidP="00A33828">
            <w:pPr>
              <w:pStyle w:val="TableText"/>
            </w:pPr>
            <w:r w:rsidRPr="0030545D">
              <w:t>Quality adjusted life years</w:t>
            </w:r>
          </w:p>
        </w:tc>
      </w:tr>
      <w:tr w:rsidR="009C54D2" w:rsidRPr="0030545D" w14:paraId="7EB9C3A3" w14:textId="77777777" w:rsidTr="00A33828">
        <w:trPr>
          <w:cantSplit/>
        </w:trPr>
        <w:tc>
          <w:tcPr>
            <w:tcW w:w="1017" w:type="pct"/>
            <w:shd w:val="clear" w:color="auto" w:fill="auto"/>
            <w:vAlign w:val="center"/>
          </w:tcPr>
          <w:p w14:paraId="5E49AD1D" w14:textId="77777777" w:rsidR="009C54D2" w:rsidRPr="0030545D" w:rsidRDefault="009C54D2" w:rsidP="00A33828">
            <w:pPr>
              <w:pStyle w:val="TableText"/>
              <w:rPr>
                <w:rFonts w:ascii="Times" w:eastAsia="Times New Roman" w:hAnsi="Times" w:cs="Times New Roman"/>
                <w:szCs w:val="20"/>
              </w:rPr>
            </w:pPr>
            <w:r w:rsidRPr="0030545D">
              <w:t>Time horizon</w:t>
            </w:r>
          </w:p>
        </w:tc>
        <w:tc>
          <w:tcPr>
            <w:tcW w:w="3983" w:type="pct"/>
            <w:shd w:val="clear" w:color="auto" w:fill="auto"/>
            <w:vAlign w:val="center"/>
          </w:tcPr>
          <w:p w14:paraId="4B831497" w14:textId="77777777" w:rsidR="009C54D2" w:rsidRPr="0030545D" w:rsidRDefault="009C54D2" w:rsidP="00A33828">
            <w:pPr>
              <w:pStyle w:val="TableText"/>
              <w:rPr>
                <w:rFonts w:ascii="Times" w:eastAsia="Times New Roman" w:hAnsi="Times" w:cs="Times New Roman"/>
                <w:szCs w:val="20"/>
              </w:rPr>
            </w:pPr>
            <w:r w:rsidRPr="0030545D">
              <w:t>10 years</w:t>
            </w:r>
          </w:p>
        </w:tc>
      </w:tr>
      <w:tr w:rsidR="009C54D2" w:rsidRPr="0030545D" w14:paraId="4B2BB275" w14:textId="77777777" w:rsidTr="00A33828">
        <w:trPr>
          <w:cantSplit/>
        </w:trPr>
        <w:tc>
          <w:tcPr>
            <w:tcW w:w="1017" w:type="pct"/>
            <w:shd w:val="clear" w:color="auto" w:fill="auto"/>
            <w:vAlign w:val="center"/>
          </w:tcPr>
          <w:p w14:paraId="37933BCD" w14:textId="77777777" w:rsidR="009C54D2" w:rsidRPr="0030545D" w:rsidRDefault="009C54D2" w:rsidP="00A33828">
            <w:pPr>
              <w:pStyle w:val="TableText"/>
              <w:rPr>
                <w:rFonts w:ascii="Times" w:eastAsia="Times New Roman" w:hAnsi="Times" w:cs="Times New Roman"/>
                <w:szCs w:val="20"/>
              </w:rPr>
            </w:pPr>
            <w:r w:rsidRPr="0030545D">
              <w:t>Methods used to generate results</w:t>
            </w:r>
          </w:p>
        </w:tc>
        <w:tc>
          <w:tcPr>
            <w:tcW w:w="3983" w:type="pct"/>
            <w:shd w:val="clear" w:color="auto" w:fill="auto"/>
            <w:vAlign w:val="center"/>
          </w:tcPr>
          <w:p w14:paraId="2669FD6B" w14:textId="77777777" w:rsidR="009C54D2" w:rsidRPr="0030545D" w:rsidRDefault="009C54D2" w:rsidP="00A33828">
            <w:pPr>
              <w:pStyle w:val="TableText"/>
            </w:pPr>
            <w:r w:rsidRPr="0030545D">
              <w:t>Decision tree (first 12 weeks) linked with a Markov cohort model</w:t>
            </w:r>
          </w:p>
        </w:tc>
      </w:tr>
      <w:tr w:rsidR="009C54D2" w:rsidRPr="0030545D" w14:paraId="1CBAD1D3" w14:textId="77777777" w:rsidTr="00A33828">
        <w:trPr>
          <w:cantSplit/>
        </w:trPr>
        <w:tc>
          <w:tcPr>
            <w:tcW w:w="1017" w:type="pct"/>
            <w:shd w:val="clear" w:color="auto" w:fill="auto"/>
            <w:vAlign w:val="center"/>
          </w:tcPr>
          <w:p w14:paraId="666A225F" w14:textId="77777777" w:rsidR="009C54D2" w:rsidRPr="0030545D" w:rsidRDefault="009C54D2" w:rsidP="00A33828">
            <w:pPr>
              <w:pStyle w:val="TableText"/>
            </w:pPr>
            <w:r w:rsidRPr="0030545D">
              <w:t>Treatments</w:t>
            </w:r>
          </w:p>
        </w:tc>
        <w:tc>
          <w:tcPr>
            <w:tcW w:w="3983" w:type="pct"/>
            <w:shd w:val="clear" w:color="auto" w:fill="auto"/>
            <w:vAlign w:val="center"/>
          </w:tcPr>
          <w:p w14:paraId="10B5779F" w14:textId="77777777" w:rsidR="009C54D2" w:rsidRPr="0030545D" w:rsidRDefault="009C54D2" w:rsidP="00A33828">
            <w:pPr>
              <w:pStyle w:val="TableText"/>
            </w:pPr>
            <w:r w:rsidRPr="0030545D">
              <w:t>Deutetrabenazine; placebo</w:t>
            </w:r>
          </w:p>
        </w:tc>
      </w:tr>
      <w:tr w:rsidR="009C54D2" w:rsidRPr="0030545D" w14:paraId="6FDAD8F7" w14:textId="77777777" w:rsidTr="00A33828">
        <w:trPr>
          <w:cantSplit/>
        </w:trPr>
        <w:tc>
          <w:tcPr>
            <w:tcW w:w="1017" w:type="pct"/>
            <w:shd w:val="clear" w:color="auto" w:fill="auto"/>
            <w:vAlign w:val="center"/>
          </w:tcPr>
          <w:p w14:paraId="461054EF" w14:textId="77777777" w:rsidR="009C54D2" w:rsidRPr="0030545D" w:rsidRDefault="009C54D2" w:rsidP="00A33828">
            <w:pPr>
              <w:pStyle w:val="TableText"/>
              <w:rPr>
                <w:rFonts w:ascii="Times" w:eastAsia="Times New Roman" w:hAnsi="Times" w:cs="Times New Roman"/>
                <w:szCs w:val="20"/>
              </w:rPr>
            </w:pPr>
            <w:r w:rsidRPr="0030545D">
              <w:t>Health states</w:t>
            </w:r>
          </w:p>
        </w:tc>
        <w:tc>
          <w:tcPr>
            <w:tcW w:w="3983" w:type="pct"/>
            <w:shd w:val="clear" w:color="auto" w:fill="auto"/>
            <w:vAlign w:val="center"/>
          </w:tcPr>
          <w:p w14:paraId="7B972106" w14:textId="77777777" w:rsidR="009C54D2" w:rsidRPr="0030545D" w:rsidRDefault="009C54D2" w:rsidP="00A33828">
            <w:pPr>
              <w:pStyle w:val="TableText"/>
            </w:pPr>
            <w:r w:rsidRPr="0030545D">
              <w:t>Three health states: improved chorea, chorea, dead</w:t>
            </w:r>
          </w:p>
        </w:tc>
      </w:tr>
      <w:tr w:rsidR="009C54D2" w:rsidRPr="0030545D" w14:paraId="3E719033" w14:textId="77777777" w:rsidTr="00A33828">
        <w:trPr>
          <w:cantSplit/>
        </w:trPr>
        <w:tc>
          <w:tcPr>
            <w:tcW w:w="1017" w:type="pct"/>
            <w:shd w:val="clear" w:color="auto" w:fill="auto"/>
            <w:vAlign w:val="center"/>
          </w:tcPr>
          <w:p w14:paraId="39C26A40" w14:textId="77777777" w:rsidR="009C54D2" w:rsidRPr="0030545D" w:rsidRDefault="009C54D2" w:rsidP="00A33828">
            <w:pPr>
              <w:pStyle w:val="TableText"/>
              <w:rPr>
                <w:rFonts w:ascii="Times" w:eastAsia="Times New Roman" w:hAnsi="Times" w:cs="Times New Roman"/>
                <w:szCs w:val="20"/>
              </w:rPr>
            </w:pPr>
            <w:r w:rsidRPr="0030545D">
              <w:t>Cycle length</w:t>
            </w:r>
          </w:p>
        </w:tc>
        <w:tc>
          <w:tcPr>
            <w:tcW w:w="3983" w:type="pct"/>
            <w:shd w:val="clear" w:color="auto" w:fill="auto"/>
            <w:vAlign w:val="center"/>
          </w:tcPr>
          <w:p w14:paraId="7272F017" w14:textId="77777777" w:rsidR="009C54D2" w:rsidRPr="0030545D" w:rsidRDefault="009C54D2" w:rsidP="00A33828">
            <w:pPr>
              <w:pStyle w:val="TableText"/>
            </w:pPr>
            <w:r w:rsidRPr="0030545D">
              <w:t>12 weeks first cycle, 4 weeks subsequent cycles</w:t>
            </w:r>
          </w:p>
        </w:tc>
      </w:tr>
      <w:tr w:rsidR="004F6DC3" w:rsidRPr="0030545D" w14:paraId="39C6327F" w14:textId="77777777" w:rsidTr="00A33828">
        <w:trPr>
          <w:cantSplit/>
        </w:trPr>
        <w:tc>
          <w:tcPr>
            <w:tcW w:w="1017" w:type="pct"/>
            <w:shd w:val="clear" w:color="auto" w:fill="auto"/>
            <w:vAlign w:val="center"/>
          </w:tcPr>
          <w:p w14:paraId="25B5D975" w14:textId="77777777" w:rsidR="004F6DC3" w:rsidRPr="0030545D" w:rsidRDefault="004F6DC3" w:rsidP="00A33828">
            <w:pPr>
              <w:pStyle w:val="TableText"/>
            </w:pPr>
            <w:r w:rsidRPr="0030545D">
              <w:t>Patient characteristics</w:t>
            </w:r>
          </w:p>
        </w:tc>
        <w:tc>
          <w:tcPr>
            <w:tcW w:w="3983" w:type="pct"/>
            <w:shd w:val="clear" w:color="auto" w:fill="auto"/>
            <w:vAlign w:val="center"/>
          </w:tcPr>
          <w:p w14:paraId="4C642AAE" w14:textId="77777777" w:rsidR="004F6DC3" w:rsidRPr="0030545D" w:rsidRDefault="004F6DC3" w:rsidP="00A33828">
            <w:pPr>
              <w:pStyle w:val="TableText"/>
            </w:pPr>
            <w:r w:rsidRPr="0030545D">
              <w:t>Age and gender distribution were based on the FIRST-HD trial. The submission assumed that patient and treatment characteristics from the FIRST-HD trial would be broadly representative of the target PBS population.</w:t>
            </w:r>
          </w:p>
        </w:tc>
      </w:tr>
      <w:tr w:rsidR="009C54D2" w:rsidRPr="0030545D" w14:paraId="58081EEF" w14:textId="77777777" w:rsidTr="00A33828">
        <w:trPr>
          <w:cantSplit/>
        </w:trPr>
        <w:tc>
          <w:tcPr>
            <w:tcW w:w="1017" w:type="pct"/>
            <w:shd w:val="clear" w:color="auto" w:fill="auto"/>
            <w:vAlign w:val="center"/>
          </w:tcPr>
          <w:p w14:paraId="038C1173" w14:textId="77777777" w:rsidR="009C54D2" w:rsidRPr="0030545D" w:rsidRDefault="009C54D2" w:rsidP="009C54D2">
            <w:pPr>
              <w:pStyle w:val="TableText"/>
              <w:keepNext w:val="0"/>
            </w:pPr>
            <w:r w:rsidRPr="0030545D">
              <w:t xml:space="preserve">Transition probabilities </w:t>
            </w:r>
          </w:p>
        </w:tc>
        <w:tc>
          <w:tcPr>
            <w:tcW w:w="3983" w:type="pct"/>
            <w:shd w:val="clear" w:color="auto" w:fill="auto"/>
            <w:vAlign w:val="center"/>
          </w:tcPr>
          <w:p w14:paraId="2F861E0D" w14:textId="77777777" w:rsidR="009C54D2" w:rsidRPr="0030545D" w:rsidRDefault="009C54D2" w:rsidP="009C54D2">
            <w:pPr>
              <w:pStyle w:val="TableText"/>
              <w:keepNext w:val="0"/>
              <w:widowControl w:val="0"/>
              <w:rPr>
                <w:szCs w:val="20"/>
              </w:rPr>
            </w:pPr>
            <w:r w:rsidRPr="0030545D">
              <w:rPr>
                <w:szCs w:val="20"/>
              </w:rPr>
              <w:t xml:space="preserve">Transition probabilities for improved chorea and chorea were based on the proportion of responders in each treatment arm from the FIRST-HD trial. It was assumed that all non-responders in the deutetrabenazine arm cease treatment after 12 weeks while all responders maintain treatment benefits for up to 10 years while on treatment. All patients in the placebo arm were assumed to be non-responders after 12 weeks. It was also assumed that results from the first-line setting are generalisable to all treatment settings. </w:t>
            </w:r>
          </w:p>
          <w:p w14:paraId="473BB82E" w14:textId="77777777" w:rsidR="009C54D2" w:rsidRPr="0030545D" w:rsidRDefault="009C54D2" w:rsidP="009C54D2">
            <w:pPr>
              <w:pStyle w:val="TableText"/>
              <w:keepNext w:val="0"/>
              <w:widowControl w:val="0"/>
              <w:rPr>
                <w:szCs w:val="20"/>
              </w:rPr>
            </w:pPr>
          </w:p>
          <w:p w14:paraId="5915A649" w14:textId="77777777" w:rsidR="009C54D2" w:rsidRPr="0030545D" w:rsidRDefault="009C54D2" w:rsidP="009C54D2">
            <w:pPr>
              <w:pStyle w:val="TableText"/>
              <w:keepNext w:val="0"/>
              <w:widowControl w:val="0"/>
              <w:rPr>
                <w:szCs w:val="20"/>
              </w:rPr>
            </w:pPr>
            <w:r w:rsidRPr="0030545D">
              <w:rPr>
                <w:szCs w:val="20"/>
              </w:rPr>
              <w:t>The probability of treatment discontinuation</w:t>
            </w:r>
            <w:r w:rsidR="00993AF4" w:rsidRPr="0030545D">
              <w:rPr>
                <w:szCs w:val="20"/>
              </w:rPr>
              <w:t xml:space="preserve"> (1.1% every 4 weeks)</w:t>
            </w:r>
            <w:r w:rsidRPr="0030545D">
              <w:rPr>
                <w:szCs w:val="20"/>
              </w:rPr>
              <w:t xml:space="preserve"> was derived</w:t>
            </w:r>
            <w:r w:rsidR="004F6DC3" w:rsidRPr="0030545D">
              <w:rPr>
                <w:szCs w:val="20"/>
              </w:rPr>
              <w:t xml:space="preserve"> from the ARC-HD-ROLLOVER cohort</w:t>
            </w:r>
            <w:r w:rsidRPr="0030545D">
              <w:rPr>
                <w:szCs w:val="20"/>
              </w:rPr>
              <w:t xml:space="preserve">. </w:t>
            </w:r>
          </w:p>
          <w:p w14:paraId="2E9915BD" w14:textId="77777777" w:rsidR="009C54D2" w:rsidRPr="0030545D" w:rsidRDefault="009C54D2" w:rsidP="009C54D2">
            <w:pPr>
              <w:pStyle w:val="TableText"/>
              <w:keepNext w:val="0"/>
              <w:widowControl w:val="0"/>
              <w:rPr>
                <w:szCs w:val="20"/>
              </w:rPr>
            </w:pPr>
          </w:p>
          <w:p w14:paraId="41E3B79F" w14:textId="77777777" w:rsidR="009C54D2" w:rsidRPr="0030545D" w:rsidRDefault="009C54D2" w:rsidP="009C54D2">
            <w:pPr>
              <w:pStyle w:val="TableText"/>
              <w:keepNext w:val="0"/>
              <w:widowControl w:val="0"/>
              <w:rPr>
                <w:szCs w:val="20"/>
              </w:rPr>
            </w:pPr>
            <w:r w:rsidRPr="0030545D">
              <w:rPr>
                <w:szCs w:val="20"/>
              </w:rPr>
              <w:t>Transition probabilities for death were based on Australian life tables adjusted using a standardised mortality ratio for Huntington’s disease (Hille 1999)</w:t>
            </w:r>
            <w:r w:rsidR="00EB21DC" w:rsidRPr="0030545D">
              <w:rPr>
                <w:szCs w:val="20"/>
              </w:rPr>
              <w:t>.</w:t>
            </w:r>
          </w:p>
        </w:tc>
      </w:tr>
      <w:tr w:rsidR="009C54D2" w:rsidRPr="0030545D" w14:paraId="399C35BA" w14:textId="77777777" w:rsidTr="00A33828">
        <w:trPr>
          <w:cantSplit/>
        </w:trPr>
        <w:tc>
          <w:tcPr>
            <w:tcW w:w="1017" w:type="pct"/>
            <w:shd w:val="clear" w:color="auto" w:fill="auto"/>
            <w:vAlign w:val="center"/>
          </w:tcPr>
          <w:p w14:paraId="4A979E4D" w14:textId="77777777" w:rsidR="009C54D2" w:rsidRPr="0030545D" w:rsidRDefault="009C54D2" w:rsidP="009C54D2">
            <w:pPr>
              <w:pStyle w:val="TableText"/>
              <w:keepNext w:val="0"/>
            </w:pPr>
            <w:r w:rsidRPr="0030545D">
              <w:t>Utility values</w:t>
            </w:r>
          </w:p>
        </w:tc>
        <w:tc>
          <w:tcPr>
            <w:tcW w:w="3983" w:type="pct"/>
            <w:shd w:val="clear" w:color="auto" w:fill="auto"/>
            <w:vAlign w:val="center"/>
          </w:tcPr>
          <w:p w14:paraId="35A0C3E5" w14:textId="77777777" w:rsidR="009C54D2" w:rsidRPr="0030545D" w:rsidRDefault="009C54D2" w:rsidP="009C54D2">
            <w:pPr>
              <w:pStyle w:val="TableText"/>
              <w:widowControl w:val="0"/>
              <w:rPr>
                <w:szCs w:val="20"/>
              </w:rPr>
            </w:pPr>
            <w:r w:rsidRPr="0030545D">
              <w:rPr>
                <w:szCs w:val="20"/>
              </w:rPr>
              <w:t>Utility values for the improved chorea and chorea health states were based on a sponsor-commission TTO study in the US general population using health state vignettes with varying chorea severity (Attachment 7 of the submission).</w:t>
            </w:r>
          </w:p>
          <w:p w14:paraId="7387EC73" w14:textId="77777777" w:rsidR="009C54D2" w:rsidRPr="0030545D" w:rsidRDefault="009C54D2" w:rsidP="009C54D2">
            <w:pPr>
              <w:pStyle w:val="TableText"/>
              <w:widowControl w:val="0"/>
              <w:rPr>
                <w:szCs w:val="20"/>
              </w:rPr>
            </w:pPr>
          </w:p>
          <w:p w14:paraId="4086E3D3" w14:textId="77777777" w:rsidR="009C54D2" w:rsidRPr="0030545D" w:rsidRDefault="009C54D2" w:rsidP="009C54D2">
            <w:pPr>
              <w:pStyle w:val="TableText"/>
              <w:widowControl w:val="0"/>
              <w:rPr>
                <w:szCs w:val="20"/>
              </w:rPr>
            </w:pPr>
            <w:r w:rsidRPr="0030545D">
              <w:rPr>
                <w:szCs w:val="20"/>
              </w:rPr>
              <w:t>The estimated TTO utility values were mapped to the improved chorea health state based on the relative proportion of responders achieving a 3-6 point reduction (assumed to have mild-to-moderate symptoms) or &gt; 6 point reduction (assumed to have mild symptoms) in TMC scores from baseline for each treatment arm in the FIRST-HD trial. Estimated TTO utility values were mapped to the chorea health state assuming that patients have moderate to severe chorea symptoms.</w:t>
            </w:r>
          </w:p>
          <w:p w14:paraId="11DEECCC" w14:textId="77777777" w:rsidR="00570236" w:rsidRPr="0030545D" w:rsidRDefault="00570236" w:rsidP="009C54D2">
            <w:pPr>
              <w:pStyle w:val="TableText"/>
              <w:widowControl w:val="0"/>
              <w:rPr>
                <w:szCs w:val="20"/>
              </w:rPr>
            </w:pPr>
          </w:p>
          <w:p w14:paraId="302F0B1A" w14:textId="77777777" w:rsidR="00570236" w:rsidRPr="0030545D" w:rsidRDefault="00570236" w:rsidP="009C54D2">
            <w:pPr>
              <w:pStyle w:val="TableText"/>
              <w:widowControl w:val="0"/>
              <w:rPr>
                <w:szCs w:val="20"/>
              </w:rPr>
            </w:pPr>
            <w:r w:rsidRPr="0030545D">
              <w:rPr>
                <w:szCs w:val="20"/>
              </w:rPr>
              <w:t>Deutetrabenazine improved chorea health state: 0.555</w:t>
            </w:r>
          </w:p>
          <w:p w14:paraId="17C9B8BE" w14:textId="77777777" w:rsidR="00570236" w:rsidRPr="0030545D" w:rsidRDefault="00570236" w:rsidP="009C54D2">
            <w:pPr>
              <w:pStyle w:val="TableText"/>
              <w:widowControl w:val="0"/>
              <w:rPr>
                <w:szCs w:val="20"/>
              </w:rPr>
            </w:pPr>
            <w:r w:rsidRPr="0030545D">
              <w:rPr>
                <w:szCs w:val="20"/>
              </w:rPr>
              <w:t>Placebo improved chorea health state: 0.489</w:t>
            </w:r>
          </w:p>
          <w:p w14:paraId="30C111C3" w14:textId="77777777" w:rsidR="00570236" w:rsidRPr="0030545D" w:rsidRDefault="00570236" w:rsidP="009C54D2">
            <w:pPr>
              <w:pStyle w:val="TableText"/>
              <w:widowControl w:val="0"/>
              <w:rPr>
                <w:szCs w:val="20"/>
              </w:rPr>
            </w:pPr>
            <w:r w:rsidRPr="0030545D">
              <w:rPr>
                <w:szCs w:val="20"/>
              </w:rPr>
              <w:t>Chorea health state: 0.257</w:t>
            </w:r>
          </w:p>
          <w:p w14:paraId="79D33D47" w14:textId="77777777" w:rsidR="009C54D2" w:rsidRPr="0030545D" w:rsidRDefault="009C54D2" w:rsidP="009C54D2">
            <w:pPr>
              <w:pStyle w:val="TableText"/>
              <w:widowControl w:val="0"/>
              <w:rPr>
                <w:szCs w:val="20"/>
              </w:rPr>
            </w:pPr>
          </w:p>
          <w:p w14:paraId="37E2CC06" w14:textId="77777777" w:rsidR="009C54D2" w:rsidRPr="0030545D" w:rsidRDefault="009C54D2" w:rsidP="009C54D2">
            <w:pPr>
              <w:pStyle w:val="TableText"/>
              <w:widowControl w:val="0"/>
              <w:rPr>
                <w:szCs w:val="20"/>
              </w:rPr>
            </w:pPr>
            <w:r w:rsidRPr="0030545D">
              <w:rPr>
                <w:szCs w:val="20"/>
              </w:rPr>
              <w:t>The disutility associated with the progression of disease over time</w:t>
            </w:r>
            <w:r w:rsidR="00570236" w:rsidRPr="0030545D">
              <w:rPr>
                <w:szCs w:val="20"/>
              </w:rPr>
              <w:t xml:space="preserve"> (-0.0023 per year)</w:t>
            </w:r>
            <w:r w:rsidRPr="0030545D">
              <w:rPr>
                <w:szCs w:val="20"/>
              </w:rPr>
              <w:t xml:space="preserve"> was estimated based on a published study of SF-6D utility values in Huntington’s disease patients (Hawton 2019).</w:t>
            </w:r>
          </w:p>
          <w:p w14:paraId="12B9C625" w14:textId="77777777" w:rsidR="009C54D2" w:rsidRPr="0030545D" w:rsidRDefault="009C54D2" w:rsidP="009C54D2">
            <w:pPr>
              <w:pStyle w:val="TableText"/>
              <w:widowControl w:val="0"/>
              <w:rPr>
                <w:szCs w:val="20"/>
              </w:rPr>
            </w:pPr>
          </w:p>
          <w:p w14:paraId="7BF32340" w14:textId="77777777" w:rsidR="009C54D2" w:rsidRPr="0030545D" w:rsidRDefault="000033E7" w:rsidP="009C54D2">
            <w:pPr>
              <w:pStyle w:val="TableText"/>
              <w:keepNext w:val="0"/>
              <w:widowControl w:val="0"/>
              <w:rPr>
                <w:szCs w:val="20"/>
              </w:rPr>
            </w:pPr>
            <w:r w:rsidRPr="0030545D">
              <w:rPr>
                <w:rFonts w:eastAsia="Calibri"/>
              </w:rPr>
              <w:t>Adverse event disutility values</w:t>
            </w:r>
            <w:r w:rsidR="00570236" w:rsidRPr="0030545D">
              <w:rPr>
                <w:rFonts w:eastAsia="Calibri"/>
              </w:rPr>
              <w:t xml:space="preserve"> (-0.05 per event)</w:t>
            </w:r>
            <w:r w:rsidRPr="0030545D">
              <w:rPr>
                <w:rFonts w:eastAsia="Calibri"/>
              </w:rPr>
              <w:t xml:space="preserve"> were based on an assumption. Adverse event disutilities were applied as a once-off decrement in the first 12 weeks of treatment to the combined </w:t>
            </w:r>
            <w:r w:rsidRPr="0030545D">
              <w:t>incidence of the most frequent events in the FIRST-HD trial.</w:t>
            </w:r>
          </w:p>
        </w:tc>
      </w:tr>
      <w:tr w:rsidR="009C54D2" w:rsidRPr="0030545D" w14:paraId="789B8E52" w14:textId="77777777" w:rsidTr="00A33828">
        <w:trPr>
          <w:cantSplit/>
        </w:trPr>
        <w:tc>
          <w:tcPr>
            <w:tcW w:w="1017" w:type="pct"/>
            <w:shd w:val="clear" w:color="auto" w:fill="auto"/>
            <w:vAlign w:val="center"/>
          </w:tcPr>
          <w:p w14:paraId="38C5F491" w14:textId="77777777" w:rsidR="009C54D2" w:rsidRPr="0030545D" w:rsidRDefault="009C54D2" w:rsidP="009C54D2">
            <w:pPr>
              <w:pStyle w:val="TableText"/>
              <w:keepNext w:val="0"/>
            </w:pPr>
            <w:r w:rsidRPr="0030545D">
              <w:t>Costs</w:t>
            </w:r>
          </w:p>
        </w:tc>
        <w:tc>
          <w:tcPr>
            <w:tcW w:w="3983" w:type="pct"/>
            <w:shd w:val="clear" w:color="auto" w:fill="auto"/>
            <w:vAlign w:val="center"/>
          </w:tcPr>
          <w:p w14:paraId="1D4429E8" w14:textId="77777777" w:rsidR="009C54D2" w:rsidRPr="0030545D" w:rsidRDefault="009C54D2" w:rsidP="009C54D2">
            <w:pPr>
              <w:pStyle w:val="TableText"/>
              <w:widowControl w:val="0"/>
              <w:rPr>
                <w:szCs w:val="20"/>
              </w:rPr>
            </w:pPr>
            <w:r w:rsidRPr="0030545D">
              <w:rPr>
                <w:szCs w:val="20"/>
              </w:rPr>
              <w:t>Drug costs were estimated based on the titration algorithm and average daily dose from the FIRST-HD trial. The distribution of use across dose strengths was back-calculated to achieve the average daily dose from the FIRST-HD trial. Drug utilisation was valued using the proposed effective prices.</w:t>
            </w:r>
          </w:p>
          <w:p w14:paraId="5B086AD8" w14:textId="77777777" w:rsidR="009C54D2" w:rsidRPr="0030545D" w:rsidRDefault="009C54D2" w:rsidP="009C54D2">
            <w:pPr>
              <w:pStyle w:val="TableText"/>
              <w:widowControl w:val="0"/>
              <w:rPr>
                <w:szCs w:val="20"/>
              </w:rPr>
            </w:pPr>
          </w:p>
          <w:p w14:paraId="6CF7B7D5" w14:textId="77777777" w:rsidR="009C54D2" w:rsidRPr="0030545D" w:rsidRDefault="009C54D2" w:rsidP="009C54D2">
            <w:pPr>
              <w:pStyle w:val="TableText"/>
              <w:widowControl w:val="0"/>
              <w:rPr>
                <w:szCs w:val="20"/>
              </w:rPr>
            </w:pPr>
            <w:r w:rsidRPr="0030545D">
              <w:rPr>
                <w:szCs w:val="20"/>
              </w:rPr>
              <w:t>Adverse event costs were based on the combined incidence of the most frequent events in the FIRST-HD trial. Adverse events were valued using AR-DRG and non-admitted care items. Adverse event costs were assumed to only occur once in the model.</w:t>
            </w:r>
          </w:p>
          <w:p w14:paraId="76545EA3" w14:textId="77777777" w:rsidR="009C54D2" w:rsidRPr="0030545D" w:rsidRDefault="009C54D2" w:rsidP="009C54D2">
            <w:pPr>
              <w:pStyle w:val="TableText"/>
              <w:widowControl w:val="0"/>
              <w:rPr>
                <w:szCs w:val="20"/>
              </w:rPr>
            </w:pPr>
          </w:p>
          <w:p w14:paraId="1DBF8196" w14:textId="77777777" w:rsidR="009C54D2" w:rsidRPr="0030545D" w:rsidRDefault="009C54D2" w:rsidP="009C54D2">
            <w:pPr>
              <w:pStyle w:val="TableText"/>
              <w:widowControl w:val="0"/>
              <w:rPr>
                <w:szCs w:val="20"/>
              </w:rPr>
            </w:pPr>
            <w:r w:rsidRPr="0030545D">
              <w:rPr>
                <w:szCs w:val="20"/>
              </w:rPr>
              <w:t>Disease management costs were based on resource use estimates from a clinical survey of specialists and nurses as well as an audit of treating physicians in Australia (Attachments 1, 2 and 4 of the submission). Health resource use was valued using various MBS items, URG/AR-DRG items and reported service fees.</w:t>
            </w:r>
          </w:p>
          <w:p w14:paraId="56DB2065" w14:textId="77777777" w:rsidR="009C54D2" w:rsidRPr="0030545D" w:rsidRDefault="009C54D2" w:rsidP="009C54D2">
            <w:pPr>
              <w:pStyle w:val="TableText"/>
              <w:widowControl w:val="0"/>
              <w:rPr>
                <w:szCs w:val="20"/>
              </w:rPr>
            </w:pPr>
          </w:p>
          <w:p w14:paraId="2F76B8C8" w14:textId="77777777" w:rsidR="009C54D2" w:rsidRPr="0030545D" w:rsidRDefault="009C54D2" w:rsidP="009C54D2">
            <w:pPr>
              <w:pStyle w:val="TableText"/>
              <w:keepNext w:val="0"/>
              <w:widowControl w:val="0"/>
              <w:rPr>
                <w:szCs w:val="20"/>
              </w:rPr>
            </w:pPr>
            <w:r w:rsidRPr="0030545D">
              <w:rPr>
                <w:szCs w:val="20"/>
              </w:rPr>
              <w:t>Estimated disease management costs were mapped to the improved chorea/chorea disease states assuming that all patients with improved chorea are controlled and all patients with chorea are uncontrolled.</w:t>
            </w:r>
          </w:p>
        </w:tc>
      </w:tr>
      <w:tr w:rsidR="009C54D2" w:rsidRPr="0030545D" w14:paraId="7107BB95" w14:textId="77777777" w:rsidTr="00A33828">
        <w:trPr>
          <w:cantSplit/>
        </w:trPr>
        <w:tc>
          <w:tcPr>
            <w:tcW w:w="1017" w:type="pct"/>
            <w:shd w:val="clear" w:color="auto" w:fill="auto"/>
            <w:vAlign w:val="center"/>
          </w:tcPr>
          <w:p w14:paraId="02AFCC70" w14:textId="77777777" w:rsidR="009C54D2" w:rsidRPr="0030545D" w:rsidRDefault="009C54D2" w:rsidP="009C54D2">
            <w:pPr>
              <w:pStyle w:val="TableText"/>
              <w:keepNext w:val="0"/>
            </w:pPr>
            <w:r w:rsidRPr="0030545D">
              <w:t>Discount rate</w:t>
            </w:r>
          </w:p>
        </w:tc>
        <w:tc>
          <w:tcPr>
            <w:tcW w:w="3983" w:type="pct"/>
            <w:shd w:val="clear" w:color="auto" w:fill="auto"/>
            <w:vAlign w:val="center"/>
          </w:tcPr>
          <w:p w14:paraId="2D42A6DA" w14:textId="77777777" w:rsidR="009C54D2" w:rsidRPr="0030545D" w:rsidRDefault="009C54D2" w:rsidP="009C54D2">
            <w:pPr>
              <w:pStyle w:val="TableText"/>
              <w:keepNext w:val="0"/>
            </w:pPr>
            <w:r w:rsidRPr="0030545D">
              <w:t>5% for costs and outcomes</w:t>
            </w:r>
          </w:p>
        </w:tc>
      </w:tr>
      <w:tr w:rsidR="009C54D2" w:rsidRPr="0030545D" w14:paraId="3AC14FBF" w14:textId="77777777" w:rsidTr="00A33828">
        <w:trPr>
          <w:cantSplit/>
        </w:trPr>
        <w:tc>
          <w:tcPr>
            <w:tcW w:w="1017" w:type="pct"/>
            <w:shd w:val="clear" w:color="auto" w:fill="auto"/>
            <w:vAlign w:val="center"/>
          </w:tcPr>
          <w:p w14:paraId="50B4316C" w14:textId="77777777" w:rsidR="009C54D2" w:rsidRPr="0030545D" w:rsidRDefault="009C54D2" w:rsidP="009C54D2">
            <w:pPr>
              <w:pStyle w:val="TableText"/>
              <w:keepNext w:val="0"/>
              <w:rPr>
                <w:rFonts w:ascii="Times" w:eastAsia="Times New Roman" w:hAnsi="Times" w:cs="Times New Roman"/>
                <w:szCs w:val="20"/>
              </w:rPr>
            </w:pPr>
            <w:r w:rsidRPr="0030545D">
              <w:t>Software package</w:t>
            </w:r>
          </w:p>
        </w:tc>
        <w:tc>
          <w:tcPr>
            <w:tcW w:w="3983" w:type="pct"/>
            <w:shd w:val="clear" w:color="auto" w:fill="auto"/>
            <w:vAlign w:val="center"/>
          </w:tcPr>
          <w:p w14:paraId="2BD8E476" w14:textId="77777777" w:rsidR="009C54D2" w:rsidRPr="0030545D" w:rsidRDefault="009C54D2" w:rsidP="009C54D2">
            <w:pPr>
              <w:pStyle w:val="TableText"/>
              <w:keepNext w:val="0"/>
            </w:pPr>
            <w:r w:rsidRPr="0030545D">
              <w:t>Microsoft Excel</w:t>
            </w:r>
          </w:p>
        </w:tc>
      </w:tr>
    </w:tbl>
    <w:p w14:paraId="251D13CD" w14:textId="77777777" w:rsidR="002B3E69" w:rsidRPr="0030545D" w:rsidRDefault="009C54D2" w:rsidP="00441BAE">
      <w:pPr>
        <w:pStyle w:val="TableFooter"/>
      </w:pPr>
      <w:r w:rsidRPr="0030545D">
        <w:t>Source: Table 3-1 of the submission</w:t>
      </w:r>
    </w:p>
    <w:p w14:paraId="678D68E6" w14:textId="77777777" w:rsidR="002B3E69" w:rsidRPr="0030545D" w:rsidRDefault="002B3E69" w:rsidP="00C14F95">
      <w:pPr>
        <w:pStyle w:val="TableFooter"/>
        <w:spacing w:after="120"/>
      </w:pPr>
      <w:r w:rsidRPr="0030545D">
        <w:t xml:space="preserve">Abbreviations: AR-DRG, Australian Refined Diagnosis Related Groups; DPMQ, dispensed price per maximum quantity; MBS, Medicare Benefits Schedule; </w:t>
      </w:r>
      <w:r w:rsidR="00B52CFC" w:rsidRPr="0030545D">
        <w:t xml:space="preserve">TMC, Total Maximal Chorea; </w:t>
      </w:r>
      <w:r w:rsidRPr="0030545D">
        <w:t>TTO, time-trade-off; URG, urgency-related group; US, United States</w:t>
      </w:r>
    </w:p>
    <w:p w14:paraId="36FE400F" w14:textId="77777777" w:rsidR="00E83CE1" w:rsidRPr="0030545D" w:rsidRDefault="00E83CE1" w:rsidP="00E83CE1">
      <w:pPr>
        <w:pStyle w:val="ExecSumBodyText"/>
      </w:pPr>
      <w:r w:rsidRPr="0030545D">
        <w:t>All patients were assumed to begin the model with chorea associated with Huntington's disease. During the first 12 week decision-analysis period, patients were assigned to the improved chorea and chorea states based on the reported response rates from the FIRST-HD trial. Patients were then transferred to the long-term Markov model assuming that:</w:t>
      </w:r>
    </w:p>
    <w:p w14:paraId="52EC46A1" w14:textId="77777777" w:rsidR="00E83CE1" w:rsidRPr="0030545D" w:rsidRDefault="00E83CE1" w:rsidP="00BB62AF">
      <w:pPr>
        <w:pStyle w:val="ExecSumBodyText"/>
        <w:numPr>
          <w:ilvl w:val="0"/>
          <w:numId w:val="7"/>
        </w:numPr>
      </w:pPr>
      <w:r w:rsidRPr="0030545D">
        <w:t xml:space="preserve">Non-responders in the deutetrabenazine arm for the initial period would discontinue treatment. This was inconsistent with the expert advice provided with the submission that indicates that patients are likely to add-on to their underlying therapy rather than cease treatment. </w:t>
      </w:r>
    </w:p>
    <w:p w14:paraId="4D5E7DC2" w14:textId="77777777" w:rsidR="00E83CE1" w:rsidRPr="0030545D" w:rsidRDefault="00E83CE1" w:rsidP="00BB62AF">
      <w:pPr>
        <w:pStyle w:val="ExecSumBodyText"/>
        <w:numPr>
          <w:ilvl w:val="0"/>
          <w:numId w:val="7"/>
        </w:numPr>
      </w:pPr>
      <w:r w:rsidRPr="0030545D">
        <w:t>Responders in the deutetrabenazine arm for the initial period would maintain response while on treatment in the long-term period. This assumption may be reasonable but appears to require further up-titration of deutetrabenazine dose over time.</w:t>
      </w:r>
    </w:p>
    <w:p w14:paraId="3D0B4B33" w14:textId="77777777" w:rsidR="00E83CE1" w:rsidRPr="0030545D" w:rsidRDefault="00E83CE1" w:rsidP="00BB62AF">
      <w:pPr>
        <w:pStyle w:val="ExecSumBodyText"/>
        <w:numPr>
          <w:ilvl w:val="0"/>
          <w:numId w:val="7"/>
        </w:numPr>
      </w:pPr>
      <w:r w:rsidRPr="0030545D">
        <w:t>All patients in the placebo arm (responders and non-responders in the initial period) would be non-responders in the long-term period. The persistence of non-specific treatment effects (i.e. placebo effects) is unknown however the assumption that all of these effects cease in the placebo arm but not the treatment arm after 12 weeks was not adequately justified. Additionally, the assumption that placebo patients would remain untreated was inappropriate as the majority of patients would move onto subsequent lines of therapy.</w:t>
      </w:r>
    </w:p>
    <w:p w14:paraId="7550C78E" w14:textId="77777777" w:rsidR="00E83CE1" w:rsidRPr="0030545D" w:rsidRDefault="00E83CE1" w:rsidP="00B360D1">
      <w:pPr>
        <w:pStyle w:val="ExecSumBodyText"/>
      </w:pPr>
      <w:r w:rsidRPr="0030545D">
        <w:t xml:space="preserve">During each cycle of the Markov model, patients could remain in their current health state, discontinue treatment (and switch to being a non-responder) or die. </w:t>
      </w:r>
    </w:p>
    <w:p w14:paraId="37047F3C" w14:textId="77777777" w:rsidR="00740483" w:rsidRPr="0030545D" w:rsidRDefault="00740483" w:rsidP="00E83CE1">
      <w:pPr>
        <w:pStyle w:val="ExecSumBodyText"/>
        <w:rPr>
          <w:bCs/>
        </w:rPr>
      </w:pPr>
      <w:r w:rsidRPr="0030545D">
        <w:rPr>
          <w:bCs/>
        </w:rPr>
        <w:t>The modelled proportion of patients with improved chorea over time is presented below</w:t>
      </w:r>
      <w:r w:rsidR="00335E53" w:rsidRPr="0030545D">
        <w:rPr>
          <w:bCs/>
        </w:rPr>
        <w:t>.</w:t>
      </w:r>
    </w:p>
    <w:p w14:paraId="4291E2F5" w14:textId="77777777" w:rsidR="00335E53" w:rsidRPr="0030545D" w:rsidRDefault="00335E53" w:rsidP="00335E53">
      <w:pPr>
        <w:pStyle w:val="Tableheadingrow"/>
        <w:rPr>
          <w:color w:val="3366FF"/>
          <w:lang w:val="en-AU"/>
        </w:rPr>
      </w:pPr>
      <w:r w:rsidRPr="0030545D">
        <w:rPr>
          <w:lang w:val="en-AU"/>
        </w:rPr>
        <w:t xml:space="preserve">Figure </w:t>
      </w:r>
      <w:r w:rsidR="00F6040E" w:rsidRPr="0030545D">
        <w:rPr>
          <w:lang w:val="en-AU"/>
        </w:rPr>
        <w:t>2</w:t>
      </w:r>
      <w:r w:rsidRPr="0030545D">
        <w:rPr>
          <w:lang w:val="en-AU"/>
        </w:rPr>
        <w:t>: Modelled proportion of patients with improved chorea over time</w:t>
      </w:r>
    </w:p>
    <w:p w14:paraId="71BCB9C0" w14:textId="77777777" w:rsidR="00335E53" w:rsidRPr="0030545D" w:rsidRDefault="00335E53" w:rsidP="00441BAE">
      <w:pPr>
        <w:pStyle w:val="TableFooter"/>
        <w:spacing w:after="0"/>
      </w:pPr>
      <w:r w:rsidRPr="0030545D">
        <w:rPr>
          <w:noProof/>
          <w:lang w:eastAsia="en-AU"/>
        </w:rPr>
        <w:drawing>
          <wp:inline distT="0" distB="0" distL="0" distR="0" wp14:anchorId="69C023B7" wp14:editId="3785907D">
            <wp:extent cx="5684520" cy="3718560"/>
            <wp:effectExtent l="0" t="0" r="0" b="0"/>
            <wp:docPr id="5" name="Picture 5" title="Figure 2: Modelled proportion of patients with improved chorea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4520" cy="3718560"/>
                    </a:xfrm>
                    <a:prstGeom prst="rect">
                      <a:avLst/>
                    </a:prstGeom>
                    <a:noFill/>
                  </pic:spPr>
                </pic:pic>
              </a:graphicData>
            </a:graphic>
          </wp:inline>
        </w:drawing>
      </w:r>
    </w:p>
    <w:p w14:paraId="702EF867" w14:textId="77777777" w:rsidR="00335E53" w:rsidRPr="0030545D" w:rsidRDefault="00335E53" w:rsidP="00441BAE">
      <w:pPr>
        <w:pStyle w:val="TableFooter"/>
      </w:pPr>
      <w:r w:rsidRPr="0030545D">
        <w:t>Source: constructed during the evaluation using Austedo - Section 3 - CEA - 2 Nov 2020 (Final) model provided with the submission</w:t>
      </w:r>
    </w:p>
    <w:p w14:paraId="54FC78C9" w14:textId="77777777" w:rsidR="00740483" w:rsidRPr="0030545D" w:rsidRDefault="00335E53" w:rsidP="00C14F95">
      <w:pPr>
        <w:pStyle w:val="TableFooter"/>
        <w:spacing w:after="120"/>
      </w:pPr>
      <w:r w:rsidRPr="0030545D">
        <w:t>Abbreviations: Deut, deutetrabenazine; Pbo, placebo</w:t>
      </w:r>
    </w:p>
    <w:p w14:paraId="74B28A1D" w14:textId="77777777" w:rsidR="00886E34" w:rsidRPr="0030545D" w:rsidRDefault="00886E34" w:rsidP="00E83CE1">
      <w:pPr>
        <w:pStyle w:val="ExecSumBodyText"/>
        <w:rPr>
          <w:bCs/>
        </w:rPr>
      </w:pPr>
      <w:r w:rsidRPr="0030545D">
        <w:rPr>
          <w:bCs/>
        </w:rPr>
        <w:t>The model trace shows the initial 12-week response rates from the FIRST-HD trial followed by a gradual decrease in number of responders over time in the deutetrabenazine arm due to treatment discontinuation. The trace also shows the impact of the assumed loss of effect in the placebo arm at 12 weeks.</w:t>
      </w:r>
    </w:p>
    <w:p w14:paraId="0069653D" w14:textId="77777777" w:rsidR="00335E53" w:rsidRPr="0030545D" w:rsidRDefault="00335E53" w:rsidP="00E83CE1">
      <w:pPr>
        <w:pStyle w:val="ExecSumBodyText"/>
        <w:rPr>
          <w:bCs/>
        </w:rPr>
      </w:pPr>
      <w:r w:rsidRPr="0030545D">
        <w:rPr>
          <w:bCs/>
        </w:rPr>
        <w:t>The vast majority of incremental QALYs (97.0%) and incremental costs (90.8%) are accrued in the extrapolated period beyond 12 weeks.</w:t>
      </w:r>
    </w:p>
    <w:p w14:paraId="665D7B72" w14:textId="77777777" w:rsidR="00E83CE1" w:rsidRPr="0030545D" w:rsidRDefault="00E83CE1" w:rsidP="00E83CE1">
      <w:pPr>
        <w:pStyle w:val="ExecSumBodyText"/>
        <w:rPr>
          <w:bCs/>
        </w:rPr>
      </w:pPr>
      <w:r w:rsidRPr="0030545D">
        <w:rPr>
          <w:bCs/>
        </w:rPr>
        <w:t>Key drivers of the economic model are summarised in the table below.</w:t>
      </w:r>
    </w:p>
    <w:p w14:paraId="2B55BDA7" w14:textId="77777777" w:rsidR="00E83CE1" w:rsidRPr="0030545D" w:rsidRDefault="009E7838" w:rsidP="00C14F95">
      <w:pPr>
        <w:pStyle w:val="Tableheadingrow"/>
        <w:keepNext w:val="0"/>
        <w:widowControl w:val="0"/>
        <w:rPr>
          <w:lang w:val="en-AU"/>
        </w:rPr>
      </w:pPr>
      <w:r w:rsidRPr="0030545D">
        <w:rPr>
          <w:lang w:val="en-AU"/>
        </w:rPr>
        <w:t xml:space="preserve">Table </w:t>
      </w:r>
      <w:r w:rsidR="00ED3393" w:rsidRPr="0030545D">
        <w:rPr>
          <w:lang w:val="en-AU"/>
        </w:rPr>
        <w:t>10</w:t>
      </w:r>
      <w:r w:rsidR="00E83CE1" w:rsidRPr="0030545D">
        <w:rPr>
          <w:lang w:val="en-AU"/>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521"/>
        <w:gridCol w:w="1367"/>
      </w:tblGrid>
      <w:tr w:rsidR="00E83CE1" w:rsidRPr="0030545D" w14:paraId="47034F4E" w14:textId="77777777" w:rsidTr="00A33828">
        <w:trPr>
          <w:cantSplit/>
          <w:tblHeader/>
        </w:trPr>
        <w:tc>
          <w:tcPr>
            <w:tcW w:w="626" w:type="pct"/>
            <w:shd w:val="clear" w:color="auto" w:fill="auto"/>
            <w:vAlign w:val="center"/>
          </w:tcPr>
          <w:p w14:paraId="13596D7D" w14:textId="77777777" w:rsidR="00E83CE1" w:rsidRPr="0030545D" w:rsidRDefault="00E83CE1" w:rsidP="00C14F95">
            <w:pPr>
              <w:pStyle w:val="Tableheadingrow"/>
              <w:keepNext w:val="0"/>
              <w:widowControl w:val="0"/>
              <w:jc w:val="center"/>
              <w:rPr>
                <w:lang w:val="en-AU"/>
              </w:rPr>
            </w:pPr>
            <w:r w:rsidRPr="0030545D">
              <w:rPr>
                <w:lang w:val="en-AU"/>
              </w:rPr>
              <w:t>Description</w:t>
            </w:r>
          </w:p>
        </w:tc>
        <w:tc>
          <w:tcPr>
            <w:tcW w:w="3616" w:type="pct"/>
            <w:shd w:val="clear" w:color="auto" w:fill="auto"/>
            <w:vAlign w:val="center"/>
          </w:tcPr>
          <w:p w14:paraId="68CA0244" w14:textId="77777777" w:rsidR="00E83CE1" w:rsidRPr="0030545D" w:rsidRDefault="00E83CE1" w:rsidP="00C14F95">
            <w:pPr>
              <w:pStyle w:val="Tableheadingrow"/>
              <w:keepNext w:val="0"/>
              <w:widowControl w:val="0"/>
              <w:jc w:val="center"/>
              <w:rPr>
                <w:lang w:val="en-AU"/>
              </w:rPr>
            </w:pPr>
            <w:r w:rsidRPr="0030545D">
              <w:rPr>
                <w:lang w:val="en-AU"/>
              </w:rPr>
              <w:t>Method/Value</w:t>
            </w:r>
          </w:p>
        </w:tc>
        <w:tc>
          <w:tcPr>
            <w:tcW w:w="758" w:type="pct"/>
            <w:shd w:val="clear" w:color="auto" w:fill="auto"/>
            <w:vAlign w:val="center"/>
          </w:tcPr>
          <w:p w14:paraId="28C5CAD6" w14:textId="77777777" w:rsidR="00E83CE1" w:rsidRPr="0030545D" w:rsidRDefault="00E83CE1" w:rsidP="00C14F95">
            <w:pPr>
              <w:pStyle w:val="Tableheadingrow"/>
              <w:keepNext w:val="0"/>
              <w:widowControl w:val="0"/>
              <w:jc w:val="center"/>
              <w:rPr>
                <w:lang w:val="en-AU"/>
              </w:rPr>
            </w:pPr>
            <w:r w:rsidRPr="0030545D">
              <w:rPr>
                <w:lang w:val="en-AU"/>
              </w:rPr>
              <w:t>Impact</w:t>
            </w:r>
          </w:p>
        </w:tc>
      </w:tr>
      <w:tr w:rsidR="00E83CE1" w:rsidRPr="0030545D" w14:paraId="3F586276" w14:textId="77777777" w:rsidTr="00A33828">
        <w:trPr>
          <w:cantSplit/>
        </w:trPr>
        <w:tc>
          <w:tcPr>
            <w:tcW w:w="626" w:type="pct"/>
            <w:shd w:val="clear" w:color="auto" w:fill="auto"/>
            <w:vAlign w:val="center"/>
          </w:tcPr>
          <w:p w14:paraId="65063BD3" w14:textId="77777777" w:rsidR="00E83CE1" w:rsidRPr="0030545D" w:rsidRDefault="00065BA9" w:rsidP="00C14F95">
            <w:pPr>
              <w:pStyle w:val="TableText"/>
              <w:keepNext w:val="0"/>
              <w:widowControl w:val="0"/>
              <w:jc w:val="center"/>
            </w:pPr>
            <w:r w:rsidRPr="0030545D">
              <w:t>Structural assumptions</w:t>
            </w:r>
          </w:p>
        </w:tc>
        <w:tc>
          <w:tcPr>
            <w:tcW w:w="3616" w:type="pct"/>
            <w:shd w:val="clear" w:color="auto" w:fill="auto"/>
            <w:vAlign w:val="center"/>
          </w:tcPr>
          <w:p w14:paraId="3B31FB59" w14:textId="77777777" w:rsidR="00065BA9" w:rsidRPr="0030545D" w:rsidRDefault="00065BA9" w:rsidP="00C14F95">
            <w:pPr>
              <w:pStyle w:val="TableText"/>
              <w:keepNext w:val="0"/>
              <w:widowControl w:val="0"/>
              <w:spacing w:after="60"/>
            </w:pPr>
            <w:r w:rsidRPr="0030545D">
              <w:t>The initial 12-week decision-analysis period was linked to the long-term Markov cohort model based on the following assumptions:</w:t>
            </w:r>
          </w:p>
          <w:p w14:paraId="07845C2D" w14:textId="77777777" w:rsidR="00065BA9" w:rsidRPr="0030545D" w:rsidRDefault="00065BA9" w:rsidP="00C14F95">
            <w:pPr>
              <w:pStyle w:val="TableText"/>
              <w:keepNext w:val="0"/>
              <w:widowControl w:val="0"/>
              <w:numPr>
                <w:ilvl w:val="0"/>
                <w:numId w:val="9"/>
              </w:numPr>
              <w:spacing w:after="60"/>
              <w:ind w:left="170" w:hanging="170"/>
            </w:pPr>
            <w:r w:rsidRPr="0030545D">
              <w:t xml:space="preserve">Non-responders in the deutetrabenazine arm for the initial period would discontinue treatment. </w:t>
            </w:r>
            <w:r w:rsidR="008977D1" w:rsidRPr="0030545D">
              <w:t>However,</w:t>
            </w:r>
            <w:r w:rsidRPr="0030545D">
              <w:t xml:space="preserve"> patients are likely to add-on to their underlying therapy rather than cease treatment</w:t>
            </w:r>
            <w:r w:rsidR="008977D1" w:rsidRPr="0030545D">
              <w:t xml:space="preserve"> in clinical practice</w:t>
            </w:r>
            <w:r w:rsidRPr="0030545D">
              <w:t xml:space="preserve">. </w:t>
            </w:r>
          </w:p>
          <w:p w14:paraId="7BD0F1D3" w14:textId="77777777" w:rsidR="00065BA9" w:rsidRPr="0030545D" w:rsidRDefault="00065BA9" w:rsidP="00C14F95">
            <w:pPr>
              <w:pStyle w:val="TableText"/>
              <w:keepNext w:val="0"/>
              <w:widowControl w:val="0"/>
              <w:numPr>
                <w:ilvl w:val="0"/>
                <w:numId w:val="9"/>
              </w:numPr>
              <w:spacing w:after="60"/>
              <w:ind w:left="170" w:hanging="170"/>
            </w:pPr>
            <w:r w:rsidRPr="0030545D">
              <w:t xml:space="preserve">Responders in the deutetrabenazine arm for the initial period would maintain response while on treatment in the long-term period. This assumption may be reasonable but </w:t>
            </w:r>
            <w:r w:rsidR="008977D1" w:rsidRPr="0030545D">
              <w:t xml:space="preserve">the dose of deutetrabenazine may need to be increased over time. </w:t>
            </w:r>
          </w:p>
          <w:p w14:paraId="19DA36CC" w14:textId="77777777" w:rsidR="00E83CE1" w:rsidRPr="0030545D" w:rsidRDefault="00065BA9" w:rsidP="00C14F95">
            <w:pPr>
              <w:pStyle w:val="TableText"/>
              <w:keepNext w:val="0"/>
              <w:widowControl w:val="0"/>
              <w:numPr>
                <w:ilvl w:val="0"/>
                <w:numId w:val="9"/>
              </w:numPr>
              <w:spacing w:after="60"/>
              <w:ind w:left="170" w:hanging="170"/>
            </w:pPr>
            <w:r w:rsidRPr="0030545D">
              <w:t xml:space="preserve">All patients in the placebo arm (responders and non-responders in the initial period) would be non-responders in the long-term period. </w:t>
            </w:r>
            <w:r w:rsidR="008977D1" w:rsidRPr="0030545D">
              <w:t xml:space="preserve">The assumption that all non-specific </w:t>
            </w:r>
            <w:r w:rsidRPr="0030545D">
              <w:t>effects</w:t>
            </w:r>
            <w:r w:rsidR="008977D1" w:rsidRPr="0030545D">
              <w:t xml:space="preserve"> (i.e. placebo effects)</w:t>
            </w:r>
            <w:r w:rsidRPr="0030545D">
              <w:t xml:space="preserve"> cease in the placebo arm but not the treatment arm after 12 weeks was not adequately justified. Additionally, the assumption</w:t>
            </w:r>
            <w:r w:rsidR="00313853" w:rsidRPr="0030545D">
              <w:t xml:space="preserve"> that</w:t>
            </w:r>
            <w:r w:rsidRPr="0030545D">
              <w:t xml:space="preserve"> patients would remain untreated was inappropriate as the majority </w:t>
            </w:r>
            <w:r w:rsidR="008977D1" w:rsidRPr="0030545D">
              <w:t xml:space="preserve">would </w:t>
            </w:r>
            <w:r w:rsidRPr="0030545D">
              <w:t>move onto</w:t>
            </w:r>
            <w:r w:rsidR="00FA3E57" w:rsidRPr="0030545D">
              <w:t xml:space="preserve"> </w:t>
            </w:r>
            <w:r w:rsidRPr="0030545D">
              <w:t>subsequent lines of therapy.</w:t>
            </w:r>
          </w:p>
        </w:tc>
        <w:tc>
          <w:tcPr>
            <w:tcW w:w="758" w:type="pct"/>
            <w:shd w:val="clear" w:color="auto" w:fill="auto"/>
            <w:vAlign w:val="center"/>
          </w:tcPr>
          <w:p w14:paraId="6374EF6C" w14:textId="77777777" w:rsidR="00065BA9" w:rsidRPr="0030545D" w:rsidRDefault="00E83CE1" w:rsidP="00C14F95">
            <w:pPr>
              <w:pStyle w:val="TableText"/>
              <w:keepNext w:val="0"/>
              <w:widowControl w:val="0"/>
              <w:jc w:val="center"/>
            </w:pPr>
            <w:r w:rsidRPr="0030545D">
              <w:t>High,</w:t>
            </w:r>
          </w:p>
          <w:p w14:paraId="1811EEBC" w14:textId="77777777" w:rsidR="006202D1" w:rsidRPr="0030545D" w:rsidRDefault="00E83CE1" w:rsidP="00C14F95">
            <w:pPr>
              <w:pStyle w:val="TableText"/>
              <w:keepNext w:val="0"/>
              <w:widowControl w:val="0"/>
              <w:jc w:val="center"/>
            </w:pPr>
            <w:r w:rsidRPr="0030545D">
              <w:t xml:space="preserve">favours </w:t>
            </w:r>
          </w:p>
          <w:p w14:paraId="03005660" w14:textId="77777777" w:rsidR="00065BA9" w:rsidRPr="0030545D" w:rsidRDefault="00065BA9" w:rsidP="00C14F95">
            <w:pPr>
              <w:pStyle w:val="TableText"/>
              <w:keepNext w:val="0"/>
              <w:widowControl w:val="0"/>
              <w:jc w:val="center"/>
            </w:pPr>
            <w:r w:rsidRPr="0030545D">
              <w:t>deutetrabenazine</w:t>
            </w:r>
          </w:p>
          <w:p w14:paraId="3EFE5D91" w14:textId="77777777" w:rsidR="00E83CE1" w:rsidRPr="0030545D" w:rsidRDefault="00E83CE1" w:rsidP="00C14F95">
            <w:pPr>
              <w:pStyle w:val="TableText"/>
              <w:keepNext w:val="0"/>
              <w:widowControl w:val="0"/>
              <w:jc w:val="center"/>
            </w:pPr>
          </w:p>
        </w:tc>
      </w:tr>
      <w:tr w:rsidR="00E83CE1" w:rsidRPr="0030545D" w14:paraId="02C9BF0B" w14:textId="77777777" w:rsidTr="00A33828">
        <w:trPr>
          <w:cantSplit/>
        </w:trPr>
        <w:tc>
          <w:tcPr>
            <w:tcW w:w="626" w:type="pct"/>
            <w:shd w:val="clear" w:color="auto" w:fill="auto"/>
            <w:vAlign w:val="center"/>
          </w:tcPr>
          <w:p w14:paraId="3CC63118" w14:textId="77777777" w:rsidR="00E83CE1" w:rsidRPr="0030545D" w:rsidRDefault="008977D1" w:rsidP="00C14F95">
            <w:pPr>
              <w:pStyle w:val="TableText"/>
              <w:keepNext w:val="0"/>
              <w:widowControl w:val="0"/>
              <w:jc w:val="center"/>
            </w:pPr>
            <w:r w:rsidRPr="0030545D">
              <w:t>Health state utility values</w:t>
            </w:r>
          </w:p>
        </w:tc>
        <w:tc>
          <w:tcPr>
            <w:tcW w:w="3616" w:type="pct"/>
            <w:shd w:val="clear" w:color="auto" w:fill="auto"/>
            <w:vAlign w:val="center"/>
          </w:tcPr>
          <w:p w14:paraId="1A563299" w14:textId="77777777" w:rsidR="002E797E" w:rsidRPr="0030545D" w:rsidRDefault="008977D1" w:rsidP="00C14F95">
            <w:pPr>
              <w:pStyle w:val="TableText"/>
              <w:keepNext w:val="0"/>
              <w:widowControl w:val="0"/>
            </w:pPr>
            <w:r w:rsidRPr="0030545D">
              <w:t>The submission argued that the generic SF-36 quality of</w:t>
            </w:r>
            <w:r w:rsidR="003C5B3D" w:rsidRPr="0030545D">
              <w:t xml:space="preserve"> life</w:t>
            </w:r>
            <w:r w:rsidRPr="0030545D">
              <w:t xml:space="preserve"> instrument used in the FIRST-HD trial was not sensitive enough to capture changes in motor function and there is no established </w:t>
            </w:r>
            <w:r w:rsidR="0094518C" w:rsidRPr="0030545D">
              <w:t>method</w:t>
            </w:r>
            <w:r w:rsidRPr="0030545D">
              <w:t xml:space="preserve"> for m</w:t>
            </w:r>
            <w:r w:rsidR="006202D1" w:rsidRPr="0030545D">
              <w:t>apping these score</w:t>
            </w:r>
            <w:r w:rsidR="0094518C" w:rsidRPr="0030545D">
              <w:t>s</w:t>
            </w:r>
            <w:r w:rsidRPr="0030545D">
              <w:t xml:space="preserve"> to SF-6D</w:t>
            </w:r>
            <w:r w:rsidR="006202D1" w:rsidRPr="0030545D">
              <w:t xml:space="preserve"> utility values </w:t>
            </w:r>
            <w:r w:rsidRPr="0030545D">
              <w:t>specifically for chorea symptoms.</w:t>
            </w:r>
            <w:r w:rsidR="006202D1" w:rsidRPr="0030545D">
              <w:t xml:space="preserve"> </w:t>
            </w:r>
            <w:r w:rsidRPr="0030545D">
              <w:t>Instead the submi</w:t>
            </w:r>
            <w:r w:rsidR="006202D1" w:rsidRPr="0030545D">
              <w:t>ssion presented</w:t>
            </w:r>
            <w:r w:rsidRPr="0030545D">
              <w:t xml:space="preserve"> utility values for the improved chor</w:t>
            </w:r>
            <w:r w:rsidR="006202D1" w:rsidRPr="0030545D">
              <w:t>ea and chorea health states</w:t>
            </w:r>
            <w:r w:rsidRPr="0030545D">
              <w:t xml:space="preserve"> based on a sponsor-commission</w:t>
            </w:r>
            <w:r w:rsidR="003C5B3D" w:rsidRPr="0030545D">
              <w:t>ed</w:t>
            </w:r>
            <w:r w:rsidRPr="0030545D">
              <w:t xml:space="preserve"> TTO study in the US general population using health state vignettes with varying chorea severity. </w:t>
            </w:r>
          </w:p>
          <w:p w14:paraId="77DFD8FE" w14:textId="77777777" w:rsidR="002E797E" w:rsidRPr="0030545D" w:rsidRDefault="002E797E" w:rsidP="00C14F95">
            <w:pPr>
              <w:pStyle w:val="TableText"/>
              <w:keepNext w:val="0"/>
              <w:widowControl w:val="0"/>
            </w:pPr>
          </w:p>
          <w:p w14:paraId="61947811" w14:textId="77777777" w:rsidR="002E797E" w:rsidRPr="0030545D" w:rsidRDefault="008977D1" w:rsidP="00C14F95">
            <w:pPr>
              <w:pStyle w:val="TableText"/>
              <w:keepNext w:val="0"/>
              <w:widowControl w:val="0"/>
            </w:pPr>
            <w:r w:rsidRPr="0030545D">
              <w:t xml:space="preserve">The definitions of chorea severity levels were problematic as they overlap with other movement-related disorders (e.g. dystonia) experienced by patients with Huntington’s disease. Additionally, the vignettes did not vary other Huntington’s disease symptoms and therefore do not adequately address the importance of chorea symptoms relative to other symptoms (e.g. the utility impairment associated with chorea is likely to vary based on the patient’s other </w:t>
            </w:r>
            <w:r w:rsidR="00C738FC" w:rsidRPr="0030545D">
              <w:t>behavioural</w:t>
            </w:r>
            <w:r w:rsidRPr="0030545D">
              <w:t>/cognitive/motor symptoms and functional capacity).</w:t>
            </w:r>
            <w:r w:rsidR="006202D1" w:rsidRPr="0030545D">
              <w:t xml:space="preserve"> </w:t>
            </w:r>
            <w:r w:rsidR="002E797E" w:rsidRPr="0030545D">
              <w:t>The magnitude of the utility difference between chorea severity levels was implausibly large (severe: 0.07, moderate-to-severe: 0.26, mild-to-moderate: 0.48, mild: 0.64) given the claim that generic instruments were not sensitive enough to capture these differences.</w:t>
            </w:r>
          </w:p>
          <w:p w14:paraId="17CEFE51" w14:textId="77777777" w:rsidR="008977D1" w:rsidRPr="0030545D" w:rsidRDefault="008977D1" w:rsidP="00C14F95">
            <w:pPr>
              <w:pStyle w:val="TableText"/>
              <w:keepNext w:val="0"/>
              <w:widowControl w:val="0"/>
            </w:pPr>
          </w:p>
          <w:p w14:paraId="7AFF309B" w14:textId="77777777" w:rsidR="008977D1" w:rsidRPr="0030545D" w:rsidRDefault="008977D1" w:rsidP="00C14F95">
            <w:pPr>
              <w:pStyle w:val="TableText"/>
              <w:keepNext w:val="0"/>
              <w:widowControl w:val="0"/>
            </w:pPr>
            <w:r w:rsidRPr="0030545D">
              <w:t>The estimated TTO utility values were mapped to the improved chorea health state based on the relative proportion of responders achieving a 3-6 point reduction (assumed to have mild-to-moderate symptoms) or &gt; 6 point reduction (assumed to have mild symptoms) in TMC scores from baseline for each treat</w:t>
            </w:r>
            <w:r w:rsidR="002E797E" w:rsidRPr="0030545D">
              <w:t xml:space="preserve">ment arm in the FIRST-HD trial. </w:t>
            </w:r>
            <w:r w:rsidRPr="0030545D">
              <w:t>Estimated TTO utility values were mapped to the chorea health state assuming that patients have moderate to severe chorea symptoms.</w:t>
            </w:r>
          </w:p>
          <w:p w14:paraId="2AF89994" w14:textId="77777777" w:rsidR="002E797E" w:rsidRPr="0030545D" w:rsidRDefault="002E797E" w:rsidP="00C14F95">
            <w:pPr>
              <w:pStyle w:val="TableText"/>
              <w:keepNext w:val="0"/>
              <w:widowControl w:val="0"/>
            </w:pPr>
          </w:p>
          <w:p w14:paraId="1E289291" w14:textId="77777777" w:rsidR="008977D1" w:rsidRPr="0030545D" w:rsidRDefault="002E797E" w:rsidP="00C14F95">
            <w:pPr>
              <w:pStyle w:val="TableText"/>
              <w:keepNext w:val="0"/>
              <w:widowControl w:val="0"/>
            </w:pPr>
            <w:r w:rsidRPr="0030545D">
              <w:t>The assumption that all responders have mild or mild-to-moderate symptoms and all non-responders have moderate-to-severe symptoms was inappropriate as it does not account for the distribution of chorea symptoms at baseline and during treatment</w:t>
            </w:r>
            <w:r w:rsidR="00035D44" w:rsidRPr="0030545D">
              <w:t>.</w:t>
            </w:r>
          </w:p>
          <w:p w14:paraId="158B8950" w14:textId="77777777" w:rsidR="006202D1" w:rsidRPr="0030545D" w:rsidRDefault="006202D1" w:rsidP="00C14F95">
            <w:pPr>
              <w:pStyle w:val="TableText"/>
              <w:keepNext w:val="0"/>
              <w:widowControl w:val="0"/>
            </w:pPr>
          </w:p>
          <w:p w14:paraId="251F843A" w14:textId="77777777" w:rsidR="0012171D" w:rsidRPr="0030545D" w:rsidRDefault="006202D1" w:rsidP="00C14F95">
            <w:pPr>
              <w:pStyle w:val="TableText"/>
              <w:keepNext w:val="0"/>
              <w:widowControl w:val="0"/>
            </w:pPr>
            <w:r w:rsidRPr="0030545D">
              <w:t>Overall, the estimation of health state utility values for chorea appeared unreliable and inconsistent with other data sources which suggest that the main drivers of utility loss in Huntington’s disease patients are behavioural symptoms and overall functional capacity, with motor symptoms having a negligible direct impact (Hawton 2019). Additionally, data from the FIRST-HD trial showed that while deutetrabenazine was associated with a modest improvement in physical functioning compared to placebo it was not associated with any statis</w:t>
            </w:r>
            <w:r w:rsidR="00915423" w:rsidRPr="0030545D">
              <w:t>tically significant differences</w:t>
            </w:r>
            <w:r w:rsidRPr="0030545D">
              <w:t xml:space="preserve"> in other physical or mental components of quality of life.</w:t>
            </w:r>
          </w:p>
        </w:tc>
        <w:tc>
          <w:tcPr>
            <w:tcW w:w="758" w:type="pct"/>
            <w:shd w:val="clear" w:color="auto" w:fill="auto"/>
            <w:vAlign w:val="center"/>
          </w:tcPr>
          <w:p w14:paraId="45206775" w14:textId="77777777" w:rsidR="008977D1" w:rsidRPr="0030545D" w:rsidRDefault="008977D1" w:rsidP="00C14F95">
            <w:pPr>
              <w:pStyle w:val="TableText"/>
              <w:keepNext w:val="0"/>
              <w:widowControl w:val="0"/>
              <w:jc w:val="center"/>
            </w:pPr>
            <w:r w:rsidRPr="0030545D">
              <w:t>High,</w:t>
            </w:r>
          </w:p>
          <w:p w14:paraId="072DCACD" w14:textId="77777777" w:rsidR="00E83CE1" w:rsidRPr="0030545D" w:rsidRDefault="008977D1" w:rsidP="00C14F95">
            <w:pPr>
              <w:pStyle w:val="TableText"/>
              <w:keepNext w:val="0"/>
              <w:widowControl w:val="0"/>
              <w:jc w:val="center"/>
            </w:pPr>
            <w:r w:rsidRPr="0030545D">
              <w:t>favours deutetrabenazine</w:t>
            </w:r>
          </w:p>
        </w:tc>
      </w:tr>
      <w:tr w:rsidR="00E83CE1" w:rsidRPr="0030545D" w14:paraId="0840498D" w14:textId="77777777" w:rsidTr="00A33828">
        <w:trPr>
          <w:cantSplit/>
        </w:trPr>
        <w:tc>
          <w:tcPr>
            <w:tcW w:w="626" w:type="pct"/>
            <w:shd w:val="clear" w:color="auto" w:fill="auto"/>
            <w:vAlign w:val="center"/>
          </w:tcPr>
          <w:p w14:paraId="10B2AEB0" w14:textId="77777777" w:rsidR="00E83CE1" w:rsidRPr="0030545D" w:rsidRDefault="008977D1" w:rsidP="006202D1">
            <w:pPr>
              <w:pStyle w:val="TableText"/>
              <w:keepNext w:val="0"/>
              <w:widowControl w:val="0"/>
              <w:jc w:val="center"/>
            </w:pPr>
            <w:r w:rsidRPr="0030545D">
              <w:t>Disease management costs</w:t>
            </w:r>
          </w:p>
        </w:tc>
        <w:tc>
          <w:tcPr>
            <w:tcW w:w="3616" w:type="pct"/>
            <w:shd w:val="clear" w:color="auto" w:fill="auto"/>
            <w:vAlign w:val="center"/>
          </w:tcPr>
          <w:p w14:paraId="31E4576E" w14:textId="77777777" w:rsidR="0094518C" w:rsidRPr="0030545D" w:rsidRDefault="0094518C" w:rsidP="0094518C">
            <w:pPr>
              <w:pStyle w:val="TableText"/>
              <w:widowControl w:val="0"/>
            </w:pPr>
            <w:r w:rsidRPr="0030545D">
              <w:t>Disease management costs were based on resource use estimates from a clinical survey of specialists and nurses as well as an audit of treating physicians in Australia. There was inadequate documentation to adequately assess the validity of health resource use estimates. There were substantial differences in health resource use between data sources with the nurse survey results</w:t>
            </w:r>
            <w:r w:rsidR="00574705" w:rsidRPr="0030545D">
              <w:t xml:space="preserve"> (which generally favoured </w:t>
            </w:r>
            <w:r w:rsidR="009B7037" w:rsidRPr="0030545D">
              <w:t>deu</w:t>
            </w:r>
            <w:r w:rsidR="00574705" w:rsidRPr="0030545D">
              <w:t>tetrabenazine)</w:t>
            </w:r>
            <w:r w:rsidRPr="0030545D">
              <w:t xml:space="preserve"> being highly discordant with other estimates. The heterogeneity of responses was not addressed in the submission and therefore the validity of the average results was uncertain. </w:t>
            </w:r>
          </w:p>
          <w:p w14:paraId="1FFAD800" w14:textId="77777777" w:rsidR="0094518C" w:rsidRPr="0030545D" w:rsidRDefault="0094518C" w:rsidP="0094518C">
            <w:pPr>
              <w:pStyle w:val="TableText"/>
              <w:widowControl w:val="0"/>
            </w:pPr>
          </w:p>
          <w:p w14:paraId="753D44F3" w14:textId="77777777" w:rsidR="0094518C" w:rsidRPr="0030545D" w:rsidRDefault="0094518C" w:rsidP="0094518C">
            <w:pPr>
              <w:pStyle w:val="TableText"/>
              <w:widowControl w:val="0"/>
            </w:pPr>
            <w:r w:rsidRPr="0030545D">
              <w:t>Health resource use was valued using various MBS items, URG/AR-DRG items and reported service fees.</w:t>
            </w:r>
            <w:r w:rsidR="00574705" w:rsidRPr="0030545D">
              <w:t xml:space="preserve"> The submission did not adequately justify the choice of item codes for health care resources particularly in regards to: attendance durations, use of items for specific populations (telehealth eligible patients, patients aged &gt; 65 years), use of temporary items for COVID-19, use of items with frequencies that exceed MBS caps, and levels of complexity for emergency room and hospitalisation visits.</w:t>
            </w:r>
          </w:p>
          <w:p w14:paraId="4A8B0D05" w14:textId="77777777" w:rsidR="0094518C" w:rsidRPr="0030545D" w:rsidRDefault="0094518C" w:rsidP="0094518C">
            <w:pPr>
              <w:pStyle w:val="TableText"/>
              <w:widowControl w:val="0"/>
            </w:pPr>
          </w:p>
          <w:p w14:paraId="537F64A3" w14:textId="77777777" w:rsidR="00E83CE1" w:rsidRPr="0030545D" w:rsidRDefault="0094518C" w:rsidP="00574705">
            <w:pPr>
              <w:pStyle w:val="TableText"/>
              <w:widowControl w:val="0"/>
            </w:pPr>
            <w:r w:rsidRPr="0030545D">
              <w:t>Estimated disease management costs were mapped to the improved chorea/chorea disease states assuming that all patients with improved chorea are controlled and all patients with chorea are uncontrolled.</w:t>
            </w:r>
            <w:r w:rsidR="00574705" w:rsidRPr="0030545D">
              <w:t xml:space="preserve"> This assumption was not appropriate as survey respondents stated that the determination of whether patients were adequately managed was based on a global impression rather than the TMC response criteria used to define health states. Additionally, even if TMC response criteria were used it would be inappropriate to assume that all responders have controlled disease and all non-responders have uncontrolled disease as it does not account for the distribution of chorea symptoms at baseline and during treatment.</w:t>
            </w:r>
          </w:p>
        </w:tc>
        <w:tc>
          <w:tcPr>
            <w:tcW w:w="758" w:type="pct"/>
            <w:shd w:val="clear" w:color="auto" w:fill="auto"/>
            <w:vAlign w:val="center"/>
          </w:tcPr>
          <w:p w14:paraId="5944A9AA" w14:textId="77777777" w:rsidR="008977D1" w:rsidRPr="0030545D" w:rsidRDefault="008977D1" w:rsidP="006202D1">
            <w:pPr>
              <w:pStyle w:val="TableText"/>
              <w:keepNext w:val="0"/>
              <w:widowControl w:val="0"/>
              <w:jc w:val="center"/>
            </w:pPr>
            <w:r w:rsidRPr="0030545D">
              <w:t>High,</w:t>
            </w:r>
          </w:p>
          <w:p w14:paraId="3A2DC08A" w14:textId="77777777" w:rsidR="00E83CE1" w:rsidRPr="0030545D" w:rsidRDefault="008977D1" w:rsidP="006202D1">
            <w:pPr>
              <w:pStyle w:val="TableText"/>
              <w:keepNext w:val="0"/>
              <w:widowControl w:val="0"/>
              <w:jc w:val="center"/>
            </w:pPr>
            <w:r w:rsidRPr="0030545D">
              <w:t>favours deutetrabenazine</w:t>
            </w:r>
          </w:p>
        </w:tc>
      </w:tr>
    </w:tbl>
    <w:p w14:paraId="25524A6A" w14:textId="77777777" w:rsidR="00E83CE1" w:rsidRPr="0030545D" w:rsidRDefault="00E83CE1" w:rsidP="00441BAE">
      <w:pPr>
        <w:pStyle w:val="TableFooter"/>
      </w:pPr>
      <w:r w:rsidRPr="0030545D">
        <w:t>So</w:t>
      </w:r>
      <w:r w:rsidR="008977D1" w:rsidRPr="0030545D">
        <w:t>urce: Constructed during the evaluation</w:t>
      </w:r>
    </w:p>
    <w:p w14:paraId="60FD9414" w14:textId="77777777" w:rsidR="001D0644" w:rsidRPr="0030545D" w:rsidRDefault="001D0644" w:rsidP="00C14F95">
      <w:pPr>
        <w:pStyle w:val="TableFooter"/>
        <w:spacing w:after="120"/>
      </w:pPr>
      <w:r w:rsidRPr="0030545D">
        <w:t xml:space="preserve">Abbreviations: </w:t>
      </w:r>
      <w:r w:rsidR="00DD3101" w:rsidRPr="0030545D">
        <w:t>AR-DRG, Australian Refined Diagnosis Related Groups; MBS, Medicare Benefits Schedule; TMC, Total Maximal Chorea; TTO, time-trade-off; URG, urgency-related group; US, United States.</w:t>
      </w:r>
    </w:p>
    <w:p w14:paraId="7B26BFB8" w14:textId="77777777" w:rsidR="0035023A" w:rsidRPr="0030545D" w:rsidRDefault="0035023A" w:rsidP="0035023A">
      <w:pPr>
        <w:pStyle w:val="ExecSumBodyText"/>
      </w:pPr>
      <w:r w:rsidRPr="0030545D">
        <w:t>The results of the modelled economic evaluation are summarised below.</w:t>
      </w:r>
    </w:p>
    <w:p w14:paraId="1895EABC" w14:textId="77777777" w:rsidR="009E7838" w:rsidRPr="0030545D" w:rsidRDefault="009E7838" w:rsidP="009E7838">
      <w:pPr>
        <w:pStyle w:val="Tableheadingrow"/>
        <w:rPr>
          <w:lang w:val="en-AU"/>
        </w:rPr>
      </w:pPr>
      <w:r w:rsidRPr="0030545D">
        <w:rPr>
          <w:lang w:val="en-AU"/>
        </w:rPr>
        <w:t xml:space="preserve">Table </w:t>
      </w:r>
      <w:r w:rsidR="003E54B8" w:rsidRPr="0030545D">
        <w:rPr>
          <w:lang w:val="en-AU"/>
        </w:rPr>
        <w:t>1</w:t>
      </w:r>
      <w:r w:rsidR="00ED3393" w:rsidRPr="0030545D">
        <w:rPr>
          <w:lang w:val="en-AU"/>
        </w:rPr>
        <w:t>1</w:t>
      </w:r>
      <w:r w:rsidRPr="0030545D">
        <w:rPr>
          <w:lang w:val="en-AU"/>
        </w:rPr>
        <w:t>: Results of the modelled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68"/>
        <w:gridCol w:w="1623"/>
        <w:gridCol w:w="1717"/>
        <w:gridCol w:w="1509"/>
      </w:tblGrid>
      <w:tr w:rsidR="009E7838" w:rsidRPr="0030545D" w14:paraId="54B8173E" w14:textId="77777777" w:rsidTr="001A5D64">
        <w:trPr>
          <w:tblHeader/>
        </w:trPr>
        <w:tc>
          <w:tcPr>
            <w:tcW w:w="2311" w:type="pct"/>
            <w:vAlign w:val="center"/>
          </w:tcPr>
          <w:p w14:paraId="4A5AEF8F" w14:textId="77777777" w:rsidR="009E7838" w:rsidRPr="0030545D" w:rsidRDefault="009E7838" w:rsidP="001A5D64">
            <w:pPr>
              <w:pStyle w:val="Tableheadingrow"/>
              <w:rPr>
                <w:lang w:val="en-AU"/>
              </w:rPr>
            </w:pPr>
            <w:r w:rsidRPr="0030545D">
              <w:rPr>
                <w:lang w:val="en-AU"/>
              </w:rPr>
              <w:t>Component</w:t>
            </w:r>
          </w:p>
        </w:tc>
        <w:tc>
          <w:tcPr>
            <w:tcW w:w="900" w:type="pct"/>
            <w:vAlign w:val="center"/>
          </w:tcPr>
          <w:p w14:paraId="1DA522CF" w14:textId="77777777" w:rsidR="009E7838" w:rsidRPr="0030545D" w:rsidRDefault="009E7838" w:rsidP="001A5D64">
            <w:pPr>
              <w:pStyle w:val="Tableheadingrow"/>
              <w:jc w:val="center"/>
              <w:rPr>
                <w:bCs/>
                <w:lang w:val="en-AU"/>
              </w:rPr>
            </w:pPr>
            <w:r w:rsidRPr="0030545D">
              <w:rPr>
                <w:bCs/>
                <w:lang w:val="en-AU"/>
              </w:rPr>
              <w:t>Deutetrabenazine</w:t>
            </w:r>
          </w:p>
        </w:tc>
        <w:tc>
          <w:tcPr>
            <w:tcW w:w="952" w:type="pct"/>
            <w:vAlign w:val="center"/>
          </w:tcPr>
          <w:p w14:paraId="63351B37" w14:textId="77777777" w:rsidR="009E7838" w:rsidRPr="0030545D" w:rsidRDefault="009E7838" w:rsidP="001A5D64">
            <w:pPr>
              <w:pStyle w:val="Tableheadingrow"/>
              <w:jc w:val="center"/>
              <w:rPr>
                <w:bCs/>
                <w:lang w:val="en-AU"/>
              </w:rPr>
            </w:pPr>
            <w:r w:rsidRPr="0030545D">
              <w:rPr>
                <w:bCs/>
                <w:lang w:val="en-AU"/>
              </w:rPr>
              <w:t>Placebo</w:t>
            </w:r>
          </w:p>
        </w:tc>
        <w:tc>
          <w:tcPr>
            <w:tcW w:w="837" w:type="pct"/>
            <w:vAlign w:val="center"/>
          </w:tcPr>
          <w:p w14:paraId="0761F9C8" w14:textId="77777777" w:rsidR="009E7838" w:rsidRPr="0030545D" w:rsidRDefault="009E7838" w:rsidP="001A5D64">
            <w:pPr>
              <w:pStyle w:val="Tableheadingrow"/>
              <w:jc w:val="center"/>
              <w:rPr>
                <w:lang w:val="en-AU"/>
              </w:rPr>
            </w:pPr>
            <w:r w:rsidRPr="0030545D">
              <w:rPr>
                <w:lang w:val="en-AU"/>
              </w:rPr>
              <w:t>Increment</w:t>
            </w:r>
          </w:p>
        </w:tc>
      </w:tr>
      <w:tr w:rsidR="009E7838" w:rsidRPr="0030545D" w14:paraId="568919D4" w14:textId="77777777" w:rsidTr="001A5D64">
        <w:tc>
          <w:tcPr>
            <w:tcW w:w="2311" w:type="pct"/>
            <w:vAlign w:val="center"/>
          </w:tcPr>
          <w:p w14:paraId="35607818" w14:textId="77777777" w:rsidR="009E7838" w:rsidRPr="0030545D" w:rsidRDefault="009E7838" w:rsidP="001A5D64">
            <w:pPr>
              <w:pStyle w:val="TableText"/>
              <w:rPr>
                <w:rFonts w:ascii="Times" w:hAnsi="Times"/>
              </w:rPr>
            </w:pPr>
            <w:r w:rsidRPr="0030545D">
              <w:t>Costs</w:t>
            </w:r>
          </w:p>
        </w:tc>
        <w:tc>
          <w:tcPr>
            <w:tcW w:w="900" w:type="pct"/>
            <w:vAlign w:val="center"/>
          </w:tcPr>
          <w:p w14:paraId="50EC1100" w14:textId="77777777" w:rsidR="009E7838" w:rsidRPr="0030545D" w:rsidRDefault="009E7838" w:rsidP="001A5D64">
            <w:pPr>
              <w:pStyle w:val="TableText"/>
              <w:jc w:val="center"/>
            </w:pPr>
            <w:r w:rsidRPr="0030545D">
              <w:t>$</w:t>
            </w:r>
            <w:r w:rsidR="00916E6D">
              <w:rPr>
                <w:noProof/>
                <w:color w:val="000000"/>
                <w:highlight w:val="black"/>
              </w:rPr>
              <w:t>'''''''''''''''''''</w:t>
            </w:r>
          </w:p>
        </w:tc>
        <w:tc>
          <w:tcPr>
            <w:tcW w:w="952" w:type="pct"/>
            <w:vAlign w:val="center"/>
          </w:tcPr>
          <w:p w14:paraId="0B551681" w14:textId="77777777" w:rsidR="009E7838" w:rsidRPr="0030545D" w:rsidRDefault="009E7838" w:rsidP="001A5D64">
            <w:pPr>
              <w:pStyle w:val="TableText"/>
              <w:jc w:val="center"/>
            </w:pPr>
            <w:r w:rsidRPr="0030545D">
              <w:t>$215,928</w:t>
            </w:r>
          </w:p>
        </w:tc>
        <w:tc>
          <w:tcPr>
            <w:tcW w:w="837" w:type="pct"/>
            <w:vAlign w:val="center"/>
          </w:tcPr>
          <w:p w14:paraId="5A4CFCBF" w14:textId="77777777" w:rsidR="009E7838" w:rsidRPr="0030545D" w:rsidRDefault="009E7838" w:rsidP="001A5D64">
            <w:pPr>
              <w:pStyle w:val="TableText"/>
              <w:jc w:val="center"/>
            </w:pPr>
            <w:r w:rsidRPr="0030545D">
              <w:t>$</w:t>
            </w:r>
            <w:r w:rsidR="00916E6D">
              <w:rPr>
                <w:noProof/>
                <w:color w:val="000000"/>
                <w:highlight w:val="black"/>
              </w:rPr>
              <w:t>''''''''''''''''</w:t>
            </w:r>
          </w:p>
        </w:tc>
      </w:tr>
      <w:tr w:rsidR="009E7838" w:rsidRPr="0030545D" w14:paraId="275522D8" w14:textId="77777777" w:rsidTr="001A5D64">
        <w:tc>
          <w:tcPr>
            <w:tcW w:w="2311" w:type="pct"/>
            <w:vAlign w:val="center"/>
          </w:tcPr>
          <w:p w14:paraId="64B0D02D" w14:textId="77777777" w:rsidR="009E7838" w:rsidRPr="0030545D" w:rsidRDefault="009E7838" w:rsidP="001A5D64">
            <w:pPr>
              <w:pStyle w:val="TableText"/>
              <w:rPr>
                <w:rFonts w:ascii="Times" w:hAnsi="Times"/>
              </w:rPr>
            </w:pPr>
            <w:r w:rsidRPr="0030545D">
              <w:t>QALYs</w:t>
            </w:r>
          </w:p>
        </w:tc>
        <w:tc>
          <w:tcPr>
            <w:tcW w:w="900" w:type="pct"/>
            <w:vAlign w:val="center"/>
          </w:tcPr>
          <w:p w14:paraId="6E2F3958" w14:textId="77777777" w:rsidR="009E7838" w:rsidRPr="0030545D" w:rsidRDefault="009E7838" w:rsidP="001A5D64">
            <w:pPr>
              <w:pStyle w:val="TableText"/>
              <w:jc w:val="center"/>
            </w:pPr>
            <w:r w:rsidRPr="0030545D">
              <w:t>2.8201</w:t>
            </w:r>
          </w:p>
        </w:tc>
        <w:tc>
          <w:tcPr>
            <w:tcW w:w="952" w:type="pct"/>
            <w:vAlign w:val="center"/>
          </w:tcPr>
          <w:p w14:paraId="24B7CD7F" w14:textId="77777777" w:rsidR="009E7838" w:rsidRPr="0030545D" w:rsidRDefault="009E7838" w:rsidP="001A5D64">
            <w:pPr>
              <w:pStyle w:val="TableText"/>
              <w:jc w:val="center"/>
            </w:pPr>
            <w:r w:rsidRPr="0030545D">
              <w:t>1.8949</w:t>
            </w:r>
          </w:p>
        </w:tc>
        <w:tc>
          <w:tcPr>
            <w:tcW w:w="837" w:type="pct"/>
            <w:vAlign w:val="center"/>
          </w:tcPr>
          <w:p w14:paraId="3A534399" w14:textId="77777777" w:rsidR="009E7838" w:rsidRPr="0030545D" w:rsidRDefault="009E7838" w:rsidP="001A5D64">
            <w:pPr>
              <w:pStyle w:val="TableText"/>
              <w:jc w:val="center"/>
            </w:pPr>
            <w:r w:rsidRPr="0030545D">
              <w:t>0.9252</w:t>
            </w:r>
          </w:p>
        </w:tc>
      </w:tr>
      <w:tr w:rsidR="009E7838" w:rsidRPr="0030545D" w14:paraId="0035AFAD" w14:textId="77777777" w:rsidTr="001A5D64">
        <w:tc>
          <w:tcPr>
            <w:tcW w:w="4163" w:type="pct"/>
            <w:gridSpan w:val="3"/>
            <w:vAlign w:val="center"/>
          </w:tcPr>
          <w:p w14:paraId="08267F48" w14:textId="77777777" w:rsidR="009E7838" w:rsidRPr="0030545D" w:rsidRDefault="009E7838" w:rsidP="001A5D64">
            <w:pPr>
              <w:pStyle w:val="TableText"/>
              <w:rPr>
                <w:rFonts w:ascii="Times" w:hAnsi="Times"/>
                <w:b/>
              </w:rPr>
            </w:pPr>
            <w:r w:rsidRPr="0030545D">
              <w:rPr>
                <w:b/>
              </w:rPr>
              <w:t>Incremental cost per QALY gained</w:t>
            </w:r>
          </w:p>
        </w:tc>
        <w:tc>
          <w:tcPr>
            <w:tcW w:w="837" w:type="pct"/>
            <w:vAlign w:val="center"/>
          </w:tcPr>
          <w:p w14:paraId="47ED9338" w14:textId="77777777" w:rsidR="009E7838" w:rsidRPr="00684758" w:rsidRDefault="009E7838" w:rsidP="001A5D64">
            <w:pPr>
              <w:pStyle w:val="TableText"/>
              <w:jc w:val="center"/>
              <w:rPr>
                <w:b/>
                <w:bCs w:val="0"/>
                <w:vertAlign w:val="superscript"/>
              </w:rPr>
            </w:pPr>
            <w:r w:rsidRPr="0030545D">
              <w:rPr>
                <w:b/>
                <w:bCs w:val="0"/>
              </w:rPr>
              <w:t>$</w:t>
            </w:r>
            <w:r w:rsidR="00916E6D">
              <w:rPr>
                <w:b/>
                <w:bCs w:val="0"/>
                <w:noProof/>
                <w:color w:val="000000"/>
                <w:highlight w:val="black"/>
              </w:rPr>
              <w:t>''''''''''''''</w:t>
            </w:r>
            <w:r w:rsidR="00684758" w:rsidRPr="00684758">
              <w:rPr>
                <w:b/>
                <w:bCs w:val="0"/>
                <w:vertAlign w:val="superscript"/>
              </w:rPr>
              <w:t>1</w:t>
            </w:r>
          </w:p>
        </w:tc>
      </w:tr>
    </w:tbl>
    <w:p w14:paraId="26A13BA4" w14:textId="77777777" w:rsidR="009E7838" w:rsidRPr="0030545D" w:rsidRDefault="009E7838" w:rsidP="00441BAE">
      <w:pPr>
        <w:pStyle w:val="TableFooter"/>
      </w:pPr>
      <w:r w:rsidRPr="0030545D">
        <w:t>Source: Table 3-25 of the submission</w:t>
      </w:r>
    </w:p>
    <w:p w14:paraId="1279DA79" w14:textId="77777777" w:rsidR="00A86848" w:rsidRDefault="009E7838" w:rsidP="00684758">
      <w:pPr>
        <w:pStyle w:val="TableFooter"/>
        <w:spacing w:after="0"/>
        <w:contextualSpacing w:val="0"/>
      </w:pPr>
      <w:r w:rsidRPr="0030545D">
        <w:t>Abbreviations: QALY, quality adjusted life years</w:t>
      </w:r>
    </w:p>
    <w:p w14:paraId="67BF184A" w14:textId="77777777" w:rsidR="00684758" w:rsidRDefault="00684758" w:rsidP="00684758">
      <w:pPr>
        <w:pStyle w:val="TableFigureFooter"/>
        <w:spacing w:after="0"/>
        <w:contextualSpacing w:val="0"/>
        <w:rPr>
          <w:i/>
        </w:rPr>
      </w:pPr>
      <w:r w:rsidRPr="009868C4">
        <w:rPr>
          <w:i/>
        </w:rPr>
        <w:t>The redacted values correspond to the following ranges</w:t>
      </w:r>
      <w:r>
        <w:rPr>
          <w:i/>
        </w:rPr>
        <w:t>:</w:t>
      </w:r>
    </w:p>
    <w:p w14:paraId="2913C1E6" w14:textId="77777777" w:rsidR="00684758" w:rsidRPr="00684758" w:rsidRDefault="00684758" w:rsidP="00684758">
      <w:pPr>
        <w:pStyle w:val="TableFigureFooter"/>
        <w:spacing w:after="0"/>
        <w:contextualSpacing w:val="0"/>
      </w:pPr>
      <w:r>
        <w:rPr>
          <w:i/>
          <w:vertAlign w:val="superscript"/>
        </w:rPr>
        <w:t>1</w:t>
      </w:r>
      <w:r>
        <w:rPr>
          <w:i/>
        </w:rPr>
        <w:t xml:space="preserve"> </w:t>
      </w:r>
      <w:r w:rsidRPr="00684758">
        <w:rPr>
          <w:i/>
        </w:rPr>
        <w:t>$55,000 to &lt; $75,000</w:t>
      </w:r>
      <w:r>
        <w:rPr>
          <w:i/>
        </w:rPr>
        <w:t>/QALY gained</w:t>
      </w:r>
    </w:p>
    <w:p w14:paraId="7602676C" w14:textId="77777777" w:rsidR="00684758" w:rsidRPr="0030545D" w:rsidRDefault="00684758" w:rsidP="00C14F95">
      <w:pPr>
        <w:pStyle w:val="TableFooter"/>
        <w:spacing w:after="120"/>
      </w:pPr>
    </w:p>
    <w:p w14:paraId="55469664" w14:textId="77777777" w:rsidR="00A86848" w:rsidRPr="0030545D" w:rsidRDefault="00A86848" w:rsidP="00E8702D">
      <w:pPr>
        <w:pStyle w:val="ExecSumBodyText"/>
      </w:pPr>
      <w:r w:rsidRPr="0030545D">
        <w:t xml:space="preserve">Based on the economic model, treatment with deutetrabenazine was associated with an incremental cost per QALY gained of </w:t>
      </w:r>
      <w:r w:rsidR="00E8702D">
        <w:t>$55,000 to &lt; $75,000</w:t>
      </w:r>
      <w:r w:rsidRPr="0030545D">
        <w:t xml:space="preserve"> compared to placebo for the treatment of chorea associated with Huntington’s disease. The cost-effectiveness estimate should not be considered reliable given poorly justified assumptions linking the decision tree and Markov cohort models, the implausibly large differences in health state utility values, and highly discordant estimates of disease management costs (see </w:t>
      </w:r>
      <w:r w:rsidR="001817A9" w:rsidRPr="0030545D">
        <w:t>Table 9</w:t>
      </w:r>
      <w:r w:rsidRPr="0030545D">
        <w:t>).</w:t>
      </w:r>
    </w:p>
    <w:p w14:paraId="1004536C" w14:textId="77777777" w:rsidR="00123168" w:rsidRPr="0030545D" w:rsidRDefault="00A86848" w:rsidP="00123168">
      <w:pPr>
        <w:pStyle w:val="ExecSumBodyText"/>
        <w:rPr>
          <w:bCs/>
          <w:color w:val="0066FF"/>
        </w:rPr>
      </w:pPr>
      <w:r w:rsidRPr="0030545D">
        <w:t>The cost effectiveness estimate was based on clinical inputs from the first-line treatment setting which are unlikely to be generali</w:t>
      </w:r>
      <w:r w:rsidR="004246B7" w:rsidRPr="0030545D">
        <w:t>s</w:t>
      </w:r>
      <w:r w:rsidRPr="0030545D">
        <w:t xml:space="preserve">able to the subsequent-line setting. </w:t>
      </w:r>
    </w:p>
    <w:p w14:paraId="11010897" w14:textId="77777777" w:rsidR="009E7838" w:rsidRPr="0030545D" w:rsidRDefault="00123168" w:rsidP="00123168">
      <w:pPr>
        <w:pStyle w:val="ExecSumBodyText"/>
        <w:rPr>
          <w:bCs/>
        </w:rPr>
      </w:pPr>
      <w:r w:rsidRPr="0030545D">
        <w:rPr>
          <w:bCs/>
        </w:rPr>
        <w:t>The results of the sensitivity analyses indicated that the model was most sensitive to the assumptions linking the decision tree and Markov cohort models, health state utility values and disease management costs.</w:t>
      </w:r>
    </w:p>
    <w:p w14:paraId="6FB33EBA" w14:textId="77777777" w:rsidR="009E7838" w:rsidRPr="0030545D" w:rsidRDefault="009E7838" w:rsidP="009E7838">
      <w:pPr>
        <w:pStyle w:val="Tableheadingrow"/>
        <w:rPr>
          <w:rStyle w:val="CommentReference"/>
          <w:b/>
          <w:szCs w:val="20"/>
          <w:lang w:val="en-AU"/>
        </w:rPr>
      </w:pPr>
      <w:r w:rsidRPr="0030545D">
        <w:rPr>
          <w:rStyle w:val="CommentReference"/>
          <w:b/>
          <w:szCs w:val="20"/>
          <w:lang w:val="en-AU"/>
        </w:rPr>
        <w:t>Table 1</w:t>
      </w:r>
      <w:r w:rsidR="00ED3393" w:rsidRPr="0030545D">
        <w:rPr>
          <w:rStyle w:val="CommentReference"/>
          <w:b/>
          <w:szCs w:val="20"/>
          <w:lang w:val="en-AU"/>
        </w:rPr>
        <w:t>2</w:t>
      </w:r>
      <w:r w:rsidRPr="0030545D">
        <w:rPr>
          <w:rStyle w:val="CommentReference"/>
          <w:b/>
          <w:szCs w:val="20"/>
          <w:lang w:val="en-AU"/>
        </w:rPr>
        <w:t xml:space="preserve">:  Results of key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0"/>
        <w:gridCol w:w="1658"/>
        <w:gridCol w:w="1659"/>
        <w:gridCol w:w="1232"/>
      </w:tblGrid>
      <w:tr w:rsidR="009E7838" w:rsidRPr="0030545D" w14:paraId="10C0391C" w14:textId="77777777" w:rsidTr="001A5D64">
        <w:trPr>
          <w:tblHeader/>
        </w:trPr>
        <w:tc>
          <w:tcPr>
            <w:tcW w:w="4480" w:type="dxa"/>
            <w:tcMar>
              <w:top w:w="0" w:type="dxa"/>
              <w:left w:w="108" w:type="dxa"/>
              <w:bottom w:w="0" w:type="dxa"/>
              <w:right w:w="108" w:type="dxa"/>
            </w:tcMar>
            <w:hideMark/>
          </w:tcPr>
          <w:p w14:paraId="4A7A5669" w14:textId="77777777" w:rsidR="009E7838" w:rsidRPr="0030545D" w:rsidRDefault="009E7838" w:rsidP="001A5D64">
            <w:pPr>
              <w:pStyle w:val="Tabletext0"/>
              <w:rPr>
                <w:szCs w:val="20"/>
              </w:rPr>
            </w:pPr>
            <w:r w:rsidRPr="0030545D">
              <w:rPr>
                <w:b/>
                <w:bCs/>
                <w:szCs w:val="20"/>
              </w:rPr>
              <w:t>Analyses</w:t>
            </w:r>
          </w:p>
        </w:tc>
        <w:tc>
          <w:tcPr>
            <w:tcW w:w="1658" w:type="dxa"/>
            <w:tcMar>
              <w:top w:w="0" w:type="dxa"/>
              <w:left w:w="108" w:type="dxa"/>
              <w:bottom w:w="0" w:type="dxa"/>
              <w:right w:w="108" w:type="dxa"/>
            </w:tcMar>
            <w:hideMark/>
          </w:tcPr>
          <w:p w14:paraId="5251E943" w14:textId="77777777" w:rsidR="009E7838" w:rsidRPr="0030545D" w:rsidRDefault="009E7838" w:rsidP="0011403B">
            <w:pPr>
              <w:pStyle w:val="Tabletext0"/>
              <w:jc w:val="center"/>
              <w:rPr>
                <w:b/>
                <w:bCs/>
                <w:szCs w:val="20"/>
              </w:rPr>
            </w:pPr>
            <w:r w:rsidRPr="0030545D">
              <w:rPr>
                <w:b/>
                <w:bCs/>
                <w:szCs w:val="20"/>
              </w:rPr>
              <w:t>Incremental cost</w:t>
            </w:r>
          </w:p>
        </w:tc>
        <w:tc>
          <w:tcPr>
            <w:tcW w:w="1659" w:type="dxa"/>
            <w:tcMar>
              <w:top w:w="0" w:type="dxa"/>
              <w:left w:w="108" w:type="dxa"/>
              <w:bottom w:w="0" w:type="dxa"/>
              <w:right w:w="108" w:type="dxa"/>
            </w:tcMar>
            <w:hideMark/>
          </w:tcPr>
          <w:p w14:paraId="2B6E977E" w14:textId="77777777" w:rsidR="009E7838" w:rsidRPr="0030545D" w:rsidRDefault="009E7838" w:rsidP="0011403B">
            <w:pPr>
              <w:pStyle w:val="Tabletext0"/>
              <w:jc w:val="center"/>
              <w:rPr>
                <w:b/>
                <w:bCs/>
                <w:szCs w:val="20"/>
              </w:rPr>
            </w:pPr>
            <w:r w:rsidRPr="0030545D">
              <w:rPr>
                <w:b/>
                <w:bCs/>
                <w:szCs w:val="20"/>
              </w:rPr>
              <w:t>Incremental QALY</w:t>
            </w:r>
          </w:p>
        </w:tc>
        <w:tc>
          <w:tcPr>
            <w:tcW w:w="1232" w:type="dxa"/>
            <w:tcMar>
              <w:top w:w="0" w:type="dxa"/>
              <w:left w:w="108" w:type="dxa"/>
              <w:bottom w:w="0" w:type="dxa"/>
              <w:right w:w="108" w:type="dxa"/>
            </w:tcMar>
            <w:hideMark/>
          </w:tcPr>
          <w:p w14:paraId="4CB682AE" w14:textId="77777777" w:rsidR="009E7838" w:rsidRPr="0030545D" w:rsidRDefault="009E7838" w:rsidP="0011403B">
            <w:pPr>
              <w:pStyle w:val="Tabletext0"/>
              <w:jc w:val="center"/>
              <w:rPr>
                <w:b/>
                <w:bCs/>
                <w:szCs w:val="20"/>
              </w:rPr>
            </w:pPr>
            <w:r w:rsidRPr="0030545D">
              <w:rPr>
                <w:b/>
                <w:bCs/>
                <w:szCs w:val="20"/>
              </w:rPr>
              <w:t>ICER</w:t>
            </w:r>
          </w:p>
        </w:tc>
      </w:tr>
      <w:tr w:rsidR="009E7838" w:rsidRPr="0030545D" w14:paraId="7C08A47D" w14:textId="77777777" w:rsidTr="001A5D64">
        <w:tc>
          <w:tcPr>
            <w:tcW w:w="4480" w:type="dxa"/>
            <w:tcMar>
              <w:top w:w="0" w:type="dxa"/>
              <w:left w:w="108" w:type="dxa"/>
              <w:bottom w:w="0" w:type="dxa"/>
              <w:right w:w="108" w:type="dxa"/>
            </w:tcMar>
            <w:hideMark/>
          </w:tcPr>
          <w:p w14:paraId="395BB03A" w14:textId="77777777" w:rsidR="009E7838" w:rsidRPr="0030545D" w:rsidRDefault="009E7838" w:rsidP="001A5D64">
            <w:pPr>
              <w:pStyle w:val="Tabletext0"/>
              <w:rPr>
                <w:b/>
                <w:bCs/>
                <w:szCs w:val="20"/>
                <w:vertAlign w:val="superscript"/>
              </w:rPr>
            </w:pPr>
            <w:r w:rsidRPr="0030545D">
              <w:rPr>
                <w:b/>
                <w:bCs/>
                <w:szCs w:val="20"/>
              </w:rPr>
              <w:t>Base case</w:t>
            </w:r>
          </w:p>
        </w:tc>
        <w:tc>
          <w:tcPr>
            <w:tcW w:w="1658" w:type="dxa"/>
            <w:tcMar>
              <w:top w:w="0" w:type="dxa"/>
              <w:left w:w="108" w:type="dxa"/>
              <w:bottom w:w="0" w:type="dxa"/>
              <w:right w:w="108" w:type="dxa"/>
            </w:tcMar>
          </w:tcPr>
          <w:p w14:paraId="0D847EBC" w14:textId="77777777" w:rsidR="009E7838" w:rsidRPr="0030545D" w:rsidRDefault="009E7838" w:rsidP="0011403B">
            <w:pPr>
              <w:pStyle w:val="Tabletext0"/>
              <w:jc w:val="center"/>
              <w:rPr>
                <w:szCs w:val="20"/>
              </w:rPr>
            </w:pPr>
            <w:r w:rsidRPr="0030545D">
              <w:t>$</w:t>
            </w:r>
            <w:r w:rsidR="00916E6D">
              <w:rPr>
                <w:noProof/>
                <w:color w:val="000000"/>
                <w:highlight w:val="black"/>
              </w:rPr>
              <w:t>'''''''''''''''</w:t>
            </w:r>
          </w:p>
        </w:tc>
        <w:tc>
          <w:tcPr>
            <w:tcW w:w="1659" w:type="dxa"/>
            <w:tcMar>
              <w:top w:w="0" w:type="dxa"/>
              <w:left w:w="108" w:type="dxa"/>
              <w:bottom w:w="0" w:type="dxa"/>
              <w:right w:w="108" w:type="dxa"/>
            </w:tcMar>
          </w:tcPr>
          <w:p w14:paraId="2EFEA7B9" w14:textId="77777777" w:rsidR="009E7838" w:rsidRPr="0030545D" w:rsidRDefault="009E7838" w:rsidP="0011403B">
            <w:pPr>
              <w:pStyle w:val="Tabletext0"/>
              <w:jc w:val="center"/>
              <w:rPr>
                <w:b/>
                <w:bCs/>
                <w:szCs w:val="20"/>
              </w:rPr>
            </w:pPr>
            <w:r w:rsidRPr="0030545D">
              <w:t>0.9252</w:t>
            </w:r>
          </w:p>
        </w:tc>
        <w:tc>
          <w:tcPr>
            <w:tcW w:w="1232" w:type="dxa"/>
            <w:tcMar>
              <w:top w:w="0" w:type="dxa"/>
              <w:left w:w="108" w:type="dxa"/>
              <w:bottom w:w="0" w:type="dxa"/>
              <w:right w:w="108" w:type="dxa"/>
            </w:tcMar>
          </w:tcPr>
          <w:p w14:paraId="7A752B3C" w14:textId="77777777" w:rsidR="009E7838" w:rsidRPr="00FE30B9" w:rsidRDefault="009E7838" w:rsidP="0011403B">
            <w:pPr>
              <w:pStyle w:val="Tabletext0"/>
              <w:jc w:val="center"/>
              <w:rPr>
                <w:szCs w:val="20"/>
                <w:vertAlign w:val="superscript"/>
              </w:rPr>
            </w:pPr>
            <w:r w:rsidRPr="0030545D">
              <w:rPr>
                <w:b/>
                <w:bCs/>
              </w:rPr>
              <w:t>$</w:t>
            </w:r>
            <w:r w:rsidR="00916E6D">
              <w:rPr>
                <w:b/>
                <w:bCs/>
                <w:noProof/>
                <w:color w:val="000000"/>
                <w:highlight w:val="black"/>
              </w:rPr>
              <w:t>'''''''''''''''</w:t>
            </w:r>
            <w:r w:rsidR="00FE30B9" w:rsidRPr="00FE30B9">
              <w:rPr>
                <w:bCs/>
                <w:vertAlign w:val="superscript"/>
              </w:rPr>
              <w:t>1</w:t>
            </w:r>
          </w:p>
        </w:tc>
      </w:tr>
      <w:tr w:rsidR="009E7838" w:rsidRPr="0030545D" w14:paraId="4B050EE3" w14:textId="77777777" w:rsidTr="001A5D64">
        <w:tc>
          <w:tcPr>
            <w:tcW w:w="9029" w:type="dxa"/>
            <w:gridSpan w:val="4"/>
            <w:tcMar>
              <w:top w:w="0" w:type="dxa"/>
              <w:left w:w="108" w:type="dxa"/>
              <w:bottom w:w="0" w:type="dxa"/>
              <w:right w:w="108" w:type="dxa"/>
            </w:tcMar>
          </w:tcPr>
          <w:p w14:paraId="729B4DD0" w14:textId="77777777" w:rsidR="009E7838" w:rsidRPr="0030545D" w:rsidRDefault="009E7838" w:rsidP="0011403B">
            <w:pPr>
              <w:pStyle w:val="Tabletext0"/>
              <w:rPr>
                <w:szCs w:val="20"/>
              </w:rPr>
            </w:pPr>
            <w:r w:rsidRPr="0030545D">
              <w:rPr>
                <w:b/>
                <w:bCs/>
                <w:szCs w:val="20"/>
              </w:rPr>
              <w:t>Assumptions linking decision analysis and Markov cohort model (base case:</w:t>
            </w:r>
            <w:r w:rsidRPr="0030545D">
              <w:rPr>
                <w:szCs w:val="20"/>
              </w:rPr>
              <w:t xml:space="preserve"> </w:t>
            </w:r>
            <w:r w:rsidRPr="0030545D">
              <w:rPr>
                <w:b/>
                <w:bCs/>
                <w:szCs w:val="20"/>
              </w:rPr>
              <w:t>deutetrabenazine non-responders discontinue therapy, deutetrabenazine responders maintain benefit while on treatment while placebo responders/non-responders discontinue therapy</w:t>
            </w:r>
            <w:r w:rsidRPr="0030545D">
              <w:rPr>
                <w:szCs w:val="20"/>
              </w:rPr>
              <w:t>)</w:t>
            </w:r>
          </w:p>
        </w:tc>
      </w:tr>
      <w:tr w:rsidR="009E7838" w:rsidRPr="0030545D" w14:paraId="4B538C39" w14:textId="77777777" w:rsidTr="001A5D64">
        <w:tc>
          <w:tcPr>
            <w:tcW w:w="4480" w:type="dxa"/>
            <w:tcMar>
              <w:top w:w="0" w:type="dxa"/>
              <w:left w:w="108" w:type="dxa"/>
              <w:bottom w:w="0" w:type="dxa"/>
              <w:right w:w="108" w:type="dxa"/>
            </w:tcMar>
          </w:tcPr>
          <w:p w14:paraId="1C18EAB7" w14:textId="77777777" w:rsidR="009E7838" w:rsidRPr="0030545D" w:rsidRDefault="009E7838" w:rsidP="001A5D64">
            <w:pPr>
              <w:pStyle w:val="Tabletext0"/>
              <w:rPr>
                <w:iCs/>
                <w:szCs w:val="20"/>
              </w:rPr>
            </w:pPr>
            <w:r w:rsidRPr="0030545D">
              <w:rPr>
                <w:iCs/>
                <w:szCs w:val="20"/>
              </w:rPr>
              <w:t>Deutetrabenazine non-responders continue therapy</w:t>
            </w:r>
          </w:p>
        </w:tc>
        <w:tc>
          <w:tcPr>
            <w:tcW w:w="1658" w:type="dxa"/>
            <w:tcMar>
              <w:top w:w="0" w:type="dxa"/>
              <w:left w:w="108" w:type="dxa"/>
              <w:bottom w:w="0" w:type="dxa"/>
              <w:right w:w="108" w:type="dxa"/>
            </w:tcMar>
          </w:tcPr>
          <w:p w14:paraId="02F13691"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p>
        </w:tc>
        <w:tc>
          <w:tcPr>
            <w:tcW w:w="1659" w:type="dxa"/>
            <w:tcMar>
              <w:top w:w="0" w:type="dxa"/>
              <w:left w:w="108" w:type="dxa"/>
              <w:bottom w:w="0" w:type="dxa"/>
              <w:right w:w="108" w:type="dxa"/>
            </w:tcMar>
          </w:tcPr>
          <w:p w14:paraId="7AC7021C" w14:textId="77777777" w:rsidR="009E7838" w:rsidRPr="0030545D" w:rsidRDefault="009E7838" w:rsidP="0011403B">
            <w:pPr>
              <w:pStyle w:val="Tabletext0"/>
              <w:jc w:val="center"/>
              <w:rPr>
                <w:iCs/>
                <w:szCs w:val="20"/>
              </w:rPr>
            </w:pPr>
            <w:r w:rsidRPr="0030545D">
              <w:rPr>
                <w:iCs/>
              </w:rPr>
              <w:t>0.9252</w:t>
            </w:r>
          </w:p>
        </w:tc>
        <w:tc>
          <w:tcPr>
            <w:tcW w:w="1232" w:type="dxa"/>
            <w:tcMar>
              <w:top w:w="0" w:type="dxa"/>
              <w:left w:w="108" w:type="dxa"/>
              <w:bottom w:w="0" w:type="dxa"/>
              <w:right w:w="108" w:type="dxa"/>
            </w:tcMar>
          </w:tcPr>
          <w:p w14:paraId="3FA8D72C"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r w:rsidR="00FE30B9" w:rsidRPr="00FE30B9">
              <w:rPr>
                <w:bCs/>
                <w:vertAlign w:val="superscript"/>
              </w:rPr>
              <w:t>2</w:t>
            </w:r>
          </w:p>
        </w:tc>
      </w:tr>
      <w:tr w:rsidR="009E7838" w:rsidRPr="0030545D" w14:paraId="7C58312A" w14:textId="77777777" w:rsidTr="001A5D64">
        <w:tc>
          <w:tcPr>
            <w:tcW w:w="4480" w:type="dxa"/>
            <w:tcMar>
              <w:top w:w="0" w:type="dxa"/>
              <w:left w:w="108" w:type="dxa"/>
              <w:bottom w:w="0" w:type="dxa"/>
              <w:right w:w="108" w:type="dxa"/>
            </w:tcMar>
          </w:tcPr>
          <w:p w14:paraId="5F374D5B" w14:textId="77777777" w:rsidR="009E7838" w:rsidRPr="0030545D" w:rsidRDefault="009E7838" w:rsidP="001A5D64">
            <w:pPr>
              <w:pStyle w:val="Tabletext0"/>
              <w:rPr>
                <w:iCs/>
                <w:szCs w:val="20"/>
              </w:rPr>
            </w:pPr>
            <w:r w:rsidRPr="0030545D">
              <w:rPr>
                <w:iCs/>
                <w:szCs w:val="20"/>
              </w:rPr>
              <w:t>Deutetrabenazine responders lose benefit after 5 years</w:t>
            </w:r>
          </w:p>
        </w:tc>
        <w:tc>
          <w:tcPr>
            <w:tcW w:w="1658" w:type="dxa"/>
            <w:tcMar>
              <w:top w:w="0" w:type="dxa"/>
              <w:left w:w="108" w:type="dxa"/>
              <w:bottom w:w="0" w:type="dxa"/>
              <w:right w:w="108" w:type="dxa"/>
            </w:tcMar>
          </w:tcPr>
          <w:p w14:paraId="679F966A"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p>
        </w:tc>
        <w:tc>
          <w:tcPr>
            <w:tcW w:w="1659" w:type="dxa"/>
            <w:tcMar>
              <w:top w:w="0" w:type="dxa"/>
              <w:left w:w="108" w:type="dxa"/>
              <w:bottom w:w="0" w:type="dxa"/>
              <w:right w:w="108" w:type="dxa"/>
            </w:tcMar>
          </w:tcPr>
          <w:p w14:paraId="705A5219" w14:textId="77777777" w:rsidR="009E7838" w:rsidRPr="0030545D" w:rsidRDefault="009E7838" w:rsidP="0011403B">
            <w:pPr>
              <w:pStyle w:val="Tabletext0"/>
              <w:jc w:val="center"/>
              <w:rPr>
                <w:iCs/>
                <w:szCs w:val="20"/>
              </w:rPr>
            </w:pPr>
            <w:r w:rsidRPr="0030545D">
              <w:rPr>
                <w:iCs/>
              </w:rPr>
              <w:t>0.6719</w:t>
            </w:r>
          </w:p>
        </w:tc>
        <w:tc>
          <w:tcPr>
            <w:tcW w:w="1232" w:type="dxa"/>
            <w:tcMar>
              <w:top w:w="0" w:type="dxa"/>
              <w:left w:w="108" w:type="dxa"/>
              <w:bottom w:w="0" w:type="dxa"/>
              <w:right w:w="108" w:type="dxa"/>
            </w:tcMar>
          </w:tcPr>
          <w:p w14:paraId="540C7102"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r w:rsidR="00FE30B9" w:rsidRPr="00FE30B9">
              <w:rPr>
                <w:bCs/>
                <w:vertAlign w:val="superscript"/>
              </w:rPr>
              <w:t>2</w:t>
            </w:r>
          </w:p>
        </w:tc>
      </w:tr>
      <w:tr w:rsidR="009E7838" w:rsidRPr="0030545D" w14:paraId="184071A5" w14:textId="77777777" w:rsidTr="001A5D64">
        <w:tc>
          <w:tcPr>
            <w:tcW w:w="4480" w:type="dxa"/>
            <w:tcMar>
              <w:top w:w="0" w:type="dxa"/>
              <w:left w:w="108" w:type="dxa"/>
              <w:bottom w:w="0" w:type="dxa"/>
              <w:right w:w="108" w:type="dxa"/>
            </w:tcMar>
          </w:tcPr>
          <w:p w14:paraId="5E63177C" w14:textId="77777777" w:rsidR="009E7838" w:rsidRPr="0030545D" w:rsidRDefault="009E7838" w:rsidP="001A5D64">
            <w:pPr>
              <w:pStyle w:val="Tabletext0"/>
              <w:rPr>
                <w:iCs/>
                <w:szCs w:val="20"/>
              </w:rPr>
            </w:pPr>
            <w:r w:rsidRPr="0030545D">
              <w:rPr>
                <w:iCs/>
                <w:szCs w:val="20"/>
              </w:rPr>
              <w:t>Deutetrabenazine responders lose benefit after 3 years</w:t>
            </w:r>
          </w:p>
        </w:tc>
        <w:tc>
          <w:tcPr>
            <w:tcW w:w="1658" w:type="dxa"/>
            <w:tcMar>
              <w:top w:w="0" w:type="dxa"/>
              <w:left w:w="108" w:type="dxa"/>
              <w:bottom w:w="0" w:type="dxa"/>
              <w:right w:w="108" w:type="dxa"/>
            </w:tcMar>
          </w:tcPr>
          <w:p w14:paraId="1A88DA5F"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p>
        </w:tc>
        <w:tc>
          <w:tcPr>
            <w:tcW w:w="1659" w:type="dxa"/>
            <w:tcMar>
              <w:top w:w="0" w:type="dxa"/>
              <w:left w:w="108" w:type="dxa"/>
              <w:bottom w:w="0" w:type="dxa"/>
              <w:right w:w="108" w:type="dxa"/>
            </w:tcMar>
          </w:tcPr>
          <w:p w14:paraId="0F2E3EB0" w14:textId="77777777" w:rsidR="009E7838" w:rsidRPr="0030545D" w:rsidRDefault="009E7838" w:rsidP="0011403B">
            <w:pPr>
              <w:pStyle w:val="Tabletext0"/>
              <w:jc w:val="center"/>
              <w:rPr>
                <w:iCs/>
                <w:szCs w:val="20"/>
              </w:rPr>
            </w:pPr>
            <w:r w:rsidRPr="0030545D">
              <w:rPr>
                <w:iCs/>
              </w:rPr>
              <w:t>0.4732</w:t>
            </w:r>
          </w:p>
        </w:tc>
        <w:tc>
          <w:tcPr>
            <w:tcW w:w="1232" w:type="dxa"/>
            <w:tcMar>
              <w:top w:w="0" w:type="dxa"/>
              <w:left w:w="108" w:type="dxa"/>
              <w:bottom w:w="0" w:type="dxa"/>
              <w:right w:w="108" w:type="dxa"/>
            </w:tcMar>
          </w:tcPr>
          <w:p w14:paraId="7C27A70C"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r w:rsidR="00FE30B9" w:rsidRPr="00FE30B9">
              <w:rPr>
                <w:bCs/>
                <w:vertAlign w:val="superscript"/>
              </w:rPr>
              <w:t>3</w:t>
            </w:r>
          </w:p>
        </w:tc>
      </w:tr>
      <w:tr w:rsidR="009E7838" w:rsidRPr="0030545D" w14:paraId="01B97370" w14:textId="77777777" w:rsidTr="001A5D64">
        <w:tc>
          <w:tcPr>
            <w:tcW w:w="4480" w:type="dxa"/>
            <w:tcMar>
              <w:top w:w="0" w:type="dxa"/>
              <w:left w:w="108" w:type="dxa"/>
              <w:bottom w:w="0" w:type="dxa"/>
              <w:right w:w="108" w:type="dxa"/>
            </w:tcMar>
          </w:tcPr>
          <w:p w14:paraId="7B548B33" w14:textId="77777777" w:rsidR="009E7838" w:rsidRPr="0030545D" w:rsidRDefault="009E7838" w:rsidP="001A5D64">
            <w:pPr>
              <w:pStyle w:val="Tabletext0"/>
              <w:rPr>
                <w:iCs/>
                <w:szCs w:val="20"/>
              </w:rPr>
            </w:pPr>
            <w:r w:rsidRPr="0030545D">
              <w:rPr>
                <w:iCs/>
                <w:szCs w:val="20"/>
              </w:rPr>
              <w:t>Placebo responders maintain benefit for 1 year</w:t>
            </w:r>
          </w:p>
        </w:tc>
        <w:tc>
          <w:tcPr>
            <w:tcW w:w="1658" w:type="dxa"/>
            <w:tcMar>
              <w:top w:w="0" w:type="dxa"/>
              <w:left w:w="108" w:type="dxa"/>
              <w:bottom w:w="0" w:type="dxa"/>
              <w:right w:w="108" w:type="dxa"/>
            </w:tcMar>
          </w:tcPr>
          <w:p w14:paraId="756D0F92"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p>
        </w:tc>
        <w:tc>
          <w:tcPr>
            <w:tcW w:w="1659" w:type="dxa"/>
            <w:tcMar>
              <w:top w:w="0" w:type="dxa"/>
              <w:left w:w="108" w:type="dxa"/>
              <w:bottom w:w="0" w:type="dxa"/>
              <w:right w:w="108" w:type="dxa"/>
            </w:tcMar>
          </w:tcPr>
          <w:p w14:paraId="73FB518B" w14:textId="77777777" w:rsidR="009E7838" w:rsidRPr="0030545D" w:rsidRDefault="009E7838" w:rsidP="0011403B">
            <w:pPr>
              <w:pStyle w:val="Tabletext0"/>
              <w:jc w:val="center"/>
              <w:rPr>
                <w:iCs/>
                <w:szCs w:val="20"/>
              </w:rPr>
            </w:pPr>
            <w:r w:rsidRPr="0030545D">
              <w:rPr>
                <w:iCs/>
              </w:rPr>
              <w:t>0.8529</w:t>
            </w:r>
          </w:p>
        </w:tc>
        <w:tc>
          <w:tcPr>
            <w:tcW w:w="1232" w:type="dxa"/>
            <w:tcMar>
              <w:top w:w="0" w:type="dxa"/>
              <w:left w:w="108" w:type="dxa"/>
              <w:bottom w:w="0" w:type="dxa"/>
              <w:right w:w="108" w:type="dxa"/>
            </w:tcMar>
          </w:tcPr>
          <w:p w14:paraId="0B7424EE"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r w:rsidR="00FE30B9" w:rsidRPr="00FE30B9">
              <w:rPr>
                <w:bCs/>
                <w:vertAlign w:val="superscript"/>
              </w:rPr>
              <w:t>4</w:t>
            </w:r>
          </w:p>
        </w:tc>
      </w:tr>
      <w:tr w:rsidR="009E7838" w:rsidRPr="0030545D" w14:paraId="6D44E6C1" w14:textId="77777777" w:rsidTr="001A5D64">
        <w:tc>
          <w:tcPr>
            <w:tcW w:w="4480" w:type="dxa"/>
            <w:tcMar>
              <w:top w:w="0" w:type="dxa"/>
              <w:left w:w="108" w:type="dxa"/>
              <w:bottom w:w="0" w:type="dxa"/>
              <w:right w:w="108" w:type="dxa"/>
            </w:tcMar>
          </w:tcPr>
          <w:p w14:paraId="428E5346" w14:textId="77777777" w:rsidR="009E7838" w:rsidRPr="0030545D" w:rsidRDefault="009E7838" w:rsidP="001A5D64">
            <w:pPr>
              <w:pStyle w:val="Tabletext0"/>
              <w:rPr>
                <w:iCs/>
                <w:szCs w:val="20"/>
              </w:rPr>
            </w:pPr>
            <w:r w:rsidRPr="0030545D">
              <w:rPr>
                <w:iCs/>
                <w:szCs w:val="20"/>
              </w:rPr>
              <w:t>Placebo responders maintain benefit for 5 years</w:t>
            </w:r>
          </w:p>
        </w:tc>
        <w:tc>
          <w:tcPr>
            <w:tcW w:w="1658" w:type="dxa"/>
            <w:tcMar>
              <w:top w:w="0" w:type="dxa"/>
              <w:left w:w="108" w:type="dxa"/>
              <w:bottom w:w="0" w:type="dxa"/>
              <w:right w:w="108" w:type="dxa"/>
            </w:tcMar>
          </w:tcPr>
          <w:p w14:paraId="691D7820"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p>
        </w:tc>
        <w:tc>
          <w:tcPr>
            <w:tcW w:w="1659" w:type="dxa"/>
            <w:tcMar>
              <w:top w:w="0" w:type="dxa"/>
              <w:left w:w="108" w:type="dxa"/>
              <w:bottom w:w="0" w:type="dxa"/>
              <w:right w:w="108" w:type="dxa"/>
            </w:tcMar>
          </w:tcPr>
          <w:p w14:paraId="2A965059" w14:textId="77777777" w:rsidR="009E7838" w:rsidRPr="0030545D" w:rsidRDefault="009E7838" w:rsidP="0011403B">
            <w:pPr>
              <w:pStyle w:val="Tabletext0"/>
              <w:jc w:val="center"/>
              <w:rPr>
                <w:iCs/>
                <w:szCs w:val="20"/>
              </w:rPr>
            </w:pPr>
            <w:r w:rsidRPr="0030545D">
              <w:rPr>
                <w:iCs/>
              </w:rPr>
              <w:t>0.5398</w:t>
            </w:r>
          </w:p>
        </w:tc>
        <w:tc>
          <w:tcPr>
            <w:tcW w:w="1232" w:type="dxa"/>
            <w:tcMar>
              <w:top w:w="0" w:type="dxa"/>
              <w:left w:w="108" w:type="dxa"/>
              <w:bottom w:w="0" w:type="dxa"/>
              <w:right w:w="108" w:type="dxa"/>
            </w:tcMar>
          </w:tcPr>
          <w:p w14:paraId="63952F4F" w14:textId="77777777" w:rsidR="009E7838" w:rsidRPr="0030545D" w:rsidRDefault="009E7838" w:rsidP="00FE30B9">
            <w:pPr>
              <w:pStyle w:val="Tabletext0"/>
              <w:jc w:val="center"/>
              <w:rPr>
                <w:iCs/>
                <w:szCs w:val="20"/>
              </w:rPr>
            </w:pPr>
            <w:r w:rsidRPr="0030545D">
              <w:rPr>
                <w:iCs/>
              </w:rPr>
              <w:t>$</w:t>
            </w:r>
            <w:r w:rsidR="00916E6D">
              <w:rPr>
                <w:iCs/>
                <w:noProof/>
                <w:color w:val="000000"/>
                <w:highlight w:val="black"/>
              </w:rPr>
              <w:t>''''''''''''''''''''</w:t>
            </w:r>
            <w:r w:rsidR="00FE30B9" w:rsidRPr="00FE30B9">
              <w:rPr>
                <w:bCs/>
                <w:vertAlign w:val="superscript"/>
              </w:rPr>
              <w:t>3</w:t>
            </w:r>
          </w:p>
        </w:tc>
      </w:tr>
      <w:tr w:rsidR="009E7838" w:rsidRPr="0030545D" w14:paraId="632EE987" w14:textId="77777777" w:rsidTr="001A5D64">
        <w:tc>
          <w:tcPr>
            <w:tcW w:w="4480" w:type="dxa"/>
            <w:tcMar>
              <w:top w:w="0" w:type="dxa"/>
              <w:left w:w="108" w:type="dxa"/>
              <w:bottom w:w="0" w:type="dxa"/>
              <w:right w:w="108" w:type="dxa"/>
            </w:tcMar>
          </w:tcPr>
          <w:p w14:paraId="07555A06" w14:textId="77777777" w:rsidR="009E7838" w:rsidRPr="0030545D" w:rsidRDefault="009E7838" w:rsidP="001A5D64">
            <w:pPr>
              <w:pStyle w:val="Tabletext0"/>
              <w:rPr>
                <w:iCs/>
                <w:szCs w:val="20"/>
              </w:rPr>
            </w:pPr>
            <w:r w:rsidRPr="0030545D">
              <w:rPr>
                <w:iCs/>
                <w:szCs w:val="20"/>
              </w:rPr>
              <w:t>Placebo responders maintain benefit for 10 years</w:t>
            </w:r>
          </w:p>
        </w:tc>
        <w:tc>
          <w:tcPr>
            <w:tcW w:w="1658" w:type="dxa"/>
            <w:tcMar>
              <w:top w:w="0" w:type="dxa"/>
              <w:left w:w="108" w:type="dxa"/>
              <w:bottom w:w="0" w:type="dxa"/>
              <w:right w:w="108" w:type="dxa"/>
            </w:tcMar>
          </w:tcPr>
          <w:p w14:paraId="706B5ED6"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p>
        </w:tc>
        <w:tc>
          <w:tcPr>
            <w:tcW w:w="1659" w:type="dxa"/>
            <w:tcMar>
              <w:top w:w="0" w:type="dxa"/>
              <w:left w:w="108" w:type="dxa"/>
              <w:bottom w:w="0" w:type="dxa"/>
              <w:right w:w="108" w:type="dxa"/>
            </w:tcMar>
          </w:tcPr>
          <w:p w14:paraId="62221C98" w14:textId="77777777" w:rsidR="009E7838" w:rsidRPr="0030545D" w:rsidRDefault="009E7838" w:rsidP="0011403B">
            <w:pPr>
              <w:pStyle w:val="Tabletext0"/>
              <w:jc w:val="center"/>
              <w:rPr>
                <w:iCs/>
                <w:szCs w:val="20"/>
              </w:rPr>
            </w:pPr>
            <w:r w:rsidRPr="0030545D">
              <w:rPr>
                <w:iCs/>
              </w:rPr>
              <w:t>0.2420</w:t>
            </w:r>
          </w:p>
        </w:tc>
        <w:tc>
          <w:tcPr>
            <w:tcW w:w="1232" w:type="dxa"/>
            <w:tcMar>
              <w:top w:w="0" w:type="dxa"/>
              <w:left w:w="108" w:type="dxa"/>
              <w:bottom w:w="0" w:type="dxa"/>
              <w:right w:w="108" w:type="dxa"/>
            </w:tcMar>
          </w:tcPr>
          <w:p w14:paraId="51AFDFF0" w14:textId="77777777" w:rsidR="009E7838" w:rsidRPr="0030545D" w:rsidRDefault="009E7838" w:rsidP="0011403B">
            <w:pPr>
              <w:pStyle w:val="Tabletext0"/>
              <w:jc w:val="center"/>
              <w:rPr>
                <w:iCs/>
                <w:szCs w:val="20"/>
              </w:rPr>
            </w:pPr>
            <w:r w:rsidRPr="0030545D">
              <w:rPr>
                <w:iCs/>
              </w:rPr>
              <w:t>$</w:t>
            </w:r>
            <w:r w:rsidR="00916E6D">
              <w:rPr>
                <w:iCs/>
                <w:noProof/>
                <w:color w:val="000000"/>
                <w:highlight w:val="black"/>
              </w:rPr>
              <w:t>'''''''''''''''''''</w:t>
            </w:r>
            <w:r w:rsidR="00FE30B9" w:rsidRPr="00FE30B9">
              <w:rPr>
                <w:bCs/>
                <w:vertAlign w:val="superscript"/>
              </w:rPr>
              <w:t>5</w:t>
            </w:r>
          </w:p>
        </w:tc>
      </w:tr>
      <w:tr w:rsidR="009E7838" w:rsidRPr="0030545D" w14:paraId="3D4BE7FE" w14:textId="77777777" w:rsidTr="001A5D64">
        <w:tc>
          <w:tcPr>
            <w:tcW w:w="9029" w:type="dxa"/>
            <w:gridSpan w:val="4"/>
            <w:tcMar>
              <w:top w:w="0" w:type="dxa"/>
              <w:left w:w="108" w:type="dxa"/>
              <w:bottom w:w="0" w:type="dxa"/>
              <w:right w:w="108" w:type="dxa"/>
            </w:tcMar>
          </w:tcPr>
          <w:p w14:paraId="19C1DD1A" w14:textId="77777777" w:rsidR="009E7838" w:rsidRPr="0030545D" w:rsidRDefault="009E7838" w:rsidP="0011403B">
            <w:pPr>
              <w:pStyle w:val="Tabletext0"/>
              <w:rPr>
                <w:b/>
                <w:bCs/>
                <w:szCs w:val="20"/>
              </w:rPr>
            </w:pPr>
            <w:r w:rsidRPr="0030545D">
              <w:rPr>
                <w:b/>
                <w:bCs/>
                <w:szCs w:val="20"/>
              </w:rPr>
              <w:t>Health state utility values (base case: improved chorea with deutetrabenazine 0.555, improved chorea with placebo 0.489, chorea 0.257 based on sponsor commission TTO study)</w:t>
            </w:r>
          </w:p>
        </w:tc>
      </w:tr>
      <w:tr w:rsidR="004246B7" w:rsidRPr="0030545D" w14:paraId="394897E9" w14:textId="77777777" w:rsidTr="001A5D64">
        <w:tc>
          <w:tcPr>
            <w:tcW w:w="4480" w:type="dxa"/>
            <w:tcMar>
              <w:top w:w="0" w:type="dxa"/>
              <w:left w:w="108" w:type="dxa"/>
              <w:bottom w:w="0" w:type="dxa"/>
              <w:right w:w="108" w:type="dxa"/>
            </w:tcMar>
          </w:tcPr>
          <w:p w14:paraId="240FC1EF" w14:textId="77777777" w:rsidR="004246B7" w:rsidRPr="0030545D" w:rsidRDefault="004246B7" w:rsidP="004246B7">
            <w:pPr>
              <w:pStyle w:val="Tabletext0"/>
              <w:rPr>
                <w:iCs/>
                <w:szCs w:val="20"/>
              </w:rPr>
            </w:pPr>
            <w:r w:rsidRPr="0030545D">
              <w:rPr>
                <w:iCs/>
                <w:szCs w:val="20"/>
              </w:rPr>
              <w:t>Same utility in the improved chorea health state for both treatment arms based on deutetrabenazine value (0.555)</w:t>
            </w:r>
          </w:p>
        </w:tc>
        <w:tc>
          <w:tcPr>
            <w:tcW w:w="1658" w:type="dxa"/>
            <w:tcMar>
              <w:top w:w="0" w:type="dxa"/>
              <w:left w:w="108" w:type="dxa"/>
              <w:bottom w:w="0" w:type="dxa"/>
              <w:right w:w="108" w:type="dxa"/>
            </w:tcMar>
            <w:vAlign w:val="center"/>
          </w:tcPr>
          <w:p w14:paraId="0B8FAC51"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vAlign w:val="center"/>
          </w:tcPr>
          <w:p w14:paraId="21D265A3" w14:textId="77777777" w:rsidR="004246B7" w:rsidRPr="0030545D" w:rsidRDefault="004246B7" w:rsidP="0011403B">
            <w:pPr>
              <w:pStyle w:val="Tabletext0"/>
              <w:jc w:val="center"/>
              <w:rPr>
                <w:iCs/>
                <w:szCs w:val="20"/>
              </w:rPr>
            </w:pPr>
            <w:r w:rsidRPr="0030545D">
              <w:rPr>
                <w:iCs/>
                <w:szCs w:val="20"/>
              </w:rPr>
              <w:t>0.9191</w:t>
            </w:r>
          </w:p>
        </w:tc>
        <w:tc>
          <w:tcPr>
            <w:tcW w:w="1232" w:type="dxa"/>
            <w:tcMar>
              <w:top w:w="0" w:type="dxa"/>
              <w:left w:w="108" w:type="dxa"/>
              <w:bottom w:w="0" w:type="dxa"/>
              <w:right w:w="108" w:type="dxa"/>
            </w:tcMar>
            <w:vAlign w:val="center"/>
          </w:tcPr>
          <w:p w14:paraId="1F91D943"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1</w:t>
            </w:r>
          </w:p>
        </w:tc>
      </w:tr>
      <w:tr w:rsidR="004246B7" w:rsidRPr="0030545D" w14:paraId="47952221" w14:textId="77777777" w:rsidTr="001A5D64">
        <w:tc>
          <w:tcPr>
            <w:tcW w:w="4480" w:type="dxa"/>
            <w:tcMar>
              <w:top w:w="0" w:type="dxa"/>
              <w:left w:w="108" w:type="dxa"/>
              <w:bottom w:w="0" w:type="dxa"/>
              <w:right w:w="108" w:type="dxa"/>
            </w:tcMar>
          </w:tcPr>
          <w:p w14:paraId="30F8A4CE" w14:textId="77777777" w:rsidR="004246B7" w:rsidRPr="0030545D" w:rsidRDefault="004246B7" w:rsidP="004246B7">
            <w:pPr>
              <w:pStyle w:val="Tabletext0"/>
              <w:rPr>
                <w:iCs/>
                <w:szCs w:val="20"/>
              </w:rPr>
            </w:pPr>
            <w:r w:rsidRPr="0030545D">
              <w:rPr>
                <w:iCs/>
                <w:szCs w:val="20"/>
              </w:rPr>
              <w:t>Same utility in the improved chorea health state for both treatment arms based on placebo value (0.489)</w:t>
            </w:r>
          </w:p>
        </w:tc>
        <w:tc>
          <w:tcPr>
            <w:tcW w:w="1658" w:type="dxa"/>
            <w:tcMar>
              <w:top w:w="0" w:type="dxa"/>
              <w:left w:w="108" w:type="dxa"/>
              <w:bottom w:w="0" w:type="dxa"/>
              <w:right w:w="108" w:type="dxa"/>
            </w:tcMar>
            <w:vAlign w:val="center"/>
          </w:tcPr>
          <w:p w14:paraId="4DD74089"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vAlign w:val="center"/>
          </w:tcPr>
          <w:p w14:paraId="55D3AF78" w14:textId="77777777" w:rsidR="004246B7" w:rsidRPr="0030545D" w:rsidRDefault="004246B7" w:rsidP="0011403B">
            <w:pPr>
              <w:pStyle w:val="Tabletext0"/>
              <w:jc w:val="center"/>
              <w:rPr>
                <w:iCs/>
                <w:szCs w:val="20"/>
              </w:rPr>
            </w:pPr>
            <w:r w:rsidRPr="0030545D">
              <w:rPr>
                <w:iCs/>
                <w:szCs w:val="20"/>
              </w:rPr>
              <w:t>0.7150</w:t>
            </w:r>
          </w:p>
        </w:tc>
        <w:tc>
          <w:tcPr>
            <w:tcW w:w="1232" w:type="dxa"/>
            <w:tcMar>
              <w:top w:w="0" w:type="dxa"/>
              <w:left w:w="108" w:type="dxa"/>
              <w:bottom w:w="0" w:type="dxa"/>
              <w:right w:w="108" w:type="dxa"/>
            </w:tcMar>
            <w:vAlign w:val="center"/>
          </w:tcPr>
          <w:p w14:paraId="34FF776B"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4</w:t>
            </w:r>
          </w:p>
        </w:tc>
      </w:tr>
      <w:tr w:rsidR="004246B7" w:rsidRPr="0030545D" w14:paraId="3B7F89FB" w14:textId="77777777" w:rsidTr="001A5D64">
        <w:tc>
          <w:tcPr>
            <w:tcW w:w="4480" w:type="dxa"/>
            <w:tcMar>
              <w:top w:w="0" w:type="dxa"/>
              <w:left w:w="108" w:type="dxa"/>
              <w:bottom w:w="0" w:type="dxa"/>
              <w:right w:w="108" w:type="dxa"/>
            </w:tcMar>
          </w:tcPr>
          <w:p w14:paraId="3F4B3929" w14:textId="77777777" w:rsidR="004246B7" w:rsidRPr="0030545D" w:rsidRDefault="004246B7" w:rsidP="004246B7">
            <w:pPr>
              <w:pStyle w:val="Tabletext0"/>
              <w:rPr>
                <w:iCs/>
                <w:szCs w:val="20"/>
              </w:rPr>
            </w:pPr>
            <w:r w:rsidRPr="0030545D">
              <w:rPr>
                <w:iCs/>
                <w:szCs w:val="20"/>
              </w:rPr>
              <w:t>Reduce improved chorea utility benefits by 50% (deutetrabenazine 0.406, placebo 0.373) compared to chorea health state</w:t>
            </w:r>
          </w:p>
        </w:tc>
        <w:tc>
          <w:tcPr>
            <w:tcW w:w="1658" w:type="dxa"/>
            <w:tcMar>
              <w:top w:w="0" w:type="dxa"/>
              <w:left w:w="108" w:type="dxa"/>
              <w:bottom w:w="0" w:type="dxa"/>
              <w:right w:w="108" w:type="dxa"/>
            </w:tcMar>
            <w:vAlign w:val="center"/>
          </w:tcPr>
          <w:p w14:paraId="43DCA652"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vAlign w:val="center"/>
          </w:tcPr>
          <w:p w14:paraId="02E57C1F" w14:textId="77777777" w:rsidR="004246B7" w:rsidRPr="0030545D" w:rsidRDefault="004246B7" w:rsidP="0011403B">
            <w:pPr>
              <w:pStyle w:val="Tabletext0"/>
              <w:jc w:val="center"/>
              <w:rPr>
                <w:iCs/>
                <w:szCs w:val="20"/>
              </w:rPr>
            </w:pPr>
            <w:r w:rsidRPr="0030545D">
              <w:rPr>
                <w:iCs/>
                <w:szCs w:val="20"/>
              </w:rPr>
              <w:t>0.4625</w:t>
            </w:r>
          </w:p>
        </w:tc>
        <w:tc>
          <w:tcPr>
            <w:tcW w:w="1232" w:type="dxa"/>
            <w:tcMar>
              <w:top w:w="0" w:type="dxa"/>
              <w:left w:w="108" w:type="dxa"/>
              <w:bottom w:w="0" w:type="dxa"/>
              <w:right w:w="108" w:type="dxa"/>
            </w:tcMar>
            <w:vAlign w:val="center"/>
          </w:tcPr>
          <w:p w14:paraId="38D76D0E"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6</w:t>
            </w:r>
          </w:p>
        </w:tc>
      </w:tr>
      <w:tr w:rsidR="004246B7" w:rsidRPr="0030545D" w14:paraId="7DC80620" w14:textId="77777777" w:rsidTr="001A5D64">
        <w:tc>
          <w:tcPr>
            <w:tcW w:w="4480" w:type="dxa"/>
            <w:tcMar>
              <w:top w:w="0" w:type="dxa"/>
              <w:left w:w="108" w:type="dxa"/>
              <w:bottom w:w="0" w:type="dxa"/>
              <w:right w:w="108" w:type="dxa"/>
            </w:tcMar>
          </w:tcPr>
          <w:p w14:paraId="26DD2F23" w14:textId="77777777" w:rsidR="004246B7" w:rsidRPr="0030545D" w:rsidRDefault="004246B7" w:rsidP="004246B7">
            <w:pPr>
              <w:pStyle w:val="Tabletext0"/>
              <w:rPr>
                <w:iCs/>
                <w:szCs w:val="20"/>
              </w:rPr>
            </w:pPr>
            <w:r w:rsidRPr="0030545D">
              <w:rPr>
                <w:iCs/>
                <w:szCs w:val="20"/>
              </w:rPr>
              <w:t>Reduce improved chorea utility benefits by 75% (deutetrabenazine 0.332, placebo 0.315) compared to chorea health state</w:t>
            </w:r>
          </w:p>
        </w:tc>
        <w:tc>
          <w:tcPr>
            <w:tcW w:w="1658" w:type="dxa"/>
            <w:tcMar>
              <w:top w:w="0" w:type="dxa"/>
              <w:left w:w="108" w:type="dxa"/>
              <w:bottom w:w="0" w:type="dxa"/>
              <w:right w:w="108" w:type="dxa"/>
            </w:tcMar>
            <w:vAlign w:val="center"/>
          </w:tcPr>
          <w:p w14:paraId="0E661A19"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vAlign w:val="center"/>
          </w:tcPr>
          <w:p w14:paraId="7E03F663" w14:textId="77777777" w:rsidR="004246B7" w:rsidRPr="0030545D" w:rsidRDefault="004246B7" w:rsidP="0011403B">
            <w:pPr>
              <w:pStyle w:val="Tabletext0"/>
              <w:jc w:val="center"/>
              <w:rPr>
                <w:iCs/>
                <w:szCs w:val="20"/>
              </w:rPr>
            </w:pPr>
            <w:r w:rsidRPr="0030545D">
              <w:rPr>
                <w:iCs/>
                <w:szCs w:val="20"/>
              </w:rPr>
              <w:t>0.2312</w:t>
            </w:r>
          </w:p>
        </w:tc>
        <w:tc>
          <w:tcPr>
            <w:tcW w:w="1232" w:type="dxa"/>
            <w:tcMar>
              <w:top w:w="0" w:type="dxa"/>
              <w:left w:w="108" w:type="dxa"/>
              <w:bottom w:w="0" w:type="dxa"/>
              <w:right w:w="108" w:type="dxa"/>
            </w:tcMar>
            <w:vAlign w:val="center"/>
          </w:tcPr>
          <w:p w14:paraId="791034D7"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7</w:t>
            </w:r>
          </w:p>
        </w:tc>
      </w:tr>
      <w:tr w:rsidR="004246B7" w:rsidRPr="0030545D" w14:paraId="5313432B" w14:textId="77777777" w:rsidTr="001A5D64">
        <w:tc>
          <w:tcPr>
            <w:tcW w:w="4480" w:type="dxa"/>
            <w:tcMar>
              <w:top w:w="0" w:type="dxa"/>
              <w:left w:w="108" w:type="dxa"/>
              <w:bottom w:w="0" w:type="dxa"/>
              <w:right w:w="108" w:type="dxa"/>
            </w:tcMar>
          </w:tcPr>
          <w:p w14:paraId="7D9FFAB9" w14:textId="77777777" w:rsidR="004246B7" w:rsidRPr="0030545D" w:rsidRDefault="004246B7" w:rsidP="004246B7">
            <w:pPr>
              <w:pStyle w:val="Tabletext0"/>
              <w:rPr>
                <w:iCs/>
                <w:szCs w:val="20"/>
              </w:rPr>
            </w:pPr>
            <w:r w:rsidRPr="0030545D">
              <w:rPr>
                <w:iCs/>
                <w:szCs w:val="20"/>
              </w:rPr>
              <w:t>Reduce improved chorea utility benefits by 90% (deutetrabenazine 0.287, placebo 0.280) compared to chorea health state</w:t>
            </w:r>
          </w:p>
        </w:tc>
        <w:tc>
          <w:tcPr>
            <w:tcW w:w="1658" w:type="dxa"/>
            <w:tcMar>
              <w:top w:w="0" w:type="dxa"/>
              <w:left w:w="108" w:type="dxa"/>
              <w:bottom w:w="0" w:type="dxa"/>
              <w:right w:w="108" w:type="dxa"/>
            </w:tcMar>
            <w:vAlign w:val="center"/>
          </w:tcPr>
          <w:p w14:paraId="7D628A35"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vAlign w:val="center"/>
          </w:tcPr>
          <w:p w14:paraId="485D0EF6" w14:textId="77777777" w:rsidR="004246B7" w:rsidRPr="0030545D" w:rsidRDefault="004246B7" w:rsidP="0011403B">
            <w:pPr>
              <w:pStyle w:val="Tabletext0"/>
              <w:jc w:val="center"/>
              <w:rPr>
                <w:iCs/>
                <w:szCs w:val="20"/>
              </w:rPr>
            </w:pPr>
            <w:r w:rsidRPr="0030545D">
              <w:rPr>
                <w:iCs/>
                <w:szCs w:val="20"/>
              </w:rPr>
              <w:t>0.0924</w:t>
            </w:r>
          </w:p>
        </w:tc>
        <w:tc>
          <w:tcPr>
            <w:tcW w:w="1232" w:type="dxa"/>
            <w:tcMar>
              <w:top w:w="0" w:type="dxa"/>
              <w:left w:w="108" w:type="dxa"/>
              <w:bottom w:w="0" w:type="dxa"/>
              <w:right w:w="108" w:type="dxa"/>
            </w:tcMar>
            <w:vAlign w:val="center"/>
          </w:tcPr>
          <w:p w14:paraId="3513C903"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8</w:t>
            </w:r>
          </w:p>
        </w:tc>
      </w:tr>
      <w:tr w:rsidR="004246B7" w:rsidRPr="0030545D" w14:paraId="7CF58A0E" w14:textId="77777777" w:rsidTr="001A5D64">
        <w:tc>
          <w:tcPr>
            <w:tcW w:w="4480" w:type="dxa"/>
            <w:tcMar>
              <w:top w:w="0" w:type="dxa"/>
              <w:left w:w="108" w:type="dxa"/>
              <w:bottom w:w="0" w:type="dxa"/>
              <w:right w:w="108" w:type="dxa"/>
            </w:tcMar>
          </w:tcPr>
          <w:p w14:paraId="2504A29D" w14:textId="77777777" w:rsidR="004246B7" w:rsidRPr="0030545D" w:rsidRDefault="004246B7" w:rsidP="004246B7">
            <w:pPr>
              <w:pStyle w:val="Tabletext0"/>
              <w:rPr>
                <w:iCs/>
                <w:szCs w:val="20"/>
              </w:rPr>
            </w:pPr>
            <w:r w:rsidRPr="0030545D">
              <w:rPr>
                <w:iCs/>
                <w:szCs w:val="20"/>
              </w:rPr>
              <w:t>Utility gain associated with improved chorea state estimated based on Hawton 2019 assuming a 28 point difference in total motor score (equivalent to the whole TMC scale; 0.0002756 x 28 = 0.0077)</w:t>
            </w:r>
          </w:p>
          <w:p w14:paraId="3DDF1A48" w14:textId="77777777" w:rsidR="004246B7" w:rsidRPr="0030545D" w:rsidRDefault="004246B7" w:rsidP="004246B7">
            <w:pPr>
              <w:pStyle w:val="Tabletext0"/>
              <w:rPr>
                <w:iCs/>
                <w:szCs w:val="20"/>
              </w:rPr>
            </w:pPr>
            <w:r w:rsidRPr="0030545D">
              <w:rPr>
                <w:iCs/>
                <w:szCs w:val="20"/>
              </w:rPr>
              <w:t>Improved chorea: 0.2648, chorea: 0.2571</w:t>
            </w:r>
          </w:p>
        </w:tc>
        <w:tc>
          <w:tcPr>
            <w:tcW w:w="1658" w:type="dxa"/>
            <w:tcMar>
              <w:top w:w="0" w:type="dxa"/>
              <w:left w:w="108" w:type="dxa"/>
              <w:bottom w:w="0" w:type="dxa"/>
              <w:right w:w="108" w:type="dxa"/>
            </w:tcMar>
            <w:vAlign w:val="center"/>
          </w:tcPr>
          <w:p w14:paraId="33000D4E"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vAlign w:val="center"/>
          </w:tcPr>
          <w:p w14:paraId="240B3850" w14:textId="77777777" w:rsidR="004246B7" w:rsidRPr="0030545D" w:rsidRDefault="004246B7" w:rsidP="0011403B">
            <w:pPr>
              <w:pStyle w:val="Tabletext0"/>
              <w:jc w:val="center"/>
              <w:rPr>
                <w:iCs/>
                <w:szCs w:val="20"/>
              </w:rPr>
            </w:pPr>
            <w:r w:rsidRPr="0030545D">
              <w:rPr>
                <w:iCs/>
                <w:szCs w:val="20"/>
              </w:rPr>
              <w:t>0.0235</w:t>
            </w:r>
          </w:p>
        </w:tc>
        <w:tc>
          <w:tcPr>
            <w:tcW w:w="1232" w:type="dxa"/>
            <w:tcMar>
              <w:top w:w="0" w:type="dxa"/>
              <w:left w:w="108" w:type="dxa"/>
              <w:bottom w:w="0" w:type="dxa"/>
              <w:right w:w="108" w:type="dxa"/>
            </w:tcMar>
            <w:vAlign w:val="center"/>
          </w:tcPr>
          <w:p w14:paraId="5D7C19C5" w14:textId="77777777" w:rsidR="004246B7" w:rsidRPr="0030545D" w:rsidRDefault="004246B7"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9</w:t>
            </w:r>
          </w:p>
        </w:tc>
      </w:tr>
      <w:tr w:rsidR="009E7838" w:rsidRPr="0030545D" w14:paraId="08934503" w14:textId="77777777" w:rsidTr="001A5D64">
        <w:tc>
          <w:tcPr>
            <w:tcW w:w="9029" w:type="dxa"/>
            <w:gridSpan w:val="4"/>
            <w:tcMar>
              <w:top w:w="0" w:type="dxa"/>
              <w:left w:w="108" w:type="dxa"/>
              <w:bottom w:w="0" w:type="dxa"/>
              <w:right w:w="108" w:type="dxa"/>
            </w:tcMar>
          </w:tcPr>
          <w:p w14:paraId="72BE4613" w14:textId="77777777" w:rsidR="009E7838" w:rsidRPr="0030545D" w:rsidRDefault="009E7838" w:rsidP="0011403B">
            <w:pPr>
              <w:pStyle w:val="Tabletext0"/>
              <w:rPr>
                <w:b/>
                <w:bCs/>
                <w:szCs w:val="20"/>
              </w:rPr>
            </w:pPr>
            <w:r w:rsidRPr="0030545D">
              <w:rPr>
                <w:b/>
                <w:bCs/>
                <w:szCs w:val="20"/>
              </w:rPr>
              <w:t>Disease management and fracture costs (base case: resource utilisation based on weighted average results from sponsor-commission clinical survey and audit, valuation based on various MBS items, URG/AR-DRG items and reported service fees, no separate estimation of fracture costs)</w:t>
            </w:r>
          </w:p>
        </w:tc>
      </w:tr>
      <w:tr w:rsidR="009E7838" w:rsidRPr="0030545D" w14:paraId="40B822FE" w14:textId="77777777" w:rsidTr="001A5D64">
        <w:tc>
          <w:tcPr>
            <w:tcW w:w="4480" w:type="dxa"/>
            <w:tcMar>
              <w:top w:w="0" w:type="dxa"/>
              <w:left w:w="108" w:type="dxa"/>
              <w:bottom w:w="0" w:type="dxa"/>
              <w:right w:w="108" w:type="dxa"/>
            </w:tcMar>
          </w:tcPr>
          <w:p w14:paraId="14CB2C2E" w14:textId="77777777" w:rsidR="009E7838" w:rsidRPr="0030545D" w:rsidRDefault="009E7838" w:rsidP="001A5D64">
            <w:pPr>
              <w:pStyle w:val="Tabletext0"/>
              <w:rPr>
                <w:iCs/>
                <w:szCs w:val="20"/>
              </w:rPr>
            </w:pPr>
            <w:r w:rsidRPr="0030545D">
              <w:rPr>
                <w:iCs/>
                <w:szCs w:val="20"/>
              </w:rPr>
              <w:t>Resource use based on physician responses from survey</w:t>
            </w:r>
          </w:p>
        </w:tc>
        <w:tc>
          <w:tcPr>
            <w:tcW w:w="1658" w:type="dxa"/>
            <w:tcMar>
              <w:top w:w="0" w:type="dxa"/>
              <w:left w:w="108" w:type="dxa"/>
              <w:bottom w:w="0" w:type="dxa"/>
              <w:right w:w="108" w:type="dxa"/>
            </w:tcMar>
          </w:tcPr>
          <w:p w14:paraId="516A9B01"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tcPr>
          <w:p w14:paraId="01C95B58" w14:textId="77777777" w:rsidR="009E7838" w:rsidRPr="0030545D" w:rsidRDefault="009E7838" w:rsidP="0011403B">
            <w:pPr>
              <w:pStyle w:val="Tabletext0"/>
              <w:jc w:val="center"/>
              <w:rPr>
                <w:iCs/>
                <w:szCs w:val="20"/>
              </w:rPr>
            </w:pPr>
            <w:r w:rsidRPr="0030545D">
              <w:rPr>
                <w:iCs/>
                <w:szCs w:val="20"/>
              </w:rPr>
              <w:t>0.9252</w:t>
            </w:r>
          </w:p>
        </w:tc>
        <w:tc>
          <w:tcPr>
            <w:tcW w:w="1232" w:type="dxa"/>
            <w:tcMar>
              <w:top w:w="0" w:type="dxa"/>
              <w:left w:w="108" w:type="dxa"/>
              <w:bottom w:w="0" w:type="dxa"/>
              <w:right w:w="108" w:type="dxa"/>
            </w:tcMar>
          </w:tcPr>
          <w:p w14:paraId="24C1FA9D"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6</w:t>
            </w:r>
          </w:p>
        </w:tc>
      </w:tr>
      <w:tr w:rsidR="009E7838" w:rsidRPr="0030545D" w14:paraId="7FB26CA4" w14:textId="77777777" w:rsidTr="001A5D64">
        <w:tc>
          <w:tcPr>
            <w:tcW w:w="4480" w:type="dxa"/>
            <w:tcMar>
              <w:top w:w="0" w:type="dxa"/>
              <w:left w:w="108" w:type="dxa"/>
              <w:bottom w:w="0" w:type="dxa"/>
              <w:right w:w="108" w:type="dxa"/>
            </w:tcMar>
          </w:tcPr>
          <w:p w14:paraId="73233F77" w14:textId="77777777" w:rsidR="009E7838" w:rsidRPr="0030545D" w:rsidRDefault="009E7838" w:rsidP="001A5D64">
            <w:pPr>
              <w:pStyle w:val="Tabletext0"/>
              <w:rPr>
                <w:iCs/>
                <w:szCs w:val="20"/>
              </w:rPr>
            </w:pPr>
            <w:r w:rsidRPr="0030545D">
              <w:rPr>
                <w:iCs/>
                <w:szCs w:val="20"/>
              </w:rPr>
              <w:t>Resource use based on nurse responses from survey</w:t>
            </w:r>
          </w:p>
        </w:tc>
        <w:tc>
          <w:tcPr>
            <w:tcW w:w="1658" w:type="dxa"/>
            <w:tcMar>
              <w:top w:w="0" w:type="dxa"/>
              <w:left w:w="108" w:type="dxa"/>
              <w:bottom w:w="0" w:type="dxa"/>
              <w:right w:w="108" w:type="dxa"/>
            </w:tcMar>
          </w:tcPr>
          <w:p w14:paraId="2A46A63A"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tcPr>
          <w:p w14:paraId="7363CB6B" w14:textId="77777777" w:rsidR="009E7838" w:rsidRPr="0030545D" w:rsidRDefault="009E7838" w:rsidP="0011403B">
            <w:pPr>
              <w:pStyle w:val="Tabletext0"/>
              <w:jc w:val="center"/>
              <w:rPr>
                <w:iCs/>
                <w:szCs w:val="20"/>
              </w:rPr>
            </w:pPr>
            <w:r w:rsidRPr="0030545D">
              <w:rPr>
                <w:iCs/>
                <w:szCs w:val="20"/>
              </w:rPr>
              <w:t>0.9252</w:t>
            </w:r>
          </w:p>
        </w:tc>
        <w:tc>
          <w:tcPr>
            <w:tcW w:w="1232" w:type="dxa"/>
            <w:tcMar>
              <w:top w:w="0" w:type="dxa"/>
              <w:left w:w="108" w:type="dxa"/>
              <w:bottom w:w="0" w:type="dxa"/>
              <w:right w:w="108" w:type="dxa"/>
            </w:tcMar>
          </w:tcPr>
          <w:p w14:paraId="567FCB98"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10</w:t>
            </w:r>
          </w:p>
        </w:tc>
      </w:tr>
      <w:tr w:rsidR="009E7838" w:rsidRPr="0030545D" w14:paraId="2536D979" w14:textId="77777777" w:rsidTr="001A5D64">
        <w:tc>
          <w:tcPr>
            <w:tcW w:w="4480" w:type="dxa"/>
            <w:tcMar>
              <w:top w:w="0" w:type="dxa"/>
              <w:left w:w="108" w:type="dxa"/>
              <w:bottom w:w="0" w:type="dxa"/>
              <w:right w:w="108" w:type="dxa"/>
            </w:tcMar>
          </w:tcPr>
          <w:p w14:paraId="7AFEDB64" w14:textId="77777777" w:rsidR="009E7838" w:rsidRPr="0030545D" w:rsidRDefault="009E7838" w:rsidP="001A5D64">
            <w:pPr>
              <w:pStyle w:val="Tabletext0"/>
              <w:rPr>
                <w:iCs/>
                <w:szCs w:val="20"/>
              </w:rPr>
            </w:pPr>
            <w:r w:rsidRPr="0030545D">
              <w:rPr>
                <w:iCs/>
                <w:szCs w:val="20"/>
              </w:rPr>
              <w:t>Resource use based on physician audit</w:t>
            </w:r>
          </w:p>
        </w:tc>
        <w:tc>
          <w:tcPr>
            <w:tcW w:w="1658" w:type="dxa"/>
            <w:tcMar>
              <w:top w:w="0" w:type="dxa"/>
              <w:left w:w="108" w:type="dxa"/>
              <w:bottom w:w="0" w:type="dxa"/>
              <w:right w:w="108" w:type="dxa"/>
            </w:tcMar>
          </w:tcPr>
          <w:p w14:paraId="1E33896F"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tcPr>
          <w:p w14:paraId="3A2C35C6" w14:textId="77777777" w:rsidR="009E7838" w:rsidRPr="0030545D" w:rsidRDefault="009E7838" w:rsidP="0011403B">
            <w:pPr>
              <w:pStyle w:val="Tabletext0"/>
              <w:jc w:val="center"/>
              <w:rPr>
                <w:iCs/>
                <w:szCs w:val="20"/>
              </w:rPr>
            </w:pPr>
            <w:r w:rsidRPr="0030545D">
              <w:rPr>
                <w:iCs/>
                <w:szCs w:val="20"/>
              </w:rPr>
              <w:t>0.9252</w:t>
            </w:r>
          </w:p>
        </w:tc>
        <w:tc>
          <w:tcPr>
            <w:tcW w:w="1232" w:type="dxa"/>
            <w:tcMar>
              <w:top w:w="0" w:type="dxa"/>
              <w:left w:w="108" w:type="dxa"/>
              <w:bottom w:w="0" w:type="dxa"/>
              <w:right w:w="108" w:type="dxa"/>
            </w:tcMar>
          </w:tcPr>
          <w:p w14:paraId="4D17CD96"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6</w:t>
            </w:r>
          </w:p>
        </w:tc>
      </w:tr>
      <w:tr w:rsidR="009E7838" w:rsidRPr="0030545D" w14:paraId="055ECF8B" w14:textId="77777777" w:rsidTr="001A5D64">
        <w:tc>
          <w:tcPr>
            <w:tcW w:w="4480" w:type="dxa"/>
            <w:tcMar>
              <w:top w:w="0" w:type="dxa"/>
              <w:left w:w="108" w:type="dxa"/>
              <w:bottom w:w="0" w:type="dxa"/>
              <w:right w:w="108" w:type="dxa"/>
            </w:tcMar>
          </w:tcPr>
          <w:p w14:paraId="4441B29A" w14:textId="77777777" w:rsidR="009E7838" w:rsidRPr="0030545D" w:rsidRDefault="009E7838" w:rsidP="001A5D64">
            <w:pPr>
              <w:pStyle w:val="Tabletext0"/>
              <w:rPr>
                <w:iCs/>
                <w:szCs w:val="20"/>
              </w:rPr>
            </w:pPr>
            <w:r w:rsidRPr="0030545D">
              <w:rPr>
                <w:iCs/>
                <w:szCs w:val="20"/>
              </w:rPr>
              <w:t>Resource item costs doubled</w:t>
            </w:r>
          </w:p>
        </w:tc>
        <w:tc>
          <w:tcPr>
            <w:tcW w:w="1658" w:type="dxa"/>
            <w:tcMar>
              <w:top w:w="0" w:type="dxa"/>
              <w:left w:w="108" w:type="dxa"/>
              <w:bottom w:w="0" w:type="dxa"/>
              <w:right w:w="108" w:type="dxa"/>
            </w:tcMar>
          </w:tcPr>
          <w:p w14:paraId="276D87E7"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tcPr>
          <w:p w14:paraId="3003671C" w14:textId="77777777" w:rsidR="009E7838" w:rsidRPr="0030545D" w:rsidRDefault="009E7838" w:rsidP="0011403B">
            <w:pPr>
              <w:pStyle w:val="Tabletext0"/>
              <w:jc w:val="center"/>
              <w:rPr>
                <w:iCs/>
                <w:szCs w:val="20"/>
              </w:rPr>
            </w:pPr>
            <w:r w:rsidRPr="0030545D">
              <w:rPr>
                <w:iCs/>
                <w:szCs w:val="20"/>
              </w:rPr>
              <w:t>0.9252</w:t>
            </w:r>
          </w:p>
        </w:tc>
        <w:tc>
          <w:tcPr>
            <w:tcW w:w="1232" w:type="dxa"/>
            <w:tcMar>
              <w:top w:w="0" w:type="dxa"/>
              <w:left w:w="108" w:type="dxa"/>
              <w:bottom w:w="0" w:type="dxa"/>
              <w:right w:w="108" w:type="dxa"/>
            </w:tcMar>
          </w:tcPr>
          <w:p w14:paraId="0D976DE0" w14:textId="77777777" w:rsidR="009E7838" w:rsidRPr="0030545D" w:rsidRDefault="009E7838" w:rsidP="0011403B">
            <w:pPr>
              <w:pStyle w:val="Tabletext0"/>
              <w:jc w:val="center"/>
              <w:rPr>
                <w:iCs/>
                <w:szCs w:val="20"/>
              </w:rPr>
            </w:pPr>
            <w:r w:rsidRPr="0030545D">
              <w:rPr>
                <w:iCs/>
                <w:szCs w:val="20"/>
              </w:rPr>
              <w:t>Dominant</w:t>
            </w:r>
          </w:p>
        </w:tc>
      </w:tr>
      <w:tr w:rsidR="009E7838" w:rsidRPr="0030545D" w14:paraId="20FB84B2" w14:textId="77777777" w:rsidTr="001A5D64">
        <w:tc>
          <w:tcPr>
            <w:tcW w:w="4480" w:type="dxa"/>
            <w:tcMar>
              <w:top w:w="0" w:type="dxa"/>
              <w:left w:w="108" w:type="dxa"/>
              <w:bottom w:w="0" w:type="dxa"/>
              <w:right w:w="108" w:type="dxa"/>
            </w:tcMar>
          </w:tcPr>
          <w:p w14:paraId="214CBE92" w14:textId="77777777" w:rsidR="009E7838" w:rsidRPr="0030545D" w:rsidRDefault="009E7838" w:rsidP="001A5D64">
            <w:pPr>
              <w:pStyle w:val="Tabletext0"/>
              <w:rPr>
                <w:iCs/>
                <w:szCs w:val="20"/>
              </w:rPr>
            </w:pPr>
            <w:r w:rsidRPr="0030545D">
              <w:rPr>
                <w:iCs/>
                <w:szCs w:val="20"/>
              </w:rPr>
              <w:t>Resource item costs halved</w:t>
            </w:r>
          </w:p>
        </w:tc>
        <w:tc>
          <w:tcPr>
            <w:tcW w:w="1658" w:type="dxa"/>
            <w:tcMar>
              <w:top w:w="0" w:type="dxa"/>
              <w:left w:w="108" w:type="dxa"/>
              <w:bottom w:w="0" w:type="dxa"/>
              <w:right w:w="108" w:type="dxa"/>
            </w:tcMar>
          </w:tcPr>
          <w:p w14:paraId="1837ADED"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p>
        </w:tc>
        <w:tc>
          <w:tcPr>
            <w:tcW w:w="1659" w:type="dxa"/>
            <w:tcMar>
              <w:top w:w="0" w:type="dxa"/>
              <w:left w:w="108" w:type="dxa"/>
              <w:bottom w:w="0" w:type="dxa"/>
              <w:right w:w="108" w:type="dxa"/>
            </w:tcMar>
          </w:tcPr>
          <w:p w14:paraId="2B180A22" w14:textId="77777777" w:rsidR="009E7838" w:rsidRPr="0030545D" w:rsidRDefault="009E7838" w:rsidP="0011403B">
            <w:pPr>
              <w:pStyle w:val="Tabletext0"/>
              <w:jc w:val="center"/>
              <w:rPr>
                <w:iCs/>
                <w:szCs w:val="20"/>
              </w:rPr>
            </w:pPr>
            <w:r w:rsidRPr="0030545D">
              <w:rPr>
                <w:iCs/>
                <w:szCs w:val="20"/>
              </w:rPr>
              <w:t>0.9252</w:t>
            </w:r>
          </w:p>
        </w:tc>
        <w:tc>
          <w:tcPr>
            <w:tcW w:w="1232" w:type="dxa"/>
            <w:tcMar>
              <w:top w:w="0" w:type="dxa"/>
              <w:left w:w="108" w:type="dxa"/>
              <w:bottom w:w="0" w:type="dxa"/>
              <w:right w:w="108" w:type="dxa"/>
            </w:tcMar>
          </w:tcPr>
          <w:p w14:paraId="54497432" w14:textId="77777777" w:rsidR="009E7838" w:rsidRPr="0030545D" w:rsidRDefault="009E7838" w:rsidP="0011403B">
            <w:pPr>
              <w:pStyle w:val="Tabletext0"/>
              <w:jc w:val="center"/>
              <w:rPr>
                <w:iCs/>
                <w:szCs w:val="20"/>
              </w:rPr>
            </w:pPr>
            <w:r w:rsidRPr="0030545D">
              <w:rPr>
                <w:iCs/>
                <w:szCs w:val="20"/>
              </w:rPr>
              <w:t>$</w:t>
            </w:r>
            <w:r w:rsidR="00916E6D">
              <w:rPr>
                <w:iCs/>
                <w:noProof/>
                <w:color w:val="000000"/>
                <w:szCs w:val="20"/>
                <w:highlight w:val="black"/>
              </w:rPr>
              <w:t>''''''''''''''''''</w:t>
            </w:r>
            <w:r w:rsidR="00FE30B9" w:rsidRPr="00FE30B9">
              <w:rPr>
                <w:bCs/>
                <w:vertAlign w:val="superscript"/>
              </w:rPr>
              <w:t>2</w:t>
            </w:r>
          </w:p>
        </w:tc>
      </w:tr>
      <w:tr w:rsidR="009E7838" w:rsidRPr="0030545D" w14:paraId="5B8938F8" w14:textId="77777777" w:rsidTr="001A5D64">
        <w:tc>
          <w:tcPr>
            <w:tcW w:w="4480" w:type="dxa"/>
            <w:tcMar>
              <w:top w:w="0" w:type="dxa"/>
              <w:left w:w="108" w:type="dxa"/>
              <w:bottom w:w="0" w:type="dxa"/>
              <w:right w:w="108" w:type="dxa"/>
            </w:tcMar>
          </w:tcPr>
          <w:p w14:paraId="6C1E7508" w14:textId="77777777" w:rsidR="009E7838" w:rsidRPr="0030545D" w:rsidRDefault="009E7838" w:rsidP="001A5D64">
            <w:pPr>
              <w:pStyle w:val="Tabletext0"/>
              <w:rPr>
                <w:szCs w:val="20"/>
              </w:rPr>
            </w:pPr>
            <w:r w:rsidRPr="0030545D">
              <w:rPr>
                <w:szCs w:val="20"/>
              </w:rPr>
              <w:t xml:space="preserve">Include additional weekly costs of fracture  </w:t>
            </w:r>
          </w:p>
        </w:tc>
        <w:tc>
          <w:tcPr>
            <w:tcW w:w="1658" w:type="dxa"/>
            <w:tcMar>
              <w:top w:w="0" w:type="dxa"/>
              <w:left w:w="108" w:type="dxa"/>
              <w:bottom w:w="0" w:type="dxa"/>
              <w:right w:w="108" w:type="dxa"/>
            </w:tcMar>
          </w:tcPr>
          <w:p w14:paraId="677CA1F9" w14:textId="77777777" w:rsidR="009E7838" w:rsidRPr="0030545D" w:rsidRDefault="009E7838" w:rsidP="0011403B">
            <w:pPr>
              <w:pStyle w:val="Tabletext0"/>
              <w:jc w:val="center"/>
              <w:rPr>
                <w:szCs w:val="20"/>
              </w:rPr>
            </w:pPr>
            <w:r w:rsidRPr="0030545D">
              <w:rPr>
                <w:szCs w:val="20"/>
              </w:rPr>
              <w:t>$</w:t>
            </w:r>
            <w:r w:rsidR="00916E6D">
              <w:rPr>
                <w:noProof/>
                <w:color w:val="000000"/>
                <w:szCs w:val="20"/>
                <w:highlight w:val="black"/>
              </w:rPr>
              <w:t>''''''''''''''''''</w:t>
            </w:r>
          </w:p>
        </w:tc>
        <w:tc>
          <w:tcPr>
            <w:tcW w:w="1659" w:type="dxa"/>
            <w:tcMar>
              <w:top w:w="0" w:type="dxa"/>
              <w:left w:w="108" w:type="dxa"/>
              <w:bottom w:w="0" w:type="dxa"/>
              <w:right w:w="108" w:type="dxa"/>
            </w:tcMar>
          </w:tcPr>
          <w:p w14:paraId="335EC737" w14:textId="77777777" w:rsidR="009E7838" w:rsidRPr="0030545D" w:rsidRDefault="009E7838" w:rsidP="0011403B">
            <w:pPr>
              <w:pStyle w:val="Tabletext0"/>
              <w:jc w:val="center"/>
              <w:rPr>
                <w:szCs w:val="20"/>
              </w:rPr>
            </w:pPr>
            <w:r w:rsidRPr="0030545D">
              <w:rPr>
                <w:szCs w:val="20"/>
              </w:rPr>
              <w:t>0.9252</w:t>
            </w:r>
          </w:p>
        </w:tc>
        <w:tc>
          <w:tcPr>
            <w:tcW w:w="1232" w:type="dxa"/>
            <w:tcMar>
              <w:top w:w="0" w:type="dxa"/>
              <w:left w:w="108" w:type="dxa"/>
              <w:bottom w:w="0" w:type="dxa"/>
              <w:right w:w="108" w:type="dxa"/>
            </w:tcMar>
          </w:tcPr>
          <w:p w14:paraId="560D6930" w14:textId="77777777" w:rsidR="009E7838" w:rsidRPr="0030545D" w:rsidRDefault="009E7838" w:rsidP="0011403B">
            <w:pPr>
              <w:pStyle w:val="Tabletext0"/>
              <w:jc w:val="center"/>
              <w:rPr>
                <w:szCs w:val="20"/>
              </w:rPr>
            </w:pPr>
            <w:r w:rsidRPr="0030545D">
              <w:rPr>
                <w:szCs w:val="20"/>
              </w:rPr>
              <w:t>$</w:t>
            </w:r>
            <w:r w:rsidR="00916E6D">
              <w:rPr>
                <w:noProof/>
                <w:color w:val="000000"/>
                <w:szCs w:val="20"/>
                <w:highlight w:val="black"/>
              </w:rPr>
              <w:t>'''''''''''''''</w:t>
            </w:r>
            <w:r w:rsidR="00FE30B9" w:rsidRPr="00FE30B9">
              <w:rPr>
                <w:bCs/>
                <w:vertAlign w:val="superscript"/>
              </w:rPr>
              <w:t>1</w:t>
            </w:r>
          </w:p>
        </w:tc>
      </w:tr>
    </w:tbl>
    <w:p w14:paraId="3A5B5677" w14:textId="77777777" w:rsidR="009E7838" w:rsidRDefault="009E7838" w:rsidP="00C14F95">
      <w:pPr>
        <w:pStyle w:val="TableFooter"/>
        <w:spacing w:after="120"/>
      </w:pPr>
      <w:r w:rsidRPr="0030545D">
        <w:t>Source: 3-28 of the submission</w:t>
      </w:r>
    </w:p>
    <w:p w14:paraId="5D10DAEF" w14:textId="77777777" w:rsidR="00FE30B9" w:rsidRPr="009868C4" w:rsidRDefault="00FE30B9" w:rsidP="00FE30B9">
      <w:pPr>
        <w:pStyle w:val="TableFigureFooter"/>
        <w:spacing w:after="0"/>
        <w:contextualSpacing w:val="0"/>
      </w:pPr>
      <w:r w:rsidRPr="009868C4">
        <w:rPr>
          <w:i/>
        </w:rPr>
        <w:t>The redacted values correspond to the following ranges</w:t>
      </w:r>
      <w:r>
        <w:rPr>
          <w:i/>
        </w:rPr>
        <w:t xml:space="preserve">: </w:t>
      </w:r>
    </w:p>
    <w:p w14:paraId="6AABFC81" w14:textId="77777777" w:rsidR="00FE30B9" w:rsidRDefault="00FE30B9" w:rsidP="00C14F95">
      <w:pPr>
        <w:pStyle w:val="TableFooter"/>
        <w:spacing w:after="120"/>
        <w:rPr>
          <w:i/>
        </w:rPr>
      </w:pPr>
      <w:r>
        <w:rPr>
          <w:i/>
          <w:vertAlign w:val="superscript"/>
        </w:rPr>
        <w:t>1</w:t>
      </w:r>
      <w:r>
        <w:rPr>
          <w:i/>
        </w:rPr>
        <w:t xml:space="preserve"> </w:t>
      </w:r>
      <w:r w:rsidRPr="00FE30B9">
        <w:rPr>
          <w:i/>
        </w:rPr>
        <w:t>$55,000 to &lt; $75,000</w:t>
      </w:r>
    </w:p>
    <w:p w14:paraId="6302E077" w14:textId="77777777" w:rsidR="00FE30B9" w:rsidRDefault="00FE30B9" w:rsidP="00C14F95">
      <w:pPr>
        <w:pStyle w:val="TableFooter"/>
        <w:spacing w:after="120"/>
        <w:rPr>
          <w:i/>
        </w:rPr>
      </w:pPr>
      <w:r>
        <w:rPr>
          <w:i/>
          <w:vertAlign w:val="superscript"/>
        </w:rPr>
        <w:t>2</w:t>
      </w:r>
      <w:r>
        <w:rPr>
          <w:i/>
        </w:rPr>
        <w:t xml:space="preserve"> </w:t>
      </w:r>
      <w:r w:rsidRPr="00FE30B9">
        <w:rPr>
          <w:i/>
        </w:rPr>
        <w:t>$95,000 to &lt; $115,000</w:t>
      </w:r>
    </w:p>
    <w:p w14:paraId="006A1BE3" w14:textId="77777777" w:rsidR="00FE30B9" w:rsidRDefault="00FE30B9" w:rsidP="00C14F95">
      <w:pPr>
        <w:pStyle w:val="TableFooter"/>
        <w:spacing w:after="120"/>
        <w:rPr>
          <w:i/>
        </w:rPr>
      </w:pPr>
      <w:r>
        <w:rPr>
          <w:i/>
          <w:vertAlign w:val="superscript"/>
        </w:rPr>
        <w:t>3</w:t>
      </w:r>
      <w:r>
        <w:rPr>
          <w:i/>
        </w:rPr>
        <w:t xml:space="preserve"> </w:t>
      </w:r>
      <w:r w:rsidRPr="00FE30B9">
        <w:rPr>
          <w:i/>
        </w:rPr>
        <w:t>$155,000 to &lt; $255,000</w:t>
      </w:r>
    </w:p>
    <w:p w14:paraId="01BC811A" w14:textId="77777777" w:rsidR="00FE30B9" w:rsidRDefault="00FE30B9" w:rsidP="00C14F95">
      <w:pPr>
        <w:pStyle w:val="TableFooter"/>
        <w:spacing w:after="120"/>
        <w:rPr>
          <w:i/>
        </w:rPr>
      </w:pPr>
      <w:r>
        <w:rPr>
          <w:i/>
          <w:vertAlign w:val="superscript"/>
        </w:rPr>
        <w:t>4</w:t>
      </w:r>
      <w:r>
        <w:rPr>
          <w:i/>
        </w:rPr>
        <w:t xml:space="preserve"> </w:t>
      </w:r>
      <w:r w:rsidRPr="00FE30B9">
        <w:rPr>
          <w:i/>
        </w:rPr>
        <w:t>$75,000 to &lt; $95,000</w:t>
      </w:r>
    </w:p>
    <w:p w14:paraId="37B16750" w14:textId="77777777" w:rsidR="00FE30B9" w:rsidRDefault="00FE30B9" w:rsidP="00C14F95">
      <w:pPr>
        <w:pStyle w:val="TableFooter"/>
        <w:spacing w:after="120"/>
        <w:rPr>
          <w:i/>
        </w:rPr>
      </w:pPr>
      <w:r>
        <w:rPr>
          <w:i/>
          <w:vertAlign w:val="superscript"/>
        </w:rPr>
        <w:t>5</w:t>
      </w:r>
      <w:r>
        <w:rPr>
          <w:i/>
        </w:rPr>
        <w:t xml:space="preserve"> </w:t>
      </w:r>
      <w:r w:rsidRPr="00FE30B9">
        <w:rPr>
          <w:i/>
        </w:rPr>
        <w:t>$455,000 to &lt; $555,000</w:t>
      </w:r>
    </w:p>
    <w:p w14:paraId="2BD53520" w14:textId="77777777" w:rsidR="00FE30B9" w:rsidRDefault="00FE30B9" w:rsidP="00C14F95">
      <w:pPr>
        <w:pStyle w:val="TableFooter"/>
        <w:spacing w:after="120"/>
        <w:rPr>
          <w:i/>
        </w:rPr>
      </w:pPr>
      <w:r>
        <w:rPr>
          <w:i/>
          <w:vertAlign w:val="superscript"/>
        </w:rPr>
        <w:t>6</w:t>
      </w:r>
      <w:r>
        <w:rPr>
          <w:i/>
        </w:rPr>
        <w:t xml:space="preserve"> </w:t>
      </w:r>
      <w:r w:rsidRPr="00FE30B9">
        <w:rPr>
          <w:i/>
        </w:rPr>
        <w:t>$115,000 to &lt; $135,000</w:t>
      </w:r>
    </w:p>
    <w:p w14:paraId="2D63DBAD" w14:textId="77777777" w:rsidR="00FE30B9" w:rsidRDefault="00FE30B9" w:rsidP="00C14F95">
      <w:pPr>
        <w:pStyle w:val="TableFooter"/>
        <w:spacing w:after="120"/>
        <w:rPr>
          <w:i/>
        </w:rPr>
      </w:pPr>
      <w:r>
        <w:rPr>
          <w:i/>
          <w:vertAlign w:val="superscript"/>
        </w:rPr>
        <w:t>7</w:t>
      </w:r>
      <w:r>
        <w:rPr>
          <w:i/>
        </w:rPr>
        <w:t xml:space="preserve"> </w:t>
      </w:r>
      <w:r w:rsidRPr="00FE30B9">
        <w:rPr>
          <w:i/>
        </w:rPr>
        <w:t>$255,000 to &lt; $355,000</w:t>
      </w:r>
    </w:p>
    <w:p w14:paraId="6AEF4786" w14:textId="77777777" w:rsidR="00FE30B9" w:rsidRDefault="00FE30B9" w:rsidP="00C14F95">
      <w:pPr>
        <w:pStyle w:val="TableFooter"/>
        <w:spacing w:after="120"/>
        <w:rPr>
          <w:i/>
        </w:rPr>
      </w:pPr>
      <w:r>
        <w:rPr>
          <w:i/>
          <w:vertAlign w:val="superscript"/>
        </w:rPr>
        <w:t>8</w:t>
      </w:r>
      <w:r>
        <w:rPr>
          <w:i/>
        </w:rPr>
        <w:t xml:space="preserve"> </w:t>
      </w:r>
      <w:r w:rsidRPr="00FE30B9">
        <w:rPr>
          <w:i/>
        </w:rPr>
        <w:t>$555,000 to &lt; $655,000</w:t>
      </w:r>
    </w:p>
    <w:p w14:paraId="7897CB0C" w14:textId="77777777" w:rsidR="00FE30B9" w:rsidRDefault="00FE30B9" w:rsidP="00C14F95">
      <w:pPr>
        <w:pStyle w:val="TableFooter"/>
        <w:spacing w:after="120"/>
        <w:rPr>
          <w:i/>
        </w:rPr>
      </w:pPr>
      <w:r>
        <w:rPr>
          <w:i/>
          <w:vertAlign w:val="superscript"/>
        </w:rPr>
        <w:t>9</w:t>
      </w:r>
      <w:r>
        <w:rPr>
          <w:i/>
        </w:rPr>
        <w:t xml:space="preserve"> </w:t>
      </w:r>
      <w:r w:rsidRPr="00FE30B9">
        <w:rPr>
          <w:i/>
        </w:rPr>
        <w:t>&gt; $1,055,000</w:t>
      </w:r>
    </w:p>
    <w:p w14:paraId="725596CC" w14:textId="77777777" w:rsidR="00FE30B9" w:rsidRPr="00FE30B9" w:rsidRDefault="00FE30B9" w:rsidP="00C14F95">
      <w:pPr>
        <w:pStyle w:val="TableFooter"/>
        <w:spacing w:after="120"/>
        <w:rPr>
          <w:i/>
        </w:rPr>
      </w:pPr>
      <w:r>
        <w:rPr>
          <w:i/>
          <w:vertAlign w:val="superscript"/>
        </w:rPr>
        <w:t>10</w:t>
      </w:r>
      <w:r>
        <w:rPr>
          <w:i/>
        </w:rPr>
        <w:t xml:space="preserve"> </w:t>
      </w:r>
      <w:r w:rsidRPr="00FE30B9">
        <w:rPr>
          <w:i/>
        </w:rPr>
        <w:t>$45,000 to &lt; $55,000</w:t>
      </w:r>
    </w:p>
    <w:p w14:paraId="588711A9" w14:textId="77777777" w:rsidR="005E4C66" w:rsidRPr="0030545D" w:rsidRDefault="005E4C66" w:rsidP="005E4C66">
      <w:pPr>
        <w:pStyle w:val="ExecSumBodyText"/>
      </w:pPr>
      <w:bookmarkStart w:id="24" w:name="_Toc22897646"/>
      <w:bookmarkStart w:id="25" w:name="_Toc61940998"/>
      <w:r w:rsidRPr="0030545D">
        <w:t>The ESC considered there were numerous issues with the structure and inputs of the economic model, including:</w:t>
      </w:r>
    </w:p>
    <w:p w14:paraId="50BD5C7B" w14:textId="77777777" w:rsidR="005E4C66" w:rsidRPr="0030545D" w:rsidRDefault="005E4C66" w:rsidP="005E4C66">
      <w:pPr>
        <w:pStyle w:val="Bulletpoints"/>
        <w:ind w:left="1134"/>
      </w:pPr>
      <w:r w:rsidRPr="0030545D">
        <w:t>The available evidence (primarily tetrabenazine-naïve patients) models a different population</w:t>
      </w:r>
      <w:r w:rsidR="000C789F" w:rsidRPr="0030545D">
        <w:t xml:space="preserve"> to the requested PBS listing</w:t>
      </w:r>
      <w:r w:rsidRPr="0030545D">
        <w:t xml:space="preserve">. The ESC considered it was unreasonable to </w:t>
      </w:r>
      <w:r w:rsidR="0093723B" w:rsidRPr="0030545D">
        <w:t>expect</w:t>
      </w:r>
      <w:r w:rsidRPr="0030545D">
        <w:t xml:space="preserve"> that </w:t>
      </w:r>
      <w:r w:rsidR="000505A5" w:rsidRPr="0030545D">
        <w:t>the proposed PBS</w:t>
      </w:r>
      <w:r w:rsidRPr="0030545D">
        <w:t xml:space="preserve"> population would </w:t>
      </w:r>
      <w:r w:rsidR="0093723B" w:rsidRPr="0030545D">
        <w:t>achieve</w:t>
      </w:r>
      <w:r w:rsidRPr="0030545D">
        <w:t xml:space="preserve"> the same outcomes as the </w:t>
      </w:r>
      <w:r w:rsidR="0071560F" w:rsidRPr="0030545D">
        <w:t>modelled population.</w:t>
      </w:r>
    </w:p>
    <w:p w14:paraId="0B91BD98" w14:textId="77777777" w:rsidR="005E4C66" w:rsidRPr="0030545D" w:rsidRDefault="005E4C66" w:rsidP="005E4C66">
      <w:pPr>
        <w:pStyle w:val="Bulletpoints"/>
        <w:ind w:left="1134"/>
      </w:pPr>
      <w:r w:rsidRPr="0030545D">
        <w:t xml:space="preserve">The assumption that all patients receiving deutetrabenazine will benefit was implausible and the model should </w:t>
      </w:r>
      <w:r w:rsidR="00F464B4" w:rsidRPr="0030545D">
        <w:t xml:space="preserve">have </w:t>
      </w:r>
      <w:r w:rsidRPr="0030545D">
        <w:t>include</w:t>
      </w:r>
      <w:r w:rsidR="00F464B4" w:rsidRPr="0030545D">
        <w:t>d</w:t>
      </w:r>
      <w:r w:rsidRPr="0030545D">
        <w:t xml:space="preserve"> a proportion of patients who switch to deutetrabenazine and receive no extra benefit.</w:t>
      </w:r>
    </w:p>
    <w:p w14:paraId="71231AB3" w14:textId="77777777" w:rsidR="005E4C66" w:rsidRPr="0030545D" w:rsidRDefault="0093723B" w:rsidP="005E4C66">
      <w:pPr>
        <w:pStyle w:val="Bulletpoints"/>
        <w:ind w:left="1134"/>
      </w:pPr>
      <w:r w:rsidRPr="0030545D">
        <w:t>For t</w:t>
      </w:r>
      <w:r w:rsidR="005E4C66" w:rsidRPr="0030545D">
        <w:t xml:space="preserve">he utility values, the submission only reported on the physical component scores from the SF-36 instrument used in the trial and did not include the overall utilities. The ESC noted the argument in the PSCR that the SF-36 instrument is not sensitive to chorea-specific quality of life impacts and considered this may be plausible but this raised the question of how important chorea aspects of HD are relative to other aspects of the disease, which was not explored in the submission. The ESC considered the decrements between increasing chorea severity states to be implausibly large and agreed the importance of this symptom relative to other QoL aspects of HD needed to be explored further. </w:t>
      </w:r>
    </w:p>
    <w:p w14:paraId="6AC444DA" w14:textId="77777777" w:rsidR="005E4C66" w:rsidRPr="0030545D" w:rsidRDefault="005E4C66" w:rsidP="005E4C66">
      <w:pPr>
        <w:pStyle w:val="Bulletpoints"/>
        <w:ind w:left="1134"/>
      </w:pPr>
      <w:r w:rsidRPr="0030545D">
        <w:t>The costs used in the model were overly simplistic. The ESC noted the submission assumed no differences in concomitant medication costs and did not model these, however the ESC noted the submission assumed patients would continue o</w:t>
      </w:r>
      <w:r w:rsidR="00B9720D" w:rsidRPr="0030545D">
        <w:t>ther medications (such as antips</w:t>
      </w:r>
      <w:r w:rsidRPr="0030545D">
        <w:t xml:space="preserve">ychotics) and therefore the assumption of no benefit in the placebo arm </w:t>
      </w:r>
      <w:r w:rsidR="00E46F76" w:rsidRPr="0030545D">
        <w:t xml:space="preserve">is likely </w:t>
      </w:r>
      <w:r w:rsidRPr="0030545D">
        <w:t xml:space="preserve"> implausible. The ESC also considered the health state management costs in the model to be highly uncertain as the mental health aspects varied greatly between the chorea improved and unimproved states and the magnitude of impact of deutetrabenazine treatment on mental health was not well defined in the submission.</w:t>
      </w:r>
    </w:p>
    <w:p w14:paraId="06925AE8" w14:textId="77777777" w:rsidR="005E4C66" w:rsidRPr="0030545D" w:rsidRDefault="005E4C66" w:rsidP="005E4C66">
      <w:pPr>
        <w:pStyle w:val="Bulletpoints"/>
        <w:ind w:left="1134"/>
      </w:pPr>
      <w:r w:rsidRPr="0030545D">
        <w:t xml:space="preserve">The Markov trace appears to implausibly apply a benefit at baseline (t=0) and did not include any half-cycle adjustment. Further, the ESC considered the assumption that the effect of placebo would reduce to 0 at 12 weeks was </w:t>
      </w:r>
      <w:r w:rsidR="00686918" w:rsidRPr="0030545D">
        <w:t>unjustified and implausible</w:t>
      </w:r>
      <w:r w:rsidRPr="0030545D">
        <w:t>.</w:t>
      </w:r>
    </w:p>
    <w:p w14:paraId="37B62590" w14:textId="77777777" w:rsidR="005E4C66" w:rsidRPr="0030545D" w:rsidRDefault="005E4C66" w:rsidP="005E4C66">
      <w:pPr>
        <w:pStyle w:val="Bulletpoints"/>
        <w:ind w:left="1134"/>
      </w:pPr>
      <w:r w:rsidRPr="0030545D">
        <w:t>The time horizon maybe be problematic as the ICER appeared to plateau at 3</w:t>
      </w:r>
      <w:r w:rsidR="0093723B" w:rsidRPr="0030545D">
        <w:t>–</w:t>
      </w:r>
      <w:r w:rsidRPr="0030545D">
        <w:t>4 years in the model.</w:t>
      </w:r>
    </w:p>
    <w:p w14:paraId="61CBD064" w14:textId="77777777" w:rsidR="005E4C66" w:rsidRPr="0030545D" w:rsidRDefault="005E4C66" w:rsidP="00D30A0F">
      <w:pPr>
        <w:pStyle w:val="Bulletpoints"/>
      </w:pPr>
      <w:r w:rsidRPr="0030545D">
        <w:t>The ESC noted the model was highly sensitive to changes in assumptions relating to placebo response rate, utility score inputs and health resource usage and specifically noted that sensitivity analyses increasing the placebo response to time to 5 or 10 years increased the ICER to ~$</w:t>
      </w:r>
      <w:r w:rsidR="00D30A0F" w:rsidRPr="00D30A0F">
        <w:t>155,000 to &lt; $255,000</w:t>
      </w:r>
      <w:r w:rsidR="00D30A0F">
        <w:t xml:space="preserve">/QALY </w:t>
      </w:r>
      <w:r w:rsidRPr="0030545D">
        <w:t>and almost $</w:t>
      </w:r>
      <w:r w:rsidR="00D30A0F" w:rsidRPr="00D30A0F">
        <w:t>455,000 to &lt; $555,000</w:t>
      </w:r>
      <w:r w:rsidR="00D30A0F">
        <w:t xml:space="preserve"> </w:t>
      </w:r>
      <w:r w:rsidRPr="0030545D">
        <w:t xml:space="preserve">per QALY respectively; and further analyses using alternative utility scores based on Hawton 2019 increased the ICER to more than </w:t>
      </w:r>
      <w:r w:rsidR="00D30A0F" w:rsidRPr="00D30A0F">
        <w:t>&gt; $1,055,000</w:t>
      </w:r>
      <w:r w:rsidR="00D30A0F">
        <w:t xml:space="preserve"> </w:t>
      </w:r>
      <w:r w:rsidRPr="0030545D">
        <w:t xml:space="preserve">per QALY. </w:t>
      </w:r>
    </w:p>
    <w:p w14:paraId="63066651" w14:textId="77777777" w:rsidR="005E4C66" w:rsidRPr="0030545D" w:rsidRDefault="005E4C66" w:rsidP="005E4C66">
      <w:pPr>
        <w:pStyle w:val="ExecSumBodyText"/>
      </w:pPr>
      <w:r w:rsidRPr="0030545D">
        <w:t xml:space="preserve">Given the uncertainty of many of the model assumptions and inputs and sensitivity to these factors, the ESC considered the model </w:t>
      </w:r>
      <w:r w:rsidR="0093723B" w:rsidRPr="0030545D">
        <w:t>lacked</w:t>
      </w:r>
      <w:r w:rsidRPr="0030545D">
        <w:t xml:space="preserve"> face validity.</w:t>
      </w:r>
    </w:p>
    <w:p w14:paraId="0790110A" w14:textId="77777777" w:rsidR="00ED3393" w:rsidRPr="0030545D" w:rsidRDefault="00ED3393" w:rsidP="005E4C66">
      <w:pPr>
        <w:pStyle w:val="ExecSumBodyText"/>
      </w:pPr>
      <w:r w:rsidRPr="0030545D">
        <w:t>The ESC advised that as the requested clinical place was inappropriate, any future resubmission should be for listing in a first line setting with new clinical and economic analys</w:t>
      </w:r>
      <w:r w:rsidR="0093723B" w:rsidRPr="0030545D">
        <w:t>e</w:t>
      </w:r>
      <w:r w:rsidRPr="0030545D">
        <w:t>s.</w:t>
      </w:r>
    </w:p>
    <w:p w14:paraId="3CEA576B" w14:textId="77777777" w:rsidR="00C25D9C" w:rsidRPr="0030545D" w:rsidRDefault="00C25D9C" w:rsidP="00BB732D">
      <w:pPr>
        <w:pStyle w:val="3-SubsectionHeading"/>
      </w:pPr>
      <w:r w:rsidRPr="0030545D">
        <w:t>Drug cost/patient/</w:t>
      </w:r>
      <w:bookmarkEnd w:id="24"/>
      <w:r w:rsidR="00447962" w:rsidRPr="0030545D">
        <w:t>month</w:t>
      </w:r>
      <w:bookmarkEnd w:id="25"/>
    </w:p>
    <w:p w14:paraId="052872D9" w14:textId="77777777" w:rsidR="00447962" w:rsidRPr="0030545D" w:rsidRDefault="00447962" w:rsidP="00230DB1">
      <w:pPr>
        <w:pStyle w:val="ExecSumBodyText"/>
      </w:pPr>
      <w:r w:rsidRPr="0030545D">
        <w:t>The estimated drug cost per patient per month is summarised in the table below</w:t>
      </w:r>
      <w:r w:rsidR="008E5859" w:rsidRPr="0030545D">
        <w:t>.</w:t>
      </w:r>
      <w:r w:rsidRPr="0030545D">
        <w:t xml:space="preserve"> </w:t>
      </w:r>
    </w:p>
    <w:p w14:paraId="7BCAB38A" w14:textId="77777777" w:rsidR="00494207" w:rsidRPr="0030545D" w:rsidRDefault="00494207" w:rsidP="00230DB1">
      <w:pPr>
        <w:pStyle w:val="TableFigureCaption"/>
      </w:pPr>
      <w:r w:rsidRPr="0030545D">
        <w:t xml:space="preserve">Table </w:t>
      </w:r>
      <w:r w:rsidR="008E5859" w:rsidRPr="0030545D">
        <w:t>1</w:t>
      </w:r>
      <w:r w:rsidR="00ED3393" w:rsidRPr="0030545D">
        <w:t>3</w:t>
      </w:r>
      <w:r w:rsidRPr="0030545D">
        <w:t xml:space="preserve">: </w:t>
      </w:r>
      <w:r w:rsidR="00D5197D" w:rsidRPr="0030545D">
        <w:t>Deut</w:t>
      </w:r>
      <w:r w:rsidR="008E5859" w:rsidRPr="0030545D">
        <w:t>etrabenazine d</w:t>
      </w:r>
      <w:r w:rsidRPr="0030545D">
        <w:t>rug cost per patient</w:t>
      </w:r>
    </w:p>
    <w:tbl>
      <w:tblPr>
        <w:tblStyle w:val="TableGrid"/>
        <w:tblW w:w="0" w:type="auto"/>
        <w:tblCellMar>
          <w:left w:w="57" w:type="dxa"/>
          <w:right w:w="57" w:type="dxa"/>
        </w:tblCellMar>
        <w:tblLook w:val="04A0" w:firstRow="1" w:lastRow="0" w:firstColumn="1" w:lastColumn="0" w:noHBand="0" w:noVBand="1"/>
        <w:tblCaption w:val="Table 13: Deutetrabenazine drug cost per patient"/>
      </w:tblPr>
      <w:tblGrid>
        <w:gridCol w:w="1980"/>
        <w:gridCol w:w="1275"/>
        <w:gridCol w:w="1276"/>
        <w:gridCol w:w="2242"/>
        <w:gridCol w:w="2243"/>
      </w:tblGrid>
      <w:tr w:rsidR="00F430DA" w:rsidRPr="0030545D" w14:paraId="422CC0FC" w14:textId="77777777" w:rsidTr="00BD21A0">
        <w:trPr>
          <w:tblHeader/>
        </w:trPr>
        <w:tc>
          <w:tcPr>
            <w:tcW w:w="1980" w:type="dxa"/>
            <w:vAlign w:val="center"/>
          </w:tcPr>
          <w:p w14:paraId="2A56A4A1" w14:textId="77777777" w:rsidR="00F430DA" w:rsidRPr="0030545D" w:rsidRDefault="00F430DA" w:rsidP="009B7037">
            <w:pPr>
              <w:jc w:val="left"/>
              <w:rPr>
                <w:rFonts w:ascii="Arial Narrow" w:hAnsi="Arial Narrow"/>
                <w:sz w:val="20"/>
                <w:szCs w:val="20"/>
              </w:rPr>
            </w:pPr>
          </w:p>
        </w:tc>
        <w:tc>
          <w:tcPr>
            <w:tcW w:w="1275" w:type="dxa"/>
            <w:vAlign w:val="center"/>
          </w:tcPr>
          <w:p w14:paraId="58F672C1" w14:textId="77777777" w:rsidR="00F430DA" w:rsidRPr="0030545D" w:rsidRDefault="00F430DA" w:rsidP="009B7037">
            <w:pPr>
              <w:jc w:val="center"/>
              <w:rPr>
                <w:rFonts w:ascii="Arial Narrow" w:hAnsi="Arial Narrow"/>
                <w:b/>
                <w:bCs/>
                <w:sz w:val="20"/>
                <w:szCs w:val="20"/>
              </w:rPr>
            </w:pPr>
            <w:r w:rsidRPr="0030545D">
              <w:rPr>
                <w:rFonts w:ascii="Arial Narrow" w:hAnsi="Arial Narrow"/>
                <w:b/>
                <w:bCs/>
                <w:sz w:val="20"/>
                <w:szCs w:val="20"/>
              </w:rPr>
              <w:t>FIRST-HD</w:t>
            </w:r>
          </w:p>
        </w:tc>
        <w:tc>
          <w:tcPr>
            <w:tcW w:w="1276" w:type="dxa"/>
            <w:vAlign w:val="center"/>
          </w:tcPr>
          <w:p w14:paraId="019D2DC9" w14:textId="77777777" w:rsidR="00F430DA" w:rsidRPr="0030545D" w:rsidRDefault="00F430DA" w:rsidP="009B7037">
            <w:pPr>
              <w:jc w:val="center"/>
              <w:rPr>
                <w:rFonts w:ascii="Arial Narrow" w:hAnsi="Arial Narrow"/>
                <w:b/>
                <w:bCs/>
                <w:sz w:val="20"/>
                <w:szCs w:val="20"/>
              </w:rPr>
            </w:pPr>
            <w:r w:rsidRPr="0030545D">
              <w:rPr>
                <w:rFonts w:ascii="Arial Narrow" w:hAnsi="Arial Narrow"/>
                <w:b/>
                <w:bCs/>
                <w:sz w:val="20"/>
                <w:szCs w:val="20"/>
              </w:rPr>
              <w:t>ARC-HD-ROLLOVER</w:t>
            </w:r>
          </w:p>
        </w:tc>
        <w:tc>
          <w:tcPr>
            <w:tcW w:w="2242" w:type="dxa"/>
            <w:vAlign w:val="center"/>
          </w:tcPr>
          <w:p w14:paraId="05F21911" w14:textId="77777777" w:rsidR="00F430DA" w:rsidRPr="0030545D" w:rsidRDefault="00F430DA" w:rsidP="009B7037">
            <w:pPr>
              <w:jc w:val="center"/>
              <w:rPr>
                <w:rFonts w:ascii="Arial Narrow" w:hAnsi="Arial Narrow"/>
                <w:b/>
                <w:bCs/>
                <w:sz w:val="20"/>
                <w:szCs w:val="20"/>
              </w:rPr>
            </w:pPr>
            <w:r w:rsidRPr="0030545D">
              <w:rPr>
                <w:rFonts w:ascii="Arial Narrow" w:hAnsi="Arial Narrow"/>
                <w:b/>
                <w:bCs/>
                <w:sz w:val="20"/>
                <w:szCs w:val="20"/>
              </w:rPr>
              <w:t>Economic model</w:t>
            </w:r>
          </w:p>
        </w:tc>
        <w:tc>
          <w:tcPr>
            <w:tcW w:w="2243" w:type="dxa"/>
            <w:vAlign w:val="center"/>
          </w:tcPr>
          <w:p w14:paraId="33B858A0" w14:textId="77777777" w:rsidR="00F430DA" w:rsidRPr="0030545D" w:rsidRDefault="00F430DA" w:rsidP="009B7037">
            <w:pPr>
              <w:jc w:val="center"/>
              <w:rPr>
                <w:rFonts w:ascii="Arial Narrow" w:hAnsi="Arial Narrow"/>
                <w:b/>
                <w:bCs/>
                <w:sz w:val="20"/>
                <w:szCs w:val="20"/>
              </w:rPr>
            </w:pPr>
            <w:r w:rsidRPr="0030545D">
              <w:rPr>
                <w:rFonts w:ascii="Arial Narrow" w:hAnsi="Arial Narrow"/>
                <w:b/>
                <w:bCs/>
                <w:sz w:val="20"/>
                <w:szCs w:val="20"/>
              </w:rPr>
              <w:t>Financial estimates</w:t>
            </w:r>
          </w:p>
        </w:tc>
      </w:tr>
      <w:tr w:rsidR="00F430DA" w:rsidRPr="0030545D" w14:paraId="3B49C880" w14:textId="77777777" w:rsidTr="009B7037">
        <w:tc>
          <w:tcPr>
            <w:tcW w:w="1980" w:type="dxa"/>
            <w:vAlign w:val="center"/>
          </w:tcPr>
          <w:p w14:paraId="49F44958" w14:textId="77777777" w:rsidR="00F430DA" w:rsidRPr="0030545D" w:rsidRDefault="00F430DA" w:rsidP="009B7037">
            <w:pPr>
              <w:jc w:val="left"/>
              <w:rPr>
                <w:rFonts w:ascii="Arial Narrow" w:hAnsi="Arial Narrow"/>
                <w:sz w:val="20"/>
                <w:szCs w:val="20"/>
              </w:rPr>
            </w:pPr>
            <w:r w:rsidRPr="0030545D">
              <w:rPr>
                <w:rFonts w:ascii="Arial Narrow" w:hAnsi="Arial Narrow"/>
                <w:sz w:val="20"/>
                <w:szCs w:val="20"/>
              </w:rPr>
              <w:t>Dose titration included</w:t>
            </w:r>
          </w:p>
        </w:tc>
        <w:tc>
          <w:tcPr>
            <w:tcW w:w="1275" w:type="dxa"/>
            <w:vAlign w:val="center"/>
          </w:tcPr>
          <w:p w14:paraId="3BAE8332"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Yes</w:t>
            </w:r>
          </w:p>
        </w:tc>
        <w:tc>
          <w:tcPr>
            <w:tcW w:w="1276" w:type="dxa"/>
            <w:vAlign w:val="center"/>
          </w:tcPr>
          <w:p w14:paraId="30EBE0EB"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Yes</w:t>
            </w:r>
          </w:p>
        </w:tc>
        <w:tc>
          <w:tcPr>
            <w:tcW w:w="2242" w:type="dxa"/>
            <w:vAlign w:val="center"/>
          </w:tcPr>
          <w:p w14:paraId="64206359"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Yes</w:t>
            </w:r>
          </w:p>
        </w:tc>
        <w:tc>
          <w:tcPr>
            <w:tcW w:w="2243" w:type="dxa"/>
            <w:vAlign w:val="center"/>
          </w:tcPr>
          <w:p w14:paraId="49902E37"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No</w:t>
            </w:r>
          </w:p>
        </w:tc>
      </w:tr>
      <w:tr w:rsidR="00F430DA" w:rsidRPr="0030545D" w14:paraId="7EE1E0AD" w14:textId="77777777" w:rsidTr="009B7037">
        <w:tc>
          <w:tcPr>
            <w:tcW w:w="1980" w:type="dxa"/>
            <w:vAlign w:val="center"/>
          </w:tcPr>
          <w:p w14:paraId="189DAC25" w14:textId="77777777" w:rsidR="00F430DA" w:rsidRPr="0030545D" w:rsidRDefault="00F430DA" w:rsidP="009B7037">
            <w:pPr>
              <w:jc w:val="left"/>
              <w:rPr>
                <w:rFonts w:ascii="Arial Narrow" w:hAnsi="Arial Narrow"/>
                <w:sz w:val="20"/>
                <w:szCs w:val="20"/>
              </w:rPr>
            </w:pPr>
            <w:r w:rsidRPr="0030545D">
              <w:rPr>
                <w:rFonts w:ascii="Arial Narrow" w:hAnsi="Arial Narrow"/>
                <w:sz w:val="20"/>
                <w:szCs w:val="20"/>
              </w:rPr>
              <w:t>Mean daily dose</w:t>
            </w:r>
          </w:p>
        </w:tc>
        <w:tc>
          <w:tcPr>
            <w:tcW w:w="1275" w:type="dxa"/>
            <w:vAlign w:val="center"/>
          </w:tcPr>
          <w:p w14:paraId="73E1D284"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39.7 mg</w:t>
            </w:r>
          </w:p>
        </w:tc>
        <w:tc>
          <w:tcPr>
            <w:tcW w:w="1276" w:type="dxa"/>
            <w:vAlign w:val="center"/>
          </w:tcPr>
          <w:p w14:paraId="3956124E"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42.6 mg</w:t>
            </w:r>
          </w:p>
        </w:tc>
        <w:tc>
          <w:tcPr>
            <w:tcW w:w="2242" w:type="dxa"/>
            <w:vAlign w:val="center"/>
          </w:tcPr>
          <w:p w14:paraId="36091A05"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39.7 mg</w:t>
            </w:r>
          </w:p>
        </w:tc>
        <w:tc>
          <w:tcPr>
            <w:tcW w:w="2243" w:type="dxa"/>
            <w:vAlign w:val="center"/>
          </w:tcPr>
          <w:p w14:paraId="163809EF"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39.7 mg</w:t>
            </w:r>
          </w:p>
        </w:tc>
      </w:tr>
      <w:tr w:rsidR="00F430DA" w:rsidRPr="0030545D" w14:paraId="553482DA" w14:textId="77777777" w:rsidTr="009B7037">
        <w:tc>
          <w:tcPr>
            <w:tcW w:w="1980" w:type="dxa"/>
            <w:vAlign w:val="center"/>
          </w:tcPr>
          <w:p w14:paraId="3A75384C" w14:textId="77777777" w:rsidR="00F430DA" w:rsidRPr="0030545D" w:rsidRDefault="00F430DA" w:rsidP="009B7037">
            <w:pPr>
              <w:jc w:val="left"/>
              <w:rPr>
                <w:rFonts w:ascii="Arial Narrow" w:hAnsi="Arial Narrow"/>
                <w:sz w:val="20"/>
                <w:szCs w:val="20"/>
              </w:rPr>
            </w:pPr>
            <w:r w:rsidRPr="0030545D">
              <w:rPr>
                <w:rFonts w:ascii="Arial Narrow" w:hAnsi="Arial Narrow"/>
                <w:sz w:val="20"/>
                <w:szCs w:val="20"/>
              </w:rPr>
              <w:t>Distribution of dosing</w:t>
            </w:r>
          </w:p>
        </w:tc>
        <w:tc>
          <w:tcPr>
            <w:tcW w:w="1275" w:type="dxa"/>
            <w:vAlign w:val="center"/>
          </w:tcPr>
          <w:p w14:paraId="3DFD815E"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NR</w:t>
            </w:r>
          </w:p>
        </w:tc>
        <w:tc>
          <w:tcPr>
            <w:tcW w:w="1276" w:type="dxa"/>
            <w:vAlign w:val="center"/>
          </w:tcPr>
          <w:p w14:paraId="4158D11C"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NR</w:t>
            </w:r>
          </w:p>
        </w:tc>
        <w:tc>
          <w:tcPr>
            <w:tcW w:w="2242" w:type="dxa"/>
            <w:vAlign w:val="center"/>
          </w:tcPr>
          <w:p w14:paraId="075AF079"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5% 6 mg tab (39.7 mg/day)</w:t>
            </w:r>
          </w:p>
          <w:p w14:paraId="46C80881"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25% 9 mg tab (39.7 mg/day)</w:t>
            </w:r>
          </w:p>
          <w:p w14:paraId="02FB1FB3"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70% 12 mg tab (39.7 mg/day)</w:t>
            </w:r>
          </w:p>
        </w:tc>
        <w:tc>
          <w:tcPr>
            <w:tcW w:w="2243" w:type="dxa"/>
            <w:vAlign w:val="center"/>
          </w:tcPr>
          <w:p w14:paraId="76FBB98A"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5% 6 mg tab (24 mg/day)</w:t>
            </w:r>
          </w:p>
          <w:p w14:paraId="3209E716"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25% 9 mg tab (36 mg/day)</w:t>
            </w:r>
          </w:p>
          <w:p w14:paraId="40F2FC73"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34% 12 mg tab (36 mg/day)</w:t>
            </w:r>
          </w:p>
          <w:p w14:paraId="44CBB03A"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36% 12 mg tab (48 mg/day)</w:t>
            </w:r>
          </w:p>
        </w:tc>
      </w:tr>
      <w:tr w:rsidR="00F430DA" w:rsidRPr="0030545D" w14:paraId="1F74E960" w14:textId="77777777" w:rsidTr="009B7037">
        <w:tc>
          <w:tcPr>
            <w:tcW w:w="1980" w:type="dxa"/>
            <w:vAlign w:val="center"/>
          </w:tcPr>
          <w:p w14:paraId="5A8CC09B" w14:textId="77777777" w:rsidR="00F430DA" w:rsidRPr="0030545D" w:rsidRDefault="00F430DA" w:rsidP="009B7037">
            <w:pPr>
              <w:jc w:val="left"/>
              <w:rPr>
                <w:rFonts w:ascii="Arial Narrow" w:hAnsi="Arial Narrow"/>
                <w:sz w:val="20"/>
                <w:szCs w:val="20"/>
              </w:rPr>
            </w:pPr>
            <w:r w:rsidRPr="0030545D">
              <w:rPr>
                <w:rFonts w:ascii="Arial Narrow" w:hAnsi="Arial Narrow"/>
                <w:sz w:val="20"/>
                <w:szCs w:val="20"/>
              </w:rPr>
              <w:t>Adherence estimate (%)</w:t>
            </w:r>
          </w:p>
        </w:tc>
        <w:tc>
          <w:tcPr>
            <w:tcW w:w="1275" w:type="dxa"/>
            <w:vAlign w:val="center"/>
          </w:tcPr>
          <w:p w14:paraId="64C5EB39"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93.99 (8.055)</w:t>
            </w:r>
          </w:p>
        </w:tc>
        <w:tc>
          <w:tcPr>
            <w:tcW w:w="1276" w:type="dxa"/>
            <w:vAlign w:val="center"/>
          </w:tcPr>
          <w:p w14:paraId="17DDDFA6"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92.28 (13.524)</w:t>
            </w:r>
          </w:p>
        </w:tc>
        <w:tc>
          <w:tcPr>
            <w:tcW w:w="2242" w:type="dxa"/>
            <w:vAlign w:val="center"/>
          </w:tcPr>
          <w:p w14:paraId="35D99309"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w:t>
            </w:r>
          </w:p>
        </w:tc>
        <w:tc>
          <w:tcPr>
            <w:tcW w:w="2243" w:type="dxa"/>
            <w:vAlign w:val="center"/>
          </w:tcPr>
          <w:p w14:paraId="76EA8ECB"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93.99</w:t>
            </w:r>
          </w:p>
        </w:tc>
      </w:tr>
      <w:tr w:rsidR="00F430DA" w:rsidRPr="0030545D" w14:paraId="0CE4B939" w14:textId="77777777" w:rsidTr="009B7037">
        <w:tc>
          <w:tcPr>
            <w:tcW w:w="1980" w:type="dxa"/>
            <w:vAlign w:val="center"/>
          </w:tcPr>
          <w:p w14:paraId="6329C371" w14:textId="77777777" w:rsidR="00F430DA" w:rsidRPr="0030545D" w:rsidRDefault="00F430DA" w:rsidP="009B7037">
            <w:pPr>
              <w:jc w:val="left"/>
              <w:rPr>
                <w:rFonts w:ascii="Arial Narrow" w:hAnsi="Arial Narrow"/>
                <w:sz w:val="20"/>
                <w:szCs w:val="20"/>
              </w:rPr>
            </w:pPr>
            <w:r w:rsidRPr="0030545D">
              <w:rPr>
                <w:rFonts w:ascii="Arial Narrow" w:hAnsi="Arial Narrow"/>
                <w:sz w:val="20"/>
                <w:szCs w:val="20"/>
              </w:rPr>
              <w:t>Treatment discontinuation</w:t>
            </w:r>
          </w:p>
        </w:tc>
        <w:tc>
          <w:tcPr>
            <w:tcW w:w="1275" w:type="dxa"/>
            <w:vAlign w:val="center"/>
          </w:tcPr>
          <w:p w14:paraId="543BAF66"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0.70%/4 weeks</w:t>
            </w:r>
          </w:p>
        </w:tc>
        <w:tc>
          <w:tcPr>
            <w:tcW w:w="1276" w:type="dxa"/>
            <w:vAlign w:val="center"/>
          </w:tcPr>
          <w:p w14:paraId="10C4C4BC"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1.09%/4 weeks</w:t>
            </w:r>
          </w:p>
        </w:tc>
        <w:tc>
          <w:tcPr>
            <w:tcW w:w="2242" w:type="dxa"/>
            <w:vAlign w:val="center"/>
          </w:tcPr>
          <w:p w14:paraId="67BC0A41" w14:textId="77777777" w:rsidR="00F430DA" w:rsidRPr="0030545D" w:rsidRDefault="00F430DA" w:rsidP="009B7037">
            <w:pPr>
              <w:jc w:val="center"/>
              <w:rPr>
                <w:rFonts w:ascii="Arial Narrow" w:hAnsi="Arial Narrow"/>
                <w:b/>
                <w:bCs/>
                <w:sz w:val="20"/>
                <w:szCs w:val="20"/>
              </w:rPr>
            </w:pPr>
            <w:r w:rsidRPr="0030545D">
              <w:rPr>
                <w:rFonts w:ascii="Arial Narrow" w:hAnsi="Arial Narrow"/>
                <w:sz w:val="20"/>
                <w:szCs w:val="20"/>
              </w:rPr>
              <w:t>1.09%/4 weeks</w:t>
            </w:r>
          </w:p>
        </w:tc>
        <w:tc>
          <w:tcPr>
            <w:tcW w:w="2243" w:type="dxa"/>
            <w:vAlign w:val="center"/>
          </w:tcPr>
          <w:p w14:paraId="33E25507"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w:t>
            </w:r>
          </w:p>
        </w:tc>
      </w:tr>
      <w:tr w:rsidR="00F430DA" w:rsidRPr="0030545D" w14:paraId="1FC243A0" w14:textId="77777777" w:rsidTr="009B7037">
        <w:tc>
          <w:tcPr>
            <w:tcW w:w="1980" w:type="dxa"/>
            <w:vAlign w:val="center"/>
          </w:tcPr>
          <w:p w14:paraId="3DA284B7" w14:textId="77777777" w:rsidR="00F430DA" w:rsidRPr="0030545D" w:rsidRDefault="00F430DA" w:rsidP="009B7037">
            <w:pPr>
              <w:jc w:val="left"/>
              <w:rPr>
                <w:rFonts w:ascii="Arial Narrow" w:hAnsi="Arial Narrow"/>
                <w:sz w:val="20"/>
                <w:szCs w:val="20"/>
              </w:rPr>
            </w:pPr>
            <w:r w:rsidRPr="0030545D">
              <w:rPr>
                <w:rFonts w:ascii="Arial Narrow" w:hAnsi="Arial Narrow"/>
                <w:sz w:val="20"/>
                <w:szCs w:val="20"/>
              </w:rPr>
              <w:t>Cost per 30 days</w:t>
            </w:r>
          </w:p>
        </w:tc>
        <w:tc>
          <w:tcPr>
            <w:tcW w:w="1275" w:type="dxa"/>
            <w:vAlign w:val="center"/>
          </w:tcPr>
          <w:p w14:paraId="1ECA457C"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w:t>
            </w:r>
          </w:p>
        </w:tc>
        <w:tc>
          <w:tcPr>
            <w:tcW w:w="1276" w:type="dxa"/>
            <w:vAlign w:val="center"/>
          </w:tcPr>
          <w:p w14:paraId="50D87A31"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w:t>
            </w:r>
          </w:p>
        </w:tc>
        <w:tc>
          <w:tcPr>
            <w:tcW w:w="2242" w:type="dxa"/>
            <w:vAlign w:val="center"/>
          </w:tcPr>
          <w:p w14:paraId="1BD482F8"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w:t>
            </w:r>
            <w:r w:rsidR="00916E6D">
              <w:rPr>
                <w:rFonts w:ascii="Arial Narrow" w:hAnsi="Arial Narrow"/>
                <w:noProof/>
                <w:color w:val="000000"/>
                <w:sz w:val="20"/>
                <w:szCs w:val="20"/>
                <w:highlight w:val="black"/>
              </w:rPr>
              <w:t>'''''''''''''''''''''</w:t>
            </w:r>
            <w:r w:rsidRPr="0030545D">
              <w:rPr>
                <w:rFonts w:ascii="Arial Narrow" w:hAnsi="Arial Narrow"/>
                <w:sz w:val="20"/>
                <w:szCs w:val="20"/>
                <w:vertAlign w:val="superscript"/>
              </w:rPr>
              <w:t>1</w:t>
            </w:r>
          </w:p>
        </w:tc>
        <w:tc>
          <w:tcPr>
            <w:tcW w:w="2243" w:type="dxa"/>
            <w:vAlign w:val="center"/>
          </w:tcPr>
          <w:p w14:paraId="42B11D6A" w14:textId="77777777" w:rsidR="00F430DA" w:rsidRPr="0030545D" w:rsidRDefault="00F430DA" w:rsidP="009B7037">
            <w:pPr>
              <w:jc w:val="center"/>
              <w:rPr>
                <w:rFonts w:ascii="Arial Narrow" w:hAnsi="Arial Narrow"/>
                <w:sz w:val="20"/>
                <w:szCs w:val="20"/>
              </w:rPr>
            </w:pPr>
            <w:r w:rsidRPr="0030545D">
              <w:rPr>
                <w:rFonts w:ascii="Arial Narrow" w:hAnsi="Arial Narrow"/>
                <w:sz w:val="20"/>
                <w:szCs w:val="20"/>
              </w:rPr>
              <w:t>$</w:t>
            </w:r>
            <w:r w:rsidR="00916E6D">
              <w:rPr>
                <w:rFonts w:ascii="Arial Narrow" w:hAnsi="Arial Narrow"/>
                <w:noProof/>
                <w:color w:val="000000"/>
                <w:sz w:val="20"/>
                <w:szCs w:val="20"/>
                <w:highlight w:val="black"/>
              </w:rPr>
              <w:t>'''''''''''''''''''''</w:t>
            </w:r>
            <w:r w:rsidRPr="0030545D">
              <w:rPr>
                <w:rFonts w:ascii="Arial Narrow" w:hAnsi="Arial Narrow"/>
                <w:sz w:val="20"/>
                <w:szCs w:val="20"/>
                <w:vertAlign w:val="superscript"/>
              </w:rPr>
              <w:t>2</w:t>
            </w:r>
          </w:p>
        </w:tc>
      </w:tr>
    </w:tbl>
    <w:p w14:paraId="7AA91BFA" w14:textId="77777777" w:rsidR="00F430DA" w:rsidRPr="0030545D" w:rsidRDefault="00F430DA" w:rsidP="00441BAE">
      <w:pPr>
        <w:pStyle w:val="TableFooter"/>
      </w:pPr>
      <w:r w:rsidRPr="0030545D">
        <w:t xml:space="preserve">Source: </w:t>
      </w:r>
      <w:r w:rsidR="009C6DE8" w:rsidRPr="0030545D">
        <w:t>C</w:t>
      </w:r>
      <w:r w:rsidRPr="0030545D">
        <w:t>onstructed during the evaluation using Austedo – Section 3 – CEA – 2 Nov 2020 (Final)</w:t>
      </w:r>
      <w:r w:rsidR="00354CF6" w:rsidRPr="0030545D">
        <w:t xml:space="preserve"> and Austedo – Section 4 -v106 – 2 Nov 2020 (final) </w:t>
      </w:r>
      <w:r w:rsidR="00AF4D61" w:rsidRPr="0030545D">
        <w:t>– Base case spreadsheets provided with the submission</w:t>
      </w:r>
    </w:p>
    <w:p w14:paraId="44A33144" w14:textId="77777777" w:rsidR="00F430DA" w:rsidRPr="0030545D" w:rsidRDefault="00F430DA" w:rsidP="00441BAE">
      <w:pPr>
        <w:pStyle w:val="TableFooter"/>
      </w:pPr>
      <w:r w:rsidRPr="0030545D">
        <w:rPr>
          <w:vertAlign w:val="superscript"/>
        </w:rPr>
        <w:t>1</w:t>
      </w:r>
      <w:r w:rsidRPr="0030545D">
        <w:t xml:space="preserve"> (5% × $</w:t>
      </w:r>
      <w:r w:rsidR="00916E6D">
        <w:rPr>
          <w:noProof/>
          <w:color w:val="000000"/>
          <w:highlight w:val="black"/>
        </w:rPr>
        <w:t>''''''''''</w:t>
      </w:r>
      <w:r w:rsidRPr="00916E6D">
        <w:t xml:space="preserve"> </w:t>
      </w:r>
      <w:r w:rsidRPr="0030545D">
        <w:t>[cost per mg of 6 mg strength=$</w:t>
      </w:r>
      <w:r w:rsidR="00916E6D">
        <w:rPr>
          <w:noProof/>
          <w:color w:val="000000"/>
          <w:highlight w:val="black"/>
        </w:rPr>
        <w:t>''''''''''''''''''''''</w:t>
      </w:r>
      <w:r w:rsidRPr="0030545D">
        <w:t>/720 mg] × 39.7 mg/day × 30 days)+(25% × $</w:t>
      </w:r>
      <w:r w:rsidR="00916E6D">
        <w:rPr>
          <w:noProof/>
          <w:color w:val="000000"/>
          <w:highlight w:val="black"/>
        </w:rPr>
        <w:t>'''''''''''</w:t>
      </w:r>
      <w:r w:rsidRPr="00916E6D">
        <w:t xml:space="preserve"> </w:t>
      </w:r>
      <w:r w:rsidRPr="0030545D">
        <w:t>[cost per mg of 9 mg strength=$</w:t>
      </w:r>
      <w:r w:rsidR="00916E6D">
        <w:rPr>
          <w:noProof/>
          <w:color w:val="000000"/>
          <w:highlight w:val="black"/>
        </w:rPr>
        <w:t>'''''''''''''''''''''</w:t>
      </w:r>
      <w:r w:rsidRPr="0030545D">
        <w:t>/1080 mg] × 39.7 mg/day × 30 days)+(70% × $</w:t>
      </w:r>
      <w:r w:rsidR="00916E6D">
        <w:rPr>
          <w:noProof/>
          <w:color w:val="000000"/>
          <w:highlight w:val="black"/>
        </w:rPr>
        <w:t>''''''''''</w:t>
      </w:r>
      <w:r w:rsidRPr="00916E6D">
        <w:t xml:space="preserve"> </w:t>
      </w:r>
      <w:r w:rsidRPr="0030545D">
        <w:t>[cost per mg of 12 mg strength=$</w:t>
      </w:r>
      <w:r w:rsidR="00916E6D">
        <w:rPr>
          <w:noProof/>
          <w:color w:val="000000"/>
          <w:highlight w:val="black"/>
        </w:rPr>
        <w:t>'''''''''''''''''''''</w:t>
      </w:r>
      <w:r w:rsidRPr="0030545D">
        <w:t xml:space="preserve">/1,440 mg] × 39.7 mg/day × 30 days); does not incorporate </w:t>
      </w:r>
      <w:r w:rsidR="002C71C2" w:rsidRPr="0030545D">
        <w:t xml:space="preserve">dose titration or </w:t>
      </w:r>
      <w:r w:rsidRPr="0030545D">
        <w:t>treatment discontinuation</w:t>
      </w:r>
    </w:p>
    <w:p w14:paraId="43A5E9D3" w14:textId="77777777" w:rsidR="00D5197D" w:rsidRPr="0030545D" w:rsidRDefault="00F430DA" w:rsidP="00C14F95">
      <w:pPr>
        <w:pStyle w:val="TableFooter"/>
        <w:spacing w:after="120"/>
      </w:pPr>
      <w:r w:rsidRPr="0030545D">
        <w:rPr>
          <w:vertAlign w:val="superscript"/>
        </w:rPr>
        <w:t>2</w:t>
      </w:r>
      <w:r w:rsidRPr="0030545D">
        <w:t xml:space="preserve"> (5% × $</w:t>
      </w:r>
      <w:r w:rsidR="00916E6D">
        <w:rPr>
          <w:noProof/>
          <w:color w:val="000000"/>
          <w:highlight w:val="black"/>
        </w:rPr>
        <w:t>''''''''''''</w:t>
      </w:r>
      <w:r w:rsidRPr="00916E6D">
        <w:t xml:space="preserve"> [</w:t>
      </w:r>
      <w:r w:rsidRPr="0030545D">
        <w:t>cost per tablet of 6 mg strength=$</w:t>
      </w:r>
      <w:r w:rsidR="00916E6D">
        <w:rPr>
          <w:noProof/>
          <w:color w:val="000000"/>
          <w:highlight w:val="black"/>
        </w:rPr>
        <w:t>''''''''''''''''''''''</w:t>
      </w:r>
      <w:r w:rsidRPr="0030545D">
        <w:t>/120] × 120 tablets per 30 days [4 tablets per day])+(25% × $</w:t>
      </w:r>
      <w:r w:rsidR="00916E6D" w:rsidRPr="00916E6D">
        <w:rPr>
          <w:noProof/>
          <w:color w:val="000000"/>
        </w:rPr>
        <w:t>''''''''''''</w:t>
      </w:r>
      <w:r w:rsidRPr="00916E6D">
        <w:t xml:space="preserve"> [</w:t>
      </w:r>
      <w:r w:rsidRPr="0030545D">
        <w:t>cost per tablet of 9 mg strength=$</w:t>
      </w:r>
      <w:r w:rsidR="00916E6D">
        <w:rPr>
          <w:noProof/>
          <w:color w:val="000000"/>
          <w:highlight w:val="black"/>
        </w:rPr>
        <w:t>''''''''''''''''''''''</w:t>
      </w:r>
      <w:r w:rsidRPr="0030545D">
        <w:t>/120] × 120 tablets per 30 days [4 tablets per day])+(34% × $</w:t>
      </w:r>
      <w:r w:rsidR="00916E6D">
        <w:rPr>
          <w:noProof/>
          <w:color w:val="000000"/>
          <w:highlight w:val="black"/>
        </w:rPr>
        <w:t>''''''''''''</w:t>
      </w:r>
      <w:r w:rsidRPr="00916E6D">
        <w:t xml:space="preserve"> </w:t>
      </w:r>
      <w:r w:rsidRPr="0030545D">
        <w:t>[cost per tablet of 12 mg strength</w:t>
      </w:r>
      <w:r w:rsidRPr="00916E6D">
        <w:t>=$</w:t>
      </w:r>
      <w:r w:rsidR="0087102F">
        <w:rPr>
          <w:noProof/>
          <w:color w:val="000000"/>
          <w:highlight w:val="black"/>
        </w:rPr>
        <w:t>''''''''''''''''''''</w:t>
      </w:r>
      <w:r w:rsidRPr="00916E6D">
        <w:t>/</w:t>
      </w:r>
      <w:r w:rsidRPr="0030545D">
        <w:t>120] × 90 tablets per 30 days [3 tablets per day])+ (36% × $</w:t>
      </w:r>
      <w:r w:rsidR="00916E6D">
        <w:rPr>
          <w:noProof/>
          <w:color w:val="000000"/>
          <w:highlight w:val="black"/>
        </w:rPr>
        <w:t>''''''''''''</w:t>
      </w:r>
      <w:r w:rsidRPr="00916E6D">
        <w:t xml:space="preserve"> </w:t>
      </w:r>
      <w:r w:rsidRPr="0030545D">
        <w:t>[cost per tablet of 12 mg strength=$</w:t>
      </w:r>
      <w:r w:rsidR="00916E6D">
        <w:rPr>
          <w:noProof/>
          <w:color w:val="000000"/>
          <w:highlight w:val="black"/>
        </w:rPr>
        <w:t>''''''''''''''''''''</w:t>
      </w:r>
      <w:r w:rsidRPr="0030545D">
        <w:t>/120] × 120 tablets per 30 days [4 tablets per day]); weighted cost per 30 day period of $</w:t>
      </w:r>
      <w:r w:rsidR="00916E6D">
        <w:rPr>
          <w:noProof/>
          <w:color w:val="000000"/>
          <w:highlight w:val="black"/>
        </w:rPr>
        <w:t>''''''''''''''''''''</w:t>
      </w:r>
      <w:r w:rsidRPr="0030545D">
        <w:t>×93.99% adherence</w:t>
      </w:r>
    </w:p>
    <w:p w14:paraId="4F08219D" w14:textId="77777777" w:rsidR="00D5197D" w:rsidRPr="0030545D" w:rsidRDefault="00D5197D" w:rsidP="00441BAE">
      <w:pPr>
        <w:pStyle w:val="ExecSumBodyText"/>
      </w:pPr>
      <w:r w:rsidRPr="0030545D">
        <w:t>For comparison, the drug cost for tetrabenazine ranges from $81</w:t>
      </w:r>
      <w:r w:rsidR="00125460" w:rsidRPr="0030545D">
        <w:t xml:space="preserve"> (25 mg total daily dose) to </w:t>
      </w:r>
      <w:r w:rsidRPr="0030545D">
        <w:t>$645</w:t>
      </w:r>
      <w:r w:rsidR="00125460" w:rsidRPr="0030545D">
        <w:t xml:space="preserve"> (200 mg total daily dose)</w:t>
      </w:r>
      <w:r w:rsidRPr="0030545D">
        <w:t xml:space="preserve"> per month</w:t>
      </w:r>
      <w:r w:rsidR="00125460" w:rsidRPr="0030545D">
        <w:t>.</w:t>
      </w:r>
    </w:p>
    <w:p w14:paraId="05FE5556" w14:textId="77777777" w:rsidR="00A12E02" w:rsidRPr="0030545D" w:rsidRDefault="00B60939" w:rsidP="00A12E02">
      <w:pPr>
        <w:pStyle w:val="3-SubsectionHeading"/>
      </w:pPr>
      <w:bookmarkStart w:id="26" w:name="_Toc22897647"/>
      <w:bookmarkStart w:id="27" w:name="_Toc61940999"/>
      <w:r w:rsidRPr="0030545D">
        <w:t>Estimated PBS usage &amp; financial implications</w:t>
      </w:r>
      <w:bookmarkEnd w:id="26"/>
      <w:bookmarkEnd w:id="27"/>
    </w:p>
    <w:p w14:paraId="091C7ACB" w14:textId="77777777" w:rsidR="00A90374" w:rsidRPr="0030545D" w:rsidRDefault="0047015F" w:rsidP="00A90374">
      <w:pPr>
        <w:pStyle w:val="ExecSumBodyText"/>
        <w:numPr>
          <w:ilvl w:val="1"/>
          <w:numId w:val="1"/>
        </w:numPr>
      </w:pPr>
      <w:bookmarkStart w:id="28" w:name="_Toc22897648"/>
      <w:bookmarkStart w:id="29" w:name="_Toc61941000"/>
      <w:r w:rsidRPr="0030545D">
        <w:t xml:space="preserve">The submission was considered by DUSC. </w:t>
      </w:r>
      <w:r w:rsidR="00A90374" w:rsidRPr="0030545D">
        <w:t>The submission used an epidemiological approach to estimate the utilisation and financial impact of deutetrabenazine. Key inputs are summarised in the table below.</w:t>
      </w:r>
    </w:p>
    <w:p w14:paraId="249F7A37" w14:textId="77777777" w:rsidR="00A90374" w:rsidRPr="0030545D" w:rsidRDefault="003928F3" w:rsidP="00C14F95">
      <w:pPr>
        <w:pStyle w:val="Tableheadingrow"/>
        <w:rPr>
          <w:lang w:val="en-AU"/>
        </w:rPr>
      </w:pPr>
      <w:r>
        <w:rPr>
          <w:lang w:val="en-AU"/>
        </w:rPr>
        <w:t>Table 14</w:t>
      </w:r>
      <w:r w:rsidR="00A90374" w:rsidRPr="0030545D">
        <w:rPr>
          <w:lang w:val="en-AU"/>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1604"/>
        <w:gridCol w:w="2551"/>
        <w:gridCol w:w="3352"/>
      </w:tblGrid>
      <w:tr w:rsidR="00A90374" w:rsidRPr="0030545D" w14:paraId="39CAFF8C" w14:textId="77777777" w:rsidTr="00C14F95">
        <w:trPr>
          <w:cantSplit/>
          <w:tblHeader/>
        </w:trPr>
        <w:tc>
          <w:tcPr>
            <w:tcW w:w="1510" w:type="dxa"/>
            <w:vAlign w:val="center"/>
          </w:tcPr>
          <w:p w14:paraId="152059DD" w14:textId="77777777" w:rsidR="00A90374" w:rsidRPr="0030545D" w:rsidRDefault="00A90374" w:rsidP="00C14F95">
            <w:pPr>
              <w:pStyle w:val="Tableheadingrow"/>
              <w:widowControl w:val="0"/>
              <w:jc w:val="center"/>
              <w:rPr>
                <w:lang w:val="en-AU"/>
              </w:rPr>
            </w:pPr>
            <w:r w:rsidRPr="0030545D">
              <w:rPr>
                <w:lang w:val="en-AU"/>
              </w:rPr>
              <w:t>Data</w:t>
            </w:r>
          </w:p>
        </w:tc>
        <w:tc>
          <w:tcPr>
            <w:tcW w:w="1604" w:type="dxa"/>
            <w:vAlign w:val="center"/>
          </w:tcPr>
          <w:p w14:paraId="15242A83" w14:textId="77777777" w:rsidR="00A90374" w:rsidRPr="0030545D" w:rsidRDefault="00A90374" w:rsidP="00C14F95">
            <w:pPr>
              <w:pStyle w:val="Tableheadingrow"/>
              <w:widowControl w:val="0"/>
              <w:jc w:val="center"/>
              <w:rPr>
                <w:lang w:val="en-AU"/>
              </w:rPr>
            </w:pPr>
            <w:r w:rsidRPr="0030545D">
              <w:rPr>
                <w:lang w:val="en-AU"/>
              </w:rPr>
              <w:t>Value</w:t>
            </w:r>
          </w:p>
        </w:tc>
        <w:tc>
          <w:tcPr>
            <w:tcW w:w="2551" w:type="dxa"/>
            <w:vAlign w:val="center"/>
          </w:tcPr>
          <w:p w14:paraId="277F920C" w14:textId="77777777" w:rsidR="00A90374" w:rsidRPr="0030545D" w:rsidRDefault="00A90374" w:rsidP="00C14F95">
            <w:pPr>
              <w:pStyle w:val="Tableheadingrow"/>
              <w:widowControl w:val="0"/>
              <w:jc w:val="center"/>
              <w:rPr>
                <w:lang w:val="en-AU"/>
              </w:rPr>
            </w:pPr>
            <w:r w:rsidRPr="0030545D">
              <w:rPr>
                <w:lang w:val="en-AU"/>
              </w:rPr>
              <w:t>Source</w:t>
            </w:r>
          </w:p>
        </w:tc>
        <w:tc>
          <w:tcPr>
            <w:tcW w:w="3352" w:type="dxa"/>
            <w:vAlign w:val="center"/>
          </w:tcPr>
          <w:p w14:paraId="6412A183" w14:textId="77777777" w:rsidR="00A90374" w:rsidRPr="0030545D" w:rsidRDefault="00A90374" w:rsidP="00C14F95">
            <w:pPr>
              <w:pStyle w:val="Tableheadingrow"/>
              <w:widowControl w:val="0"/>
              <w:jc w:val="center"/>
              <w:rPr>
                <w:lang w:val="en-AU"/>
              </w:rPr>
            </w:pPr>
            <w:r w:rsidRPr="0030545D">
              <w:rPr>
                <w:lang w:val="en-AU"/>
              </w:rPr>
              <w:t>Comment</w:t>
            </w:r>
          </w:p>
        </w:tc>
      </w:tr>
      <w:tr w:rsidR="00A90374" w:rsidRPr="0030545D" w14:paraId="7BCE1CDA" w14:textId="77777777" w:rsidTr="00C14F95">
        <w:trPr>
          <w:cantSplit/>
        </w:trPr>
        <w:tc>
          <w:tcPr>
            <w:tcW w:w="9017" w:type="dxa"/>
            <w:gridSpan w:val="4"/>
            <w:vAlign w:val="center"/>
          </w:tcPr>
          <w:p w14:paraId="3BBA7959" w14:textId="77777777" w:rsidR="00A90374" w:rsidRPr="0030545D" w:rsidRDefault="00A90374" w:rsidP="00C14F95">
            <w:pPr>
              <w:pStyle w:val="Tableheadingrow"/>
              <w:widowControl w:val="0"/>
              <w:rPr>
                <w:lang w:val="en-AU"/>
              </w:rPr>
            </w:pPr>
            <w:r w:rsidRPr="0030545D">
              <w:rPr>
                <w:lang w:val="en-AU"/>
              </w:rPr>
              <w:t>Eligible population</w:t>
            </w:r>
          </w:p>
        </w:tc>
      </w:tr>
      <w:tr w:rsidR="00A90374" w:rsidRPr="0030545D" w14:paraId="6D5DFC53" w14:textId="77777777" w:rsidTr="00C14F95">
        <w:trPr>
          <w:cantSplit/>
        </w:trPr>
        <w:tc>
          <w:tcPr>
            <w:tcW w:w="1510" w:type="dxa"/>
            <w:vAlign w:val="center"/>
          </w:tcPr>
          <w:p w14:paraId="2D35C903" w14:textId="77777777" w:rsidR="00A90374" w:rsidRPr="0030545D" w:rsidRDefault="00A90374" w:rsidP="00C14F95">
            <w:pPr>
              <w:pStyle w:val="TableText"/>
              <w:widowControl w:val="0"/>
            </w:pPr>
            <w:r w:rsidRPr="0030545D">
              <w:t>Prevalence of Huntington’s disease</w:t>
            </w:r>
          </w:p>
        </w:tc>
        <w:tc>
          <w:tcPr>
            <w:tcW w:w="1604" w:type="dxa"/>
            <w:vAlign w:val="center"/>
          </w:tcPr>
          <w:p w14:paraId="036D4EA3" w14:textId="77777777" w:rsidR="00A90374" w:rsidRPr="0030545D" w:rsidRDefault="00A90374" w:rsidP="00C14F95">
            <w:pPr>
              <w:pStyle w:val="TableText"/>
              <w:widowControl w:val="0"/>
              <w:jc w:val="center"/>
            </w:pPr>
            <w:r w:rsidRPr="0030545D">
              <w:t>8 cases per 100,000 individuals</w:t>
            </w:r>
          </w:p>
        </w:tc>
        <w:tc>
          <w:tcPr>
            <w:tcW w:w="2551" w:type="dxa"/>
            <w:vAlign w:val="center"/>
          </w:tcPr>
          <w:p w14:paraId="136E6ED3" w14:textId="77777777" w:rsidR="00A90374" w:rsidRPr="0030545D" w:rsidRDefault="00A90374" w:rsidP="00C14F95">
            <w:pPr>
              <w:pStyle w:val="TableText"/>
              <w:widowControl w:val="0"/>
            </w:pPr>
            <w:r w:rsidRPr="0030545D">
              <w:t>Prevalence estimate for 1999 based on the Huntington Disease Register of Victoria and additional case ascertainment through genetic testing (Tassicker 2009)</w:t>
            </w:r>
          </w:p>
        </w:tc>
        <w:tc>
          <w:tcPr>
            <w:tcW w:w="3352" w:type="dxa"/>
            <w:vAlign w:val="center"/>
          </w:tcPr>
          <w:p w14:paraId="0E9E638E" w14:textId="77777777" w:rsidR="00A90374" w:rsidRPr="0030545D" w:rsidRDefault="00A90374" w:rsidP="00C14F95">
            <w:pPr>
              <w:pStyle w:val="TableText"/>
              <w:widowControl w:val="0"/>
              <w:rPr>
                <w:iCs/>
              </w:rPr>
            </w:pPr>
            <w:r w:rsidRPr="0030545D">
              <w:rPr>
                <w:iCs/>
              </w:rPr>
              <w:t xml:space="preserve">This appeared reasonable for the base case value however plausible estimates of disease prevalence in Australia range from 6-12 cases per 100,000 individuals. </w:t>
            </w:r>
          </w:p>
        </w:tc>
      </w:tr>
      <w:tr w:rsidR="00A90374" w:rsidRPr="0030545D" w14:paraId="1E4CA34D" w14:textId="77777777" w:rsidTr="00C14F95">
        <w:trPr>
          <w:cantSplit/>
        </w:trPr>
        <w:tc>
          <w:tcPr>
            <w:tcW w:w="1510" w:type="dxa"/>
            <w:vAlign w:val="center"/>
          </w:tcPr>
          <w:p w14:paraId="49A5EFC4" w14:textId="77777777" w:rsidR="00A90374" w:rsidRPr="0030545D" w:rsidRDefault="00A90374" w:rsidP="00C14F95">
            <w:pPr>
              <w:pStyle w:val="TableText"/>
              <w:widowControl w:val="0"/>
            </w:pPr>
            <w:r w:rsidRPr="0030545D">
              <w:rPr>
                <w:lang w:eastAsia="en-US"/>
              </w:rPr>
              <w:t xml:space="preserve">Proportion with troublesome symptoms requiring treatment </w:t>
            </w:r>
          </w:p>
        </w:tc>
        <w:tc>
          <w:tcPr>
            <w:tcW w:w="1604" w:type="dxa"/>
            <w:vAlign w:val="center"/>
          </w:tcPr>
          <w:p w14:paraId="7DEC1687" w14:textId="77777777" w:rsidR="00A90374" w:rsidRPr="0030545D" w:rsidRDefault="00A90374" w:rsidP="00C14F95">
            <w:pPr>
              <w:pStyle w:val="TableText"/>
              <w:widowControl w:val="0"/>
              <w:jc w:val="center"/>
            </w:pPr>
            <w:r w:rsidRPr="0030545D">
              <w:rPr>
                <w:lang w:eastAsia="en-US"/>
              </w:rPr>
              <w:t>90%</w:t>
            </w:r>
          </w:p>
        </w:tc>
        <w:tc>
          <w:tcPr>
            <w:tcW w:w="2551" w:type="dxa"/>
            <w:vAlign w:val="center"/>
          </w:tcPr>
          <w:p w14:paraId="6529418F" w14:textId="77777777" w:rsidR="00A90374" w:rsidRPr="0030545D" w:rsidRDefault="00A90374" w:rsidP="00C14F95">
            <w:pPr>
              <w:pStyle w:val="TableText"/>
              <w:widowControl w:val="0"/>
            </w:pPr>
            <w:r w:rsidRPr="0030545D">
              <w:t>Assumption based expert advice from sponsor’s advisory board (</w:t>
            </w:r>
            <w:r w:rsidR="00916E6D">
              <w:rPr>
                <w:noProof/>
                <w:color w:val="000000"/>
                <w:highlight w:val="black"/>
              </w:rPr>
              <w:t>''''''</w:t>
            </w:r>
            <w:r w:rsidRPr="0030545D">
              <w:t>%), weighted average response from a sponsor commissioned clinical survey of specialists and nurses (</w:t>
            </w:r>
            <w:r w:rsidR="00916E6D">
              <w:rPr>
                <w:noProof/>
                <w:color w:val="000000"/>
                <w:highlight w:val="black"/>
              </w:rPr>
              <w:t>''''''</w:t>
            </w:r>
            <w:r w:rsidRPr="00916E6D">
              <w:t>%</w:t>
            </w:r>
            <w:r w:rsidRPr="0030545D">
              <w:t>); and published estimates from an international survey of Huntington’s disease physicians (85%; Burgunder 2011)</w:t>
            </w:r>
          </w:p>
        </w:tc>
        <w:tc>
          <w:tcPr>
            <w:tcW w:w="3352" w:type="dxa"/>
            <w:vAlign w:val="center"/>
          </w:tcPr>
          <w:p w14:paraId="7AC5095A" w14:textId="77777777" w:rsidR="00A90374" w:rsidRPr="0030545D" w:rsidRDefault="00A90374" w:rsidP="00C14F95">
            <w:pPr>
              <w:pStyle w:val="TableText"/>
              <w:widowControl w:val="0"/>
              <w:rPr>
                <w:iCs/>
              </w:rPr>
            </w:pPr>
            <w:r w:rsidRPr="0030545D">
              <w:rPr>
                <w:iCs/>
              </w:rPr>
              <w:t xml:space="preserve">The estimates from the clinical survey and international survey could not be validated. The average proportion of patients treated was </w:t>
            </w:r>
            <w:r w:rsidR="00916E6D">
              <w:rPr>
                <w:iCs/>
                <w:noProof/>
                <w:color w:val="000000"/>
                <w:highlight w:val="black"/>
              </w:rPr>
              <w:t>''''''</w:t>
            </w:r>
            <w:r w:rsidRPr="0030545D">
              <w:rPr>
                <w:iCs/>
              </w:rPr>
              <w:t xml:space="preserve">% from specialists and </w:t>
            </w:r>
            <w:r w:rsidR="00916E6D">
              <w:rPr>
                <w:iCs/>
                <w:noProof/>
                <w:color w:val="000000"/>
                <w:highlight w:val="black"/>
              </w:rPr>
              <w:t>''''''</w:t>
            </w:r>
            <w:r w:rsidRPr="0030545D">
              <w:rPr>
                <w:iCs/>
              </w:rPr>
              <w:t>% from nurses based on the clinical survey. The international survey reported the proportion of physicians who would not nominate a first-line choice; it did not report the proportion of patients treated for chorea.</w:t>
            </w:r>
          </w:p>
          <w:p w14:paraId="7404ABF1" w14:textId="77777777" w:rsidR="00A90374" w:rsidRPr="0030545D" w:rsidRDefault="00A90374" w:rsidP="00C14F95">
            <w:pPr>
              <w:pStyle w:val="TableText"/>
              <w:widowControl w:val="0"/>
              <w:rPr>
                <w:iCs/>
              </w:rPr>
            </w:pPr>
          </w:p>
          <w:p w14:paraId="72452C44" w14:textId="77777777" w:rsidR="00A90374" w:rsidRPr="0030545D" w:rsidRDefault="00A90374" w:rsidP="00C14F95">
            <w:pPr>
              <w:pStyle w:val="TableText"/>
              <w:widowControl w:val="0"/>
              <w:rPr>
                <w:iCs/>
              </w:rPr>
            </w:pPr>
            <w:r w:rsidRPr="0030545D">
              <w:rPr>
                <w:iCs/>
              </w:rPr>
              <w:t>The estimate was also inconsistent with the results of the sponsor-commissioned physician audit which indicated that approximately 63% of patients were treated with chorea symptoms.</w:t>
            </w:r>
          </w:p>
          <w:p w14:paraId="62C0264F" w14:textId="77777777" w:rsidR="00A90374" w:rsidRPr="0030545D" w:rsidRDefault="00A90374" w:rsidP="00C14F95">
            <w:pPr>
              <w:pStyle w:val="TableText"/>
              <w:widowControl w:val="0"/>
              <w:rPr>
                <w:iCs/>
              </w:rPr>
            </w:pPr>
          </w:p>
          <w:p w14:paraId="008A9D6A" w14:textId="77777777" w:rsidR="00A90374" w:rsidRPr="0030545D" w:rsidRDefault="00A90374" w:rsidP="00C14F95">
            <w:pPr>
              <w:pStyle w:val="TableText"/>
              <w:widowControl w:val="0"/>
              <w:spacing w:after="60"/>
              <w:rPr>
                <w:iCs/>
              </w:rPr>
            </w:pPr>
            <w:r w:rsidRPr="0030545D">
              <w:rPr>
                <w:iCs/>
              </w:rPr>
              <w:t xml:space="preserve">Other publications provided with the submission also suggested lower estimates: </w:t>
            </w:r>
          </w:p>
          <w:p w14:paraId="60C59085" w14:textId="77777777" w:rsidR="00A90374" w:rsidRPr="0030545D" w:rsidRDefault="00A90374" w:rsidP="00C14F95">
            <w:pPr>
              <w:pStyle w:val="TableText"/>
              <w:widowControl w:val="0"/>
              <w:numPr>
                <w:ilvl w:val="0"/>
                <w:numId w:val="9"/>
              </w:numPr>
              <w:spacing w:after="60"/>
              <w:ind w:left="170" w:hanging="170"/>
              <w:rPr>
                <w:iCs/>
              </w:rPr>
            </w:pPr>
            <w:r w:rsidRPr="0030545D">
              <w:rPr>
                <w:iCs/>
              </w:rPr>
              <w:t xml:space="preserve">39% of European Huntington’s disease patients (not limited to patients with chorea symptoms) used dyskinetic medications (Orth 2010)   </w:t>
            </w:r>
          </w:p>
          <w:p w14:paraId="1646342F" w14:textId="77777777" w:rsidR="00A90374" w:rsidRPr="0030545D" w:rsidRDefault="00A90374" w:rsidP="00C14F95">
            <w:pPr>
              <w:pStyle w:val="TableText"/>
              <w:widowControl w:val="0"/>
              <w:numPr>
                <w:ilvl w:val="0"/>
                <w:numId w:val="10"/>
              </w:numPr>
              <w:ind w:left="170" w:hanging="170"/>
              <w:rPr>
                <w:iCs/>
              </w:rPr>
            </w:pPr>
            <w:r w:rsidRPr="0030545D">
              <w:rPr>
                <w:iCs/>
              </w:rPr>
              <w:t>75% of American Huntington’s disease patients with chorea used dyskinetic medications (Simpson 2016)</w:t>
            </w:r>
          </w:p>
        </w:tc>
      </w:tr>
      <w:tr w:rsidR="00A90374" w:rsidRPr="0030545D" w14:paraId="33876B92" w14:textId="77777777" w:rsidTr="00C14F95">
        <w:trPr>
          <w:cantSplit/>
        </w:trPr>
        <w:tc>
          <w:tcPr>
            <w:tcW w:w="1510" w:type="dxa"/>
            <w:vAlign w:val="center"/>
          </w:tcPr>
          <w:p w14:paraId="7D218B99" w14:textId="77777777" w:rsidR="00A90374" w:rsidRPr="0030545D" w:rsidRDefault="00A90374" w:rsidP="008B3F9C">
            <w:pPr>
              <w:pStyle w:val="TableText"/>
              <w:keepNext w:val="0"/>
              <w:widowControl w:val="0"/>
              <w:rPr>
                <w:lang w:eastAsia="en-US"/>
              </w:rPr>
            </w:pPr>
            <w:r w:rsidRPr="0030545D">
              <w:rPr>
                <w:lang w:eastAsia="en-US"/>
              </w:rPr>
              <w:t xml:space="preserve">Distribution of first-line treatments for chorea symptoms </w:t>
            </w:r>
          </w:p>
        </w:tc>
        <w:tc>
          <w:tcPr>
            <w:tcW w:w="1604" w:type="dxa"/>
            <w:vAlign w:val="center"/>
          </w:tcPr>
          <w:p w14:paraId="0AF5697E" w14:textId="77777777" w:rsidR="00A90374" w:rsidRPr="0030545D" w:rsidRDefault="00A90374" w:rsidP="008B3F9C">
            <w:pPr>
              <w:pStyle w:val="TableText"/>
              <w:keepNext w:val="0"/>
              <w:widowControl w:val="0"/>
              <w:jc w:val="center"/>
              <w:rPr>
                <w:lang w:eastAsia="en-US"/>
              </w:rPr>
            </w:pPr>
            <w:r w:rsidRPr="0030545D">
              <w:rPr>
                <w:lang w:eastAsia="en-US"/>
              </w:rPr>
              <w:t xml:space="preserve">Tetrabenazine: </w:t>
            </w:r>
            <w:r w:rsidR="00916E6D">
              <w:rPr>
                <w:noProof/>
                <w:color w:val="000000"/>
                <w:highlight w:val="black"/>
                <w:lang w:eastAsia="en-US"/>
              </w:rPr>
              <w:t>'''''''</w:t>
            </w:r>
            <w:r w:rsidRPr="0030545D">
              <w:rPr>
                <w:lang w:eastAsia="en-US"/>
              </w:rPr>
              <w:t>%</w:t>
            </w:r>
          </w:p>
          <w:p w14:paraId="03DCB276" w14:textId="77777777" w:rsidR="00A90374" w:rsidRPr="0030545D" w:rsidRDefault="00A90374" w:rsidP="008B3F9C">
            <w:pPr>
              <w:pStyle w:val="TableText"/>
              <w:keepNext w:val="0"/>
              <w:widowControl w:val="0"/>
              <w:jc w:val="center"/>
              <w:rPr>
                <w:lang w:eastAsia="en-US"/>
              </w:rPr>
            </w:pPr>
            <w:r w:rsidRPr="0030545D">
              <w:rPr>
                <w:lang w:eastAsia="en-US"/>
              </w:rPr>
              <w:t xml:space="preserve">Antipsychotic: </w:t>
            </w:r>
            <w:r w:rsidR="00916E6D">
              <w:rPr>
                <w:noProof/>
                <w:color w:val="000000"/>
                <w:highlight w:val="black"/>
                <w:lang w:eastAsia="en-US"/>
              </w:rPr>
              <w:t>''''''</w:t>
            </w:r>
            <w:r w:rsidRPr="0030545D">
              <w:rPr>
                <w:lang w:eastAsia="en-US"/>
              </w:rPr>
              <w:t>%</w:t>
            </w:r>
          </w:p>
          <w:p w14:paraId="44B7085F" w14:textId="77777777" w:rsidR="00A90374" w:rsidRPr="0030545D" w:rsidRDefault="00A90374" w:rsidP="008B3F9C">
            <w:pPr>
              <w:pStyle w:val="TableText"/>
              <w:keepNext w:val="0"/>
              <w:widowControl w:val="0"/>
              <w:jc w:val="center"/>
              <w:rPr>
                <w:lang w:eastAsia="en-US"/>
              </w:rPr>
            </w:pPr>
            <w:r w:rsidRPr="0030545D">
              <w:rPr>
                <w:lang w:eastAsia="en-US"/>
              </w:rPr>
              <w:t xml:space="preserve">Other: </w:t>
            </w:r>
            <w:r w:rsidR="00916E6D">
              <w:rPr>
                <w:noProof/>
                <w:color w:val="000000"/>
                <w:highlight w:val="black"/>
                <w:lang w:eastAsia="en-US"/>
              </w:rPr>
              <w:t>''''</w:t>
            </w:r>
            <w:r w:rsidRPr="0030545D">
              <w:rPr>
                <w:lang w:eastAsia="en-US"/>
              </w:rPr>
              <w:t>%</w:t>
            </w:r>
          </w:p>
        </w:tc>
        <w:tc>
          <w:tcPr>
            <w:tcW w:w="2551" w:type="dxa"/>
            <w:vAlign w:val="center"/>
          </w:tcPr>
          <w:p w14:paraId="3CC9047F" w14:textId="77777777" w:rsidR="00A90374" w:rsidRPr="0030545D" w:rsidRDefault="00A90374" w:rsidP="008B3F9C">
            <w:pPr>
              <w:pStyle w:val="TableText"/>
              <w:keepNext w:val="0"/>
              <w:widowControl w:val="0"/>
            </w:pPr>
            <w:r w:rsidRPr="0030545D">
              <w:t xml:space="preserve">Based on sponsor commissioned survey of specialists and nurses (results from specialists only). </w:t>
            </w:r>
          </w:p>
        </w:tc>
        <w:tc>
          <w:tcPr>
            <w:tcW w:w="3352" w:type="dxa"/>
            <w:vAlign w:val="center"/>
          </w:tcPr>
          <w:p w14:paraId="06BE49C4" w14:textId="77777777" w:rsidR="00A90374" w:rsidRPr="0030545D" w:rsidRDefault="00A90374" w:rsidP="008B3F9C">
            <w:pPr>
              <w:pStyle w:val="TableText"/>
              <w:keepNext w:val="0"/>
              <w:widowControl w:val="0"/>
              <w:rPr>
                <w:iCs/>
              </w:rPr>
            </w:pPr>
            <w:r w:rsidRPr="0030545D">
              <w:rPr>
                <w:iCs/>
              </w:rPr>
              <w:t xml:space="preserve">The estimates used in the base case were uncertain given the discordant results between physicians and nurses (tetrabenazine: </w:t>
            </w:r>
            <w:r w:rsidR="00916E6D">
              <w:rPr>
                <w:iCs/>
                <w:noProof/>
                <w:color w:val="000000"/>
                <w:highlight w:val="black"/>
              </w:rPr>
              <w:t>''''''</w:t>
            </w:r>
            <w:r w:rsidRPr="00916E6D">
              <w:rPr>
                <w:iCs/>
              </w:rPr>
              <w:t>%,</w:t>
            </w:r>
            <w:r w:rsidRPr="0030545D">
              <w:rPr>
                <w:iCs/>
              </w:rPr>
              <w:t xml:space="preserve"> antipsychotics: </w:t>
            </w:r>
            <w:r w:rsidR="00916E6D">
              <w:rPr>
                <w:iCs/>
                <w:noProof/>
                <w:color w:val="000000"/>
                <w:highlight w:val="black"/>
              </w:rPr>
              <w:t>''''''</w:t>
            </w:r>
            <w:r w:rsidRPr="00916E6D">
              <w:rPr>
                <w:iCs/>
              </w:rPr>
              <w:t>%,</w:t>
            </w:r>
          </w:p>
          <w:p w14:paraId="4D209E92" w14:textId="77777777" w:rsidR="00A90374" w:rsidRPr="0030545D" w:rsidRDefault="00A90374" w:rsidP="008B3F9C">
            <w:pPr>
              <w:pStyle w:val="TableText"/>
              <w:keepNext w:val="0"/>
              <w:widowControl w:val="0"/>
              <w:rPr>
                <w:iCs/>
              </w:rPr>
            </w:pPr>
            <w:r w:rsidRPr="0030545D">
              <w:rPr>
                <w:iCs/>
              </w:rPr>
              <w:t>anticonvulsants</w:t>
            </w:r>
            <w:r w:rsidRPr="00916E6D">
              <w:rPr>
                <w:iCs/>
              </w:rPr>
              <w:t xml:space="preserve">: </w:t>
            </w:r>
            <w:r w:rsidR="00916E6D">
              <w:rPr>
                <w:iCs/>
                <w:noProof/>
                <w:color w:val="000000"/>
                <w:highlight w:val="black"/>
              </w:rPr>
              <w:t>''''''</w:t>
            </w:r>
            <w:r w:rsidRPr="00916E6D">
              <w:rPr>
                <w:iCs/>
              </w:rPr>
              <w:t xml:space="preserve">%, </w:t>
            </w:r>
            <w:r w:rsidRPr="0030545D">
              <w:rPr>
                <w:iCs/>
              </w:rPr>
              <w:t>antidepressants</w:t>
            </w:r>
            <w:r w:rsidR="00916E6D">
              <w:rPr>
                <w:iCs/>
                <w:noProof/>
                <w:color w:val="000000"/>
                <w:highlight w:val="black"/>
              </w:rPr>
              <w:t>'' '''</w:t>
            </w:r>
            <w:r w:rsidRPr="00916E6D">
              <w:rPr>
                <w:iCs/>
              </w:rPr>
              <w:t>%</w:t>
            </w:r>
            <w:r w:rsidRPr="0030545D">
              <w:rPr>
                <w:iCs/>
              </w:rPr>
              <w:t>,</w:t>
            </w:r>
          </w:p>
          <w:p w14:paraId="777033FB" w14:textId="77777777" w:rsidR="00A90374" w:rsidRPr="0030545D" w:rsidRDefault="00A90374" w:rsidP="008B3F9C">
            <w:pPr>
              <w:pStyle w:val="TableText"/>
              <w:keepNext w:val="0"/>
              <w:widowControl w:val="0"/>
              <w:rPr>
                <w:iCs/>
              </w:rPr>
            </w:pPr>
            <w:r w:rsidRPr="0030545D">
              <w:rPr>
                <w:iCs/>
              </w:rPr>
              <w:t xml:space="preserve">anxiolytics: </w:t>
            </w:r>
            <w:r w:rsidR="00916E6D">
              <w:rPr>
                <w:iCs/>
                <w:noProof/>
                <w:color w:val="000000"/>
                <w:highlight w:val="black"/>
              </w:rPr>
              <w:t>'''</w:t>
            </w:r>
            <w:r w:rsidRPr="00916E6D">
              <w:rPr>
                <w:iCs/>
              </w:rPr>
              <w:t>%</w:t>
            </w:r>
            <w:r w:rsidRPr="0030545D">
              <w:rPr>
                <w:iCs/>
              </w:rPr>
              <w:t>).</w:t>
            </w:r>
          </w:p>
          <w:p w14:paraId="2687286F" w14:textId="77777777" w:rsidR="00A90374" w:rsidRPr="0030545D" w:rsidRDefault="00A90374" w:rsidP="008B3F9C">
            <w:pPr>
              <w:pStyle w:val="TableText"/>
              <w:keepNext w:val="0"/>
              <w:widowControl w:val="0"/>
              <w:rPr>
                <w:iCs/>
              </w:rPr>
            </w:pPr>
          </w:p>
          <w:p w14:paraId="2A26F4BB" w14:textId="77777777" w:rsidR="00A90374" w:rsidRPr="0030545D" w:rsidRDefault="00A90374" w:rsidP="009002F8">
            <w:pPr>
              <w:pStyle w:val="TableText"/>
              <w:keepNext w:val="0"/>
              <w:widowControl w:val="0"/>
              <w:rPr>
                <w:iCs/>
              </w:rPr>
            </w:pPr>
            <w:r w:rsidRPr="0030545D">
              <w:rPr>
                <w:iCs/>
              </w:rPr>
              <w:t>Additionally the estimated number of patients using tetrabenazine for chorea (</w:t>
            </w:r>
            <w:r w:rsidR="009002F8">
              <w:rPr>
                <w:iCs/>
              </w:rPr>
              <w:t>500 to &lt; 5000</w:t>
            </w:r>
            <w:r w:rsidRPr="0030545D">
              <w:rPr>
                <w:iCs/>
              </w:rPr>
              <w:t xml:space="preserve"> first-line, </w:t>
            </w:r>
            <w:r w:rsidR="009002F8">
              <w:rPr>
                <w:iCs/>
              </w:rPr>
              <w:t>&lt; 500</w:t>
            </w:r>
            <w:r w:rsidR="009002F8" w:rsidRPr="0030545D">
              <w:rPr>
                <w:iCs/>
              </w:rPr>
              <w:t xml:space="preserve"> </w:t>
            </w:r>
            <w:r w:rsidRPr="0030545D">
              <w:rPr>
                <w:iCs/>
              </w:rPr>
              <w:t>second-line) is substantially higher than expected based on PBS scripts for tetrabenazine (</w:t>
            </w:r>
            <w:r w:rsidR="009002F8">
              <w:rPr>
                <w:iCs/>
              </w:rPr>
              <w:t>500 to &lt; 5000</w:t>
            </w:r>
            <w:r w:rsidRPr="0030545D">
              <w:rPr>
                <w:iCs/>
              </w:rPr>
              <w:t xml:space="preserve"> annual scripts) particularly given that the PBS listing of tetrabenazine includes a broader population with other diseases including tardive dyskinesia (likely to be a relatively large proportion of use).</w:t>
            </w:r>
          </w:p>
        </w:tc>
      </w:tr>
      <w:tr w:rsidR="00A90374" w:rsidRPr="0030545D" w14:paraId="20987C21" w14:textId="77777777" w:rsidTr="00C14F95">
        <w:trPr>
          <w:cantSplit/>
        </w:trPr>
        <w:tc>
          <w:tcPr>
            <w:tcW w:w="1510" w:type="dxa"/>
            <w:vAlign w:val="center"/>
          </w:tcPr>
          <w:p w14:paraId="6D369E5F" w14:textId="77777777" w:rsidR="00A90374" w:rsidRPr="0030545D" w:rsidRDefault="00A90374" w:rsidP="008B3F9C">
            <w:pPr>
              <w:pStyle w:val="TableText"/>
              <w:keepNext w:val="0"/>
              <w:widowControl w:val="0"/>
              <w:rPr>
                <w:lang w:eastAsia="en-US"/>
              </w:rPr>
            </w:pPr>
            <w:r w:rsidRPr="0030545D">
              <w:rPr>
                <w:lang w:eastAsia="en-US"/>
              </w:rPr>
              <w:t>Proportion of patients failing first-line therapies</w:t>
            </w:r>
          </w:p>
        </w:tc>
        <w:tc>
          <w:tcPr>
            <w:tcW w:w="1604" w:type="dxa"/>
            <w:vAlign w:val="center"/>
          </w:tcPr>
          <w:p w14:paraId="636696A6" w14:textId="77777777" w:rsidR="00A90374" w:rsidRPr="0030545D" w:rsidRDefault="00A90374" w:rsidP="008B3F9C">
            <w:pPr>
              <w:pStyle w:val="TableText"/>
              <w:keepNext w:val="0"/>
              <w:widowControl w:val="0"/>
              <w:jc w:val="center"/>
              <w:rPr>
                <w:lang w:eastAsia="en-US"/>
              </w:rPr>
            </w:pPr>
            <w:r w:rsidRPr="0030545D">
              <w:rPr>
                <w:lang w:eastAsia="en-US"/>
              </w:rPr>
              <w:t xml:space="preserve">Tetrabenazine: </w:t>
            </w:r>
            <w:r w:rsidR="00916E6D">
              <w:rPr>
                <w:noProof/>
                <w:color w:val="000000"/>
                <w:highlight w:val="black"/>
                <w:lang w:eastAsia="en-US"/>
              </w:rPr>
              <w:t>''''''</w:t>
            </w:r>
            <w:r w:rsidRPr="0030545D">
              <w:rPr>
                <w:lang w:eastAsia="en-US"/>
              </w:rPr>
              <w:t>%</w:t>
            </w:r>
          </w:p>
          <w:p w14:paraId="71AE4D1F" w14:textId="77777777" w:rsidR="00A90374" w:rsidRPr="0030545D" w:rsidRDefault="00A90374" w:rsidP="008B3F9C">
            <w:pPr>
              <w:pStyle w:val="TableText"/>
              <w:keepNext w:val="0"/>
              <w:widowControl w:val="0"/>
              <w:jc w:val="center"/>
              <w:rPr>
                <w:lang w:eastAsia="en-US"/>
              </w:rPr>
            </w:pPr>
            <w:r w:rsidRPr="0030545D">
              <w:rPr>
                <w:lang w:eastAsia="en-US"/>
              </w:rPr>
              <w:t>Antipsychotic</w:t>
            </w:r>
            <w:r w:rsidRPr="00916E6D">
              <w:rPr>
                <w:lang w:eastAsia="en-US"/>
              </w:rPr>
              <w:t xml:space="preserve">: </w:t>
            </w:r>
            <w:r w:rsidR="00916E6D">
              <w:rPr>
                <w:noProof/>
                <w:color w:val="000000"/>
                <w:highlight w:val="black"/>
                <w:lang w:eastAsia="en-US"/>
              </w:rPr>
              <w:t>''''''</w:t>
            </w:r>
            <w:r w:rsidRPr="0030545D">
              <w:rPr>
                <w:lang w:eastAsia="en-US"/>
              </w:rPr>
              <w:t>%</w:t>
            </w:r>
          </w:p>
          <w:p w14:paraId="46D190E7" w14:textId="77777777" w:rsidR="00A90374" w:rsidRPr="0030545D" w:rsidRDefault="00A90374" w:rsidP="008B3F9C">
            <w:pPr>
              <w:pStyle w:val="TableText"/>
              <w:keepNext w:val="0"/>
              <w:widowControl w:val="0"/>
              <w:jc w:val="center"/>
              <w:rPr>
                <w:lang w:eastAsia="en-US"/>
              </w:rPr>
            </w:pPr>
            <w:r w:rsidRPr="0030545D">
              <w:rPr>
                <w:lang w:eastAsia="en-US"/>
              </w:rPr>
              <w:t xml:space="preserve">Other: </w:t>
            </w:r>
            <w:r w:rsidR="00916E6D">
              <w:rPr>
                <w:noProof/>
                <w:color w:val="000000"/>
                <w:highlight w:val="black"/>
                <w:lang w:eastAsia="en-US"/>
              </w:rPr>
              <w:t>''''''</w:t>
            </w:r>
            <w:r w:rsidRPr="0030545D">
              <w:rPr>
                <w:lang w:eastAsia="en-US"/>
              </w:rPr>
              <w:t>%</w:t>
            </w:r>
          </w:p>
        </w:tc>
        <w:tc>
          <w:tcPr>
            <w:tcW w:w="2551" w:type="dxa"/>
            <w:vAlign w:val="center"/>
          </w:tcPr>
          <w:p w14:paraId="70B0C475" w14:textId="77777777" w:rsidR="00A90374" w:rsidRPr="0030545D" w:rsidRDefault="00A90374" w:rsidP="008B3F9C">
            <w:pPr>
              <w:pStyle w:val="TableText"/>
              <w:keepNext w:val="0"/>
              <w:widowControl w:val="0"/>
            </w:pPr>
            <w:r w:rsidRPr="0030545D">
              <w:t xml:space="preserve">Based on expert advice from sponsor’s advisory board </w:t>
            </w:r>
          </w:p>
        </w:tc>
        <w:tc>
          <w:tcPr>
            <w:tcW w:w="3352" w:type="dxa"/>
            <w:vAlign w:val="center"/>
          </w:tcPr>
          <w:p w14:paraId="486DB4D7" w14:textId="77777777" w:rsidR="00A90374" w:rsidRPr="0030545D" w:rsidRDefault="00A90374" w:rsidP="008B3F9C">
            <w:pPr>
              <w:pStyle w:val="TableText"/>
              <w:keepNext w:val="0"/>
              <w:widowControl w:val="0"/>
              <w:spacing w:after="60"/>
              <w:rPr>
                <w:iCs/>
              </w:rPr>
            </w:pPr>
            <w:r w:rsidRPr="0030545D">
              <w:rPr>
                <w:iCs/>
              </w:rPr>
              <w:t>Estimated first-line treatment failures were widely different between data sources:</w:t>
            </w:r>
          </w:p>
          <w:p w14:paraId="33BF6B28" w14:textId="77777777" w:rsidR="00A90374" w:rsidRPr="0030545D" w:rsidRDefault="00A90374" w:rsidP="00BB62AF">
            <w:pPr>
              <w:pStyle w:val="TableText"/>
              <w:keepNext w:val="0"/>
              <w:widowControl w:val="0"/>
              <w:numPr>
                <w:ilvl w:val="0"/>
                <w:numId w:val="9"/>
              </w:numPr>
              <w:spacing w:after="60"/>
              <w:ind w:left="170" w:hanging="170"/>
              <w:rPr>
                <w:iCs/>
              </w:rPr>
            </w:pPr>
            <w:r w:rsidRPr="0030545D">
              <w:rPr>
                <w:iCs/>
              </w:rPr>
              <w:t xml:space="preserve">Clinical survey: </w:t>
            </w:r>
            <w:r w:rsidR="00916E6D">
              <w:rPr>
                <w:iCs/>
                <w:noProof/>
                <w:color w:val="000000"/>
                <w:highlight w:val="black"/>
              </w:rPr>
              <w:t>'''''''</w:t>
            </w:r>
            <w:r w:rsidRPr="0030545D">
              <w:rPr>
                <w:iCs/>
              </w:rPr>
              <w:t>% (all treatments)</w:t>
            </w:r>
          </w:p>
          <w:p w14:paraId="517EA935" w14:textId="77777777" w:rsidR="00A90374" w:rsidRPr="0030545D" w:rsidRDefault="00A90374" w:rsidP="00BB62AF">
            <w:pPr>
              <w:pStyle w:val="TableText"/>
              <w:keepNext w:val="0"/>
              <w:widowControl w:val="0"/>
              <w:numPr>
                <w:ilvl w:val="0"/>
                <w:numId w:val="9"/>
              </w:numPr>
              <w:spacing w:after="60"/>
              <w:ind w:left="170" w:hanging="170"/>
              <w:rPr>
                <w:iCs/>
              </w:rPr>
            </w:pPr>
            <w:r w:rsidRPr="0030545D">
              <w:rPr>
                <w:iCs/>
              </w:rPr>
              <w:t xml:space="preserve">Physician audit: </w:t>
            </w:r>
            <w:r w:rsidR="00916E6D">
              <w:rPr>
                <w:iCs/>
                <w:noProof/>
                <w:color w:val="000000"/>
                <w:highlight w:val="black"/>
              </w:rPr>
              <w:t>''''''</w:t>
            </w:r>
            <w:r w:rsidRPr="0030545D">
              <w:rPr>
                <w:iCs/>
              </w:rPr>
              <w:t>% (all treatments)</w:t>
            </w:r>
          </w:p>
          <w:p w14:paraId="032E41A1" w14:textId="77777777" w:rsidR="00A90374" w:rsidRPr="0030545D" w:rsidRDefault="00A90374" w:rsidP="00BB62AF">
            <w:pPr>
              <w:pStyle w:val="TableText"/>
              <w:keepNext w:val="0"/>
              <w:widowControl w:val="0"/>
              <w:numPr>
                <w:ilvl w:val="0"/>
                <w:numId w:val="9"/>
              </w:numPr>
              <w:ind w:left="170" w:hanging="170"/>
              <w:rPr>
                <w:iCs/>
              </w:rPr>
            </w:pPr>
            <w:r w:rsidRPr="0030545D">
              <w:rPr>
                <w:iCs/>
              </w:rPr>
              <w:t xml:space="preserve">Advisory board: </w:t>
            </w:r>
            <w:r w:rsidR="00916E6D">
              <w:rPr>
                <w:iCs/>
                <w:noProof/>
                <w:color w:val="000000"/>
                <w:highlight w:val="black"/>
              </w:rPr>
              <w:t>'''''''</w:t>
            </w:r>
            <w:r w:rsidRPr="0030545D">
              <w:rPr>
                <w:iCs/>
              </w:rPr>
              <w:t>% (weighted estimate for tetrabenazine, antipsychotic and other treatment failure)</w:t>
            </w:r>
          </w:p>
        </w:tc>
      </w:tr>
      <w:tr w:rsidR="00A90374" w:rsidRPr="0030545D" w14:paraId="145D0CFC" w14:textId="77777777" w:rsidTr="00C14F95">
        <w:trPr>
          <w:cantSplit/>
        </w:trPr>
        <w:tc>
          <w:tcPr>
            <w:tcW w:w="1510" w:type="dxa"/>
            <w:vAlign w:val="center"/>
          </w:tcPr>
          <w:p w14:paraId="14DED223" w14:textId="77777777" w:rsidR="00A90374" w:rsidRPr="0030545D" w:rsidRDefault="00A90374" w:rsidP="008B3F9C">
            <w:pPr>
              <w:pStyle w:val="TableText"/>
              <w:keepNext w:val="0"/>
              <w:widowControl w:val="0"/>
              <w:rPr>
                <w:lang w:eastAsia="en-US"/>
              </w:rPr>
            </w:pPr>
            <w:r w:rsidRPr="0030545D">
              <w:rPr>
                <w:lang w:eastAsia="en-US"/>
              </w:rPr>
              <w:t>Proportion of antipsychotic/ other treatment patients receiving second-line treatment with tetrabenazine</w:t>
            </w:r>
          </w:p>
        </w:tc>
        <w:tc>
          <w:tcPr>
            <w:tcW w:w="1604" w:type="dxa"/>
            <w:vAlign w:val="center"/>
          </w:tcPr>
          <w:p w14:paraId="43305285" w14:textId="77777777" w:rsidR="00A90374" w:rsidRPr="0030545D" w:rsidRDefault="00A90374" w:rsidP="008B3F9C">
            <w:pPr>
              <w:pStyle w:val="TableText"/>
              <w:keepNext w:val="0"/>
              <w:widowControl w:val="0"/>
              <w:jc w:val="center"/>
              <w:rPr>
                <w:lang w:eastAsia="en-US"/>
              </w:rPr>
            </w:pPr>
            <w:r w:rsidRPr="0030545D">
              <w:rPr>
                <w:lang w:eastAsia="en-US"/>
              </w:rPr>
              <w:t>100%</w:t>
            </w:r>
          </w:p>
        </w:tc>
        <w:tc>
          <w:tcPr>
            <w:tcW w:w="2551" w:type="dxa"/>
            <w:vAlign w:val="center"/>
          </w:tcPr>
          <w:p w14:paraId="2FDA8EEF" w14:textId="77777777" w:rsidR="00A90374" w:rsidRPr="0030545D" w:rsidRDefault="00A90374" w:rsidP="008B3F9C">
            <w:pPr>
              <w:pStyle w:val="TableText"/>
              <w:keepNext w:val="0"/>
              <w:widowControl w:val="0"/>
            </w:pPr>
            <w:r w:rsidRPr="0030545D">
              <w:t>Assumption</w:t>
            </w:r>
          </w:p>
        </w:tc>
        <w:tc>
          <w:tcPr>
            <w:tcW w:w="3352" w:type="dxa"/>
            <w:vAlign w:val="center"/>
          </w:tcPr>
          <w:p w14:paraId="6EAA3FC3" w14:textId="77777777" w:rsidR="00A90374" w:rsidRPr="0030545D" w:rsidRDefault="00A90374" w:rsidP="008B3F9C">
            <w:pPr>
              <w:pStyle w:val="TableText"/>
              <w:keepNext w:val="0"/>
              <w:widowControl w:val="0"/>
              <w:rPr>
                <w:iCs/>
              </w:rPr>
            </w:pPr>
            <w:r w:rsidRPr="0030545D">
              <w:rPr>
                <w:iCs/>
              </w:rPr>
              <w:t>This assumption was inconsistent with estimates from all data sources which indicated that patients receive a variety of monotherapies, combinations therapies or no therapy.</w:t>
            </w:r>
          </w:p>
        </w:tc>
      </w:tr>
      <w:tr w:rsidR="00A90374" w:rsidRPr="0030545D" w14:paraId="279825BC" w14:textId="77777777" w:rsidTr="00C14F95">
        <w:trPr>
          <w:cantSplit/>
        </w:trPr>
        <w:tc>
          <w:tcPr>
            <w:tcW w:w="1510" w:type="dxa"/>
            <w:vAlign w:val="center"/>
          </w:tcPr>
          <w:p w14:paraId="50C7DDD0" w14:textId="77777777" w:rsidR="00A90374" w:rsidRPr="0030545D" w:rsidRDefault="00A90374" w:rsidP="008B3F9C">
            <w:pPr>
              <w:pStyle w:val="TableText"/>
              <w:keepNext w:val="0"/>
              <w:widowControl w:val="0"/>
              <w:rPr>
                <w:lang w:eastAsia="en-US"/>
              </w:rPr>
            </w:pPr>
            <w:r w:rsidRPr="0030545D">
              <w:rPr>
                <w:lang w:eastAsia="en-US"/>
              </w:rPr>
              <w:t>Proportion of patients failing second-line tetrabenazine</w:t>
            </w:r>
          </w:p>
        </w:tc>
        <w:tc>
          <w:tcPr>
            <w:tcW w:w="1604" w:type="dxa"/>
            <w:vAlign w:val="center"/>
          </w:tcPr>
          <w:p w14:paraId="1E954C3B" w14:textId="77777777" w:rsidR="00A90374" w:rsidRPr="0030545D" w:rsidRDefault="00916E6D" w:rsidP="008B3F9C">
            <w:pPr>
              <w:pStyle w:val="TableText"/>
              <w:keepNext w:val="0"/>
              <w:widowControl w:val="0"/>
              <w:jc w:val="center"/>
              <w:rPr>
                <w:lang w:eastAsia="en-US"/>
              </w:rPr>
            </w:pPr>
            <w:r>
              <w:rPr>
                <w:noProof/>
                <w:color w:val="000000"/>
                <w:highlight w:val="black"/>
                <w:lang w:eastAsia="en-US"/>
              </w:rPr>
              <w:t>'''''''</w:t>
            </w:r>
            <w:r w:rsidR="00A90374" w:rsidRPr="0030545D">
              <w:rPr>
                <w:lang w:eastAsia="en-US"/>
              </w:rPr>
              <w:t>%</w:t>
            </w:r>
          </w:p>
        </w:tc>
        <w:tc>
          <w:tcPr>
            <w:tcW w:w="2551" w:type="dxa"/>
            <w:vAlign w:val="center"/>
          </w:tcPr>
          <w:p w14:paraId="609A3AD7" w14:textId="77777777" w:rsidR="00A90374" w:rsidRPr="0030545D" w:rsidRDefault="00A90374" w:rsidP="008B3F9C">
            <w:pPr>
              <w:pStyle w:val="TableText"/>
              <w:keepNext w:val="0"/>
              <w:widowControl w:val="0"/>
            </w:pPr>
            <w:r w:rsidRPr="0030545D">
              <w:t>Based on expert advice from sponsor’s advisory board for second-line treatment failure</w:t>
            </w:r>
          </w:p>
        </w:tc>
        <w:tc>
          <w:tcPr>
            <w:tcW w:w="3352" w:type="dxa"/>
            <w:vAlign w:val="center"/>
          </w:tcPr>
          <w:p w14:paraId="17D027EB" w14:textId="77777777" w:rsidR="00A90374" w:rsidRPr="0030545D" w:rsidRDefault="00A90374" w:rsidP="008B3F9C">
            <w:pPr>
              <w:pStyle w:val="TableText"/>
              <w:keepNext w:val="0"/>
              <w:widowControl w:val="0"/>
              <w:rPr>
                <w:iCs/>
              </w:rPr>
            </w:pPr>
            <w:r w:rsidRPr="0030545D">
              <w:rPr>
                <w:iCs/>
              </w:rPr>
              <w:t>Second-line treatment failure rates were not specific to tetrabenazine.</w:t>
            </w:r>
          </w:p>
        </w:tc>
      </w:tr>
      <w:tr w:rsidR="00A90374" w:rsidRPr="0030545D" w14:paraId="5EA322E7" w14:textId="77777777" w:rsidTr="00C14F95">
        <w:trPr>
          <w:cantSplit/>
        </w:trPr>
        <w:tc>
          <w:tcPr>
            <w:tcW w:w="1510" w:type="dxa"/>
            <w:vAlign w:val="center"/>
          </w:tcPr>
          <w:p w14:paraId="12EC5C17" w14:textId="77777777" w:rsidR="00A90374" w:rsidRPr="0030545D" w:rsidRDefault="00A90374" w:rsidP="008B3F9C">
            <w:pPr>
              <w:pStyle w:val="TableText"/>
              <w:keepNext w:val="0"/>
              <w:widowControl w:val="0"/>
              <w:rPr>
                <w:lang w:eastAsia="en-US"/>
              </w:rPr>
            </w:pPr>
            <w:r w:rsidRPr="0030545D">
              <w:rPr>
                <w:lang w:eastAsia="en-US"/>
              </w:rPr>
              <w:t>Proportion of patients with chorea symptoms who have suboptimal control</w:t>
            </w:r>
          </w:p>
        </w:tc>
        <w:tc>
          <w:tcPr>
            <w:tcW w:w="1604" w:type="dxa"/>
            <w:vAlign w:val="center"/>
          </w:tcPr>
          <w:p w14:paraId="10959A14" w14:textId="77777777" w:rsidR="00A90374" w:rsidRPr="0030545D" w:rsidRDefault="00A90374" w:rsidP="008B3F9C">
            <w:pPr>
              <w:pStyle w:val="TableText"/>
              <w:keepNext w:val="0"/>
              <w:widowControl w:val="0"/>
              <w:jc w:val="center"/>
              <w:rPr>
                <w:lang w:eastAsia="en-US"/>
              </w:rPr>
            </w:pPr>
            <w:r w:rsidRPr="0030545D">
              <w:rPr>
                <w:lang w:eastAsia="en-US"/>
              </w:rPr>
              <w:t>10%</w:t>
            </w:r>
          </w:p>
        </w:tc>
        <w:tc>
          <w:tcPr>
            <w:tcW w:w="2551" w:type="dxa"/>
            <w:vAlign w:val="center"/>
          </w:tcPr>
          <w:p w14:paraId="56449BD3" w14:textId="77777777" w:rsidR="00A90374" w:rsidRPr="0030545D" w:rsidRDefault="00A90374" w:rsidP="008B3F9C">
            <w:pPr>
              <w:pStyle w:val="TableText"/>
              <w:keepNext w:val="0"/>
              <w:widowControl w:val="0"/>
            </w:pPr>
            <w:r w:rsidRPr="0030545D">
              <w:t>Assumption</w:t>
            </w:r>
          </w:p>
        </w:tc>
        <w:tc>
          <w:tcPr>
            <w:tcW w:w="3352" w:type="dxa"/>
            <w:vAlign w:val="center"/>
          </w:tcPr>
          <w:p w14:paraId="211ACE16" w14:textId="77777777" w:rsidR="00A90374" w:rsidRPr="0030545D" w:rsidRDefault="00A90374" w:rsidP="008B3F9C">
            <w:pPr>
              <w:pStyle w:val="TableText"/>
              <w:keepNext w:val="0"/>
              <w:widowControl w:val="0"/>
              <w:rPr>
                <w:iCs/>
              </w:rPr>
            </w:pPr>
            <w:r w:rsidRPr="0030545D">
              <w:rPr>
                <w:iCs/>
              </w:rPr>
              <w:t>No justification was provided for the numerical value.</w:t>
            </w:r>
          </w:p>
          <w:p w14:paraId="1C60F311" w14:textId="77777777" w:rsidR="00A90374" w:rsidRPr="0030545D" w:rsidRDefault="00A90374" w:rsidP="008B3F9C">
            <w:pPr>
              <w:pStyle w:val="TableText"/>
              <w:keepNext w:val="0"/>
              <w:widowControl w:val="0"/>
              <w:rPr>
                <w:iCs/>
              </w:rPr>
            </w:pPr>
          </w:p>
          <w:p w14:paraId="4E599B2E" w14:textId="77777777" w:rsidR="00A90374" w:rsidRPr="0030545D" w:rsidRDefault="00A90374" w:rsidP="008B3F9C">
            <w:pPr>
              <w:pStyle w:val="TableText"/>
              <w:keepNext w:val="0"/>
              <w:widowControl w:val="0"/>
              <w:rPr>
                <w:iCs/>
              </w:rPr>
            </w:pPr>
            <w:r w:rsidRPr="0030545D">
              <w:rPr>
                <w:iCs/>
              </w:rPr>
              <w:t>Applying this assumption to the broader population of patients with chorea symptoms was not appropriate as patients still require prior exposure to tetrabenazine</w:t>
            </w:r>
          </w:p>
        </w:tc>
      </w:tr>
      <w:tr w:rsidR="00A90374" w:rsidRPr="0030545D" w14:paraId="26722C6C" w14:textId="77777777" w:rsidTr="00C14F95">
        <w:trPr>
          <w:cantSplit/>
        </w:trPr>
        <w:tc>
          <w:tcPr>
            <w:tcW w:w="9017" w:type="dxa"/>
            <w:gridSpan w:val="4"/>
            <w:vAlign w:val="center"/>
          </w:tcPr>
          <w:p w14:paraId="337EE70A" w14:textId="77777777" w:rsidR="00A90374" w:rsidRPr="0030545D" w:rsidRDefault="00A90374" w:rsidP="00C14F95">
            <w:pPr>
              <w:pStyle w:val="TableText"/>
              <w:keepNext w:val="0"/>
              <w:widowControl w:val="0"/>
              <w:rPr>
                <w:b/>
              </w:rPr>
            </w:pPr>
            <w:r w:rsidRPr="0030545D">
              <w:rPr>
                <w:b/>
              </w:rPr>
              <w:t>Treatment utilisation</w:t>
            </w:r>
          </w:p>
        </w:tc>
      </w:tr>
      <w:tr w:rsidR="00A90374" w:rsidRPr="0030545D" w14:paraId="063C0A8A" w14:textId="77777777" w:rsidTr="00C14F95">
        <w:trPr>
          <w:cantSplit/>
        </w:trPr>
        <w:tc>
          <w:tcPr>
            <w:tcW w:w="1510" w:type="dxa"/>
            <w:vAlign w:val="center"/>
          </w:tcPr>
          <w:p w14:paraId="051EF125" w14:textId="77777777" w:rsidR="00A90374" w:rsidRPr="0030545D" w:rsidRDefault="00A90374" w:rsidP="00C14F95">
            <w:pPr>
              <w:pStyle w:val="TableText"/>
              <w:keepNext w:val="0"/>
              <w:widowControl w:val="0"/>
            </w:pPr>
            <w:r w:rsidRPr="0030545D">
              <w:t>Deutetrabenazine uptake rate</w:t>
            </w:r>
          </w:p>
        </w:tc>
        <w:tc>
          <w:tcPr>
            <w:tcW w:w="1604" w:type="dxa"/>
            <w:vAlign w:val="center"/>
          </w:tcPr>
          <w:p w14:paraId="0F15DDFA" w14:textId="77777777" w:rsidR="00A90374" w:rsidRPr="0030545D" w:rsidRDefault="00A90374" w:rsidP="00C14F95">
            <w:pPr>
              <w:pStyle w:val="TableText"/>
              <w:keepNext w:val="0"/>
              <w:widowControl w:val="0"/>
              <w:jc w:val="center"/>
            </w:pPr>
            <w:r w:rsidRPr="0030545D">
              <w:t xml:space="preserve">Yr 1: </w:t>
            </w:r>
            <w:r w:rsidR="0087102F">
              <w:rPr>
                <w:noProof/>
                <w:color w:val="000000"/>
                <w:highlight w:val="black"/>
              </w:rPr>
              <w:t>'''''''</w:t>
            </w:r>
            <w:r w:rsidRPr="0030545D">
              <w:t>%</w:t>
            </w:r>
          </w:p>
          <w:p w14:paraId="54F188E0" w14:textId="77777777" w:rsidR="00A90374" w:rsidRPr="0030545D" w:rsidRDefault="00A90374" w:rsidP="00C14F95">
            <w:pPr>
              <w:pStyle w:val="TableText"/>
              <w:keepNext w:val="0"/>
              <w:widowControl w:val="0"/>
              <w:jc w:val="center"/>
            </w:pPr>
            <w:r w:rsidRPr="0030545D">
              <w:t xml:space="preserve">Yr 2: </w:t>
            </w:r>
            <w:r w:rsidR="00916E6D">
              <w:rPr>
                <w:noProof/>
                <w:color w:val="000000"/>
                <w:highlight w:val="black"/>
              </w:rPr>
              <w:t>''''''</w:t>
            </w:r>
            <w:r w:rsidRPr="0030545D">
              <w:t>%</w:t>
            </w:r>
          </w:p>
          <w:p w14:paraId="511CD709" w14:textId="77777777" w:rsidR="00A90374" w:rsidRPr="0030545D" w:rsidRDefault="00A90374" w:rsidP="00C14F95">
            <w:pPr>
              <w:pStyle w:val="TableText"/>
              <w:keepNext w:val="0"/>
              <w:widowControl w:val="0"/>
              <w:jc w:val="center"/>
            </w:pPr>
            <w:r w:rsidRPr="0030545D">
              <w:t xml:space="preserve">Yr 3: </w:t>
            </w:r>
            <w:r w:rsidR="00916E6D">
              <w:rPr>
                <w:noProof/>
                <w:color w:val="000000"/>
                <w:highlight w:val="black"/>
              </w:rPr>
              <w:t>'''''''</w:t>
            </w:r>
            <w:r w:rsidRPr="0030545D">
              <w:t>%</w:t>
            </w:r>
          </w:p>
          <w:p w14:paraId="5A72500E" w14:textId="77777777" w:rsidR="00A90374" w:rsidRPr="0030545D" w:rsidRDefault="00A90374" w:rsidP="00C14F95">
            <w:pPr>
              <w:pStyle w:val="TableText"/>
              <w:keepNext w:val="0"/>
              <w:widowControl w:val="0"/>
              <w:jc w:val="center"/>
            </w:pPr>
            <w:r w:rsidRPr="0030545D">
              <w:t xml:space="preserve">Yr 4: </w:t>
            </w:r>
            <w:r w:rsidR="00916E6D">
              <w:rPr>
                <w:noProof/>
                <w:color w:val="000000"/>
                <w:highlight w:val="black"/>
              </w:rPr>
              <w:t>''''''</w:t>
            </w:r>
            <w:r w:rsidRPr="0030545D">
              <w:t>%</w:t>
            </w:r>
          </w:p>
          <w:p w14:paraId="6E76167B" w14:textId="77777777" w:rsidR="00A90374" w:rsidRPr="0030545D" w:rsidRDefault="00A90374" w:rsidP="00C14F95">
            <w:pPr>
              <w:pStyle w:val="TableText"/>
              <w:keepNext w:val="0"/>
              <w:widowControl w:val="0"/>
              <w:jc w:val="center"/>
            </w:pPr>
            <w:r w:rsidRPr="0030545D">
              <w:t xml:space="preserve">Yr 5: </w:t>
            </w:r>
            <w:r w:rsidR="00916E6D">
              <w:rPr>
                <w:noProof/>
                <w:color w:val="000000"/>
                <w:highlight w:val="black"/>
              </w:rPr>
              <w:t>''''''</w:t>
            </w:r>
            <w:r w:rsidRPr="0030545D">
              <w:t>%</w:t>
            </w:r>
          </w:p>
          <w:p w14:paraId="43494E04" w14:textId="77777777" w:rsidR="00A90374" w:rsidRPr="0030545D" w:rsidRDefault="00A90374" w:rsidP="00C14F95">
            <w:pPr>
              <w:pStyle w:val="TableText"/>
              <w:keepNext w:val="0"/>
              <w:widowControl w:val="0"/>
              <w:jc w:val="center"/>
            </w:pPr>
            <w:r w:rsidRPr="0030545D">
              <w:t xml:space="preserve">Yr 6: </w:t>
            </w:r>
            <w:r w:rsidR="00916E6D">
              <w:rPr>
                <w:noProof/>
                <w:color w:val="000000"/>
                <w:highlight w:val="black"/>
              </w:rPr>
              <w:t>''''''</w:t>
            </w:r>
            <w:r w:rsidRPr="0030545D">
              <w:t>%</w:t>
            </w:r>
          </w:p>
        </w:tc>
        <w:tc>
          <w:tcPr>
            <w:tcW w:w="2551" w:type="dxa"/>
            <w:vAlign w:val="center"/>
          </w:tcPr>
          <w:p w14:paraId="6E42C77E" w14:textId="77777777" w:rsidR="00A90374" w:rsidRPr="0030545D" w:rsidRDefault="00A90374" w:rsidP="00C14F95">
            <w:pPr>
              <w:pStyle w:val="TableText"/>
              <w:keepNext w:val="0"/>
              <w:widowControl w:val="0"/>
            </w:pPr>
            <w:r w:rsidRPr="0030545D">
              <w:t>Based on projections by the Sponsor</w:t>
            </w:r>
          </w:p>
        </w:tc>
        <w:tc>
          <w:tcPr>
            <w:tcW w:w="3352" w:type="dxa"/>
            <w:vAlign w:val="center"/>
          </w:tcPr>
          <w:p w14:paraId="12EC1706" w14:textId="77777777" w:rsidR="00A90374" w:rsidRPr="0030545D" w:rsidRDefault="00A90374" w:rsidP="00C14F95">
            <w:pPr>
              <w:pStyle w:val="TableText"/>
              <w:keepNext w:val="0"/>
              <w:widowControl w:val="0"/>
              <w:rPr>
                <w:iCs/>
              </w:rPr>
            </w:pPr>
            <w:r w:rsidRPr="0030545D">
              <w:rPr>
                <w:iCs/>
              </w:rPr>
              <w:t>The data informing the projections were not provided in the submission. The uptake of deutetrabenazine in clinical practice is unclear particularly given the uncertainty associated with the proposed place in therapy.</w:t>
            </w:r>
          </w:p>
        </w:tc>
      </w:tr>
      <w:tr w:rsidR="00A90374" w:rsidRPr="0030545D" w14:paraId="39DFDECE" w14:textId="77777777" w:rsidTr="00C14F95">
        <w:trPr>
          <w:cantSplit/>
        </w:trPr>
        <w:tc>
          <w:tcPr>
            <w:tcW w:w="1510" w:type="dxa"/>
            <w:vAlign w:val="center"/>
          </w:tcPr>
          <w:p w14:paraId="486CFCF1" w14:textId="77777777" w:rsidR="00A90374" w:rsidRPr="0030545D" w:rsidRDefault="00A90374" w:rsidP="00C14F95">
            <w:pPr>
              <w:pStyle w:val="TableText"/>
              <w:keepNext w:val="0"/>
              <w:widowControl w:val="0"/>
            </w:pPr>
            <w:r w:rsidRPr="0030545D">
              <w:t>Distribution of patients across dose strengths</w:t>
            </w:r>
          </w:p>
        </w:tc>
        <w:tc>
          <w:tcPr>
            <w:tcW w:w="1604" w:type="dxa"/>
            <w:vAlign w:val="center"/>
          </w:tcPr>
          <w:p w14:paraId="183074DB" w14:textId="77777777" w:rsidR="00A90374" w:rsidRPr="0030545D" w:rsidRDefault="00A90374" w:rsidP="00C14F95">
            <w:pPr>
              <w:pStyle w:val="TableText"/>
              <w:keepNext w:val="0"/>
              <w:widowControl w:val="0"/>
              <w:jc w:val="center"/>
            </w:pPr>
            <w:r w:rsidRPr="0030545D">
              <w:t>4 x 6mg tabs: 5%</w:t>
            </w:r>
          </w:p>
          <w:p w14:paraId="15FFBE18" w14:textId="77777777" w:rsidR="00A90374" w:rsidRPr="0030545D" w:rsidRDefault="00A90374" w:rsidP="00C14F95">
            <w:pPr>
              <w:pStyle w:val="TableText"/>
              <w:keepNext w:val="0"/>
              <w:widowControl w:val="0"/>
              <w:jc w:val="center"/>
              <w:rPr>
                <w:lang w:eastAsia="en-US"/>
              </w:rPr>
            </w:pPr>
            <w:r w:rsidRPr="0030545D">
              <w:rPr>
                <w:lang w:eastAsia="en-US"/>
              </w:rPr>
              <w:t>4 x 9mg tabs: 25%</w:t>
            </w:r>
          </w:p>
          <w:p w14:paraId="0F2C4B9B" w14:textId="77777777" w:rsidR="00A90374" w:rsidRPr="0030545D" w:rsidRDefault="00A90374" w:rsidP="00C14F95">
            <w:pPr>
              <w:pStyle w:val="TableText"/>
              <w:keepNext w:val="0"/>
              <w:widowControl w:val="0"/>
              <w:jc w:val="center"/>
              <w:rPr>
                <w:lang w:eastAsia="en-US"/>
              </w:rPr>
            </w:pPr>
            <w:r w:rsidRPr="0030545D">
              <w:rPr>
                <w:lang w:eastAsia="en-US"/>
              </w:rPr>
              <w:t>3 x 12mg tabs: 34%</w:t>
            </w:r>
          </w:p>
          <w:p w14:paraId="315D2538" w14:textId="77777777" w:rsidR="00A90374" w:rsidRPr="0030545D" w:rsidRDefault="00A90374" w:rsidP="00C14F95">
            <w:pPr>
              <w:pStyle w:val="TableText"/>
              <w:keepNext w:val="0"/>
              <w:widowControl w:val="0"/>
              <w:jc w:val="center"/>
            </w:pPr>
            <w:r w:rsidRPr="0030545D">
              <w:t>4 x 12mg tabs: 36%</w:t>
            </w:r>
          </w:p>
        </w:tc>
        <w:tc>
          <w:tcPr>
            <w:tcW w:w="2551" w:type="dxa"/>
            <w:vAlign w:val="center"/>
          </w:tcPr>
          <w:p w14:paraId="5D6999C0" w14:textId="77777777" w:rsidR="00A90374" w:rsidRPr="0030545D" w:rsidRDefault="00A90374" w:rsidP="00C14F95">
            <w:pPr>
              <w:pStyle w:val="TableText"/>
              <w:keepNext w:val="0"/>
              <w:widowControl w:val="0"/>
            </w:pPr>
            <w:r w:rsidRPr="0030545D">
              <w:t>Back-calculation based on the average total daily dose reported during the maintenance period of the FIRST-HD trial</w:t>
            </w:r>
          </w:p>
        </w:tc>
        <w:tc>
          <w:tcPr>
            <w:tcW w:w="3352" w:type="dxa"/>
            <w:vAlign w:val="center"/>
          </w:tcPr>
          <w:p w14:paraId="373C54BC" w14:textId="77777777" w:rsidR="00A90374" w:rsidRPr="0030545D" w:rsidRDefault="00A90374" w:rsidP="00C14F95">
            <w:pPr>
              <w:pStyle w:val="TableText"/>
              <w:keepNext w:val="0"/>
              <w:widowControl w:val="0"/>
              <w:rPr>
                <w:iCs/>
              </w:rPr>
            </w:pPr>
            <w:r w:rsidRPr="0030545D">
              <w:rPr>
                <w:iCs/>
              </w:rPr>
              <w:t>The utilisation estimates do not account for use (and wastage) during the initial titration period.</w:t>
            </w:r>
          </w:p>
          <w:p w14:paraId="208B7F0C" w14:textId="77777777" w:rsidR="00A90374" w:rsidRPr="0030545D" w:rsidRDefault="00A90374" w:rsidP="00C14F95">
            <w:pPr>
              <w:pStyle w:val="TableText"/>
              <w:keepNext w:val="0"/>
              <w:widowControl w:val="0"/>
              <w:rPr>
                <w:iCs/>
              </w:rPr>
            </w:pPr>
          </w:p>
          <w:p w14:paraId="2295C587" w14:textId="77777777" w:rsidR="00A90374" w:rsidRPr="0030545D" w:rsidRDefault="00A90374" w:rsidP="00C14F95">
            <w:pPr>
              <w:pStyle w:val="TableText"/>
              <w:keepNext w:val="0"/>
              <w:widowControl w:val="0"/>
              <w:rPr>
                <w:iCs/>
              </w:rPr>
            </w:pPr>
            <w:r w:rsidRPr="0030545D">
              <w:rPr>
                <w:iCs/>
              </w:rPr>
              <w:t>The back-calculation results in an average dose that was the same as the FIRST-HD trial (39.7 mg per day). However, many different combinations may achieve this same dose with different costs. The median dose of 36 mg per day from the model was lower than the median dose of 42 mg per day reported in the FIRST-HD trial.</w:t>
            </w:r>
          </w:p>
          <w:p w14:paraId="66C7A189" w14:textId="77777777" w:rsidR="00A90374" w:rsidRPr="0030545D" w:rsidRDefault="00A90374" w:rsidP="00C14F95">
            <w:pPr>
              <w:pStyle w:val="TableText"/>
              <w:keepNext w:val="0"/>
              <w:widowControl w:val="0"/>
              <w:rPr>
                <w:iCs/>
              </w:rPr>
            </w:pPr>
          </w:p>
          <w:p w14:paraId="138CE847" w14:textId="77777777" w:rsidR="00A90374" w:rsidRPr="0030545D" w:rsidRDefault="00A90374" w:rsidP="00C14F95">
            <w:pPr>
              <w:pStyle w:val="TableText"/>
              <w:keepNext w:val="0"/>
              <w:widowControl w:val="0"/>
              <w:rPr>
                <w:iCs/>
              </w:rPr>
            </w:pPr>
            <w:r w:rsidRPr="0030545D">
              <w:rPr>
                <w:iCs/>
              </w:rPr>
              <w:t>The utilisation estimates assume no patients will use doses &gt; 48 mg per day which was inconsistent with available long-term data which suggest maintenance of treatment effect may require dose escalation (43% of ARC-HD patients exceeded the proposed maximum dose).</w:t>
            </w:r>
          </w:p>
          <w:p w14:paraId="1FB7A7AA" w14:textId="77777777" w:rsidR="00A90374" w:rsidRPr="0030545D" w:rsidRDefault="00A90374" w:rsidP="00C14F95">
            <w:pPr>
              <w:pStyle w:val="TableText"/>
              <w:keepNext w:val="0"/>
              <w:widowControl w:val="0"/>
              <w:rPr>
                <w:iCs/>
              </w:rPr>
            </w:pPr>
          </w:p>
          <w:p w14:paraId="63A7DD40" w14:textId="77777777" w:rsidR="00A90374" w:rsidRPr="0030545D" w:rsidRDefault="00A90374" w:rsidP="00C14F95">
            <w:pPr>
              <w:pStyle w:val="TableText"/>
              <w:keepNext w:val="0"/>
              <w:widowControl w:val="0"/>
            </w:pPr>
            <w:r w:rsidRPr="0030545D">
              <w:rPr>
                <w:iCs/>
              </w:rPr>
              <w:t>Conversely, the submission noted observational data suggesting that dosing of deutetrabenazine may be lower in clinical practice (Ayyagari 2020). However, this data was only available as a poster presentation and there was insufficient information (regarding treatment rules, co-payments, patient characteristics and other factors) to assess the applicability of this data source.</w:t>
            </w:r>
          </w:p>
        </w:tc>
      </w:tr>
      <w:tr w:rsidR="00A90374" w:rsidRPr="0030545D" w14:paraId="4FD0525B" w14:textId="77777777" w:rsidTr="00C14F95">
        <w:trPr>
          <w:cantSplit/>
        </w:trPr>
        <w:tc>
          <w:tcPr>
            <w:tcW w:w="9017" w:type="dxa"/>
            <w:gridSpan w:val="4"/>
            <w:vAlign w:val="center"/>
          </w:tcPr>
          <w:p w14:paraId="5C7356A8" w14:textId="77777777" w:rsidR="00A90374" w:rsidRPr="0030545D" w:rsidRDefault="00A90374" w:rsidP="008B3F9C">
            <w:pPr>
              <w:pStyle w:val="TableText"/>
              <w:keepNext w:val="0"/>
              <w:widowControl w:val="0"/>
              <w:rPr>
                <w:b/>
                <w:bCs w:val="0"/>
              </w:rPr>
            </w:pPr>
            <w:r w:rsidRPr="0030545D">
              <w:rPr>
                <w:b/>
                <w:bCs w:val="0"/>
              </w:rPr>
              <w:t>Other impacts</w:t>
            </w:r>
          </w:p>
        </w:tc>
      </w:tr>
      <w:tr w:rsidR="00A90374" w:rsidRPr="0030545D" w14:paraId="06DF53E0" w14:textId="77777777" w:rsidTr="00C14F95">
        <w:trPr>
          <w:cantSplit/>
        </w:trPr>
        <w:tc>
          <w:tcPr>
            <w:tcW w:w="1510" w:type="dxa"/>
            <w:vAlign w:val="center"/>
          </w:tcPr>
          <w:p w14:paraId="05F45969" w14:textId="77777777" w:rsidR="00A90374" w:rsidRPr="0030545D" w:rsidRDefault="00A90374" w:rsidP="008B3F9C">
            <w:pPr>
              <w:pStyle w:val="TableText"/>
              <w:keepNext w:val="0"/>
              <w:widowControl w:val="0"/>
            </w:pPr>
            <w:r w:rsidRPr="0030545D">
              <w:t>Reduction in ED/ hospitalisation visits</w:t>
            </w:r>
          </w:p>
        </w:tc>
        <w:tc>
          <w:tcPr>
            <w:tcW w:w="1604" w:type="dxa"/>
            <w:vAlign w:val="center"/>
          </w:tcPr>
          <w:p w14:paraId="0A16B749" w14:textId="77777777" w:rsidR="00A90374" w:rsidRPr="000D2372" w:rsidRDefault="00A90374" w:rsidP="008B3F9C">
            <w:pPr>
              <w:pStyle w:val="TableText"/>
              <w:keepNext w:val="0"/>
              <w:widowControl w:val="0"/>
              <w:jc w:val="center"/>
              <w:rPr>
                <w:vertAlign w:val="superscript"/>
              </w:rPr>
            </w:pPr>
            <w:r w:rsidRPr="0030545D">
              <w:t>Yr 1: -</w:t>
            </w:r>
            <w:r w:rsidRPr="00741E72">
              <w:t>452</w:t>
            </w:r>
          </w:p>
          <w:p w14:paraId="24823075" w14:textId="77777777" w:rsidR="00A90374" w:rsidRPr="0030545D" w:rsidRDefault="00A90374" w:rsidP="008B3F9C">
            <w:pPr>
              <w:pStyle w:val="TableText"/>
              <w:keepNext w:val="0"/>
              <w:widowControl w:val="0"/>
              <w:jc w:val="center"/>
            </w:pPr>
            <w:r w:rsidRPr="0030545D">
              <w:t>Yr 2: -</w:t>
            </w:r>
            <w:r w:rsidRPr="00741E72">
              <w:t>579</w:t>
            </w:r>
          </w:p>
          <w:p w14:paraId="3189B02D" w14:textId="77777777" w:rsidR="00A90374" w:rsidRPr="0030545D" w:rsidRDefault="00A90374" w:rsidP="008B3F9C">
            <w:pPr>
              <w:pStyle w:val="TableText"/>
              <w:keepNext w:val="0"/>
              <w:widowControl w:val="0"/>
              <w:jc w:val="center"/>
            </w:pPr>
            <w:r w:rsidRPr="0030545D">
              <w:t>Yr 3: -</w:t>
            </w:r>
            <w:r w:rsidRPr="00741E72">
              <w:t>712</w:t>
            </w:r>
          </w:p>
          <w:p w14:paraId="0A38869E" w14:textId="77777777" w:rsidR="00A90374" w:rsidRPr="0030545D" w:rsidRDefault="00A90374" w:rsidP="008B3F9C">
            <w:pPr>
              <w:pStyle w:val="TableText"/>
              <w:keepNext w:val="0"/>
              <w:widowControl w:val="0"/>
              <w:jc w:val="center"/>
            </w:pPr>
            <w:r w:rsidRPr="0030545D">
              <w:t>Yr 4: -</w:t>
            </w:r>
            <w:r w:rsidRPr="00741E72">
              <w:t>790</w:t>
            </w:r>
          </w:p>
          <w:p w14:paraId="35910DD3" w14:textId="77777777" w:rsidR="00A90374" w:rsidRPr="0030545D" w:rsidRDefault="00A90374" w:rsidP="008B3F9C">
            <w:pPr>
              <w:pStyle w:val="TableText"/>
              <w:keepNext w:val="0"/>
              <w:widowControl w:val="0"/>
              <w:jc w:val="center"/>
            </w:pPr>
            <w:r w:rsidRPr="0030545D">
              <w:t>Yr 5: -</w:t>
            </w:r>
            <w:r w:rsidRPr="00741E72">
              <w:t>810</w:t>
            </w:r>
          </w:p>
          <w:p w14:paraId="18CC3ADC" w14:textId="77777777" w:rsidR="00A90374" w:rsidRPr="0030545D" w:rsidRDefault="00A90374" w:rsidP="008B3F9C">
            <w:pPr>
              <w:pStyle w:val="TableText"/>
              <w:keepNext w:val="0"/>
              <w:widowControl w:val="0"/>
              <w:jc w:val="center"/>
            </w:pPr>
            <w:r w:rsidRPr="0030545D">
              <w:t>Yr 6: -</w:t>
            </w:r>
            <w:r w:rsidRPr="00741E72">
              <w:t>830</w:t>
            </w:r>
          </w:p>
        </w:tc>
        <w:tc>
          <w:tcPr>
            <w:tcW w:w="2551" w:type="dxa"/>
            <w:vAlign w:val="center"/>
          </w:tcPr>
          <w:p w14:paraId="6DFAD047" w14:textId="77777777" w:rsidR="00A90374" w:rsidRPr="0030545D" w:rsidRDefault="00A90374" w:rsidP="008B3F9C">
            <w:pPr>
              <w:pStyle w:val="TableText"/>
              <w:keepNext w:val="0"/>
              <w:widowControl w:val="0"/>
            </w:pPr>
            <w:r w:rsidRPr="0030545D">
              <w:t xml:space="preserve">Based on sponsor commissioned survey of specialists and nurses (results from nurses only). Resource use based on the difference between controlled and uncontrolled chorea symptoms assuming that all patients treated with deutetrabenazine achieve control </w:t>
            </w:r>
          </w:p>
        </w:tc>
        <w:tc>
          <w:tcPr>
            <w:tcW w:w="3352" w:type="dxa"/>
            <w:vAlign w:val="center"/>
          </w:tcPr>
          <w:p w14:paraId="4A152323" w14:textId="77777777" w:rsidR="00A90374" w:rsidRPr="0030545D" w:rsidRDefault="00A90374" w:rsidP="008B3F9C">
            <w:pPr>
              <w:pStyle w:val="TableText"/>
              <w:keepNext w:val="0"/>
              <w:widowControl w:val="0"/>
              <w:rPr>
                <w:iCs/>
              </w:rPr>
            </w:pPr>
            <w:r w:rsidRPr="0030545D">
              <w:rPr>
                <w:iCs/>
              </w:rPr>
              <w:t>There was inadequate documentation to adequately assess the validity of health resource use estimates.</w:t>
            </w:r>
          </w:p>
          <w:p w14:paraId="27F1CC8F" w14:textId="77777777" w:rsidR="00A90374" w:rsidRPr="0030545D" w:rsidRDefault="00A90374" w:rsidP="008B3F9C">
            <w:pPr>
              <w:pStyle w:val="TableText"/>
              <w:keepNext w:val="0"/>
              <w:widowControl w:val="0"/>
              <w:rPr>
                <w:iCs/>
              </w:rPr>
            </w:pPr>
          </w:p>
          <w:p w14:paraId="0241516F" w14:textId="77777777" w:rsidR="00A90374" w:rsidRPr="0030545D" w:rsidRDefault="00A90374" w:rsidP="008B3F9C">
            <w:pPr>
              <w:pStyle w:val="TableText"/>
              <w:keepNext w:val="0"/>
              <w:widowControl w:val="0"/>
              <w:rPr>
                <w:iCs/>
              </w:rPr>
            </w:pPr>
            <w:r w:rsidRPr="0030545D">
              <w:rPr>
                <w:iCs/>
              </w:rPr>
              <w:t>Additionally, the assumption that all patients treated with deutetrabenazine achieve control and all other patients fail was inconsistent with the available clinical data.</w:t>
            </w:r>
          </w:p>
          <w:p w14:paraId="1EDDCDBE" w14:textId="77777777" w:rsidR="00A90374" w:rsidRPr="0030545D" w:rsidRDefault="00A90374" w:rsidP="008B3F9C">
            <w:pPr>
              <w:pStyle w:val="TableText"/>
              <w:keepNext w:val="0"/>
              <w:widowControl w:val="0"/>
              <w:rPr>
                <w:iCs/>
              </w:rPr>
            </w:pPr>
          </w:p>
          <w:p w14:paraId="3E2AB144" w14:textId="77777777" w:rsidR="00A90374" w:rsidRPr="0030545D" w:rsidRDefault="00A90374" w:rsidP="008B3F9C">
            <w:pPr>
              <w:pStyle w:val="TableText"/>
              <w:keepNext w:val="0"/>
              <w:widowControl w:val="0"/>
              <w:rPr>
                <w:iCs/>
              </w:rPr>
            </w:pPr>
            <w:r w:rsidRPr="0030545D">
              <w:rPr>
                <w:iCs/>
              </w:rPr>
              <w:t>Health resource use is discussed further in Section 3.6 of the commentary.</w:t>
            </w:r>
          </w:p>
        </w:tc>
      </w:tr>
    </w:tbl>
    <w:p w14:paraId="40A16781" w14:textId="77777777" w:rsidR="00A90374" w:rsidRPr="0030545D" w:rsidRDefault="00A90374" w:rsidP="00A90374">
      <w:pPr>
        <w:pStyle w:val="TableFooter"/>
      </w:pPr>
      <w:r w:rsidRPr="0030545D">
        <w:t>Source: Table 1-5, Table 4-4, Table 4-5, Table 4-6, Table 4-8, Table 4-12, Table 4-13, Table 4-14 of the submission</w:t>
      </w:r>
    </w:p>
    <w:p w14:paraId="0B0CA35F" w14:textId="77777777" w:rsidR="00A90374" w:rsidRDefault="00A90374" w:rsidP="00C14F95">
      <w:pPr>
        <w:pStyle w:val="TableFooter"/>
        <w:spacing w:after="120"/>
      </w:pPr>
      <w:r w:rsidRPr="0030545D">
        <w:t>Abbreviations: DPMQ, dispensed price per maximum quantity; ED, emergency department</w:t>
      </w:r>
    </w:p>
    <w:p w14:paraId="7EE42F60" w14:textId="77777777" w:rsidR="00A90374" w:rsidRPr="0030545D" w:rsidRDefault="00A90374" w:rsidP="00A90374">
      <w:pPr>
        <w:pStyle w:val="ExecSumBodyText"/>
        <w:numPr>
          <w:ilvl w:val="1"/>
          <w:numId w:val="1"/>
        </w:numPr>
      </w:pPr>
      <w:r w:rsidRPr="0030545D">
        <w:t>The table below presents the estimated use and financial implications of deutetrabenazine over 6 years of listing based on the proposed effective prices.</w:t>
      </w:r>
    </w:p>
    <w:p w14:paraId="12FA7B1A" w14:textId="77777777" w:rsidR="00A90374" w:rsidRPr="0030545D" w:rsidRDefault="003928F3" w:rsidP="00C14F95">
      <w:pPr>
        <w:pStyle w:val="Tableheadingrow"/>
        <w:rPr>
          <w:lang w:val="en-AU" w:eastAsia="en-US"/>
        </w:rPr>
      </w:pPr>
      <w:r>
        <w:rPr>
          <w:lang w:val="en-AU" w:eastAsia="en-US"/>
        </w:rPr>
        <w:t>Table 15</w:t>
      </w:r>
      <w:r w:rsidR="00A90374" w:rsidRPr="0030545D">
        <w:rPr>
          <w:lang w:val="en-AU" w:eastAsia="en-US"/>
        </w:rPr>
        <w:t>:  Estimated utilisation and cost of deutetrabenazine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276"/>
        <w:gridCol w:w="1134"/>
      </w:tblGrid>
      <w:tr w:rsidR="00A90374" w:rsidRPr="0030545D" w14:paraId="2F4DD1C2" w14:textId="77777777" w:rsidTr="00916E6D">
        <w:trPr>
          <w:tblHeader/>
        </w:trPr>
        <w:tc>
          <w:tcPr>
            <w:tcW w:w="2263" w:type="dxa"/>
            <w:shd w:val="clear" w:color="auto" w:fill="auto"/>
            <w:vAlign w:val="center"/>
          </w:tcPr>
          <w:p w14:paraId="2E51466D" w14:textId="77777777" w:rsidR="00A90374" w:rsidRPr="0030545D" w:rsidRDefault="00A90374" w:rsidP="00C14F95">
            <w:pPr>
              <w:pStyle w:val="TableText"/>
              <w:widowControl w:val="0"/>
              <w:rPr>
                <w:b/>
                <w:lang w:eastAsia="en-US"/>
              </w:rPr>
            </w:pPr>
          </w:p>
        </w:tc>
        <w:tc>
          <w:tcPr>
            <w:tcW w:w="1134" w:type="dxa"/>
            <w:shd w:val="clear" w:color="auto" w:fill="auto"/>
            <w:vAlign w:val="center"/>
          </w:tcPr>
          <w:p w14:paraId="7F077CFD" w14:textId="77777777" w:rsidR="00A90374" w:rsidRPr="0030545D" w:rsidRDefault="00A90374" w:rsidP="00C14F95">
            <w:pPr>
              <w:pStyle w:val="TableText"/>
              <w:widowControl w:val="0"/>
              <w:jc w:val="center"/>
              <w:rPr>
                <w:b/>
                <w:lang w:eastAsia="en-US"/>
              </w:rPr>
            </w:pPr>
            <w:r w:rsidRPr="0030545D">
              <w:rPr>
                <w:b/>
                <w:lang w:eastAsia="en-US"/>
              </w:rPr>
              <w:t>Year 1</w:t>
            </w:r>
          </w:p>
          <w:p w14:paraId="5D52FB5B" w14:textId="77777777" w:rsidR="00A90374" w:rsidRPr="0030545D" w:rsidRDefault="00A90374" w:rsidP="00C14F95">
            <w:pPr>
              <w:pStyle w:val="TableText"/>
              <w:widowControl w:val="0"/>
              <w:jc w:val="center"/>
              <w:rPr>
                <w:b/>
                <w:lang w:eastAsia="en-US"/>
              </w:rPr>
            </w:pPr>
            <w:r w:rsidRPr="0030545D">
              <w:rPr>
                <w:b/>
                <w:lang w:eastAsia="en-US"/>
              </w:rPr>
              <w:t>(2021)</w:t>
            </w:r>
          </w:p>
        </w:tc>
        <w:tc>
          <w:tcPr>
            <w:tcW w:w="1134" w:type="dxa"/>
            <w:shd w:val="clear" w:color="auto" w:fill="auto"/>
            <w:vAlign w:val="center"/>
          </w:tcPr>
          <w:p w14:paraId="5381BF3A" w14:textId="77777777" w:rsidR="00A90374" w:rsidRPr="0030545D" w:rsidRDefault="00A90374" w:rsidP="00C14F95">
            <w:pPr>
              <w:pStyle w:val="TableText"/>
              <w:widowControl w:val="0"/>
              <w:jc w:val="center"/>
              <w:rPr>
                <w:b/>
                <w:lang w:eastAsia="en-US"/>
              </w:rPr>
            </w:pPr>
            <w:r w:rsidRPr="0030545D">
              <w:rPr>
                <w:b/>
                <w:lang w:eastAsia="en-US"/>
              </w:rPr>
              <w:t>Year 2</w:t>
            </w:r>
          </w:p>
          <w:p w14:paraId="339206DD" w14:textId="77777777" w:rsidR="00A90374" w:rsidRPr="0030545D" w:rsidRDefault="00A90374" w:rsidP="00C14F95">
            <w:pPr>
              <w:pStyle w:val="TableText"/>
              <w:widowControl w:val="0"/>
              <w:jc w:val="center"/>
              <w:rPr>
                <w:b/>
                <w:lang w:eastAsia="en-US"/>
              </w:rPr>
            </w:pPr>
            <w:r w:rsidRPr="0030545D">
              <w:rPr>
                <w:b/>
                <w:lang w:eastAsia="en-US"/>
              </w:rPr>
              <w:t>(2022)</w:t>
            </w:r>
          </w:p>
        </w:tc>
        <w:tc>
          <w:tcPr>
            <w:tcW w:w="1134" w:type="dxa"/>
            <w:shd w:val="clear" w:color="auto" w:fill="auto"/>
            <w:vAlign w:val="center"/>
          </w:tcPr>
          <w:p w14:paraId="041E0A41" w14:textId="77777777" w:rsidR="00A90374" w:rsidRPr="0030545D" w:rsidRDefault="00A90374" w:rsidP="00C14F95">
            <w:pPr>
              <w:pStyle w:val="TableText"/>
              <w:widowControl w:val="0"/>
              <w:jc w:val="center"/>
              <w:rPr>
                <w:b/>
                <w:lang w:eastAsia="en-US"/>
              </w:rPr>
            </w:pPr>
            <w:r w:rsidRPr="0030545D">
              <w:rPr>
                <w:b/>
                <w:lang w:eastAsia="en-US"/>
              </w:rPr>
              <w:t>Year 3</w:t>
            </w:r>
          </w:p>
          <w:p w14:paraId="0F7C1B69" w14:textId="77777777" w:rsidR="00A90374" w:rsidRPr="0030545D" w:rsidRDefault="00A90374" w:rsidP="00C14F95">
            <w:pPr>
              <w:pStyle w:val="TableText"/>
              <w:widowControl w:val="0"/>
              <w:jc w:val="center"/>
              <w:rPr>
                <w:b/>
                <w:lang w:eastAsia="en-US"/>
              </w:rPr>
            </w:pPr>
            <w:r w:rsidRPr="0030545D">
              <w:rPr>
                <w:b/>
                <w:lang w:eastAsia="en-US"/>
              </w:rPr>
              <w:t>(2023)</w:t>
            </w:r>
          </w:p>
        </w:tc>
        <w:tc>
          <w:tcPr>
            <w:tcW w:w="1134" w:type="dxa"/>
            <w:shd w:val="clear" w:color="auto" w:fill="auto"/>
            <w:vAlign w:val="center"/>
          </w:tcPr>
          <w:p w14:paraId="27343CAD" w14:textId="77777777" w:rsidR="00A90374" w:rsidRPr="0030545D" w:rsidRDefault="00A90374" w:rsidP="00C14F95">
            <w:pPr>
              <w:pStyle w:val="TableText"/>
              <w:widowControl w:val="0"/>
              <w:jc w:val="center"/>
              <w:rPr>
                <w:b/>
                <w:lang w:eastAsia="en-US"/>
              </w:rPr>
            </w:pPr>
            <w:r w:rsidRPr="0030545D">
              <w:rPr>
                <w:b/>
                <w:lang w:eastAsia="en-US"/>
              </w:rPr>
              <w:t>Year 4</w:t>
            </w:r>
          </w:p>
          <w:p w14:paraId="1A086ECC" w14:textId="77777777" w:rsidR="00A90374" w:rsidRPr="0030545D" w:rsidRDefault="00A90374" w:rsidP="00C14F95">
            <w:pPr>
              <w:pStyle w:val="TableText"/>
              <w:widowControl w:val="0"/>
              <w:jc w:val="center"/>
              <w:rPr>
                <w:b/>
                <w:lang w:eastAsia="en-US"/>
              </w:rPr>
            </w:pPr>
            <w:r w:rsidRPr="0030545D">
              <w:rPr>
                <w:b/>
                <w:lang w:eastAsia="en-US"/>
              </w:rPr>
              <w:t>(2024)</w:t>
            </w:r>
          </w:p>
        </w:tc>
        <w:tc>
          <w:tcPr>
            <w:tcW w:w="1276" w:type="dxa"/>
            <w:shd w:val="clear" w:color="auto" w:fill="auto"/>
            <w:vAlign w:val="center"/>
          </w:tcPr>
          <w:p w14:paraId="508F598E" w14:textId="77777777" w:rsidR="00A90374" w:rsidRPr="0030545D" w:rsidRDefault="00A90374" w:rsidP="00C14F95">
            <w:pPr>
              <w:pStyle w:val="TableText"/>
              <w:widowControl w:val="0"/>
              <w:jc w:val="center"/>
              <w:rPr>
                <w:b/>
                <w:lang w:eastAsia="en-US"/>
              </w:rPr>
            </w:pPr>
            <w:r w:rsidRPr="0030545D">
              <w:rPr>
                <w:b/>
                <w:lang w:eastAsia="en-US"/>
              </w:rPr>
              <w:t>Year 5</w:t>
            </w:r>
          </w:p>
          <w:p w14:paraId="266B8770" w14:textId="77777777" w:rsidR="00A90374" w:rsidRPr="0030545D" w:rsidRDefault="00A90374" w:rsidP="00C14F95">
            <w:pPr>
              <w:pStyle w:val="TableText"/>
              <w:widowControl w:val="0"/>
              <w:jc w:val="center"/>
              <w:rPr>
                <w:b/>
                <w:lang w:eastAsia="en-US"/>
              </w:rPr>
            </w:pPr>
            <w:r w:rsidRPr="0030545D">
              <w:rPr>
                <w:b/>
                <w:lang w:eastAsia="en-US"/>
              </w:rPr>
              <w:t>(2025)</w:t>
            </w:r>
          </w:p>
        </w:tc>
        <w:tc>
          <w:tcPr>
            <w:tcW w:w="1134" w:type="dxa"/>
            <w:shd w:val="clear" w:color="auto" w:fill="auto"/>
            <w:vAlign w:val="center"/>
          </w:tcPr>
          <w:p w14:paraId="063787EB" w14:textId="77777777" w:rsidR="00A90374" w:rsidRPr="0030545D" w:rsidRDefault="00A90374" w:rsidP="00C14F95">
            <w:pPr>
              <w:pStyle w:val="TableText"/>
              <w:widowControl w:val="0"/>
              <w:jc w:val="center"/>
              <w:rPr>
                <w:b/>
                <w:lang w:eastAsia="en-US"/>
              </w:rPr>
            </w:pPr>
            <w:r w:rsidRPr="0030545D">
              <w:rPr>
                <w:b/>
                <w:lang w:eastAsia="en-US"/>
              </w:rPr>
              <w:t>Year 6</w:t>
            </w:r>
          </w:p>
          <w:p w14:paraId="1B65E6A4" w14:textId="77777777" w:rsidR="00A90374" w:rsidRPr="0030545D" w:rsidRDefault="00A90374" w:rsidP="00C14F95">
            <w:pPr>
              <w:pStyle w:val="TableText"/>
              <w:widowControl w:val="0"/>
              <w:jc w:val="center"/>
              <w:rPr>
                <w:b/>
                <w:lang w:eastAsia="en-US"/>
              </w:rPr>
            </w:pPr>
            <w:r w:rsidRPr="0030545D">
              <w:rPr>
                <w:b/>
                <w:lang w:eastAsia="en-US"/>
              </w:rPr>
              <w:t>(2026)</w:t>
            </w:r>
          </w:p>
        </w:tc>
      </w:tr>
      <w:tr w:rsidR="00A90374" w:rsidRPr="0030545D" w14:paraId="6DA8131F" w14:textId="77777777" w:rsidTr="00916E6D">
        <w:tc>
          <w:tcPr>
            <w:tcW w:w="2263" w:type="dxa"/>
            <w:shd w:val="clear" w:color="auto" w:fill="auto"/>
            <w:vAlign w:val="center"/>
          </w:tcPr>
          <w:p w14:paraId="5774D172" w14:textId="77777777" w:rsidR="00A90374" w:rsidRPr="0030545D" w:rsidRDefault="00A90374" w:rsidP="00C14F95">
            <w:pPr>
              <w:pStyle w:val="TableText"/>
              <w:widowControl w:val="0"/>
              <w:rPr>
                <w:lang w:eastAsia="en-US"/>
              </w:rPr>
            </w:pPr>
            <w:r w:rsidRPr="0030545D">
              <w:rPr>
                <w:lang w:eastAsia="en-US"/>
              </w:rPr>
              <w:t>Eligible population</w:t>
            </w:r>
          </w:p>
        </w:tc>
        <w:tc>
          <w:tcPr>
            <w:tcW w:w="1134" w:type="dxa"/>
            <w:shd w:val="clear" w:color="auto" w:fill="auto"/>
            <w:vAlign w:val="center"/>
          </w:tcPr>
          <w:p w14:paraId="3793F7AD" w14:textId="77777777" w:rsidR="00A90374" w:rsidRPr="00916E6D" w:rsidRDefault="00916E6D" w:rsidP="00C14F95">
            <w:pPr>
              <w:pStyle w:val="TableText"/>
              <w:widowControl w:val="0"/>
              <w:jc w:val="center"/>
              <w:rPr>
                <w:vertAlign w:val="superscript"/>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42918BF4"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64B2DCE4"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3CD0FB15"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276" w:type="dxa"/>
            <w:shd w:val="clear" w:color="auto" w:fill="auto"/>
            <w:vAlign w:val="center"/>
          </w:tcPr>
          <w:p w14:paraId="383D2FD1"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1E6040F1"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sidRPr="001D072C">
              <w:rPr>
                <w:vertAlign w:val="superscript"/>
                <w:lang w:eastAsia="en-US"/>
              </w:rPr>
              <w:t>1</w:t>
            </w:r>
          </w:p>
        </w:tc>
      </w:tr>
      <w:tr w:rsidR="00A90374" w:rsidRPr="0030545D" w14:paraId="371582A8" w14:textId="77777777" w:rsidTr="00916E6D">
        <w:tc>
          <w:tcPr>
            <w:tcW w:w="2263" w:type="dxa"/>
            <w:shd w:val="clear" w:color="auto" w:fill="auto"/>
            <w:vAlign w:val="center"/>
          </w:tcPr>
          <w:p w14:paraId="63F28798" w14:textId="77777777" w:rsidR="00A90374" w:rsidRPr="0030545D" w:rsidRDefault="00A90374" w:rsidP="00C14F95">
            <w:pPr>
              <w:pStyle w:val="TableText"/>
              <w:widowControl w:val="0"/>
              <w:rPr>
                <w:lang w:eastAsia="en-US"/>
              </w:rPr>
            </w:pPr>
            <w:r w:rsidRPr="0030545D">
              <w:rPr>
                <w:lang w:eastAsia="en-US"/>
              </w:rPr>
              <w:t>Deutetrabenazine uptake rate</w:t>
            </w:r>
          </w:p>
        </w:tc>
        <w:tc>
          <w:tcPr>
            <w:tcW w:w="1134" w:type="dxa"/>
            <w:shd w:val="clear" w:color="auto" w:fill="auto"/>
            <w:vAlign w:val="center"/>
          </w:tcPr>
          <w:p w14:paraId="6A48AB75" w14:textId="77777777" w:rsidR="00A90374" w:rsidRPr="0030545D" w:rsidRDefault="00916E6D" w:rsidP="00C14F95">
            <w:pPr>
              <w:pStyle w:val="TableText"/>
              <w:widowControl w:val="0"/>
              <w:jc w:val="center"/>
              <w:rPr>
                <w:lang w:eastAsia="en-US"/>
              </w:rPr>
            </w:pPr>
            <w:r>
              <w:rPr>
                <w:noProof/>
                <w:color w:val="000000"/>
                <w:highlight w:val="black"/>
                <w:lang w:eastAsia="en-US"/>
              </w:rPr>
              <w:t>''''''</w:t>
            </w:r>
            <w:r w:rsidR="00A90374" w:rsidRPr="0030545D">
              <w:rPr>
                <w:lang w:eastAsia="en-US"/>
              </w:rPr>
              <w:t>%</w:t>
            </w:r>
          </w:p>
        </w:tc>
        <w:tc>
          <w:tcPr>
            <w:tcW w:w="1134" w:type="dxa"/>
            <w:shd w:val="clear" w:color="auto" w:fill="auto"/>
            <w:vAlign w:val="center"/>
          </w:tcPr>
          <w:p w14:paraId="00E68E29" w14:textId="77777777" w:rsidR="00A90374" w:rsidRPr="0030545D" w:rsidRDefault="00916E6D" w:rsidP="00C14F95">
            <w:pPr>
              <w:pStyle w:val="TableText"/>
              <w:widowControl w:val="0"/>
              <w:jc w:val="center"/>
              <w:rPr>
                <w:lang w:eastAsia="en-US"/>
              </w:rPr>
            </w:pPr>
            <w:r>
              <w:rPr>
                <w:noProof/>
                <w:color w:val="000000"/>
                <w:highlight w:val="black"/>
                <w:lang w:eastAsia="en-US"/>
              </w:rPr>
              <w:t>''''''</w:t>
            </w:r>
            <w:r w:rsidR="00A90374" w:rsidRPr="0030545D">
              <w:rPr>
                <w:lang w:eastAsia="en-US"/>
              </w:rPr>
              <w:t>%</w:t>
            </w:r>
          </w:p>
        </w:tc>
        <w:tc>
          <w:tcPr>
            <w:tcW w:w="1134" w:type="dxa"/>
            <w:shd w:val="clear" w:color="auto" w:fill="auto"/>
            <w:vAlign w:val="center"/>
          </w:tcPr>
          <w:p w14:paraId="27E86887" w14:textId="77777777" w:rsidR="00A90374" w:rsidRPr="0030545D" w:rsidRDefault="00916E6D" w:rsidP="00C14F95">
            <w:pPr>
              <w:pStyle w:val="TableText"/>
              <w:widowControl w:val="0"/>
              <w:jc w:val="center"/>
              <w:rPr>
                <w:lang w:eastAsia="en-US"/>
              </w:rPr>
            </w:pPr>
            <w:r>
              <w:rPr>
                <w:noProof/>
                <w:color w:val="000000"/>
                <w:highlight w:val="black"/>
                <w:lang w:eastAsia="en-US"/>
              </w:rPr>
              <w:t>''''''</w:t>
            </w:r>
            <w:r w:rsidR="00A90374" w:rsidRPr="0030545D">
              <w:rPr>
                <w:lang w:eastAsia="en-US"/>
              </w:rPr>
              <w:t>%</w:t>
            </w:r>
          </w:p>
        </w:tc>
        <w:tc>
          <w:tcPr>
            <w:tcW w:w="1134" w:type="dxa"/>
            <w:shd w:val="clear" w:color="auto" w:fill="auto"/>
            <w:vAlign w:val="center"/>
          </w:tcPr>
          <w:p w14:paraId="19FECE46" w14:textId="77777777" w:rsidR="00A90374" w:rsidRPr="0030545D" w:rsidRDefault="00916E6D" w:rsidP="00C14F95">
            <w:pPr>
              <w:pStyle w:val="TableText"/>
              <w:widowControl w:val="0"/>
              <w:jc w:val="center"/>
              <w:rPr>
                <w:lang w:eastAsia="en-US"/>
              </w:rPr>
            </w:pPr>
            <w:r>
              <w:rPr>
                <w:noProof/>
                <w:color w:val="000000"/>
                <w:highlight w:val="black"/>
                <w:lang w:eastAsia="en-US"/>
              </w:rPr>
              <w:t>''''''</w:t>
            </w:r>
            <w:r w:rsidR="00A90374" w:rsidRPr="0030545D">
              <w:rPr>
                <w:lang w:eastAsia="en-US"/>
              </w:rPr>
              <w:t>%</w:t>
            </w:r>
          </w:p>
        </w:tc>
        <w:tc>
          <w:tcPr>
            <w:tcW w:w="1276" w:type="dxa"/>
            <w:shd w:val="clear" w:color="auto" w:fill="auto"/>
            <w:vAlign w:val="center"/>
          </w:tcPr>
          <w:p w14:paraId="5F3C207E" w14:textId="77777777" w:rsidR="00A90374" w:rsidRPr="0030545D" w:rsidRDefault="00916E6D" w:rsidP="00C14F95">
            <w:pPr>
              <w:pStyle w:val="TableText"/>
              <w:widowControl w:val="0"/>
              <w:jc w:val="center"/>
              <w:rPr>
                <w:lang w:eastAsia="en-US"/>
              </w:rPr>
            </w:pPr>
            <w:r>
              <w:rPr>
                <w:noProof/>
                <w:color w:val="000000"/>
                <w:highlight w:val="black"/>
                <w:lang w:eastAsia="en-US"/>
              </w:rPr>
              <w:t>'''''''</w:t>
            </w:r>
            <w:r w:rsidR="00A90374" w:rsidRPr="0030545D">
              <w:rPr>
                <w:lang w:eastAsia="en-US"/>
              </w:rPr>
              <w:t>%</w:t>
            </w:r>
          </w:p>
        </w:tc>
        <w:tc>
          <w:tcPr>
            <w:tcW w:w="1134" w:type="dxa"/>
            <w:shd w:val="clear" w:color="auto" w:fill="auto"/>
            <w:vAlign w:val="center"/>
          </w:tcPr>
          <w:p w14:paraId="20B767CA" w14:textId="77777777" w:rsidR="00A90374" w:rsidRPr="0030545D" w:rsidRDefault="00916E6D" w:rsidP="00C14F95">
            <w:pPr>
              <w:pStyle w:val="TableText"/>
              <w:widowControl w:val="0"/>
              <w:jc w:val="center"/>
              <w:rPr>
                <w:lang w:eastAsia="en-US"/>
              </w:rPr>
            </w:pPr>
            <w:r>
              <w:rPr>
                <w:noProof/>
                <w:color w:val="000000"/>
                <w:highlight w:val="black"/>
                <w:lang w:eastAsia="en-US"/>
              </w:rPr>
              <w:t>'''''''</w:t>
            </w:r>
            <w:r w:rsidR="00A90374" w:rsidRPr="0030545D">
              <w:rPr>
                <w:lang w:eastAsia="en-US"/>
              </w:rPr>
              <w:t>%</w:t>
            </w:r>
          </w:p>
        </w:tc>
      </w:tr>
      <w:tr w:rsidR="00A90374" w:rsidRPr="0030545D" w14:paraId="176120B2" w14:textId="77777777" w:rsidTr="00916E6D">
        <w:tc>
          <w:tcPr>
            <w:tcW w:w="2263" w:type="dxa"/>
            <w:shd w:val="clear" w:color="auto" w:fill="auto"/>
            <w:vAlign w:val="center"/>
          </w:tcPr>
          <w:p w14:paraId="4F422B71" w14:textId="77777777" w:rsidR="00A90374" w:rsidRPr="0030545D" w:rsidRDefault="00A90374" w:rsidP="00C14F95">
            <w:pPr>
              <w:pStyle w:val="TableText"/>
              <w:widowControl w:val="0"/>
              <w:rPr>
                <w:lang w:eastAsia="en-US"/>
              </w:rPr>
            </w:pPr>
            <w:r w:rsidRPr="0030545D">
              <w:rPr>
                <w:lang w:eastAsia="en-US"/>
              </w:rPr>
              <w:t>Patients treated with deutetrabenazine</w:t>
            </w:r>
          </w:p>
        </w:tc>
        <w:tc>
          <w:tcPr>
            <w:tcW w:w="1134" w:type="dxa"/>
            <w:shd w:val="clear" w:color="auto" w:fill="auto"/>
            <w:vAlign w:val="center"/>
          </w:tcPr>
          <w:p w14:paraId="388961AC"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0974D23D"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61B21DF6"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0934623A"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276" w:type="dxa"/>
            <w:shd w:val="clear" w:color="auto" w:fill="auto"/>
            <w:vAlign w:val="center"/>
          </w:tcPr>
          <w:p w14:paraId="39A90836"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24ACE1DA"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r>
      <w:tr w:rsidR="00A90374" w:rsidRPr="0030545D" w14:paraId="52D8D9F1" w14:textId="77777777" w:rsidTr="00916E6D">
        <w:tc>
          <w:tcPr>
            <w:tcW w:w="2263" w:type="dxa"/>
            <w:shd w:val="clear" w:color="auto" w:fill="auto"/>
            <w:vAlign w:val="center"/>
          </w:tcPr>
          <w:p w14:paraId="042FFE7F" w14:textId="77777777" w:rsidR="00A90374" w:rsidRPr="0030545D" w:rsidRDefault="00A90374" w:rsidP="00C14F95">
            <w:pPr>
              <w:pStyle w:val="TableText"/>
              <w:widowControl w:val="0"/>
              <w:rPr>
                <w:lang w:eastAsia="en-US"/>
              </w:rPr>
            </w:pPr>
            <w:r w:rsidRPr="0030545D">
              <w:rPr>
                <w:lang w:eastAsia="en-US"/>
              </w:rPr>
              <w:t>Scripts per year for 6 mg tablets</w:t>
            </w:r>
          </w:p>
        </w:tc>
        <w:tc>
          <w:tcPr>
            <w:tcW w:w="1134" w:type="dxa"/>
            <w:shd w:val="clear" w:color="auto" w:fill="auto"/>
            <w:vAlign w:val="center"/>
          </w:tcPr>
          <w:p w14:paraId="4042F998"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646E238B"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705677D7"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404065F9"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276" w:type="dxa"/>
            <w:shd w:val="clear" w:color="auto" w:fill="auto"/>
            <w:vAlign w:val="center"/>
          </w:tcPr>
          <w:p w14:paraId="0194C678"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438EA83C" w14:textId="77777777" w:rsidR="00A90374" w:rsidRPr="00916E6D" w:rsidRDefault="00916E6D" w:rsidP="00C14F95">
            <w:pPr>
              <w:pStyle w:val="TableText"/>
              <w:widowControl w:val="0"/>
              <w:jc w:val="center"/>
              <w:rPr>
                <w:lang w:eastAsia="en-US"/>
              </w:rPr>
            </w:pPr>
            <w:r>
              <w:rPr>
                <w:noProof/>
                <w:color w:val="000000"/>
                <w:highlight w:val="black"/>
                <w:lang w:eastAsia="en-US"/>
              </w:rPr>
              <w:t>'''''''''''''''''</w:t>
            </w:r>
            <w:r w:rsidR="001D072C">
              <w:rPr>
                <w:vertAlign w:val="superscript"/>
                <w:lang w:eastAsia="en-US"/>
              </w:rPr>
              <w:t>2</w:t>
            </w:r>
          </w:p>
        </w:tc>
      </w:tr>
      <w:tr w:rsidR="00A90374" w:rsidRPr="0030545D" w14:paraId="2296128A" w14:textId="77777777" w:rsidTr="00916E6D">
        <w:tc>
          <w:tcPr>
            <w:tcW w:w="2263" w:type="dxa"/>
            <w:shd w:val="clear" w:color="auto" w:fill="auto"/>
            <w:vAlign w:val="center"/>
          </w:tcPr>
          <w:p w14:paraId="642DD72D" w14:textId="77777777" w:rsidR="00A90374" w:rsidRPr="0030545D" w:rsidRDefault="00A90374" w:rsidP="008B3F9C">
            <w:pPr>
              <w:pStyle w:val="TableText"/>
              <w:keepNext w:val="0"/>
              <w:widowControl w:val="0"/>
              <w:rPr>
                <w:lang w:eastAsia="en-US"/>
              </w:rPr>
            </w:pPr>
            <w:r w:rsidRPr="0030545D">
              <w:rPr>
                <w:lang w:eastAsia="en-US"/>
              </w:rPr>
              <w:t>Cost of 6 mg dose strength (effective DPMQ less co-pay)</w:t>
            </w:r>
          </w:p>
        </w:tc>
        <w:tc>
          <w:tcPr>
            <w:tcW w:w="1134" w:type="dxa"/>
            <w:shd w:val="clear" w:color="auto" w:fill="auto"/>
            <w:vAlign w:val="center"/>
          </w:tcPr>
          <w:p w14:paraId="4DA4D760"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3</w:t>
            </w:r>
          </w:p>
        </w:tc>
        <w:tc>
          <w:tcPr>
            <w:tcW w:w="1134" w:type="dxa"/>
            <w:shd w:val="clear" w:color="auto" w:fill="auto"/>
            <w:vAlign w:val="center"/>
          </w:tcPr>
          <w:p w14:paraId="47E76BA5"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3</w:t>
            </w:r>
          </w:p>
        </w:tc>
        <w:tc>
          <w:tcPr>
            <w:tcW w:w="1134" w:type="dxa"/>
            <w:shd w:val="clear" w:color="auto" w:fill="auto"/>
            <w:vAlign w:val="center"/>
          </w:tcPr>
          <w:p w14:paraId="141976C1"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3</w:t>
            </w:r>
          </w:p>
        </w:tc>
        <w:tc>
          <w:tcPr>
            <w:tcW w:w="1134" w:type="dxa"/>
            <w:shd w:val="clear" w:color="auto" w:fill="auto"/>
            <w:vAlign w:val="center"/>
          </w:tcPr>
          <w:p w14:paraId="2FED8D7A"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3</w:t>
            </w:r>
          </w:p>
        </w:tc>
        <w:tc>
          <w:tcPr>
            <w:tcW w:w="1276" w:type="dxa"/>
            <w:shd w:val="clear" w:color="auto" w:fill="auto"/>
            <w:vAlign w:val="center"/>
          </w:tcPr>
          <w:p w14:paraId="4759401C"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3</w:t>
            </w:r>
          </w:p>
        </w:tc>
        <w:tc>
          <w:tcPr>
            <w:tcW w:w="1134" w:type="dxa"/>
            <w:shd w:val="clear" w:color="auto" w:fill="auto"/>
            <w:vAlign w:val="center"/>
          </w:tcPr>
          <w:p w14:paraId="45FD5441"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3</w:t>
            </w:r>
          </w:p>
        </w:tc>
      </w:tr>
      <w:tr w:rsidR="00A90374" w:rsidRPr="0030545D" w14:paraId="2A8D9C40" w14:textId="77777777" w:rsidTr="00916E6D">
        <w:tc>
          <w:tcPr>
            <w:tcW w:w="2263" w:type="dxa"/>
            <w:shd w:val="clear" w:color="auto" w:fill="auto"/>
            <w:vAlign w:val="center"/>
          </w:tcPr>
          <w:p w14:paraId="7251F233" w14:textId="77777777" w:rsidR="00A90374" w:rsidRPr="0030545D" w:rsidRDefault="00A90374" w:rsidP="008B3F9C">
            <w:pPr>
              <w:pStyle w:val="TableText"/>
              <w:keepNext w:val="0"/>
              <w:widowControl w:val="0"/>
              <w:rPr>
                <w:lang w:eastAsia="en-US"/>
              </w:rPr>
            </w:pPr>
            <w:r w:rsidRPr="0030545D">
              <w:rPr>
                <w:lang w:eastAsia="en-US"/>
              </w:rPr>
              <w:t xml:space="preserve">Scripts per year for 9 mg tablets </w:t>
            </w:r>
          </w:p>
        </w:tc>
        <w:tc>
          <w:tcPr>
            <w:tcW w:w="1134" w:type="dxa"/>
            <w:shd w:val="clear" w:color="auto" w:fill="auto"/>
            <w:vAlign w:val="center"/>
          </w:tcPr>
          <w:p w14:paraId="4CC585F6"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50B11CE3"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35AE073C"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7058494F"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276" w:type="dxa"/>
            <w:shd w:val="clear" w:color="auto" w:fill="auto"/>
            <w:vAlign w:val="center"/>
          </w:tcPr>
          <w:p w14:paraId="0601449A"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79B186CF"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r>
      <w:tr w:rsidR="00A90374" w:rsidRPr="0030545D" w14:paraId="46547A85" w14:textId="77777777" w:rsidTr="00916E6D">
        <w:tc>
          <w:tcPr>
            <w:tcW w:w="2263" w:type="dxa"/>
            <w:shd w:val="clear" w:color="auto" w:fill="auto"/>
            <w:vAlign w:val="center"/>
          </w:tcPr>
          <w:p w14:paraId="15B01034" w14:textId="77777777" w:rsidR="00A90374" w:rsidRPr="0030545D" w:rsidRDefault="00A90374" w:rsidP="008B3F9C">
            <w:pPr>
              <w:pStyle w:val="TableText"/>
              <w:keepNext w:val="0"/>
              <w:widowControl w:val="0"/>
              <w:rPr>
                <w:lang w:eastAsia="en-US"/>
              </w:rPr>
            </w:pPr>
            <w:r w:rsidRPr="0030545D">
              <w:rPr>
                <w:lang w:eastAsia="en-US"/>
              </w:rPr>
              <w:t>Cost of 9 mg dose strength (effective DPMQ less co-pay)</w:t>
            </w:r>
          </w:p>
        </w:tc>
        <w:tc>
          <w:tcPr>
            <w:tcW w:w="1134" w:type="dxa"/>
            <w:shd w:val="clear" w:color="auto" w:fill="auto"/>
            <w:vAlign w:val="center"/>
          </w:tcPr>
          <w:p w14:paraId="1E6A6346"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726F39BC"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3006E22D"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131F9C03"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276" w:type="dxa"/>
            <w:shd w:val="clear" w:color="auto" w:fill="auto"/>
            <w:vAlign w:val="center"/>
          </w:tcPr>
          <w:p w14:paraId="3EB0D364"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20AA74ED"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r>
      <w:tr w:rsidR="00A90374" w:rsidRPr="0030545D" w14:paraId="4DF6F5BF" w14:textId="77777777" w:rsidTr="00916E6D">
        <w:tc>
          <w:tcPr>
            <w:tcW w:w="2263" w:type="dxa"/>
            <w:shd w:val="clear" w:color="auto" w:fill="auto"/>
            <w:vAlign w:val="center"/>
          </w:tcPr>
          <w:p w14:paraId="31ED12AA" w14:textId="77777777" w:rsidR="00A90374" w:rsidRPr="0030545D" w:rsidRDefault="00A90374" w:rsidP="008B3F9C">
            <w:pPr>
              <w:pStyle w:val="TableText"/>
              <w:keepNext w:val="0"/>
              <w:widowControl w:val="0"/>
              <w:rPr>
                <w:lang w:eastAsia="en-US"/>
              </w:rPr>
            </w:pPr>
            <w:r w:rsidRPr="0030545D">
              <w:rPr>
                <w:lang w:eastAsia="en-US"/>
              </w:rPr>
              <w:t>Scripts per year for 12mg tablets</w:t>
            </w:r>
          </w:p>
        </w:tc>
        <w:tc>
          <w:tcPr>
            <w:tcW w:w="1134" w:type="dxa"/>
            <w:shd w:val="clear" w:color="auto" w:fill="auto"/>
            <w:vAlign w:val="center"/>
          </w:tcPr>
          <w:p w14:paraId="6EF1CF22"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4DA44137"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3166AA2E"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4A9B8053"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276" w:type="dxa"/>
            <w:shd w:val="clear" w:color="auto" w:fill="auto"/>
            <w:vAlign w:val="center"/>
          </w:tcPr>
          <w:p w14:paraId="4A96D348"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c>
          <w:tcPr>
            <w:tcW w:w="1134" w:type="dxa"/>
            <w:shd w:val="clear" w:color="auto" w:fill="auto"/>
            <w:vAlign w:val="center"/>
          </w:tcPr>
          <w:p w14:paraId="173456E9" w14:textId="77777777" w:rsidR="00A90374" w:rsidRPr="00916E6D" w:rsidRDefault="00916E6D" w:rsidP="008B3F9C">
            <w:pPr>
              <w:pStyle w:val="TableText"/>
              <w:keepNext w:val="0"/>
              <w:widowControl w:val="0"/>
              <w:jc w:val="center"/>
              <w:rPr>
                <w:lang w:eastAsia="en-US"/>
              </w:rPr>
            </w:pPr>
            <w:r>
              <w:rPr>
                <w:noProof/>
                <w:color w:val="000000"/>
                <w:highlight w:val="black"/>
                <w:lang w:eastAsia="en-US"/>
              </w:rPr>
              <w:t>''''''''''''''''''''</w:t>
            </w:r>
            <w:r w:rsidR="001D072C" w:rsidRPr="001D072C">
              <w:rPr>
                <w:vertAlign w:val="superscript"/>
                <w:lang w:eastAsia="en-US"/>
              </w:rPr>
              <w:t>1</w:t>
            </w:r>
          </w:p>
        </w:tc>
      </w:tr>
      <w:tr w:rsidR="00A90374" w:rsidRPr="0030545D" w14:paraId="3A472771" w14:textId="77777777" w:rsidTr="00916E6D">
        <w:tc>
          <w:tcPr>
            <w:tcW w:w="2263" w:type="dxa"/>
            <w:shd w:val="clear" w:color="auto" w:fill="auto"/>
            <w:vAlign w:val="center"/>
          </w:tcPr>
          <w:p w14:paraId="163E76B5" w14:textId="77777777" w:rsidR="00A90374" w:rsidRPr="0030545D" w:rsidRDefault="00A90374" w:rsidP="008B3F9C">
            <w:pPr>
              <w:pStyle w:val="TableText"/>
              <w:keepNext w:val="0"/>
              <w:widowControl w:val="0"/>
              <w:rPr>
                <w:lang w:eastAsia="en-US"/>
              </w:rPr>
            </w:pPr>
            <w:r w:rsidRPr="0030545D">
              <w:rPr>
                <w:lang w:eastAsia="en-US"/>
              </w:rPr>
              <w:t>Cost of 12 mg dose strength</w:t>
            </w:r>
          </w:p>
          <w:p w14:paraId="755CBAD1" w14:textId="77777777" w:rsidR="00A90374" w:rsidRPr="0030545D" w:rsidRDefault="00A90374" w:rsidP="008B3F9C">
            <w:pPr>
              <w:pStyle w:val="TableText"/>
              <w:keepNext w:val="0"/>
              <w:widowControl w:val="0"/>
              <w:rPr>
                <w:lang w:eastAsia="en-US"/>
              </w:rPr>
            </w:pPr>
            <w:r w:rsidRPr="0030545D">
              <w:rPr>
                <w:lang w:eastAsia="en-US"/>
              </w:rPr>
              <w:t>(effective DPMQ less co-pay)</w:t>
            </w:r>
          </w:p>
        </w:tc>
        <w:tc>
          <w:tcPr>
            <w:tcW w:w="1134" w:type="dxa"/>
            <w:shd w:val="clear" w:color="auto" w:fill="auto"/>
            <w:vAlign w:val="center"/>
          </w:tcPr>
          <w:p w14:paraId="0177E58E"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6FAE355A"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0941A374"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4</w:t>
            </w:r>
          </w:p>
        </w:tc>
        <w:tc>
          <w:tcPr>
            <w:tcW w:w="1134" w:type="dxa"/>
            <w:shd w:val="clear" w:color="auto" w:fill="auto"/>
            <w:vAlign w:val="center"/>
          </w:tcPr>
          <w:p w14:paraId="36284B6B"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4</w:t>
            </w:r>
          </w:p>
        </w:tc>
        <w:tc>
          <w:tcPr>
            <w:tcW w:w="1276" w:type="dxa"/>
            <w:shd w:val="clear" w:color="auto" w:fill="auto"/>
            <w:vAlign w:val="center"/>
          </w:tcPr>
          <w:p w14:paraId="42E21D24"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4</w:t>
            </w:r>
          </w:p>
        </w:tc>
        <w:tc>
          <w:tcPr>
            <w:tcW w:w="1134" w:type="dxa"/>
            <w:shd w:val="clear" w:color="auto" w:fill="auto"/>
            <w:vAlign w:val="center"/>
          </w:tcPr>
          <w:p w14:paraId="7784BCAD"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4</w:t>
            </w:r>
          </w:p>
        </w:tc>
      </w:tr>
      <w:tr w:rsidR="00A90374" w:rsidRPr="0030545D" w14:paraId="3836AB1C" w14:textId="77777777" w:rsidTr="00916E6D">
        <w:tc>
          <w:tcPr>
            <w:tcW w:w="2263" w:type="dxa"/>
            <w:shd w:val="clear" w:color="auto" w:fill="auto"/>
            <w:vAlign w:val="center"/>
          </w:tcPr>
          <w:p w14:paraId="56C0F7C9" w14:textId="77777777" w:rsidR="00A90374" w:rsidRPr="0030545D" w:rsidRDefault="00A90374" w:rsidP="008B3F9C">
            <w:pPr>
              <w:pStyle w:val="TableText"/>
              <w:keepNext w:val="0"/>
              <w:widowControl w:val="0"/>
              <w:rPr>
                <w:b/>
                <w:bCs w:val="0"/>
                <w:lang w:eastAsia="en-US"/>
              </w:rPr>
            </w:pPr>
            <w:r w:rsidRPr="0030545D">
              <w:rPr>
                <w:b/>
                <w:bCs w:val="0"/>
                <w:lang w:eastAsia="en-US"/>
              </w:rPr>
              <w:t>Net cost to the PBS/RPBS</w:t>
            </w:r>
          </w:p>
        </w:tc>
        <w:tc>
          <w:tcPr>
            <w:tcW w:w="1134" w:type="dxa"/>
            <w:shd w:val="clear" w:color="auto" w:fill="auto"/>
            <w:vAlign w:val="center"/>
          </w:tcPr>
          <w:p w14:paraId="43EEBCC6" w14:textId="77777777" w:rsidR="00A90374" w:rsidRPr="0030545D" w:rsidRDefault="00A90374" w:rsidP="008B3F9C">
            <w:pPr>
              <w:pStyle w:val="TableText"/>
              <w:keepNext w:val="0"/>
              <w:widowControl w:val="0"/>
              <w:jc w:val="center"/>
              <w:rPr>
                <w:b/>
                <w:bCs w:val="0"/>
                <w:lang w:eastAsia="en-US"/>
              </w:rPr>
            </w:pPr>
            <w:r w:rsidRPr="0030545D">
              <w:rPr>
                <w:b/>
                <w:bCs w:val="0"/>
                <w:lang w:eastAsia="en-US"/>
              </w:rPr>
              <w:t>$</w:t>
            </w:r>
            <w:r w:rsidR="00916E6D">
              <w:rPr>
                <w:b/>
                <w:bCs w:val="0"/>
                <w:noProof/>
                <w:color w:val="000000"/>
                <w:highlight w:val="black"/>
                <w:lang w:eastAsia="en-US"/>
              </w:rPr>
              <w:t>''''''''''''''''''''</w:t>
            </w:r>
            <w:r w:rsidR="00903267">
              <w:rPr>
                <w:vertAlign w:val="superscript"/>
                <w:lang w:eastAsia="en-US"/>
              </w:rPr>
              <w:t>3</w:t>
            </w:r>
          </w:p>
        </w:tc>
        <w:tc>
          <w:tcPr>
            <w:tcW w:w="1134" w:type="dxa"/>
            <w:shd w:val="clear" w:color="auto" w:fill="auto"/>
            <w:vAlign w:val="center"/>
          </w:tcPr>
          <w:p w14:paraId="38CCE134" w14:textId="77777777" w:rsidR="00A90374" w:rsidRPr="0030545D" w:rsidRDefault="00A90374" w:rsidP="008B3F9C">
            <w:pPr>
              <w:pStyle w:val="TableText"/>
              <w:keepNext w:val="0"/>
              <w:widowControl w:val="0"/>
              <w:jc w:val="center"/>
              <w:rPr>
                <w:b/>
                <w:bCs w:val="0"/>
                <w:lang w:eastAsia="en-US"/>
              </w:rPr>
            </w:pPr>
            <w:r w:rsidRPr="0030545D">
              <w:rPr>
                <w:b/>
                <w:bCs w:val="0"/>
                <w:lang w:eastAsia="en-US"/>
              </w:rPr>
              <w:t>$</w:t>
            </w:r>
            <w:r w:rsidR="00916E6D">
              <w:rPr>
                <w:b/>
                <w:bCs w:val="0"/>
                <w:noProof/>
                <w:color w:val="000000"/>
                <w:highlight w:val="black"/>
                <w:lang w:eastAsia="en-US"/>
              </w:rPr>
              <w:t>'''''''''''''''''''''</w:t>
            </w:r>
            <w:r w:rsidR="00903267">
              <w:rPr>
                <w:vertAlign w:val="superscript"/>
                <w:lang w:eastAsia="en-US"/>
              </w:rPr>
              <w:t>4</w:t>
            </w:r>
          </w:p>
        </w:tc>
        <w:tc>
          <w:tcPr>
            <w:tcW w:w="1134" w:type="dxa"/>
            <w:shd w:val="clear" w:color="auto" w:fill="auto"/>
            <w:vAlign w:val="center"/>
          </w:tcPr>
          <w:p w14:paraId="26E86999" w14:textId="77777777" w:rsidR="00A90374" w:rsidRPr="0030545D" w:rsidRDefault="00A90374" w:rsidP="008B3F9C">
            <w:pPr>
              <w:pStyle w:val="TableText"/>
              <w:keepNext w:val="0"/>
              <w:widowControl w:val="0"/>
              <w:jc w:val="center"/>
              <w:rPr>
                <w:b/>
                <w:bCs w:val="0"/>
                <w:lang w:eastAsia="en-US"/>
              </w:rPr>
            </w:pPr>
            <w:r w:rsidRPr="0030545D">
              <w:rPr>
                <w:b/>
                <w:bCs w:val="0"/>
                <w:lang w:eastAsia="en-US"/>
              </w:rPr>
              <w:t>$</w:t>
            </w:r>
            <w:r w:rsidR="00916E6D">
              <w:rPr>
                <w:b/>
                <w:bCs w:val="0"/>
                <w:noProof/>
                <w:color w:val="000000"/>
                <w:highlight w:val="black"/>
                <w:lang w:eastAsia="en-US"/>
              </w:rPr>
              <w:t>''''''''''''''''''''</w:t>
            </w:r>
            <w:r w:rsidR="00903267">
              <w:rPr>
                <w:vertAlign w:val="superscript"/>
                <w:lang w:eastAsia="en-US"/>
              </w:rPr>
              <w:t>4</w:t>
            </w:r>
          </w:p>
        </w:tc>
        <w:tc>
          <w:tcPr>
            <w:tcW w:w="1134" w:type="dxa"/>
            <w:shd w:val="clear" w:color="auto" w:fill="auto"/>
            <w:vAlign w:val="center"/>
          </w:tcPr>
          <w:p w14:paraId="3D27E707" w14:textId="77777777" w:rsidR="00A90374" w:rsidRPr="0030545D" w:rsidRDefault="00A90374" w:rsidP="008B3F9C">
            <w:pPr>
              <w:pStyle w:val="TableText"/>
              <w:keepNext w:val="0"/>
              <w:widowControl w:val="0"/>
              <w:jc w:val="center"/>
              <w:rPr>
                <w:b/>
                <w:bCs w:val="0"/>
                <w:lang w:eastAsia="en-US"/>
              </w:rPr>
            </w:pPr>
            <w:r w:rsidRPr="0030545D">
              <w:rPr>
                <w:b/>
                <w:bCs w:val="0"/>
                <w:lang w:eastAsia="en-US"/>
              </w:rPr>
              <w:t>$</w:t>
            </w:r>
            <w:r w:rsidR="00916E6D">
              <w:rPr>
                <w:b/>
                <w:bCs w:val="0"/>
                <w:noProof/>
                <w:color w:val="000000"/>
                <w:highlight w:val="black"/>
                <w:lang w:eastAsia="en-US"/>
              </w:rPr>
              <w:t>''''''''''''''''''''''</w:t>
            </w:r>
            <w:r w:rsidR="00903267">
              <w:rPr>
                <w:vertAlign w:val="superscript"/>
                <w:lang w:eastAsia="en-US"/>
              </w:rPr>
              <w:t>4</w:t>
            </w:r>
          </w:p>
        </w:tc>
        <w:tc>
          <w:tcPr>
            <w:tcW w:w="1276" w:type="dxa"/>
            <w:shd w:val="clear" w:color="auto" w:fill="auto"/>
            <w:vAlign w:val="center"/>
          </w:tcPr>
          <w:p w14:paraId="3ED6C638" w14:textId="77777777" w:rsidR="00A90374" w:rsidRPr="0030545D" w:rsidRDefault="00A90374" w:rsidP="008B3F9C">
            <w:pPr>
              <w:pStyle w:val="TableText"/>
              <w:keepNext w:val="0"/>
              <w:widowControl w:val="0"/>
              <w:jc w:val="center"/>
              <w:rPr>
                <w:b/>
                <w:bCs w:val="0"/>
                <w:lang w:eastAsia="en-US"/>
              </w:rPr>
            </w:pPr>
            <w:r w:rsidRPr="0030545D">
              <w:rPr>
                <w:b/>
                <w:bCs w:val="0"/>
                <w:lang w:eastAsia="en-US"/>
              </w:rPr>
              <w:t>$</w:t>
            </w:r>
            <w:r w:rsidR="00916E6D">
              <w:rPr>
                <w:b/>
                <w:bCs w:val="0"/>
                <w:noProof/>
                <w:color w:val="000000"/>
                <w:highlight w:val="black"/>
                <w:lang w:eastAsia="en-US"/>
              </w:rPr>
              <w:t>''''''''''''''''''''''''</w:t>
            </w:r>
            <w:r w:rsidR="00903267">
              <w:rPr>
                <w:vertAlign w:val="superscript"/>
                <w:lang w:eastAsia="en-US"/>
              </w:rPr>
              <w:t>4</w:t>
            </w:r>
          </w:p>
        </w:tc>
        <w:tc>
          <w:tcPr>
            <w:tcW w:w="1134" w:type="dxa"/>
            <w:shd w:val="clear" w:color="auto" w:fill="auto"/>
            <w:vAlign w:val="center"/>
          </w:tcPr>
          <w:p w14:paraId="507F218B" w14:textId="77777777" w:rsidR="00A90374" w:rsidRPr="0030545D" w:rsidRDefault="00A90374" w:rsidP="008B3F9C">
            <w:pPr>
              <w:pStyle w:val="TableText"/>
              <w:keepNext w:val="0"/>
              <w:widowControl w:val="0"/>
              <w:jc w:val="center"/>
              <w:rPr>
                <w:b/>
                <w:bCs w:val="0"/>
                <w:lang w:eastAsia="en-US"/>
              </w:rPr>
            </w:pPr>
            <w:r w:rsidRPr="0030545D">
              <w:rPr>
                <w:b/>
                <w:bCs w:val="0"/>
                <w:lang w:eastAsia="en-US"/>
              </w:rPr>
              <w:t>$</w:t>
            </w:r>
            <w:r w:rsidR="00916E6D">
              <w:rPr>
                <w:b/>
                <w:bCs w:val="0"/>
                <w:noProof/>
                <w:color w:val="000000"/>
                <w:highlight w:val="black"/>
                <w:lang w:eastAsia="en-US"/>
              </w:rPr>
              <w:t>''''''''''''''''''''</w:t>
            </w:r>
            <w:r w:rsidR="00903267">
              <w:rPr>
                <w:vertAlign w:val="superscript"/>
                <w:lang w:eastAsia="en-US"/>
              </w:rPr>
              <w:t>4</w:t>
            </w:r>
          </w:p>
        </w:tc>
      </w:tr>
      <w:tr w:rsidR="00A90374" w:rsidRPr="0030545D" w14:paraId="0D9653BB" w14:textId="77777777" w:rsidTr="00916E6D">
        <w:tc>
          <w:tcPr>
            <w:tcW w:w="9209" w:type="dxa"/>
            <w:gridSpan w:val="7"/>
            <w:shd w:val="clear" w:color="auto" w:fill="auto"/>
            <w:vAlign w:val="center"/>
          </w:tcPr>
          <w:p w14:paraId="244F344E" w14:textId="77777777" w:rsidR="00A90374" w:rsidRPr="0030545D" w:rsidRDefault="00A90374" w:rsidP="008B3F9C">
            <w:pPr>
              <w:pStyle w:val="TableText"/>
              <w:keepNext w:val="0"/>
              <w:widowControl w:val="0"/>
              <w:rPr>
                <w:b/>
                <w:bCs w:val="0"/>
                <w:lang w:eastAsia="en-US"/>
              </w:rPr>
            </w:pPr>
            <w:r w:rsidRPr="0030545D">
              <w:rPr>
                <w:b/>
                <w:bCs w:val="0"/>
                <w:lang w:eastAsia="en-US"/>
              </w:rPr>
              <w:t>Other budget impacts</w:t>
            </w:r>
          </w:p>
        </w:tc>
      </w:tr>
      <w:tr w:rsidR="00A90374" w:rsidRPr="0030545D" w14:paraId="15C0C880" w14:textId="77777777" w:rsidTr="00916E6D">
        <w:tc>
          <w:tcPr>
            <w:tcW w:w="2263" w:type="dxa"/>
            <w:shd w:val="clear" w:color="auto" w:fill="auto"/>
            <w:vAlign w:val="center"/>
          </w:tcPr>
          <w:p w14:paraId="5B16D3AC" w14:textId="77777777" w:rsidR="00A90374" w:rsidRPr="0030545D" w:rsidRDefault="00A90374" w:rsidP="008B3F9C">
            <w:pPr>
              <w:pStyle w:val="TableText"/>
              <w:keepNext w:val="0"/>
              <w:widowControl w:val="0"/>
              <w:rPr>
                <w:lang w:eastAsia="en-US"/>
              </w:rPr>
            </w:pPr>
            <w:r w:rsidRPr="0030545D">
              <w:rPr>
                <w:lang w:eastAsia="en-US"/>
              </w:rPr>
              <w:t>Reduction in ED/ hospitalisation visits</w:t>
            </w:r>
          </w:p>
        </w:tc>
        <w:tc>
          <w:tcPr>
            <w:tcW w:w="1134" w:type="dxa"/>
            <w:shd w:val="clear" w:color="auto" w:fill="auto"/>
            <w:vAlign w:val="center"/>
          </w:tcPr>
          <w:p w14:paraId="15C343CE"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7F0CF2E6"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2ECF632F"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651CBED7"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2</w:t>
            </w:r>
          </w:p>
        </w:tc>
        <w:tc>
          <w:tcPr>
            <w:tcW w:w="1276" w:type="dxa"/>
            <w:shd w:val="clear" w:color="auto" w:fill="auto"/>
            <w:vAlign w:val="center"/>
          </w:tcPr>
          <w:p w14:paraId="1AD223DC"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2</w:t>
            </w:r>
          </w:p>
        </w:tc>
        <w:tc>
          <w:tcPr>
            <w:tcW w:w="1134" w:type="dxa"/>
            <w:shd w:val="clear" w:color="auto" w:fill="auto"/>
            <w:vAlign w:val="center"/>
          </w:tcPr>
          <w:p w14:paraId="0AB67C07"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1D072C">
              <w:rPr>
                <w:vertAlign w:val="superscript"/>
                <w:lang w:eastAsia="en-US"/>
              </w:rPr>
              <w:t>2</w:t>
            </w:r>
          </w:p>
        </w:tc>
      </w:tr>
      <w:tr w:rsidR="00A90374" w:rsidRPr="0030545D" w14:paraId="160160C7" w14:textId="77777777" w:rsidTr="00916E6D">
        <w:tc>
          <w:tcPr>
            <w:tcW w:w="2263" w:type="dxa"/>
            <w:shd w:val="clear" w:color="auto" w:fill="auto"/>
            <w:vAlign w:val="center"/>
          </w:tcPr>
          <w:p w14:paraId="1FD89392" w14:textId="77777777" w:rsidR="00A90374" w:rsidRPr="0030545D" w:rsidRDefault="00A90374" w:rsidP="008B3F9C">
            <w:pPr>
              <w:pStyle w:val="TableText"/>
              <w:keepNext w:val="0"/>
              <w:widowControl w:val="0"/>
              <w:rPr>
                <w:lang w:eastAsia="en-US"/>
              </w:rPr>
            </w:pPr>
            <w:r w:rsidRPr="0030545D">
              <w:rPr>
                <w:lang w:eastAsia="en-US"/>
              </w:rPr>
              <w:t>Cost savings of ED/</w:t>
            </w:r>
          </w:p>
          <w:p w14:paraId="52A1FCF0" w14:textId="77777777" w:rsidR="00A90374" w:rsidRPr="0030545D" w:rsidRDefault="00A90374" w:rsidP="008B3F9C">
            <w:pPr>
              <w:pStyle w:val="TableText"/>
              <w:keepNext w:val="0"/>
              <w:widowControl w:val="0"/>
              <w:rPr>
                <w:lang w:eastAsia="en-US"/>
              </w:rPr>
            </w:pPr>
            <w:r w:rsidRPr="0030545D">
              <w:rPr>
                <w:lang w:eastAsia="en-US"/>
              </w:rPr>
              <w:t>hospitalisation visits</w:t>
            </w:r>
          </w:p>
        </w:tc>
        <w:tc>
          <w:tcPr>
            <w:tcW w:w="1134" w:type="dxa"/>
            <w:shd w:val="clear" w:color="auto" w:fill="auto"/>
            <w:vAlign w:val="center"/>
          </w:tcPr>
          <w:p w14:paraId="2B71662B"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38695770"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3C4C3908"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5334BD79"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276" w:type="dxa"/>
            <w:shd w:val="clear" w:color="auto" w:fill="auto"/>
            <w:vAlign w:val="center"/>
          </w:tcPr>
          <w:p w14:paraId="2955B56F"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c>
          <w:tcPr>
            <w:tcW w:w="1134" w:type="dxa"/>
            <w:shd w:val="clear" w:color="auto" w:fill="auto"/>
            <w:vAlign w:val="center"/>
          </w:tcPr>
          <w:p w14:paraId="581E1B12" w14:textId="77777777" w:rsidR="00A90374" w:rsidRPr="0030545D" w:rsidRDefault="00A90374" w:rsidP="008B3F9C">
            <w:pPr>
              <w:pStyle w:val="TableText"/>
              <w:keepNext w:val="0"/>
              <w:widowControl w:val="0"/>
              <w:jc w:val="center"/>
              <w:rPr>
                <w:lang w:eastAsia="en-US"/>
              </w:rPr>
            </w:pPr>
            <w:r w:rsidRPr="0030545D">
              <w:rPr>
                <w:lang w:eastAsia="en-US"/>
              </w:rPr>
              <w:t>-$</w:t>
            </w:r>
            <w:r w:rsidR="00916E6D">
              <w:rPr>
                <w:noProof/>
                <w:color w:val="000000"/>
                <w:highlight w:val="black"/>
                <w:lang w:eastAsia="en-US"/>
              </w:rPr>
              <w:t>''''''''''''''''''''''</w:t>
            </w:r>
            <w:r w:rsidR="00903267">
              <w:rPr>
                <w:vertAlign w:val="superscript"/>
                <w:lang w:eastAsia="en-US"/>
              </w:rPr>
              <w:t>3</w:t>
            </w:r>
          </w:p>
        </w:tc>
      </w:tr>
    </w:tbl>
    <w:p w14:paraId="4DEA6099" w14:textId="77777777" w:rsidR="00A90374" w:rsidRPr="0030545D" w:rsidRDefault="00A90374" w:rsidP="00A90374">
      <w:pPr>
        <w:pStyle w:val="TableFooter"/>
      </w:pPr>
      <w:r w:rsidRPr="0030545D">
        <w:t>Source: Table 4-4, Table 4-5, Table 4-6, Table 4-8, Table 4-12, Table 4-13, Table 4-14 of the submission</w:t>
      </w:r>
    </w:p>
    <w:p w14:paraId="3388B12A" w14:textId="77777777" w:rsidR="00A90374" w:rsidRDefault="00A90374" w:rsidP="000D14E4">
      <w:pPr>
        <w:pStyle w:val="TableFooter"/>
        <w:spacing w:after="0"/>
        <w:contextualSpacing w:val="0"/>
      </w:pPr>
      <w:r w:rsidRPr="0030545D">
        <w:t>Abbreviations: DPMQ, dispensed price per maximum quantity; ED, emergency department</w:t>
      </w:r>
    </w:p>
    <w:p w14:paraId="1E015B19" w14:textId="77777777" w:rsidR="000D14E4" w:rsidRDefault="000D14E4" w:rsidP="000D14E4">
      <w:pPr>
        <w:pStyle w:val="TableFigureFooter"/>
        <w:spacing w:after="0"/>
        <w:contextualSpacing w:val="0"/>
        <w:rPr>
          <w:i/>
        </w:rPr>
      </w:pPr>
      <w:r w:rsidRPr="009868C4">
        <w:rPr>
          <w:i/>
        </w:rPr>
        <w:t>The redacted values correspond to the following ranges</w:t>
      </w:r>
      <w:r>
        <w:rPr>
          <w:i/>
        </w:rPr>
        <w:t xml:space="preserve">: </w:t>
      </w:r>
    </w:p>
    <w:p w14:paraId="35108275" w14:textId="77777777" w:rsidR="000D14E4" w:rsidRDefault="000D14E4" w:rsidP="000D14E4">
      <w:pPr>
        <w:pStyle w:val="TableFigureFooter"/>
        <w:spacing w:after="0"/>
        <w:contextualSpacing w:val="0"/>
        <w:rPr>
          <w:i/>
        </w:rPr>
      </w:pPr>
      <w:r>
        <w:rPr>
          <w:i/>
          <w:vertAlign w:val="superscript"/>
        </w:rPr>
        <w:t>1</w:t>
      </w:r>
      <w:r>
        <w:rPr>
          <w:i/>
        </w:rPr>
        <w:t xml:space="preserve"> </w:t>
      </w:r>
      <w:r w:rsidRPr="000D14E4">
        <w:rPr>
          <w:i/>
        </w:rPr>
        <w:t>500 to &lt; 5,000</w:t>
      </w:r>
    </w:p>
    <w:p w14:paraId="55699B11" w14:textId="77777777" w:rsidR="001D072C" w:rsidRDefault="001D072C" w:rsidP="000D14E4">
      <w:pPr>
        <w:pStyle w:val="TableFigureFooter"/>
        <w:spacing w:after="0"/>
        <w:contextualSpacing w:val="0"/>
        <w:rPr>
          <w:i/>
        </w:rPr>
      </w:pPr>
      <w:r>
        <w:rPr>
          <w:i/>
          <w:vertAlign w:val="superscript"/>
        </w:rPr>
        <w:t xml:space="preserve">2 </w:t>
      </w:r>
      <w:r>
        <w:rPr>
          <w:i/>
        </w:rPr>
        <w:t>&lt; 500</w:t>
      </w:r>
      <w:r>
        <w:rPr>
          <w:i/>
          <w:vertAlign w:val="superscript"/>
        </w:rPr>
        <w:t>3</w:t>
      </w:r>
      <w:r>
        <w:rPr>
          <w:i/>
        </w:rPr>
        <w:t xml:space="preserve"> </w:t>
      </w:r>
      <w:r w:rsidRPr="001D072C">
        <w:rPr>
          <w:i/>
        </w:rPr>
        <w:t>$0 to &lt; $10 million</w:t>
      </w:r>
    </w:p>
    <w:p w14:paraId="4F6ECFD7" w14:textId="77777777" w:rsidR="00903267" w:rsidRPr="00903267" w:rsidRDefault="00903267" w:rsidP="000D14E4">
      <w:pPr>
        <w:pStyle w:val="TableFigureFooter"/>
        <w:spacing w:after="0"/>
        <w:contextualSpacing w:val="0"/>
      </w:pPr>
      <w:r>
        <w:rPr>
          <w:i/>
          <w:vertAlign w:val="superscript"/>
        </w:rPr>
        <w:t>4</w:t>
      </w:r>
      <w:r>
        <w:rPr>
          <w:i/>
        </w:rPr>
        <w:t xml:space="preserve"> </w:t>
      </w:r>
      <w:r w:rsidRPr="00903267">
        <w:rPr>
          <w:i/>
        </w:rPr>
        <w:t>$10 million to &lt; $20 million</w:t>
      </w:r>
    </w:p>
    <w:p w14:paraId="69283DD3" w14:textId="77777777" w:rsidR="000D14E4" w:rsidRPr="0030545D" w:rsidRDefault="000D14E4" w:rsidP="00C14F95">
      <w:pPr>
        <w:pStyle w:val="TableFooter"/>
        <w:spacing w:after="120"/>
      </w:pPr>
    </w:p>
    <w:p w14:paraId="47D8B5DF" w14:textId="77777777" w:rsidR="00A90374" w:rsidRPr="0030545D" w:rsidRDefault="00A90374" w:rsidP="00CE69B4">
      <w:pPr>
        <w:pStyle w:val="ExecSumBodyText"/>
      </w:pPr>
      <w:r w:rsidRPr="0030545D">
        <w:t>The net cost of listing deutetrabenazine on the PBS/RPBS was estimated to be up to $</w:t>
      </w:r>
      <w:r w:rsidR="00CE69B4" w:rsidRPr="00CE69B4">
        <w:t>10 million to &lt; $20 million</w:t>
      </w:r>
      <w:r w:rsidRPr="0030545D">
        <w:t xml:space="preserve">in the sixth year of listing, with a cumulative total cost of </w:t>
      </w:r>
      <w:r w:rsidR="00CE69B4" w:rsidRPr="00CE69B4">
        <w:t>$80 million to &lt; $90 million</w:t>
      </w:r>
      <w:r w:rsidRPr="0030545D">
        <w:t>over six years.</w:t>
      </w:r>
    </w:p>
    <w:p w14:paraId="5FC60D44" w14:textId="77777777" w:rsidR="00A90374" w:rsidRPr="0030545D" w:rsidRDefault="00A90374" w:rsidP="00A90374">
      <w:pPr>
        <w:pStyle w:val="ExecSumBodyText"/>
        <w:numPr>
          <w:ilvl w:val="1"/>
          <w:numId w:val="1"/>
        </w:numPr>
      </w:pPr>
      <w:r w:rsidRPr="0030545D">
        <w:t>The submission also estimated a cost saving to State/Territory governments over six years due to reduced emergency room visits and hospitalisations.</w:t>
      </w:r>
    </w:p>
    <w:p w14:paraId="4BF7E110" w14:textId="77777777" w:rsidR="00A90374" w:rsidRPr="0030545D" w:rsidRDefault="00A90374" w:rsidP="00A90374">
      <w:pPr>
        <w:pStyle w:val="ExecSumBodyText"/>
        <w:numPr>
          <w:ilvl w:val="1"/>
          <w:numId w:val="1"/>
        </w:numPr>
      </w:pPr>
      <w:r w:rsidRPr="0030545D">
        <w:t>The utilisation/financial estimates for deutetrabenazine are highly uncertain given the unknown size of the eligible population, unsupported uptake predictions, unknown dosing in clinical practice and inadequately justified estimates of emergency room visits and hospitalisations for the management of chorea (see key inputs table above).</w:t>
      </w:r>
    </w:p>
    <w:p w14:paraId="7F820A36" w14:textId="77777777" w:rsidR="00A90374" w:rsidRPr="0030545D" w:rsidRDefault="00A90374" w:rsidP="00A90374">
      <w:pPr>
        <w:pStyle w:val="ExecSumBodyText"/>
        <w:numPr>
          <w:ilvl w:val="1"/>
          <w:numId w:val="1"/>
        </w:numPr>
      </w:pPr>
      <w:r w:rsidRPr="0030545D">
        <w:t xml:space="preserve">Additionally, the submission did not adequately address the potential for leakage into the first-line treatment setting given that the available data support first-line treatment and the proposed criteria are highly subjective with no well accepted definitions of response and intolerance. </w:t>
      </w:r>
    </w:p>
    <w:p w14:paraId="3ACEACEF" w14:textId="77777777" w:rsidR="00BB62AF" w:rsidRPr="0030545D" w:rsidRDefault="00A90374" w:rsidP="00BB62AF">
      <w:pPr>
        <w:pStyle w:val="ExecSumBodyText"/>
        <w:numPr>
          <w:ilvl w:val="1"/>
          <w:numId w:val="1"/>
        </w:numPr>
      </w:pPr>
      <w:r w:rsidRPr="0030545D">
        <w:t>Sensitivity analyses presented in the submission indicated that budget impact estimates were highly sensitive to prevalence estimates, uptake rates and deutetrabenazine doses.</w:t>
      </w:r>
    </w:p>
    <w:p w14:paraId="25CD1548" w14:textId="77777777" w:rsidR="00BB62AF" w:rsidRPr="0030545D" w:rsidRDefault="00BB62AF" w:rsidP="00DB5FAA">
      <w:pPr>
        <w:pStyle w:val="ExecSumBodyText"/>
        <w:numPr>
          <w:ilvl w:val="1"/>
          <w:numId w:val="1"/>
        </w:numPr>
      </w:pPr>
      <w:r w:rsidRPr="0030545D">
        <w:t>DUSC consider</w:t>
      </w:r>
      <w:r w:rsidR="00DB5FAA" w:rsidRPr="0030545D">
        <w:t>ed</w:t>
      </w:r>
      <w:r w:rsidRPr="0030545D">
        <w:t xml:space="preserve"> the estimates presented in the submission to be unreliable due to likely use in first line. The main issues </w:t>
      </w:r>
      <w:r w:rsidR="00DB5FAA" w:rsidRPr="0030545D">
        <w:t>we</w:t>
      </w:r>
      <w:r w:rsidRPr="0030545D">
        <w:t>re:</w:t>
      </w:r>
    </w:p>
    <w:p w14:paraId="47B6376F" w14:textId="77777777" w:rsidR="00BB62AF" w:rsidRPr="0030545D" w:rsidRDefault="00BB62AF" w:rsidP="00BB62AF">
      <w:pPr>
        <w:pStyle w:val="ListParagraph"/>
        <w:widowControl/>
        <w:numPr>
          <w:ilvl w:val="0"/>
          <w:numId w:val="14"/>
        </w:numPr>
        <w:spacing w:after="0"/>
        <w:contextualSpacing/>
      </w:pPr>
      <w:r w:rsidRPr="0030545D">
        <w:t>The utilisation and financial estimates for deutetrabenazine are highly uncertain given the unknown size of the eligible population, unsupported uptake predictions, unknown dosing in clinical practice and inadequately justified estimates of emergency room visits and hospitalisations for the management of chorea.</w:t>
      </w:r>
    </w:p>
    <w:p w14:paraId="347973B8" w14:textId="77777777" w:rsidR="00BB62AF" w:rsidRPr="0030545D" w:rsidRDefault="00BB62AF" w:rsidP="00BB62AF">
      <w:pPr>
        <w:pStyle w:val="ListParagraph"/>
        <w:widowControl/>
        <w:numPr>
          <w:ilvl w:val="0"/>
          <w:numId w:val="14"/>
        </w:numPr>
        <w:spacing w:after="0"/>
        <w:contextualSpacing/>
      </w:pPr>
      <w:r w:rsidRPr="0030545D">
        <w:t>The submission’s placement of deutetrabenazine as second and third line therapy likely will not match its use in practice.</w:t>
      </w:r>
    </w:p>
    <w:p w14:paraId="32591DE1" w14:textId="77777777" w:rsidR="00BB62AF" w:rsidRPr="0030545D" w:rsidRDefault="00BB62AF" w:rsidP="00BB62AF">
      <w:pPr>
        <w:pStyle w:val="ListParagraph"/>
        <w:widowControl/>
        <w:numPr>
          <w:ilvl w:val="0"/>
          <w:numId w:val="14"/>
        </w:numPr>
        <w:spacing w:after="0"/>
        <w:contextualSpacing/>
      </w:pPr>
      <w:r w:rsidRPr="0030545D">
        <w:t>The estimate of prevalence should be applied to the estimated Australian population rather than multiplying the eligible population by 102.5% each year.</w:t>
      </w:r>
    </w:p>
    <w:p w14:paraId="1FDC17E2" w14:textId="77777777" w:rsidR="00BB62AF" w:rsidRPr="0030545D" w:rsidRDefault="00BB62AF" w:rsidP="00BB62AF">
      <w:pPr>
        <w:pStyle w:val="ListParagraph"/>
        <w:widowControl/>
        <w:numPr>
          <w:ilvl w:val="0"/>
          <w:numId w:val="14"/>
        </w:numPr>
        <w:spacing w:after="0"/>
        <w:contextualSpacing/>
      </w:pPr>
      <w:r w:rsidRPr="0030545D">
        <w:t>The proportion of patients with troublesome symptoms requiring treatment was likely overestimated.</w:t>
      </w:r>
    </w:p>
    <w:p w14:paraId="598CF618" w14:textId="77777777" w:rsidR="00BB62AF" w:rsidRPr="00C14F95" w:rsidRDefault="00BB62AF" w:rsidP="00C14F95">
      <w:pPr>
        <w:pStyle w:val="ListParagraph"/>
        <w:widowControl/>
        <w:numPr>
          <w:ilvl w:val="0"/>
          <w:numId w:val="14"/>
        </w:numPr>
        <w:spacing w:after="0"/>
        <w:contextualSpacing/>
      </w:pPr>
      <w:r w:rsidRPr="0030545D">
        <w:t>The estimate of patients that would meet the proposed PBS restrictions or are currently receiving sub-optimal chorea control was problematic and included substantial uncertainty. However, this step should be removed or altered to account for first line therapy.</w:t>
      </w:r>
    </w:p>
    <w:p w14:paraId="0FC9CB04" w14:textId="77777777" w:rsidR="00B57BC8" w:rsidRPr="0030545D" w:rsidRDefault="00576972" w:rsidP="00B57BC8">
      <w:pPr>
        <w:pStyle w:val="3-SubsectionHeading"/>
      </w:pPr>
      <w:r w:rsidRPr="0030545D">
        <w:t>Quality Use of Medicines</w:t>
      </w:r>
      <w:bookmarkEnd w:id="28"/>
      <w:bookmarkEnd w:id="29"/>
    </w:p>
    <w:p w14:paraId="4B7E1931" w14:textId="77777777" w:rsidR="00576972" w:rsidRPr="0030545D" w:rsidRDefault="00B57BC8" w:rsidP="00B57BC8">
      <w:pPr>
        <w:pStyle w:val="ExecSumBodyText"/>
      </w:pPr>
      <w:r w:rsidRPr="0030545D">
        <w:t xml:space="preserve">The submission stated the sponsor’s intent to conduct quality use of medicines activities to support the listing of deutetrabenazine for the treatment of chorea associated with Huntington’s disease. </w:t>
      </w:r>
    </w:p>
    <w:p w14:paraId="3F99443E" w14:textId="77777777" w:rsidR="00576972" w:rsidRPr="0030545D" w:rsidRDefault="00576972" w:rsidP="00606FBA">
      <w:pPr>
        <w:pStyle w:val="3-SubsectionHeading"/>
      </w:pPr>
      <w:bookmarkStart w:id="30" w:name="_Toc22897649"/>
      <w:bookmarkStart w:id="31" w:name="_Toc61941002"/>
      <w:r w:rsidRPr="0030545D">
        <w:t>Financial Management – Risk Sharing Arrangements</w:t>
      </w:r>
      <w:bookmarkEnd w:id="30"/>
      <w:bookmarkEnd w:id="31"/>
    </w:p>
    <w:p w14:paraId="75DBD763" w14:textId="77777777" w:rsidR="007D38E1" w:rsidRPr="0030545D" w:rsidRDefault="00053F3E" w:rsidP="007D38E1">
      <w:pPr>
        <w:pStyle w:val="ExecSumBodyText"/>
      </w:pPr>
      <w:r w:rsidRPr="0030545D">
        <w:t>In its Pre-PBAC Response, the sponsor indicated it was amenable to a Risk Sharing Arrangement.</w:t>
      </w:r>
    </w:p>
    <w:p w14:paraId="0DE2DB24" w14:textId="77777777" w:rsidR="007D38E1" w:rsidRPr="0030545D" w:rsidRDefault="007D38E1" w:rsidP="007D38E1">
      <w:pPr>
        <w:pStyle w:val="ListParagraph"/>
        <w:ind w:left="709"/>
        <w:rPr>
          <w:rFonts w:asciiTheme="minorHAnsi" w:hAnsiTheme="minorHAnsi"/>
          <w:i/>
        </w:rPr>
      </w:pPr>
      <w:r w:rsidRPr="0030545D">
        <w:rPr>
          <w:rFonts w:asciiTheme="minorHAnsi" w:hAnsiTheme="minorHAnsi"/>
          <w:i/>
        </w:rPr>
        <w:t>For more detail on PBAC’s view, see section 7 PBAC outcome.</w:t>
      </w:r>
    </w:p>
    <w:p w14:paraId="52FDB664" w14:textId="77777777" w:rsidR="00BB62AF" w:rsidRPr="0030545D" w:rsidRDefault="00BB62AF" w:rsidP="008B3F9C">
      <w:pPr>
        <w:keepNext/>
        <w:widowControl w:val="0"/>
        <w:numPr>
          <w:ilvl w:val="0"/>
          <w:numId w:val="1"/>
        </w:numPr>
        <w:spacing w:before="240" w:after="120"/>
        <w:outlineLvl w:val="0"/>
        <w:rPr>
          <w:rFonts w:asciiTheme="minorHAnsi" w:hAnsiTheme="minorHAnsi"/>
          <w:b/>
          <w:bCs/>
          <w:snapToGrid w:val="0"/>
          <w:sz w:val="32"/>
        </w:rPr>
      </w:pPr>
      <w:r w:rsidRPr="0030545D">
        <w:rPr>
          <w:rFonts w:asciiTheme="minorHAnsi" w:hAnsiTheme="minorHAnsi"/>
          <w:b/>
          <w:bCs/>
          <w:snapToGrid w:val="0"/>
          <w:sz w:val="32"/>
        </w:rPr>
        <w:t>PBAC Outcome</w:t>
      </w:r>
    </w:p>
    <w:p w14:paraId="6A4AEAA6" w14:textId="77777777" w:rsidR="00BB62AF" w:rsidRPr="0030545D" w:rsidRDefault="008B3F9C" w:rsidP="00BB62AF">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The PBAC did not recommend the listing of deutetrabenazine for the treatment of chorea associated with Huntington’s Disease (HD)</w:t>
      </w:r>
      <w:r w:rsidR="00F5093D" w:rsidRPr="0030545D">
        <w:rPr>
          <w:rFonts w:asciiTheme="minorHAnsi" w:hAnsiTheme="minorHAnsi"/>
          <w:bCs/>
          <w:snapToGrid w:val="0"/>
        </w:rPr>
        <w:t xml:space="preserve"> </w:t>
      </w:r>
      <w:r w:rsidR="00F5093D" w:rsidRPr="0030545D">
        <w:t>in patients who have failed prior tetrabenazine treatment due to intolerance or inadequate response</w:t>
      </w:r>
      <w:r w:rsidRPr="0030545D">
        <w:rPr>
          <w:rFonts w:asciiTheme="minorHAnsi" w:hAnsiTheme="minorHAnsi"/>
          <w:bCs/>
          <w:snapToGrid w:val="0"/>
        </w:rPr>
        <w:t xml:space="preserve">. </w:t>
      </w:r>
      <w:r w:rsidR="0010166C" w:rsidRPr="0030545D">
        <w:rPr>
          <w:rFonts w:asciiTheme="minorHAnsi" w:hAnsiTheme="minorHAnsi"/>
          <w:bCs/>
          <w:snapToGrid w:val="0"/>
        </w:rPr>
        <w:t>T</w:t>
      </w:r>
      <w:r w:rsidRPr="0030545D">
        <w:rPr>
          <w:rFonts w:asciiTheme="minorHAnsi" w:hAnsiTheme="minorHAnsi"/>
          <w:bCs/>
          <w:snapToGrid w:val="0"/>
        </w:rPr>
        <w:t xml:space="preserve">he PBAC considered the proposed clinical place of deutetrabenazine as second </w:t>
      </w:r>
      <w:r w:rsidR="00F5093D" w:rsidRPr="0030545D">
        <w:rPr>
          <w:rFonts w:asciiTheme="minorHAnsi" w:hAnsiTheme="minorHAnsi"/>
          <w:bCs/>
          <w:snapToGrid w:val="0"/>
        </w:rPr>
        <w:t xml:space="preserve">line </w:t>
      </w:r>
      <w:r w:rsidRPr="0030545D">
        <w:rPr>
          <w:rFonts w:asciiTheme="minorHAnsi" w:hAnsiTheme="minorHAnsi"/>
          <w:bCs/>
          <w:snapToGrid w:val="0"/>
        </w:rPr>
        <w:t xml:space="preserve">treatment was inappropriate and </w:t>
      </w:r>
      <w:r w:rsidR="00BC14E3" w:rsidRPr="0030545D">
        <w:rPr>
          <w:rFonts w:asciiTheme="minorHAnsi" w:hAnsiTheme="minorHAnsi"/>
          <w:bCs/>
          <w:snapToGrid w:val="0"/>
        </w:rPr>
        <w:t>considered</w:t>
      </w:r>
      <w:r w:rsidRPr="0030545D">
        <w:rPr>
          <w:rFonts w:asciiTheme="minorHAnsi" w:hAnsiTheme="minorHAnsi"/>
          <w:bCs/>
          <w:snapToGrid w:val="0"/>
        </w:rPr>
        <w:t xml:space="preserve"> that the most appropriate clinical pla</w:t>
      </w:r>
      <w:r w:rsidR="006A6BF7" w:rsidRPr="0030545D">
        <w:rPr>
          <w:rFonts w:asciiTheme="minorHAnsi" w:hAnsiTheme="minorHAnsi"/>
          <w:bCs/>
          <w:snapToGrid w:val="0"/>
        </w:rPr>
        <w:t>ce for deutetrabenazine was first-</w:t>
      </w:r>
      <w:r w:rsidRPr="0030545D">
        <w:rPr>
          <w:rFonts w:asciiTheme="minorHAnsi" w:hAnsiTheme="minorHAnsi"/>
          <w:bCs/>
          <w:snapToGrid w:val="0"/>
        </w:rPr>
        <w:t xml:space="preserve">line treatment </w:t>
      </w:r>
      <w:r w:rsidR="00A557C5" w:rsidRPr="0030545D">
        <w:rPr>
          <w:rFonts w:asciiTheme="minorHAnsi" w:hAnsiTheme="minorHAnsi"/>
          <w:bCs/>
          <w:snapToGrid w:val="0"/>
        </w:rPr>
        <w:t xml:space="preserve">as an alternative to tetrabenazine </w:t>
      </w:r>
      <w:r w:rsidRPr="0030545D">
        <w:rPr>
          <w:rFonts w:asciiTheme="minorHAnsi" w:hAnsiTheme="minorHAnsi"/>
          <w:bCs/>
          <w:snapToGrid w:val="0"/>
        </w:rPr>
        <w:t>(irrespective of prior or co-therapy with an antipsychotic). The PBAC further noted the evidenc</w:t>
      </w:r>
      <w:r w:rsidR="006A6BF7" w:rsidRPr="0030545D">
        <w:rPr>
          <w:rFonts w:asciiTheme="minorHAnsi" w:hAnsiTheme="minorHAnsi"/>
          <w:bCs/>
          <w:snapToGrid w:val="0"/>
        </w:rPr>
        <w:t>e base was primarily as a first-</w:t>
      </w:r>
      <w:r w:rsidRPr="0030545D">
        <w:rPr>
          <w:rFonts w:asciiTheme="minorHAnsi" w:hAnsiTheme="minorHAnsi"/>
          <w:bCs/>
          <w:snapToGrid w:val="0"/>
        </w:rPr>
        <w:t xml:space="preserve">line treatment option and there was </w:t>
      </w:r>
      <w:r w:rsidR="00971097" w:rsidRPr="0030545D">
        <w:rPr>
          <w:rFonts w:asciiTheme="minorHAnsi" w:hAnsiTheme="minorHAnsi"/>
          <w:bCs/>
          <w:snapToGrid w:val="0"/>
        </w:rPr>
        <w:t xml:space="preserve">no </w:t>
      </w:r>
      <w:r w:rsidRPr="0030545D">
        <w:rPr>
          <w:rFonts w:asciiTheme="minorHAnsi" w:hAnsiTheme="minorHAnsi"/>
          <w:bCs/>
          <w:snapToGrid w:val="0"/>
        </w:rPr>
        <w:t>evidence provided to support use in the requested place in therapy.</w:t>
      </w:r>
      <w:r w:rsidR="00F9612F" w:rsidRPr="0030545D">
        <w:rPr>
          <w:rFonts w:asciiTheme="minorHAnsi" w:hAnsiTheme="minorHAnsi"/>
          <w:bCs/>
          <w:snapToGrid w:val="0"/>
        </w:rPr>
        <w:t xml:space="preserve"> </w:t>
      </w:r>
      <w:r w:rsidR="00F5093D" w:rsidRPr="0030545D">
        <w:rPr>
          <w:rFonts w:asciiTheme="minorHAnsi" w:hAnsiTheme="minorHAnsi"/>
          <w:bCs/>
          <w:snapToGrid w:val="0"/>
        </w:rPr>
        <w:t>The PBAC also considered the economic model constructed for the proposed place in therapy was unreliable for decision-making.</w:t>
      </w:r>
    </w:p>
    <w:p w14:paraId="5718D7B7" w14:textId="77777777" w:rsidR="009C6520" w:rsidRPr="0030545D" w:rsidRDefault="009C6520" w:rsidP="003E52C8">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The PBAC acknowledged the devastating impact HD has on patients and their families and considered there was a high clinical need for new therapies to assist patients with the wide range of debilitating physical and mental impacts of this disease and improve quality of life. The Committee considered that whilst deutetrabenazine likely represents an effective treatment option for the treatment of chorea symptoms in people with HD</w:t>
      </w:r>
      <w:r w:rsidR="006A6BF7" w:rsidRPr="0030545D">
        <w:rPr>
          <w:rFonts w:asciiTheme="minorHAnsi" w:hAnsiTheme="minorHAnsi"/>
          <w:bCs/>
          <w:snapToGrid w:val="0"/>
        </w:rPr>
        <w:t>,</w:t>
      </w:r>
      <w:r w:rsidRPr="0030545D">
        <w:rPr>
          <w:rFonts w:asciiTheme="minorHAnsi" w:hAnsiTheme="minorHAnsi"/>
          <w:bCs/>
          <w:snapToGrid w:val="0"/>
        </w:rPr>
        <w:t xml:space="preserve"> the most appropriate approach for considering its comparative efficacy, safety and cost-effectiveness was to compare it to tetrabenazine, its non-deuterated analogue. </w:t>
      </w:r>
    </w:p>
    <w:p w14:paraId="6F187985" w14:textId="77777777" w:rsidR="003E52C8" w:rsidRPr="0030545D" w:rsidRDefault="003E52C8" w:rsidP="003E52C8">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 xml:space="preserve">The PBAC did not accept the arguments in the submission that the placement of deutetrabenazine as a subsequent line </w:t>
      </w:r>
      <w:r w:rsidR="00F5093D" w:rsidRPr="0030545D">
        <w:rPr>
          <w:rFonts w:asciiTheme="minorHAnsi" w:hAnsiTheme="minorHAnsi"/>
          <w:bCs/>
          <w:snapToGrid w:val="0"/>
        </w:rPr>
        <w:t xml:space="preserve">of </w:t>
      </w:r>
      <w:r w:rsidRPr="0030545D">
        <w:rPr>
          <w:rFonts w:asciiTheme="minorHAnsi" w:hAnsiTheme="minorHAnsi"/>
          <w:bCs/>
          <w:snapToGrid w:val="0"/>
        </w:rPr>
        <w:t xml:space="preserve">therapy following failure, intolerance or inability to titrate to an effective dose of tetrabenazine was appropriate and noted the sponsor acknowledged the requested placement was primarily for commercial reasons so as to not be compared to tetrabenazine. </w:t>
      </w:r>
      <w:r w:rsidR="006831E4" w:rsidRPr="0030545D">
        <w:rPr>
          <w:rFonts w:asciiTheme="minorHAnsi" w:hAnsiTheme="minorHAnsi"/>
          <w:bCs/>
          <w:snapToGrid w:val="0"/>
        </w:rPr>
        <w:t xml:space="preserve">While acknowledging it can be challenging for sponsors to be expected to price a new drug based on a comparison to old drugs for commercial reasons, the </w:t>
      </w:r>
      <w:r w:rsidRPr="0030545D">
        <w:rPr>
          <w:rFonts w:asciiTheme="minorHAnsi" w:hAnsiTheme="minorHAnsi"/>
          <w:bCs/>
          <w:snapToGrid w:val="0"/>
        </w:rPr>
        <w:t xml:space="preserve">PBAC considered that the submission should be considered on its merits and a commercial imperative was not a valid reason to consider deutetrabenazine differently to other applications. </w:t>
      </w:r>
      <w:r w:rsidR="009C3940" w:rsidRPr="0030545D">
        <w:rPr>
          <w:rFonts w:asciiTheme="minorHAnsi" w:hAnsiTheme="minorHAnsi"/>
          <w:bCs/>
          <w:snapToGrid w:val="0"/>
        </w:rPr>
        <w:t>The PBAC noted the pre-PBAC response proposed revisions to the restriction and an RSA</w:t>
      </w:r>
      <w:r w:rsidR="008701A3" w:rsidRPr="0030545D">
        <w:rPr>
          <w:rFonts w:asciiTheme="minorHAnsi" w:hAnsiTheme="minorHAnsi"/>
          <w:bCs/>
          <w:snapToGrid w:val="0"/>
        </w:rPr>
        <w:t xml:space="preserve"> to support the positioning as </w:t>
      </w:r>
      <w:r w:rsidR="006A6BF7" w:rsidRPr="0030545D">
        <w:rPr>
          <w:rFonts w:asciiTheme="minorHAnsi" w:hAnsiTheme="minorHAnsi"/>
          <w:bCs/>
          <w:snapToGrid w:val="0"/>
        </w:rPr>
        <w:t>subsequent-line</w:t>
      </w:r>
      <w:r w:rsidR="008701A3" w:rsidRPr="0030545D">
        <w:rPr>
          <w:rFonts w:asciiTheme="minorHAnsi" w:hAnsiTheme="minorHAnsi"/>
          <w:bCs/>
          <w:snapToGrid w:val="0"/>
        </w:rPr>
        <w:t xml:space="preserve"> to tetrabenazine</w:t>
      </w:r>
      <w:r w:rsidR="009C3940" w:rsidRPr="0030545D">
        <w:rPr>
          <w:rFonts w:asciiTheme="minorHAnsi" w:hAnsiTheme="minorHAnsi"/>
          <w:bCs/>
          <w:snapToGrid w:val="0"/>
        </w:rPr>
        <w:t xml:space="preserve">, however it was not considered these adjustments were </w:t>
      </w:r>
      <w:r w:rsidR="005408CB" w:rsidRPr="0030545D">
        <w:rPr>
          <w:rFonts w:asciiTheme="minorHAnsi" w:hAnsiTheme="minorHAnsi"/>
          <w:bCs/>
          <w:snapToGrid w:val="0"/>
        </w:rPr>
        <w:t xml:space="preserve">a </w:t>
      </w:r>
      <w:r w:rsidR="009C3940" w:rsidRPr="0030545D">
        <w:rPr>
          <w:rFonts w:asciiTheme="minorHAnsi" w:hAnsiTheme="minorHAnsi"/>
          <w:bCs/>
          <w:snapToGrid w:val="0"/>
        </w:rPr>
        <w:t xml:space="preserve">reasonable way forward. </w:t>
      </w:r>
    </w:p>
    <w:p w14:paraId="18FACEB1" w14:textId="77777777" w:rsidR="003E52C8" w:rsidRPr="0030545D" w:rsidRDefault="003E52C8" w:rsidP="00980891">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 xml:space="preserve">The PBAC considered the requested restriction </w:t>
      </w:r>
      <w:r w:rsidR="00971097" w:rsidRPr="0030545D">
        <w:rPr>
          <w:rFonts w:asciiTheme="minorHAnsi" w:hAnsiTheme="minorHAnsi"/>
          <w:bCs/>
          <w:snapToGrid w:val="0"/>
        </w:rPr>
        <w:t xml:space="preserve">also </w:t>
      </w:r>
      <w:r w:rsidRPr="0030545D">
        <w:rPr>
          <w:rFonts w:asciiTheme="minorHAnsi" w:hAnsiTheme="minorHAnsi"/>
          <w:bCs/>
          <w:snapToGrid w:val="0"/>
        </w:rPr>
        <w:t xml:space="preserve">inappropriately restricted treatment to require prior treatment with antipsychotics for patients with co-morbid conditions and considered that any potential listing for deutetrabenazine should not restrict the population on this basis; rather that a listing should reflect how tetrabenazine (irrespective of antipsychotic treatment) </w:t>
      </w:r>
      <w:r w:rsidR="00CA7DE3" w:rsidRPr="0030545D">
        <w:rPr>
          <w:rFonts w:asciiTheme="minorHAnsi" w:hAnsiTheme="minorHAnsi"/>
          <w:bCs/>
          <w:snapToGrid w:val="0"/>
        </w:rPr>
        <w:t>is</w:t>
      </w:r>
      <w:r w:rsidRPr="0030545D">
        <w:rPr>
          <w:rFonts w:asciiTheme="minorHAnsi" w:hAnsiTheme="minorHAnsi"/>
          <w:bCs/>
          <w:snapToGrid w:val="0"/>
        </w:rPr>
        <w:t xml:space="preserve"> used in practice and </w:t>
      </w:r>
      <w:r w:rsidR="00593677" w:rsidRPr="0030545D">
        <w:rPr>
          <w:rFonts w:asciiTheme="minorHAnsi" w:hAnsiTheme="minorHAnsi"/>
          <w:bCs/>
          <w:snapToGrid w:val="0"/>
        </w:rPr>
        <w:t>should not dictate how clinicians manage other co-morbid conditions</w:t>
      </w:r>
      <w:r w:rsidR="0030545D">
        <w:rPr>
          <w:rFonts w:asciiTheme="minorHAnsi" w:hAnsiTheme="minorHAnsi"/>
          <w:bCs/>
          <w:snapToGrid w:val="0"/>
        </w:rPr>
        <w:t xml:space="preserve">. </w:t>
      </w:r>
      <w:r w:rsidR="001B62A2" w:rsidRPr="0030545D">
        <w:rPr>
          <w:rFonts w:asciiTheme="minorHAnsi" w:hAnsiTheme="minorHAnsi"/>
          <w:bCs/>
          <w:snapToGrid w:val="0"/>
        </w:rPr>
        <w:t xml:space="preserve">Further, the PBAC was concerned that a second line listing would </w:t>
      </w:r>
      <w:r w:rsidR="00971097" w:rsidRPr="0030545D">
        <w:rPr>
          <w:rFonts w:asciiTheme="minorHAnsi" w:hAnsiTheme="minorHAnsi"/>
          <w:bCs/>
          <w:snapToGrid w:val="0"/>
        </w:rPr>
        <w:t xml:space="preserve">result in </w:t>
      </w:r>
      <w:r w:rsidR="001B62A2" w:rsidRPr="0030545D">
        <w:rPr>
          <w:rFonts w:asciiTheme="minorHAnsi" w:hAnsiTheme="minorHAnsi"/>
          <w:bCs/>
          <w:snapToGrid w:val="0"/>
        </w:rPr>
        <w:t xml:space="preserve">substantial </w:t>
      </w:r>
      <w:r w:rsidR="00CA7DE3" w:rsidRPr="0030545D">
        <w:rPr>
          <w:rFonts w:asciiTheme="minorHAnsi" w:hAnsiTheme="minorHAnsi"/>
          <w:bCs/>
          <w:snapToGrid w:val="0"/>
        </w:rPr>
        <w:t>use of deutetrabenazine as a first-line therapy</w:t>
      </w:r>
      <w:r w:rsidR="001B62A2" w:rsidRPr="0030545D">
        <w:rPr>
          <w:rFonts w:asciiTheme="minorHAnsi" w:hAnsiTheme="minorHAnsi"/>
          <w:bCs/>
          <w:snapToGrid w:val="0"/>
        </w:rPr>
        <w:t>, given the tolerability profiles of tetrabenazine and deutetrabenazine.</w:t>
      </w:r>
    </w:p>
    <w:p w14:paraId="68D81B03" w14:textId="2C661EA4" w:rsidR="00BB62AF" w:rsidRPr="0030545D" w:rsidRDefault="001B62A2" w:rsidP="001B62A2">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The PBAC noted very limited evidence was</w:t>
      </w:r>
      <w:r w:rsidR="00322CE6" w:rsidRPr="0030545D">
        <w:rPr>
          <w:rFonts w:asciiTheme="minorHAnsi" w:hAnsiTheme="minorHAnsi"/>
          <w:bCs/>
          <w:snapToGrid w:val="0"/>
        </w:rPr>
        <w:t xml:space="preserve"> presented to support sequent</w:t>
      </w:r>
      <w:r w:rsidR="00A20839" w:rsidRPr="0030545D">
        <w:rPr>
          <w:rFonts w:asciiTheme="minorHAnsi" w:hAnsiTheme="minorHAnsi"/>
          <w:bCs/>
          <w:snapToGrid w:val="0"/>
        </w:rPr>
        <w:t>ial</w:t>
      </w:r>
      <w:r w:rsidRPr="0030545D">
        <w:rPr>
          <w:rFonts w:asciiTheme="minorHAnsi" w:hAnsiTheme="minorHAnsi"/>
          <w:bCs/>
          <w:snapToGrid w:val="0"/>
        </w:rPr>
        <w:t xml:space="preserve"> use of tetrabenazine and deutetrabenazine (the ARC-SWITCH study) and no </w:t>
      </w:r>
      <w:r w:rsidR="008B5261">
        <w:rPr>
          <w:rFonts w:asciiTheme="minorHAnsi" w:hAnsiTheme="minorHAnsi"/>
          <w:bCs/>
          <w:snapToGrid w:val="0"/>
        </w:rPr>
        <w:t xml:space="preserve">clinical trial </w:t>
      </w:r>
      <w:r w:rsidRPr="0030545D">
        <w:rPr>
          <w:rFonts w:asciiTheme="minorHAnsi" w:hAnsiTheme="minorHAnsi"/>
          <w:bCs/>
          <w:snapToGrid w:val="0"/>
        </w:rPr>
        <w:t>evidence to support sequential use in patients who had failed or could not tolerate tetrabenazine.</w:t>
      </w:r>
      <w:r w:rsidR="009E47E4" w:rsidRPr="009E47E4">
        <w:rPr>
          <w:snapToGrid w:val="0"/>
          <w:color w:val="000000" w:themeColor="text1"/>
        </w:rPr>
        <w:t xml:space="preserve"> </w:t>
      </w:r>
      <w:r w:rsidR="009E47E4" w:rsidRPr="00FF2B0F">
        <w:rPr>
          <w:snapToGrid w:val="0"/>
          <w:color w:val="000000" w:themeColor="text1"/>
        </w:rPr>
        <w:t xml:space="preserve">The PBAC noted the pre-PBAC response included expert advice on </w:t>
      </w:r>
      <w:r w:rsidR="009E47E4" w:rsidRPr="00FF2B0F">
        <w:rPr>
          <w:rStyle w:val="null1"/>
          <w:color w:val="000000" w:themeColor="text1"/>
        </w:rPr>
        <w:t>how the pharmacokinetic differences between tetraben</w:t>
      </w:r>
      <w:r w:rsidR="005813A6">
        <w:rPr>
          <w:rStyle w:val="null1"/>
          <w:color w:val="000000" w:themeColor="text1"/>
        </w:rPr>
        <w:t>a</w:t>
      </w:r>
      <w:r w:rsidR="009E47E4" w:rsidRPr="00FF2B0F">
        <w:rPr>
          <w:rStyle w:val="null1"/>
          <w:color w:val="000000" w:themeColor="text1"/>
        </w:rPr>
        <w:t>zine and deutetraben</w:t>
      </w:r>
      <w:r w:rsidR="005813A6">
        <w:rPr>
          <w:rStyle w:val="null1"/>
          <w:color w:val="000000" w:themeColor="text1"/>
        </w:rPr>
        <w:t>a</w:t>
      </w:r>
      <w:r w:rsidR="009E47E4" w:rsidRPr="00FF2B0F">
        <w:rPr>
          <w:rStyle w:val="null1"/>
          <w:color w:val="000000" w:themeColor="text1"/>
        </w:rPr>
        <w:t>zine can provide a rationale for circumstances where deutetrabenazine may be useful in subsequent-line settings after the prior failure of tetrabenazine. The PBAC acknowledged the expert opinion</w:t>
      </w:r>
      <w:r w:rsidR="004B0CC1">
        <w:rPr>
          <w:rStyle w:val="null1"/>
          <w:color w:val="000000" w:themeColor="text1"/>
        </w:rPr>
        <w:t>s provided</w:t>
      </w:r>
      <w:r w:rsidR="00A2009A">
        <w:rPr>
          <w:rStyle w:val="null1"/>
          <w:color w:val="000000" w:themeColor="text1"/>
        </w:rPr>
        <w:t xml:space="preserve"> in the pre-PBAC response</w:t>
      </w:r>
      <w:r w:rsidR="009E47E4" w:rsidRPr="00FF2B0F">
        <w:rPr>
          <w:rStyle w:val="null1"/>
          <w:color w:val="000000" w:themeColor="text1"/>
        </w:rPr>
        <w:t xml:space="preserve"> but did not consider it was sufficient evidence to value the use in subsequent lines of therapy.</w:t>
      </w:r>
    </w:p>
    <w:p w14:paraId="45914391" w14:textId="77777777" w:rsidR="001B62A2" w:rsidRPr="0030545D" w:rsidRDefault="001B62A2" w:rsidP="001B62A2">
      <w:pPr>
        <w:widowControl w:val="0"/>
        <w:numPr>
          <w:ilvl w:val="1"/>
          <w:numId w:val="1"/>
        </w:numPr>
        <w:spacing w:after="120"/>
        <w:rPr>
          <w:rFonts w:asciiTheme="minorHAnsi" w:hAnsiTheme="minorHAnsi"/>
          <w:bCs/>
          <w:snapToGrid w:val="0"/>
        </w:rPr>
      </w:pPr>
      <w:r w:rsidRPr="0030545D">
        <w:rPr>
          <w:rFonts w:asciiTheme="minorHAnsi" w:hAnsiTheme="minorHAnsi"/>
          <w:bCs/>
          <w:snapToGrid w:val="0"/>
        </w:rPr>
        <w:t>Based on its consideration of the most appropriate clinical place for deutetrabenazine, the PBAC considered the nominated comparator of placebo was not appropriate and considered tetrabenazine was the most appropriate comparator.</w:t>
      </w:r>
    </w:p>
    <w:p w14:paraId="70D9E6B7" w14:textId="77777777" w:rsidR="00D550CB" w:rsidRPr="0030545D" w:rsidRDefault="000C7637" w:rsidP="00322CE6">
      <w:pPr>
        <w:pStyle w:val="ExecSumBodyText"/>
      </w:pPr>
      <w:r w:rsidRPr="0030545D">
        <w:t xml:space="preserve">The PBAC noted the clinical trials presented were not reflective of the requested populations. In particular, the PBAC noted the </w:t>
      </w:r>
      <w:r w:rsidR="00D550CB" w:rsidRPr="0030545D">
        <w:t xml:space="preserve">key randomised controlled trial, </w:t>
      </w:r>
      <w:r w:rsidRPr="0030545D">
        <w:t>FIRST-HD</w:t>
      </w:r>
      <w:r w:rsidR="00D550CB" w:rsidRPr="0030545D">
        <w:t>,</w:t>
      </w:r>
      <w:r w:rsidRPr="0030545D">
        <w:t xml:space="preserve"> and </w:t>
      </w:r>
      <w:r w:rsidR="00D550CB" w:rsidRPr="0030545D">
        <w:t xml:space="preserve">the open-label extension, </w:t>
      </w:r>
      <w:r w:rsidRPr="0030545D">
        <w:t>ARC-HD</w:t>
      </w:r>
      <w:r w:rsidR="00D550CB" w:rsidRPr="0030545D">
        <w:t>,</w:t>
      </w:r>
      <w:r w:rsidRPr="0030545D">
        <w:t xml:space="preserve"> studies were predominantly in the </w:t>
      </w:r>
      <w:r w:rsidR="006A6BF7" w:rsidRPr="0030545D">
        <w:t>first-line</w:t>
      </w:r>
      <w:r w:rsidRPr="0030545D">
        <w:t xml:space="preserve"> setting</w:t>
      </w:r>
      <w:r w:rsidR="00D550CB" w:rsidRPr="0030545D">
        <w:t>.</w:t>
      </w:r>
      <w:r w:rsidRPr="0030545D">
        <w:t xml:space="preserve"> </w:t>
      </w:r>
      <w:r w:rsidR="00D550CB" w:rsidRPr="0030545D">
        <w:t xml:space="preserve">Also, </w:t>
      </w:r>
      <w:r w:rsidRPr="0030545D">
        <w:t xml:space="preserve">the limited number of patients who switched from tetrabenazine in the ARC-HD-SWITCH prospective longitudinal study were also not reflective of the requested listing as these patients were stable on current treatment, whereas the requested listing was for patients who had failed or were intolerant to or unable to titrate to an effective dose of tetrabenazine. Therefore, the PBAC agreed </w:t>
      </w:r>
      <w:r w:rsidR="00150354" w:rsidRPr="0030545D">
        <w:t xml:space="preserve">with the ESC that </w:t>
      </w:r>
      <w:r w:rsidRPr="0030545D">
        <w:t>the clinical evidence was uninformative for the requested population</w:t>
      </w:r>
      <w:r w:rsidR="00D550CB" w:rsidRPr="0030545D">
        <w:t>.</w:t>
      </w:r>
      <w:r w:rsidRPr="0030545D">
        <w:t xml:space="preserve"> </w:t>
      </w:r>
    </w:p>
    <w:p w14:paraId="727500E6" w14:textId="77777777" w:rsidR="00BB62AF" w:rsidRPr="0030545D" w:rsidRDefault="00D550CB" w:rsidP="00322CE6">
      <w:pPr>
        <w:pStyle w:val="ExecSumBodyText"/>
      </w:pPr>
      <w:r w:rsidRPr="0030545D">
        <w:t xml:space="preserve">The PBAC </w:t>
      </w:r>
      <w:r w:rsidR="000C7637" w:rsidRPr="0030545D">
        <w:t>consider</w:t>
      </w:r>
      <w:r w:rsidR="00150354" w:rsidRPr="0030545D">
        <w:t>ed</w:t>
      </w:r>
      <w:r w:rsidR="000C7637" w:rsidRPr="0030545D">
        <w:t xml:space="preserve"> </w:t>
      </w:r>
      <w:r w:rsidR="00150354" w:rsidRPr="0030545D">
        <w:t xml:space="preserve">based on </w:t>
      </w:r>
      <w:r w:rsidRPr="0030545D">
        <w:t xml:space="preserve">the evidence </w:t>
      </w:r>
      <w:r w:rsidR="00150354" w:rsidRPr="0030545D">
        <w:t xml:space="preserve">presented, </w:t>
      </w:r>
      <w:r w:rsidR="00150354" w:rsidRPr="0030545D">
        <w:rPr>
          <w:bCs/>
        </w:rPr>
        <w:t>deutetrabenazine was likely effective at reducing chorea symptoms in patients with HD in a first-line setting, compared to placebo</w:t>
      </w:r>
      <w:r w:rsidR="00150354" w:rsidRPr="0030545D">
        <w:t>;</w:t>
      </w:r>
      <w:r w:rsidR="00322CE6" w:rsidRPr="0030545D">
        <w:t xml:space="preserve"> </w:t>
      </w:r>
      <w:r w:rsidRPr="0030545D">
        <w:t>although</w:t>
      </w:r>
      <w:r w:rsidR="00322CE6" w:rsidRPr="0030545D">
        <w:rPr>
          <w:bCs/>
        </w:rPr>
        <w:t xml:space="preserve"> the nominated minimum clinically important difference (MCID) of a change in total maximum chorea (TMC) score of 2-3 points was </w:t>
      </w:r>
      <w:r w:rsidR="006D08E3" w:rsidRPr="0030545D">
        <w:rPr>
          <w:bCs/>
        </w:rPr>
        <w:t>not well supported and TMC was not used in clinical practice</w:t>
      </w:r>
      <w:r w:rsidR="000C7637" w:rsidRPr="0030545D">
        <w:t xml:space="preserve">. </w:t>
      </w:r>
    </w:p>
    <w:p w14:paraId="0DB072AA" w14:textId="77777777" w:rsidR="00BB62AF" w:rsidRPr="0030545D" w:rsidRDefault="009B17D0" w:rsidP="00BB62AF">
      <w:pPr>
        <w:widowControl w:val="0"/>
        <w:numPr>
          <w:ilvl w:val="1"/>
          <w:numId w:val="1"/>
        </w:numPr>
        <w:spacing w:after="120"/>
        <w:rPr>
          <w:rFonts w:asciiTheme="minorHAnsi" w:hAnsiTheme="minorHAnsi"/>
          <w:bCs/>
          <w:snapToGrid w:val="0"/>
        </w:rPr>
      </w:pPr>
      <w:r w:rsidRPr="0030545D">
        <w:rPr>
          <w:snapToGrid w:val="0"/>
        </w:rPr>
        <w:t xml:space="preserve">The PBAC noted </w:t>
      </w:r>
      <w:r w:rsidR="00FA7BC9" w:rsidRPr="0030545D">
        <w:rPr>
          <w:snapToGrid w:val="0"/>
        </w:rPr>
        <w:t>the indirect comparison</w:t>
      </w:r>
      <w:r w:rsidR="00150354" w:rsidRPr="0030545D">
        <w:rPr>
          <w:snapToGrid w:val="0"/>
        </w:rPr>
        <w:t xml:space="preserve"> (</w:t>
      </w:r>
      <w:r w:rsidR="00150354" w:rsidRPr="0030545D">
        <w:t>Rodrigues 2017)</w:t>
      </w:r>
      <w:r w:rsidR="00FA7BC9" w:rsidRPr="0030545D">
        <w:rPr>
          <w:snapToGrid w:val="0"/>
        </w:rPr>
        <w:t xml:space="preserve"> identified during the evaluation did not find any significant differences in terms of chorea or broader motor symptoms between </w:t>
      </w:r>
      <w:r w:rsidR="0030545D" w:rsidRPr="0030545D">
        <w:rPr>
          <w:snapToGrid w:val="0"/>
        </w:rPr>
        <w:t>deutetrabenazine</w:t>
      </w:r>
      <w:r w:rsidR="00FA7BC9" w:rsidRPr="0030545D">
        <w:rPr>
          <w:snapToGrid w:val="0"/>
        </w:rPr>
        <w:t xml:space="preserve"> and tetrabenazine</w:t>
      </w:r>
      <w:r w:rsidR="00150354" w:rsidRPr="0030545D">
        <w:rPr>
          <w:snapToGrid w:val="0"/>
        </w:rPr>
        <w:t xml:space="preserve"> in the first-line setting</w:t>
      </w:r>
      <w:r w:rsidR="00FA7BC9" w:rsidRPr="0030545D">
        <w:rPr>
          <w:snapToGrid w:val="0"/>
        </w:rPr>
        <w:t>.</w:t>
      </w:r>
    </w:p>
    <w:p w14:paraId="452BA804" w14:textId="77777777" w:rsidR="00D17EAC" w:rsidRPr="0030545D" w:rsidRDefault="00411CFD" w:rsidP="0009244B">
      <w:pPr>
        <w:pStyle w:val="ExecSumBodyText"/>
      </w:pPr>
      <w:r w:rsidRPr="0030545D">
        <w:t>T</w:t>
      </w:r>
      <w:r w:rsidR="0009244B" w:rsidRPr="0030545D">
        <w:t xml:space="preserve">he PBAC </w:t>
      </w:r>
      <w:r w:rsidR="0055732F" w:rsidRPr="0030545D">
        <w:t xml:space="preserve">considered the claim of non-inferior safety compared to placebo was not adequately supported </w:t>
      </w:r>
      <w:r w:rsidR="006D08E3" w:rsidRPr="0030545D">
        <w:t xml:space="preserve">in the FIRST-HD trial and ARC-HD patient cohorts </w:t>
      </w:r>
      <w:r w:rsidR="0055732F" w:rsidRPr="0030545D">
        <w:t>given the higher rates of t</w:t>
      </w:r>
      <w:r w:rsidR="00FF0C36" w:rsidRPr="0030545D">
        <w:t xml:space="preserve">reatment-related adverse events </w:t>
      </w:r>
      <w:r w:rsidR="0009244B" w:rsidRPr="0030545D">
        <w:t>with deutetrabenazine</w:t>
      </w:r>
      <w:r w:rsidR="006D08E3" w:rsidRPr="0030545D">
        <w:t xml:space="preserve"> (predominantly somnolence, dry mouth and fatigue)</w:t>
      </w:r>
      <w:r w:rsidR="0055732F" w:rsidRPr="0030545D">
        <w:t>.</w:t>
      </w:r>
      <w:r w:rsidR="0009244B" w:rsidRPr="0030545D">
        <w:rPr>
          <w:bCs/>
        </w:rPr>
        <w:t xml:space="preserve"> </w:t>
      </w:r>
    </w:p>
    <w:p w14:paraId="36D98D80" w14:textId="77777777" w:rsidR="00BB62AF" w:rsidRPr="0030545D" w:rsidRDefault="0009244B" w:rsidP="0009244B">
      <w:pPr>
        <w:pStyle w:val="ExecSumBodyText"/>
      </w:pPr>
      <w:r w:rsidRPr="0030545D">
        <w:rPr>
          <w:bCs/>
        </w:rPr>
        <w:t xml:space="preserve">The PBAC noted the indirect comparisons of deutetrabenazine and tetrabenazine presented </w:t>
      </w:r>
      <w:r w:rsidR="006D08E3" w:rsidRPr="0030545D">
        <w:rPr>
          <w:bCs/>
        </w:rPr>
        <w:t xml:space="preserve">in the evaluation, </w:t>
      </w:r>
      <w:r w:rsidRPr="0030545D">
        <w:rPr>
          <w:bCs/>
        </w:rPr>
        <w:t>from Rodriguez 2017 and Cla</w:t>
      </w:r>
      <w:r w:rsidR="003928F3">
        <w:rPr>
          <w:bCs/>
        </w:rPr>
        <w:t>a</w:t>
      </w:r>
      <w:r w:rsidRPr="0030545D">
        <w:rPr>
          <w:bCs/>
        </w:rPr>
        <w:t>ssen 2017</w:t>
      </w:r>
      <w:r w:rsidR="006D08E3" w:rsidRPr="0030545D">
        <w:rPr>
          <w:bCs/>
        </w:rPr>
        <w:t>,</w:t>
      </w:r>
      <w:r w:rsidRPr="0030545D">
        <w:rPr>
          <w:bCs/>
        </w:rPr>
        <w:t xml:space="preserve"> found </w:t>
      </w:r>
      <w:r w:rsidR="0066518B" w:rsidRPr="0030545D">
        <w:rPr>
          <w:bCs/>
        </w:rPr>
        <w:t>deutetrabenazine appeared to have a tolerability advantage over tetrabenazine.</w:t>
      </w:r>
    </w:p>
    <w:p w14:paraId="53163E7E" w14:textId="77777777" w:rsidR="00BB62AF" w:rsidRPr="0030545D" w:rsidRDefault="005F556D" w:rsidP="006A6BF7">
      <w:pPr>
        <w:pStyle w:val="ExecSumBodyText"/>
        <w:widowControl w:val="0"/>
        <w:numPr>
          <w:ilvl w:val="1"/>
          <w:numId w:val="1"/>
        </w:numPr>
        <w:rPr>
          <w:bCs/>
        </w:rPr>
      </w:pPr>
      <w:r w:rsidRPr="0030545D">
        <w:rPr>
          <w:bCs/>
        </w:rPr>
        <w:t>The PBAC agreed with the ESC and considered the economic model presented was not informative for decision-making</w:t>
      </w:r>
      <w:r w:rsidR="00A8117F" w:rsidRPr="0030545D">
        <w:rPr>
          <w:bCs/>
        </w:rPr>
        <w:t>.</w:t>
      </w:r>
      <w:r w:rsidR="00D61BB6" w:rsidRPr="0030545D">
        <w:rPr>
          <w:bCs/>
        </w:rPr>
        <w:t xml:space="preserve"> The PBAC </w:t>
      </w:r>
      <w:r w:rsidR="00A8117F" w:rsidRPr="0030545D">
        <w:rPr>
          <w:bCs/>
        </w:rPr>
        <w:t xml:space="preserve">noted </w:t>
      </w:r>
      <w:r w:rsidR="00D61BB6" w:rsidRPr="0030545D">
        <w:rPr>
          <w:bCs/>
        </w:rPr>
        <w:t xml:space="preserve">the issues with the </w:t>
      </w:r>
      <w:r w:rsidR="00A8117F" w:rsidRPr="0030545D">
        <w:rPr>
          <w:bCs/>
        </w:rPr>
        <w:t xml:space="preserve">model </w:t>
      </w:r>
      <w:r w:rsidR="00D61BB6" w:rsidRPr="0030545D">
        <w:rPr>
          <w:bCs/>
        </w:rPr>
        <w:t>structure and inputs raised by the ESC (</w:t>
      </w:r>
      <w:r w:rsidR="00FF0C36" w:rsidRPr="0030545D">
        <w:rPr>
          <w:bCs/>
        </w:rPr>
        <w:t>paragraph 6.48</w:t>
      </w:r>
      <w:r w:rsidR="00D61BB6" w:rsidRPr="0030545D">
        <w:rPr>
          <w:bCs/>
        </w:rPr>
        <w:t>) create</w:t>
      </w:r>
      <w:r w:rsidR="00A8117F" w:rsidRPr="0030545D">
        <w:rPr>
          <w:bCs/>
        </w:rPr>
        <w:t>d</w:t>
      </w:r>
      <w:r w:rsidR="00D61BB6" w:rsidRPr="0030545D">
        <w:rPr>
          <w:bCs/>
        </w:rPr>
        <w:t xml:space="preserve"> significant uncertainties and therefore </w:t>
      </w:r>
      <w:r w:rsidR="00A8117F" w:rsidRPr="0030545D">
        <w:rPr>
          <w:bCs/>
        </w:rPr>
        <w:t xml:space="preserve">considered </w:t>
      </w:r>
      <w:r w:rsidR="00D61BB6" w:rsidRPr="0030545D">
        <w:rPr>
          <w:bCs/>
        </w:rPr>
        <w:t>it could not be relied upon for considering the cost-effectiveness of deutetrabenazine.</w:t>
      </w:r>
      <w:r w:rsidR="00AE28FA" w:rsidRPr="0030545D">
        <w:rPr>
          <w:bCs/>
        </w:rPr>
        <w:t xml:space="preserve"> </w:t>
      </w:r>
    </w:p>
    <w:p w14:paraId="17683D32" w14:textId="77777777" w:rsidR="00BB62AF" w:rsidRPr="0030545D" w:rsidRDefault="0006064E" w:rsidP="00BB62AF">
      <w:pPr>
        <w:widowControl w:val="0"/>
        <w:numPr>
          <w:ilvl w:val="1"/>
          <w:numId w:val="1"/>
        </w:numPr>
        <w:spacing w:after="120"/>
      </w:pPr>
      <w:r w:rsidRPr="0030545D">
        <w:rPr>
          <w:rFonts w:asciiTheme="minorHAnsi" w:hAnsiTheme="minorHAnsi"/>
          <w:bCs/>
          <w:snapToGrid w:val="0"/>
        </w:rPr>
        <w:t xml:space="preserve">The PBAC </w:t>
      </w:r>
      <w:r w:rsidR="00E21D3B" w:rsidRPr="0030545D">
        <w:rPr>
          <w:rFonts w:asciiTheme="minorHAnsi" w:hAnsiTheme="minorHAnsi"/>
          <w:bCs/>
          <w:snapToGrid w:val="0"/>
        </w:rPr>
        <w:t xml:space="preserve">agreed with </w:t>
      </w:r>
      <w:r w:rsidRPr="0030545D">
        <w:rPr>
          <w:rFonts w:asciiTheme="minorHAnsi" w:hAnsiTheme="minorHAnsi"/>
          <w:bCs/>
          <w:snapToGrid w:val="0"/>
        </w:rPr>
        <w:t xml:space="preserve">the DUSC advice </w:t>
      </w:r>
      <w:r w:rsidR="004B79C4" w:rsidRPr="0030545D">
        <w:rPr>
          <w:rFonts w:asciiTheme="minorHAnsi" w:hAnsiTheme="minorHAnsi"/>
          <w:bCs/>
          <w:snapToGrid w:val="0"/>
        </w:rPr>
        <w:t>(paragraph 6.60)</w:t>
      </w:r>
      <w:r w:rsidR="00FF0C36" w:rsidRPr="0030545D">
        <w:rPr>
          <w:rFonts w:asciiTheme="minorHAnsi" w:hAnsiTheme="minorHAnsi"/>
          <w:bCs/>
          <w:snapToGrid w:val="0"/>
        </w:rPr>
        <w:t xml:space="preserve"> </w:t>
      </w:r>
      <w:r w:rsidRPr="0030545D">
        <w:rPr>
          <w:rFonts w:asciiTheme="minorHAnsi" w:hAnsiTheme="minorHAnsi"/>
          <w:bCs/>
          <w:snapToGrid w:val="0"/>
        </w:rPr>
        <w:t xml:space="preserve">and </w:t>
      </w:r>
      <w:r w:rsidR="00E21D3B" w:rsidRPr="0030545D">
        <w:rPr>
          <w:rFonts w:asciiTheme="minorHAnsi" w:hAnsiTheme="minorHAnsi"/>
          <w:bCs/>
          <w:snapToGrid w:val="0"/>
        </w:rPr>
        <w:t xml:space="preserve">considered </w:t>
      </w:r>
      <w:r w:rsidRPr="0030545D">
        <w:rPr>
          <w:rFonts w:asciiTheme="minorHAnsi" w:hAnsiTheme="minorHAnsi"/>
          <w:bCs/>
          <w:snapToGrid w:val="0"/>
        </w:rPr>
        <w:t xml:space="preserve">the utilisation estimates were complex and highly uncertain. </w:t>
      </w:r>
      <w:r w:rsidR="00E21D3B" w:rsidRPr="0030545D">
        <w:rPr>
          <w:rFonts w:asciiTheme="minorHAnsi" w:hAnsiTheme="minorHAnsi"/>
          <w:bCs/>
          <w:snapToGrid w:val="0"/>
        </w:rPr>
        <w:t>T</w:t>
      </w:r>
      <w:r w:rsidRPr="0030545D">
        <w:rPr>
          <w:rFonts w:asciiTheme="minorHAnsi" w:hAnsiTheme="minorHAnsi"/>
          <w:bCs/>
          <w:snapToGrid w:val="0"/>
        </w:rPr>
        <w:t xml:space="preserve">he PBAC considered there was a substantial risk of </w:t>
      </w:r>
      <w:r w:rsidR="00E21D3B" w:rsidRPr="0030545D">
        <w:rPr>
          <w:rFonts w:asciiTheme="minorHAnsi" w:hAnsiTheme="minorHAnsi"/>
          <w:bCs/>
          <w:snapToGrid w:val="0"/>
        </w:rPr>
        <w:t>use outside of the proposed restriction as first-line treatment.</w:t>
      </w:r>
      <w:r w:rsidR="00053F3E" w:rsidRPr="0030545D">
        <w:rPr>
          <w:rFonts w:asciiTheme="minorHAnsi" w:hAnsiTheme="minorHAnsi"/>
          <w:bCs/>
          <w:snapToGrid w:val="0"/>
        </w:rPr>
        <w:t xml:space="preserve"> The PBAC also considered the </w:t>
      </w:r>
      <w:r w:rsidR="00E21D3B" w:rsidRPr="0030545D">
        <w:rPr>
          <w:rFonts w:asciiTheme="minorHAnsi" w:hAnsiTheme="minorHAnsi"/>
          <w:bCs/>
          <w:snapToGrid w:val="0"/>
        </w:rPr>
        <w:t>overall financial impact was</w:t>
      </w:r>
      <w:r w:rsidR="00053F3E" w:rsidRPr="0030545D">
        <w:rPr>
          <w:rFonts w:asciiTheme="minorHAnsi" w:hAnsiTheme="minorHAnsi"/>
          <w:bCs/>
          <w:snapToGrid w:val="0"/>
        </w:rPr>
        <w:t xml:space="preserve"> </w:t>
      </w:r>
      <w:r w:rsidR="00E21D3B" w:rsidRPr="0030545D">
        <w:rPr>
          <w:rFonts w:asciiTheme="minorHAnsi" w:hAnsiTheme="minorHAnsi"/>
          <w:bCs/>
          <w:snapToGrid w:val="0"/>
        </w:rPr>
        <w:t>very high and poorly justified given deutetrabenazine will be used to replace tetrabenazine</w:t>
      </w:r>
      <w:r w:rsidR="00053F3E" w:rsidRPr="0030545D">
        <w:rPr>
          <w:rFonts w:asciiTheme="minorHAnsi" w:hAnsiTheme="minorHAnsi"/>
          <w:bCs/>
          <w:snapToGrid w:val="0"/>
        </w:rPr>
        <w:t>.</w:t>
      </w:r>
    </w:p>
    <w:p w14:paraId="15005D57" w14:textId="77777777" w:rsidR="00AE28FA" w:rsidRPr="0030545D" w:rsidRDefault="00AE28FA" w:rsidP="00BB62AF">
      <w:pPr>
        <w:widowControl w:val="0"/>
        <w:numPr>
          <w:ilvl w:val="1"/>
          <w:numId w:val="1"/>
        </w:numPr>
        <w:spacing w:after="120"/>
      </w:pPr>
      <w:r w:rsidRPr="0030545D">
        <w:rPr>
          <w:rFonts w:asciiTheme="minorHAnsi" w:hAnsiTheme="minorHAnsi"/>
          <w:bCs/>
          <w:snapToGrid w:val="0"/>
        </w:rPr>
        <w:t xml:space="preserve">The PBAC agreed with the ESC </w:t>
      </w:r>
      <w:r w:rsidR="007712A4" w:rsidRPr="0030545D">
        <w:rPr>
          <w:rFonts w:asciiTheme="minorHAnsi" w:hAnsiTheme="minorHAnsi"/>
          <w:bCs/>
          <w:snapToGrid w:val="0"/>
        </w:rPr>
        <w:t xml:space="preserve">and DUSC </w:t>
      </w:r>
      <w:r w:rsidRPr="0030545D">
        <w:rPr>
          <w:rFonts w:asciiTheme="minorHAnsi" w:hAnsiTheme="minorHAnsi"/>
          <w:bCs/>
          <w:snapToGrid w:val="0"/>
        </w:rPr>
        <w:t xml:space="preserve">that </w:t>
      </w:r>
      <w:r w:rsidRPr="0030545D">
        <w:t>the requested clinical place was inappropriate, and any future resubmission should be for listing in a first line setting with new clinical</w:t>
      </w:r>
      <w:r w:rsidR="007712A4" w:rsidRPr="0030545D">
        <w:t>,</w:t>
      </w:r>
      <w:r w:rsidRPr="0030545D">
        <w:t xml:space="preserve"> economic</w:t>
      </w:r>
      <w:r w:rsidR="007712A4" w:rsidRPr="0030545D">
        <w:t xml:space="preserve"> and financial</w:t>
      </w:r>
      <w:r w:rsidRPr="0030545D">
        <w:t xml:space="preserve"> analyses.</w:t>
      </w:r>
    </w:p>
    <w:p w14:paraId="4A099298" w14:textId="77777777" w:rsidR="00E60958" w:rsidRPr="0030545D" w:rsidRDefault="00BB62AF" w:rsidP="00E60958">
      <w:pPr>
        <w:widowControl w:val="0"/>
        <w:numPr>
          <w:ilvl w:val="1"/>
          <w:numId w:val="1"/>
        </w:numPr>
        <w:spacing w:after="120"/>
        <w:rPr>
          <w:rFonts w:asciiTheme="minorHAnsi" w:hAnsiTheme="minorHAnsi"/>
          <w:bCs/>
          <w:i/>
          <w:snapToGrid w:val="0"/>
        </w:rPr>
      </w:pPr>
      <w:r w:rsidRPr="0030545D">
        <w:rPr>
          <w:rFonts w:asciiTheme="minorHAnsi" w:hAnsiTheme="minorHAnsi"/>
          <w:bCs/>
          <w:snapToGrid w:val="0"/>
        </w:rPr>
        <w:t xml:space="preserve">The PBAC noted that this submission is eligible for an Independent Review. </w:t>
      </w:r>
    </w:p>
    <w:p w14:paraId="6C49AFB3" w14:textId="77777777" w:rsidR="00BB62AF" w:rsidRPr="0030545D" w:rsidRDefault="00E60958" w:rsidP="00E60958">
      <w:pPr>
        <w:spacing w:before="240"/>
        <w:outlineLvl w:val="1"/>
        <w:rPr>
          <w:rFonts w:asciiTheme="minorHAnsi" w:hAnsiTheme="minorHAnsi"/>
          <w:b/>
          <w:bCs/>
          <w:snapToGrid w:val="0"/>
        </w:rPr>
      </w:pPr>
      <w:r w:rsidRPr="0030545D">
        <w:rPr>
          <w:rFonts w:asciiTheme="minorHAnsi" w:hAnsiTheme="minorHAnsi"/>
          <w:b/>
          <w:bCs/>
          <w:snapToGrid w:val="0"/>
        </w:rPr>
        <w:t xml:space="preserve">Outcome: </w:t>
      </w:r>
      <w:r w:rsidRPr="0030545D">
        <w:rPr>
          <w:rFonts w:asciiTheme="minorHAnsi" w:hAnsiTheme="minorHAnsi"/>
          <w:b/>
          <w:bCs/>
          <w:snapToGrid w:val="0"/>
        </w:rPr>
        <w:br/>
      </w:r>
      <w:r w:rsidRPr="0030545D">
        <w:rPr>
          <w:rFonts w:asciiTheme="minorHAnsi" w:hAnsiTheme="minorHAnsi"/>
          <w:bCs/>
          <w:snapToGrid w:val="0"/>
        </w:rPr>
        <w:t>Rejected</w:t>
      </w:r>
    </w:p>
    <w:p w14:paraId="61E6681A" w14:textId="77777777" w:rsidR="0006064E" w:rsidRPr="0030545D" w:rsidRDefault="00562565" w:rsidP="003928F3">
      <w:pPr>
        <w:jc w:val="left"/>
        <w:rPr>
          <w:rFonts w:asciiTheme="minorHAnsi" w:hAnsiTheme="minorHAnsi"/>
          <w:bCs/>
          <w:snapToGrid w:val="0"/>
        </w:rPr>
      </w:pPr>
      <w:r w:rsidRPr="0030545D">
        <w:rPr>
          <w:rFonts w:asciiTheme="minorHAnsi" w:hAnsiTheme="minorHAnsi"/>
          <w:bCs/>
          <w:snapToGrid w:val="0"/>
        </w:rPr>
        <w:t xml:space="preserve"> </w:t>
      </w:r>
    </w:p>
    <w:p w14:paraId="5F3493DF" w14:textId="77777777" w:rsidR="00BC7A90" w:rsidRDefault="00BC7A90" w:rsidP="00BC7A90">
      <w:pPr>
        <w:pStyle w:val="Heading1"/>
        <w:keepNext/>
        <w:keepLines/>
        <w:numPr>
          <w:ilvl w:val="0"/>
          <w:numId w:val="1"/>
        </w:numPr>
        <w:spacing w:before="240" w:after="120"/>
        <w:ind w:left="709" w:hanging="709"/>
        <w:jc w:val="left"/>
        <w:rPr>
          <w:bCs/>
          <w:lang w:val="en-GB"/>
        </w:rPr>
      </w:pPr>
      <w:r w:rsidRPr="00C07617">
        <w:rPr>
          <w:caps w:val="0"/>
        </w:rPr>
        <w:t xml:space="preserve">Context </w:t>
      </w:r>
      <w:r>
        <w:rPr>
          <w:caps w:val="0"/>
        </w:rPr>
        <w:t>f</w:t>
      </w:r>
      <w:r w:rsidRPr="00C07617">
        <w:rPr>
          <w:caps w:val="0"/>
        </w:rPr>
        <w:t>or Decision</w:t>
      </w:r>
    </w:p>
    <w:p w14:paraId="7F19B776" w14:textId="77777777" w:rsidR="00BC7A90" w:rsidRPr="007129F2" w:rsidRDefault="00BC7A90" w:rsidP="00BC7A90">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8A027D3" w14:textId="77777777" w:rsidR="00BC7A90" w:rsidRPr="00C07617" w:rsidRDefault="00BC7A90" w:rsidP="00BC7A90">
      <w:pPr>
        <w:pStyle w:val="Heading1"/>
        <w:keepNext/>
        <w:keepLines/>
        <w:numPr>
          <w:ilvl w:val="0"/>
          <w:numId w:val="1"/>
        </w:numPr>
        <w:spacing w:before="240" w:after="120"/>
        <w:ind w:left="709" w:hanging="709"/>
        <w:jc w:val="left"/>
      </w:pPr>
      <w:r>
        <w:rPr>
          <w:caps w:val="0"/>
        </w:rPr>
        <w:t>Sponsor’s Comment</w:t>
      </w:r>
    </w:p>
    <w:p w14:paraId="53248A2A" w14:textId="77777777" w:rsidR="000706B6" w:rsidRPr="000706B6" w:rsidRDefault="000706B6" w:rsidP="000706B6">
      <w:pPr>
        <w:pStyle w:val="2-SectionHeading"/>
        <w:numPr>
          <w:ilvl w:val="0"/>
          <w:numId w:val="0"/>
        </w:numPr>
        <w:ind w:left="720"/>
        <w:rPr>
          <w:b w:val="0"/>
          <w:sz w:val="24"/>
          <w:szCs w:val="24"/>
        </w:rPr>
      </w:pPr>
      <w:r w:rsidRPr="000706B6">
        <w:rPr>
          <w:b w:val="0"/>
          <w:sz w:val="24"/>
          <w:szCs w:val="24"/>
        </w:rPr>
        <w:t>The Sponsor will continue to work with the PBAC and the Department to make deutetrabenazine (Austedo) available to Australian patients.</w:t>
      </w:r>
    </w:p>
    <w:p w14:paraId="3BD55628" w14:textId="77777777" w:rsidR="00F21F9E" w:rsidRPr="0030545D" w:rsidRDefault="00F21F9E" w:rsidP="00BB62AF">
      <w:pPr>
        <w:widowControl w:val="0"/>
        <w:rPr>
          <w:rFonts w:asciiTheme="minorHAnsi" w:hAnsiTheme="minorHAnsi"/>
          <w:bCs/>
          <w:snapToGrid w:val="0"/>
        </w:rPr>
      </w:pPr>
    </w:p>
    <w:p w14:paraId="025721C3" w14:textId="77777777" w:rsidR="00F21F9E" w:rsidRPr="0030545D" w:rsidRDefault="00F21F9E" w:rsidP="00BB62AF">
      <w:pPr>
        <w:widowControl w:val="0"/>
        <w:rPr>
          <w:rFonts w:asciiTheme="minorHAnsi" w:hAnsiTheme="minorHAnsi"/>
          <w:bCs/>
          <w:snapToGrid w:val="0"/>
        </w:rPr>
      </w:pPr>
    </w:p>
    <w:p w14:paraId="63B6F886" w14:textId="77777777" w:rsidR="00230612" w:rsidRPr="0030545D" w:rsidRDefault="00230612" w:rsidP="000B7DB3">
      <w:pPr>
        <w:jc w:val="left"/>
      </w:pPr>
    </w:p>
    <w:sectPr w:rsidR="00230612" w:rsidRPr="0030545D" w:rsidSect="003E5BF1">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109A" w16cex:dateUtc="2021-02-15T22:36:00Z"/>
  <w16cex:commentExtensible w16cex:durableId="23D61175" w16cex:dateUtc="2021-02-15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2FF18" w16cid:durableId="23D6102E"/>
  <w16cid:commentId w16cid:paraId="54B91F33" w16cid:durableId="23D6102F"/>
  <w16cid:commentId w16cid:paraId="6ED20471" w16cid:durableId="23D6109A"/>
  <w16cid:commentId w16cid:paraId="668958F7" w16cid:durableId="23D61030"/>
  <w16cid:commentId w16cid:paraId="1EBA3613" w16cid:durableId="23D61031"/>
  <w16cid:commentId w16cid:paraId="30D0718A" w16cid:durableId="23D61032"/>
  <w16cid:commentId w16cid:paraId="520A4651" w16cid:durableId="23D611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0B0F" w14:textId="77777777" w:rsidR="0087102F" w:rsidRDefault="0087102F" w:rsidP="00124A51">
      <w:r>
        <w:separator/>
      </w:r>
    </w:p>
    <w:p w14:paraId="5CCA29D2" w14:textId="77777777" w:rsidR="0087102F" w:rsidRDefault="0087102F"/>
  </w:endnote>
  <w:endnote w:type="continuationSeparator" w:id="0">
    <w:p w14:paraId="4205EB43" w14:textId="77777777" w:rsidR="0087102F" w:rsidRDefault="0087102F" w:rsidP="00124A51">
      <w:r>
        <w:continuationSeparator/>
      </w:r>
    </w:p>
    <w:p w14:paraId="781F3E61" w14:textId="77777777" w:rsidR="0087102F" w:rsidRDefault="00871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2CEB" w14:textId="77777777" w:rsidR="00916E6D" w:rsidRDefault="0091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AD8F" w14:textId="77777777" w:rsidR="001E2510" w:rsidRDefault="001E2510" w:rsidP="00132663">
    <w:pPr>
      <w:ind w:right="360"/>
      <w:jc w:val="center"/>
    </w:pPr>
  </w:p>
  <w:p w14:paraId="776E0DE7" w14:textId="5C775B40" w:rsidR="001E2510" w:rsidRDefault="001E2510" w:rsidP="007D38E1">
    <w:pPr>
      <w:ind w:right="360"/>
      <w:jc w:val="center"/>
    </w:pPr>
    <w:r w:rsidRPr="00836F75">
      <w:rPr>
        <w:b/>
      </w:rPr>
      <w:fldChar w:fldCharType="begin"/>
    </w:r>
    <w:r w:rsidRPr="00836F75">
      <w:rPr>
        <w:b/>
      </w:rPr>
      <w:instrText xml:space="preserve"> PAGE   \* MERGEFORMAT </w:instrText>
    </w:r>
    <w:r w:rsidRPr="00836F75">
      <w:rPr>
        <w:b/>
      </w:rPr>
      <w:fldChar w:fldCharType="separate"/>
    </w:r>
    <w:r w:rsidR="005A098A">
      <w:rPr>
        <w:b/>
        <w:noProof/>
      </w:rPr>
      <w:t>1</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2C68" w14:textId="77777777" w:rsidR="00916E6D" w:rsidRDefault="0091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0725C" w14:textId="77777777" w:rsidR="0087102F" w:rsidRDefault="0087102F" w:rsidP="00124A51">
      <w:r>
        <w:separator/>
      </w:r>
    </w:p>
    <w:p w14:paraId="691FE94B" w14:textId="77777777" w:rsidR="0087102F" w:rsidRDefault="0087102F"/>
  </w:footnote>
  <w:footnote w:type="continuationSeparator" w:id="0">
    <w:p w14:paraId="79BFF8F6" w14:textId="77777777" w:rsidR="0087102F" w:rsidRDefault="0087102F" w:rsidP="00124A51">
      <w:r>
        <w:continuationSeparator/>
      </w:r>
    </w:p>
    <w:p w14:paraId="54BEECE0" w14:textId="77777777" w:rsidR="0087102F" w:rsidRDefault="008710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C924" w14:textId="77777777" w:rsidR="00916E6D" w:rsidRDefault="00916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A56B" w14:textId="77777777" w:rsidR="001E2510" w:rsidRPr="00056684" w:rsidRDefault="001E2510" w:rsidP="007D38E1">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14:paraId="4BEED4FC" w14:textId="77777777" w:rsidR="001E2510" w:rsidRDefault="001E2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7312E" w14:textId="77777777" w:rsidR="00916E6D" w:rsidRDefault="00916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F02A4A"/>
    <w:multiLevelType w:val="hybridMultilevel"/>
    <w:tmpl w:val="D1E0F7CC"/>
    <w:lvl w:ilvl="0" w:tplc="AB6E307A">
      <w:numFmt w:val="bullet"/>
      <w:lvlText w:val="-"/>
      <w:lvlJc w:val="left"/>
      <w:pPr>
        <w:ind w:left="1800" w:hanging="360"/>
      </w:pPr>
      <w:rPr>
        <w:rFonts w:ascii="Arial Narrow" w:eastAsiaTheme="majorEastAsia" w:hAnsi="Arial Narrow" w:cstheme="maj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37A8B"/>
    <w:multiLevelType w:val="hybridMultilevel"/>
    <w:tmpl w:val="A2BED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47062192"/>
    <w:lvl w:ilvl="0" w:tplc="500AF4DC">
      <w:start w:val="1"/>
      <w:numFmt w:val="decimal"/>
      <w:lvlText w:val="%1."/>
      <w:lvlJc w:val="left"/>
      <w:pPr>
        <w:ind w:left="1778"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40A80"/>
    <w:multiLevelType w:val="hybridMultilevel"/>
    <w:tmpl w:val="155CEFC6"/>
    <w:lvl w:ilvl="0" w:tplc="AB6E307A">
      <w:numFmt w:val="bullet"/>
      <w:lvlText w:val="-"/>
      <w:lvlJc w:val="left"/>
      <w:pPr>
        <w:ind w:left="1800" w:hanging="360"/>
      </w:pPr>
      <w:rPr>
        <w:rFonts w:ascii="Arial Narrow" w:eastAsiaTheme="majorEastAsia" w:hAnsi="Arial Narrow" w:cstheme="maj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52864"/>
    <w:multiLevelType w:val="hybridMultilevel"/>
    <w:tmpl w:val="67F807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31802B8"/>
    <w:multiLevelType w:val="hybridMultilevel"/>
    <w:tmpl w:val="0F6E6CAE"/>
    <w:lvl w:ilvl="0" w:tplc="0C090001">
      <w:start w:val="1"/>
      <w:numFmt w:val="bullet"/>
      <w:lvlText w:val=""/>
      <w:lvlJc w:val="left"/>
      <w:pPr>
        <w:ind w:left="1080" w:hanging="360"/>
      </w:pPr>
      <w:rPr>
        <w:rFonts w:ascii="Symbol" w:hAnsi="Symbol" w:hint="default"/>
      </w:rPr>
    </w:lvl>
    <w:lvl w:ilvl="1" w:tplc="AB6E307A">
      <w:numFmt w:val="bullet"/>
      <w:lvlText w:val="-"/>
      <w:lvlJc w:val="left"/>
      <w:pPr>
        <w:ind w:left="1800" w:hanging="360"/>
      </w:pPr>
      <w:rPr>
        <w:rFonts w:ascii="Arial Narrow" w:eastAsiaTheme="majorEastAsia" w:hAnsi="Arial Narrow" w:cstheme="majorBidi" w:hint="default"/>
        <w:i w:val="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C11AA3"/>
    <w:multiLevelType w:val="hybridMultilevel"/>
    <w:tmpl w:val="3BFEF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E600D5"/>
    <w:multiLevelType w:val="hybridMultilevel"/>
    <w:tmpl w:val="D77E8D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8"/>
  </w:num>
  <w:num w:numId="2">
    <w:abstractNumId w:val="10"/>
  </w:num>
  <w:num w:numId="3">
    <w:abstractNumId w:val="0"/>
  </w:num>
  <w:num w:numId="4">
    <w:abstractNumId w:val="18"/>
  </w:num>
  <w:num w:numId="5">
    <w:abstractNumId w:val="17"/>
  </w:num>
  <w:num w:numId="6">
    <w:abstractNumId w:val="11"/>
  </w:num>
  <w:num w:numId="7">
    <w:abstractNumId w:val="12"/>
  </w:num>
  <w:num w:numId="8">
    <w:abstractNumId w:val="4"/>
  </w:num>
  <w:num w:numId="9">
    <w:abstractNumId w:val="9"/>
  </w:num>
  <w:num w:numId="10">
    <w:abstractNumId w:val="2"/>
  </w:num>
  <w:num w:numId="11">
    <w:abstractNumId w:val="6"/>
  </w:num>
  <w:num w:numId="12">
    <w:abstractNumId w:val="19"/>
  </w:num>
  <w:num w:numId="13">
    <w:abstractNumId w:val="15"/>
  </w:num>
  <w:num w:numId="14">
    <w:abstractNumId w:val="16"/>
  </w:num>
  <w:num w:numId="15">
    <w:abstractNumId w:val="13"/>
  </w:num>
  <w:num w:numId="16">
    <w:abstractNumId w:val="14"/>
  </w:num>
  <w:num w:numId="17">
    <w:abstractNumId w:val="3"/>
  </w:num>
  <w:num w:numId="18">
    <w:abstractNumId w:val="1"/>
  </w:num>
  <w:num w:numId="19">
    <w:abstractNumId w:val="7"/>
  </w:num>
  <w:num w:numId="20">
    <w:abstractNumId w:val="8"/>
  </w:num>
  <w:num w:numId="21">
    <w:abstractNumId w:val="5"/>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8D"/>
    <w:rsid w:val="00000790"/>
    <w:rsid w:val="00000B68"/>
    <w:rsid w:val="0000110B"/>
    <w:rsid w:val="000020B6"/>
    <w:rsid w:val="00002F43"/>
    <w:rsid w:val="0000323A"/>
    <w:rsid w:val="000033E7"/>
    <w:rsid w:val="00003499"/>
    <w:rsid w:val="000039B7"/>
    <w:rsid w:val="00003E8B"/>
    <w:rsid w:val="000040B7"/>
    <w:rsid w:val="000042A5"/>
    <w:rsid w:val="0000639A"/>
    <w:rsid w:val="00006873"/>
    <w:rsid w:val="00007364"/>
    <w:rsid w:val="000113FB"/>
    <w:rsid w:val="00011B92"/>
    <w:rsid w:val="000126CB"/>
    <w:rsid w:val="00013247"/>
    <w:rsid w:val="000139F0"/>
    <w:rsid w:val="000156D1"/>
    <w:rsid w:val="00015886"/>
    <w:rsid w:val="000162EF"/>
    <w:rsid w:val="00016B30"/>
    <w:rsid w:val="000207C9"/>
    <w:rsid w:val="000213D3"/>
    <w:rsid w:val="00021F80"/>
    <w:rsid w:val="0002225F"/>
    <w:rsid w:val="000223A1"/>
    <w:rsid w:val="00023763"/>
    <w:rsid w:val="000245EC"/>
    <w:rsid w:val="00024E36"/>
    <w:rsid w:val="000274B8"/>
    <w:rsid w:val="000279F7"/>
    <w:rsid w:val="00027A9A"/>
    <w:rsid w:val="000314D6"/>
    <w:rsid w:val="00031DD8"/>
    <w:rsid w:val="00032BB3"/>
    <w:rsid w:val="000336C0"/>
    <w:rsid w:val="00033863"/>
    <w:rsid w:val="00035122"/>
    <w:rsid w:val="00035D44"/>
    <w:rsid w:val="00035DC0"/>
    <w:rsid w:val="00036829"/>
    <w:rsid w:val="00037353"/>
    <w:rsid w:val="00040895"/>
    <w:rsid w:val="000409FB"/>
    <w:rsid w:val="00040EAE"/>
    <w:rsid w:val="000416E8"/>
    <w:rsid w:val="00042C96"/>
    <w:rsid w:val="000435EE"/>
    <w:rsid w:val="00043C37"/>
    <w:rsid w:val="00044936"/>
    <w:rsid w:val="00044AF9"/>
    <w:rsid w:val="00045017"/>
    <w:rsid w:val="000458D2"/>
    <w:rsid w:val="00045908"/>
    <w:rsid w:val="00045A2B"/>
    <w:rsid w:val="000468D9"/>
    <w:rsid w:val="0004698F"/>
    <w:rsid w:val="000473D7"/>
    <w:rsid w:val="000505A5"/>
    <w:rsid w:val="000517D1"/>
    <w:rsid w:val="00051F5E"/>
    <w:rsid w:val="000539D0"/>
    <w:rsid w:val="00053F3E"/>
    <w:rsid w:val="00054621"/>
    <w:rsid w:val="000546D7"/>
    <w:rsid w:val="00054E6F"/>
    <w:rsid w:val="00055300"/>
    <w:rsid w:val="00056ECF"/>
    <w:rsid w:val="000572DC"/>
    <w:rsid w:val="000604DF"/>
    <w:rsid w:val="0006064E"/>
    <w:rsid w:val="00061283"/>
    <w:rsid w:val="00061361"/>
    <w:rsid w:val="00061AFC"/>
    <w:rsid w:val="000653B5"/>
    <w:rsid w:val="00065BA9"/>
    <w:rsid w:val="00066360"/>
    <w:rsid w:val="00066390"/>
    <w:rsid w:val="00066AF8"/>
    <w:rsid w:val="00067D49"/>
    <w:rsid w:val="000706B6"/>
    <w:rsid w:val="00071248"/>
    <w:rsid w:val="000720B9"/>
    <w:rsid w:val="000721A3"/>
    <w:rsid w:val="00072644"/>
    <w:rsid w:val="00072741"/>
    <w:rsid w:val="000727E8"/>
    <w:rsid w:val="00072D2C"/>
    <w:rsid w:val="00073732"/>
    <w:rsid w:val="000737F7"/>
    <w:rsid w:val="0007589A"/>
    <w:rsid w:val="0007618E"/>
    <w:rsid w:val="0007672F"/>
    <w:rsid w:val="00076B24"/>
    <w:rsid w:val="00076B54"/>
    <w:rsid w:val="000774F0"/>
    <w:rsid w:val="00080236"/>
    <w:rsid w:val="00080531"/>
    <w:rsid w:val="00080909"/>
    <w:rsid w:val="000812CA"/>
    <w:rsid w:val="00081556"/>
    <w:rsid w:val="00081C26"/>
    <w:rsid w:val="00081E63"/>
    <w:rsid w:val="0008258D"/>
    <w:rsid w:val="000839DD"/>
    <w:rsid w:val="00083E99"/>
    <w:rsid w:val="00084FA8"/>
    <w:rsid w:val="000856C5"/>
    <w:rsid w:val="0008570C"/>
    <w:rsid w:val="00085C31"/>
    <w:rsid w:val="00086EBE"/>
    <w:rsid w:val="000902D9"/>
    <w:rsid w:val="00090C7E"/>
    <w:rsid w:val="00090CAD"/>
    <w:rsid w:val="00090DA1"/>
    <w:rsid w:val="000913CE"/>
    <w:rsid w:val="0009177C"/>
    <w:rsid w:val="0009244B"/>
    <w:rsid w:val="00092600"/>
    <w:rsid w:val="0009262B"/>
    <w:rsid w:val="0009325B"/>
    <w:rsid w:val="00093310"/>
    <w:rsid w:val="0009445C"/>
    <w:rsid w:val="00094533"/>
    <w:rsid w:val="00094974"/>
    <w:rsid w:val="00095200"/>
    <w:rsid w:val="00095FE5"/>
    <w:rsid w:val="00096284"/>
    <w:rsid w:val="000A1931"/>
    <w:rsid w:val="000A1BC0"/>
    <w:rsid w:val="000A3428"/>
    <w:rsid w:val="000A35BC"/>
    <w:rsid w:val="000A4095"/>
    <w:rsid w:val="000A460F"/>
    <w:rsid w:val="000A6039"/>
    <w:rsid w:val="000A643F"/>
    <w:rsid w:val="000A7453"/>
    <w:rsid w:val="000A7D08"/>
    <w:rsid w:val="000B0121"/>
    <w:rsid w:val="000B0670"/>
    <w:rsid w:val="000B0E75"/>
    <w:rsid w:val="000B2764"/>
    <w:rsid w:val="000B2DCB"/>
    <w:rsid w:val="000B359F"/>
    <w:rsid w:val="000B4180"/>
    <w:rsid w:val="000B5CE0"/>
    <w:rsid w:val="000B6CAC"/>
    <w:rsid w:val="000B7612"/>
    <w:rsid w:val="000B78AE"/>
    <w:rsid w:val="000B7CDC"/>
    <w:rsid w:val="000B7DB3"/>
    <w:rsid w:val="000C1FC7"/>
    <w:rsid w:val="000C2D9C"/>
    <w:rsid w:val="000C2DA9"/>
    <w:rsid w:val="000C3DF9"/>
    <w:rsid w:val="000C409D"/>
    <w:rsid w:val="000C63F8"/>
    <w:rsid w:val="000C6713"/>
    <w:rsid w:val="000C6A43"/>
    <w:rsid w:val="000C7572"/>
    <w:rsid w:val="000C7637"/>
    <w:rsid w:val="000C789F"/>
    <w:rsid w:val="000D01F8"/>
    <w:rsid w:val="000D14E4"/>
    <w:rsid w:val="000D15F6"/>
    <w:rsid w:val="000D1BFC"/>
    <w:rsid w:val="000D1D5D"/>
    <w:rsid w:val="000D2372"/>
    <w:rsid w:val="000D281A"/>
    <w:rsid w:val="000D2848"/>
    <w:rsid w:val="000D326A"/>
    <w:rsid w:val="000D4A42"/>
    <w:rsid w:val="000D51FB"/>
    <w:rsid w:val="000D6046"/>
    <w:rsid w:val="000D6BA6"/>
    <w:rsid w:val="000E0392"/>
    <w:rsid w:val="000E0640"/>
    <w:rsid w:val="000E135D"/>
    <w:rsid w:val="000E274F"/>
    <w:rsid w:val="000E2765"/>
    <w:rsid w:val="000E389B"/>
    <w:rsid w:val="000E3D69"/>
    <w:rsid w:val="000E41C1"/>
    <w:rsid w:val="000E56E1"/>
    <w:rsid w:val="000E7C29"/>
    <w:rsid w:val="000F00BA"/>
    <w:rsid w:val="000F12F4"/>
    <w:rsid w:val="000F316A"/>
    <w:rsid w:val="000F3C74"/>
    <w:rsid w:val="000F4167"/>
    <w:rsid w:val="000F491B"/>
    <w:rsid w:val="000F4BB8"/>
    <w:rsid w:val="000F4C0E"/>
    <w:rsid w:val="000F4FA9"/>
    <w:rsid w:val="000F53FB"/>
    <w:rsid w:val="000F5DE7"/>
    <w:rsid w:val="000F6520"/>
    <w:rsid w:val="000F6C24"/>
    <w:rsid w:val="000F7127"/>
    <w:rsid w:val="000F7B54"/>
    <w:rsid w:val="00100F8A"/>
    <w:rsid w:val="0010166C"/>
    <w:rsid w:val="0010286A"/>
    <w:rsid w:val="0010452E"/>
    <w:rsid w:val="00105574"/>
    <w:rsid w:val="00105AE2"/>
    <w:rsid w:val="00105C25"/>
    <w:rsid w:val="00105FE7"/>
    <w:rsid w:val="001060C6"/>
    <w:rsid w:val="00106B80"/>
    <w:rsid w:val="00106FC2"/>
    <w:rsid w:val="00107EF5"/>
    <w:rsid w:val="001100D8"/>
    <w:rsid w:val="0011032E"/>
    <w:rsid w:val="0011348B"/>
    <w:rsid w:val="0011403B"/>
    <w:rsid w:val="00115982"/>
    <w:rsid w:val="00115A70"/>
    <w:rsid w:val="00116B55"/>
    <w:rsid w:val="00116C53"/>
    <w:rsid w:val="001176BE"/>
    <w:rsid w:val="001215A4"/>
    <w:rsid w:val="0012171D"/>
    <w:rsid w:val="00121799"/>
    <w:rsid w:val="00121EA2"/>
    <w:rsid w:val="001222FC"/>
    <w:rsid w:val="00122E14"/>
    <w:rsid w:val="00123168"/>
    <w:rsid w:val="00123902"/>
    <w:rsid w:val="00124A51"/>
    <w:rsid w:val="00124E7F"/>
    <w:rsid w:val="001253DF"/>
    <w:rsid w:val="00125460"/>
    <w:rsid w:val="00125C52"/>
    <w:rsid w:val="00126368"/>
    <w:rsid w:val="00126621"/>
    <w:rsid w:val="001266C9"/>
    <w:rsid w:val="00126B1D"/>
    <w:rsid w:val="00127D5E"/>
    <w:rsid w:val="001301E9"/>
    <w:rsid w:val="00131D82"/>
    <w:rsid w:val="00132535"/>
    <w:rsid w:val="00132663"/>
    <w:rsid w:val="00132B22"/>
    <w:rsid w:val="001338EE"/>
    <w:rsid w:val="00133D36"/>
    <w:rsid w:val="00133DD1"/>
    <w:rsid w:val="00134711"/>
    <w:rsid w:val="00137645"/>
    <w:rsid w:val="001377C3"/>
    <w:rsid w:val="0014015A"/>
    <w:rsid w:val="00140E99"/>
    <w:rsid w:val="00141D50"/>
    <w:rsid w:val="001420F2"/>
    <w:rsid w:val="001428B3"/>
    <w:rsid w:val="00143EEE"/>
    <w:rsid w:val="00143F67"/>
    <w:rsid w:val="00145006"/>
    <w:rsid w:val="00145540"/>
    <w:rsid w:val="001456B0"/>
    <w:rsid w:val="001465F6"/>
    <w:rsid w:val="001468A0"/>
    <w:rsid w:val="00150354"/>
    <w:rsid w:val="00150732"/>
    <w:rsid w:val="001507D0"/>
    <w:rsid w:val="0015145B"/>
    <w:rsid w:val="00151BDA"/>
    <w:rsid w:val="00151C3F"/>
    <w:rsid w:val="00155A94"/>
    <w:rsid w:val="00156526"/>
    <w:rsid w:val="00156B4E"/>
    <w:rsid w:val="00156F8F"/>
    <w:rsid w:val="00157130"/>
    <w:rsid w:val="001576B1"/>
    <w:rsid w:val="0015775A"/>
    <w:rsid w:val="00157D4A"/>
    <w:rsid w:val="00157E68"/>
    <w:rsid w:val="0016047B"/>
    <w:rsid w:val="00160A4C"/>
    <w:rsid w:val="00162913"/>
    <w:rsid w:val="00163EFF"/>
    <w:rsid w:val="00163F66"/>
    <w:rsid w:val="001661FB"/>
    <w:rsid w:val="0016654B"/>
    <w:rsid w:val="001671A0"/>
    <w:rsid w:val="00167384"/>
    <w:rsid w:val="0016767F"/>
    <w:rsid w:val="00171784"/>
    <w:rsid w:val="00171A2D"/>
    <w:rsid w:val="00172BA4"/>
    <w:rsid w:val="00173515"/>
    <w:rsid w:val="00173565"/>
    <w:rsid w:val="001737B7"/>
    <w:rsid w:val="00173B07"/>
    <w:rsid w:val="001751FA"/>
    <w:rsid w:val="00175387"/>
    <w:rsid w:val="00175E59"/>
    <w:rsid w:val="00176A5F"/>
    <w:rsid w:val="00176B8C"/>
    <w:rsid w:val="00176F1F"/>
    <w:rsid w:val="0017733E"/>
    <w:rsid w:val="001779BE"/>
    <w:rsid w:val="001817A9"/>
    <w:rsid w:val="00181D9C"/>
    <w:rsid w:val="00184108"/>
    <w:rsid w:val="00184B0E"/>
    <w:rsid w:val="0018564A"/>
    <w:rsid w:val="00186EC9"/>
    <w:rsid w:val="0018752F"/>
    <w:rsid w:val="00190B2F"/>
    <w:rsid w:val="00191666"/>
    <w:rsid w:val="001917FF"/>
    <w:rsid w:val="00191C21"/>
    <w:rsid w:val="00193838"/>
    <w:rsid w:val="00194AD8"/>
    <w:rsid w:val="00195222"/>
    <w:rsid w:val="00195F10"/>
    <w:rsid w:val="001975D8"/>
    <w:rsid w:val="00197CDC"/>
    <w:rsid w:val="001A178E"/>
    <w:rsid w:val="001A1D80"/>
    <w:rsid w:val="001A2EBC"/>
    <w:rsid w:val="001A42A1"/>
    <w:rsid w:val="001A43FA"/>
    <w:rsid w:val="001A47C5"/>
    <w:rsid w:val="001A48EC"/>
    <w:rsid w:val="001A4C3A"/>
    <w:rsid w:val="001A59FB"/>
    <w:rsid w:val="001A5D64"/>
    <w:rsid w:val="001A5E9E"/>
    <w:rsid w:val="001A6001"/>
    <w:rsid w:val="001A6354"/>
    <w:rsid w:val="001A6366"/>
    <w:rsid w:val="001A7665"/>
    <w:rsid w:val="001A7AD5"/>
    <w:rsid w:val="001A7AE8"/>
    <w:rsid w:val="001B07EC"/>
    <w:rsid w:val="001B1368"/>
    <w:rsid w:val="001B1C56"/>
    <w:rsid w:val="001B204E"/>
    <w:rsid w:val="001B2372"/>
    <w:rsid w:val="001B3443"/>
    <w:rsid w:val="001B43F8"/>
    <w:rsid w:val="001B4D20"/>
    <w:rsid w:val="001B5C10"/>
    <w:rsid w:val="001B62A2"/>
    <w:rsid w:val="001B6B9D"/>
    <w:rsid w:val="001B73FF"/>
    <w:rsid w:val="001B775F"/>
    <w:rsid w:val="001C0906"/>
    <w:rsid w:val="001C2A9B"/>
    <w:rsid w:val="001C3F5A"/>
    <w:rsid w:val="001C4299"/>
    <w:rsid w:val="001C47CA"/>
    <w:rsid w:val="001C4874"/>
    <w:rsid w:val="001C4CED"/>
    <w:rsid w:val="001C5BDC"/>
    <w:rsid w:val="001C5F94"/>
    <w:rsid w:val="001C6E66"/>
    <w:rsid w:val="001D0644"/>
    <w:rsid w:val="001D072C"/>
    <w:rsid w:val="001D1100"/>
    <w:rsid w:val="001D110E"/>
    <w:rsid w:val="001D1391"/>
    <w:rsid w:val="001D25D7"/>
    <w:rsid w:val="001D50B2"/>
    <w:rsid w:val="001D5B17"/>
    <w:rsid w:val="001D5F25"/>
    <w:rsid w:val="001D7330"/>
    <w:rsid w:val="001D7645"/>
    <w:rsid w:val="001E0126"/>
    <w:rsid w:val="001E1E86"/>
    <w:rsid w:val="001E238E"/>
    <w:rsid w:val="001E2483"/>
    <w:rsid w:val="001E2510"/>
    <w:rsid w:val="001E2B1E"/>
    <w:rsid w:val="001E2CFF"/>
    <w:rsid w:val="001E2F24"/>
    <w:rsid w:val="001E30D4"/>
    <w:rsid w:val="001E34DF"/>
    <w:rsid w:val="001E4B54"/>
    <w:rsid w:val="001E52EB"/>
    <w:rsid w:val="001E61D2"/>
    <w:rsid w:val="001E6302"/>
    <w:rsid w:val="001E6C64"/>
    <w:rsid w:val="001E740C"/>
    <w:rsid w:val="001F1235"/>
    <w:rsid w:val="001F141E"/>
    <w:rsid w:val="001F1CB3"/>
    <w:rsid w:val="001F1CDD"/>
    <w:rsid w:val="001F2D83"/>
    <w:rsid w:val="001F38B5"/>
    <w:rsid w:val="001F4081"/>
    <w:rsid w:val="001F4506"/>
    <w:rsid w:val="001F4F5A"/>
    <w:rsid w:val="001F51E9"/>
    <w:rsid w:val="001F592B"/>
    <w:rsid w:val="001F6C61"/>
    <w:rsid w:val="001F7053"/>
    <w:rsid w:val="001F7135"/>
    <w:rsid w:val="001F7361"/>
    <w:rsid w:val="00200EF8"/>
    <w:rsid w:val="00200FB2"/>
    <w:rsid w:val="002011B0"/>
    <w:rsid w:val="002014AF"/>
    <w:rsid w:val="00202399"/>
    <w:rsid w:val="00203181"/>
    <w:rsid w:val="002035E2"/>
    <w:rsid w:val="00203783"/>
    <w:rsid w:val="0020385F"/>
    <w:rsid w:val="00203FEB"/>
    <w:rsid w:val="002068A0"/>
    <w:rsid w:val="00207021"/>
    <w:rsid w:val="0020732F"/>
    <w:rsid w:val="00207754"/>
    <w:rsid w:val="00207D00"/>
    <w:rsid w:val="00207E50"/>
    <w:rsid w:val="002105C1"/>
    <w:rsid w:val="002114B0"/>
    <w:rsid w:val="0021344C"/>
    <w:rsid w:val="00213EF5"/>
    <w:rsid w:val="00214575"/>
    <w:rsid w:val="002161BB"/>
    <w:rsid w:val="002165D0"/>
    <w:rsid w:val="00216BF5"/>
    <w:rsid w:val="00220C42"/>
    <w:rsid w:val="002211C1"/>
    <w:rsid w:val="00221584"/>
    <w:rsid w:val="002217A4"/>
    <w:rsid w:val="0022189A"/>
    <w:rsid w:val="0022208A"/>
    <w:rsid w:val="002221BA"/>
    <w:rsid w:val="00222EF7"/>
    <w:rsid w:val="00223B49"/>
    <w:rsid w:val="00223D5A"/>
    <w:rsid w:val="002243AE"/>
    <w:rsid w:val="00224DD4"/>
    <w:rsid w:val="00226B01"/>
    <w:rsid w:val="002278A0"/>
    <w:rsid w:val="00227F61"/>
    <w:rsid w:val="00230232"/>
    <w:rsid w:val="002304C1"/>
    <w:rsid w:val="00230612"/>
    <w:rsid w:val="002309CC"/>
    <w:rsid w:val="00230DB1"/>
    <w:rsid w:val="0023209F"/>
    <w:rsid w:val="00232838"/>
    <w:rsid w:val="00233533"/>
    <w:rsid w:val="00233C01"/>
    <w:rsid w:val="0023413C"/>
    <w:rsid w:val="002346F0"/>
    <w:rsid w:val="002351BE"/>
    <w:rsid w:val="00235A10"/>
    <w:rsid w:val="0023629D"/>
    <w:rsid w:val="00237150"/>
    <w:rsid w:val="00237255"/>
    <w:rsid w:val="002379B9"/>
    <w:rsid w:val="00240C51"/>
    <w:rsid w:val="00241A42"/>
    <w:rsid w:val="002424AF"/>
    <w:rsid w:val="00242B74"/>
    <w:rsid w:val="00243758"/>
    <w:rsid w:val="002439DC"/>
    <w:rsid w:val="002441D2"/>
    <w:rsid w:val="00244DC8"/>
    <w:rsid w:val="00244F5A"/>
    <w:rsid w:val="0024521F"/>
    <w:rsid w:val="002458BA"/>
    <w:rsid w:val="00245CE9"/>
    <w:rsid w:val="00245DBF"/>
    <w:rsid w:val="0024636C"/>
    <w:rsid w:val="002471BB"/>
    <w:rsid w:val="00247925"/>
    <w:rsid w:val="00250227"/>
    <w:rsid w:val="00251006"/>
    <w:rsid w:val="002514B5"/>
    <w:rsid w:val="00251E46"/>
    <w:rsid w:val="002524D5"/>
    <w:rsid w:val="00252613"/>
    <w:rsid w:val="00252F86"/>
    <w:rsid w:val="00253B1D"/>
    <w:rsid w:val="00254DCF"/>
    <w:rsid w:val="0025534B"/>
    <w:rsid w:val="00255BB7"/>
    <w:rsid w:val="00255C54"/>
    <w:rsid w:val="00256302"/>
    <w:rsid w:val="00256442"/>
    <w:rsid w:val="002572B3"/>
    <w:rsid w:val="00257541"/>
    <w:rsid w:val="00257A39"/>
    <w:rsid w:val="00257AC4"/>
    <w:rsid w:val="002600AC"/>
    <w:rsid w:val="00260E39"/>
    <w:rsid w:val="00261BDD"/>
    <w:rsid w:val="00261D09"/>
    <w:rsid w:val="00261EEF"/>
    <w:rsid w:val="00262A1A"/>
    <w:rsid w:val="00262A87"/>
    <w:rsid w:val="00264D26"/>
    <w:rsid w:val="00264D3E"/>
    <w:rsid w:val="00266538"/>
    <w:rsid w:val="00267642"/>
    <w:rsid w:val="00267AEA"/>
    <w:rsid w:val="002700E6"/>
    <w:rsid w:val="0027066F"/>
    <w:rsid w:val="0027294B"/>
    <w:rsid w:val="00272C8A"/>
    <w:rsid w:val="00272F5E"/>
    <w:rsid w:val="0027329A"/>
    <w:rsid w:val="002732DD"/>
    <w:rsid w:val="00273A79"/>
    <w:rsid w:val="00273AAA"/>
    <w:rsid w:val="00273EB4"/>
    <w:rsid w:val="00273FFC"/>
    <w:rsid w:val="00274682"/>
    <w:rsid w:val="002749C1"/>
    <w:rsid w:val="00274C99"/>
    <w:rsid w:val="002751D9"/>
    <w:rsid w:val="00275551"/>
    <w:rsid w:val="00275C5A"/>
    <w:rsid w:val="00275F86"/>
    <w:rsid w:val="002770BA"/>
    <w:rsid w:val="00277F0C"/>
    <w:rsid w:val="00280873"/>
    <w:rsid w:val="00280941"/>
    <w:rsid w:val="00280997"/>
    <w:rsid w:val="00281014"/>
    <w:rsid w:val="002815ED"/>
    <w:rsid w:val="002826C7"/>
    <w:rsid w:val="002853DD"/>
    <w:rsid w:val="00285A81"/>
    <w:rsid w:val="0028665D"/>
    <w:rsid w:val="00290147"/>
    <w:rsid w:val="00290FA3"/>
    <w:rsid w:val="00290FE3"/>
    <w:rsid w:val="00291D1B"/>
    <w:rsid w:val="002929F6"/>
    <w:rsid w:val="00293C86"/>
    <w:rsid w:val="0029433A"/>
    <w:rsid w:val="002A14AB"/>
    <w:rsid w:val="002A1A00"/>
    <w:rsid w:val="002A2481"/>
    <w:rsid w:val="002A2ADE"/>
    <w:rsid w:val="002A2F50"/>
    <w:rsid w:val="002A3213"/>
    <w:rsid w:val="002A38FF"/>
    <w:rsid w:val="002A3E50"/>
    <w:rsid w:val="002A4488"/>
    <w:rsid w:val="002A558A"/>
    <w:rsid w:val="002A5681"/>
    <w:rsid w:val="002A7499"/>
    <w:rsid w:val="002B05A1"/>
    <w:rsid w:val="002B09A4"/>
    <w:rsid w:val="002B1C1F"/>
    <w:rsid w:val="002B381C"/>
    <w:rsid w:val="002B3E69"/>
    <w:rsid w:val="002B432F"/>
    <w:rsid w:val="002B469A"/>
    <w:rsid w:val="002B62B3"/>
    <w:rsid w:val="002B6754"/>
    <w:rsid w:val="002B6CCE"/>
    <w:rsid w:val="002B7F4B"/>
    <w:rsid w:val="002C2510"/>
    <w:rsid w:val="002C2775"/>
    <w:rsid w:val="002C27C1"/>
    <w:rsid w:val="002C352F"/>
    <w:rsid w:val="002C3C21"/>
    <w:rsid w:val="002C3CEB"/>
    <w:rsid w:val="002C5099"/>
    <w:rsid w:val="002C5889"/>
    <w:rsid w:val="002C71C2"/>
    <w:rsid w:val="002C71CE"/>
    <w:rsid w:val="002C7A34"/>
    <w:rsid w:val="002D0687"/>
    <w:rsid w:val="002D08F8"/>
    <w:rsid w:val="002D3299"/>
    <w:rsid w:val="002D3632"/>
    <w:rsid w:val="002D48C1"/>
    <w:rsid w:val="002D577C"/>
    <w:rsid w:val="002D6607"/>
    <w:rsid w:val="002D71B7"/>
    <w:rsid w:val="002D7C61"/>
    <w:rsid w:val="002E0B16"/>
    <w:rsid w:val="002E1071"/>
    <w:rsid w:val="002E15B9"/>
    <w:rsid w:val="002E2158"/>
    <w:rsid w:val="002E2701"/>
    <w:rsid w:val="002E2D3F"/>
    <w:rsid w:val="002E4837"/>
    <w:rsid w:val="002E4EDD"/>
    <w:rsid w:val="002E4F02"/>
    <w:rsid w:val="002E5ACA"/>
    <w:rsid w:val="002E68B3"/>
    <w:rsid w:val="002E7722"/>
    <w:rsid w:val="002E797E"/>
    <w:rsid w:val="002E7F92"/>
    <w:rsid w:val="002F07BA"/>
    <w:rsid w:val="002F0DA9"/>
    <w:rsid w:val="002F1014"/>
    <w:rsid w:val="002F21F3"/>
    <w:rsid w:val="002F56C7"/>
    <w:rsid w:val="002F643C"/>
    <w:rsid w:val="002F6ADB"/>
    <w:rsid w:val="002F71C0"/>
    <w:rsid w:val="002F74F1"/>
    <w:rsid w:val="002F7AEF"/>
    <w:rsid w:val="00301017"/>
    <w:rsid w:val="0030155F"/>
    <w:rsid w:val="00303173"/>
    <w:rsid w:val="00303BD0"/>
    <w:rsid w:val="0030545D"/>
    <w:rsid w:val="0030587B"/>
    <w:rsid w:val="00306D98"/>
    <w:rsid w:val="00306F9A"/>
    <w:rsid w:val="0030772F"/>
    <w:rsid w:val="0030786C"/>
    <w:rsid w:val="00307876"/>
    <w:rsid w:val="00310303"/>
    <w:rsid w:val="0031031A"/>
    <w:rsid w:val="00310981"/>
    <w:rsid w:val="003124D9"/>
    <w:rsid w:val="00312594"/>
    <w:rsid w:val="00313853"/>
    <w:rsid w:val="00315048"/>
    <w:rsid w:val="00315498"/>
    <w:rsid w:val="0031554E"/>
    <w:rsid w:val="00315C6D"/>
    <w:rsid w:val="0031623E"/>
    <w:rsid w:val="00316474"/>
    <w:rsid w:val="00316DA1"/>
    <w:rsid w:val="00317D9F"/>
    <w:rsid w:val="00321387"/>
    <w:rsid w:val="00322107"/>
    <w:rsid w:val="00322355"/>
    <w:rsid w:val="00322846"/>
    <w:rsid w:val="00322C1E"/>
    <w:rsid w:val="00322CE6"/>
    <w:rsid w:val="00323235"/>
    <w:rsid w:val="003238F6"/>
    <w:rsid w:val="00324457"/>
    <w:rsid w:val="00325406"/>
    <w:rsid w:val="00326DA7"/>
    <w:rsid w:val="003270E4"/>
    <w:rsid w:val="00327FC3"/>
    <w:rsid w:val="003306BE"/>
    <w:rsid w:val="00330DAA"/>
    <w:rsid w:val="00330F5C"/>
    <w:rsid w:val="0033233F"/>
    <w:rsid w:val="00332FF7"/>
    <w:rsid w:val="00333628"/>
    <w:rsid w:val="00333A29"/>
    <w:rsid w:val="00334EC6"/>
    <w:rsid w:val="003354E2"/>
    <w:rsid w:val="00335E53"/>
    <w:rsid w:val="0033613E"/>
    <w:rsid w:val="00336517"/>
    <w:rsid w:val="003366C9"/>
    <w:rsid w:val="003371B0"/>
    <w:rsid w:val="0033762D"/>
    <w:rsid w:val="00340DF1"/>
    <w:rsid w:val="00340F45"/>
    <w:rsid w:val="003416EA"/>
    <w:rsid w:val="00343A1A"/>
    <w:rsid w:val="0034495F"/>
    <w:rsid w:val="00345A3D"/>
    <w:rsid w:val="00345B8E"/>
    <w:rsid w:val="0034635B"/>
    <w:rsid w:val="0035023A"/>
    <w:rsid w:val="00350F71"/>
    <w:rsid w:val="003517F9"/>
    <w:rsid w:val="00351BA9"/>
    <w:rsid w:val="00354A82"/>
    <w:rsid w:val="00354CF6"/>
    <w:rsid w:val="00354F64"/>
    <w:rsid w:val="0035620E"/>
    <w:rsid w:val="0035662D"/>
    <w:rsid w:val="00356AEC"/>
    <w:rsid w:val="0035764F"/>
    <w:rsid w:val="00357C6C"/>
    <w:rsid w:val="00360174"/>
    <w:rsid w:val="00360345"/>
    <w:rsid w:val="00360462"/>
    <w:rsid w:val="00360761"/>
    <w:rsid w:val="00361250"/>
    <w:rsid w:val="003612B3"/>
    <w:rsid w:val="00361991"/>
    <w:rsid w:val="00361A05"/>
    <w:rsid w:val="003624C4"/>
    <w:rsid w:val="00362BF7"/>
    <w:rsid w:val="00363B00"/>
    <w:rsid w:val="0036531D"/>
    <w:rsid w:val="003654AC"/>
    <w:rsid w:val="00367F38"/>
    <w:rsid w:val="003703BA"/>
    <w:rsid w:val="003705C2"/>
    <w:rsid w:val="003710CF"/>
    <w:rsid w:val="00371357"/>
    <w:rsid w:val="003720E9"/>
    <w:rsid w:val="0037358A"/>
    <w:rsid w:val="00374AF7"/>
    <w:rsid w:val="003750F6"/>
    <w:rsid w:val="003752A7"/>
    <w:rsid w:val="00375445"/>
    <w:rsid w:val="00375C5B"/>
    <w:rsid w:val="00375F3A"/>
    <w:rsid w:val="003760FC"/>
    <w:rsid w:val="00380017"/>
    <w:rsid w:val="00382D4B"/>
    <w:rsid w:val="0038365C"/>
    <w:rsid w:val="0038369B"/>
    <w:rsid w:val="00383B78"/>
    <w:rsid w:val="003841E7"/>
    <w:rsid w:val="0038485C"/>
    <w:rsid w:val="003849BF"/>
    <w:rsid w:val="00385A9D"/>
    <w:rsid w:val="0038744C"/>
    <w:rsid w:val="003902B1"/>
    <w:rsid w:val="0039179C"/>
    <w:rsid w:val="003919B5"/>
    <w:rsid w:val="003928F3"/>
    <w:rsid w:val="0039587D"/>
    <w:rsid w:val="00395EF5"/>
    <w:rsid w:val="00396896"/>
    <w:rsid w:val="00396FD0"/>
    <w:rsid w:val="003A0980"/>
    <w:rsid w:val="003A1A7A"/>
    <w:rsid w:val="003A2392"/>
    <w:rsid w:val="003A2831"/>
    <w:rsid w:val="003A2A1A"/>
    <w:rsid w:val="003A2AB1"/>
    <w:rsid w:val="003A3CB6"/>
    <w:rsid w:val="003A3ED1"/>
    <w:rsid w:val="003A44DB"/>
    <w:rsid w:val="003A4D95"/>
    <w:rsid w:val="003A5F89"/>
    <w:rsid w:val="003A69A9"/>
    <w:rsid w:val="003A6B0D"/>
    <w:rsid w:val="003A6BA3"/>
    <w:rsid w:val="003B11F6"/>
    <w:rsid w:val="003B172B"/>
    <w:rsid w:val="003B2ABC"/>
    <w:rsid w:val="003B2B81"/>
    <w:rsid w:val="003B3971"/>
    <w:rsid w:val="003B4869"/>
    <w:rsid w:val="003B4E0B"/>
    <w:rsid w:val="003B52E6"/>
    <w:rsid w:val="003B55D1"/>
    <w:rsid w:val="003B5B61"/>
    <w:rsid w:val="003C1654"/>
    <w:rsid w:val="003C344A"/>
    <w:rsid w:val="003C3635"/>
    <w:rsid w:val="003C5542"/>
    <w:rsid w:val="003C5B3D"/>
    <w:rsid w:val="003C5D90"/>
    <w:rsid w:val="003C7904"/>
    <w:rsid w:val="003C7D19"/>
    <w:rsid w:val="003C7D2F"/>
    <w:rsid w:val="003C7EC0"/>
    <w:rsid w:val="003C7FC5"/>
    <w:rsid w:val="003D0546"/>
    <w:rsid w:val="003D08AF"/>
    <w:rsid w:val="003D1828"/>
    <w:rsid w:val="003D1DE4"/>
    <w:rsid w:val="003D1E9A"/>
    <w:rsid w:val="003D23FA"/>
    <w:rsid w:val="003D2422"/>
    <w:rsid w:val="003D2562"/>
    <w:rsid w:val="003D39A1"/>
    <w:rsid w:val="003D3D27"/>
    <w:rsid w:val="003D3FBF"/>
    <w:rsid w:val="003D4A30"/>
    <w:rsid w:val="003D7452"/>
    <w:rsid w:val="003D79BB"/>
    <w:rsid w:val="003D7C98"/>
    <w:rsid w:val="003D7D9D"/>
    <w:rsid w:val="003E0543"/>
    <w:rsid w:val="003E0C12"/>
    <w:rsid w:val="003E1822"/>
    <w:rsid w:val="003E249B"/>
    <w:rsid w:val="003E52C8"/>
    <w:rsid w:val="003E54B8"/>
    <w:rsid w:val="003E5BF1"/>
    <w:rsid w:val="003E749E"/>
    <w:rsid w:val="003F0C5F"/>
    <w:rsid w:val="003F1EED"/>
    <w:rsid w:val="003F3F34"/>
    <w:rsid w:val="003F3F99"/>
    <w:rsid w:val="003F4156"/>
    <w:rsid w:val="003F425E"/>
    <w:rsid w:val="003F4423"/>
    <w:rsid w:val="003F52F0"/>
    <w:rsid w:val="003F5ADF"/>
    <w:rsid w:val="003F6118"/>
    <w:rsid w:val="003F617F"/>
    <w:rsid w:val="003F73BD"/>
    <w:rsid w:val="003F78CB"/>
    <w:rsid w:val="003F7C6D"/>
    <w:rsid w:val="00400B29"/>
    <w:rsid w:val="004020BB"/>
    <w:rsid w:val="0040253A"/>
    <w:rsid w:val="00402818"/>
    <w:rsid w:val="004029DE"/>
    <w:rsid w:val="00403F35"/>
    <w:rsid w:val="0040504B"/>
    <w:rsid w:val="0040508B"/>
    <w:rsid w:val="00405374"/>
    <w:rsid w:val="004059F4"/>
    <w:rsid w:val="00407FE5"/>
    <w:rsid w:val="004101B0"/>
    <w:rsid w:val="00410326"/>
    <w:rsid w:val="00410708"/>
    <w:rsid w:val="00410A2E"/>
    <w:rsid w:val="00410EC7"/>
    <w:rsid w:val="00411B39"/>
    <w:rsid w:val="00411CFD"/>
    <w:rsid w:val="004127A7"/>
    <w:rsid w:val="00413A1E"/>
    <w:rsid w:val="00413B3D"/>
    <w:rsid w:val="004142C2"/>
    <w:rsid w:val="00414476"/>
    <w:rsid w:val="00414C2E"/>
    <w:rsid w:val="004151CF"/>
    <w:rsid w:val="00416364"/>
    <w:rsid w:val="00416886"/>
    <w:rsid w:val="0042047F"/>
    <w:rsid w:val="00420AA6"/>
    <w:rsid w:val="00420B9F"/>
    <w:rsid w:val="0042192C"/>
    <w:rsid w:val="00422260"/>
    <w:rsid w:val="00422CE1"/>
    <w:rsid w:val="00423CBE"/>
    <w:rsid w:val="0042413F"/>
    <w:rsid w:val="004246B7"/>
    <w:rsid w:val="004256C8"/>
    <w:rsid w:val="00426292"/>
    <w:rsid w:val="004319F8"/>
    <w:rsid w:val="00431E55"/>
    <w:rsid w:val="0043211C"/>
    <w:rsid w:val="004321F6"/>
    <w:rsid w:val="00433044"/>
    <w:rsid w:val="00434088"/>
    <w:rsid w:val="00435A8E"/>
    <w:rsid w:val="004368FA"/>
    <w:rsid w:val="004375B9"/>
    <w:rsid w:val="004376A4"/>
    <w:rsid w:val="00437F0F"/>
    <w:rsid w:val="00440364"/>
    <w:rsid w:val="00440389"/>
    <w:rsid w:val="00440B93"/>
    <w:rsid w:val="00440F34"/>
    <w:rsid w:val="004416C6"/>
    <w:rsid w:val="0044187A"/>
    <w:rsid w:val="00441BAE"/>
    <w:rsid w:val="004428D0"/>
    <w:rsid w:val="0044362A"/>
    <w:rsid w:val="00443718"/>
    <w:rsid w:val="004440DF"/>
    <w:rsid w:val="00444185"/>
    <w:rsid w:val="004443A7"/>
    <w:rsid w:val="0044442C"/>
    <w:rsid w:val="00445941"/>
    <w:rsid w:val="004464EB"/>
    <w:rsid w:val="00446AC1"/>
    <w:rsid w:val="004471D2"/>
    <w:rsid w:val="00447962"/>
    <w:rsid w:val="00447B2A"/>
    <w:rsid w:val="00447D26"/>
    <w:rsid w:val="00447DFC"/>
    <w:rsid w:val="00451CCF"/>
    <w:rsid w:val="00454FAF"/>
    <w:rsid w:val="00455D45"/>
    <w:rsid w:val="00460AFE"/>
    <w:rsid w:val="00461357"/>
    <w:rsid w:val="0046139F"/>
    <w:rsid w:val="00462955"/>
    <w:rsid w:val="00464595"/>
    <w:rsid w:val="004656FC"/>
    <w:rsid w:val="004658B5"/>
    <w:rsid w:val="00467237"/>
    <w:rsid w:val="0046729C"/>
    <w:rsid w:val="0047015F"/>
    <w:rsid w:val="004711BF"/>
    <w:rsid w:val="00471EA5"/>
    <w:rsid w:val="00472A79"/>
    <w:rsid w:val="00472C73"/>
    <w:rsid w:val="00472E30"/>
    <w:rsid w:val="00473618"/>
    <w:rsid w:val="00473F19"/>
    <w:rsid w:val="00475CBC"/>
    <w:rsid w:val="00475E22"/>
    <w:rsid w:val="00476DF3"/>
    <w:rsid w:val="0048088E"/>
    <w:rsid w:val="00480F2B"/>
    <w:rsid w:val="00482720"/>
    <w:rsid w:val="004832B8"/>
    <w:rsid w:val="004835E7"/>
    <w:rsid w:val="004867E2"/>
    <w:rsid w:val="00487BE8"/>
    <w:rsid w:val="00490B17"/>
    <w:rsid w:val="00491007"/>
    <w:rsid w:val="0049161F"/>
    <w:rsid w:val="00491A6F"/>
    <w:rsid w:val="00491B3A"/>
    <w:rsid w:val="00491C62"/>
    <w:rsid w:val="00492CFD"/>
    <w:rsid w:val="00493229"/>
    <w:rsid w:val="00494207"/>
    <w:rsid w:val="00494DD5"/>
    <w:rsid w:val="004962D2"/>
    <w:rsid w:val="00496806"/>
    <w:rsid w:val="00496A58"/>
    <w:rsid w:val="004A0DA1"/>
    <w:rsid w:val="004A13D6"/>
    <w:rsid w:val="004A1F5E"/>
    <w:rsid w:val="004A39DD"/>
    <w:rsid w:val="004A4785"/>
    <w:rsid w:val="004A52E9"/>
    <w:rsid w:val="004A5C27"/>
    <w:rsid w:val="004A6040"/>
    <w:rsid w:val="004A6597"/>
    <w:rsid w:val="004A6CEB"/>
    <w:rsid w:val="004A7848"/>
    <w:rsid w:val="004B0CC1"/>
    <w:rsid w:val="004B1CB4"/>
    <w:rsid w:val="004B205A"/>
    <w:rsid w:val="004B2F18"/>
    <w:rsid w:val="004B3DDB"/>
    <w:rsid w:val="004B44FD"/>
    <w:rsid w:val="004B4B86"/>
    <w:rsid w:val="004B4CB0"/>
    <w:rsid w:val="004B5CFC"/>
    <w:rsid w:val="004B6B73"/>
    <w:rsid w:val="004B6F79"/>
    <w:rsid w:val="004B70A2"/>
    <w:rsid w:val="004B774D"/>
    <w:rsid w:val="004B79C4"/>
    <w:rsid w:val="004C20F5"/>
    <w:rsid w:val="004C41EC"/>
    <w:rsid w:val="004C44D0"/>
    <w:rsid w:val="004C4AED"/>
    <w:rsid w:val="004C7B27"/>
    <w:rsid w:val="004D07A4"/>
    <w:rsid w:val="004D2C2D"/>
    <w:rsid w:val="004D3BC3"/>
    <w:rsid w:val="004D6006"/>
    <w:rsid w:val="004D68AB"/>
    <w:rsid w:val="004D691E"/>
    <w:rsid w:val="004D69B5"/>
    <w:rsid w:val="004D7227"/>
    <w:rsid w:val="004E0E7F"/>
    <w:rsid w:val="004E0EB8"/>
    <w:rsid w:val="004E124C"/>
    <w:rsid w:val="004E18E9"/>
    <w:rsid w:val="004E1D2A"/>
    <w:rsid w:val="004E1E17"/>
    <w:rsid w:val="004E21C7"/>
    <w:rsid w:val="004E2A9B"/>
    <w:rsid w:val="004E2ADC"/>
    <w:rsid w:val="004E37DE"/>
    <w:rsid w:val="004E4173"/>
    <w:rsid w:val="004E426D"/>
    <w:rsid w:val="004E43B2"/>
    <w:rsid w:val="004E5B11"/>
    <w:rsid w:val="004E7058"/>
    <w:rsid w:val="004F01B9"/>
    <w:rsid w:val="004F0D51"/>
    <w:rsid w:val="004F1D02"/>
    <w:rsid w:val="004F2679"/>
    <w:rsid w:val="004F2F21"/>
    <w:rsid w:val="004F3DE5"/>
    <w:rsid w:val="004F6913"/>
    <w:rsid w:val="004F6DC3"/>
    <w:rsid w:val="004F7865"/>
    <w:rsid w:val="004F7FAF"/>
    <w:rsid w:val="005004BF"/>
    <w:rsid w:val="0050174E"/>
    <w:rsid w:val="00501854"/>
    <w:rsid w:val="0050219B"/>
    <w:rsid w:val="0050390A"/>
    <w:rsid w:val="00503F17"/>
    <w:rsid w:val="005049B7"/>
    <w:rsid w:val="0050543F"/>
    <w:rsid w:val="005059D2"/>
    <w:rsid w:val="0050603F"/>
    <w:rsid w:val="00506405"/>
    <w:rsid w:val="0050666D"/>
    <w:rsid w:val="00506928"/>
    <w:rsid w:val="00507707"/>
    <w:rsid w:val="005077EF"/>
    <w:rsid w:val="00507B69"/>
    <w:rsid w:val="00507E86"/>
    <w:rsid w:val="00511AD5"/>
    <w:rsid w:val="00511BEB"/>
    <w:rsid w:val="00511DC7"/>
    <w:rsid w:val="005137E9"/>
    <w:rsid w:val="005142C5"/>
    <w:rsid w:val="0051501B"/>
    <w:rsid w:val="005152B5"/>
    <w:rsid w:val="00515427"/>
    <w:rsid w:val="005168D6"/>
    <w:rsid w:val="005176F3"/>
    <w:rsid w:val="00517B68"/>
    <w:rsid w:val="00520967"/>
    <w:rsid w:val="0052123C"/>
    <w:rsid w:val="00521319"/>
    <w:rsid w:val="00522BC8"/>
    <w:rsid w:val="00523416"/>
    <w:rsid w:val="00523C28"/>
    <w:rsid w:val="00524005"/>
    <w:rsid w:val="005246A2"/>
    <w:rsid w:val="00525966"/>
    <w:rsid w:val="0052613E"/>
    <w:rsid w:val="0053126D"/>
    <w:rsid w:val="0053176B"/>
    <w:rsid w:val="00531D84"/>
    <w:rsid w:val="00534D1B"/>
    <w:rsid w:val="00534E74"/>
    <w:rsid w:val="00535FAE"/>
    <w:rsid w:val="00536F42"/>
    <w:rsid w:val="00537000"/>
    <w:rsid w:val="00537182"/>
    <w:rsid w:val="00537955"/>
    <w:rsid w:val="005408CB"/>
    <w:rsid w:val="00541EDD"/>
    <w:rsid w:val="0054270D"/>
    <w:rsid w:val="00542743"/>
    <w:rsid w:val="00542800"/>
    <w:rsid w:val="00542C2D"/>
    <w:rsid w:val="00543A47"/>
    <w:rsid w:val="005478BD"/>
    <w:rsid w:val="005479E3"/>
    <w:rsid w:val="005509FE"/>
    <w:rsid w:val="00551985"/>
    <w:rsid w:val="00552BD3"/>
    <w:rsid w:val="005531B7"/>
    <w:rsid w:val="005531BD"/>
    <w:rsid w:val="005532A0"/>
    <w:rsid w:val="00553BC7"/>
    <w:rsid w:val="00554677"/>
    <w:rsid w:val="00555109"/>
    <w:rsid w:val="005553E7"/>
    <w:rsid w:val="0055592C"/>
    <w:rsid w:val="005561E3"/>
    <w:rsid w:val="00556B35"/>
    <w:rsid w:val="0055732F"/>
    <w:rsid w:val="0055741A"/>
    <w:rsid w:val="00557A7F"/>
    <w:rsid w:val="00557CD3"/>
    <w:rsid w:val="00560A3E"/>
    <w:rsid w:val="005611B7"/>
    <w:rsid w:val="005618D4"/>
    <w:rsid w:val="00562565"/>
    <w:rsid w:val="005625D7"/>
    <w:rsid w:val="00562C5C"/>
    <w:rsid w:val="005630E0"/>
    <w:rsid w:val="005636AE"/>
    <w:rsid w:val="0056419B"/>
    <w:rsid w:val="005652C9"/>
    <w:rsid w:val="00565DF0"/>
    <w:rsid w:val="00565F67"/>
    <w:rsid w:val="005662BB"/>
    <w:rsid w:val="0056696F"/>
    <w:rsid w:val="00567FF0"/>
    <w:rsid w:val="00570236"/>
    <w:rsid w:val="00572269"/>
    <w:rsid w:val="0057244A"/>
    <w:rsid w:val="0057266F"/>
    <w:rsid w:val="00572F26"/>
    <w:rsid w:val="005745AA"/>
    <w:rsid w:val="00574705"/>
    <w:rsid w:val="005750C5"/>
    <w:rsid w:val="005752DE"/>
    <w:rsid w:val="00575D8D"/>
    <w:rsid w:val="00576972"/>
    <w:rsid w:val="005775D8"/>
    <w:rsid w:val="00577F09"/>
    <w:rsid w:val="005802FA"/>
    <w:rsid w:val="00580598"/>
    <w:rsid w:val="00580C1B"/>
    <w:rsid w:val="005811F2"/>
    <w:rsid w:val="005813A6"/>
    <w:rsid w:val="0058148F"/>
    <w:rsid w:val="005819E8"/>
    <w:rsid w:val="005821FC"/>
    <w:rsid w:val="00582E75"/>
    <w:rsid w:val="00583056"/>
    <w:rsid w:val="00583699"/>
    <w:rsid w:val="00585B7C"/>
    <w:rsid w:val="00585CDD"/>
    <w:rsid w:val="00586A69"/>
    <w:rsid w:val="00587058"/>
    <w:rsid w:val="00587882"/>
    <w:rsid w:val="00591957"/>
    <w:rsid w:val="00591B48"/>
    <w:rsid w:val="00591E36"/>
    <w:rsid w:val="00592BF1"/>
    <w:rsid w:val="00593677"/>
    <w:rsid w:val="00594F61"/>
    <w:rsid w:val="005976F5"/>
    <w:rsid w:val="00597BF9"/>
    <w:rsid w:val="005A08B0"/>
    <w:rsid w:val="005A098A"/>
    <w:rsid w:val="005A0F8E"/>
    <w:rsid w:val="005A309A"/>
    <w:rsid w:val="005A373D"/>
    <w:rsid w:val="005A4D9C"/>
    <w:rsid w:val="005A705C"/>
    <w:rsid w:val="005A7291"/>
    <w:rsid w:val="005A7760"/>
    <w:rsid w:val="005A7871"/>
    <w:rsid w:val="005B0B58"/>
    <w:rsid w:val="005B2A2E"/>
    <w:rsid w:val="005B30AA"/>
    <w:rsid w:val="005B3631"/>
    <w:rsid w:val="005B4AB2"/>
    <w:rsid w:val="005B4E53"/>
    <w:rsid w:val="005B5857"/>
    <w:rsid w:val="005B7AAF"/>
    <w:rsid w:val="005C1140"/>
    <w:rsid w:val="005C122C"/>
    <w:rsid w:val="005C145D"/>
    <w:rsid w:val="005C1B83"/>
    <w:rsid w:val="005C25FF"/>
    <w:rsid w:val="005C2D55"/>
    <w:rsid w:val="005C3005"/>
    <w:rsid w:val="005C346B"/>
    <w:rsid w:val="005C3F5F"/>
    <w:rsid w:val="005C45BE"/>
    <w:rsid w:val="005C4EB0"/>
    <w:rsid w:val="005C50E3"/>
    <w:rsid w:val="005C5FF3"/>
    <w:rsid w:val="005C688B"/>
    <w:rsid w:val="005C713D"/>
    <w:rsid w:val="005C760F"/>
    <w:rsid w:val="005C7665"/>
    <w:rsid w:val="005D044D"/>
    <w:rsid w:val="005D0ABD"/>
    <w:rsid w:val="005D18AD"/>
    <w:rsid w:val="005D1A2F"/>
    <w:rsid w:val="005D1CF4"/>
    <w:rsid w:val="005D2322"/>
    <w:rsid w:val="005D26B4"/>
    <w:rsid w:val="005D3E28"/>
    <w:rsid w:val="005D4725"/>
    <w:rsid w:val="005D4E8C"/>
    <w:rsid w:val="005D56F5"/>
    <w:rsid w:val="005D58B4"/>
    <w:rsid w:val="005D7BDF"/>
    <w:rsid w:val="005E1A9D"/>
    <w:rsid w:val="005E460D"/>
    <w:rsid w:val="005E4C66"/>
    <w:rsid w:val="005E5AC3"/>
    <w:rsid w:val="005E5B77"/>
    <w:rsid w:val="005E6697"/>
    <w:rsid w:val="005E6CBC"/>
    <w:rsid w:val="005E72FF"/>
    <w:rsid w:val="005E73C0"/>
    <w:rsid w:val="005E7492"/>
    <w:rsid w:val="005E7CE4"/>
    <w:rsid w:val="005F055B"/>
    <w:rsid w:val="005F0677"/>
    <w:rsid w:val="005F075F"/>
    <w:rsid w:val="005F22D8"/>
    <w:rsid w:val="005F2706"/>
    <w:rsid w:val="005F37E0"/>
    <w:rsid w:val="005F556D"/>
    <w:rsid w:val="005F6A8F"/>
    <w:rsid w:val="005F6BB7"/>
    <w:rsid w:val="005F7588"/>
    <w:rsid w:val="005F7666"/>
    <w:rsid w:val="005F7EEB"/>
    <w:rsid w:val="00600A23"/>
    <w:rsid w:val="00603923"/>
    <w:rsid w:val="00603DB9"/>
    <w:rsid w:val="00604DEA"/>
    <w:rsid w:val="006058BA"/>
    <w:rsid w:val="00606EF9"/>
    <w:rsid w:val="00606FBA"/>
    <w:rsid w:val="00607548"/>
    <w:rsid w:val="00607669"/>
    <w:rsid w:val="006076F4"/>
    <w:rsid w:val="00607AFD"/>
    <w:rsid w:val="00610B83"/>
    <w:rsid w:val="0061276F"/>
    <w:rsid w:val="00612F97"/>
    <w:rsid w:val="0061345D"/>
    <w:rsid w:val="00613C49"/>
    <w:rsid w:val="00614CE6"/>
    <w:rsid w:val="0061549B"/>
    <w:rsid w:val="00615668"/>
    <w:rsid w:val="00615964"/>
    <w:rsid w:val="00616802"/>
    <w:rsid w:val="00616BBC"/>
    <w:rsid w:val="00617457"/>
    <w:rsid w:val="00617E12"/>
    <w:rsid w:val="006202D1"/>
    <w:rsid w:val="006204DE"/>
    <w:rsid w:val="00620C25"/>
    <w:rsid w:val="00620FE0"/>
    <w:rsid w:val="006212DA"/>
    <w:rsid w:val="00621477"/>
    <w:rsid w:val="00621ADA"/>
    <w:rsid w:val="00621ED1"/>
    <w:rsid w:val="00623F7B"/>
    <w:rsid w:val="00624CC0"/>
    <w:rsid w:val="00627B86"/>
    <w:rsid w:val="00630676"/>
    <w:rsid w:val="006312C6"/>
    <w:rsid w:val="00631582"/>
    <w:rsid w:val="0063158F"/>
    <w:rsid w:val="00631D6B"/>
    <w:rsid w:val="00632183"/>
    <w:rsid w:val="00632F2B"/>
    <w:rsid w:val="006330A1"/>
    <w:rsid w:val="00634234"/>
    <w:rsid w:val="0063479F"/>
    <w:rsid w:val="00634E6A"/>
    <w:rsid w:val="006353F0"/>
    <w:rsid w:val="00635562"/>
    <w:rsid w:val="00635768"/>
    <w:rsid w:val="006357B5"/>
    <w:rsid w:val="006360C7"/>
    <w:rsid w:val="006364A1"/>
    <w:rsid w:val="00636537"/>
    <w:rsid w:val="00636768"/>
    <w:rsid w:val="0063678E"/>
    <w:rsid w:val="00637BFD"/>
    <w:rsid w:val="00637FBC"/>
    <w:rsid w:val="00641C4E"/>
    <w:rsid w:val="00641C57"/>
    <w:rsid w:val="00641FB3"/>
    <w:rsid w:val="0064218E"/>
    <w:rsid w:val="00642D72"/>
    <w:rsid w:val="006438F6"/>
    <w:rsid w:val="00643AB7"/>
    <w:rsid w:val="0064434C"/>
    <w:rsid w:val="00644D1F"/>
    <w:rsid w:val="0064657C"/>
    <w:rsid w:val="006471CC"/>
    <w:rsid w:val="00647A29"/>
    <w:rsid w:val="0065079F"/>
    <w:rsid w:val="006509FC"/>
    <w:rsid w:val="00650C3A"/>
    <w:rsid w:val="00652A28"/>
    <w:rsid w:val="006533D7"/>
    <w:rsid w:val="0065379F"/>
    <w:rsid w:val="006547F1"/>
    <w:rsid w:val="0065570A"/>
    <w:rsid w:val="00655DE1"/>
    <w:rsid w:val="00656188"/>
    <w:rsid w:val="0065715A"/>
    <w:rsid w:val="0066066A"/>
    <w:rsid w:val="006610F1"/>
    <w:rsid w:val="00661C6B"/>
    <w:rsid w:val="006631BA"/>
    <w:rsid w:val="00664310"/>
    <w:rsid w:val="0066518B"/>
    <w:rsid w:val="00665E13"/>
    <w:rsid w:val="006665CD"/>
    <w:rsid w:val="00666A90"/>
    <w:rsid w:val="006673E7"/>
    <w:rsid w:val="006708C4"/>
    <w:rsid w:val="00671004"/>
    <w:rsid w:val="00671CB6"/>
    <w:rsid w:val="00672646"/>
    <w:rsid w:val="006733FA"/>
    <w:rsid w:val="0067356C"/>
    <w:rsid w:val="00674E42"/>
    <w:rsid w:val="0067534C"/>
    <w:rsid w:val="00676858"/>
    <w:rsid w:val="0067715B"/>
    <w:rsid w:val="006813F8"/>
    <w:rsid w:val="00682112"/>
    <w:rsid w:val="00682BA6"/>
    <w:rsid w:val="006831E4"/>
    <w:rsid w:val="00684758"/>
    <w:rsid w:val="00684C4D"/>
    <w:rsid w:val="00686918"/>
    <w:rsid w:val="00686957"/>
    <w:rsid w:val="00687132"/>
    <w:rsid w:val="006872BA"/>
    <w:rsid w:val="00687CFF"/>
    <w:rsid w:val="00690795"/>
    <w:rsid w:val="00691648"/>
    <w:rsid w:val="00691652"/>
    <w:rsid w:val="006917D7"/>
    <w:rsid w:val="00691BCF"/>
    <w:rsid w:val="006927DD"/>
    <w:rsid w:val="00693947"/>
    <w:rsid w:val="0069434C"/>
    <w:rsid w:val="00694F44"/>
    <w:rsid w:val="00695FA5"/>
    <w:rsid w:val="00695FB7"/>
    <w:rsid w:val="00696B8B"/>
    <w:rsid w:val="00696F51"/>
    <w:rsid w:val="00697833"/>
    <w:rsid w:val="006979A5"/>
    <w:rsid w:val="006A05F0"/>
    <w:rsid w:val="006A06F2"/>
    <w:rsid w:val="006A3E56"/>
    <w:rsid w:val="006A406E"/>
    <w:rsid w:val="006A546B"/>
    <w:rsid w:val="006A6AB8"/>
    <w:rsid w:val="006A6B99"/>
    <w:rsid w:val="006A6BF7"/>
    <w:rsid w:val="006A7520"/>
    <w:rsid w:val="006A7E5F"/>
    <w:rsid w:val="006A7F4A"/>
    <w:rsid w:val="006B03AC"/>
    <w:rsid w:val="006B095D"/>
    <w:rsid w:val="006B1327"/>
    <w:rsid w:val="006B1FF2"/>
    <w:rsid w:val="006B2572"/>
    <w:rsid w:val="006B261B"/>
    <w:rsid w:val="006B2C90"/>
    <w:rsid w:val="006B35E6"/>
    <w:rsid w:val="006B3F14"/>
    <w:rsid w:val="006B41B0"/>
    <w:rsid w:val="006B42BC"/>
    <w:rsid w:val="006B465A"/>
    <w:rsid w:val="006B48F0"/>
    <w:rsid w:val="006B4BB7"/>
    <w:rsid w:val="006B5C6B"/>
    <w:rsid w:val="006B5E10"/>
    <w:rsid w:val="006B6DD0"/>
    <w:rsid w:val="006C0399"/>
    <w:rsid w:val="006C0F84"/>
    <w:rsid w:val="006C239A"/>
    <w:rsid w:val="006C2A8E"/>
    <w:rsid w:val="006C3255"/>
    <w:rsid w:val="006C32E1"/>
    <w:rsid w:val="006C3A1C"/>
    <w:rsid w:val="006C3F26"/>
    <w:rsid w:val="006C4F0C"/>
    <w:rsid w:val="006C72CD"/>
    <w:rsid w:val="006C73C8"/>
    <w:rsid w:val="006D08E3"/>
    <w:rsid w:val="006D0D17"/>
    <w:rsid w:val="006D16C1"/>
    <w:rsid w:val="006D1FC4"/>
    <w:rsid w:val="006D25E4"/>
    <w:rsid w:val="006D2FD1"/>
    <w:rsid w:val="006D3C7D"/>
    <w:rsid w:val="006D3E7C"/>
    <w:rsid w:val="006D4659"/>
    <w:rsid w:val="006D5CA8"/>
    <w:rsid w:val="006D5D5F"/>
    <w:rsid w:val="006D5E7D"/>
    <w:rsid w:val="006D625A"/>
    <w:rsid w:val="006D68FB"/>
    <w:rsid w:val="006D7430"/>
    <w:rsid w:val="006D7F17"/>
    <w:rsid w:val="006E1F92"/>
    <w:rsid w:val="006E2868"/>
    <w:rsid w:val="006E48E3"/>
    <w:rsid w:val="006E4F44"/>
    <w:rsid w:val="006E64A6"/>
    <w:rsid w:val="006E7AA4"/>
    <w:rsid w:val="006F143A"/>
    <w:rsid w:val="006F2A2C"/>
    <w:rsid w:val="006F306C"/>
    <w:rsid w:val="006F3354"/>
    <w:rsid w:val="006F3F2B"/>
    <w:rsid w:val="006F4D97"/>
    <w:rsid w:val="006F59DC"/>
    <w:rsid w:val="006F63A5"/>
    <w:rsid w:val="006F662F"/>
    <w:rsid w:val="006F715D"/>
    <w:rsid w:val="006F78FA"/>
    <w:rsid w:val="00700E9A"/>
    <w:rsid w:val="0070142B"/>
    <w:rsid w:val="00701CED"/>
    <w:rsid w:val="00701E21"/>
    <w:rsid w:val="0070276E"/>
    <w:rsid w:val="00702F8F"/>
    <w:rsid w:val="00703BEF"/>
    <w:rsid w:val="00703EA9"/>
    <w:rsid w:val="00703EE6"/>
    <w:rsid w:val="007079FC"/>
    <w:rsid w:val="007111BF"/>
    <w:rsid w:val="00711A36"/>
    <w:rsid w:val="007121D4"/>
    <w:rsid w:val="007136AB"/>
    <w:rsid w:val="00713C8C"/>
    <w:rsid w:val="00713EC3"/>
    <w:rsid w:val="00714C26"/>
    <w:rsid w:val="0071529C"/>
    <w:rsid w:val="0071560F"/>
    <w:rsid w:val="007157AD"/>
    <w:rsid w:val="00715A04"/>
    <w:rsid w:val="00716441"/>
    <w:rsid w:val="00716507"/>
    <w:rsid w:val="007170DA"/>
    <w:rsid w:val="007172AD"/>
    <w:rsid w:val="007177A7"/>
    <w:rsid w:val="00720801"/>
    <w:rsid w:val="00721355"/>
    <w:rsid w:val="00721421"/>
    <w:rsid w:val="0072272A"/>
    <w:rsid w:val="00722B1B"/>
    <w:rsid w:val="00722E89"/>
    <w:rsid w:val="007230D8"/>
    <w:rsid w:val="00723C84"/>
    <w:rsid w:val="0072416F"/>
    <w:rsid w:val="00726DAB"/>
    <w:rsid w:val="00727399"/>
    <w:rsid w:val="00727C94"/>
    <w:rsid w:val="00730006"/>
    <w:rsid w:val="00730053"/>
    <w:rsid w:val="00731B0A"/>
    <w:rsid w:val="00731EAE"/>
    <w:rsid w:val="00731EDF"/>
    <w:rsid w:val="00733073"/>
    <w:rsid w:val="00735033"/>
    <w:rsid w:val="00735328"/>
    <w:rsid w:val="007357E1"/>
    <w:rsid w:val="007358C3"/>
    <w:rsid w:val="00735955"/>
    <w:rsid w:val="00735CFE"/>
    <w:rsid w:val="00735F30"/>
    <w:rsid w:val="0073685B"/>
    <w:rsid w:val="007375BC"/>
    <w:rsid w:val="00737B6F"/>
    <w:rsid w:val="00737FEE"/>
    <w:rsid w:val="00740483"/>
    <w:rsid w:val="00740FBC"/>
    <w:rsid w:val="00741E72"/>
    <w:rsid w:val="007427DB"/>
    <w:rsid w:val="007438B8"/>
    <w:rsid w:val="007449BF"/>
    <w:rsid w:val="00745004"/>
    <w:rsid w:val="0074517B"/>
    <w:rsid w:val="00745287"/>
    <w:rsid w:val="00745FC4"/>
    <w:rsid w:val="00746BC0"/>
    <w:rsid w:val="0075094F"/>
    <w:rsid w:val="007510B4"/>
    <w:rsid w:val="00752142"/>
    <w:rsid w:val="007523F9"/>
    <w:rsid w:val="0075357E"/>
    <w:rsid w:val="0075442D"/>
    <w:rsid w:val="00755598"/>
    <w:rsid w:val="007573E8"/>
    <w:rsid w:val="00760C4E"/>
    <w:rsid w:val="00760F9E"/>
    <w:rsid w:val="007621C4"/>
    <w:rsid w:val="007624A5"/>
    <w:rsid w:val="007627BE"/>
    <w:rsid w:val="007633C7"/>
    <w:rsid w:val="00764F03"/>
    <w:rsid w:val="00765B1A"/>
    <w:rsid w:val="0077114B"/>
    <w:rsid w:val="007712A4"/>
    <w:rsid w:val="00772545"/>
    <w:rsid w:val="00773F89"/>
    <w:rsid w:val="00775535"/>
    <w:rsid w:val="00777253"/>
    <w:rsid w:val="00777335"/>
    <w:rsid w:val="0078146E"/>
    <w:rsid w:val="007819BE"/>
    <w:rsid w:val="00781E05"/>
    <w:rsid w:val="00782C3F"/>
    <w:rsid w:val="007843F2"/>
    <w:rsid w:val="0078531A"/>
    <w:rsid w:val="00785A9F"/>
    <w:rsid w:val="00786845"/>
    <w:rsid w:val="00786BEA"/>
    <w:rsid w:val="00786FB4"/>
    <w:rsid w:val="0078783D"/>
    <w:rsid w:val="00790930"/>
    <w:rsid w:val="00790D5A"/>
    <w:rsid w:val="0079158C"/>
    <w:rsid w:val="00791EA1"/>
    <w:rsid w:val="007925DF"/>
    <w:rsid w:val="007933F9"/>
    <w:rsid w:val="00794443"/>
    <w:rsid w:val="00794696"/>
    <w:rsid w:val="007948E6"/>
    <w:rsid w:val="00796FD1"/>
    <w:rsid w:val="007A08AA"/>
    <w:rsid w:val="007A0A12"/>
    <w:rsid w:val="007A132D"/>
    <w:rsid w:val="007A1345"/>
    <w:rsid w:val="007A180D"/>
    <w:rsid w:val="007A1CA4"/>
    <w:rsid w:val="007A2DDA"/>
    <w:rsid w:val="007A2DDB"/>
    <w:rsid w:val="007A2EEC"/>
    <w:rsid w:val="007A49A4"/>
    <w:rsid w:val="007A53E9"/>
    <w:rsid w:val="007A6028"/>
    <w:rsid w:val="007A61CF"/>
    <w:rsid w:val="007A70BA"/>
    <w:rsid w:val="007B0D68"/>
    <w:rsid w:val="007B21B1"/>
    <w:rsid w:val="007B251D"/>
    <w:rsid w:val="007B290C"/>
    <w:rsid w:val="007B33D1"/>
    <w:rsid w:val="007B3B7A"/>
    <w:rsid w:val="007B3BD9"/>
    <w:rsid w:val="007B4F58"/>
    <w:rsid w:val="007B528D"/>
    <w:rsid w:val="007B583C"/>
    <w:rsid w:val="007B63CA"/>
    <w:rsid w:val="007B719D"/>
    <w:rsid w:val="007B77D1"/>
    <w:rsid w:val="007C07C7"/>
    <w:rsid w:val="007C1CC6"/>
    <w:rsid w:val="007C1CD9"/>
    <w:rsid w:val="007C2308"/>
    <w:rsid w:val="007C3110"/>
    <w:rsid w:val="007C32EF"/>
    <w:rsid w:val="007C361D"/>
    <w:rsid w:val="007C3EF1"/>
    <w:rsid w:val="007C43D3"/>
    <w:rsid w:val="007C43F0"/>
    <w:rsid w:val="007C48EC"/>
    <w:rsid w:val="007C4B84"/>
    <w:rsid w:val="007C4C93"/>
    <w:rsid w:val="007C70FF"/>
    <w:rsid w:val="007C7776"/>
    <w:rsid w:val="007C7C25"/>
    <w:rsid w:val="007D004F"/>
    <w:rsid w:val="007D066F"/>
    <w:rsid w:val="007D0B38"/>
    <w:rsid w:val="007D139A"/>
    <w:rsid w:val="007D34DA"/>
    <w:rsid w:val="007D377A"/>
    <w:rsid w:val="007D3888"/>
    <w:rsid w:val="007D38E1"/>
    <w:rsid w:val="007D3E73"/>
    <w:rsid w:val="007D5440"/>
    <w:rsid w:val="007D59AD"/>
    <w:rsid w:val="007D69EB"/>
    <w:rsid w:val="007E00B1"/>
    <w:rsid w:val="007E0341"/>
    <w:rsid w:val="007E128F"/>
    <w:rsid w:val="007E273B"/>
    <w:rsid w:val="007E2EB8"/>
    <w:rsid w:val="007E553B"/>
    <w:rsid w:val="007F02F0"/>
    <w:rsid w:val="007F1017"/>
    <w:rsid w:val="007F194E"/>
    <w:rsid w:val="007F229C"/>
    <w:rsid w:val="007F31BB"/>
    <w:rsid w:val="007F4A3F"/>
    <w:rsid w:val="007F4A61"/>
    <w:rsid w:val="007F5255"/>
    <w:rsid w:val="007F56CC"/>
    <w:rsid w:val="007F61C2"/>
    <w:rsid w:val="007F662B"/>
    <w:rsid w:val="007F727C"/>
    <w:rsid w:val="007F799C"/>
    <w:rsid w:val="0080081F"/>
    <w:rsid w:val="00800BEC"/>
    <w:rsid w:val="00800C57"/>
    <w:rsid w:val="00800CEE"/>
    <w:rsid w:val="00800D4D"/>
    <w:rsid w:val="00803B12"/>
    <w:rsid w:val="00805142"/>
    <w:rsid w:val="00805C4F"/>
    <w:rsid w:val="00805FCE"/>
    <w:rsid w:val="00806F28"/>
    <w:rsid w:val="00807A8B"/>
    <w:rsid w:val="00811383"/>
    <w:rsid w:val="008114C9"/>
    <w:rsid w:val="00812149"/>
    <w:rsid w:val="008121C3"/>
    <w:rsid w:val="00812CAC"/>
    <w:rsid w:val="00812EA2"/>
    <w:rsid w:val="00813591"/>
    <w:rsid w:val="008142E1"/>
    <w:rsid w:val="00815693"/>
    <w:rsid w:val="00815B13"/>
    <w:rsid w:val="0081620E"/>
    <w:rsid w:val="00816361"/>
    <w:rsid w:val="0081641A"/>
    <w:rsid w:val="008166EF"/>
    <w:rsid w:val="00816FEF"/>
    <w:rsid w:val="0081776A"/>
    <w:rsid w:val="00820A8C"/>
    <w:rsid w:val="008215FB"/>
    <w:rsid w:val="008224A3"/>
    <w:rsid w:val="00822A39"/>
    <w:rsid w:val="00822EF4"/>
    <w:rsid w:val="00823174"/>
    <w:rsid w:val="00823A0E"/>
    <w:rsid w:val="00824104"/>
    <w:rsid w:val="00825751"/>
    <w:rsid w:val="00825A12"/>
    <w:rsid w:val="008264EB"/>
    <w:rsid w:val="0082688A"/>
    <w:rsid w:val="00832655"/>
    <w:rsid w:val="00832C71"/>
    <w:rsid w:val="00833B05"/>
    <w:rsid w:val="00835B14"/>
    <w:rsid w:val="008362B4"/>
    <w:rsid w:val="00840242"/>
    <w:rsid w:val="00840887"/>
    <w:rsid w:val="00840CA2"/>
    <w:rsid w:val="00842E03"/>
    <w:rsid w:val="0084308C"/>
    <w:rsid w:val="0084374F"/>
    <w:rsid w:val="00843B78"/>
    <w:rsid w:val="00843E5D"/>
    <w:rsid w:val="0084454A"/>
    <w:rsid w:val="00844A22"/>
    <w:rsid w:val="00846163"/>
    <w:rsid w:val="00847703"/>
    <w:rsid w:val="00847DAE"/>
    <w:rsid w:val="00847DF5"/>
    <w:rsid w:val="00850415"/>
    <w:rsid w:val="00850823"/>
    <w:rsid w:val="0085309D"/>
    <w:rsid w:val="00853DAC"/>
    <w:rsid w:val="00856897"/>
    <w:rsid w:val="00856E9A"/>
    <w:rsid w:val="00857A98"/>
    <w:rsid w:val="0086075D"/>
    <w:rsid w:val="008621F4"/>
    <w:rsid w:val="00862502"/>
    <w:rsid w:val="00862CC1"/>
    <w:rsid w:val="00862E58"/>
    <w:rsid w:val="00864D50"/>
    <w:rsid w:val="00865516"/>
    <w:rsid w:val="008660D4"/>
    <w:rsid w:val="00867A59"/>
    <w:rsid w:val="008701A3"/>
    <w:rsid w:val="008707D9"/>
    <w:rsid w:val="0087102F"/>
    <w:rsid w:val="008712C9"/>
    <w:rsid w:val="00871FA9"/>
    <w:rsid w:val="008728E9"/>
    <w:rsid w:val="008729D1"/>
    <w:rsid w:val="0087491B"/>
    <w:rsid w:val="00882874"/>
    <w:rsid w:val="00882E3C"/>
    <w:rsid w:val="00883344"/>
    <w:rsid w:val="00883787"/>
    <w:rsid w:val="00884EC9"/>
    <w:rsid w:val="008855E4"/>
    <w:rsid w:val="008865CC"/>
    <w:rsid w:val="008868E7"/>
    <w:rsid w:val="00886CD2"/>
    <w:rsid w:val="00886E34"/>
    <w:rsid w:val="00890512"/>
    <w:rsid w:val="00890B4C"/>
    <w:rsid w:val="00891E6F"/>
    <w:rsid w:val="0089275D"/>
    <w:rsid w:val="0089299D"/>
    <w:rsid w:val="00892A36"/>
    <w:rsid w:val="00892A95"/>
    <w:rsid w:val="00892DCF"/>
    <w:rsid w:val="00893239"/>
    <w:rsid w:val="00894489"/>
    <w:rsid w:val="00895A9F"/>
    <w:rsid w:val="008963A5"/>
    <w:rsid w:val="00896590"/>
    <w:rsid w:val="00896D5D"/>
    <w:rsid w:val="00897578"/>
    <w:rsid w:val="008977D1"/>
    <w:rsid w:val="008A195F"/>
    <w:rsid w:val="008A2054"/>
    <w:rsid w:val="008A231F"/>
    <w:rsid w:val="008A270D"/>
    <w:rsid w:val="008A2FE1"/>
    <w:rsid w:val="008A3363"/>
    <w:rsid w:val="008A3371"/>
    <w:rsid w:val="008A3539"/>
    <w:rsid w:val="008A3C3E"/>
    <w:rsid w:val="008A6E48"/>
    <w:rsid w:val="008A79DE"/>
    <w:rsid w:val="008A7D08"/>
    <w:rsid w:val="008B08AB"/>
    <w:rsid w:val="008B1757"/>
    <w:rsid w:val="008B2693"/>
    <w:rsid w:val="008B2FBE"/>
    <w:rsid w:val="008B3F9C"/>
    <w:rsid w:val="008B41E0"/>
    <w:rsid w:val="008B5261"/>
    <w:rsid w:val="008B7719"/>
    <w:rsid w:val="008B7992"/>
    <w:rsid w:val="008B7D7E"/>
    <w:rsid w:val="008C0649"/>
    <w:rsid w:val="008C0DBC"/>
    <w:rsid w:val="008C11EC"/>
    <w:rsid w:val="008C13D8"/>
    <w:rsid w:val="008C2D35"/>
    <w:rsid w:val="008C4C38"/>
    <w:rsid w:val="008C5610"/>
    <w:rsid w:val="008C5739"/>
    <w:rsid w:val="008C6046"/>
    <w:rsid w:val="008C6B24"/>
    <w:rsid w:val="008C73B5"/>
    <w:rsid w:val="008C7ECB"/>
    <w:rsid w:val="008D1B68"/>
    <w:rsid w:val="008D2436"/>
    <w:rsid w:val="008D3B86"/>
    <w:rsid w:val="008D445E"/>
    <w:rsid w:val="008D4755"/>
    <w:rsid w:val="008D4C3D"/>
    <w:rsid w:val="008D4E80"/>
    <w:rsid w:val="008D52C3"/>
    <w:rsid w:val="008D5CE8"/>
    <w:rsid w:val="008D60E7"/>
    <w:rsid w:val="008D6A70"/>
    <w:rsid w:val="008D743C"/>
    <w:rsid w:val="008D77DC"/>
    <w:rsid w:val="008E0C8E"/>
    <w:rsid w:val="008E0D3C"/>
    <w:rsid w:val="008E1A4B"/>
    <w:rsid w:val="008E1B9E"/>
    <w:rsid w:val="008E2225"/>
    <w:rsid w:val="008E283E"/>
    <w:rsid w:val="008E2E2C"/>
    <w:rsid w:val="008E3FED"/>
    <w:rsid w:val="008E4430"/>
    <w:rsid w:val="008E493E"/>
    <w:rsid w:val="008E4A53"/>
    <w:rsid w:val="008E55AB"/>
    <w:rsid w:val="008E5859"/>
    <w:rsid w:val="008E5AC3"/>
    <w:rsid w:val="008E5ECB"/>
    <w:rsid w:val="008E66E5"/>
    <w:rsid w:val="008E7559"/>
    <w:rsid w:val="008E79DC"/>
    <w:rsid w:val="008E7CDF"/>
    <w:rsid w:val="008F120A"/>
    <w:rsid w:val="008F233B"/>
    <w:rsid w:val="008F27E0"/>
    <w:rsid w:val="008F4535"/>
    <w:rsid w:val="008F4634"/>
    <w:rsid w:val="008F4735"/>
    <w:rsid w:val="008F48EB"/>
    <w:rsid w:val="008F4F0B"/>
    <w:rsid w:val="008F564C"/>
    <w:rsid w:val="008F6ACA"/>
    <w:rsid w:val="008F756F"/>
    <w:rsid w:val="008F7ED3"/>
    <w:rsid w:val="009002F8"/>
    <w:rsid w:val="009010AE"/>
    <w:rsid w:val="00901647"/>
    <w:rsid w:val="00901D72"/>
    <w:rsid w:val="00903267"/>
    <w:rsid w:val="00903B91"/>
    <w:rsid w:val="00904540"/>
    <w:rsid w:val="009046C4"/>
    <w:rsid w:val="009062A5"/>
    <w:rsid w:val="009070F1"/>
    <w:rsid w:val="0090714B"/>
    <w:rsid w:val="00907477"/>
    <w:rsid w:val="00907480"/>
    <w:rsid w:val="0091063B"/>
    <w:rsid w:val="00910FA7"/>
    <w:rsid w:val="00911272"/>
    <w:rsid w:val="00911901"/>
    <w:rsid w:val="00913125"/>
    <w:rsid w:val="009135D6"/>
    <w:rsid w:val="009143B1"/>
    <w:rsid w:val="00914C77"/>
    <w:rsid w:val="00915423"/>
    <w:rsid w:val="0091652C"/>
    <w:rsid w:val="00916A3D"/>
    <w:rsid w:val="00916E6D"/>
    <w:rsid w:val="00921ACB"/>
    <w:rsid w:val="0092221E"/>
    <w:rsid w:val="009226DE"/>
    <w:rsid w:val="009232DB"/>
    <w:rsid w:val="0092369B"/>
    <w:rsid w:val="00923ACA"/>
    <w:rsid w:val="00924FCA"/>
    <w:rsid w:val="00926312"/>
    <w:rsid w:val="009266E6"/>
    <w:rsid w:val="00926F90"/>
    <w:rsid w:val="00930055"/>
    <w:rsid w:val="00932F5E"/>
    <w:rsid w:val="00934988"/>
    <w:rsid w:val="00934D51"/>
    <w:rsid w:val="00936EDC"/>
    <w:rsid w:val="00937089"/>
    <w:rsid w:val="0093723B"/>
    <w:rsid w:val="00937A42"/>
    <w:rsid w:val="00937DC7"/>
    <w:rsid w:val="0094042D"/>
    <w:rsid w:val="009406D6"/>
    <w:rsid w:val="00940A72"/>
    <w:rsid w:val="00940D31"/>
    <w:rsid w:val="009415C6"/>
    <w:rsid w:val="00941850"/>
    <w:rsid w:val="009442F1"/>
    <w:rsid w:val="0094490A"/>
    <w:rsid w:val="00944F8A"/>
    <w:rsid w:val="0094518C"/>
    <w:rsid w:val="00945543"/>
    <w:rsid w:val="00945CA3"/>
    <w:rsid w:val="0095054C"/>
    <w:rsid w:val="00950A5B"/>
    <w:rsid w:val="00950F48"/>
    <w:rsid w:val="009510A2"/>
    <w:rsid w:val="00951A9F"/>
    <w:rsid w:val="00953257"/>
    <w:rsid w:val="00953CA9"/>
    <w:rsid w:val="00954299"/>
    <w:rsid w:val="00954316"/>
    <w:rsid w:val="0095474C"/>
    <w:rsid w:val="00954E05"/>
    <w:rsid w:val="0095647B"/>
    <w:rsid w:val="009569B9"/>
    <w:rsid w:val="00956E09"/>
    <w:rsid w:val="0095717B"/>
    <w:rsid w:val="0095742B"/>
    <w:rsid w:val="00957E18"/>
    <w:rsid w:val="00962C16"/>
    <w:rsid w:val="00962CB9"/>
    <w:rsid w:val="00963522"/>
    <w:rsid w:val="00964116"/>
    <w:rsid w:val="00964312"/>
    <w:rsid w:val="00965AC3"/>
    <w:rsid w:val="00965B8A"/>
    <w:rsid w:val="0096602B"/>
    <w:rsid w:val="0096745C"/>
    <w:rsid w:val="009700E1"/>
    <w:rsid w:val="0097071F"/>
    <w:rsid w:val="00971097"/>
    <w:rsid w:val="009717AC"/>
    <w:rsid w:val="00973E26"/>
    <w:rsid w:val="00974EB4"/>
    <w:rsid w:val="00974EEF"/>
    <w:rsid w:val="009751C1"/>
    <w:rsid w:val="00975B3E"/>
    <w:rsid w:val="0097730E"/>
    <w:rsid w:val="0097766B"/>
    <w:rsid w:val="00977D90"/>
    <w:rsid w:val="00980587"/>
    <w:rsid w:val="00980891"/>
    <w:rsid w:val="009811F1"/>
    <w:rsid w:val="00981E59"/>
    <w:rsid w:val="009824FB"/>
    <w:rsid w:val="00983E57"/>
    <w:rsid w:val="009847F1"/>
    <w:rsid w:val="00985DE2"/>
    <w:rsid w:val="0098675D"/>
    <w:rsid w:val="00986855"/>
    <w:rsid w:val="009872E8"/>
    <w:rsid w:val="009874A6"/>
    <w:rsid w:val="00990395"/>
    <w:rsid w:val="009926E0"/>
    <w:rsid w:val="009935CC"/>
    <w:rsid w:val="00993AF4"/>
    <w:rsid w:val="0099451E"/>
    <w:rsid w:val="00994906"/>
    <w:rsid w:val="00995137"/>
    <w:rsid w:val="00996235"/>
    <w:rsid w:val="00996B1A"/>
    <w:rsid w:val="009970A2"/>
    <w:rsid w:val="00997B04"/>
    <w:rsid w:val="009A0C3D"/>
    <w:rsid w:val="009A2DCC"/>
    <w:rsid w:val="009A4E4C"/>
    <w:rsid w:val="009A5ABC"/>
    <w:rsid w:val="009A5D42"/>
    <w:rsid w:val="009A7F10"/>
    <w:rsid w:val="009B0038"/>
    <w:rsid w:val="009B17D0"/>
    <w:rsid w:val="009B1D66"/>
    <w:rsid w:val="009B32D4"/>
    <w:rsid w:val="009B3E26"/>
    <w:rsid w:val="009B7037"/>
    <w:rsid w:val="009B7A4B"/>
    <w:rsid w:val="009C264B"/>
    <w:rsid w:val="009C35AD"/>
    <w:rsid w:val="009C3706"/>
    <w:rsid w:val="009C3940"/>
    <w:rsid w:val="009C3A3A"/>
    <w:rsid w:val="009C3E80"/>
    <w:rsid w:val="009C54D2"/>
    <w:rsid w:val="009C633C"/>
    <w:rsid w:val="009C6520"/>
    <w:rsid w:val="009C6CEA"/>
    <w:rsid w:val="009C6DE8"/>
    <w:rsid w:val="009C7B85"/>
    <w:rsid w:val="009C7FD7"/>
    <w:rsid w:val="009D023C"/>
    <w:rsid w:val="009D0254"/>
    <w:rsid w:val="009D0865"/>
    <w:rsid w:val="009D1892"/>
    <w:rsid w:val="009D1A64"/>
    <w:rsid w:val="009D3DE2"/>
    <w:rsid w:val="009D4710"/>
    <w:rsid w:val="009D5B91"/>
    <w:rsid w:val="009D7210"/>
    <w:rsid w:val="009D792E"/>
    <w:rsid w:val="009E01F8"/>
    <w:rsid w:val="009E043D"/>
    <w:rsid w:val="009E0DFE"/>
    <w:rsid w:val="009E209B"/>
    <w:rsid w:val="009E31F6"/>
    <w:rsid w:val="009E47E4"/>
    <w:rsid w:val="009E4C07"/>
    <w:rsid w:val="009E4E16"/>
    <w:rsid w:val="009E7838"/>
    <w:rsid w:val="009F10B5"/>
    <w:rsid w:val="009F110E"/>
    <w:rsid w:val="009F1CFC"/>
    <w:rsid w:val="009F4F7C"/>
    <w:rsid w:val="009F587F"/>
    <w:rsid w:val="009F5D0A"/>
    <w:rsid w:val="00A0012B"/>
    <w:rsid w:val="00A01184"/>
    <w:rsid w:val="00A02640"/>
    <w:rsid w:val="00A027FA"/>
    <w:rsid w:val="00A0335D"/>
    <w:rsid w:val="00A037C2"/>
    <w:rsid w:val="00A03903"/>
    <w:rsid w:val="00A03D43"/>
    <w:rsid w:val="00A04380"/>
    <w:rsid w:val="00A05472"/>
    <w:rsid w:val="00A05C32"/>
    <w:rsid w:val="00A0653F"/>
    <w:rsid w:val="00A07ED5"/>
    <w:rsid w:val="00A104C0"/>
    <w:rsid w:val="00A11CD0"/>
    <w:rsid w:val="00A12457"/>
    <w:rsid w:val="00A12E02"/>
    <w:rsid w:val="00A12FDA"/>
    <w:rsid w:val="00A13230"/>
    <w:rsid w:val="00A13948"/>
    <w:rsid w:val="00A1460C"/>
    <w:rsid w:val="00A1555B"/>
    <w:rsid w:val="00A155C5"/>
    <w:rsid w:val="00A1656F"/>
    <w:rsid w:val="00A16AD8"/>
    <w:rsid w:val="00A17ADB"/>
    <w:rsid w:val="00A2009A"/>
    <w:rsid w:val="00A20532"/>
    <w:rsid w:val="00A20839"/>
    <w:rsid w:val="00A21C95"/>
    <w:rsid w:val="00A21CF3"/>
    <w:rsid w:val="00A21EC0"/>
    <w:rsid w:val="00A2372C"/>
    <w:rsid w:val="00A24370"/>
    <w:rsid w:val="00A24813"/>
    <w:rsid w:val="00A24997"/>
    <w:rsid w:val="00A24AC4"/>
    <w:rsid w:val="00A27AEC"/>
    <w:rsid w:val="00A3006B"/>
    <w:rsid w:val="00A30853"/>
    <w:rsid w:val="00A30CB4"/>
    <w:rsid w:val="00A320DB"/>
    <w:rsid w:val="00A33828"/>
    <w:rsid w:val="00A34E84"/>
    <w:rsid w:val="00A35C92"/>
    <w:rsid w:val="00A35D16"/>
    <w:rsid w:val="00A37BCD"/>
    <w:rsid w:val="00A37FC7"/>
    <w:rsid w:val="00A41689"/>
    <w:rsid w:val="00A42592"/>
    <w:rsid w:val="00A43C59"/>
    <w:rsid w:val="00A43CB3"/>
    <w:rsid w:val="00A4417C"/>
    <w:rsid w:val="00A44C94"/>
    <w:rsid w:val="00A45316"/>
    <w:rsid w:val="00A460C5"/>
    <w:rsid w:val="00A469FE"/>
    <w:rsid w:val="00A470DF"/>
    <w:rsid w:val="00A479BB"/>
    <w:rsid w:val="00A47B92"/>
    <w:rsid w:val="00A47CDF"/>
    <w:rsid w:val="00A47EC8"/>
    <w:rsid w:val="00A50ECD"/>
    <w:rsid w:val="00A51242"/>
    <w:rsid w:val="00A518F3"/>
    <w:rsid w:val="00A51AA1"/>
    <w:rsid w:val="00A525E3"/>
    <w:rsid w:val="00A52729"/>
    <w:rsid w:val="00A530CF"/>
    <w:rsid w:val="00A53675"/>
    <w:rsid w:val="00A538D2"/>
    <w:rsid w:val="00A553E3"/>
    <w:rsid w:val="00A557C5"/>
    <w:rsid w:val="00A55CEB"/>
    <w:rsid w:val="00A55FAD"/>
    <w:rsid w:val="00A564D7"/>
    <w:rsid w:val="00A56B6A"/>
    <w:rsid w:val="00A5717F"/>
    <w:rsid w:val="00A578DC"/>
    <w:rsid w:val="00A57B4B"/>
    <w:rsid w:val="00A57B69"/>
    <w:rsid w:val="00A616A4"/>
    <w:rsid w:val="00A6181D"/>
    <w:rsid w:val="00A638B6"/>
    <w:rsid w:val="00A640E2"/>
    <w:rsid w:val="00A64D65"/>
    <w:rsid w:val="00A6512D"/>
    <w:rsid w:val="00A6624F"/>
    <w:rsid w:val="00A66DED"/>
    <w:rsid w:val="00A6725B"/>
    <w:rsid w:val="00A672E7"/>
    <w:rsid w:val="00A67DF3"/>
    <w:rsid w:val="00A7001D"/>
    <w:rsid w:val="00A70605"/>
    <w:rsid w:val="00A71060"/>
    <w:rsid w:val="00A71414"/>
    <w:rsid w:val="00A71D7B"/>
    <w:rsid w:val="00A721FB"/>
    <w:rsid w:val="00A73134"/>
    <w:rsid w:val="00A741E5"/>
    <w:rsid w:val="00A75E70"/>
    <w:rsid w:val="00A76001"/>
    <w:rsid w:val="00A76AF2"/>
    <w:rsid w:val="00A777B2"/>
    <w:rsid w:val="00A77D28"/>
    <w:rsid w:val="00A80A54"/>
    <w:rsid w:val="00A80D8A"/>
    <w:rsid w:val="00A8117F"/>
    <w:rsid w:val="00A8193F"/>
    <w:rsid w:val="00A82521"/>
    <w:rsid w:val="00A825D4"/>
    <w:rsid w:val="00A828F6"/>
    <w:rsid w:val="00A82B73"/>
    <w:rsid w:val="00A83AA8"/>
    <w:rsid w:val="00A8454B"/>
    <w:rsid w:val="00A857C0"/>
    <w:rsid w:val="00A85EFD"/>
    <w:rsid w:val="00A861A9"/>
    <w:rsid w:val="00A86848"/>
    <w:rsid w:val="00A86E8B"/>
    <w:rsid w:val="00A87164"/>
    <w:rsid w:val="00A87300"/>
    <w:rsid w:val="00A87B49"/>
    <w:rsid w:val="00A90374"/>
    <w:rsid w:val="00A905D8"/>
    <w:rsid w:val="00A914DA"/>
    <w:rsid w:val="00A93072"/>
    <w:rsid w:val="00A938BD"/>
    <w:rsid w:val="00A93953"/>
    <w:rsid w:val="00A93DEB"/>
    <w:rsid w:val="00A947C2"/>
    <w:rsid w:val="00A959D8"/>
    <w:rsid w:val="00A96306"/>
    <w:rsid w:val="00A97361"/>
    <w:rsid w:val="00AA113D"/>
    <w:rsid w:val="00AA1A64"/>
    <w:rsid w:val="00AA1F6C"/>
    <w:rsid w:val="00AA2536"/>
    <w:rsid w:val="00AA336B"/>
    <w:rsid w:val="00AA50E0"/>
    <w:rsid w:val="00AA5416"/>
    <w:rsid w:val="00AA6BD5"/>
    <w:rsid w:val="00AA6BD8"/>
    <w:rsid w:val="00AA6C44"/>
    <w:rsid w:val="00AA6C7D"/>
    <w:rsid w:val="00AA7FD6"/>
    <w:rsid w:val="00AB042A"/>
    <w:rsid w:val="00AB05E3"/>
    <w:rsid w:val="00AB15AE"/>
    <w:rsid w:val="00AB19EF"/>
    <w:rsid w:val="00AB2D34"/>
    <w:rsid w:val="00AB3430"/>
    <w:rsid w:val="00AB37B9"/>
    <w:rsid w:val="00AB4459"/>
    <w:rsid w:val="00AB4AD1"/>
    <w:rsid w:val="00AB5E07"/>
    <w:rsid w:val="00AB6A0F"/>
    <w:rsid w:val="00AB7CFA"/>
    <w:rsid w:val="00AC017B"/>
    <w:rsid w:val="00AC05C2"/>
    <w:rsid w:val="00AC09E5"/>
    <w:rsid w:val="00AC3281"/>
    <w:rsid w:val="00AC3DCF"/>
    <w:rsid w:val="00AC487F"/>
    <w:rsid w:val="00AC5B48"/>
    <w:rsid w:val="00AD05DB"/>
    <w:rsid w:val="00AD1450"/>
    <w:rsid w:val="00AD158E"/>
    <w:rsid w:val="00AD1B62"/>
    <w:rsid w:val="00AD470A"/>
    <w:rsid w:val="00AD6502"/>
    <w:rsid w:val="00AE010E"/>
    <w:rsid w:val="00AE0695"/>
    <w:rsid w:val="00AE1646"/>
    <w:rsid w:val="00AE1D0D"/>
    <w:rsid w:val="00AE28FA"/>
    <w:rsid w:val="00AE331A"/>
    <w:rsid w:val="00AE3E7E"/>
    <w:rsid w:val="00AE645F"/>
    <w:rsid w:val="00AE7972"/>
    <w:rsid w:val="00AF004C"/>
    <w:rsid w:val="00AF1315"/>
    <w:rsid w:val="00AF19BF"/>
    <w:rsid w:val="00AF2853"/>
    <w:rsid w:val="00AF2DC3"/>
    <w:rsid w:val="00AF4D61"/>
    <w:rsid w:val="00B000EC"/>
    <w:rsid w:val="00B01463"/>
    <w:rsid w:val="00B033E5"/>
    <w:rsid w:val="00B0388F"/>
    <w:rsid w:val="00B03A63"/>
    <w:rsid w:val="00B03FA5"/>
    <w:rsid w:val="00B05A19"/>
    <w:rsid w:val="00B06031"/>
    <w:rsid w:val="00B121C8"/>
    <w:rsid w:val="00B152FE"/>
    <w:rsid w:val="00B15943"/>
    <w:rsid w:val="00B17E5B"/>
    <w:rsid w:val="00B201A4"/>
    <w:rsid w:val="00B201D1"/>
    <w:rsid w:val="00B20948"/>
    <w:rsid w:val="00B213A6"/>
    <w:rsid w:val="00B235B0"/>
    <w:rsid w:val="00B248D6"/>
    <w:rsid w:val="00B24DF6"/>
    <w:rsid w:val="00B30BDA"/>
    <w:rsid w:val="00B30ECE"/>
    <w:rsid w:val="00B32B8D"/>
    <w:rsid w:val="00B33FF6"/>
    <w:rsid w:val="00B34986"/>
    <w:rsid w:val="00B34FE2"/>
    <w:rsid w:val="00B35166"/>
    <w:rsid w:val="00B357D8"/>
    <w:rsid w:val="00B35E4E"/>
    <w:rsid w:val="00B35F9C"/>
    <w:rsid w:val="00B360D1"/>
    <w:rsid w:val="00B360F4"/>
    <w:rsid w:val="00B36A00"/>
    <w:rsid w:val="00B3728F"/>
    <w:rsid w:val="00B37BFC"/>
    <w:rsid w:val="00B37E60"/>
    <w:rsid w:val="00B40358"/>
    <w:rsid w:val="00B40DD1"/>
    <w:rsid w:val="00B41375"/>
    <w:rsid w:val="00B41614"/>
    <w:rsid w:val="00B42851"/>
    <w:rsid w:val="00B42F80"/>
    <w:rsid w:val="00B435CB"/>
    <w:rsid w:val="00B45BBA"/>
    <w:rsid w:val="00B467BB"/>
    <w:rsid w:val="00B46A30"/>
    <w:rsid w:val="00B4754C"/>
    <w:rsid w:val="00B47FA4"/>
    <w:rsid w:val="00B50576"/>
    <w:rsid w:val="00B505C8"/>
    <w:rsid w:val="00B50DB8"/>
    <w:rsid w:val="00B51728"/>
    <w:rsid w:val="00B51FCC"/>
    <w:rsid w:val="00B52023"/>
    <w:rsid w:val="00B520A6"/>
    <w:rsid w:val="00B52573"/>
    <w:rsid w:val="00B52CFC"/>
    <w:rsid w:val="00B53654"/>
    <w:rsid w:val="00B53905"/>
    <w:rsid w:val="00B54B5B"/>
    <w:rsid w:val="00B5562E"/>
    <w:rsid w:val="00B556E3"/>
    <w:rsid w:val="00B55D65"/>
    <w:rsid w:val="00B56D17"/>
    <w:rsid w:val="00B57000"/>
    <w:rsid w:val="00B57BC8"/>
    <w:rsid w:val="00B600DF"/>
    <w:rsid w:val="00B60939"/>
    <w:rsid w:val="00B60AFD"/>
    <w:rsid w:val="00B61509"/>
    <w:rsid w:val="00B62715"/>
    <w:rsid w:val="00B62960"/>
    <w:rsid w:val="00B62D3B"/>
    <w:rsid w:val="00B6481D"/>
    <w:rsid w:val="00B65611"/>
    <w:rsid w:val="00B65DEE"/>
    <w:rsid w:val="00B65FDE"/>
    <w:rsid w:val="00B66446"/>
    <w:rsid w:val="00B669AE"/>
    <w:rsid w:val="00B70309"/>
    <w:rsid w:val="00B706C5"/>
    <w:rsid w:val="00B70E8E"/>
    <w:rsid w:val="00B749BF"/>
    <w:rsid w:val="00B74C64"/>
    <w:rsid w:val="00B75AD4"/>
    <w:rsid w:val="00B767F9"/>
    <w:rsid w:val="00B769FE"/>
    <w:rsid w:val="00B76C92"/>
    <w:rsid w:val="00B7767D"/>
    <w:rsid w:val="00B801B2"/>
    <w:rsid w:val="00B802B9"/>
    <w:rsid w:val="00B817B8"/>
    <w:rsid w:val="00B818A4"/>
    <w:rsid w:val="00B81D42"/>
    <w:rsid w:val="00B82AED"/>
    <w:rsid w:val="00B82CC7"/>
    <w:rsid w:val="00B84117"/>
    <w:rsid w:val="00B858F0"/>
    <w:rsid w:val="00B85AA2"/>
    <w:rsid w:val="00B8649C"/>
    <w:rsid w:val="00B8695D"/>
    <w:rsid w:val="00B869D0"/>
    <w:rsid w:val="00B86DEC"/>
    <w:rsid w:val="00B86EC3"/>
    <w:rsid w:val="00B870D7"/>
    <w:rsid w:val="00B87A44"/>
    <w:rsid w:val="00B87F0A"/>
    <w:rsid w:val="00B906AE"/>
    <w:rsid w:val="00B91586"/>
    <w:rsid w:val="00B920ED"/>
    <w:rsid w:val="00B928D7"/>
    <w:rsid w:val="00B92D0B"/>
    <w:rsid w:val="00B92F4A"/>
    <w:rsid w:val="00B937B2"/>
    <w:rsid w:val="00B94945"/>
    <w:rsid w:val="00B94DD6"/>
    <w:rsid w:val="00B95090"/>
    <w:rsid w:val="00B95EB1"/>
    <w:rsid w:val="00B96F26"/>
    <w:rsid w:val="00B97018"/>
    <w:rsid w:val="00B9720D"/>
    <w:rsid w:val="00B97728"/>
    <w:rsid w:val="00B97CCC"/>
    <w:rsid w:val="00BA07A0"/>
    <w:rsid w:val="00BA1439"/>
    <w:rsid w:val="00BA1C2D"/>
    <w:rsid w:val="00BA2EBB"/>
    <w:rsid w:val="00BA322D"/>
    <w:rsid w:val="00BA4DCB"/>
    <w:rsid w:val="00BA63FA"/>
    <w:rsid w:val="00BA6555"/>
    <w:rsid w:val="00BA7954"/>
    <w:rsid w:val="00BB00B3"/>
    <w:rsid w:val="00BB0BDD"/>
    <w:rsid w:val="00BB15F7"/>
    <w:rsid w:val="00BB176C"/>
    <w:rsid w:val="00BB1E46"/>
    <w:rsid w:val="00BB2A73"/>
    <w:rsid w:val="00BB318C"/>
    <w:rsid w:val="00BB3A45"/>
    <w:rsid w:val="00BB4248"/>
    <w:rsid w:val="00BB4ACC"/>
    <w:rsid w:val="00BB5661"/>
    <w:rsid w:val="00BB62AF"/>
    <w:rsid w:val="00BB703E"/>
    <w:rsid w:val="00BB732D"/>
    <w:rsid w:val="00BB7405"/>
    <w:rsid w:val="00BB7A84"/>
    <w:rsid w:val="00BB7E82"/>
    <w:rsid w:val="00BC14E3"/>
    <w:rsid w:val="00BC3631"/>
    <w:rsid w:val="00BC3F67"/>
    <w:rsid w:val="00BC58F2"/>
    <w:rsid w:val="00BC591F"/>
    <w:rsid w:val="00BC7A90"/>
    <w:rsid w:val="00BC7D6D"/>
    <w:rsid w:val="00BD138C"/>
    <w:rsid w:val="00BD1B3B"/>
    <w:rsid w:val="00BD2108"/>
    <w:rsid w:val="00BD213F"/>
    <w:rsid w:val="00BD21A0"/>
    <w:rsid w:val="00BD2AA4"/>
    <w:rsid w:val="00BD37D5"/>
    <w:rsid w:val="00BD5DFE"/>
    <w:rsid w:val="00BD68A3"/>
    <w:rsid w:val="00BD6938"/>
    <w:rsid w:val="00BD6CF3"/>
    <w:rsid w:val="00BE0ECA"/>
    <w:rsid w:val="00BE10CB"/>
    <w:rsid w:val="00BE1B97"/>
    <w:rsid w:val="00BE2115"/>
    <w:rsid w:val="00BE2180"/>
    <w:rsid w:val="00BE21F2"/>
    <w:rsid w:val="00BE22B1"/>
    <w:rsid w:val="00BE3E4E"/>
    <w:rsid w:val="00BE4275"/>
    <w:rsid w:val="00BE44CB"/>
    <w:rsid w:val="00BE7827"/>
    <w:rsid w:val="00BE7E83"/>
    <w:rsid w:val="00BF059E"/>
    <w:rsid w:val="00BF06AE"/>
    <w:rsid w:val="00BF0EEA"/>
    <w:rsid w:val="00BF0F95"/>
    <w:rsid w:val="00BF2395"/>
    <w:rsid w:val="00BF2433"/>
    <w:rsid w:val="00BF4531"/>
    <w:rsid w:val="00BF4988"/>
    <w:rsid w:val="00BF61C9"/>
    <w:rsid w:val="00BF6C94"/>
    <w:rsid w:val="00BF7CAF"/>
    <w:rsid w:val="00C00424"/>
    <w:rsid w:val="00C00B5C"/>
    <w:rsid w:val="00C026F2"/>
    <w:rsid w:val="00C05D4A"/>
    <w:rsid w:val="00C06236"/>
    <w:rsid w:val="00C063E3"/>
    <w:rsid w:val="00C06D3F"/>
    <w:rsid w:val="00C0755F"/>
    <w:rsid w:val="00C07FAF"/>
    <w:rsid w:val="00C10A51"/>
    <w:rsid w:val="00C11077"/>
    <w:rsid w:val="00C112B1"/>
    <w:rsid w:val="00C11469"/>
    <w:rsid w:val="00C114D9"/>
    <w:rsid w:val="00C11630"/>
    <w:rsid w:val="00C1179F"/>
    <w:rsid w:val="00C12A60"/>
    <w:rsid w:val="00C12C14"/>
    <w:rsid w:val="00C14044"/>
    <w:rsid w:val="00C14F95"/>
    <w:rsid w:val="00C14FDA"/>
    <w:rsid w:val="00C15AB8"/>
    <w:rsid w:val="00C15F04"/>
    <w:rsid w:val="00C15FC8"/>
    <w:rsid w:val="00C16FE0"/>
    <w:rsid w:val="00C17123"/>
    <w:rsid w:val="00C179B3"/>
    <w:rsid w:val="00C17E3F"/>
    <w:rsid w:val="00C200AA"/>
    <w:rsid w:val="00C2200F"/>
    <w:rsid w:val="00C237ED"/>
    <w:rsid w:val="00C24632"/>
    <w:rsid w:val="00C247E8"/>
    <w:rsid w:val="00C25041"/>
    <w:rsid w:val="00C2531B"/>
    <w:rsid w:val="00C25404"/>
    <w:rsid w:val="00C25418"/>
    <w:rsid w:val="00C25D9C"/>
    <w:rsid w:val="00C25E18"/>
    <w:rsid w:val="00C27563"/>
    <w:rsid w:val="00C2778B"/>
    <w:rsid w:val="00C27A42"/>
    <w:rsid w:val="00C27F16"/>
    <w:rsid w:val="00C300EF"/>
    <w:rsid w:val="00C304AF"/>
    <w:rsid w:val="00C3089C"/>
    <w:rsid w:val="00C30A4E"/>
    <w:rsid w:val="00C312F9"/>
    <w:rsid w:val="00C31649"/>
    <w:rsid w:val="00C335EF"/>
    <w:rsid w:val="00C3434C"/>
    <w:rsid w:val="00C35BB1"/>
    <w:rsid w:val="00C40385"/>
    <w:rsid w:val="00C41768"/>
    <w:rsid w:val="00C4293A"/>
    <w:rsid w:val="00C43188"/>
    <w:rsid w:val="00C4320B"/>
    <w:rsid w:val="00C43686"/>
    <w:rsid w:val="00C45F2A"/>
    <w:rsid w:val="00C46CEA"/>
    <w:rsid w:val="00C475AA"/>
    <w:rsid w:val="00C47C5C"/>
    <w:rsid w:val="00C5327A"/>
    <w:rsid w:val="00C5362D"/>
    <w:rsid w:val="00C53C10"/>
    <w:rsid w:val="00C53C98"/>
    <w:rsid w:val="00C556BC"/>
    <w:rsid w:val="00C55BFC"/>
    <w:rsid w:val="00C56FCF"/>
    <w:rsid w:val="00C5721B"/>
    <w:rsid w:val="00C57317"/>
    <w:rsid w:val="00C57840"/>
    <w:rsid w:val="00C57B6C"/>
    <w:rsid w:val="00C611D9"/>
    <w:rsid w:val="00C61E79"/>
    <w:rsid w:val="00C62015"/>
    <w:rsid w:val="00C628A6"/>
    <w:rsid w:val="00C6344C"/>
    <w:rsid w:val="00C63750"/>
    <w:rsid w:val="00C63854"/>
    <w:rsid w:val="00C64344"/>
    <w:rsid w:val="00C64411"/>
    <w:rsid w:val="00C65108"/>
    <w:rsid w:val="00C65576"/>
    <w:rsid w:val="00C6568C"/>
    <w:rsid w:val="00C66135"/>
    <w:rsid w:val="00C66165"/>
    <w:rsid w:val="00C67284"/>
    <w:rsid w:val="00C67D38"/>
    <w:rsid w:val="00C7060A"/>
    <w:rsid w:val="00C70F48"/>
    <w:rsid w:val="00C7151A"/>
    <w:rsid w:val="00C717E3"/>
    <w:rsid w:val="00C71F60"/>
    <w:rsid w:val="00C72241"/>
    <w:rsid w:val="00C72E29"/>
    <w:rsid w:val="00C731E8"/>
    <w:rsid w:val="00C738FC"/>
    <w:rsid w:val="00C74995"/>
    <w:rsid w:val="00C750C8"/>
    <w:rsid w:val="00C7560F"/>
    <w:rsid w:val="00C75A18"/>
    <w:rsid w:val="00C77D25"/>
    <w:rsid w:val="00C8043D"/>
    <w:rsid w:val="00C80A0E"/>
    <w:rsid w:val="00C8213F"/>
    <w:rsid w:val="00C85154"/>
    <w:rsid w:val="00C8583F"/>
    <w:rsid w:val="00C862AC"/>
    <w:rsid w:val="00C8797A"/>
    <w:rsid w:val="00C900B8"/>
    <w:rsid w:val="00C90146"/>
    <w:rsid w:val="00C90C71"/>
    <w:rsid w:val="00C90D60"/>
    <w:rsid w:val="00C91C53"/>
    <w:rsid w:val="00C91FD1"/>
    <w:rsid w:val="00C931CF"/>
    <w:rsid w:val="00C938CF"/>
    <w:rsid w:val="00C93EE0"/>
    <w:rsid w:val="00C94053"/>
    <w:rsid w:val="00C94468"/>
    <w:rsid w:val="00C94BFB"/>
    <w:rsid w:val="00C9624D"/>
    <w:rsid w:val="00C969DA"/>
    <w:rsid w:val="00C9705B"/>
    <w:rsid w:val="00C97B46"/>
    <w:rsid w:val="00C97CC4"/>
    <w:rsid w:val="00CA0249"/>
    <w:rsid w:val="00CA162A"/>
    <w:rsid w:val="00CA2C77"/>
    <w:rsid w:val="00CA443B"/>
    <w:rsid w:val="00CA444F"/>
    <w:rsid w:val="00CA5219"/>
    <w:rsid w:val="00CA5245"/>
    <w:rsid w:val="00CA567C"/>
    <w:rsid w:val="00CA652F"/>
    <w:rsid w:val="00CA71F4"/>
    <w:rsid w:val="00CA7B09"/>
    <w:rsid w:val="00CA7DE3"/>
    <w:rsid w:val="00CB02B5"/>
    <w:rsid w:val="00CB12A5"/>
    <w:rsid w:val="00CB1677"/>
    <w:rsid w:val="00CB174A"/>
    <w:rsid w:val="00CB1CAC"/>
    <w:rsid w:val="00CB2F2A"/>
    <w:rsid w:val="00CB3418"/>
    <w:rsid w:val="00CB5B1A"/>
    <w:rsid w:val="00CB696D"/>
    <w:rsid w:val="00CB6B22"/>
    <w:rsid w:val="00CB7F5F"/>
    <w:rsid w:val="00CC14AF"/>
    <w:rsid w:val="00CC1B39"/>
    <w:rsid w:val="00CC1EFA"/>
    <w:rsid w:val="00CC2F41"/>
    <w:rsid w:val="00CC35EA"/>
    <w:rsid w:val="00CC3848"/>
    <w:rsid w:val="00CC4497"/>
    <w:rsid w:val="00CC65A9"/>
    <w:rsid w:val="00CC7DC7"/>
    <w:rsid w:val="00CD079A"/>
    <w:rsid w:val="00CD12BB"/>
    <w:rsid w:val="00CD1775"/>
    <w:rsid w:val="00CD1E93"/>
    <w:rsid w:val="00CD2CB9"/>
    <w:rsid w:val="00CD355D"/>
    <w:rsid w:val="00CD3F77"/>
    <w:rsid w:val="00CD4884"/>
    <w:rsid w:val="00CD6596"/>
    <w:rsid w:val="00CD6ADC"/>
    <w:rsid w:val="00CD7193"/>
    <w:rsid w:val="00CE1765"/>
    <w:rsid w:val="00CE2C02"/>
    <w:rsid w:val="00CE36CC"/>
    <w:rsid w:val="00CE38C8"/>
    <w:rsid w:val="00CE407E"/>
    <w:rsid w:val="00CE4696"/>
    <w:rsid w:val="00CE61EA"/>
    <w:rsid w:val="00CE6274"/>
    <w:rsid w:val="00CE6467"/>
    <w:rsid w:val="00CE65F3"/>
    <w:rsid w:val="00CE69B4"/>
    <w:rsid w:val="00CE7291"/>
    <w:rsid w:val="00CE77B6"/>
    <w:rsid w:val="00CE7A86"/>
    <w:rsid w:val="00CE7AB2"/>
    <w:rsid w:val="00CF06A7"/>
    <w:rsid w:val="00CF0DF6"/>
    <w:rsid w:val="00CF196E"/>
    <w:rsid w:val="00CF1DA7"/>
    <w:rsid w:val="00CF2706"/>
    <w:rsid w:val="00CF2B8D"/>
    <w:rsid w:val="00CF3007"/>
    <w:rsid w:val="00CF456B"/>
    <w:rsid w:val="00CF5A22"/>
    <w:rsid w:val="00CF6CDB"/>
    <w:rsid w:val="00CF7F0D"/>
    <w:rsid w:val="00D01D80"/>
    <w:rsid w:val="00D02430"/>
    <w:rsid w:val="00D025DF"/>
    <w:rsid w:val="00D0262E"/>
    <w:rsid w:val="00D0290A"/>
    <w:rsid w:val="00D02FE4"/>
    <w:rsid w:val="00D0323B"/>
    <w:rsid w:val="00D05E3D"/>
    <w:rsid w:val="00D05FFF"/>
    <w:rsid w:val="00D06139"/>
    <w:rsid w:val="00D07323"/>
    <w:rsid w:val="00D07841"/>
    <w:rsid w:val="00D110BD"/>
    <w:rsid w:val="00D13675"/>
    <w:rsid w:val="00D141E1"/>
    <w:rsid w:val="00D15314"/>
    <w:rsid w:val="00D16CA6"/>
    <w:rsid w:val="00D17D00"/>
    <w:rsid w:val="00D17D6C"/>
    <w:rsid w:val="00D17EAC"/>
    <w:rsid w:val="00D205AE"/>
    <w:rsid w:val="00D2155B"/>
    <w:rsid w:val="00D2186B"/>
    <w:rsid w:val="00D23D11"/>
    <w:rsid w:val="00D242B8"/>
    <w:rsid w:val="00D244B6"/>
    <w:rsid w:val="00D25E6F"/>
    <w:rsid w:val="00D2754D"/>
    <w:rsid w:val="00D278D8"/>
    <w:rsid w:val="00D27B27"/>
    <w:rsid w:val="00D301E5"/>
    <w:rsid w:val="00D3051E"/>
    <w:rsid w:val="00D30A0A"/>
    <w:rsid w:val="00D30A0F"/>
    <w:rsid w:val="00D330A7"/>
    <w:rsid w:val="00D3348B"/>
    <w:rsid w:val="00D3369E"/>
    <w:rsid w:val="00D33B8A"/>
    <w:rsid w:val="00D33BE9"/>
    <w:rsid w:val="00D33F93"/>
    <w:rsid w:val="00D3441B"/>
    <w:rsid w:val="00D357FF"/>
    <w:rsid w:val="00D418B0"/>
    <w:rsid w:val="00D424C7"/>
    <w:rsid w:val="00D42847"/>
    <w:rsid w:val="00D42FB8"/>
    <w:rsid w:val="00D43B2A"/>
    <w:rsid w:val="00D43D83"/>
    <w:rsid w:val="00D44A05"/>
    <w:rsid w:val="00D47575"/>
    <w:rsid w:val="00D478AB"/>
    <w:rsid w:val="00D479BE"/>
    <w:rsid w:val="00D50229"/>
    <w:rsid w:val="00D5197D"/>
    <w:rsid w:val="00D5243B"/>
    <w:rsid w:val="00D527B8"/>
    <w:rsid w:val="00D530F9"/>
    <w:rsid w:val="00D533EC"/>
    <w:rsid w:val="00D5375F"/>
    <w:rsid w:val="00D53C63"/>
    <w:rsid w:val="00D550CB"/>
    <w:rsid w:val="00D55738"/>
    <w:rsid w:val="00D55F2C"/>
    <w:rsid w:val="00D565B1"/>
    <w:rsid w:val="00D56A95"/>
    <w:rsid w:val="00D60F60"/>
    <w:rsid w:val="00D61216"/>
    <w:rsid w:val="00D61BB6"/>
    <w:rsid w:val="00D61C2F"/>
    <w:rsid w:val="00D61D1B"/>
    <w:rsid w:val="00D639FA"/>
    <w:rsid w:val="00D64986"/>
    <w:rsid w:val="00D64A79"/>
    <w:rsid w:val="00D67BB4"/>
    <w:rsid w:val="00D67CDC"/>
    <w:rsid w:val="00D70F16"/>
    <w:rsid w:val="00D71068"/>
    <w:rsid w:val="00D715D0"/>
    <w:rsid w:val="00D72EFD"/>
    <w:rsid w:val="00D72F57"/>
    <w:rsid w:val="00D74B35"/>
    <w:rsid w:val="00D75FD2"/>
    <w:rsid w:val="00D76A44"/>
    <w:rsid w:val="00D815EF"/>
    <w:rsid w:val="00D81F26"/>
    <w:rsid w:val="00D82A5B"/>
    <w:rsid w:val="00D844D3"/>
    <w:rsid w:val="00D86231"/>
    <w:rsid w:val="00D864F7"/>
    <w:rsid w:val="00D90CE5"/>
    <w:rsid w:val="00D91923"/>
    <w:rsid w:val="00D91996"/>
    <w:rsid w:val="00D931FD"/>
    <w:rsid w:val="00D93753"/>
    <w:rsid w:val="00D93E18"/>
    <w:rsid w:val="00D956A3"/>
    <w:rsid w:val="00D95B19"/>
    <w:rsid w:val="00D96242"/>
    <w:rsid w:val="00D975DE"/>
    <w:rsid w:val="00DA3167"/>
    <w:rsid w:val="00DA32E5"/>
    <w:rsid w:val="00DA3F7F"/>
    <w:rsid w:val="00DA47F4"/>
    <w:rsid w:val="00DA4DC3"/>
    <w:rsid w:val="00DA62D7"/>
    <w:rsid w:val="00DA77A5"/>
    <w:rsid w:val="00DB15F9"/>
    <w:rsid w:val="00DB1A3E"/>
    <w:rsid w:val="00DB1ED7"/>
    <w:rsid w:val="00DB2009"/>
    <w:rsid w:val="00DB223D"/>
    <w:rsid w:val="00DB319F"/>
    <w:rsid w:val="00DB33BF"/>
    <w:rsid w:val="00DB3BF6"/>
    <w:rsid w:val="00DB3D0C"/>
    <w:rsid w:val="00DB3DBF"/>
    <w:rsid w:val="00DB4797"/>
    <w:rsid w:val="00DB484F"/>
    <w:rsid w:val="00DB4A0E"/>
    <w:rsid w:val="00DB5FAA"/>
    <w:rsid w:val="00DB6807"/>
    <w:rsid w:val="00DB7B95"/>
    <w:rsid w:val="00DC04F6"/>
    <w:rsid w:val="00DC0690"/>
    <w:rsid w:val="00DC1D65"/>
    <w:rsid w:val="00DC3C57"/>
    <w:rsid w:val="00DC5501"/>
    <w:rsid w:val="00DC5A3C"/>
    <w:rsid w:val="00DC63E8"/>
    <w:rsid w:val="00DC69A0"/>
    <w:rsid w:val="00DC7154"/>
    <w:rsid w:val="00DC7793"/>
    <w:rsid w:val="00DC7E8A"/>
    <w:rsid w:val="00DD0F78"/>
    <w:rsid w:val="00DD1F3D"/>
    <w:rsid w:val="00DD273C"/>
    <w:rsid w:val="00DD3101"/>
    <w:rsid w:val="00DD3F28"/>
    <w:rsid w:val="00DD4537"/>
    <w:rsid w:val="00DD4E15"/>
    <w:rsid w:val="00DD5DAB"/>
    <w:rsid w:val="00DE0A9B"/>
    <w:rsid w:val="00DE2304"/>
    <w:rsid w:val="00DE2329"/>
    <w:rsid w:val="00DE29EB"/>
    <w:rsid w:val="00DE3138"/>
    <w:rsid w:val="00DE37F8"/>
    <w:rsid w:val="00DE45D0"/>
    <w:rsid w:val="00DE486F"/>
    <w:rsid w:val="00DE4E3C"/>
    <w:rsid w:val="00DE4FCB"/>
    <w:rsid w:val="00DE5D07"/>
    <w:rsid w:val="00DE601C"/>
    <w:rsid w:val="00DE6358"/>
    <w:rsid w:val="00DE72A7"/>
    <w:rsid w:val="00DE7832"/>
    <w:rsid w:val="00DF0010"/>
    <w:rsid w:val="00DF18FC"/>
    <w:rsid w:val="00DF2726"/>
    <w:rsid w:val="00DF27C2"/>
    <w:rsid w:val="00DF2B37"/>
    <w:rsid w:val="00DF57F6"/>
    <w:rsid w:val="00DF5D2B"/>
    <w:rsid w:val="00DF6ACB"/>
    <w:rsid w:val="00E003B6"/>
    <w:rsid w:val="00E00E8E"/>
    <w:rsid w:val="00E01382"/>
    <w:rsid w:val="00E01A00"/>
    <w:rsid w:val="00E01AC4"/>
    <w:rsid w:val="00E035D1"/>
    <w:rsid w:val="00E03686"/>
    <w:rsid w:val="00E05630"/>
    <w:rsid w:val="00E057F3"/>
    <w:rsid w:val="00E062E9"/>
    <w:rsid w:val="00E06DBB"/>
    <w:rsid w:val="00E0767A"/>
    <w:rsid w:val="00E10149"/>
    <w:rsid w:val="00E10C71"/>
    <w:rsid w:val="00E11340"/>
    <w:rsid w:val="00E1164E"/>
    <w:rsid w:val="00E121F3"/>
    <w:rsid w:val="00E122A1"/>
    <w:rsid w:val="00E13438"/>
    <w:rsid w:val="00E137DB"/>
    <w:rsid w:val="00E13E17"/>
    <w:rsid w:val="00E1578F"/>
    <w:rsid w:val="00E16372"/>
    <w:rsid w:val="00E1737B"/>
    <w:rsid w:val="00E17B1A"/>
    <w:rsid w:val="00E2041F"/>
    <w:rsid w:val="00E20E4D"/>
    <w:rsid w:val="00E20ED6"/>
    <w:rsid w:val="00E20FFF"/>
    <w:rsid w:val="00E212E3"/>
    <w:rsid w:val="00E21358"/>
    <w:rsid w:val="00E21AC9"/>
    <w:rsid w:val="00E21D3B"/>
    <w:rsid w:val="00E2249B"/>
    <w:rsid w:val="00E22A0D"/>
    <w:rsid w:val="00E2417B"/>
    <w:rsid w:val="00E244F6"/>
    <w:rsid w:val="00E25231"/>
    <w:rsid w:val="00E261EC"/>
    <w:rsid w:val="00E269ED"/>
    <w:rsid w:val="00E2746F"/>
    <w:rsid w:val="00E2771E"/>
    <w:rsid w:val="00E30022"/>
    <w:rsid w:val="00E311EF"/>
    <w:rsid w:val="00E31241"/>
    <w:rsid w:val="00E31775"/>
    <w:rsid w:val="00E32180"/>
    <w:rsid w:val="00E32C11"/>
    <w:rsid w:val="00E333A0"/>
    <w:rsid w:val="00E34948"/>
    <w:rsid w:val="00E35B6E"/>
    <w:rsid w:val="00E362DF"/>
    <w:rsid w:val="00E36D7C"/>
    <w:rsid w:val="00E3743B"/>
    <w:rsid w:val="00E37569"/>
    <w:rsid w:val="00E37B85"/>
    <w:rsid w:val="00E401B2"/>
    <w:rsid w:val="00E41E30"/>
    <w:rsid w:val="00E42303"/>
    <w:rsid w:val="00E42AA2"/>
    <w:rsid w:val="00E42F73"/>
    <w:rsid w:val="00E438E3"/>
    <w:rsid w:val="00E43D70"/>
    <w:rsid w:val="00E466F3"/>
    <w:rsid w:val="00E46F76"/>
    <w:rsid w:val="00E47A8C"/>
    <w:rsid w:val="00E47B2C"/>
    <w:rsid w:val="00E50EF7"/>
    <w:rsid w:val="00E51560"/>
    <w:rsid w:val="00E52290"/>
    <w:rsid w:val="00E52A1B"/>
    <w:rsid w:val="00E53FC8"/>
    <w:rsid w:val="00E5429A"/>
    <w:rsid w:val="00E54347"/>
    <w:rsid w:val="00E5448D"/>
    <w:rsid w:val="00E54BB5"/>
    <w:rsid w:val="00E55424"/>
    <w:rsid w:val="00E55915"/>
    <w:rsid w:val="00E55BB5"/>
    <w:rsid w:val="00E55E33"/>
    <w:rsid w:val="00E57485"/>
    <w:rsid w:val="00E578E1"/>
    <w:rsid w:val="00E60958"/>
    <w:rsid w:val="00E61BAF"/>
    <w:rsid w:val="00E623F4"/>
    <w:rsid w:val="00E65E79"/>
    <w:rsid w:val="00E6653C"/>
    <w:rsid w:val="00E667ED"/>
    <w:rsid w:val="00E66BA2"/>
    <w:rsid w:val="00E66D79"/>
    <w:rsid w:val="00E67416"/>
    <w:rsid w:val="00E67A0C"/>
    <w:rsid w:val="00E700CB"/>
    <w:rsid w:val="00E718B6"/>
    <w:rsid w:val="00E72316"/>
    <w:rsid w:val="00E723BA"/>
    <w:rsid w:val="00E72BF0"/>
    <w:rsid w:val="00E73581"/>
    <w:rsid w:val="00E745E1"/>
    <w:rsid w:val="00E74FD5"/>
    <w:rsid w:val="00E76E77"/>
    <w:rsid w:val="00E7781F"/>
    <w:rsid w:val="00E80767"/>
    <w:rsid w:val="00E816E9"/>
    <w:rsid w:val="00E82592"/>
    <w:rsid w:val="00E82C81"/>
    <w:rsid w:val="00E833F7"/>
    <w:rsid w:val="00E83BDF"/>
    <w:rsid w:val="00E83CE1"/>
    <w:rsid w:val="00E84780"/>
    <w:rsid w:val="00E86D5A"/>
    <w:rsid w:val="00E8702D"/>
    <w:rsid w:val="00E87A1D"/>
    <w:rsid w:val="00E87DA4"/>
    <w:rsid w:val="00E9094A"/>
    <w:rsid w:val="00E91D35"/>
    <w:rsid w:val="00E9203B"/>
    <w:rsid w:val="00E926A5"/>
    <w:rsid w:val="00E927FA"/>
    <w:rsid w:val="00E92B03"/>
    <w:rsid w:val="00E93901"/>
    <w:rsid w:val="00E951B3"/>
    <w:rsid w:val="00E95BBA"/>
    <w:rsid w:val="00E95E13"/>
    <w:rsid w:val="00EA081F"/>
    <w:rsid w:val="00EA0FA9"/>
    <w:rsid w:val="00EA17C3"/>
    <w:rsid w:val="00EA1A93"/>
    <w:rsid w:val="00EA1AC3"/>
    <w:rsid w:val="00EA2844"/>
    <w:rsid w:val="00EA2CAA"/>
    <w:rsid w:val="00EA3864"/>
    <w:rsid w:val="00EA4C52"/>
    <w:rsid w:val="00EA4F66"/>
    <w:rsid w:val="00EA5805"/>
    <w:rsid w:val="00EA7F1C"/>
    <w:rsid w:val="00EB0E0A"/>
    <w:rsid w:val="00EB15B6"/>
    <w:rsid w:val="00EB21DC"/>
    <w:rsid w:val="00EB2203"/>
    <w:rsid w:val="00EB33AF"/>
    <w:rsid w:val="00EB387E"/>
    <w:rsid w:val="00EB3D06"/>
    <w:rsid w:val="00EB4916"/>
    <w:rsid w:val="00EB6822"/>
    <w:rsid w:val="00EB6B72"/>
    <w:rsid w:val="00EC00C9"/>
    <w:rsid w:val="00EC00E1"/>
    <w:rsid w:val="00EC0DD9"/>
    <w:rsid w:val="00EC17C2"/>
    <w:rsid w:val="00EC2649"/>
    <w:rsid w:val="00EC31ED"/>
    <w:rsid w:val="00EC5836"/>
    <w:rsid w:val="00EC5B2C"/>
    <w:rsid w:val="00EC688C"/>
    <w:rsid w:val="00EC7AAD"/>
    <w:rsid w:val="00ED00B7"/>
    <w:rsid w:val="00ED08CF"/>
    <w:rsid w:val="00ED1461"/>
    <w:rsid w:val="00ED16CF"/>
    <w:rsid w:val="00ED1719"/>
    <w:rsid w:val="00ED1AB1"/>
    <w:rsid w:val="00ED21B6"/>
    <w:rsid w:val="00ED280D"/>
    <w:rsid w:val="00ED3393"/>
    <w:rsid w:val="00ED4A4B"/>
    <w:rsid w:val="00ED4D51"/>
    <w:rsid w:val="00ED57EA"/>
    <w:rsid w:val="00ED5A0E"/>
    <w:rsid w:val="00ED5BD4"/>
    <w:rsid w:val="00ED6177"/>
    <w:rsid w:val="00ED7C66"/>
    <w:rsid w:val="00EE07D3"/>
    <w:rsid w:val="00EE08C1"/>
    <w:rsid w:val="00EE150E"/>
    <w:rsid w:val="00EE1708"/>
    <w:rsid w:val="00EE1996"/>
    <w:rsid w:val="00EE1C01"/>
    <w:rsid w:val="00EE22AF"/>
    <w:rsid w:val="00EE2EFF"/>
    <w:rsid w:val="00EE467E"/>
    <w:rsid w:val="00EE66F3"/>
    <w:rsid w:val="00EE697A"/>
    <w:rsid w:val="00EE7F3E"/>
    <w:rsid w:val="00EF007A"/>
    <w:rsid w:val="00EF0171"/>
    <w:rsid w:val="00EF01B7"/>
    <w:rsid w:val="00EF1813"/>
    <w:rsid w:val="00EF1B25"/>
    <w:rsid w:val="00EF1DA0"/>
    <w:rsid w:val="00EF2304"/>
    <w:rsid w:val="00EF2FF8"/>
    <w:rsid w:val="00EF4747"/>
    <w:rsid w:val="00EF488C"/>
    <w:rsid w:val="00EF4BF8"/>
    <w:rsid w:val="00EF5245"/>
    <w:rsid w:val="00EF588A"/>
    <w:rsid w:val="00EF6BAA"/>
    <w:rsid w:val="00EF7525"/>
    <w:rsid w:val="00F0097B"/>
    <w:rsid w:val="00F017DB"/>
    <w:rsid w:val="00F02253"/>
    <w:rsid w:val="00F03A97"/>
    <w:rsid w:val="00F03C2E"/>
    <w:rsid w:val="00F04A66"/>
    <w:rsid w:val="00F04AF4"/>
    <w:rsid w:val="00F04B4B"/>
    <w:rsid w:val="00F0516C"/>
    <w:rsid w:val="00F05470"/>
    <w:rsid w:val="00F067A2"/>
    <w:rsid w:val="00F078DD"/>
    <w:rsid w:val="00F07B9E"/>
    <w:rsid w:val="00F07C6F"/>
    <w:rsid w:val="00F1116F"/>
    <w:rsid w:val="00F11584"/>
    <w:rsid w:val="00F11E84"/>
    <w:rsid w:val="00F123A6"/>
    <w:rsid w:val="00F1263A"/>
    <w:rsid w:val="00F129E9"/>
    <w:rsid w:val="00F12B1F"/>
    <w:rsid w:val="00F14BC3"/>
    <w:rsid w:val="00F14FC8"/>
    <w:rsid w:val="00F15898"/>
    <w:rsid w:val="00F15B77"/>
    <w:rsid w:val="00F21F9E"/>
    <w:rsid w:val="00F235C5"/>
    <w:rsid w:val="00F235CB"/>
    <w:rsid w:val="00F24837"/>
    <w:rsid w:val="00F24AFB"/>
    <w:rsid w:val="00F2575F"/>
    <w:rsid w:val="00F25EC9"/>
    <w:rsid w:val="00F26034"/>
    <w:rsid w:val="00F27565"/>
    <w:rsid w:val="00F27D89"/>
    <w:rsid w:val="00F301A6"/>
    <w:rsid w:val="00F30B0F"/>
    <w:rsid w:val="00F30D23"/>
    <w:rsid w:val="00F310D4"/>
    <w:rsid w:val="00F31225"/>
    <w:rsid w:val="00F312E2"/>
    <w:rsid w:val="00F31B8A"/>
    <w:rsid w:val="00F31D5A"/>
    <w:rsid w:val="00F33684"/>
    <w:rsid w:val="00F33975"/>
    <w:rsid w:val="00F33DE9"/>
    <w:rsid w:val="00F344F3"/>
    <w:rsid w:val="00F35E6A"/>
    <w:rsid w:val="00F35E6D"/>
    <w:rsid w:val="00F3619A"/>
    <w:rsid w:val="00F40234"/>
    <w:rsid w:val="00F40AAA"/>
    <w:rsid w:val="00F40BA7"/>
    <w:rsid w:val="00F40F9D"/>
    <w:rsid w:val="00F41ACD"/>
    <w:rsid w:val="00F426F5"/>
    <w:rsid w:val="00F430DA"/>
    <w:rsid w:val="00F431AE"/>
    <w:rsid w:val="00F43B21"/>
    <w:rsid w:val="00F4428B"/>
    <w:rsid w:val="00F464B4"/>
    <w:rsid w:val="00F46AD8"/>
    <w:rsid w:val="00F46CB6"/>
    <w:rsid w:val="00F473B2"/>
    <w:rsid w:val="00F47466"/>
    <w:rsid w:val="00F4756D"/>
    <w:rsid w:val="00F47CBB"/>
    <w:rsid w:val="00F47DE8"/>
    <w:rsid w:val="00F47F7B"/>
    <w:rsid w:val="00F5093D"/>
    <w:rsid w:val="00F50AA9"/>
    <w:rsid w:val="00F52E78"/>
    <w:rsid w:val="00F540B0"/>
    <w:rsid w:val="00F542C1"/>
    <w:rsid w:val="00F55E73"/>
    <w:rsid w:val="00F55EDA"/>
    <w:rsid w:val="00F561FF"/>
    <w:rsid w:val="00F5625A"/>
    <w:rsid w:val="00F56C80"/>
    <w:rsid w:val="00F56F60"/>
    <w:rsid w:val="00F60092"/>
    <w:rsid w:val="00F6040E"/>
    <w:rsid w:val="00F611C3"/>
    <w:rsid w:val="00F615F5"/>
    <w:rsid w:val="00F61C18"/>
    <w:rsid w:val="00F61D85"/>
    <w:rsid w:val="00F63BFD"/>
    <w:rsid w:val="00F641D6"/>
    <w:rsid w:val="00F647E3"/>
    <w:rsid w:val="00F648ED"/>
    <w:rsid w:val="00F65C1C"/>
    <w:rsid w:val="00F65CA0"/>
    <w:rsid w:val="00F65D9F"/>
    <w:rsid w:val="00F65F4B"/>
    <w:rsid w:val="00F6680E"/>
    <w:rsid w:val="00F6731E"/>
    <w:rsid w:val="00F67A69"/>
    <w:rsid w:val="00F7079D"/>
    <w:rsid w:val="00F70BFF"/>
    <w:rsid w:val="00F70C9D"/>
    <w:rsid w:val="00F70D69"/>
    <w:rsid w:val="00F74CD9"/>
    <w:rsid w:val="00F74E05"/>
    <w:rsid w:val="00F80741"/>
    <w:rsid w:val="00F80A7B"/>
    <w:rsid w:val="00F80E5D"/>
    <w:rsid w:val="00F814BB"/>
    <w:rsid w:val="00F815C1"/>
    <w:rsid w:val="00F81E78"/>
    <w:rsid w:val="00F851CE"/>
    <w:rsid w:val="00F854B0"/>
    <w:rsid w:val="00F856D8"/>
    <w:rsid w:val="00F8617D"/>
    <w:rsid w:val="00F8662F"/>
    <w:rsid w:val="00F86B03"/>
    <w:rsid w:val="00F8729E"/>
    <w:rsid w:val="00F877FF"/>
    <w:rsid w:val="00F91219"/>
    <w:rsid w:val="00F91915"/>
    <w:rsid w:val="00F91CE4"/>
    <w:rsid w:val="00F92444"/>
    <w:rsid w:val="00F9393E"/>
    <w:rsid w:val="00F93BED"/>
    <w:rsid w:val="00F9612F"/>
    <w:rsid w:val="00F968B2"/>
    <w:rsid w:val="00F96FD0"/>
    <w:rsid w:val="00F97A78"/>
    <w:rsid w:val="00FA082E"/>
    <w:rsid w:val="00FA0B20"/>
    <w:rsid w:val="00FA15BE"/>
    <w:rsid w:val="00FA24E7"/>
    <w:rsid w:val="00FA3E57"/>
    <w:rsid w:val="00FA4EAF"/>
    <w:rsid w:val="00FA5EE6"/>
    <w:rsid w:val="00FA7956"/>
    <w:rsid w:val="00FA7BC9"/>
    <w:rsid w:val="00FA7CE3"/>
    <w:rsid w:val="00FB2FCB"/>
    <w:rsid w:val="00FB599E"/>
    <w:rsid w:val="00FB6031"/>
    <w:rsid w:val="00FB6C7E"/>
    <w:rsid w:val="00FB7591"/>
    <w:rsid w:val="00FB7808"/>
    <w:rsid w:val="00FB7C55"/>
    <w:rsid w:val="00FC04F5"/>
    <w:rsid w:val="00FC1074"/>
    <w:rsid w:val="00FC1884"/>
    <w:rsid w:val="00FC1EB4"/>
    <w:rsid w:val="00FC371D"/>
    <w:rsid w:val="00FC3D6E"/>
    <w:rsid w:val="00FC4CC5"/>
    <w:rsid w:val="00FC55B1"/>
    <w:rsid w:val="00FC5E4F"/>
    <w:rsid w:val="00FC5F0B"/>
    <w:rsid w:val="00FC604F"/>
    <w:rsid w:val="00FC6168"/>
    <w:rsid w:val="00FC720B"/>
    <w:rsid w:val="00FC769A"/>
    <w:rsid w:val="00FD2100"/>
    <w:rsid w:val="00FD3CFA"/>
    <w:rsid w:val="00FD436C"/>
    <w:rsid w:val="00FD446D"/>
    <w:rsid w:val="00FD4F2C"/>
    <w:rsid w:val="00FD510B"/>
    <w:rsid w:val="00FD6394"/>
    <w:rsid w:val="00FD6712"/>
    <w:rsid w:val="00FD68C0"/>
    <w:rsid w:val="00FD7B9A"/>
    <w:rsid w:val="00FE0856"/>
    <w:rsid w:val="00FE08EA"/>
    <w:rsid w:val="00FE0E6C"/>
    <w:rsid w:val="00FE116A"/>
    <w:rsid w:val="00FE163D"/>
    <w:rsid w:val="00FE1CDC"/>
    <w:rsid w:val="00FE30B9"/>
    <w:rsid w:val="00FE3B42"/>
    <w:rsid w:val="00FE44FF"/>
    <w:rsid w:val="00FE70C3"/>
    <w:rsid w:val="00FF03BC"/>
    <w:rsid w:val="00FF0C36"/>
    <w:rsid w:val="00FF2AD9"/>
    <w:rsid w:val="00FF359F"/>
    <w:rsid w:val="00FF3A66"/>
    <w:rsid w:val="00FF3DCF"/>
    <w:rsid w:val="00FF4229"/>
    <w:rsid w:val="00FF492C"/>
    <w:rsid w:val="00FF4A21"/>
    <w:rsid w:val="00FF57AF"/>
    <w:rsid w:val="00FF5AA3"/>
    <w:rsid w:val="00FF5AD8"/>
    <w:rsid w:val="00FF64CE"/>
    <w:rsid w:val="00FF68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0E4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V50Instructions">
    <w:name w:val="V5.0 Instructions"/>
    <w:basedOn w:val="Normal"/>
    <w:link w:val="V50InstructionsChar"/>
    <w:qFormat/>
    <w:rsid w:val="00AB05E3"/>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AB05E3"/>
    <w:rPr>
      <w:rFonts w:asciiTheme="minorHAnsi" w:eastAsiaTheme="minorHAnsi" w:hAnsiTheme="minorHAnsi" w:cstheme="minorBidi"/>
      <w:color w:val="4BACC6" w:themeColor="accent5"/>
      <w:sz w:val="24"/>
      <w:szCs w:val="22"/>
      <w:lang w:eastAsia="en-US"/>
    </w:rPr>
  </w:style>
  <w:style w:type="paragraph" w:customStyle="1" w:styleId="TableFooter">
    <w:name w:val="Table Footer"/>
    <w:basedOn w:val="Normal"/>
    <w:link w:val="TableFooterChar"/>
    <w:qFormat/>
    <w:rsid w:val="00441BAE"/>
    <w:pPr>
      <w:widowControl w:val="0"/>
      <w:spacing w:after="60"/>
      <w:contextualSpacing/>
    </w:pPr>
    <w:rPr>
      <w:rFonts w:ascii="Arial Narrow" w:hAnsi="Arial Narrow"/>
      <w:snapToGrid w:val="0"/>
      <w:sz w:val="18"/>
      <w:szCs w:val="22"/>
      <w:lang w:eastAsia="en-US"/>
    </w:rPr>
  </w:style>
  <w:style w:type="character" w:customStyle="1" w:styleId="TableFooterChar">
    <w:name w:val="Table Footer Char"/>
    <w:link w:val="TableFooter"/>
    <w:rsid w:val="00441BAE"/>
    <w:rPr>
      <w:rFonts w:ascii="Arial Narrow" w:hAnsi="Arial Narrow" w:cs="Arial"/>
      <w:snapToGrid w:val="0"/>
      <w:sz w:val="18"/>
      <w:szCs w:val="22"/>
      <w:lang w:eastAsia="en-US"/>
    </w:rPr>
  </w:style>
  <w:style w:type="paragraph" w:customStyle="1" w:styleId="TableHeading">
    <w:name w:val="Table Heading"/>
    <w:basedOn w:val="Normal"/>
    <w:link w:val="TableHeadingChar"/>
    <w:qFormat/>
    <w:rsid w:val="00AB05E3"/>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AB05E3"/>
    <w:rPr>
      <w:rFonts w:ascii="Arial Narrow" w:eastAsiaTheme="minorHAnsi" w:hAnsi="Arial Narrow" w:cstheme="minorBidi"/>
      <w:b/>
      <w:szCs w:val="22"/>
      <w:lang w:eastAsia="en-US"/>
    </w:rPr>
  </w:style>
  <w:style w:type="character" w:customStyle="1" w:styleId="COMBodyChar">
    <w:name w:val="COMBody Char"/>
    <w:basedOn w:val="DefaultParagraphFont"/>
    <w:link w:val="COMBody"/>
    <w:locked/>
    <w:rsid w:val="001E0126"/>
    <w:rPr>
      <w:rFonts w:ascii="Calibri" w:hAnsi="Calibri" w:cs="Arial"/>
      <w:sz w:val="24"/>
    </w:rPr>
  </w:style>
  <w:style w:type="paragraph" w:customStyle="1" w:styleId="COMBody">
    <w:name w:val="COMBody"/>
    <w:basedOn w:val="Normal"/>
    <w:link w:val="COMBodyChar"/>
    <w:qFormat/>
    <w:rsid w:val="001E0126"/>
    <w:pPr>
      <w:widowControl w:val="0"/>
      <w:snapToGrid w:val="0"/>
    </w:pPr>
    <w:rPr>
      <w:szCs w:val="20"/>
    </w:rPr>
  </w:style>
  <w:style w:type="character" w:styleId="CommentReference">
    <w:name w:val="annotation reference"/>
    <w:aliases w:val="Table Title"/>
    <w:uiPriority w:val="99"/>
    <w:qFormat/>
    <w:rsid w:val="00C300EF"/>
    <w:rPr>
      <w:rFonts w:ascii="Arial Narrow" w:hAnsi="Arial Narrow"/>
      <w:b/>
      <w:sz w:val="20"/>
      <w:szCs w:val="16"/>
    </w:rPr>
  </w:style>
  <w:style w:type="paragraph" w:customStyle="1" w:styleId="Tabletext0">
    <w:name w:val="Table text"/>
    <w:basedOn w:val="Normal"/>
    <w:link w:val="TabletextChar0"/>
    <w:uiPriority w:val="99"/>
    <w:qFormat/>
    <w:rsid w:val="00C300EF"/>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C300EF"/>
    <w:rPr>
      <w:rFonts w:ascii="Arial Narrow" w:hAnsi="Arial Narrow"/>
      <w:szCs w:val="22"/>
      <w:lang w:eastAsia="en-US"/>
    </w:rPr>
  </w:style>
  <w:style w:type="paragraph" w:styleId="ListParagraph">
    <w:name w:val="List Paragraph"/>
    <w:aliases w:val="Numbered para,BulletPoints,Body Text Bullet Points,List Paragraph1,Bullet point,List Paragraph11,Recommendation,Section heading,Footnote,ES Paragraph,PBAC ES Paragraph,PBAC normal points,Bullet List"/>
    <w:basedOn w:val="Normal"/>
    <w:link w:val="ListParagraphChar"/>
    <w:uiPriority w:val="34"/>
    <w:qFormat/>
    <w:rsid w:val="002F6ADB"/>
    <w:pPr>
      <w:widowControl w:val="0"/>
      <w:spacing w:after="160"/>
      <w:ind w:left="720"/>
    </w:pPr>
    <w:rPr>
      <w:snapToGrid w:val="0"/>
      <w:szCs w:val="22"/>
      <w:lang w:eastAsia="en-US"/>
    </w:rPr>
  </w:style>
  <w:style w:type="character" w:customStyle="1" w:styleId="ListParagraphChar">
    <w:name w:val="List Paragraph Char"/>
    <w:aliases w:val="Numbered para Char,BulletPoints Char,Body Text Bullet Points Char,List Paragraph1 Char,Bullet point Char,List Paragraph11 Char,Recommendation Char,Section heading Char,Footnote Char,ES Paragraph Char,PBAC ES Paragraph Char"/>
    <w:basedOn w:val="DefaultParagraphFont"/>
    <w:link w:val="ListParagraph"/>
    <w:uiPriority w:val="34"/>
    <w:qFormat/>
    <w:locked/>
    <w:rsid w:val="002F6ADB"/>
    <w:rPr>
      <w:rFonts w:ascii="Calibri" w:hAnsi="Calibri" w:cs="Arial"/>
      <w:snapToGrid w:val="0"/>
      <w:sz w:val="24"/>
      <w:szCs w:val="22"/>
      <w:lang w:eastAsia="en-US"/>
    </w:rPr>
  </w:style>
  <w:style w:type="paragraph" w:customStyle="1" w:styleId="TableHeader">
    <w:name w:val="Table Header"/>
    <w:basedOn w:val="Normal"/>
    <w:uiPriority w:val="3"/>
    <w:rsid w:val="003C7904"/>
    <w:pPr>
      <w:widowControl w:val="0"/>
    </w:pPr>
    <w:rPr>
      <w:b/>
      <w:snapToGrid w:val="0"/>
      <w:sz w:val="20"/>
      <w:szCs w:val="22"/>
      <w:lang w:eastAsia="en-US"/>
    </w:rPr>
  </w:style>
  <w:style w:type="paragraph" w:styleId="FootnoteText">
    <w:name w:val="footnote text"/>
    <w:basedOn w:val="Normal"/>
    <w:link w:val="FootnoteTextChar"/>
    <w:semiHidden/>
    <w:unhideWhenUsed/>
    <w:rsid w:val="003C7904"/>
    <w:pPr>
      <w:widowControl w:val="0"/>
    </w:pPr>
    <w:rPr>
      <w:snapToGrid w:val="0"/>
      <w:sz w:val="20"/>
      <w:szCs w:val="20"/>
      <w:lang w:eastAsia="en-US"/>
    </w:rPr>
  </w:style>
  <w:style w:type="character" w:customStyle="1" w:styleId="FootnoteTextChar">
    <w:name w:val="Footnote Text Char"/>
    <w:basedOn w:val="DefaultParagraphFont"/>
    <w:link w:val="FootnoteText"/>
    <w:semiHidden/>
    <w:rsid w:val="003C7904"/>
    <w:rPr>
      <w:rFonts w:ascii="Calibri" w:hAnsi="Calibri" w:cs="Arial"/>
      <w:snapToGrid w:val="0"/>
      <w:lang w:eastAsia="en-US"/>
    </w:rPr>
  </w:style>
  <w:style w:type="character" w:styleId="FootnoteReference">
    <w:name w:val="footnote reference"/>
    <w:basedOn w:val="DefaultParagraphFont"/>
    <w:semiHidden/>
    <w:unhideWhenUsed/>
    <w:rsid w:val="003C7904"/>
    <w:rPr>
      <w:vertAlign w:val="superscript"/>
    </w:rPr>
  </w:style>
  <w:style w:type="paragraph" w:styleId="Header">
    <w:name w:val="header"/>
    <w:aliases w:val="Page Header,Header title,he=header,cntr/bld"/>
    <w:basedOn w:val="Normal"/>
    <w:link w:val="HeaderChar"/>
    <w:uiPriority w:val="99"/>
    <w:unhideWhenUsed/>
    <w:qFormat/>
    <w:rsid w:val="007177A7"/>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7177A7"/>
    <w:rPr>
      <w:rFonts w:ascii="Calibri" w:hAnsi="Calibri" w:cs="Arial"/>
      <w:sz w:val="24"/>
      <w:szCs w:val="24"/>
    </w:rPr>
  </w:style>
  <w:style w:type="paragraph" w:styleId="Footer">
    <w:name w:val="footer"/>
    <w:basedOn w:val="Normal"/>
    <w:link w:val="FooterChar"/>
    <w:uiPriority w:val="99"/>
    <w:unhideWhenUsed/>
    <w:rsid w:val="007177A7"/>
    <w:pPr>
      <w:tabs>
        <w:tab w:val="center" w:pos="4513"/>
        <w:tab w:val="right" w:pos="9026"/>
      </w:tabs>
    </w:pPr>
  </w:style>
  <w:style w:type="character" w:customStyle="1" w:styleId="FooterChar">
    <w:name w:val="Footer Char"/>
    <w:basedOn w:val="DefaultParagraphFont"/>
    <w:link w:val="Footer"/>
    <w:uiPriority w:val="99"/>
    <w:rsid w:val="007177A7"/>
    <w:rPr>
      <w:rFonts w:ascii="Calibri" w:hAnsi="Calibri" w:cs="Arial"/>
      <w:sz w:val="24"/>
      <w:szCs w:val="24"/>
    </w:rPr>
  </w:style>
  <w:style w:type="paragraph" w:styleId="CommentText">
    <w:name w:val="annotation text"/>
    <w:basedOn w:val="Normal"/>
    <w:link w:val="CommentTextChar"/>
    <w:uiPriority w:val="99"/>
    <w:semiHidden/>
    <w:unhideWhenUsed/>
    <w:rsid w:val="004F0D51"/>
    <w:rPr>
      <w:sz w:val="20"/>
      <w:szCs w:val="20"/>
    </w:rPr>
  </w:style>
  <w:style w:type="character" w:customStyle="1" w:styleId="CommentTextChar">
    <w:name w:val="Comment Text Char"/>
    <w:basedOn w:val="DefaultParagraphFont"/>
    <w:link w:val="CommentText"/>
    <w:uiPriority w:val="99"/>
    <w:semiHidden/>
    <w:rsid w:val="004F0D51"/>
    <w:rPr>
      <w:rFonts w:ascii="Calibri" w:hAnsi="Calibri" w:cs="Arial"/>
    </w:rPr>
  </w:style>
  <w:style w:type="paragraph" w:styleId="CommentSubject">
    <w:name w:val="annotation subject"/>
    <w:basedOn w:val="CommentText"/>
    <w:next w:val="CommentText"/>
    <w:link w:val="CommentSubjectChar"/>
    <w:semiHidden/>
    <w:unhideWhenUsed/>
    <w:rsid w:val="004F0D51"/>
    <w:rPr>
      <w:b/>
      <w:bCs/>
    </w:rPr>
  </w:style>
  <w:style w:type="character" w:customStyle="1" w:styleId="CommentSubjectChar">
    <w:name w:val="Comment Subject Char"/>
    <w:basedOn w:val="CommentTextChar"/>
    <w:link w:val="CommentSubject"/>
    <w:semiHidden/>
    <w:rsid w:val="004F0D51"/>
    <w:rPr>
      <w:rFonts w:ascii="Calibri" w:hAnsi="Calibri" w:cs="Arial"/>
      <w:b/>
      <w:bCs/>
    </w:rPr>
  </w:style>
  <w:style w:type="paragraph" w:styleId="BodyText">
    <w:name w:val="Body Text"/>
    <w:basedOn w:val="Normal"/>
    <w:link w:val="BodyTextChar"/>
    <w:uiPriority w:val="1"/>
    <w:qFormat/>
    <w:rsid w:val="00447B2A"/>
    <w:pPr>
      <w:autoSpaceDE w:val="0"/>
      <w:autoSpaceDN w:val="0"/>
      <w:adjustRightInd w:val="0"/>
      <w:spacing w:before="15"/>
      <w:jc w:val="center"/>
    </w:pPr>
    <w:rPr>
      <w:rFonts w:ascii="Times New Roman" w:hAnsi="Times New Roman" w:cs="Times New Roman"/>
      <w:i/>
      <w:iCs/>
      <w:sz w:val="17"/>
      <w:szCs w:val="17"/>
    </w:rPr>
  </w:style>
  <w:style w:type="character" w:customStyle="1" w:styleId="BodyTextChar">
    <w:name w:val="Body Text Char"/>
    <w:basedOn w:val="DefaultParagraphFont"/>
    <w:link w:val="BodyText"/>
    <w:uiPriority w:val="1"/>
    <w:rsid w:val="00447B2A"/>
    <w:rPr>
      <w:i/>
      <w:iCs/>
      <w:sz w:val="17"/>
      <w:szCs w:val="17"/>
    </w:rPr>
  </w:style>
  <w:style w:type="paragraph" w:customStyle="1" w:styleId="PBACHeading1">
    <w:name w:val="PBAC Heading 1"/>
    <w:qFormat/>
    <w:rsid w:val="008F4735"/>
    <w:pPr>
      <w:ind w:left="720" w:hanging="720"/>
      <w:outlineLvl w:val="0"/>
    </w:pPr>
    <w:rPr>
      <w:rFonts w:ascii="Calibri" w:hAnsi="Calibri" w:cs="Calibri"/>
      <w:b/>
      <w:snapToGrid w:val="0"/>
      <w:sz w:val="32"/>
      <w:szCs w:val="32"/>
      <w:lang w:eastAsia="en-US"/>
    </w:rPr>
  </w:style>
  <w:style w:type="paragraph" w:customStyle="1" w:styleId="1-MainHeading0">
    <w:name w:val="1-Main Heading"/>
    <w:link w:val="1-MainHeadingChar0"/>
    <w:qFormat/>
    <w:rsid w:val="008865CC"/>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0">
    <w:name w:val="1-Main Heading Char"/>
    <w:basedOn w:val="DefaultParagraphFont"/>
    <w:link w:val="1-MainHeading0"/>
    <w:rsid w:val="008865CC"/>
    <w:rPr>
      <w:rFonts w:asciiTheme="minorHAnsi" w:eastAsiaTheme="majorEastAsia" w:hAnsiTheme="minorHAnsi" w:cstheme="majorBidi"/>
      <w:b/>
      <w:spacing w:val="5"/>
      <w:kern w:val="28"/>
      <w:sz w:val="36"/>
      <w:szCs w:val="36"/>
    </w:rPr>
  </w:style>
  <w:style w:type="paragraph" w:styleId="NoSpacing">
    <w:name w:val="No Spacing"/>
    <w:uiPriority w:val="1"/>
    <w:qFormat/>
    <w:rsid w:val="00BB62AF"/>
    <w:rPr>
      <w:sz w:val="24"/>
      <w:szCs w:val="24"/>
      <w:lang w:eastAsia="en-US"/>
    </w:rPr>
  </w:style>
  <w:style w:type="paragraph" w:customStyle="1" w:styleId="3Bodytext">
    <w:name w:val="3. Body text"/>
    <w:basedOn w:val="ListParagraph"/>
    <w:qFormat/>
    <w:rsid w:val="00BC7A90"/>
    <w:pPr>
      <w:widowControl/>
      <w:spacing w:after="120"/>
      <w:ind w:hanging="720"/>
      <w:jc w:val="left"/>
    </w:pPr>
    <w:rPr>
      <w:rFonts w:asciiTheme="minorHAnsi" w:eastAsiaTheme="minorHAnsi" w:hAnsiTheme="minorHAnsi" w:cstheme="minorBidi"/>
      <w:snapToGrid/>
      <w:lang w:eastAsia="en-AU"/>
    </w:rPr>
  </w:style>
  <w:style w:type="character" w:customStyle="1" w:styleId="null1">
    <w:name w:val="null1"/>
    <w:basedOn w:val="DefaultParagraphFont"/>
    <w:rsid w:val="009E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924624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405040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FF709-F2CE-49A7-A430-6369F000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11745</Words>
  <Characters>69898</Characters>
  <Application>Microsoft Office Word</Application>
  <DocSecurity>0</DocSecurity>
  <Lines>582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2021-07-08T06:18:00Z</dcterms:created>
  <dcterms:modified xsi:type="dcterms:W3CDTF">2021-07-08T06:20:00Z</dcterms:modified>
</cp:coreProperties>
</file>